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9D931" w14:textId="77777777" w:rsidR="00631CCB" w:rsidRPr="00631CCB" w:rsidRDefault="00631CCB" w:rsidP="00631CCB">
      <w:pPr>
        <w:spacing w:before="120" w:after="120" w:line="240" w:lineRule="auto"/>
        <w:jc w:val="center"/>
        <w:rPr>
          <w:rFonts w:cs="Times New Roman"/>
          <w:lang w:val="en-GB"/>
        </w:rPr>
      </w:pPr>
      <w:r w:rsidRPr="00631CCB">
        <w:rPr>
          <w:rFonts w:cs="Times New Roman"/>
          <w:lang w:val="en-GB"/>
        </w:rPr>
        <w:t>REGIONAL FUNDING AND REGIONAL INEQUALITIES IN THE BRAZILIAN NORTHEAST</w:t>
      </w:r>
    </w:p>
    <w:p w14:paraId="3A9E29EF" w14:textId="77777777" w:rsidR="00631CCB" w:rsidRPr="00631CCB" w:rsidRDefault="00631CCB" w:rsidP="00631CCB">
      <w:pPr>
        <w:spacing w:before="120" w:after="120" w:line="240" w:lineRule="auto"/>
        <w:jc w:val="center"/>
        <w:rPr>
          <w:rFonts w:cs="Times New Roman"/>
          <w:lang w:val="en-GB"/>
        </w:rPr>
      </w:pPr>
    </w:p>
    <w:p w14:paraId="2B070C4F" w14:textId="2A2CF42B" w:rsidR="00631CCB" w:rsidRPr="00631CCB" w:rsidRDefault="00631CCB" w:rsidP="00631CCB">
      <w:pPr>
        <w:spacing w:before="120" w:after="120" w:line="240" w:lineRule="auto"/>
        <w:jc w:val="right"/>
        <w:rPr>
          <w:rFonts w:cs="Times New Roman"/>
        </w:rPr>
      </w:pPr>
      <w:r w:rsidRPr="00631CCB">
        <w:rPr>
          <w:rFonts w:cs="Times New Roman"/>
        </w:rPr>
        <w:t>Luiz Carlos de Santana Ribeiro</w:t>
      </w:r>
      <w:r>
        <w:rPr>
          <w:rStyle w:val="Refdenotaderodap"/>
          <w:rFonts w:cs="Times New Roman"/>
          <w:lang w:val="en-GB"/>
        </w:rPr>
        <w:footnoteReference w:id="1"/>
      </w:r>
    </w:p>
    <w:p w14:paraId="2034F664" w14:textId="680ADDAD" w:rsidR="00631CCB" w:rsidRPr="00631CCB" w:rsidRDefault="00631CCB" w:rsidP="00631CCB">
      <w:pPr>
        <w:spacing w:before="120" w:after="120" w:line="240" w:lineRule="auto"/>
        <w:jc w:val="right"/>
        <w:rPr>
          <w:rFonts w:cs="Times New Roman"/>
        </w:rPr>
      </w:pPr>
      <w:r w:rsidRPr="00631CCB">
        <w:rPr>
          <w:rFonts w:cs="Times New Roman"/>
        </w:rPr>
        <w:t>Renata de Melo Caldas</w:t>
      </w:r>
      <w:r>
        <w:rPr>
          <w:rStyle w:val="Refdenotaderodap"/>
          <w:rFonts w:cs="Times New Roman"/>
          <w:lang w:val="en-GB"/>
        </w:rPr>
        <w:footnoteReference w:id="2"/>
      </w:r>
    </w:p>
    <w:p w14:paraId="0A25A3C5" w14:textId="283CA19E" w:rsidR="00631CCB" w:rsidRPr="00631CCB" w:rsidRDefault="00631CCB" w:rsidP="00631CCB">
      <w:pPr>
        <w:spacing w:before="120" w:after="120" w:line="240" w:lineRule="auto"/>
        <w:jc w:val="right"/>
        <w:rPr>
          <w:rFonts w:cs="Times New Roman"/>
        </w:rPr>
      </w:pPr>
      <w:proofErr w:type="spellStart"/>
      <w:r w:rsidRPr="00631CCB">
        <w:rPr>
          <w:rFonts w:cs="Times New Roman"/>
        </w:rPr>
        <w:t>Kênia</w:t>
      </w:r>
      <w:proofErr w:type="spellEnd"/>
      <w:r w:rsidRPr="00631CCB">
        <w:rPr>
          <w:rFonts w:cs="Times New Roman"/>
        </w:rPr>
        <w:t xml:space="preserve"> Barreiro de Souza</w:t>
      </w:r>
      <w:r>
        <w:rPr>
          <w:rStyle w:val="Refdenotaderodap"/>
          <w:rFonts w:cs="Times New Roman"/>
        </w:rPr>
        <w:footnoteReference w:id="3"/>
      </w:r>
    </w:p>
    <w:p w14:paraId="1CCA7BA5" w14:textId="025938B4" w:rsidR="00631CCB" w:rsidRPr="00631CCB" w:rsidRDefault="00631CCB" w:rsidP="00631CCB">
      <w:pPr>
        <w:spacing w:before="120" w:after="120" w:line="240" w:lineRule="auto"/>
        <w:jc w:val="right"/>
        <w:rPr>
          <w:rFonts w:cs="Times New Roman"/>
        </w:rPr>
      </w:pPr>
      <w:r w:rsidRPr="00631CCB">
        <w:rPr>
          <w:rFonts w:cs="Times New Roman"/>
        </w:rPr>
        <w:t>Débora Freire Cardoso</w:t>
      </w:r>
      <w:r>
        <w:rPr>
          <w:rStyle w:val="Refdenotaderodap"/>
          <w:rFonts w:cs="Times New Roman"/>
        </w:rPr>
        <w:footnoteReference w:id="4"/>
      </w:r>
    </w:p>
    <w:p w14:paraId="62AA26AC" w14:textId="5E670114" w:rsidR="00631CCB" w:rsidRPr="00631CCB" w:rsidRDefault="00631CCB" w:rsidP="00631CCB">
      <w:pPr>
        <w:spacing w:before="120" w:after="120" w:line="240" w:lineRule="auto"/>
        <w:jc w:val="right"/>
        <w:rPr>
          <w:rFonts w:cs="Times New Roman"/>
        </w:rPr>
      </w:pPr>
      <w:r w:rsidRPr="00631CCB">
        <w:rPr>
          <w:rFonts w:cs="Times New Roman"/>
        </w:rPr>
        <w:t>Edson Paulo Domingues</w:t>
      </w:r>
      <w:r>
        <w:rPr>
          <w:rStyle w:val="Refdenotaderodap"/>
          <w:rFonts w:cs="Times New Roman"/>
        </w:rPr>
        <w:footnoteReference w:id="5"/>
      </w:r>
    </w:p>
    <w:p w14:paraId="2526F073" w14:textId="77777777" w:rsidR="00631CCB" w:rsidRPr="00631CCB" w:rsidRDefault="00631CCB" w:rsidP="00631CCB">
      <w:pPr>
        <w:spacing w:before="120" w:after="120" w:line="240" w:lineRule="auto"/>
        <w:rPr>
          <w:rFonts w:cs="Times New Roman"/>
        </w:rPr>
      </w:pPr>
      <w:r w:rsidRPr="00631CCB">
        <w:rPr>
          <w:rFonts w:cs="Times New Roman"/>
        </w:rPr>
        <w:t>RESUMO</w:t>
      </w:r>
      <w:bookmarkStart w:id="0" w:name="_GoBack"/>
      <w:bookmarkEnd w:id="0"/>
    </w:p>
    <w:p w14:paraId="61E32AB7" w14:textId="77777777" w:rsidR="00631CCB" w:rsidRPr="00631CCB" w:rsidRDefault="00631CCB" w:rsidP="00631CCB">
      <w:pPr>
        <w:spacing w:before="120" w:after="120" w:line="240" w:lineRule="auto"/>
        <w:jc w:val="both"/>
        <w:rPr>
          <w:rFonts w:cs="Times New Roman"/>
        </w:rPr>
      </w:pPr>
      <w:r w:rsidRPr="00631CCB">
        <w:rPr>
          <w:rFonts w:cs="Times New Roman"/>
        </w:rPr>
        <w:t xml:space="preserve">Este artigo tem como objetivo avaliar os impactos macroeconômicos, regionais e setoriais de um programa de crédito no Brasil: o Fundo Constitucional de Financiamento do Nordeste (FNE). Para isso, são realizadas simulações utilizando um modelo dinâmico e inter-regional de equilíbrio geral computável, calibrado para o ano de 2013, composto por 27 estados brasileiros e 20 setores econômicos. As simulações foram realizadas com base nos dados de investimento setoriais e regionais do FNE para os anos de 2014 e 2015, permitindo isolar o efeito do financiamento nas regiões. Os principais resultados indicam que os gastos do FNE entre 2014 e 2015 têm o potencial de aumentar o PIB do Nordeste em 3,51% até 2025, e os estados mais beneficiados são o Piauí, o Ceará e o Rio Grande do Norte. Além disso, as estimativas mostram uma diminuição da desigualdade regional entre os estados do Nordeste de 0,46%, medida pelo </w:t>
      </w:r>
      <w:proofErr w:type="spellStart"/>
      <w:r w:rsidRPr="00631CCB">
        <w:rPr>
          <w:rFonts w:cs="Times New Roman"/>
        </w:rPr>
        <w:t>Gini</w:t>
      </w:r>
      <w:proofErr w:type="spellEnd"/>
      <w:r w:rsidRPr="00631CCB">
        <w:rPr>
          <w:rFonts w:cs="Times New Roman"/>
        </w:rPr>
        <w:t xml:space="preserve"> regional. Em geral, os resultados são compatíveis com os objetivos do fundo, embora os efeitos totais, principalmente na desigualdade regional, sejam modestos.</w:t>
      </w:r>
    </w:p>
    <w:p w14:paraId="62EA9E7F" w14:textId="77777777" w:rsidR="00631CCB" w:rsidRPr="00631CCB" w:rsidRDefault="00631CCB" w:rsidP="00631CCB">
      <w:pPr>
        <w:spacing w:before="120" w:after="120" w:line="240" w:lineRule="auto"/>
        <w:rPr>
          <w:rFonts w:cs="Times New Roman"/>
        </w:rPr>
      </w:pPr>
      <w:r w:rsidRPr="00631CCB">
        <w:rPr>
          <w:rFonts w:cs="Times New Roman"/>
        </w:rPr>
        <w:t>Palavras-chave: Desenvolvimento regional; FNE; Equilíbrio geral computável; Região Nordeste.</w:t>
      </w:r>
    </w:p>
    <w:p w14:paraId="5DCF5D2E" w14:textId="77777777" w:rsidR="00631CCB" w:rsidRPr="00631CCB" w:rsidRDefault="00631CCB" w:rsidP="00631CCB">
      <w:pPr>
        <w:spacing w:before="120" w:after="120" w:line="240" w:lineRule="auto"/>
        <w:rPr>
          <w:rFonts w:cs="Times New Roman"/>
        </w:rPr>
      </w:pPr>
    </w:p>
    <w:p w14:paraId="77368EE4" w14:textId="77777777" w:rsidR="00631CCB" w:rsidRPr="00631CCB" w:rsidRDefault="00631CCB" w:rsidP="00631CCB">
      <w:pPr>
        <w:spacing w:before="120" w:after="120" w:line="240" w:lineRule="auto"/>
        <w:rPr>
          <w:rFonts w:cs="Times New Roman"/>
          <w:lang w:val="en-GB"/>
        </w:rPr>
      </w:pPr>
      <w:r w:rsidRPr="00631CCB">
        <w:rPr>
          <w:rFonts w:cs="Times New Roman"/>
          <w:lang w:val="en-GB"/>
        </w:rPr>
        <w:t>ABSTRACT</w:t>
      </w:r>
    </w:p>
    <w:p w14:paraId="0314B139" w14:textId="77777777" w:rsidR="00631CCB" w:rsidRPr="00631CCB" w:rsidRDefault="00631CCB" w:rsidP="00631CCB">
      <w:pPr>
        <w:spacing w:before="120" w:after="120" w:line="240" w:lineRule="auto"/>
        <w:jc w:val="both"/>
        <w:rPr>
          <w:rFonts w:cs="Times New Roman"/>
          <w:lang w:val="en-GB"/>
        </w:rPr>
      </w:pPr>
      <w:r w:rsidRPr="00631CCB">
        <w:rPr>
          <w:rFonts w:cs="Times New Roman"/>
          <w:lang w:val="en-GB"/>
        </w:rPr>
        <w:t xml:space="preserve">This paper aims to evaluate the macroeconomic, regional and </w:t>
      </w:r>
      <w:proofErr w:type="spellStart"/>
      <w:r w:rsidRPr="00631CCB">
        <w:rPr>
          <w:rFonts w:cs="Times New Roman"/>
          <w:lang w:val="en-GB"/>
        </w:rPr>
        <w:t>sectoral</w:t>
      </w:r>
      <w:proofErr w:type="spellEnd"/>
      <w:r w:rsidRPr="00631CCB">
        <w:rPr>
          <w:rFonts w:cs="Times New Roman"/>
          <w:lang w:val="en-GB"/>
        </w:rPr>
        <w:t xml:space="preserve"> impacts of a credit program in Brazil: Northeast Constitutional Financing Fund (FNE). For this, simulations are performed using a dynamic and inter-regional computable general equilibrium model, calibrated for the year 2013, and composed by 27 Brazilian states and 20 economic sectors. The simulations were carried out based on FNE sectorial and regional investment data for the years 2014 and 2015, allowing </w:t>
      </w:r>
      <w:proofErr w:type="gramStart"/>
      <w:r w:rsidRPr="00631CCB">
        <w:rPr>
          <w:rFonts w:cs="Times New Roman"/>
          <w:lang w:val="en-GB"/>
        </w:rPr>
        <w:t>to isolate</w:t>
      </w:r>
      <w:proofErr w:type="gramEnd"/>
      <w:r w:rsidRPr="00631CCB">
        <w:rPr>
          <w:rFonts w:cs="Times New Roman"/>
          <w:lang w:val="en-GB"/>
        </w:rPr>
        <w:t xml:space="preserve"> the effect of the funding on macro regions. The main results indicate that FNE expenditures between 2014 and 2015 have the potential to increase Northeast GDP by 3.51% until 2025, and the most benefited states are </w:t>
      </w:r>
      <w:proofErr w:type="spellStart"/>
      <w:r w:rsidRPr="00631CCB">
        <w:rPr>
          <w:rFonts w:cs="Times New Roman"/>
          <w:lang w:val="en-GB"/>
        </w:rPr>
        <w:t>Piauí</w:t>
      </w:r>
      <w:proofErr w:type="spellEnd"/>
      <w:r w:rsidRPr="00631CCB">
        <w:rPr>
          <w:rFonts w:cs="Times New Roman"/>
          <w:lang w:val="en-GB"/>
        </w:rPr>
        <w:t xml:space="preserve">, </w:t>
      </w:r>
      <w:proofErr w:type="spellStart"/>
      <w:r w:rsidRPr="00631CCB">
        <w:rPr>
          <w:rFonts w:cs="Times New Roman"/>
          <w:lang w:val="en-GB"/>
        </w:rPr>
        <w:t>Ceará</w:t>
      </w:r>
      <w:proofErr w:type="spellEnd"/>
      <w:r w:rsidRPr="00631CCB">
        <w:rPr>
          <w:rFonts w:cs="Times New Roman"/>
          <w:lang w:val="en-GB"/>
        </w:rPr>
        <w:t xml:space="preserve">, and Rio Grande do </w:t>
      </w:r>
      <w:proofErr w:type="spellStart"/>
      <w:r w:rsidRPr="00631CCB">
        <w:rPr>
          <w:rFonts w:cs="Times New Roman"/>
          <w:lang w:val="en-GB"/>
        </w:rPr>
        <w:t>Norte</w:t>
      </w:r>
      <w:proofErr w:type="spellEnd"/>
      <w:r w:rsidRPr="00631CCB">
        <w:rPr>
          <w:rFonts w:cs="Times New Roman"/>
          <w:lang w:val="en-GB"/>
        </w:rPr>
        <w:t xml:space="preserve">. Additionally, our estimations show a decrease in regional inequality among </w:t>
      </w:r>
      <w:proofErr w:type="spellStart"/>
      <w:r w:rsidRPr="00631CCB">
        <w:rPr>
          <w:rFonts w:cs="Times New Roman"/>
          <w:lang w:val="en-GB"/>
        </w:rPr>
        <w:t>Northeastern</w:t>
      </w:r>
      <w:proofErr w:type="spellEnd"/>
      <w:r w:rsidRPr="00631CCB">
        <w:rPr>
          <w:rFonts w:cs="Times New Roman"/>
          <w:lang w:val="en-GB"/>
        </w:rPr>
        <w:t xml:space="preserve"> states of 0.46% measured by regional </w:t>
      </w:r>
      <w:proofErr w:type="spellStart"/>
      <w:r w:rsidRPr="00631CCB">
        <w:rPr>
          <w:rFonts w:cs="Times New Roman"/>
          <w:lang w:val="en-GB"/>
        </w:rPr>
        <w:t>Gini</w:t>
      </w:r>
      <w:proofErr w:type="spellEnd"/>
      <w:r w:rsidRPr="00631CCB">
        <w:rPr>
          <w:rFonts w:cs="Times New Roman"/>
          <w:lang w:val="en-GB"/>
        </w:rPr>
        <w:t>. In general, the results are compatible with the objectives of the fund, although the total effects, mainly on regional inequality, are quite modest.</w:t>
      </w:r>
    </w:p>
    <w:p w14:paraId="4D9B838E" w14:textId="4BDF9CDE" w:rsidR="00631CCB" w:rsidRDefault="00631CCB" w:rsidP="00631CCB">
      <w:pPr>
        <w:spacing w:before="120" w:after="120" w:line="240" w:lineRule="auto"/>
        <w:rPr>
          <w:rFonts w:cs="Times New Roman"/>
          <w:lang w:val="en-GB"/>
        </w:rPr>
      </w:pPr>
      <w:r w:rsidRPr="00631CCB">
        <w:rPr>
          <w:rFonts w:cs="Times New Roman"/>
          <w:lang w:val="en-GB"/>
        </w:rPr>
        <w:t>Keywords: Regional development; FNE; Computable general equilibrium; Northeast region.</w:t>
      </w:r>
    </w:p>
    <w:p w14:paraId="5116BED3" w14:textId="2E2DDB0E" w:rsidR="00631CCB" w:rsidRDefault="00631CCB" w:rsidP="00631CCB">
      <w:pPr>
        <w:spacing w:before="120" w:after="120" w:line="240" w:lineRule="auto"/>
        <w:rPr>
          <w:rFonts w:cs="Times New Roman"/>
        </w:rPr>
      </w:pPr>
      <w:proofErr w:type="spellStart"/>
      <w:r>
        <w:rPr>
          <w:rFonts w:cs="Times New Roman"/>
        </w:rPr>
        <w:t>Jel-codes</w:t>
      </w:r>
      <w:proofErr w:type="spellEnd"/>
      <w:r>
        <w:rPr>
          <w:rFonts w:cs="Times New Roman"/>
        </w:rPr>
        <w:t>: C68; D58; R15; R58.</w:t>
      </w:r>
    </w:p>
    <w:p w14:paraId="660FD35F" w14:textId="77777777" w:rsidR="00631CCB" w:rsidRDefault="00631CCB">
      <w:pPr>
        <w:rPr>
          <w:rFonts w:cs="Times New Roman"/>
        </w:rPr>
      </w:pPr>
      <w:r w:rsidRPr="00631CCB">
        <w:rPr>
          <w:rFonts w:cs="Times New Roman"/>
        </w:rPr>
        <w:t xml:space="preserve">Área </w:t>
      </w:r>
      <w:r>
        <w:rPr>
          <w:rFonts w:cs="Times New Roman"/>
        </w:rPr>
        <w:t>10 - Economia Regional e Urbana.</w:t>
      </w:r>
    </w:p>
    <w:p w14:paraId="6212B08E" w14:textId="082CC42C" w:rsidR="00631CCB" w:rsidRPr="00631CCB" w:rsidRDefault="00631CCB">
      <w:pPr>
        <w:rPr>
          <w:rFonts w:cs="Times New Roman"/>
          <w:b/>
        </w:rPr>
      </w:pPr>
      <w:r w:rsidRPr="00631CCB">
        <w:rPr>
          <w:rFonts w:cs="Times New Roman"/>
          <w:b/>
        </w:rPr>
        <w:br w:type="page"/>
      </w:r>
    </w:p>
    <w:p w14:paraId="3179B5F3" w14:textId="285ADBEA" w:rsidR="00E8300D" w:rsidRDefault="00184876" w:rsidP="00184876">
      <w:pPr>
        <w:spacing w:before="120" w:after="120" w:line="240" w:lineRule="auto"/>
        <w:jc w:val="center"/>
        <w:rPr>
          <w:rFonts w:cs="Times New Roman"/>
          <w:b/>
          <w:lang w:val="en-GB"/>
        </w:rPr>
      </w:pPr>
      <w:r w:rsidRPr="00934D9A">
        <w:rPr>
          <w:rFonts w:cs="Times New Roman"/>
          <w:b/>
          <w:lang w:val="en-GB"/>
        </w:rPr>
        <w:lastRenderedPageBreak/>
        <w:t>REGIONAL FUNDING AND REGIONAL INEQUALITIES IN THE BRAZILIAN NORTHEAST</w:t>
      </w:r>
    </w:p>
    <w:p w14:paraId="53FDBA12" w14:textId="77777777" w:rsidR="00E8300D" w:rsidRDefault="00E8300D" w:rsidP="00184876">
      <w:pPr>
        <w:spacing w:before="120" w:after="120" w:line="240" w:lineRule="auto"/>
        <w:rPr>
          <w:rFonts w:cs="Times New Roman"/>
          <w:lang w:val="en-GB"/>
        </w:rPr>
      </w:pPr>
    </w:p>
    <w:p w14:paraId="47D81A55" w14:textId="77777777" w:rsidR="00E8300D" w:rsidRDefault="00053039" w:rsidP="00184876">
      <w:pPr>
        <w:pStyle w:val="Ttulo1"/>
        <w:spacing w:before="120" w:after="120"/>
        <w:rPr>
          <w:lang w:val="en-GB"/>
        </w:rPr>
      </w:pPr>
      <w:r w:rsidRPr="00934D9A">
        <w:rPr>
          <w:lang w:val="en-GB"/>
        </w:rPr>
        <w:t>Introduction</w:t>
      </w:r>
    </w:p>
    <w:p w14:paraId="487707E5" w14:textId="09249701" w:rsidR="00E8300D" w:rsidRDefault="00A75E9D" w:rsidP="00184876">
      <w:pPr>
        <w:spacing w:before="120" w:after="120" w:line="240" w:lineRule="auto"/>
        <w:jc w:val="both"/>
        <w:rPr>
          <w:rFonts w:cs="Times New Roman"/>
          <w:lang w:val="en-GB"/>
        </w:rPr>
      </w:pPr>
      <w:r w:rsidRPr="00934D9A">
        <w:rPr>
          <w:rFonts w:cs="Times New Roman"/>
          <w:lang w:val="en-GB"/>
        </w:rPr>
        <w:t>S</w:t>
      </w:r>
      <w:r w:rsidR="006465F6" w:rsidRPr="00934D9A">
        <w:rPr>
          <w:rFonts w:cs="Times New Roman"/>
          <w:lang w:val="en-GB"/>
        </w:rPr>
        <w:t>ocioeconomic inequalities are a</w:t>
      </w:r>
      <w:r w:rsidR="00697AA0" w:rsidRPr="00934D9A">
        <w:rPr>
          <w:rFonts w:cs="Times New Roman"/>
          <w:lang w:val="en-GB"/>
        </w:rPr>
        <w:t xml:space="preserve"> very deep issue</w:t>
      </w:r>
      <w:r w:rsidRPr="00934D9A">
        <w:rPr>
          <w:rFonts w:cs="Times New Roman"/>
          <w:lang w:val="en-GB"/>
        </w:rPr>
        <w:t xml:space="preserve"> in Brazil</w:t>
      </w:r>
      <w:r w:rsidR="00004322" w:rsidRPr="00934D9A">
        <w:rPr>
          <w:rFonts w:cs="Times New Roman"/>
          <w:lang w:val="en-GB"/>
        </w:rPr>
        <w:t xml:space="preserve">. </w:t>
      </w:r>
      <w:r w:rsidR="009810A4" w:rsidRPr="00934D9A">
        <w:rPr>
          <w:rFonts w:cs="Times New Roman"/>
          <w:lang w:val="en-GB"/>
        </w:rPr>
        <w:t>T</w:t>
      </w:r>
      <w:r w:rsidR="00004322" w:rsidRPr="00934D9A">
        <w:rPr>
          <w:rFonts w:cs="Times New Roman"/>
          <w:lang w:val="en-GB"/>
        </w:rPr>
        <w:t>he</w:t>
      </w:r>
      <w:r w:rsidR="005A662C" w:rsidRPr="00934D9A">
        <w:rPr>
          <w:rFonts w:cs="Times New Roman"/>
          <w:lang w:val="en-GB"/>
        </w:rPr>
        <w:t xml:space="preserve"> levels of regional inequalities</w:t>
      </w:r>
      <w:r w:rsidR="00004322" w:rsidRPr="00934D9A">
        <w:rPr>
          <w:rFonts w:cs="Times New Roman"/>
          <w:lang w:val="en-GB"/>
        </w:rPr>
        <w:t xml:space="preserve"> are among the greatest in the world (</w:t>
      </w:r>
      <w:r w:rsidR="00882887" w:rsidRPr="00934D9A">
        <w:rPr>
          <w:rFonts w:cs="Times New Roman"/>
          <w:lang w:val="en-GB"/>
        </w:rPr>
        <w:t>Baer</w:t>
      </w:r>
      <w:r w:rsidR="004B70D0" w:rsidRPr="00934D9A">
        <w:rPr>
          <w:rFonts w:cs="Times New Roman"/>
          <w:lang w:val="en-GB"/>
        </w:rPr>
        <w:t xml:space="preserve">, 2007; </w:t>
      </w:r>
      <w:r w:rsidR="00882887" w:rsidRPr="00934D9A">
        <w:rPr>
          <w:rFonts w:cs="Times New Roman"/>
          <w:lang w:val="en-GB"/>
        </w:rPr>
        <w:t xml:space="preserve">Shankar </w:t>
      </w:r>
      <w:r w:rsidR="00882887">
        <w:rPr>
          <w:rFonts w:cs="Times New Roman"/>
          <w:lang w:val="en-GB"/>
        </w:rPr>
        <w:t>&amp;</w:t>
      </w:r>
      <w:r w:rsidR="00882887" w:rsidRPr="00934D9A">
        <w:rPr>
          <w:rFonts w:cs="Times New Roman"/>
          <w:lang w:val="en-GB"/>
        </w:rPr>
        <w:t xml:space="preserve"> Shah</w:t>
      </w:r>
      <w:r w:rsidR="00354525">
        <w:rPr>
          <w:rFonts w:cs="Times New Roman"/>
          <w:lang w:val="en-GB"/>
        </w:rPr>
        <w:t>, 2003</w:t>
      </w:r>
      <w:r w:rsidR="00C57ACB" w:rsidRPr="00934D9A">
        <w:rPr>
          <w:rFonts w:cs="Times New Roman"/>
          <w:lang w:val="en-GB"/>
        </w:rPr>
        <w:t>),</w:t>
      </w:r>
      <w:r w:rsidR="00004322" w:rsidRPr="00934D9A">
        <w:rPr>
          <w:rFonts w:cs="Times New Roman"/>
          <w:lang w:val="en-GB"/>
        </w:rPr>
        <w:t xml:space="preserve"> </w:t>
      </w:r>
      <w:r w:rsidR="00004322" w:rsidRPr="00934D9A">
        <w:rPr>
          <w:rFonts w:cs="Times New Roman"/>
          <w:szCs w:val="24"/>
          <w:shd w:val="clear" w:color="auto" w:fill="FFFFFF"/>
          <w:lang w:val="en-GB"/>
        </w:rPr>
        <w:t>although it has decreased in recent decades (</w:t>
      </w:r>
      <w:proofErr w:type="spellStart"/>
      <w:r w:rsidR="00882887" w:rsidRPr="00934D9A">
        <w:rPr>
          <w:rFonts w:cs="Times New Roman"/>
          <w:szCs w:val="24"/>
          <w:shd w:val="clear" w:color="auto" w:fill="FFFFFF"/>
          <w:lang w:val="en-GB"/>
        </w:rPr>
        <w:t>Azzoni</w:t>
      </w:r>
      <w:proofErr w:type="spellEnd"/>
      <w:r w:rsidR="004D09DB" w:rsidRPr="00934D9A">
        <w:rPr>
          <w:rFonts w:cs="Times New Roman"/>
          <w:szCs w:val="24"/>
          <w:shd w:val="clear" w:color="auto" w:fill="FFFFFF"/>
          <w:lang w:val="en-GB"/>
        </w:rPr>
        <w:t xml:space="preserve">, 2001; </w:t>
      </w:r>
      <w:proofErr w:type="spellStart"/>
      <w:r w:rsidR="00882887" w:rsidRPr="00934D9A">
        <w:rPr>
          <w:rFonts w:cs="Times New Roman"/>
          <w:szCs w:val="24"/>
          <w:shd w:val="clear" w:color="auto" w:fill="FFFFFF"/>
          <w:lang w:val="en-GB"/>
        </w:rPr>
        <w:t>Diniz</w:t>
      </w:r>
      <w:proofErr w:type="spellEnd"/>
      <w:r w:rsidR="004D09DB" w:rsidRPr="00934D9A">
        <w:rPr>
          <w:rFonts w:cs="Times New Roman"/>
          <w:szCs w:val="24"/>
          <w:shd w:val="clear" w:color="auto" w:fill="FFFFFF"/>
          <w:lang w:val="en-GB"/>
        </w:rPr>
        <w:t>, 1993</w:t>
      </w:r>
      <w:r w:rsidR="00882887">
        <w:rPr>
          <w:rFonts w:cs="Times New Roman"/>
          <w:szCs w:val="24"/>
          <w:shd w:val="clear" w:color="auto" w:fill="FFFFFF"/>
          <w:lang w:val="en-GB"/>
        </w:rPr>
        <w:t>,</w:t>
      </w:r>
      <w:r w:rsidR="00882887" w:rsidRPr="00934D9A">
        <w:rPr>
          <w:rFonts w:cs="Times New Roman"/>
          <w:szCs w:val="24"/>
          <w:shd w:val="clear" w:color="auto" w:fill="FFFFFF"/>
          <w:lang w:val="en-GB"/>
        </w:rPr>
        <w:t xml:space="preserve"> </w:t>
      </w:r>
      <w:r w:rsidR="004D09DB" w:rsidRPr="00934D9A">
        <w:rPr>
          <w:rFonts w:cs="Times New Roman"/>
          <w:szCs w:val="24"/>
          <w:shd w:val="clear" w:color="auto" w:fill="FFFFFF"/>
          <w:lang w:val="en-GB"/>
        </w:rPr>
        <w:t xml:space="preserve">2006; </w:t>
      </w:r>
      <w:proofErr w:type="spellStart"/>
      <w:r w:rsidR="00882887" w:rsidRPr="00934D9A">
        <w:rPr>
          <w:rFonts w:cs="Times New Roman"/>
          <w:szCs w:val="24"/>
          <w:shd w:val="clear" w:color="auto" w:fill="FFFFFF"/>
          <w:lang w:val="en-GB"/>
        </w:rPr>
        <w:t>Ribeiro</w:t>
      </w:r>
      <w:proofErr w:type="spellEnd"/>
      <w:r w:rsidR="00882887" w:rsidRPr="00934D9A">
        <w:rPr>
          <w:rFonts w:cs="Times New Roman"/>
          <w:szCs w:val="24"/>
          <w:shd w:val="clear" w:color="auto" w:fill="FFFFFF"/>
          <w:lang w:val="en-GB"/>
        </w:rPr>
        <w:t xml:space="preserve"> et al., 2018</w:t>
      </w:r>
      <w:r w:rsidR="00882887">
        <w:rPr>
          <w:rFonts w:cs="Times New Roman"/>
          <w:szCs w:val="24"/>
          <w:shd w:val="clear" w:color="auto" w:fill="FFFFFF"/>
          <w:lang w:val="en-GB"/>
        </w:rPr>
        <w:t xml:space="preserve">; </w:t>
      </w:r>
      <w:proofErr w:type="spellStart"/>
      <w:r w:rsidR="00882887" w:rsidRPr="00934D9A">
        <w:rPr>
          <w:rFonts w:cs="Times New Roman"/>
          <w:szCs w:val="24"/>
          <w:shd w:val="clear" w:color="auto" w:fill="FFFFFF"/>
          <w:lang w:val="en-GB"/>
        </w:rPr>
        <w:t>Silveira</w:t>
      </w:r>
      <w:proofErr w:type="spellEnd"/>
      <w:r w:rsidR="00882887" w:rsidRPr="00934D9A">
        <w:rPr>
          <w:rFonts w:cs="Times New Roman"/>
          <w:szCs w:val="24"/>
          <w:shd w:val="clear" w:color="auto" w:fill="FFFFFF"/>
          <w:lang w:val="en-GB"/>
        </w:rPr>
        <w:t xml:space="preserve"> </w:t>
      </w:r>
      <w:proofErr w:type="spellStart"/>
      <w:r w:rsidR="00882887" w:rsidRPr="00934D9A">
        <w:rPr>
          <w:rFonts w:cs="Times New Roman"/>
          <w:szCs w:val="24"/>
          <w:shd w:val="clear" w:color="auto" w:fill="FFFFFF"/>
          <w:lang w:val="en-GB"/>
        </w:rPr>
        <w:t>Neto</w:t>
      </w:r>
      <w:proofErr w:type="spellEnd"/>
      <w:r w:rsidR="00882887" w:rsidRPr="00934D9A">
        <w:rPr>
          <w:rFonts w:cs="Times New Roman"/>
          <w:szCs w:val="24"/>
          <w:shd w:val="clear" w:color="auto" w:fill="FFFFFF"/>
          <w:lang w:val="en-GB"/>
        </w:rPr>
        <w:t xml:space="preserve"> </w:t>
      </w:r>
      <w:r w:rsidR="00882887">
        <w:rPr>
          <w:rFonts w:cs="Times New Roman"/>
          <w:szCs w:val="24"/>
          <w:shd w:val="clear" w:color="auto" w:fill="FFFFFF"/>
          <w:lang w:val="en-GB"/>
        </w:rPr>
        <w:t>&amp;</w:t>
      </w:r>
      <w:r w:rsidR="00882887" w:rsidRPr="00934D9A">
        <w:rPr>
          <w:rFonts w:cs="Times New Roman"/>
          <w:szCs w:val="24"/>
          <w:shd w:val="clear" w:color="auto" w:fill="FFFFFF"/>
          <w:lang w:val="en-GB"/>
        </w:rPr>
        <w:t xml:space="preserve"> </w:t>
      </w:r>
      <w:proofErr w:type="spellStart"/>
      <w:r w:rsidR="00882887" w:rsidRPr="00934D9A">
        <w:rPr>
          <w:rFonts w:cs="Times New Roman"/>
          <w:szCs w:val="24"/>
          <w:shd w:val="clear" w:color="auto" w:fill="FFFFFF"/>
          <w:lang w:val="en-GB"/>
        </w:rPr>
        <w:t>Azzoni</w:t>
      </w:r>
      <w:proofErr w:type="spellEnd"/>
      <w:r w:rsidR="004D09DB" w:rsidRPr="00934D9A">
        <w:rPr>
          <w:rFonts w:cs="Times New Roman"/>
          <w:szCs w:val="24"/>
          <w:shd w:val="clear" w:color="auto" w:fill="FFFFFF"/>
          <w:lang w:val="en-GB"/>
        </w:rPr>
        <w:t>, 2011</w:t>
      </w:r>
      <w:r w:rsidR="00882887">
        <w:rPr>
          <w:rFonts w:cs="Times New Roman"/>
          <w:szCs w:val="24"/>
          <w:shd w:val="clear" w:color="auto" w:fill="FFFFFF"/>
          <w:lang w:val="en-GB"/>
        </w:rPr>
        <w:t>,</w:t>
      </w:r>
      <w:r w:rsidR="004D09DB" w:rsidRPr="00934D9A">
        <w:rPr>
          <w:rFonts w:cs="Times New Roman"/>
          <w:szCs w:val="24"/>
          <w:shd w:val="clear" w:color="auto" w:fill="FFFFFF"/>
          <w:lang w:val="en-GB"/>
        </w:rPr>
        <w:t xml:space="preserve"> 2012)</w:t>
      </w:r>
      <w:r w:rsidR="00DB7412" w:rsidRPr="00934D9A">
        <w:rPr>
          <w:rFonts w:cs="Times New Roman"/>
          <w:szCs w:val="24"/>
          <w:shd w:val="clear" w:color="auto" w:fill="FFFFFF"/>
          <w:lang w:val="en-GB"/>
        </w:rPr>
        <w:t xml:space="preserve">. </w:t>
      </w:r>
      <w:r w:rsidR="004B70D0" w:rsidRPr="00934D9A">
        <w:rPr>
          <w:rFonts w:cs="Times New Roman"/>
          <w:szCs w:val="24"/>
          <w:shd w:val="clear" w:color="auto" w:fill="FFFFFF"/>
          <w:lang w:val="en-GB"/>
        </w:rPr>
        <w:t xml:space="preserve">The industrialization process that occurred between </w:t>
      </w:r>
      <w:r w:rsidR="00C57ACB" w:rsidRPr="00934D9A">
        <w:rPr>
          <w:rFonts w:cs="Times New Roman"/>
          <w:szCs w:val="24"/>
          <w:shd w:val="clear" w:color="auto" w:fill="FFFFFF"/>
          <w:lang w:val="en-GB"/>
        </w:rPr>
        <w:t xml:space="preserve">the </w:t>
      </w:r>
      <w:r w:rsidR="004B70D0" w:rsidRPr="00934D9A">
        <w:rPr>
          <w:rFonts w:cs="Times New Roman"/>
          <w:szCs w:val="24"/>
          <w:shd w:val="clear" w:color="auto" w:fill="FFFFFF"/>
          <w:lang w:val="en-GB"/>
        </w:rPr>
        <w:t>1950</w:t>
      </w:r>
      <w:r w:rsidR="00C57ACB" w:rsidRPr="00934D9A">
        <w:rPr>
          <w:rFonts w:cs="Times New Roman"/>
          <w:szCs w:val="24"/>
          <w:shd w:val="clear" w:color="auto" w:fill="FFFFFF"/>
          <w:lang w:val="en-GB"/>
        </w:rPr>
        <w:t>s</w:t>
      </w:r>
      <w:r w:rsidR="004B70D0" w:rsidRPr="00934D9A">
        <w:rPr>
          <w:rFonts w:cs="Times New Roman"/>
          <w:szCs w:val="24"/>
          <w:shd w:val="clear" w:color="auto" w:fill="FFFFFF"/>
          <w:lang w:val="en-GB"/>
        </w:rPr>
        <w:t xml:space="preserve"> and 1970</w:t>
      </w:r>
      <w:r w:rsidR="00C57ACB" w:rsidRPr="00934D9A">
        <w:rPr>
          <w:rFonts w:cs="Times New Roman"/>
          <w:szCs w:val="24"/>
          <w:shd w:val="clear" w:color="auto" w:fill="FFFFFF"/>
          <w:lang w:val="en-GB"/>
        </w:rPr>
        <w:t>s</w:t>
      </w:r>
      <w:r w:rsidR="004B70D0" w:rsidRPr="00934D9A">
        <w:rPr>
          <w:rFonts w:cs="Times New Roman"/>
          <w:szCs w:val="24"/>
          <w:shd w:val="clear" w:color="auto" w:fill="FFFFFF"/>
          <w:lang w:val="en-GB"/>
        </w:rPr>
        <w:t xml:space="preserve"> is associated with the increase of regional inequalities in Brazil, </w:t>
      </w:r>
      <w:r w:rsidR="00DB7412" w:rsidRPr="00934D9A">
        <w:rPr>
          <w:rFonts w:cs="Times New Roman"/>
          <w:szCs w:val="24"/>
          <w:shd w:val="clear" w:color="auto" w:fill="FFFFFF"/>
          <w:lang w:val="en-GB"/>
        </w:rPr>
        <w:t xml:space="preserve">since it concentrated the industrial </w:t>
      </w:r>
      <w:r w:rsidR="007B4759" w:rsidRPr="00934D9A">
        <w:rPr>
          <w:rFonts w:cs="Times New Roman"/>
          <w:szCs w:val="24"/>
          <w:shd w:val="clear" w:color="auto" w:fill="FFFFFF"/>
          <w:lang w:val="en-GB"/>
        </w:rPr>
        <w:t xml:space="preserve">and urbanization </w:t>
      </w:r>
      <w:r w:rsidR="00DB7412" w:rsidRPr="00934D9A">
        <w:rPr>
          <w:rFonts w:cs="Times New Roman"/>
          <w:szCs w:val="24"/>
          <w:shd w:val="clear" w:color="auto" w:fill="FFFFFF"/>
          <w:lang w:val="en-GB"/>
        </w:rPr>
        <w:t>advances in the Southeast region</w:t>
      </w:r>
      <w:r w:rsidR="00934D9A" w:rsidRPr="00934D9A">
        <w:rPr>
          <w:rFonts w:cs="Times New Roman"/>
          <w:szCs w:val="24"/>
          <w:shd w:val="clear" w:color="auto" w:fill="FFFFFF"/>
          <w:lang w:val="en-GB"/>
        </w:rPr>
        <w:t>,</w:t>
      </w:r>
      <w:r w:rsidR="00DB7412" w:rsidRPr="00934D9A">
        <w:rPr>
          <w:rFonts w:cs="Times New Roman"/>
          <w:szCs w:val="24"/>
          <w:shd w:val="clear" w:color="auto" w:fill="FFFFFF"/>
          <w:lang w:val="en-GB"/>
        </w:rPr>
        <w:t xml:space="preserve"> </w:t>
      </w:r>
      <w:r w:rsidR="004B70D0" w:rsidRPr="00934D9A">
        <w:rPr>
          <w:rFonts w:cs="Times New Roman"/>
          <w:szCs w:val="24"/>
          <w:shd w:val="clear" w:color="auto" w:fill="FFFFFF"/>
          <w:lang w:val="en-GB"/>
        </w:rPr>
        <w:t xml:space="preserve">as discussed by Baer </w:t>
      </w:r>
      <w:r w:rsidR="00C57ACB" w:rsidRPr="00934D9A">
        <w:rPr>
          <w:rFonts w:cs="Times New Roman"/>
          <w:szCs w:val="24"/>
          <w:shd w:val="clear" w:color="auto" w:fill="FFFFFF"/>
          <w:lang w:val="en-GB"/>
        </w:rPr>
        <w:t>and</w:t>
      </w:r>
      <w:r w:rsidR="004B70D0" w:rsidRPr="00934D9A">
        <w:rPr>
          <w:rFonts w:cs="Times New Roman"/>
          <w:szCs w:val="24"/>
          <w:shd w:val="clear" w:color="auto" w:fill="FFFFFF"/>
          <w:lang w:val="en-GB"/>
        </w:rPr>
        <w:t xml:space="preserve"> </w:t>
      </w:r>
      <w:r w:rsidR="002D1ABF" w:rsidRPr="00184876">
        <w:rPr>
          <w:rFonts w:cs="Times New Roman"/>
          <w:lang w:val="en-US"/>
        </w:rPr>
        <w:t>Geiger</w:t>
      </w:r>
      <w:r w:rsidR="002D1ABF" w:rsidRPr="00934D9A">
        <w:rPr>
          <w:rFonts w:cs="Times New Roman"/>
          <w:szCs w:val="24"/>
          <w:shd w:val="clear" w:color="auto" w:fill="FFFFFF"/>
          <w:lang w:val="en-GB"/>
        </w:rPr>
        <w:t xml:space="preserve"> </w:t>
      </w:r>
      <w:r w:rsidR="004B70D0" w:rsidRPr="00934D9A">
        <w:rPr>
          <w:rFonts w:cs="Times New Roman"/>
          <w:szCs w:val="24"/>
          <w:shd w:val="clear" w:color="auto" w:fill="FFFFFF"/>
          <w:lang w:val="en-GB"/>
        </w:rPr>
        <w:t>(1978), Haddad (1999)</w:t>
      </w:r>
      <w:r w:rsidR="002228F2">
        <w:rPr>
          <w:rFonts w:cs="Times New Roman"/>
          <w:szCs w:val="24"/>
          <w:shd w:val="clear" w:color="auto" w:fill="FFFFFF"/>
          <w:lang w:val="en-GB"/>
        </w:rPr>
        <w:t>,</w:t>
      </w:r>
      <w:r w:rsidR="004B70D0" w:rsidRPr="00934D9A">
        <w:rPr>
          <w:rFonts w:cs="Times New Roman"/>
          <w:szCs w:val="24"/>
          <w:shd w:val="clear" w:color="auto" w:fill="FFFFFF"/>
          <w:lang w:val="en-GB"/>
        </w:rPr>
        <w:t xml:space="preserve"> and </w:t>
      </w:r>
      <w:proofErr w:type="spellStart"/>
      <w:r w:rsidR="004B70D0" w:rsidRPr="00934D9A">
        <w:rPr>
          <w:rFonts w:cs="Times New Roman"/>
          <w:szCs w:val="24"/>
          <w:shd w:val="clear" w:color="auto" w:fill="FFFFFF"/>
          <w:lang w:val="en-GB"/>
        </w:rPr>
        <w:t>Diniz</w:t>
      </w:r>
      <w:proofErr w:type="spellEnd"/>
      <w:r w:rsidR="004B70D0" w:rsidRPr="00934D9A">
        <w:rPr>
          <w:rFonts w:cs="Times New Roman"/>
          <w:szCs w:val="24"/>
          <w:shd w:val="clear" w:color="auto" w:fill="FFFFFF"/>
          <w:lang w:val="en-GB"/>
        </w:rPr>
        <w:t xml:space="preserve"> (2006). </w:t>
      </w:r>
      <w:r w:rsidR="00DB7412" w:rsidRPr="00934D9A">
        <w:rPr>
          <w:rFonts w:cs="Times New Roman"/>
          <w:szCs w:val="24"/>
          <w:shd w:val="clear" w:color="auto" w:fill="FFFFFF"/>
          <w:lang w:val="en-GB"/>
        </w:rPr>
        <w:t xml:space="preserve">In this process, other regions, mainly the Northeast, </w:t>
      </w:r>
      <w:r w:rsidR="00DB7412" w:rsidRPr="00934D9A">
        <w:rPr>
          <w:rFonts w:cs="Times New Roman"/>
          <w:lang w:val="en-GB"/>
        </w:rPr>
        <w:t>were locked-in a subsistence agriculture</w:t>
      </w:r>
      <w:r w:rsidR="00934D9A" w:rsidRPr="00934D9A">
        <w:rPr>
          <w:rFonts w:cs="Times New Roman"/>
          <w:lang w:val="en-GB"/>
        </w:rPr>
        <w:t>,</w:t>
      </w:r>
      <w:r w:rsidR="00DB7412" w:rsidRPr="00934D9A">
        <w:rPr>
          <w:rFonts w:cs="Times New Roman"/>
          <w:lang w:val="en-GB"/>
        </w:rPr>
        <w:t xml:space="preserve"> production</w:t>
      </w:r>
      <w:r w:rsidR="00934D9A" w:rsidRPr="00934D9A">
        <w:rPr>
          <w:rFonts w:cs="Times New Roman"/>
          <w:lang w:val="en-GB"/>
        </w:rPr>
        <w:t>-</w:t>
      </w:r>
      <w:r w:rsidR="00DB7412" w:rsidRPr="00934D9A">
        <w:rPr>
          <w:rFonts w:cs="Times New Roman"/>
          <w:lang w:val="en-GB"/>
        </w:rPr>
        <w:t>based</w:t>
      </w:r>
      <w:r w:rsidR="00AE3ABC" w:rsidRPr="00934D9A">
        <w:rPr>
          <w:rFonts w:cs="Times New Roman"/>
          <w:szCs w:val="24"/>
          <w:shd w:val="clear" w:color="auto" w:fill="FFFFFF"/>
          <w:lang w:val="en-GB"/>
        </w:rPr>
        <w:t xml:space="preserve"> situation </w:t>
      </w:r>
      <w:r w:rsidR="00934D9A" w:rsidRPr="00934D9A">
        <w:rPr>
          <w:rFonts w:cs="Times New Roman"/>
          <w:szCs w:val="24"/>
          <w:shd w:val="clear" w:color="auto" w:fill="FFFFFF"/>
          <w:lang w:val="en-GB"/>
        </w:rPr>
        <w:t xml:space="preserve">that was </w:t>
      </w:r>
      <w:r w:rsidR="00AE3ABC" w:rsidRPr="00934D9A">
        <w:rPr>
          <w:rFonts w:cs="Times New Roman"/>
          <w:szCs w:val="24"/>
          <w:shd w:val="clear" w:color="auto" w:fill="FFFFFF"/>
          <w:lang w:val="en-GB"/>
        </w:rPr>
        <w:t>aggravated by the climatic conditions of the place, since much of the land constitutes the Brazilian semi-arid</w:t>
      </w:r>
      <w:r w:rsidR="00934D9A" w:rsidRPr="00934D9A">
        <w:rPr>
          <w:rFonts w:cs="Times New Roman"/>
          <w:szCs w:val="24"/>
          <w:shd w:val="clear" w:color="auto" w:fill="FFFFFF"/>
          <w:lang w:val="en-GB"/>
        </w:rPr>
        <w:t xml:space="preserve"> area</w:t>
      </w:r>
      <w:r w:rsidR="00AE3ABC" w:rsidRPr="00934D9A">
        <w:rPr>
          <w:rFonts w:cs="Times New Roman"/>
          <w:lang w:val="en-GB"/>
        </w:rPr>
        <w:t>.</w:t>
      </w:r>
      <w:r w:rsidR="004B5E84" w:rsidRPr="00934D9A">
        <w:rPr>
          <w:rFonts w:cs="Times New Roman"/>
          <w:lang w:val="en-GB"/>
        </w:rPr>
        <w:t xml:space="preserve"> </w:t>
      </w:r>
    </w:p>
    <w:p w14:paraId="1976ADF1" w14:textId="77777777" w:rsidR="00E8300D" w:rsidRDefault="004B5E84" w:rsidP="00184876">
      <w:pPr>
        <w:spacing w:before="120" w:after="120" w:line="240" w:lineRule="auto"/>
        <w:jc w:val="both"/>
        <w:rPr>
          <w:rFonts w:cs="Times New Roman"/>
          <w:lang w:val="en-GB"/>
        </w:rPr>
      </w:pPr>
      <w:r w:rsidRPr="00934D9A">
        <w:rPr>
          <w:rFonts w:cs="Times New Roman"/>
          <w:lang w:val="en-GB"/>
        </w:rPr>
        <w:t xml:space="preserve">From the 1990s, </w:t>
      </w:r>
      <w:r w:rsidR="00934D9A" w:rsidRPr="00934D9A">
        <w:rPr>
          <w:rFonts w:cs="Times New Roman"/>
          <w:lang w:val="en-GB"/>
        </w:rPr>
        <w:t xml:space="preserve">when </w:t>
      </w:r>
      <w:r w:rsidR="00291C98" w:rsidRPr="00934D9A">
        <w:rPr>
          <w:rFonts w:cs="Times New Roman"/>
          <w:lang w:val="en-GB"/>
        </w:rPr>
        <w:t>the de-concentration of industrial production process</w:t>
      </w:r>
      <w:r w:rsidR="00934D9A" w:rsidRPr="00934D9A">
        <w:rPr>
          <w:rFonts w:cs="Times New Roman"/>
          <w:lang w:val="en-GB"/>
        </w:rPr>
        <w:t xml:space="preserve"> began</w:t>
      </w:r>
      <w:r w:rsidR="00291C98" w:rsidRPr="00934D9A">
        <w:rPr>
          <w:rFonts w:cs="Times New Roman"/>
          <w:lang w:val="en-GB"/>
        </w:rPr>
        <w:t>, the inflation control as well as the minimum wage appreciation policy and the income transfer programs in 2000s</w:t>
      </w:r>
      <w:r w:rsidR="003E0FBE" w:rsidRPr="00934D9A">
        <w:rPr>
          <w:rFonts w:cs="Times New Roman"/>
          <w:lang w:val="en-GB"/>
        </w:rPr>
        <w:t xml:space="preserve">, </w:t>
      </w:r>
      <w:r w:rsidRPr="00934D9A">
        <w:rPr>
          <w:rFonts w:cs="Times New Roman"/>
          <w:lang w:val="en-GB"/>
        </w:rPr>
        <w:t>have contributed to alleviate the regional inequality</w:t>
      </w:r>
      <w:r w:rsidR="009810A4" w:rsidRPr="00934D9A">
        <w:rPr>
          <w:rFonts w:cs="Times New Roman"/>
          <w:lang w:val="en-GB"/>
        </w:rPr>
        <w:t xml:space="preserve"> and </w:t>
      </w:r>
      <w:r w:rsidR="00982358" w:rsidRPr="00934D9A">
        <w:rPr>
          <w:rFonts w:cs="Times New Roman"/>
          <w:lang w:val="en-GB"/>
        </w:rPr>
        <w:t>poverty</w:t>
      </w:r>
      <w:r w:rsidRPr="00934D9A">
        <w:rPr>
          <w:rFonts w:cs="Times New Roman"/>
          <w:lang w:val="en-GB"/>
        </w:rPr>
        <w:t>. However, the Northeast remains as the most unequal region in intra-regional terms (</w:t>
      </w:r>
      <w:proofErr w:type="spellStart"/>
      <w:r w:rsidR="00882887" w:rsidRPr="00934D9A">
        <w:rPr>
          <w:rFonts w:cs="Times New Roman"/>
          <w:lang w:val="en-GB"/>
        </w:rPr>
        <w:t>Ribeiro</w:t>
      </w:r>
      <w:proofErr w:type="spellEnd"/>
      <w:r w:rsidR="00882887" w:rsidRPr="00934D9A">
        <w:rPr>
          <w:rFonts w:cs="Times New Roman"/>
          <w:lang w:val="en-GB"/>
        </w:rPr>
        <w:t xml:space="preserve"> </w:t>
      </w:r>
      <w:r w:rsidR="00361838" w:rsidRPr="00934D9A">
        <w:rPr>
          <w:rFonts w:cs="Times New Roman"/>
          <w:lang w:val="en-GB"/>
        </w:rPr>
        <w:t xml:space="preserve">et al., </w:t>
      </w:r>
      <w:r w:rsidR="00D76965" w:rsidRPr="00934D9A">
        <w:rPr>
          <w:rFonts w:cs="Times New Roman"/>
          <w:lang w:val="en-GB"/>
        </w:rPr>
        <w:t>2018).</w:t>
      </w:r>
      <w:r w:rsidRPr="00934D9A">
        <w:rPr>
          <w:rFonts w:cs="Times New Roman"/>
          <w:lang w:val="en-GB"/>
        </w:rPr>
        <w:t xml:space="preserve"> In addition to the processes and policies cited, </w:t>
      </w:r>
      <w:r w:rsidR="003E728D" w:rsidRPr="00934D9A">
        <w:rPr>
          <w:rFonts w:cs="Times New Roman"/>
          <w:lang w:val="en-GB"/>
        </w:rPr>
        <w:t xml:space="preserve">regional financing </w:t>
      </w:r>
      <w:r w:rsidRPr="00934D9A">
        <w:rPr>
          <w:rFonts w:cs="Times New Roman"/>
          <w:lang w:val="en-GB"/>
        </w:rPr>
        <w:t xml:space="preserve">policies </w:t>
      </w:r>
      <w:r w:rsidR="00934D9A">
        <w:rPr>
          <w:rFonts w:cs="Times New Roman"/>
          <w:lang w:val="en-GB"/>
        </w:rPr>
        <w:t>have been</w:t>
      </w:r>
      <w:r w:rsidR="00934D9A" w:rsidRPr="00934D9A">
        <w:rPr>
          <w:rFonts w:cs="Times New Roman"/>
          <w:lang w:val="en-GB"/>
        </w:rPr>
        <w:t xml:space="preserve"> </w:t>
      </w:r>
      <w:r w:rsidRPr="00934D9A">
        <w:rPr>
          <w:rFonts w:cs="Times New Roman"/>
          <w:lang w:val="en-GB"/>
        </w:rPr>
        <w:t xml:space="preserve">directed </w:t>
      </w:r>
      <w:r w:rsidR="00934D9A" w:rsidRPr="00934D9A">
        <w:rPr>
          <w:rFonts w:cs="Times New Roman"/>
          <w:lang w:val="en-GB"/>
        </w:rPr>
        <w:t xml:space="preserve">towards </w:t>
      </w:r>
      <w:r w:rsidRPr="00934D9A">
        <w:rPr>
          <w:rFonts w:cs="Times New Roman"/>
          <w:lang w:val="en-GB"/>
        </w:rPr>
        <w:t>poorer regions in an attempt to alleviate regional inequality.</w:t>
      </w:r>
    </w:p>
    <w:p w14:paraId="78FBB08B" w14:textId="13881C66" w:rsidR="002263E6" w:rsidRDefault="00291C98" w:rsidP="00184876">
      <w:pPr>
        <w:spacing w:before="120" w:after="120" w:line="240" w:lineRule="auto"/>
        <w:jc w:val="both"/>
        <w:rPr>
          <w:rFonts w:cs="Times New Roman"/>
          <w:lang w:val="en-GB"/>
        </w:rPr>
      </w:pPr>
      <w:r w:rsidRPr="00934D9A">
        <w:rPr>
          <w:rFonts w:cs="Times New Roman"/>
          <w:lang w:val="en-GB"/>
        </w:rPr>
        <w:t>Regional financing funds</w:t>
      </w:r>
      <w:r w:rsidR="004B108E" w:rsidRPr="00934D9A">
        <w:rPr>
          <w:rFonts w:cs="Times New Roman"/>
          <w:lang w:val="en-GB"/>
        </w:rPr>
        <w:t xml:space="preserve"> began to be adopted when the Brazilian Constitution of 1988 addressed regional inequalities. </w:t>
      </w:r>
      <w:r w:rsidR="006465F6" w:rsidRPr="00934D9A">
        <w:rPr>
          <w:rFonts w:cs="Times New Roman"/>
          <w:lang w:val="en-GB"/>
        </w:rPr>
        <w:t xml:space="preserve">The document </w:t>
      </w:r>
      <w:r w:rsidR="009D2343" w:rsidRPr="00934D9A">
        <w:rPr>
          <w:rFonts w:cs="Times New Roman"/>
          <w:lang w:val="en-GB"/>
        </w:rPr>
        <w:t>has</w:t>
      </w:r>
      <w:r w:rsidR="006465F6" w:rsidRPr="00934D9A">
        <w:rPr>
          <w:rFonts w:cs="Times New Roman"/>
          <w:lang w:val="en-GB"/>
        </w:rPr>
        <w:t xml:space="preserve"> established not only direct transfers from the Federal Government to the states and municipalities (States Participation Fund </w:t>
      </w:r>
      <w:r w:rsidR="007157D6" w:rsidRPr="00934D9A">
        <w:rPr>
          <w:rFonts w:cs="Times New Roman"/>
          <w:lang w:val="en-GB"/>
        </w:rPr>
        <w:t>– FPE, and Municipalities Participation Fund – FPM</w:t>
      </w:r>
      <w:r w:rsidR="002263E6" w:rsidRPr="00934D9A">
        <w:rPr>
          <w:rStyle w:val="Refdenotadefim"/>
          <w:rFonts w:cs="Times New Roman"/>
          <w:lang w:val="en-GB"/>
        </w:rPr>
        <w:endnoteReference w:id="1"/>
      </w:r>
      <w:r w:rsidR="002263E6" w:rsidRPr="00934D9A">
        <w:rPr>
          <w:rFonts w:cs="Times New Roman"/>
          <w:lang w:val="en-GB"/>
        </w:rPr>
        <w:t xml:space="preserve">), but also investment policies called Northern (FNO), Midwest (FCO), and Northeast (FNE) Financing Constitutional Funds. The main goal of this policy is to provide long-term financing for investment projects, focusing mainly on small business and family farmers employed in dynamic sectors. This policy would increase the participation of these poor regions in the national economy. Furthermore, </w:t>
      </w:r>
      <w:proofErr w:type="spellStart"/>
      <w:r w:rsidR="002263E6" w:rsidRPr="00934D9A">
        <w:rPr>
          <w:rFonts w:cs="Times New Roman"/>
          <w:lang w:val="en-GB"/>
        </w:rPr>
        <w:t>Stiglitz</w:t>
      </w:r>
      <w:proofErr w:type="spellEnd"/>
      <w:r w:rsidR="002263E6" w:rsidRPr="00934D9A">
        <w:rPr>
          <w:rFonts w:cs="Times New Roman"/>
          <w:lang w:val="en-GB"/>
        </w:rPr>
        <w:t xml:space="preserve"> et al. (1993) argue that the existence of incomplete credit markets is one of the conditions for the inefficient allocation of financial resources, and government action is essential to correct such market failure, increasing access to credit.</w:t>
      </w:r>
    </w:p>
    <w:p w14:paraId="6AB0B4F6" w14:textId="195DF4C9" w:rsidR="002263E6" w:rsidRDefault="002263E6" w:rsidP="00184876">
      <w:pPr>
        <w:spacing w:before="120" w:after="120" w:line="240" w:lineRule="auto"/>
        <w:jc w:val="both"/>
        <w:rPr>
          <w:szCs w:val="24"/>
          <w:lang w:val="en-GB"/>
        </w:rPr>
      </w:pPr>
      <w:r w:rsidRPr="00934D9A">
        <w:rPr>
          <w:rFonts w:cs="Times New Roman"/>
          <w:lang w:val="en-GB"/>
        </w:rPr>
        <w:t xml:space="preserve">According to </w:t>
      </w:r>
      <w:r w:rsidRPr="00934D9A">
        <w:rPr>
          <w:szCs w:val="24"/>
          <w:lang w:val="en-GB"/>
        </w:rPr>
        <w:t xml:space="preserve">Banerjee and Newman (1993) and </w:t>
      </w:r>
      <w:proofErr w:type="spellStart"/>
      <w:r w:rsidRPr="00934D9A">
        <w:rPr>
          <w:szCs w:val="24"/>
          <w:lang w:val="en-GB"/>
        </w:rPr>
        <w:t>Galor</w:t>
      </w:r>
      <w:proofErr w:type="spellEnd"/>
      <w:r w:rsidRPr="00934D9A">
        <w:rPr>
          <w:szCs w:val="24"/>
          <w:lang w:val="en-GB"/>
        </w:rPr>
        <w:t xml:space="preserve"> and </w:t>
      </w:r>
      <w:proofErr w:type="spellStart"/>
      <w:r w:rsidRPr="00934D9A">
        <w:rPr>
          <w:szCs w:val="24"/>
          <w:lang w:val="en-GB"/>
        </w:rPr>
        <w:t>Zeira</w:t>
      </w:r>
      <w:proofErr w:type="spellEnd"/>
      <w:r w:rsidRPr="00934D9A">
        <w:rPr>
          <w:szCs w:val="24"/>
          <w:lang w:val="en-GB"/>
        </w:rPr>
        <w:t xml:space="preserve"> (1993) constitutional funds can contribute to reducing inequalities by reducing credit asymmetry through two mechanisms: (i) by financing the private agent who does not have initial wealth as collateral but who needs it to break such a vicious circle; or ii) allocating credit to regions and/or private agents that do not have a large amount of assets to provide as collateral.</w:t>
      </w:r>
    </w:p>
    <w:p w14:paraId="326E6054" w14:textId="77777777" w:rsidR="002263E6" w:rsidRDefault="002263E6" w:rsidP="00184876">
      <w:pPr>
        <w:spacing w:before="120" w:after="120" w:line="240" w:lineRule="auto"/>
        <w:jc w:val="both"/>
        <w:rPr>
          <w:rFonts w:cs="Times New Roman"/>
          <w:lang w:val="en-GB"/>
        </w:rPr>
      </w:pPr>
      <w:r w:rsidRPr="002D1ABF">
        <w:rPr>
          <w:rFonts w:cs="Times New Roman"/>
          <w:lang w:val="en-GB"/>
        </w:rPr>
        <w:t xml:space="preserve">There is a large literature analysing the effectiveness of the European Structural Funds regarding the impacts on growth and regional disparities in less developed regions. However, there is still </w:t>
      </w:r>
      <w:r>
        <w:rPr>
          <w:rFonts w:cs="Times New Roman"/>
          <w:lang w:val="en-GB"/>
        </w:rPr>
        <w:t>no consensus about the impacts</w:t>
      </w:r>
      <w:r w:rsidRPr="002D1ABF">
        <w:rPr>
          <w:rFonts w:cs="Times New Roman"/>
          <w:lang w:val="en-GB"/>
        </w:rPr>
        <w:t xml:space="preserve">. </w:t>
      </w:r>
      <w:proofErr w:type="spellStart"/>
      <w:r w:rsidRPr="002D1ABF">
        <w:rPr>
          <w:rFonts w:cs="Times New Roman"/>
          <w:lang w:val="en-GB"/>
        </w:rPr>
        <w:t>Dall’Erba</w:t>
      </w:r>
      <w:proofErr w:type="spellEnd"/>
      <w:r w:rsidRPr="002D1ABF">
        <w:rPr>
          <w:rFonts w:cs="Times New Roman"/>
          <w:lang w:val="en-GB"/>
        </w:rPr>
        <w:t xml:space="preserve"> and Le Gallo (2008) evaluate the impact of structural funds on the convergence process, and investigate the presence of </w:t>
      </w:r>
      <w:proofErr w:type="spellStart"/>
      <w:r w:rsidRPr="002D1ABF">
        <w:rPr>
          <w:rFonts w:cs="Times New Roman"/>
          <w:lang w:val="en-GB"/>
        </w:rPr>
        <w:t>spillover</w:t>
      </w:r>
      <w:proofErr w:type="spellEnd"/>
      <w:r w:rsidRPr="002D1ABF">
        <w:rPr>
          <w:rFonts w:cs="Times New Roman"/>
          <w:lang w:val="en-GB"/>
        </w:rPr>
        <w:t xml:space="preserve"> effects using spatial econometric models. They find that the funds have no impact on the regional convergence. Rodríguez-Pose and </w:t>
      </w:r>
      <w:proofErr w:type="spellStart"/>
      <w:r w:rsidRPr="002D1ABF">
        <w:rPr>
          <w:rFonts w:cs="Times New Roman"/>
          <w:lang w:val="en-GB"/>
        </w:rPr>
        <w:t>Fratesi</w:t>
      </w:r>
      <w:proofErr w:type="spellEnd"/>
      <w:r w:rsidRPr="002D1ABF">
        <w:rPr>
          <w:rFonts w:cs="Times New Roman"/>
          <w:lang w:val="en-GB"/>
        </w:rPr>
        <w:t xml:space="preserve"> (2004), using cross-sectional and panel data analyses, find only a modest impact of the funds on economic indicators. These authors highlight that supporting the agricultural sector brings positive effects on growth in the short-run, and only investments in education and human capital have positive impact in the medium-run. Some papers look to the impacts of funds on specific countries, such as Greece (Lolos, 2009) and Italy (</w:t>
      </w:r>
      <w:proofErr w:type="spellStart"/>
      <w:r w:rsidRPr="002D1ABF">
        <w:rPr>
          <w:rFonts w:cs="Times New Roman"/>
          <w:lang w:val="en-GB"/>
        </w:rPr>
        <w:t>Agovino</w:t>
      </w:r>
      <w:proofErr w:type="spellEnd"/>
      <w:r w:rsidRPr="002D1ABF">
        <w:rPr>
          <w:rFonts w:cs="Times New Roman"/>
          <w:lang w:val="en-GB"/>
        </w:rPr>
        <w:t xml:space="preserve"> et al</w:t>
      </w:r>
      <w:r>
        <w:rPr>
          <w:rFonts w:cs="Times New Roman"/>
          <w:lang w:val="en-GB"/>
        </w:rPr>
        <w:t>.</w:t>
      </w:r>
      <w:r w:rsidRPr="002D1ABF">
        <w:rPr>
          <w:rFonts w:cs="Times New Roman"/>
          <w:lang w:val="en-GB"/>
        </w:rPr>
        <w:t xml:space="preserve">, 2018), and they find, respectively, positive impact on growth and no impact on reducing inter-regional gaps. In other words, in what regard the European structural funds, the literature is not convinced about the effects of the regional policy. </w:t>
      </w:r>
    </w:p>
    <w:p w14:paraId="181B33EF" w14:textId="3FBBC1EC" w:rsidR="002263E6" w:rsidRDefault="002263E6" w:rsidP="00184876">
      <w:pPr>
        <w:spacing w:before="120" w:after="120" w:line="240" w:lineRule="auto"/>
        <w:jc w:val="both"/>
        <w:rPr>
          <w:rFonts w:cs="Times New Roman"/>
          <w:lang w:val="en-GB"/>
        </w:rPr>
      </w:pPr>
      <w:r w:rsidRPr="002D1ABF">
        <w:rPr>
          <w:rFonts w:cs="Times New Roman"/>
          <w:lang w:val="en-GB"/>
        </w:rPr>
        <w:t xml:space="preserve">In a similar way, </w:t>
      </w:r>
      <w:r>
        <w:rPr>
          <w:rFonts w:cs="Times New Roman"/>
          <w:lang w:val="en-GB"/>
        </w:rPr>
        <w:t>there is also no consensus</w:t>
      </w:r>
      <w:r w:rsidRPr="002D1ABF">
        <w:rPr>
          <w:rFonts w:cs="Times New Roman"/>
          <w:lang w:val="en-GB"/>
        </w:rPr>
        <w:t xml:space="preserve"> in the analysis of the Brazilian Development Funds.</w:t>
      </w:r>
      <w:r>
        <w:rPr>
          <w:rFonts w:cs="Times New Roman"/>
          <w:lang w:val="en-GB"/>
        </w:rPr>
        <w:t xml:space="preserve"> </w:t>
      </w:r>
      <w:r w:rsidRPr="00934D9A">
        <w:rPr>
          <w:rFonts w:cs="Times New Roman"/>
          <w:lang w:val="en-GB"/>
        </w:rPr>
        <w:t xml:space="preserve">Some papers have studied the impact of these regional financing funds on employment, income, and other variables, such as Rodrigues and </w:t>
      </w:r>
      <w:proofErr w:type="spellStart"/>
      <w:r w:rsidRPr="00934D9A">
        <w:rPr>
          <w:rFonts w:cs="Times New Roman"/>
          <w:lang w:val="en-GB"/>
        </w:rPr>
        <w:t>Guilhoto</w:t>
      </w:r>
      <w:proofErr w:type="spellEnd"/>
      <w:r w:rsidRPr="00934D9A">
        <w:rPr>
          <w:rFonts w:cs="Times New Roman"/>
          <w:lang w:val="en-GB"/>
        </w:rPr>
        <w:t xml:space="preserve"> (1998), Oliveira and </w:t>
      </w:r>
      <w:proofErr w:type="spellStart"/>
      <w:r w:rsidRPr="00934D9A">
        <w:rPr>
          <w:rFonts w:cs="Times New Roman"/>
          <w:lang w:val="en-GB"/>
        </w:rPr>
        <w:t>Domingues</w:t>
      </w:r>
      <w:proofErr w:type="spellEnd"/>
      <w:r w:rsidRPr="00934D9A">
        <w:rPr>
          <w:rFonts w:cs="Times New Roman"/>
          <w:lang w:val="en-GB"/>
        </w:rPr>
        <w:t xml:space="preserve"> (2005), Silva </w:t>
      </w:r>
      <w:r w:rsidRPr="00F92A94">
        <w:rPr>
          <w:rFonts w:cs="Times New Roman"/>
          <w:lang w:val="en-GB"/>
        </w:rPr>
        <w:t>et al.</w:t>
      </w:r>
      <w:r w:rsidRPr="00934D9A">
        <w:rPr>
          <w:rFonts w:cs="Times New Roman"/>
          <w:lang w:val="en-GB"/>
        </w:rPr>
        <w:t xml:space="preserve"> (2007), </w:t>
      </w:r>
      <w:r w:rsidRPr="00934D9A">
        <w:rPr>
          <w:rFonts w:cs="Times New Roman"/>
          <w:lang w:val="en-GB"/>
        </w:rPr>
        <w:lastRenderedPageBreak/>
        <w:t xml:space="preserve">Almeida </w:t>
      </w:r>
      <w:r w:rsidRPr="00F92A94">
        <w:rPr>
          <w:rFonts w:cs="Times New Roman"/>
          <w:lang w:val="en-GB"/>
        </w:rPr>
        <w:t>et al.</w:t>
      </w:r>
      <w:r w:rsidRPr="00934D9A">
        <w:rPr>
          <w:rFonts w:cs="Times New Roman"/>
          <w:lang w:val="en-GB"/>
        </w:rPr>
        <w:t xml:space="preserve"> (2007), </w:t>
      </w:r>
      <w:proofErr w:type="spellStart"/>
      <w:r w:rsidRPr="00934D9A">
        <w:rPr>
          <w:rFonts w:cs="Times New Roman"/>
          <w:lang w:val="en-GB"/>
        </w:rPr>
        <w:t>Resende</w:t>
      </w:r>
      <w:proofErr w:type="spellEnd"/>
      <w:r w:rsidRPr="00934D9A">
        <w:rPr>
          <w:rFonts w:cs="Times New Roman"/>
          <w:lang w:val="en-GB"/>
        </w:rPr>
        <w:t xml:space="preserve"> (2014), </w:t>
      </w:r>
      <w:proofErr w:type="spellStart"/>
      <w:r w:rsidRPr="00934D9A">
        <w:rPr>
          <w:rFonts w:cs="Times New Roman"/>
          <w:lang w:val="en-GB"/>
        </w:rPr>
        <w:t>Soares</w:t>
      </w:r>
      <w:proofErr w:type="spellEnd"/>
      <w:r w:rsidRPr="00934D9A">
        <w:rPr>
          <w:rFonts w:cs="Times New Roman"/>
          <w:lang w:val="en-GB"/>
        </w:rPr>
        <w:t xml:space="preserve"> </w:t>
      </w:r>
      <w:r w:rsidRPr="00F92A94">
        <w:rPr>
          <w:rFonts w:cs="Times New Roman"/>
          <w:lang w:val="en-GB"/>
        </w:rPr>
        <w:t>et al.</w:t>
      </w:r>
      <w:r w:rsidRPr="00934D9A">
        <w:rPr>
          <w:rFonts w:cs="Times New Roman"/>
          <w:lang w:val="en-GB"/>
        </w:rPr>
        <w:t xml:space="preserve"> (2014)</w:t>
      </w:r>
      <w:r>
        <w:rPr>
          <w:rFonts w:cs="Times New Roman"/>
          <w:lang w:val="en-GB"/>
        </w:rPr>
        <w:t>,</w:t>
      </w:r>
      <w:r w:rsidRPr="00934D9A">
        <w:rPr>
          <w:rFonts w:cs="Times New Roman"/>
          <w:lang w:val="en-GB"/>
        </w:rPr>
        <w:t xml:space="preserve"> and </w:t>
      </w:r>
      <w:proofErr w:type="spellStart"/>
      <w:r w:rsidRPr="00934D9A">
        <w:rPr>
          <w:rFonts w:cs="Times New Roman"/>
          <w:lang w:val="en-GB"/>
        </w:rPr>
        <w:t>Nascimento</w:t>
      </w:r>
      <w:proofErr w:type="spellEnd"/>
      <w:r w:rsidRPr="00934D9A">
        <w:rPr>
          <w:rFonts w:cs="Times New Roman"/>
          <w:lang w:val="en-GB"/>
        </w:rPr>
        <w:t xml:space="preserve"> and Haddad (2017). However, there is no consensus about the impacts of the program. </w:t>
      </w:r>
    </w:p>
    <w:p w14:paraId="66A4273F" w14:textId="77777777" w:rsidR="002263E6" w:rsidRDefault="002263E6" w:rsidP="00184876">
      <w:pPr>
        <w:spacing w:before="120" w:after="120" w:line="240" w:lineRule="auto"/>
        <w:jc w:val="both"/>
        <w:rPr>
          <w:rFonts w:cs="Times New Roman"/>
          <w:lang w:val="en-GB"/>
        </w:rPr>
      </w:pPr>
      <w:r w:rsidRPr="00934D9A">
        <w:rPr>
          <w:rFonts w:cs="Times New Roman"/>
          <w:lang w:val="en-GB"/>
        </w:rPr>
        <w:t>This paper addresses macroeconomic, regional</w:t>
      </w:r>
      <w:r>
        <w:rPr>
          <w:rFonts w:cs="Times New Roman"/>
          <w:lang w:val="en-GB"/>
        </w:rPr>
        <w:t>,</w:t>
      </w:r>
      <w:r w:rsidRPr="00934D9A">
        <w:rPr>
          <w:rFonts w:cs="Times New Roman"/>
          <w:lang w:val="en-GB"/>
        </w:rPr>
        <w:t xml:space="preserve"> and sector</w:t>
      </w:r>
      <w:r>
        <w:rPr>
          <w:rFonts w:cs="Times New Roman"/>
          <w:lang w:val="en-GB"/>
        </w:rPr>
        <w:t>ial</w:t>
      </w:r>
      <w:r w:rsidRPr="00934D9A">
        <w:rPr>
          <w:rFonts w:cs="Times New Roman"/>
          <w:lang w:val="en-GB"/>
        </w:rPr>
        <w:t xml:space="preserve"> impacts of FNE. This paper contributes </w:t>
      </w:r>
      <w:r>
        <w:rPr>
          <w:rFonts w:cs="Times New Roman"/>
          <w:lang w:val="en-GB"/>
        </w:rPr>
        <w:t>to</w:t>
      </w:r>
      <w:r w:rsidRPr="00934D9A">
        <w:rPr>
          <w:rFonts w:cs="Times New Roman"/>
          <w:lang w:val="en-GB"/>
        </w:rPr>
        <w:t xml:space="preserve"> the literature through the analysis of the FNE program using an inter-regional and dynamic computable general equilibrium (CGE) model, calibrated for 2013</w:t>
      </w:r>
      <w:r w:rsidRPr="00934D9A">
        <w:rPr>
          <w:rStyle w:val="Refdenotadefim"/>
          <w:rFonts w:cs="Times New Roman"/>
          <w:lang w:val="en-GB"/>
        </w:rPr>
        <w:endnoteReference w:id="2"/>
      </w:r>
      <w:r w:rsidRPr="00934D9A">
        <w:rPr>
          <w:rFonts w:cs="Times New Roman"/>
          <w:lang w:val="en-GB"/>
        </w:rPr>
        <w:t xml:space="preserve"> for </w:t>
      </w:r>
      <w:r>
        <w:rPr>
          <w:rFonts w:cs="Times New Roman"/>
          <w:lang w:val="en-GB"/>
        </w:rPr>
        <w:t xml:space="preserve">the 27 </w:t>
      </w:r>
      <w:r w:rsidRPr="00934D9A">
        <w:rPr>
          <w:rFonts w:cs="Times New Roman"/>
          <w:lang w:val="en-GB"/>
        </w:rPr>
        <w:t xml:space="preserve">Brazilian federation units. Through this model, we are able to identify the long-run impacts of FNE for a very detailed set of investments </w:t>
      </w:r>
      <w:r>
        <w:rPr>
          <w:rFonts w:cs="Times New Roman"/>
          <w:lang w:val="en-GB"/>
        </w:rPr>
        <w:t>that have</w:t>
      </w:r>
      <w:r w:rsidRPr="00934D9A">
        <w:rPr>
          <w:rFonts w:cs="Times New Roman"/>
          <w:lang w:val="en-GB"/>
        </w:rPr>
        <w:t xml:space="preserve"> local</w:t>
      </w:r>
      <w:r>
        <w:rPr>
          <w:rFonts w:cs="Times New Roman"/>
          <w:lang w:val="en-GB"/>
        </w:rPr>
        <w:t>ly</w:t>
      </w:r>
      <w:r w:rsidRPr="00934D9A">
        <w:rPr>
          <w:rFonts w:cs="Times New Roman"/>
          <w:lang w:val="en-GB"/>
        </w:rPr>
        <w:t xml:space="preserve"> specific characteristics. </w:t>
      </w:r>
    </w:p>
    <w:p w14:paraId="42828A68" w14:textId="77777777" w:rsidR="002263E6" w:rsidRDefault="002263E6" w:rsidP="00184876">
      <w:pPr>
        <w:spacing w:before="120" w:after="120" w:line="240" w:lineRule="auto"/>
        <w:jc w:val="both"/>
        <w:rPr>
          <w:rFonts w:cs="Times New Roman"/>
          <w:lang w:val="en-GB"/>
        </w:rPr>
      </w:pPr>
      <w:r w:rsidRPr="00934D9A">
        <w:rPr>
          <w:rFonts w:cs="Times New Roman"/>
          <w:lang w:val="en-GB"/>
        </w:rPr>
        <w:t>The paper is divided in</w:t>
      </w:r>
      <w:r>
        <w:rPr>
          <w:rFonts w:cs="Times New Roman"/>
          <w:lang w:val="en-GB"/>
        </w:rPr>
        <w:t>to</w:t>
      </w:r>
      <w:r w:rsidRPr="00934D9A">
        <w:rPr>
          <w:rFonts w:cs="Times New Roman"/>
          <w:lang w:val="en-GB"/>
        </w:rPr>
        <w:t xml:space="preserve"> five sections after this introduction. Section two presents the literature review on credit policies in developing regions, highlighting the public policies in Brazil that aim to reduce regional inequalities, more specifically, the FNE. The following section describes the main characteristics of the CGE model, whereas section four explains the database. The two final sections present the results and main conclusions.</w:t>
      </w:r>
    </w:p>
    <w:p w14:paraId="25048E8D" w14:textId="77777777" w:rsidR="002263E6" w:rsidRDefault="002263E6" w:rsidP="00184876">
      <w:pPr>
        <w:spacing w:before="120" w:after="120" w:line="240" w:lineRule="auto"/>
        <w:jc w:val="both"/>
        <w:rPr>
          <w:rFonts w:cs="Times New Roman"/>
          <w:lang w:val="en-GB"/>
        </w:rPr>
      </w:pPr>
    </w:p>
    <w:p w14:paraId="3ADD77BD" w14:textId="77777777" w:rsidR="002263E6" w:rsidRDefault="002263E6" w:rsidP="00184876">
      <w:pPr>
        <w:pStyle w:val="Ttulo1"/>
        <w:spacing w:before="120" w:after="120"/>
        <w:rPr>
          <w:lang w:val="en-GB"/>
        </w:rPr>
      </w:pPr>
      <w:r w:rsidRPr="00934D9A">
        <w:rPr>
          <w:lang w:val="en-GB"/>
        </w:rPr>
        <w:t>Public policies and regional development</w:t>
      </w:r>
    </w:p>
    <w:p w14:paraId="5D475032" w14:textId="77777777" w:rsidR="002263E6" w:rsidRDefault="002263E6" w:rsidP="00184876">
      <w:pPr>
        <w:spacing w:before="120" w:after="120" w:line="240" w:lineRule="auto"/>
        <w:jc w:val="both"/>
        <w:rPr>
          <w:rFonts w:cs="Times New Roman"/>
          <w:lang w:val="en-GB"/>
        </w:rPr>
      </w:pPr>
      <w:r w:rsidRPr="00934D9A">
        <w:rPr>
          <w:rFonts w:cs="Times New Roman"/>
          <w:lang w:val="en-GB"/>
        </w:rPr>
        <w:t xml:space="preserve">Many policies to support and finance private enterprises have been adopted in Brazil, especially </w:t>
      </w:r>
      <w:r>
        <w:rPr>
          <w:rFonts w:cs="Times New Roman"/>
          <w:lang w:val="en-GB"/>
        </w:rPr>
        <w:t>at</w:t>
      </w:r>
      <w:r w:rsidRPr="00934D9A">
        <w:rPr>
          <w:rFonts w:cs="Times New Roman"/>
          <w:lang w:val="en-GB"/>
        </w:rPr>
        <w:t xml:space="preserve"> the end of the 1990s, after macroeconomic stabilization, when concerns about regional inequalities were intensified. The regional (North, Northeast, and Midwest) Financing Constitutional Funds, whose main goal is to integrate less</w:t>
      </w:r>
      <w:r>
        <w:rPr>
          <w:rFonts w:cs="Times New Roman"/>
          <w:lang w:val="en-GB"/>
        </w:rPr>
        <w:t>-developed</w:t>
      </w:r>
      <w:r w:rsidRPr="00934D9A">
        <w:rPr>
          <w:rFonts w:cs="Times New Roman"/>
          <w:lang w:val="en-GB"/>
        </w:rPr>
        <w:t xml:space="preserve"> regions in Brazil to a national level through credit availability to more productive sectors, were created. These funds were established by the Brazilian Federal Constitution in 1988 and, since then, </w:t>
      </w:r>
      <w:r>
        <w:rPr>
          <w:rFonts w:cs="Times New Roman"/>
          <w:lang w:val="en-GB"/>
        </w:rPr>
        <w:t xml:space="preserve">have </w:t>
      </w:r>
      <w:r w:rsidRPr="00934D9A">
        <w:rPr>
          <w:rFonts w:cs="Times New Roman"/>
          <w:lang w:val="en-GB"/>
        </w:rPr>
        <w:t>provide</w:t>
      </w:r>
      <w:r>
        <w:rPr>
          <w:rFonts w:cs="Times New Roman"/>
          <w:lang w:val="en-GB"/>
        </w:rPr>
        <w:t>d</w:t>
      </w:r>
      <w:r w:rsidRPr="00934D9A">
        <w:rPr>
          <w:rFonts w:cs="Times New Roman"/>
          <w:lang w:val="en-GB"/>
        </w:rPr>
        <w:t xml:space="preserve"> long</w:t>
      </w:r>
      <w:r>
        <w:rPr>
          <w:rFonts w:cs="Times New Roman"/>
          <w:lang w:val="en-GB"/>
        </w:rPr>
        <w:t>-</w:t>
      </w:r>
      <w:r w:rsidRPr="00934D9A">
        <w:rPr>
          <w:rFonts w:cs="Times New Roman"/>
          <w:lang w:val="en-GB"/>
        </w:rPr>
        <w:t xml:space="preserve">term credit to entrepreneurs, including family farmers, micro and small farmers, </w:t>
      </w:r>
      <w:r>
        <w:rPr>
          <w:rFonts w:cs="Times New Roman"/>
          <w:lang w:val="en-GB"/>
        </w:rPr>
        <w:t>and have remained c</w:t>
      </w:r>
      <w:r w:rsidRPr="00934D9A">
        <w:rPr>
          <w:rFonts w:cs="Times New Roman"/>
          <w:lang w:val="en-GB"/>
        </w:rPr>
        <w:t>ommitted to develop</w:t>
      </w:r>
      <w:r>
        <w:rPr>
          <w:rFonts w:cs="Times New Roman"/>
          <w:lang w:val="en-GB"/>
        </w:rPr>
        <w:t>ing</w:t>
      </w:r>
      <w:r w:rsidRPr="00934D9A">
        <w:rPr>
          <w:rFonts w:cs="Times New Roman"/>
          <w:lang w:val="en-GB"/>
        </w:rPr>
        <w:t xml:space="preserve"> dynamic areas, using a lower interest rate when compared to the market interest, and extra benefits, such as longer terms and a compliance bonus</w:t>
      </w:r>
      <w:r w:rsidRPr="00934D9A">
        <w:rPr>
          <w:rStyle w:val="Refdenotadefim"/>
          <w:rFonts w:cs="Times New Roman"/>
          <w:lang w:val="en-GB"/>
        </w:rPr>
        <w:endnoteReference w:id="3"/>
      </w:r>
      <w:r w:rsidRPr="00934D9A">
        <w:rPr>
          <w:rFonts w:cs="Times New Roman"/>
          <w:lang w:val="en-GB"/>
        </w:rPr>
        <w:t>.</w:t>
      </w:r>
    </w:p>
    <w:p w14:paraId="13DC7365" w14:textId="77777777" w:rsidR="002263E6" w:rsidRDefault="002263E6" w:rsidP="00184876">
      <w:pPr>
        <w:spacing w:before="120" w:after="120" w:line="240" w:lineRule="auto"/>
        <w:jc w:val="both"/>
        <w:rPr>
          <w:rFonts w:cs="Times New Roman"/>
          <w:lang w:val="en-GB"/>
        </w:rPr>
      </w:pPr>
      <w:r w:rsidRPr="00934D9A">
        <w:rPr>
          <w:rFonts w:cs="Times New Roman"/>
          <w:lang w:val="en-GB"/>
        </w:rPr>
        <w:t xml:space="preserve">The origin of the Constitutional </w:t>
      </w:r>
      <w:r>
        <w:rPr>
          <w:rFonts w:cs="Times New Roman"/>
          <w:lang w:val="en-GB"/>
        </w:rPr>
        <w:t>F</w:t>
      </w:r>
      <w:r w:rsidRPr="00934D9A">
        <w:rPr>
          <w:rFonts w:cs="Times New Roman"/>
          <w:lang w:val="en-GB"/>
        </w:rPr>
        <w:t xml:space="preserve">unds </w:t>
      </w:r>
      <w:r>
        <w:rPr>
          <w:rFonts w:cs="Times New Roman"/>
          <w:lang w:val="en-GB"/>
        </w:rPr>
        <w:t>consists of</w:t>
      </w:r>
      <w:r w:rsidRPr="00934D9A">
        <w:rPr>
          <w:rFonts w:cs="Times New Roman"/>
          <w:lang w:val="en-GB"/>
        </w:rPr>
        <w:t xml:space="preserve"> 3% of the revenue of Income Taxes and Industrialized Product Taxes (IPI</w:t>
      </w:r>
      <w:r w:rsidRPr="00934D9A">
        <w:rPr>
          <w:rStyle w:val="Refdenotadefim"/>
          <w:rFonts w:cs="Times New Roman"/>
          <w:lang w:val="en-GB"/>
        </w:rPr>
        <w:endnoteReference w:id="4"/>
      </w:r>
      <w:r w:rsidRPr="00934D9A">
        <w:rPr>
          <w:rFonts w:cs="Times New Roman"/>
          <w:lang w:val="en-GB"/>
        </w:rPr>
        <w:t xml:space="preserve">), collected in the previous year. 0.6% of the collected money goes to FNO, 0.6% goes to FCO, and the remaining 1.8% goes to FNE. In addition to taxes revenue, interest payments and unused resources from previous years compose the fund. This paper </w:t>
      </w:r>
      <w:proofErr w:type="spellStart"/>
      <w:r w:rsidRPr="00934D9A">
        <w:rPr>
          <w:rFonts w:cs="Times New Roman"/>
          <w:lang w:val="en-GB"/>
        </w:rPr>
        <w:t>analyzes</w:t>
      </w:r>
      <w:proofErr w:type="spellEnd"/>
      <w:r w:rsidRPr="00934D9A">
        <w:rPr>
          <w:rFonts w:cs="Times New Roman"/>
          <w:lang w:val="en-GB"/>
        </w:rPr>
        <w:t xml:space="preserve"> the economic impacts of FNE, whose area of activity </w:t>
      </w:r>
      <w:r>
        <w:rPr>
          <w:rFonts w:cs="Times New Roman"/>
          <w:lang w:val="en-GB"/>
        </w:rPr>
        <w:t>includes</w:t>
      </w:r>
      <w:r w:rsidRPr="00934D9A">
        <w:rPr>
          <w:rFonts w:cs="Times New Roman"/>
          <w:lang w:val="en-GB"/>
        </w:rPr>
        <w:t xml:space="preserve"> the whole </w:t>
      </w:r>
      <w:proofErr w:type="spellStart"/>
      <w:r w:rsidRPr="00934D9A">
        <w:rPr>
          <w:rFonts w:cs="Times New Roman"/>
          <w:lang w:val="en-GB"/>
        </w:rPr>
        <w:t>North</w:t>
      </w:r>
      <w:r>
        <w:rPr>
          <w:rFonts w:cs="Times New Roman"/>
          <w:lang w:val="en-GB"/>
        </w:rPr>
        <w:t>e</w:t>
      </w:r>
      <w:r w:rsidRPr="00934D9A">
        <w:rPr>
          <w:rFonts w:cs="Times New Roman"/>
          <w:lang w:val="en-GB"/>
        </w:rPr>
        <w:t>astern</w:t>
      </w:r>
      <w:proofErr w:type="spellEnd"/>
      <w:r w:rsidRPr="00934D9A">
        <w:rPr>
          <w:rFonts w:cs="Times New Roman"/>
          <w:lang w:val="en-GB"/>
        </w:rPr>
        <w:t xml:space="preserve"> region of the country, </w:t>
      </w:r>
      <w:r>
        <w:rPr>
          <w:rFonts w:cs="Times New Roman"/>
          <w:lang w:val="en-GB"/>
        </w:rPr>
        <w:t>in addition to</w:t>
      </w:r>
      <w:r w:rsidRPr="00934D9A">
        <w:rPr>
          <w:rFonts w:cs="Times New Roman"/>
          <w:lang w:val="en-GB"/>
        </w:rPr>
        <w:t xml:space="preserve"> the north of Minas </w:t>
      </w:r>
      <w:proofErr w:type="spellStart"/>
      <w:r w:rsidRPr="00934D9A">
        <w:rPr>
          <w:rFonts w:cs="Times New Roman"/>
          <w:lang w:val="en-GB"/>
        </w:rPr>
        <w:t>Gerais</w:t>
      </w:r>
      <w:proofErr w:type="spellEnd"/>
      <w:r w:rsidRPr="00934D9A">
        <w:rPr>
          <w:rFonts w:cs="Times New Roman"/>
          <w:lang w:val="en-GB"/>
        </w:rPr>
        <w:t xml:space="preserve"> and </w:t>
      </w:r>
      <w:proofErr w:type="spellStart"/>
      <w:r w:rsidRPr="00934D9A">
        <w:rPr>
          <w:rFonts w:cs="Times New Roman"/>
          <w:lang w:val="en-GB"/>
        </w:rPr>
        <w:t>Espírito</w:t>
      </w:r>
      <w:proofErr w:type="spellEnd"/>
      <w:r w:rsidRPr="00934D9A">
        <w:rPr>
          <w:rFonts w:cs="Times New Roman"/>
          <w:lang w:val="en-GB"/>
        </w:rPr>
        <w:t xml:space="preserve"> Santo states. </w:t>
      </w:r>
      <w:r>
        <w:rPr>
          <w:rFonts w:cs="Times New Roman"/>
          <w:lang w:val="en-GB"/>
        </w:rPr>
        <w:t>A</w:t>
      </w:r>
      <w:r w:rsidRPr="00934D9A">
        <w:rPr>
          <w:rFonts w:cs="Times New Roman"/>
          <w:lang w:val="en-GB"/>
        </w:rPr>
        <w:t xml:space="preserve">lthough </w:t>
      </w:r>
      <w:r>
        <w:rPr>
          <w:rFonts w:cs="Times New Roman"/>
          <w:lang w:val="en-GB"/>
        </w:rPr>
        <w:t>t</w:t>
      </w:r>
      <w:r w:rsidRPr="00934D9A">
        <w:rPr>
          <w:rFonts w:cs="Times New Roman"/>
          <w:lang w:val="en-GB"/>
        </w:rPr>
        <w:t xml:space="preserve">hese two states are not part of the Northeast region, </w:t>
      </w:r>
      <w:r>
        <w:rPr>
          <w:rFonts w:cs="Times New Roman"/>
          <w:lang w:val="en-GB"/>
        </w:rPr>
        <w:t xml:space="preserve">they </w:t>
      </w:r>
      <w:r w:rsidRPr="00934D9A">
        <w:rPr>
          <w:rFonts w:cs="Times New Roman"/>
          <w:lang w:val="en-GB"/>
        </w:rPr>
        <w:t>are under the supervision of the SUDENE</w:t>
      </w:r>
      <w:r w:rsidRPr="00934D9A">
        <w:rPr>
          <w:rStyle w:val="Refdenotadefim"/>
          <w:rFonts w:cs="Times New Roman"/>
          <w:lang w:val="en-GB"/>
        </w:rPr>
        <w:endnoteReference w:id="5"/>
      </w:r>
      <w:r w:rsidRPr="00934D9A">
        <w:rPr>
          <w:rFonts w:cs="Times New Roman"/>
          <w:lang w:val="en-GB"/>
        </w:rPr>
        <w:t>, the institution responsible for analysis and for stimulat</w:t>
      </w:r>
      <w:r>
        <w:rPr>
          <w:rFonts w:cs="Times New Roman"/>
          <w:lang w:val="en-GB"/>
        </w:rPr>
        <w:t>ion of</w:t>
      </w:r>
      <w:r w:rsidRPr="00934D9A">
        <w:rPr>
          <w:rFonts w:cs="Times New Roman"/>
          <w:lang w:val="en-GB"/>
        </w:rPr>
        <w:t xml:space="preserve"> economic growth in the </w:t>
      </w:r>
      <w:proofErr w:type="spellStart"/>
      <w:r>
        <w:rPr>
          <w:rFonts w:cs="Times New Roman"/>
          <w:lang w:val="en-GB"/>
        </w:rPr>
        <w:t>N</w:t>
      </w:r>
      <w:r w:rsidRPr="00934D9A">
        <w:rPr>
          <w:rFonts w:cs="Times New Roman"/>
          <w:lang w:val="en-GB"/>
        </w:rPr>
        <w:t>ortheastern</w:t>
      </w:r>
      <w:proofErr w:type="spellEnd"/>
      <w:r w:rsidRPr="00934D9A">
        <w:rPr>
          <w:rFonts w:cs="Times New Roman"/>
          <w:lang w:val="en-GB"/>
        </w:rPr>
        <w:t xml:space="preserve"> region of Brazil.</w:t>
      </w:r>
    </w:p>
    <w:p w14:paraId="0B43AC62" w14:textId="60B36AD7" w:rsidR="002263E6" w:rsidRDefault="002263E6" w:rsidP="00184876">
      <w:pPr>
        <w:spacing w:before="120" w:after="120" w:line="240" w:lineRule="auto"/>
        <w:jc w:val="both"/>
        <w:rPr>
          <w:rFonts w:cs="Times New Roman"/>
          <w:lang w:val="en-GB"/>
        </w:rPr>
      </w:pPr>
      <w:r w:rsidRPr="00934D9A">
        <w:rPr>
          <w:rFonts w:cs="Times New Roman"/>
          <w:lang w:val="en-GB"/>
        </w:rPr>
        <w:t>Half of this fund should be directed to</w:t>
      </w:r>
      <w:r>
        <w:rPr>
          <w:rFonts w:cs="Times New Roman"/>
          <w:lang w:val="en-GB"/>
        </w:rPr>
        <w:t>wards</w:t>
      </w:r>
      <w:r w:rsidRPr="00934D9A">
        <w:rPr>
          <w:rFonts w:cs="Times New Roman"/>
          <w:lang w:val="en-GB"/>
        </w:rPr>
        <w:t xml:space="preserve"> projects located in the semi</w:t>
      </w:r>
      <w:r>
        <w:rPr>
          <w:rFonts w:cs="Times New Roman"/>
          <w:lang w:val="en-GB"/>
        </w:rPr>
        <w:t>-</w:t>
      </w:r>
      <w:r w:rsidRPr="00934D9A">
        <w:rPr>
          <w:rFonts w:cs="Times New Roman"/>
          <w:lang w:val="en-GB"/>
        </w:rPr>
        <w:t>arid area, which is a subarea of the Brazilian Northeast whose socioeconomic development is still very underdeveloped when compared to the whole region. The policy focus</w:t>
      </w:r>
      <w:r>
        <w:rPr>
          <w:rFonts w:cs="Times New Roman"/>
          <w:lang w:val="en-GB"/>
        </w:rPr>
        <w:t>es</w:t>
      </w:r>
      <w:r w:rsidRPr="00934D9A">
        <w:rPr>
          <w:rFonts w:cs="Times New Roman"/>
          <w:lang w:val="en-GB"/>
        </w:rPr>
        <w:t xml:space="preserve"> on some specific sectors, such as infrastructure, agro</w:t>
      </w:r>
      <w:r>
        <w:rPr>
          <w:rFonts w:cs="Times New Roman"/>
          <w:lang w:val="en-GB"/>
        </w:rPr>
        <w:t>-</w:t>
      </w:r>
      <w:r w:rsidRPr="00934D9A">
        <w:rPr>
          <w:rFonts w:cs="Times New Roman"/>
          <w:lang w:val="en-GB"/>
        </w:rPr>
        <w:t>industry, livestock, irrigation, mining</w:t>
      </w:r>
      <w:r>
        <w:rPr>
          <w:rFonts w:cs="Times New Roman"/>
          <w:lang w:val="en-GB"/>
        </w:rPr>
        <w:t>,</w:t>
      </w:r>
      <w:r w:rsidRPr="00934D9A">
        <w:rPr>
          <w:rFonts w:cs="Times New Roman"/>
          <w:lang w:val="en-GB"/>
        </w:rPr>
        <w:t xml:space="preserve"> etc. According to Oli</w:t>
      </w:r>
      <w:r>
        <w:rPr>
          <w:rFonts w:cs="Times New Roman"/>
          <w:lang w:val="en-GB"/>
        </w:rPr>
        <w:t xml:space="preserve">veira and </w:t>
      </w:r>
      <w:proofErr w:type="spellStart"/>
      <w:r>
        <w:rPr>
          <w:rFonts w:cs="Times New Roman"/>
          <w:lang w:val="en-GB"/>
        </w:rPr>
        <w:t>Domingues</w:t>
      </w:r>
      <w:proofErr w:type="spellEnd"/>
      <w:r>
        <w:rPr>
          <w:rFonts w:cs="Times New Roman"/>
          <w:lang w:val="en-GB"/>
        </w:rPr>
        <w:t xml:space="preserve"> (2005</w:t>
      </w:r>
      <w:r w:rsidRPr="00934D9A">
        <w:rPr>
          <w:rFonts w:cs="Times New Roman"/>
          <w:lang w:val="en-GB"/>
        </w:rPr>
        <w:t>), one of the problems is that ultimately the</w:t>
      </w:r>
      <w:r>
        <w:rPr>
          <w:rFonts w:cs="Times New Roman"/>
          <w:lang w:val="en-GB"/>
        </w:rPr>
        <w:t>se</w:t>
      </w:r>
      <w:r w:rsidRPr="00934D9A">
        <w:rPr>
          <w:rFonts w:cs="Times New Roman"/>
          <w:lang w:val="en-GB"/>
        </w:rPr>
        <w:t xml:space="preserve"> fund</w:t>
      </w:r>
      <w:r>
        <w:rPr>
          <w:rFonts w:cs="Times New Roman"/>
          <w:lang w:val="en-GB"/>
        </w:rPr>
        <w:t>s</w:t>
      </w:r>
      <w:r w:rsidRPr="00934D9A">
        <w:rPr>
          <w:rFonts w:cs="Times New Roman"/>
          <w:lang w:val="en-GB"/>
        </w:rPr>
        <w:t xml:space="preserve"> </w:t>
      </w:r>
      <w:r>
        <w:rPr>
          <w:rFonts w:cs="Times New Roman"/>
          <w:lang w:val="en-GB"/>
        </w:rPr>
        <w:t>are</w:t>
      </w:r>
      <w:r w:rsidRPr="00934D9A">
        <w:rPr>
          <w:rFonts w:cs="Times New Roman"/>
          <w:lang w:val="en-GB"/>
        </w:rPr>
        <w:t xml:space="preserve"> allocated according to the demand, </w:t>
      </w:r>
      <w:r>
        <w:rPr>
          <w:rFonts w:cs="Times New Roman"/>
          <w:lang w:val="en-GB"/>
        </w:rPr>
        <w:t xml:space="preserve">which </w:t>
      </w:r>
      <w:r w:rsidRPr="00934D9A">
        <w:rPr>
          <w:rFonts w:cs="Times New Roman"/>
          <w:lang w:val="en-GB"/>
        </w:rPr>
        <w:t>concentrat</w:t>
      </w:r>
      <w:r>
        <w:rPr>
          <w:rFonts w:cs="Times New Roman"/>
          <w:lang w:val="en-GB"/>
        </w:rPr>
        <w:t>es</w:t>
      </w:r>
      <w:r w:rsidRPr="00934D9A">
        <w:rPr>
          <w:rFonts w:cs="Times New Roman"/>
          <w:lang w:val="en-GB"/>
        </w:rPr>
        <w:t xml:space="preserve"> applications in more developed regions.</w:t>
      </w:r>
    </w:p>
    <w:p w14:paraId="3E38D20A" w14:textId="77777777" w:rsidR="002263E6" w:rsidRDefault="002263E6" w:rsidP="00184876">
      <w:pPr>
        <w:spacing w:before="120" w:after="120" w:line="240" w:lineRule="auto"/>
        <w:jc w:val="both"/>
        <w:rPr>
          <w:rFonts w:cs="Times New Roman"/>
          <w:lang w:val="en-GB"/>
        </w:rPr>
      </w:pPr>
      <w:r w:rsidRPr="00934D9A">
        <w:rPr>
          <w:rFonts w:cs="Times New Roman"/>
          <w:lang w:val="en-GB"/>
        </w:rPr>
        <w:t xml:space="preserve">One of the first papers </w:t>
      </w:r>
      <w:proofErr w:type="spellStart"/>
      <w:r w:rsidRPr="00934D9A">
        <w:rPr>
          <w:rFonts w:cs="Times New Roman"/>
          <w:lang w:val="en-GB"/>
        </w:rPr>
        <w:t>analyzing</w:t>
      </w:r>
      <w:proofErr w:type="spellEnd"/>
      <w:r w:rsidRPr="00934D9A">
        <w:rPr>
          <w:rFonts w:cs="Times New Roman"/>
          <w:lang w:val="en-GB"/>
        </w:rPr>
        <w:t xml:space="preserve"> the efficiency of the FNE was written by Rodrigues and </w:t>
      </w:r>
      <w:proofErr w:type="spellStart"/>
      <w:r w:rsidRPr="00934D9A">
        <w:rPr>
          <w:rFonts w:cs="Times New Roman"/>
          <w:lang w:val="en-GB"/>
        </w:rPr>
        <w:t>Guilhoto</w:t>
      </w:r>
      <w:proofErr w:type="spellEnd"/>
      <w:r w:rsidRPr="00934D9A">
        <w:rPr>
          <w:rFonts w:cs="Times New Roman"/>
          <w:lang w:val="en-GB"/>
        </w:rPr>
        <w:t xml:space="preserve"> (1998). The authors used an input-output model to </w:t>
      </w:r>
      <w:proofErr w:type="spellStart"/>
      <w:r w:rsidRPr="00934D9A">
        <w:rPr>
          <w:rFonts w:cs="Times New Roman"/>
          <w:lang w:val="en-GB"/>
        </w:rPr>
        <w:t>analyze</w:t>
      </w:r>
      <w:proofErr w:type="spellEnd"/>
      <w:r w:rsidRPr="00934D9A">
        <w:rPr>
          <w:rFonts w:cs="Times New Roman"/>
          <w:lang w:val="en-GB"/>
        </w:rPr>
        <w:t xml:space="preserve"> the efficiency in terms of the allocation of the funds and the impact of the policy on income, employment, output, and imports between 1991 and 1993. They found the result pointing in the same direction that Almeida et al. (2006) and Almeida et al. (2007) found almost ten years later: funds were transferred primarily to the sectors with bigger potential effects over production, income</w:t>
      </w:r>
      <w:r>
        <w:rPr>
          <w:rFonts w:cs="Times New Roman"/>
          <w:lang w:val="en-GB"/>
        </w:rPr>
        <w:t>,</w:t>
      </w:r>
      <w:r w:rsidRPr="00934D9A">
        <w:rPr>
          <w:rFonts w:cs="Times New Roman"/>
          <w:lang w:val="en-GB"/>
        </w:rPr>
        <w:t xml:space="preserve"> and employment. On top of that, the authors argue that there were positive effects of FNE on income, employment</w:t>
      </w:r>
      <w:r>
        <w:rPr>
          <w:rFonts w:cs="Times New Roman"/>
          <w:lang w:val="en-GB"/>
        </w:rPr>
        <w:t>,</w:t>
      </w:r>
      <w:r w:rsidRPr="00934D9A">
        <w:rPr>
          <w:rFonts w:cs="Times New Roman"/>
          <w:lang w:val="en-GB"/>
        </w:rPr>
        <w:t xml:space="preserve"> and output.</w:t>
      </w:r>
    </w:p>
    <w:p w14:paraId="24DEAA71" w14:textId="4CD0512D" w:rsidR="002263E6" w:rsidRDefault="002263E6" w:rsidP="00184876">
      <w:pPr>
        <w:spacing w:before="120" w:after="120" w:line="240" w:lineRule="auto"/>
        <w:jc w:val="both"/>
        <w:rPr>
          <w:rFonts w:cs="Times New Roman"/>
          <w:lang w:val="en-GB"/>
        </w:rPr>
      </w:pPr>
      <w:r>
        <w:rPr>
          <w:rFonts w:cs="Times New Roman"/>
          <w:lang w:val="en-GB"/>
        </w:rPr>
        <w:t>From</w:t>
      </w:r>
      <w:r w:rsidRPr="00934D9A">
        <w:rPr>
          <w:rFonts w:cs="Times New Roman"/>
          <w:lang w:val="en-GB"/>
        </w:rPr>
        <w:t xml:space="preserve"> a partial equilibrium perspective, using econometric models, Almeida et al. (2006) and Almeida et al. (2007) have analysed how the Brazilian program is allocated among the municipalities, and they have found that the loans are allocated primarily in more dynamic municipalities, instead of in lower income municipalities, as </w:t>
      </w:r>
      <w:r>
        <w:rPr>
          <w:rFonts w:cs="Times New Roman"/>
          <w:lang w:val="en-GB"/>
        </w:rPr>
        <w:t xml:space="preserve">was intended by </w:t>
      </w:r>
      <w:r w:rsidRPr="00934D9A">
        <w:rPr>
          <w:rFonts w:cs="Times New Roman"/>
          <w:lang w:val="en-GB"/>
        </w:rPr>
        <w:t xml:space="preserve">the goals of the program. According to the authors, the program contributes to a decrease in inter-regional inequalities, which is a primary focus of the policy, but also </w:t>
      </w:r>
      <w:r w:rsidRPr="00934D9A">
        <w:rPr>
          <w:rFonts w:cs="Times New Roman"/>
          <w:lang w:val="en-GB"/>
        </w:rPr>
        <w:lastRenderedPageBreak/>
        <w:t xml:space="preserve">with the increase of intra-regional inequality, given that more dynamic areas are located in wealthier municipalities. </w:t>
      </w:r>
    </w:p>
    <w:p w14:paraId="0D3D7E9B" w14:textId="145A4040" w:rsidR="002263E6" w:rsidRDefault="002263E6" w:rsidP="00184876">
      <w:pPr>
        <w:spacing w:before="120" w:after="120" w:line="240" w:lineRule="auto"/>
        <w:jc w:val="both"/>
        <w:rPr>
          <w:rFonts w:cs="Times New Roman"/>
          <w:lang w:val="en-GB"/>
        </w:rPr>
      </w:pPr>
      <w:r w:rsidRPr="00934D9A">
        <w:rPr>
          <w:rFonts w:cs="Times New Roman"/>
          <w:lang w:val="en-GB"/>
        </w:rPr>
        <w:t xml:space="preserve">In the last years, the literature on the FNE impacts has intensified </w:t>
      </w:r>
      <w:r>
        <w:rPr>
          <w:rFonts w:cs="Times New Roman"/>
          <w:lang w:val="en-GB"/>
        </w:rPr>
        <w:t>(</w:t>
      </w:r>
      <w:r w:rsidRPr="00934D9A">
        <w:rPr>
          <w:rFonts w:cs="Times New Roman"/>
          <w:lang w:val="en-GB"/>
        </w:rPr>
        <w:t xml:space="preserve">Almeida </w:t>
      </w:r>
      <w:r w:rsidRPr="00A21749">
        <w:rPr>
          <w:rFonts w:cs="Times New Roman"/>
          <w:lang w:val="en-GB"/>
        </w:rPr>
        <w:t>et al.</w:t>
      </w:r>
      <w:r>
        <w:rPr>
          <w:rFonts w:cs="Times New Roman"/>
          <w:i/>
          <w:lang w:val="en-GB"/>
        </w:rPr>
        <w:t xml:space="preserve">, </w:t>
      </w:r>
      <w:r>
        <w:rPr>
          <w:rFonts w:cs="Times New Roman"/>
          <w:lang w:val="en-GB"/>
        </w:rPr>
        <w:t>2007;</w:t>
      </w:r>
      <w:r w:rsidRPr="00934D9A">
        <w:rPr>
          <w:rFonts w:cs="Times New Roman"/>
          <w:lang w:val="en-GB"/>
        </w:rPr>
        <w:t xml:space="preserve"> </w:t>
      </w:r>
      <w:proofErr w:type="spellStart"/>
      <w:r w:rsidRPr="00934D9A">
        <w:rPr>
          <w:rFonts w:cs="Times New Roman"/>
          <w:lang w:val="en-GB"/>
        </w:rPr>
        <w:t>Resende</w:t>
      </w:r>
      <w:proofErr w:type="spellEnd"/>
      <w:r>
        <w:rPr>
          <w:rFonts w:cs="Times New Roman"/>
          <w:lang w:val="en-GB"/>
        </w:rPr>
        <w:t xml:space="preserve">, </w:t>
      </w:r>
      <w:r w:rsidRPr="00934D9A">
        <w:rPr>
          <w:rFonts w:cs="Times New Roman"/>
          <w:lang w:val="en-GB"/>
        </w:rPr>
        <w:t>2014</w:t>
      </w:r>
      <w:r>
        <w:rPr>
          <w:rFonts w:cs="Times New Roman"/>
          <w:lang w:val="en-GB"/>
        </w:rPr>
        <w:t>;</w:t>
      </w:r>
      <w:r w:rsidRPr="00934D9A">
        <w:rPr>
          <w:rFonts w:cs="Times New Roman"/>
          <w:lang w:val="en-GB"/>
        </w:rPr>
        <w:t xml:space="preserve"> </w:t>
      </w:r>
      <w:r w:rsidRPr="00882887">
        <w:rPr>
          <w:rFonts w:cs="Times New Roman"/>
          <w:lang w:val="en-GB"/>
        </w:rPr>
        <w:t>Silva et al.</w:t>
      </w:r>
      <w:r>
        <w:rPr>
          <w:rFonts w:cs="Times New Roman"/>
          <w:lang w:val="en-GB"/>
        </w:rPr>
        <w:t>,</w:t>
      </w:r>
      <w:r w:rsidRPr="00882887">
        <w:rPr>
          <w:rFonts w:cs="Times New Roman"/>
          <w:lang w:val="en-GB"/>
        </w:rPr>
        <w:t xml:space="preserve"> </w:t>
      </w:r>
      <w:r w:rsidRPr="00934D9A">
        <w:rPr>
          <w:rFonts w:cs="Times New Roman"/>
          <w:lang w:val="en-GB"/>
        </w:rPr>
        <w:t>2007</w:t>
      </w:r>
      <w:r>
        <w:rPr>
          <w:rFonts w:cs="Times New Roman"/>
          <w:lang w:val="en-GB"/>
        </w:rPr>
        <w:t>;</w:t>
      </w:r>
      <w:r w:rsidRPr="00934D9A">
        <w:rPr>
          <w:rFonts w:cs="Times New Roman"/>
          <w:lang w:val="en-GB"/>
        </w:rPr>
        <w:t xml:space="preserve"> </w:t>
      </w:r>
      <w:proofErr w:type="spellStart"/>
      <w:r w:rsidRPr="00934D9A">
        <w:rPr>
          <w:rFonts w:cs="Times New Roman"/>
          <w:lang w:val="en-GB"/>
        </w:rPr>
        <w:t>Soares</w:t>
      </w:r>
      <w:proofErr w:type="spellEnd"/>
      <w:r w:rsidRPr="00934D9A">
        <w:rPr>
          <w:rFonts w:cs="Times New Roman"/>
          <w:lang w:val="en-GB"/>
        </w:rPr>
        <w:t xml:space="preserve"> </w:t>
      </w:r>
      <w:r w:rsidRPr="00882887">
        <w:rPr>
          <w:rFonts w:cs="Times New Roman"/>
          <w:lang w:val="en-GB"/>
        </w:rPr>
        <w:t>et al.</w:t>
      </w:r>
      <w:r>
        <w:rPr>
          <w:rFonts w:cs="Times New Roman"/>
          <w:lang w:val="en-GB"/>
        </w:rPr>
        <w:t>,</w:t>
      </w:r>
      <w:r w:rsidRPr="00934D9A">
        <w:rPr>
          <w:rFonts w:cs="Times New Roman"/>
          <w:lang w:val="en-GB"/>
        </w:rPr>
        <w:t xml:space="preserve"> 2014, among others</w:t>
      </w:r>
      <w:r>
        <w:rPr>
          <w:rFonts w:cs="Times New Roman"/>
          <w:lang w:val="en-GB"/>
        </w:rPr>
        <w:t>)</w:t>
      </w:r>
      <w:r w:rsidRPr="00934D9A">
        <w:rPr>
          <w:rFonts w:cs="Times New Roman"/>
          <w:lang w:val="en-GB"/>
        </w:rPr>
        <w:t xml:space="preserve">. However, there is still no consensus in the literature about the effects of the program on municipalities’ growth rates. </w:t>
      </w:r>
      <w:proofErr w:type="spellStart"/>
      <w:r w:rsidRPr="00934D9A">
        <w:rPr>
          <w:rFonts w:cs="Times New Roman"/>
          <w:lang w:val="en-GB"/>
        </w:rPr>
        <w:t>Soares</w:t>
      </w:r>
      <w:proofErr w:type="spellEnd"/>
      <w:r w:rsidRPr="00934D9A">
        <w:rPr>
          <w:rFonts w:cs="Times New Roman"/>
          <w:lang w:val="en-GB"/>
        </w:rPr>
        <w:t xml:space="preserve"> </w:t>
      </w:r>
      <w:r w:rsidRPr="00882887">
        <w:rPr>
          <w:rFonts w:cs="Times New Roman"/>
          <w:lang w:val="en-GB"/>
        </w:rPr>
        <w:t>et al.</w:t>
      </w:r>
      <w:r w:rsidRPr="00934D9A">
        <w:rPr>
          <w:rFonts w:cs="Times New Roman"/>
          <w:lang w:val="en-GB"/>
        </w:rPr>
        <w:t xml:space="preserve"> (2014), for example, have found a positive effect on economic growth of most of the Brazilian </w:t>
      </w:r>
      <w:proofErr w:type="spellStart"/>
      <w:r w:rsidRPr="00934D9A">
        <w:rPr>
          <w:rFonts w:cs="Times New Roman"/>
          <w:lang w:val="en-GB"/>
        </w:rPr>
        <w:t>Northeastern</w:t>
      </w:r>
      <w:proofErr w:type="spellEnd"/>
      <w:r w:rsidRPr="00934D9A">
        <w:rPr>
          <w:rFonts w:cs="Times New Roman"/>
          <w:lang w:val="en-GB"/>
        </w:rPr>
        <w:t xml:space="preserve"> municipalities. On the other hand, Silva et al. (2007), using Propensity Score Matching, have not found any effect of the same policy on employment and wages from 1995 and 2000. For the analysis in the sub-period between 1995 and 1998, the authors found </w:t>
      </w:r>
      <w:r>
        <w:rPr>
          <w:rFonts w:cs="Times New Roman"/>
          <w:lang w:val="en-GB"/>
        </w:rPr>
        <w:t xml:space="preserve">a </w:t>
      </w:r>
      <w:r w:rsidRPr="00934D9A">
        <w:rPr>
          <w:rFonts w:cs="Times New Roman"/>
          <w:lang w:val="en-GB"/>
        </w:rPr>
        <w:t>positive impact on employment, which means that, on average, firms that have received funding from the policy have increase</w:t>
      </w:r>
      <w:r>
        <w:rPr>
          <w:rFonts w:cs="Times New Roman"/>
          <w:lang w:val="en-GB"/>
        </w:rPr>
        <w:t>d</w:t>
      </w:r>
      <w:r w:rsidRPr="00934D9A">
        <w:rPr>
          <w:rFonts w:cs="Times New Roman"/>
          <w:lang w:val="en-GB"/>
        </w:rPr>
        <w:t xml:space="preserve"> the </w:t>
      </w:r>
      <w:r>
        <w:rPr>
          <w:rFonts w:cs="Times New Roman"/>
          <w:lang w:val="en-GB"/>
        </w:rPr>
        <w:t>number</w:t>
      </w:r>
      <w:r w:rsidRPr="00934D9A">
        <w:rPr>
          <w:rFonts w:cs="Times New Roman"/>
          <w:lang w:val="en-GB"/>
        </w:rPr>
        <w:t xml:space="preserve"> of employees more than firms without the treatment. </w:t>
      </w:r>
    </w:p>
    <w:p w14:paraId="00251F14" w14:textId="23498D81" w:rsidR="002263E6" w:rsidRDefault="002263E6" w:rsidP="00184876">
      <w:pPr>
        <w:spacing w:before="120" w:after="120" w:line="240" w:lineRule="auto"/>
        <w:jc w:val="both"/>
        <w:rPr>
          <w:rFonts w:cs="Times New Roman"/>
          <w:lang w:val="en-GB"/>
        </w:rPr>
      </w:pPr>
      <w:r w:rsidRPr="00934D9A">
        <w:rPr>
          <w:rFonts w:cs="Times New Roman"/>
          <w:lang w:val="en-GB"/>
        </w:rPr>
        <w:t>CGE models allow a distinct perspective, through an integrated analysis about the potential impacts of FNE in different regions (</w:t>
      </w:r>
      <w:proofErr w:type="spellStart"/>
      <w:r w:rsidRPr="00934D9A">
        <w:rPr>
          <w:rFonts w:cs="Times New Roman"/>
          <w:lang w:val="en-GB"/>
        </w:rPr>
        <w:t>Northeastern</w:t>
      </w:r>
      <w:proofErr w:type="spellEnd"/>
      <w:r w:rsidRPr="00934D9A">
        <w:rPr>
          <w:rFonts w:cs="Times New Roman"/>
          <w:lang w:val="en-GB"/>
        </w:rPr>
        <w:t xml:space="preserve"> states and the rest of Brazil) and economic sectors, taking into account </w:t>
      </w:r>
      <w:proofErr w:type="spellStart"/>
      <w:r w:rsidRPr="00934D9A">
        <w:rPr>
          <w:rFonts w:cs="Times New Roman"/>
          <w:lang w:val="en-GB"/>
        </w:rPr>
        <w:t>spillover</w:t>
      </w:r>
      <w:proofErr w:type="spellEnd"/>
      <w:r w:rsidRPr="00934D9A">
        <w:rPr>
          <w:rFonts w:cs="Times New Roman"/>
          <w:lang w:val="en-GB"/>
        </w:rPr>
        <w:t xml:space="preserve"> and feedback effects among regions in a general equilibrium setting. The simulations allow the creation of a counterfactual situation where the fund effect can be isolated from other economic shocks and policies. The following section describes the main characteristics of the model we use in this paper to </w:t>
      </w:r>
      <w:proofErr w:type="spellStart"/>
      <w:r w:rsidRPr="00934D9A">
        <w:rPr>
          <w:rFonts w:cs="Times New Roman"/>
          <w:lang w:val="en-GB"/>
        </w:rPr>
        <w:t>analyze</w:t>
      </w:r>
      <w:proofErr w:type="spellEnd"/>
      <w:r w:rsidRPr="00934D9A">
        <w:rPr>
          <w:rFonts w:cs="Times New Roman"/>
          <w:lang w:val="en-GB"/>
        </w:rPr>
        <w:t xml:space="preserve"> the economic impacts of FNE.</w:t>
      </w:r>
    </w:p>
    <w:p w14:paraId="57C65FC2" w14:textId="77777777" w:rsidR="00414F96" w:rsidRDefault="00414F96" w:rsidP="00184876">
      <w:pPr>
        <w:spacing w:before="120" w:after="120" w:line="240" w:lineRule="auto"/>
        <w:jc w:val="both"/>
        <w:rPr>
          <w:rFonts w:cs="Times New Roman"/>
          <w:lang w:val="en-GB"/>
        </w:rPr>
      </w:pPr>
    </w:p>
    <w:p w14:paraId="39EBB0CD" w14:textId="77777777" w:rsidR="002263E6" w:rsidRDefault="002263E6" w:rsidP="00184876">
      <w:pPr>
        <w:pStyle w:val="Ttulo1"/>
        <w:spacing w:before="120" w:after="120"/>
        <w:rPr>
          <w:lang w:val="en-GB"/>
        </w:rPr>
      </w:pPr>
      <w:r w:rsidRPr="00934D9A">
        <w:rPr>
          <w:lang w:val="en-GB"/>
        </w:rPr>
        <w:t>Methodology</w:t>
      </w:r>
    </w:p>
    <w:p w14:paraId="21EA7653" w14:textId="77777777" w:rsidR="002263E6" w:rsidRDefault="002263E6" w:rsidP="00184876">
      <w:pPr>
        <w:spacing w:before="120" w:after="120" w:line="240" w:lineRule="auto"/>
        <w:jc w:val="both"/>
        <w:rPr>
          <w:rFonts w:cs="Times New Roman"/>
          <w:lang w:val="en-GB"/>
        </w:rPr>
      </w:pPr>
      <w:r w:rsidRPr="00934D9A">
        <w:rPr>
          <w:rFonts w:cs="Times New Roman"/>
          <w:lang w:val="en-GB"/>
        </w:rPr>
        <w:t>We use an inter</w:t>
      </w:r>
      <w:r>
        <w:rPr>
          <w:rFonts w:cs="Times New Roman"/>
          <w:lang w:val="en-GB"/>
        </w:rPr>
        <w:t>-regional</w:t>
      </w:r>
      <w:r w:rsidRPr="00934D9A">
        <w:rPr>
          <w:rFonts w:cs="Times New Roman"/>
          <w:lang w:val="en-GB"/>
        </w:rPr>
        <w:t xml:space="preserve"> CGE model with recursive dynamic mechanism developed for the 27 federative units of Brazil, calibrated for 2013. The model is specified for 20 industries</w:t>
      </w:r>
      <w:r w:rsidRPr="00934D9A">
        <w:rPr>
          <w:rStyle w:val="Refdenotadefim"/>
          <w:rFonts w:cs="Times New Roman"/>
          <w:lang w:val="en-GB"/>
        </w:rPr>
        <w:endnoteReference w:id="6"/>
      </w:r>
      <w:r w:rsidRPr="00934D9A">
        <w:rPr>
          <w:rFonts w:cs="Times New Roman"/>
          <w:lang w:val="en-GB"/>
        </w:rPr>
        <w:t xml:space="preserve">, </w:t>
      </w:r>
      <w:r>
        <w:rPr>
          <w:rFonts w:cs="Times New Roman"/>
          <w:lang w:val="en-GB"/>
        </w:rPr>
        <w:t>four</w:t>
      </w:r>
      <w:r w:rsidRPr="00934D9A">
        <w:rPr>
          <w:rFonts w:cs="Times New Roman"/>
          <w:lang w:val="en-GB"/>
        </w:rPr>
        <w:t xml:space="preserve"> final users (households, investment, government and exports) and imports, three productive factors (land, labour</w:t>
      </w:r>
      <w:r>
        <w:rPr>
          <w:rFonts w:cs="Times New Roman"/>
          <w:lang w:val="en-GB"/>
        </w:rPr>
        <w:t>,</w:t>
      </w:r>
      <w:r w:rsidRPr="00934D9A">
        <w:rPr>
          <w:rFonts w:cs="Times New Roman"/>
          <w:lang w:val="en-GB"/>
        </w:rPr>
        <w:t xml:space="preserve"> and capital), two margins (trade and transport), a tax aggregate production</w:t>
      </w:r>
      <w:r>
        <w:rPr>
          <w:rFonts w:cs="Times New Roman"/>
          <w:lang w:val="en-GB"/>
        </w:rPr>
        <w:t>,</w:t>
      </w:r>
      <w:r w:rsidRPr="00934D9A">
        <w:rPr>
          <w:rFonts w:cs="Times New Roman"/>
          <w:lang w:val="en-GB"/>
        </w:rPr>
        <w:t xml:space="preserve"> and indirect taxes for each of the 27 regions. The database represents the productive structure of the Brazilian economy in 2013, including the trade flows among regions. </w:t>
      </w:r>
    </w:p>
    <w:p w14:paraId="3ACA1D6D" w14:textId="11C00F43" w:rsidR="002263E6" w:rsidRDefault="002263E6" w:rsidP="00184876">
      <w:pPr>
        <w:spacing w:before="120" w:after="120" w:line="240" w:lineRule="auto"/>
        <w:jc w:val="both"/>
        <w:rPr>
          <w:rFonts w:cs="Times New Roman"/>
          <w:lang w:val="en-GB"/>
        </w:rPr>
      </w:pPr>
      <w:r w:rsidRPr="00934D9A">
        <w:rPr>
          <w:rFonts w:cs="Times New Roman"/>
          <w:lang w:val="en-GB"/>
        </w:rPr>
        <w:t xml:space="preserve">The model is a Johansen </w:t>
      </w:r>
      <w:r>
        <w:rPr>
          <w:rFonts w:cs="Times New Roman"/>
          <w:lang w:val="en-GB"/>
        </w:rPr>
        <w:t xml:space="preserve">(1960) </w:t>
      </w:r>
      <w:r w:rsidRPr="00934D9A">
        <w:rPr>
          <w:rFonts w:cs="Times New Roman"/>
          <w:lang w:val="en-GB"/>
        </w:rPr>
        <w:t>type CGE model, based on the Australian tradition in CGE modelling, in which the mathematical structure is represented by a set of linearized equations and the solutions are obtained in a growth rates form. It is a botto</w:t>
      </w:r>
      <w:r>
        <w:rPr>
          <w:rFonts w:cs="Times New Roman"/>
          <w:lang w:val="en-GB"/>
        </w:rPr>
        <w:t>m</w:t>
      </w:r>
      <w:r w:rsidRPr="00934D9A">
        <w:rPr>
          <w:rFonts w:cs="Times New Roman"/>
          <w:lang w:val="en-GB"/>
        </w:rPr>
        <w:t>-up model and follows the theoretical structure of the TERM (The Enormous Regional Model) (</w:t>
      </w:r>
      <w:proofErr w:type="spellStart"/>
      <w:r w:rsidRPr="00934D9A">
        <w:rPr>
          <w:rFonts w:cs="Times New Roman"/>
          <w:lang w:val="en-GB"/>
        </w:rPr>
        <w:t>Wittwer</w:t>
      </w:r>
      <w:proofErr w:type="spellEnd"/>
      <w:r>
        <w:rPr>
          <w:rFonts w:cs="Times New Roman"/>
          <w:lang w:val="en-GB"/>
        </w:rPr>
        <w:t>, 2012</w:t>
      </w:r>
      <w:r w:rsidRPr="00934D9A">
        <w:rPr>
          <w:rFonts w:cs="Times New Roman"/>
          <w:lang w:val="en-GB"/>
        </w:rPr>
        <w:t>).</w:t>
      </w:r>
      <w:r w:rsidRPr="00934D9A">
        <w:rPr>
          <w:rFonts w:cs="Times New Roman"/>
          <w:highlight w:val="yellow"/>
          <w:lang w:val="en-GB"/>
        </w:rPr>
        <w:t xml:space="preserve"> </w:t>
      </w:r>
    </w:p>
    <w:p w14:paraId="76D7BF2D" w14:textId="77777777" w:rsidR="002263E6" w:rsidRDefault="002263E6" w:rsidP="00184876">
      <w:pPr>
        <w:spacing w:before="120" w:after="120" w:line="240" w:lineRule="auto"/>
        <w:jc w:val="both"/>
        <w:rPr>
          <w:rFonts w:cs="Times New Roman"/>
          <w:lang w:val="en-GB"/>
        </w:rPr>
      </w:pPr>
      <w:r w:rsidRPr="00934D9A">
        <w:rPr>
          <w:rFonts w:cs="Times New Roman"/>
          <w:lang w:val="en-GB"/>
        </w:rPr>
        <w:t>One of the major features our model is its computational ability to work with many regions and sectors from a simple database. This feature stems from the more compact structure of the database compar</w:t>
      </w:r>
      <w:r>
        <w:rPr>
          <w:rFonts w:cs="Times New Roman"/>
          <w:lang w:val="en-GB"/>
        </w:rPr>
        <w:t>ed</w:t>
      </w:r>
      <w:r w:rsidRPr="00934D9A">
        <w:rPr>
          <w:rFonts w:cs="Times New Roman"/>
          <w:lang w:val="en-GB"/>
        </w:rPr>
        <w:t xml:space="preserve"> to other regional CGE models and from simplifying assumptions in the modelling of multi-regional trade (</w:t>
      </w:r>
      <w:proofErr w:type="spellStart"/>
      <w:r w:rsidRPr="00934D9A">
        <w:rPr>
          <w:rFonts w:cs="Times New Roman"/>
          <w:lang w:val="en-GB"/>
        </w:rPr>
        <w:t>Horridge</w:t>
      </w:r>
      <w:proofErr w:type="spellEnd"/>
      <w:r w:rsidRPr="00934D9A">
        <w:rPr>
          <w:rFonts w:cs="Times New Roman"/>
          <w:lang w:val="en-GB"/>
        </w:rPr>
        <w:t xml:space="preserve"> et al., 2005). </w:t>
      </w:r>
    </w:p>
    <w:p w14:paraId="4DCE26B8" w14:textId="77777777" w:rsidR="002263E6" w:rsidRDefault="002263E6" w:rsidP="00184876">
      <w:pPr>
        <w:spacing w:before="120" w:after="120" w:line="240" w:lineRule="auto"/>
        <w:jc w:val="both"/>
        <w:rPr>
          <w:rFonts w:cs="Times New Roman"/>
          <w:lang w:val="en-GB"/>
        </w:rPr>
      </w:pPr>
      <w:r w:rsidRPr="00934D9A">
        <w:rPr>
          <w:rFonts w:cs="Times New Roman"/>
          <w:lang w:val="en-GB"/>
        </w:rPr>
        <w:t>The presence of cost-minimizing sectors and utility-maximizing households compose the structure of our model. Each sector produces only one commodity using intermediate inputs, as well as primary factors (labour, capital</w:t>
      </w:r>
      <w:r>
        <w:rPr>
          <w:rFonts w:cs="Times New Roman"/>
          <w:lang w:val="en-GB"/>
        </w:rPr>
        <w:t>,</w:t>
      </w:r>
      <w:r w:rsidRPr="00934D9A">
        <w:rPr>
          <w:rFonts w:cs="Times New Roman"/>
          <w:lang w:val="en-GB"/>
        </w:rPr>
        <w:t xml:space="preserve"> and land). The mix of primary factors and intermediate inputs is obtained in fixed proportions, by a Leontief function. Industries produce in constant returns of scale. Households, industries</w:t>
      </w:r>
      <w:r>
        <w:rPr>
          <w:rFonts w:cs="Times New Roman"/>
          <w:lang w:val="en-GB"/>
        </w:rPr>
        <w:t>,</w:t>
      </w:r>
      <w:r w:rsidRPr="00934D9A">
        <w:rPr>
          <w:rFonts w:cs="Times New Roman"/>
          <w:lang w:val="en-GB"/>
        </w:rPr>
        <w:t xml:space="preserve"> and investors choose between domestic and imported goods or inputs (from another country) using a CES specification (</w:t>
      </w:r>
      <w:proofErr w:type="spellStart"/>
      <w:r w:rsidRPr="00934D9A">
        <w:rPr>
          <w:rFonts w:cs="Times New Roman"/>
          <w:lang w:val="en-GB"/>
        </w:rPr>
        <w:t>Armington</w:t>
      </w:r>
      <w:proofErr w:type="spellEnd"/>
      <w:r w:rsidRPr="00934D9A">
        <w:rPr>
          <w:rFonts w:cs="Times New Roman"/>
          <w:lang w:val="en-GB"/>
        </w:rPr>
        <w:t xml:space="preserve"> hypothesis), based on the purchase price from each source. Household demand equations are specified as a CES / Klein-Rubin preferences function</w:t>
      </w:r>
      <w:r>
        <w:rPr>
          <w:rFonts w:cs="Times New Roman"/>
          <w:lang w:val="en-GB"/>
        </w:rPr>
        <w:t>.</w:t>
      </w:r>
    </w:p>
    <w:p w14:paraId="78B046F8" w14:textId="77777777" w:rsidR="002263E6" w:rsidRDefault="002263E6" w:rsidP="00184876">
      <w:pPr>
        <w:spacing w:before="120" w:after="120" w:line="240" w:lineRule="auto"/>
        <w:jc w:val="both"/>
        <w:rPr>
          <w:rFonts w:cs="Times New Roman"/>
          <w:lang w:val="en-GB"/>
        </w:rPr>
      </w:pPr>
      <w:r w:rsidRPr="00934D9A">
        <w:rPr>
          <w:rFonts w:cs="Times New Roman"/>
          <w:lang w:val="en-GB"/>
        </w:rPr>
        <w:t>There is market equilibrium for all goods, both domestic and imported, as well as in the factor market (capital, land</w:t>
      </w:r>
      <w:r>
        <w:rPr>
          <w:rFonts w:cs="Times New Roman"/>
          <w:lang w:val="en-GB"/>
        </w:rPr>
        <w:t>,</w:t>
      </w:r>
      <w:r w:rsidRPr="00934D9A">
        <w:rPr>
          <w:rFonts w:cs="Times New Roman"/>
          <w:lang w:val="en-GB"/>
        </w:rPr>
        <w:t xml:space="preserve"> and labour) in each region. The demands for margins (transport and trade) are proportional to the flows of goods to which the margins are connected. Purchase prices for each of the use groups in each region (producers, investors, households, exporters, and government) are the sum of basic values, direct and indirect taxes on sales</w:t>
      </w:r>
      <w:r>
        <w:rPr>
          <w:rFonts w:cs="Times New Roman"/>
          <w:lang w:val="en-GB"/>
        </w:rPr>
        <w:t>,</w:t>
      </w:r>
      <w:r w:rsidRPr="00934D9A">
        <w:rPr>
          <w:rFonts w:cs="Times New Roman"/>
          <w:lang w:val="en-GB"/>
        </w:rPr>
        <w:t xml:space="preserve"> and margins. The recursive-dynamics is based on a sequence of solutions for each year, among which, investment and capital stocks are adjusted according to regional and sectorial rates of return</w:t>
      </w:r>
      <w:r w:rsidRPr="00934D9A">
        <w:rPr>
          <w:rStyle w:val="Refdenotadefim"/>
          <w:rFonts w:cs="Times New Roman"/>
          <w:lang w:val="en-GB"/>
        </w:rPr>
        <w:endnoteReference w:id="7"/>
      </w:r>
      <w:r w:rsidRPr="00934D9A">
        <w:rPr>
          <w:rFonts w:cs="Times New Roman"/>
          <w:lang w:val="en-GB"/>
        </w:rPr>
        <w:t xml:space="preserve">. </w:t>
      </w:r>
    </w:p>
    <w:p w14:paraId="1D9F880A" w14:textId="77777777" w:rsidR="002263E6" w:rsidRDefault="002263E6" w:rsidP="00184876">
      <w:pPr>
        <w:spacing w:before="120" w:after="120" w:line="240" w:lineRule="auto"/>
        <w:jc w:val="both"/>
        <w:rPr>
          <w:rFonts w:cs="Times New Roman"/>
          <w:lang w:val="en-GB"/>
        </w:rPr>
      </w:pPr>
      <w:r w:rsidRPr="00934D9A">
        <w:rPr>
          <w:rFonts w:cs="Times New Roman"/>
          <w:lang w:val="en-GB"/>
        </w:rPr>
        <w:lastRenderedPageBreak/>
        <w:t xml:space="preserve">The model database was developed through a regionalization procedure of information from the 2013 National Accounts System to Brazil (IBGE, 2017), based on the procedures developed by </w:t>
      </w:r>
      <w:proofErr w:type="spellStart"/>
      <w:r w:rsidRPr="00934D9A">
        <w:rPr>
          <w:rFonts w:cs="Times New Roman"/>
          <w:lang w:val="en-GB"/>
        </w:rPr>
        <w:t>Horridge</w:t>
      </w:r>
      <w:proofErr w:type="spellEnd"/>
      <w:r w:rsidRPr="00934D9A">
        <w:rPr>
          <w:rFonts w:cs="Times New Roman"/>
          <w:lang w:val="en-GB"/>
        </w:rPr>
        <w:t xml:space="preserve"> (2012) adapted to the Brazilian case. This methodology ensures the consistency of the database with the official information available for the country. </w:t>
      </w:r>
      <w:proofErr w:type="spellStart"/>
      <w:r w:rsidRPr="00934D9A">
        <w:rPr>
          <w:rFonts w:cs="Times New Roman"/>
          <w:lang w:val="en-GB"/>
        </w:rPr>
        <w:t>Carvalho</w:t>
      </w:r>
      <w:proofErr w:type="spellEnd"/>
      <w:r w:rsidRPr="00934D9A">
        <w:rPr>
          <w:rFonts w:cs="Times New Roman"/>
          <w:lang w:val="en-GB"/>
        </w:rPr>
        <w:t xml:space="preserve"> et al. (2017) and </w:t>
      </w:r>
      <w:proofErr w:type="spellStart"/>
      <w:r w:rsidRPr="00934D9A">
        <w:rPr>
          <w:rFonts w:cs="Times New Roman"/>
          <w:lang w:val="en-GB"/>
        </w:rPr>
        <w:t>Ribeiro</w:t>
      </w:r>
      <w:proofErr w:type="spellEnd"/>
      <w:r w:rsidRPr="00934D9A">
        <w:rPr>
          <w:rFonts w:cs="Times New Roman"/>
          <w:lang w:val="en-GB"/>
        </w:rPr>
        <w:t xml:space="preserve"> et al. (2018) apply this procedure to regionalize the official database for Brazil in an Amazon micro regions</w:t>
      </w:r>
      <w:r>
        <w:rPr>
          <w:rFonts w:cs="Times New Roman"/>
          <w:lang w:val="en-GB"/>
        </w:rPr>
        <w:t>–</w:t>
      </w:r>
      <w:r w:rsidRPr="00934D9A">
        <w:rPr>
          <w:rFonts w:cs="Times New Roman"/>
          <w:lang w:val="en-GB"/>
        </w:rPr>
        <w:t xml:space="preserve">Rest of Brazil and a </w:t>
      </w:r>
      <w:proofErr w:type="gramStart"/>
      <w:r w:rsidRPr="00934D9A">
        <w:rPr>
          <w:rFonts w:cs="Times New Roman"/>
          <w:lang w:val="en-GB"/>
        </w:rPr>
        <w:t>Northeast</w:t>
      </w:r>
      <w:proofErr w:type="gramEnd"/>
      <w:r w:rsidRPr="00934D9A">
        <w:rPr>
          <w:rFonts w:cs="Times New Roman"/>
          <w:lang w:val="en-GB"/>
        </w:rPr>
        <w:t xml:space="preserve"> micro regions</w:t>
      </w:r>
      <w:r>
        <w:rPr>
          <w:rFonts w:cs="Times New Roman"/>
          <w:lang w:val="en-GB"/>
        </w:rPr>
        <w:t>–</w:t>
      </w:r>
      <w:r w:rsidRPr="00934D9A">
        <w:rPr>
          <w:rFonts w:cs="Times New Roman"/>
          <w:lang w:val="en-GB"/>
        </w:rPr>
        <w:t>Rest of Brazil database, respectively. Our model accounts for the 27 Brazilian federative units, contemplating in a separate way the nine states that compose the Brazilian Northeast</w:t>
      </w:r>
      <w:r>
        <w:rPr>
          <w:rFonts w:cs="Times New Roman"/>
          <w:lang w:val="en-GB"/>
        </w:rPr>
        <w:t>,</w:t>
      </w:r>
      <w:r w:rsidRPr="00934D9A">
        <w:rPr>
          <w:rFonts w:cs="Times New Roman"/>
          <w:lang w:val="en-GB"/>
        </w:rPr>
        <w:t xml:space="preserve"> as well as the trade flows between these and the other states of Brazil</w:t>
      </w:r>
      <w:r w:rsidRPr="00934D9A">
        <w:rPr>
          <w:rStyle w:val="Refdenotadefim"/>
          <w:rFonts w:cs="Times New Roman"/>
          <w:lang w:val="en-GB"/>
        </w:rPr>
        <w:endnoteReference w:id="8"/>
      </w:r>
      <w:r w:rsidRPr="00934D9A">
        <w:rPr>
          <w:rFonts w:cs="Times New Roman"/>
          <w:lang w:val="en-GB"/>
        </w:rPr>
        <w:t>.</w:t>
      </w:r>
      <w:r w:rsidRPr="00934D9A">
        <w:rPr>
          <w:rStyle w:val="Refdenotadefim"/>
          <w:rFonts w:cs="Times New Roman"/>
          <w:lang w:val="en-GB"/>
        </w:rPr>
        <w:t xml:space="preserve"> </w:t>
      </w:r>
    </w:p>
    <w:p w14:paraId="0C32A980" w14:textId="77777777" w:rsidR="002263E6" w:rsidRDefault="002263E6" w:rsidP="00184876">
      <w:pPr>
        <w:spacing w:before="120" w:after="120" w:line="240" w:lineRule="auto"/>
        <w:jc w:val="both"/>
        <w:rPr>
          <w:rFonts w:cs="Times New Roman"/>
          <w:lang w:val="en-GB"/>
        </w:rPr>
      </w:pPr>
      <w:r w:rsidRPr="00934D9A">
        <w:rPr>
          <w:rFonts w:cs="Times New Roman"/>
          <w:lang w:val="en-GB"/>
        </w:rPr>
        <w:t>The next section presents the simulation strategy adopted to access the macroeconomic, regional</w:t>
      </w:r>
      <w:r>
        <w:rPr>
          <w:rFonts w:cs="Times New Roman"/>
          <w:lang w:val="en-GB"/>
        </w:rPr>
        <w:t>, and</w:t>
      </w:r>
      <w:r w:rsidRPr="00934D9A">
        <w:rPr>
          <w:rFonts w:cs="Times New Roman"/>
          <w:lang w:val="en-GB"/>
        </w:rPr>
        <w:t xml:space="preserve"> sectorial impacts of the FNE program. </w:t>
      </w:r>
    </w:p>
    <w:p w14:paraId="0E9D3A04" w14:textId="77777777" w:rsidR="002263E6" w:rsidRDefault="002263E6" w:rsidP="00184876">
      <w:pPr>
        <w:spacing w:before="120" w:after="120" w:line="240" w:lineRule="auto"/>
        <w:jc w:val="both"/>
        <w:rPr>
          <w:rFonts w:cs="Times New Roman"/>
          <w:lang w:val="en-GB"/>
        </w:rPr>
      </w:pPr>
    </w:p>
    <w:p w14:paraId="40C76CDE" w14:textId="77777777" w:rsidR="002263E6" w:rsidRDefault="002263E6" w:rsidP="00184876">
      <w:pPr>
        <w:pStyle w:val="Ttulo1"/>
        <w:spacing w:before="120" w:after="120"/>
        <w:rPr>
          <w:lang w:val="en-GB"/>
        </w:rPr>
      </w:pPr>
      <w:r w:rsidRPr="00934D9A">
        <w:rPr>
          <w:lang w:val="en-GB"/>
        </w:rPr>
        <w:t>Simulation strategy</w:t>
      </w:r>
    </w:p>
    <w:p w14:paraId="3DA84A14" w14:textId="77777777" w:rsidR="002263E6" w:rsidRDefault="002263E6" w:rsidP="00184876">
      <w:pPr>
        <w:spacing w:before="120" w:after="120" w:line="240" w:lineRule="auto"/>
        <w:jc w:val="both"/>
        <w:rPr>
          <w:rFonts w:cs="Times New Roman"/>
          <w:lang w:val="en-GB"/>
        </w:rPr>
      </w:pPr>
      <w:r w:rsidRPr="00934D9A">
        <w:rPr>
          <w:rFonts w:cs="Times New Roman"/>
          <w:lang w:val="en-GB"/>
        </w:rPr>
        <w:t>In order to evaluate FNE impacts</w:t>
      </w:r>
      <w:r>
        <w:rPr>
          <w:rFonts w:cs="Times New Roman"/>
          <w:lang w:val="en-GB"/>
        </w:rPr>
        <w:t>,</w:t>
      </w:r>
      <w:r w:rsidRPr="00934D9A">
        <w:rPr>
          <w:rFonts w:cs="Times New Roman"/>
          <w:lang w:val="en-GB"/>
        </w:rPr>
        <w:t xml:space="preserve"> the simulation is divided in two types: baseline and policy scenarios. The baseline simulation allows updating</w:t>
      </w:r>
      <w:r>
        <w:rPr>
          <w:rFonts w:cs="Times New Roman"/>
          <w:lang w:val="en-GB"/>
        </w:rPr>
        <w:t xml:space="preserve"> of</w:t>
      </w:r>
      <w:r w:rsidRPr="00934D9A">
        <w:rPr>
          <w:rFonts w:cs="Times New Roman"/>
          <w:lang w:val="en-GB"/>
        </w:rPr>
        <w:t xml:space="preserve"> the model database for the historical period, for which we already have information on key macroeconomics variables and forecast the economy trajectory in a </w:t>
      </w:r>
      <w:r>
        <w:rPr>
          <w:rFonts w:cs="Times New Roman"/>
          <w:lang w:val="en-GB"/>
        </w:rPr>
        <w:t>‘</w:t>
      </w:r>
      <w:r w:rsidRPr="00934D9A">
        <w:rPr>
          <w:rFonts w:cs="Times New Roman"/>
          <w:lang w:val="en-GB"/>
        </w:rPr>
        <w:t>Business as Usual</w:t>
      </w:r>
      <w:r>
        <w:rPr>
          <w:rFonts w:cs="Times New Roman"/>
          <w:lang w:val="en-GB"/>
        </w:rPr>
        <w:t>’</w:t>
      </w:r>
      <w:r w:rsidRPr="00934D9A">
        <w:rPr>
          <w:rFonts w:cs="Times New Roman"/>
          <w:lang w:val="en-GB"/>
        </w:rPr>
        <w:t xml:space="preserve"> perspective. </w:t>
      </w:r>
    </w:p>
    <w:p w14:paraId="7C2EBB67" w14:textId="77777777" w:rsidR="00E8300D" w:rsidRDefault="002263E6" w:rsidP="00184876">
      <w:pPr>
        <w:spacing w:before="120" w:after="120" w:line="240" w:lineRule="auto"/>
        <w:jc w:val="both"/>
        <w:rPr>
          <w:rFonts w:cs="Times New Roman"/>
          <w:lang w:val="en-GB"/>
        </w:rPr>
      </w:pPr>
      <w:r w:rsidRPr="00934D9A">
        <w:rPr>
          <w:rFonts w:cs="Times New Roman"/>
          <w:lang w:val="en-GB"/>
        </w:rPr>
        <w:t>For the historical period (2014</w:t>
      </w:r>
      <w:r>
        <w:rPr>
          <w:rFonts w:cs="Times New Roman"/>
          <w:lang w:val="en-GB"/>
        </w:rPr>
        <w:t>–</w:t>
      </w:r>
      <w:r w:rsidRPr="00934D9A">
        <w:rPr>
          <w:rFonts w:cs="Times New Roman"/>
          <w:lang w:val="en-GB"/>
        </w:rPr>
        <w:t>2016), we used observed information on real GDP, investment, household consumption, government expenditure, exports, imports prices, consumer price index</w:t>
      </w:r>
      <w:r>
        <w:rPr>
          <w:rFonts w:cs="Times New Roman"/>
          <w:lang w:val="en-GB"/>
        </w:rPr>
        <w:t>,</w:t>
      </w:r>
      <w:r w:rsidRPr="00934D9A">
        <w:rPr>
          <w:rFonts w:cs="Times New Roman"/>
          <w:lang w:val="en-GB"/>
        </w:rPr>
        <w:t xml:space="preserve"> and regional population growth as exogenous shocks. From 2017 to 2025, we used only two exogenous data: real GDP and government expenditure. For the period 2017</w:t>
      </w:r>
      <w:r>
        <w:rPr>
          <w:rFonts w:cs="Times New Roman"/>
          <w:lang w:val="en-GB"/>
        </w:rPr>
        <w:t>–</w:t>
      </w:r>
      <w:r w:rsidRPr="00934D9A">
        <w:rPr>
          <w:rFonts w:cs="Times New Roman"/>
          <w:lang w:val="en-GB"/>
        </w:rPr>
        <w:t>2018 Brazilian GDP estimates correspond to the values projected by the Brazilian Central Bank (2017), 0.7 and 2.7%, respectively, and from 2019 to 2025 we assumed a homogeneous growth scenario of 3% per year. Government consumption is assumed to grow 1% less than GDP, account</w:t>
      </w:r>
      <w:r>
        <w:rPr>
          <w:rFonts w:cs="Times New Roman"/>
          <w:lang w:val="en-GB"/>
        </w:rPr>
        <w:t>ing</w:t>
      </w:r>
      <w:r w:rsidRPr="00934D9A">
        <w:rPr>
          <w:rFonts w:cs="Times New Roman"/>
          <w:lang w:val="en-GB"/>
        </w:rPr>
        <w:t xml:space="preserve"> for fiscal adjustments commitment assumed in 2017 (</w:t>
      </w:r>
      <w:proofErr w:type="spellStart"/>
      <w:r w:rsidRPr="00934D9A">
        <w:rPr>
          <w:rFonts w:cs="Times New Roman"/>
          <w:lang w:val="en-GB"/>
        </w:rPr>
        <w:t>Senado</w:t>
      </w:r>
      <w:proofErr w:type="spellEnd"/>
      <w:r w:rsidRPr="00934D9A">
        <w:rPr>
          <w:rFonts w:cs="Times New Roman"/>
          <w:lang w:val="en-GB"/>
        </w:rPr>
        <w:t xml:space="preserve"> Federal, 2016). Therefore, baseline simulations allow the projections for the economy from 2014 to 2025 without any further intervention in regional investments. Therefore, regional growth and investment are generated endogenously by our model in the baseline scenario</w:t>
      </w:r>
      <w:r w:rsidRPr="00934D9A">
        <w:rPr>
          <w:rStyle w:val="Refdenotadefim"/>
          <w:rFonts w:cs="Times New Roman"/>
          <w:lang w:val="en-GB"/>
        </w:rPr>
        <w:endnoteReference w:id="9"/>
      </w:r>
      <w:r w:rsidRPr="00934D9A">
        <w:rPr>
          <w:rFonts w:cs="Times New Roman"/>
          <w:lang w:val="en-GB"/>
        </w:rPr>
        <w:t>.</w:t>
      </w:r>
    </w:p>
    <w:p w14:paraId="27D84BF7" w14:textId="77777777" w:rsidR="00E8300D" w:rsidRDefault="00106B07" w:rsidP="00184876">
      <w:pPr>
        <w:spacing w:before="120" w:after="120" w:line="240" w:lineRule="auto"/>
        <w:jc w:val="both"/>
        <w:rPr>
          <w:rFonts w:cs="Times New Roman"/>
          <w:lang w:val="en-GB"/>
        </w:rPr>
      </w:pPr>
      <w:r w:rsidRPr="00934D9A">
        <w:rPr>
          <w:rFonts w:cs="Times New Roman"/>
          <w:lang w:val="en-GB"/>
        </w:rPr>
        <w:t>Policy scenario</w:t>
      </w:r>
      <w:r w:rsidR="00510C8F" w:rsidRPr="00934D9A">
        <w:rPr>
          <w:rFonts w:cs="Times New Roman"/>
          <w:lang w:val="en-GB"/>
        </w:rPr>
        <w:t>, by its turn, includes r</w:t>
      </w:r>
      <w:r w:rsidRPr="00934D9A">
        <w:rPr>
          <w:rFonts w:cs="Times New Roman"/>
          <w:lang w:val="en-GB"/>
        </w:rPr>
        <w:t>egional</w:t>
      </w:r>
      <w:r w:rsidR="00510C8F" w:rsidRPr="00934D9A">
        <w:rPr>
          <w:rFonts w:cs="Times New Roman"/>
          <w:lang w:val="en-GB"/>
        </w:rPr>
        <w:t xml:space="preserve"> and sectorial detailed i</w:t>
      </w:r>
      <w:r w:rsidRPr="00934D9A">
        <w:rPr>
          <w:rFonts w:cs="Times New Roman"/>
          <w:lang w:val="en-GB"/>
        </w:rPr>
        <w:t>nvestment</w:t>
      </w:r>
      <w:r w:rsidR="00510C8F" w:rsidRPr="00934D9A">
        <w:rPr>
          <w:rFonts w:cs="Times New Roman"/>
          <w:lang w:val="en-GB"/>
        </w:rPr>
        <w:t xml:space="preserve"> from FNE for 2014 and 2015 as an</w:t>
      </w:r>
      <w:r w:rsidRPr="00934D9A">
        <w:rPr>
          <w:rFonts w:cs="Times New Roman"/>
          <w:lang w:val="en-GB"/>
        </w:rPr>
        <w:t xml:space="preserve"> exogenous </w:t>
      </w:r>
      <w:r w:rsidR="00510C8F" w:rsidRPr="00934D9A">
        <w:rPr>
          <w:rFonts w:cs="Times New Roman"/>
          <w:lang w:val="en-GB"/>
        </w:rPr>
        <w:t>change</w:t>
      </w:r>
      <w:r w:rsidRPr="00934D9A">
        <w:rPr>
          <w:rFonts w:cs="Times New Roman"/>
          <w:lang w:val="en-GB"/>
        </w:rPr>
        <w:t xml:space="preserve"> </w:t>
      </w:r>
      <w:r w:rsidR="008D320B" w:rsidRPr="00934D9A">
        <w:rPr>
          <w:rFonts w:cs="Times New Roman"/>
          <w:lang w:val="en-GB"/>
        </w:rPr>
        <w:t xml:space="preserve">(shocks) </w:t>
      </w:r>
      <w:r w:rsidR="00510C8F" w:rsidRPr="00934D9A">
        <w:rPr>
          <w:rFonts w:cs="Times New Roman"/>
          <w:lang w:val="en-GB"/>
        </w:rPr>
        <w:t xml:space="preserve">in the economy, allowing a deviation from </w:t>
      </w:r>
      <w:r w:rsidR="008D320B" w:rsidRPr="00934D9A">
        <w:rPr>
          <w:rFonts w:cs="Times New Roman"/>
          <w:lang w:val="en-GB"/>
        </w:rPr>
        <w:t>the baseline</w:t>
      </w:r>
      <w:r w:rsidR="00510C8F" w:rsidRPr="00934D9A">
        <w:rPr>
          <w:rFonts w:cs="Times New Roman"/>
          <w:lang w:val="en-GB"/>
        </w:rPr>
        <w:t xml:space="preserve"> scenario. </w:t>
      </w:r>
      <w:r w:rsidR="00EB29CF" w:rsidRPr="00934D9A">
        <w:rPr>
          <w:rFonts w:cs="Times New Roman"/>
          <w:lang w:val="en-GB"/>
        </w:rPr>
        <w:t xml:space="preserve">The data </w:t>
      </w:r>
      <w:r w:rsidR="00301464" w:rsidRPr="00934D9A">
        <w:rPr>
          <w:rFonts w:cs="Times New Roman"/>
          <w:lang w:val="en-GB"/>
        </w:rPr>
        <w:t>provided by the</w:t>
      </w:r>
      <w:r w:rsidR="00EB29CF" w:rsidRPr="00934D9A">
        <w:rPr>
          <w:rFonts w:cs="Times New Roman"/>
          <w:lang w:val="en-GB"/>
        </w:rPr>
        <w:t xml:space="preserve"> Brazilian Northeast Bank</w:t>
      </w:r>
      <w:r w:rsidR="00301464" w:rsidRPr="00934D9A">
        <w:rPr>
          <w:rFonts w:cs="Times New Roman"/>
          <w:lang w:val="en-GB"/>
        </w:rPr>
        <w:t xml:space="preserve"> </w:t>
      </w:r>
      <w:r w:rsidR="000B444F" w:rsidRPr="00934D9A">
        <w:rPr>
          <w:rFonts w:cs="Times New Roman"/>
          <w:lang w:val="en-GB"/>
        </w:rPr>
        <w:t xml:space="preserve">allows </w:t>
      </w:r>
      <w:r w:rsidR="004841BE">
        <w:rPr>
          <w:rFonts w:cs="Times New Roman"/>
          <w:lang w:val="en-GB"/>
        </w:rPr>
        <w:t>identification</w:t>
      </w:r>
      <w:r w:rsidR="000B444F" w:rsidRPr="00934D9A">
        <w:rPr>
          <w:rFonts w:cs="Times New Roman"/>
          <w:lang w:val="en-GB"/>
        </w:rPr>
        <w:t xml:space="preserve"> not only </w:t>
      </w:r>
      <w:r w:rsidR="004841BE">
        <w:rPr>
          <w:rFonts w:cs="Times New Roman"/>
          <w:lang w:val="en-GB"/>
        </w:rPr>
        <w:t xml:space="preserve">of </w:t>
      </w:r>
      <w:r w:rsidR="000B444F" w:rsidRPr="00934D9A">
        <w:rPr>
          <w:rFonts w:cs="Times New Roman"/>
          <w:lang w:val="en-GB"/>
        </w:rPr>
        <w:t xml:space="preserve">the region and the sector that receives the funding, but also </w:t>
      </w:r>
      <w:r w:rsidR="0084401B" w:rsidRPr="00934D9A">
        <w:rPr>
          <w:rFonts w:cs="Times New Roman"/>
          <w:lang w:val="en-GB"/>
        </w:rPr>
        <w:t xml:space="preserve">the purpose of the fund, whether investment or for any other kind of expenditure. Selecting only the resources for which the finality was defined as investment, data </w:t>
      </w:r>
      <w:r w:rsidR="00EB29CF" w:rsidRPr="00934D9A">
        <w:rPr>
          <w:rFonts w:cs="Times New Roman"/>
          <w:lang w:val="en-GB"/>
        </w:rPr>
        <w:t>reveals the funding is deeply concentrated in agriculture activities, and the largest beneficiary is the state of Bahia</w:t>
      </w:r>
      <w:r w:rsidR="004841BE">
        <w:rPr>
          <w:rFonts w:cs="Times New Roman"/>
          <w:lang w:val="en-GB"/>
        </w:rPr>
        <w:t>;</w:t>
      </w:r>
      <w:r w:rsidR="0084401B" w:rsidRPr="00934D9A">
        <w:rPr>
          <w:rFonts w:cs="Times New Roman"/>
          <w:lang w:val="en-GB"/>
        </w:rPr>
        <w:t xml:space="preserve"> however, looking for the share of FNE over total investment by sector and region, it was possible to see that FNE is also importan</w:t>
      </w:r>
      <w:r w:rsidR="00A67399" w:rsidRPr="00934D9A">
        <w:rPr>
          <w:rFonts w:cs="Times New Roman"/>
          <w:lang w:val="en-GB"/>
        </w:rPr>
        <w:t>t for education activities and f</w:t>
      </w:r>
      <w:r w:rsidR="0084401B" w:rsidRPr="00934D9A">
        <w:rPr>
          <w:rFonts w:cs="Times New Roman"/>
          <w:lang w:val="en-GB"/>
        </w:rPr>
        <w:t xml:space="preserve">or other states like </w:t>
      </w:r>
      <w:proofErr w:type="spellStart"/>
      <w:r w:rsidR="0084401B" w:rsidRPr="00934D9A">
        <w:rPr>
          <w:rFonts w:cs="Times New Roman"/>
          <w:lang w:val="en-GB"/>
        </w:rPr>
        <w:t>Piauí</w:t>
      </w:r>
      <w:proofErr w:type="spellEnd"/>
      <w:r w:rsidR="0084401B" w:rsidRPr="00934D9A">
        <w:rPr>
          <w:rFonts w:cs="Times New Roman"/>
          <w:lang w:val="en-GB"/>
        </w:rPr>
        <w:t>, where total investment is very low</w:t>
      </w:r>
      <w:r w:rsidR="00EB29CF" w:rsidRPr="00934D9A">
        <w:rPr>
          <w:rFonts w:cs="Times New Roman"/>
          <w:lang w:val="en-GB"/>
        </w:rPr>
        <w:t xml:space="preserve"> (</w:t>
      </w:r>
      <w:r w:rsidR="00032619" w:rsidRPr="00934D9A">
        <w:rPr>
          <w:rFonts w:cs="Times New Roman"/>
          <w:lang w:val="en-GB"/>
        </w:rPr>
        <w:t>Annex 1</w:t>
      </w:r>
      <w:r w:rsidR="00EB29CF" w:rsidRPr="00934D9A">
        <w:rPr>
          <w:rFonts w:cs="Times New Roman"/>
          <w:lang w:val="en-GB"/>
        </w:rPr>
        <w:t xml:space="preserve">). </w:t>
      </w:r>
      <w:r w:rsidR="00BE01BA" w:rsidRPr="00934D9A">
        <w:rPr>
          <w:rFonts w:cs="Times New Roman"/>
          <w:lang w:val="en-GB"/>
        </w:rPr>
        <w:t>All those differences, especially, in relative terms, are the main drivers of our results</w:t>
      </w:r>
      <w:r w:rsidR="004841BE">
        <w:rPr>
          <w:rFonts w:cs="Times New Roman"/>
          <w:lang w:val="en-GB"/>
        </w:rPr>
        <w:t>, which are</w:t>
      </w:r>
      <w:r w:rsidR="00C6582A" w:rsidRPr="00934D9A">
        <w:rPr>
          <w:rFonts w:cs="Times New Roman"/>
          <w:lang w:val="en-GB"/>
        </w:rPr>
        <w:t xml:space="preserve"> detailed in the next section</w:t>
      </w:r>
      <w:r w:rsidR="00BE01BA" w:rsidRPr="00934D9A">
        <w:rPr>
          <w:rFonts w:cs="Times New Roman"/>
          <w:lang w:val="en-GB"/>
        </w:rPr>
        <w:t>.</w:t>
      </w:r>
      <w:r w:rsidR="00A21749">
        <w:rPr>
          <w:rFonts w:cs="Times New Roman"/>
          <w:lang w:val="en-GB"/>
        </w:rPr>
        <w:t xml:space="preserve"> </w:t>
      </w:r>
    </w:p>
    <w:p w14:paraId="2FE70BC9" w14:textId="77777777" w:rsidR="00E8300D" w:rsidRDefault="00E8300D" w:rsidP="00184876">
      <w:pPr>
        <w:spacing w:before="120" w:after="120" w:line="240" w:lineRule="auto"/>
        <w:jc w:val="both"/>
        <w:rPr>
          <w:rFonts w:cs="Times New Roman"/>
          <w:lang w:val="en-GB"/>
        </w:rPr>
      </w:pPr>
    </w:p>
    <w:p w14:paraId="4DBBFBAE" w14:textId="77777777" w:rsidR="00E8300D" w:rsidRDefault="00053039" w:rsidP="00184876">
      <w:pPr>
        <w:pStyle w:val="Ttulo1"/>
        <w:spacing w:before="120" w:after="120"/>
        <w:rPr>
          <w:lang w:val="en-GB"/>
        </w:rPr>
      </w:pPr>
      <w:r w:rsidRPr="00934D9A">
        <w:rPr>
          <w:lang w:val="en-GB"/>
        </w:rPr>
        <w:t>Results and discussion</w:t>
      </w:r>
    </w:p>
    <w:p w14:paraId="3FB31E00" w14:textId="77777777" w:rsidR="00E8300D" w:rsidRDefault="003B73DB" w:rsidP="00184876">
      <w:pPr>
        <w:spacing w:before="120" w:after="120" w:line="240" w:lineRule="auto"/>
        <w:jc w:val="both"/>
        <w:rPr>
          <w:szCs w:val="24"/>
          <w:lang w:val="en-GB"/>
        </w:rPr>
      </w:pPr>
      <w:r w:rsidRPr="00934D9A">
        <w:rPr>
          <w:rFonts w:cs="Times New Roman"/>
          <w:lang w:val="en-GB"/>
        </w:rPr>
        <w:t xml:space="preserve">This section </w:t>
      </w:r>
      <w:r w:rsidR="002B69F1" w:rsidRPr="00934D9A">
        <w:rPr>
          <w:rFonts w:cs="Times New Roman"/>
          <w:lang w:val="en-GB"/>
        </w:rPr>
        <w:t>presents</w:t>
      </w:r>
      <w:r w:rsidRPr="00934D9A">
        <w:rPr>
          <w:rFonts w:cs="Times New Roman"/>
          <w:lang w:val="en-GB"/>
        </w:rPr>
        <w:t xml:space="preserve"> our results from </w:t>
      </w:r>
      <w:r w:rsidR="00070D8E" w:rsidRPr="00934D9A">
        <w:rPr>
          <w:rFonts w:cs="Times New Roman"/>
          <w:lang w:val="en-GB"/>
        </w:rPr>
        <w:t>four</w:t>
      </w:r>
      <w:r w:rsidRPr="00934D9A">
        <w:rPr>
          <w:rFonts w:cs="Times New Roman"/>
          <w:lang w:val="en-GB"/>
        </w:rPr>
        <w:t xml:space="preserve"> perspectives: i) </w:t>
      </w:r>
      <w:r w:rsidR="008D320B" w:rsidRPr="00934D9A">
        <w:rPr>
          <w:rFonts w:cs="Times New Roman"/>
          <w:lang w:val="en-GB"/>
        </w:rPr>
        <w:t>aggregated</w:t>
      </w:r>
      <w:r w:rsidRPr="00934D9A">
        <w:rPr>
          <w:rFonts w:cs="Times New Roman"/>
          <w:lang w:val="en-GB"/>
        </w:rPr>
        <w:t xml:space="preserve">, from showing the impact of FNE on the Northeast region; ii) regional, </w:t>
      </w:r>
      <w:r w:rsidRPr="00934D9A">
        <w:rPr>
          <w:szCs w:val="24"/>
          <w:lang w:val="en-GB"/>
        </w:rPr>
        <w:t xml:space="preserve">through </w:t>
      </w:r>
      <w:r w:rsidR="00070D8E" w:rsidRPr="00934D9A">
        <w:rPr>
          <w:szCs w:val="24"/>
          <w:lang w:val="en-GB"/>
        </w:rPr>
        <w:t>the economic impacts on GDP and employment among the Brazilian states; iii) sector</w:t>
      </w:r>
      <w:r w:rsidR="00A21749">
        <w:rPr>
          <w:szCs w:val="24"/>
          <w:lang w:val="en-GB"/>
        </w:rPr>
        <w:t>ial</w:t>
      </w:r>
      <w:r w:rsidR="00070D8E" w:rsidRPr="00934D9A">
        <w:rPr>
          <w:szCs w:val="24"/>
          <w:lang w:val="en-GB"/>
        </w:rPr>
        <w:t xml:space="preserve">, from the identification of </w:t>
      </w:r>
      <w:r w:rsidR="004841BE">
        <w:rPr>
          <w:szCs w:val="24"/>
          <w:lang w:val="en-GB"/>
        </w:rPr>
        <w:t>‘</w:t>
      </w:r>
      <w:r w:rsidR="00070D8E" w:rsidRPr="00934D9A">
        <w:rPr>
          <w:szCs w:val="24"/>
          <w:lang w:val="en-GB"/>
        </w:rPr>
        <w:t>winners</w:t>
      </w:r>
      <w:r w:rsidR="004841BE">
        <w:rPr>
          <w:szCs w:val="24"/>
          <w:lang w:val="en-GB"/>
        </w:rPr>
        <w:t>’</w:t>
      </w:r>
      <w:r w:rsidR="00AD7E4D" w:rsidRPr="00934D9A">
        <w:rPr>
          <w:szCs w:val="24"/>
          <w:lang w:val="en-GB"/>
        </w:rPr>
        <w:t xml:space="preserve"> and </w:t>
      </w:r>
      <w:r w:rsidR="004841BE">
        <w:rPr>
          <w:szCs w:val="24"/>
          <w:lang w:val="en-GB"/>
        </w:rPr>
        <w:t>‘</w:t>
      </w:r>
      <w:r w:rsidR="00AD7E4D" w:rsidRPr="00934D9A">
        <w:rPr>
          <w:szCs w:val="24"/>
          <w:lang w:val="en-GB"/>
        </w:rPr>
        <w:t>losers</w:t>
      </w:r>
      <w:r w:rsidR="004841BE">
        <w:rPr>
          <w:szCs w:val="24"/>
          <w:lang w:val="en-GB"/>
        </w:rPr>
        <w:t>’</w:t>
      </w:r>
      <w:r w:rsidR="00AD7E4D" w:rsidRPr="00934D9A">
        <w:rPr>
          <w:szCs w:val="24"/>
          <w:lang w:val="en-GB"/>
        </w:rPr>
        <w:t xml:space="preserve"> in terms of sectors</w:t>
      </w:r>
      <w:r w:rsidR="00A00884" w:rsidRPr="00934D9A">
        <w:rPr>
          <w:szCs w:val="24"/>
          <w:lang w:val="en-GB"/>
        </w:rPr>
        <w:t xml:space="preserve">; and iv) regional inequality, comparing </w:t>
      </w:r>
      <w:r w:rsidR="00FF1CD6">
        <w:rPr>
          <w:szCs w:val="24"/>
          <w:lang w:val="en-GB"/>
        </w:rPr>
        <w:t>GINI</w:t>
      </w:r>
      <w:r w:rsidR="00FF1CD6" w:rsidRPr="00934D9A">
        <w:rPr>
          <w:szCs w:val="24"/>
          <w:lang w:val="en-GB"/>
        </w:rPr>
        <w:t xml:space="preserve"> </w:t>
      </w:r>
      <w:r w:rsidR="00A00884" w:rsidRPr="00934D9A">
        <w:rPr>
          <w:szCs w:val="24"/>
          <w:lang w:val="en-GB"/>
        </w:rPr>
        <w:t xml:space="preserve">variation </w:t>
      </w:r>
      <w:r w:rsidR="002B69F1" w:rsidRPr="00934D9A">
        <w:rPr>
          <w:szCs w:val="24"/>
          <w:lang w:val="en-GB"/>
        </w:rPr>
        <w:t xml:space="preserve">in 2025 between the baseline and policy scenarios. Figure </w:t>
      </w:r>
      <w:r w:rsidR="003C1CFC" w:rsidRPr="00934D9A">
        <w:rPr>
          <w:szCs w:val="24"/>
          <w:lang w:val="en-GB"/>
        </w:rPr>
        <w:t>1</w:t>
      </w:r>
      <w:r w:rsidR="002B69F1" w:rsidRPr="00934D9A">
        <w:rPr>
          <w:szCs w:val="24"/>
          <w:lang w:val="en-GB"/>
        </w:rPr>
        <w:t xml:space="preserve"> </w:t>
      </w:r>
      <w:r w:rsidR="00C6582A" w:rsidRPr="00934D9A">
        <w:rPr>
          <w:szCs w:val="24"/>
          <w:lang w:val="en-GB"/>
        </w:rPr>
        <w:t xml:space="preserve">demonstrates Northeast GDP growth in the baseline scenario and in the policy scenario. These results show how FNE funds </w:t>
      </w:r>
      <w:r w:rsidR="008D320B" w:rsidRPr="00934D9A">
        <w:rPr>
          <w:szCs w:val="24"/>
          <w:lang w:val="en-GB"/>
        </w:rPr>
        <w:t xml:space="preserve">would be </w:t>
      </w:r>
      <w:r w:rsidR="00C6582A" w:rsidRPr="00934D9A">
        <w:rPr>
          <w:szCs w:val="24"/>
          <w:lang w:val="en-GB"/>
        </w:rPr>
        <w:t>able to positively</w:t>
      </w:r>
      <w:r w:rsidR="004841BE">
        <w:rPr>
          <w:szCs w:val="24"/>
          <w:lang w:val="en-GB"/>
        </w:rPr>
        <w:t xml:space="preserve"> </w:t>
      </w:r>
      <w:r w:rsidR="004841BE" w:rsidRPr="00934D9A">
        <w:rPr>
          <w:szCs w:val="24"/>
          <w:lang w:val="en-GB"/>
        </w:rPr>
        <w:t>impact</w:t>
      </w:r>
      <w:r w:rsidR="00C6582A" w:rsidRPr="00934D9A">
        <w:rPr>
          <w:szCs w:val="24"/>
          <w:lang w:val="en-GB"/>
        </w:rPr>
        <w:t xml:space="preserve"> the regional growth, moving the cumulative deviation in 2025 from 19.35%, to 23.54%, a cumulative difference of 3.51%</w:t>
      </w:r>
      <w:r w:rsidR="008D320B" w:rsidRPr="00934D9A">
        <w:rPr>
          <w:szCs w:val="24"/>
          <w:lang w:val="en-GB"/>
        </w:rPr>
        <w:t xml:space="preserve"> in eleven years</w:t>
      </w:r>
      <w:r w:rsidR="00C6582A" w:rsidRPr="00934D9A">
        <w:rPr>
          <w:szCs w:val="24"/>
          <w:lang w:val="en-GB"/>
        </w:rPr>
        <w:t xml:space="preserve">. </w:t>
      </w:r>
      <w:r w:rsidR="00D55661" w:rsidRPr="00934D9A">
        <w:rPr>
          <w:szCs w:val="24"/>
          <w:lang w:val="en-GB"/>
        </w:rPr>
        <w:t xml:space="preserve">As the deviation from baseline captures the policy effect, all the following results </w:t>
      </w:r>
      <w:r w:rsidR="00A45611" w:rsidRPr="00934D9A">
        <w:rPr>
          <w:szCs w:val="24"/>
          <w:lang w:val="en-GB"/>
        </w:rPr>
        <w:t>are</w:t>
      </w:r>
      <w:r w:rsidR="00D55661" w:rsidRPr="00934D9A">
        <w:rPr>
          <w:szCs w:val="24"/>
          <w:lang w:val="en-GB"/>
        </w:rPr>
        <w:t xml:space="preserve"> presented as cumulated differences from </w:t>
      </w:r>
      <w:r w:rsidR="008D320B" w:rsidRPr="00934D9A">
        <w:rPr>
          <w:szCs w:val="24"/>
          <w:lang w:val="en-GB"/>
        </w:rPr>
        <w:t xml:space="preserve">the </w:t>
      </w:r>
      <w:r w:rsidR="00D55661" w:rsidRPr="00934D9A">
        <w:rPr>
          <w:szCs w:val="24"/>
          <w:lang w:val="en-GB"/>
        </w:rPr>
        <w:t xml:space="preserve">baseline scenario. </w:t>
      </w:r>
    </w:p>
    <w:p w14:paraId="00B6AEDA" w14:textId="3DA7D236" w:rsidR="009969B1" w:rsidRPr="00193488" w:rsidRDefault="00E96A3D" w:rsidP="00184876">
      <w:pPr>
        <w:spacing w:before="120" w:after="120" w:line="240" w:lineRule="auto"/>
        <w:jc w:val="center"/>
        <w:rPr>
          <w:szCs w:val="24"/>
          <w:lang w:val="en-GB"/>
        </w:rPr>
      </w:pPr>
      <w:r w:rsidRPr="00934D9A">
        <w:rPr>
          <w:szCs w:val="24"/>
          <w:lang w:val="en-GB"/>
        </w:rPr>
        <w:t>&lt;Insert Figure 1&gt;</w:t>
      </w:r>
    </w:p>
    <w:p w14:paraId="1E4D500F" w14:textId="77777777" w:rsidR="00E8300D" w:rsidRDefault="00D55661" w:rsidP="00184876">
      <w:pPr>
        <w:spacing w:before="120" w:after="120" w:line="240" w:lineRule="auto"/>
        <w:jc w:val="both"/>
        <w:rPr>
          <w:rFonts w:cs="Times New Roman"/>
          <w:lang w:val="en-GB"/>
        </w:rPr>
      </w:pPr>
      <w:r w:rsidRPr="00934D9A">
        <w:rPr>
          <w:szCs w:val="24"/>
          <w:lang w:val="en-GB"/>
        </w:rPr>
        <w:lastRenderedPageBreak/>
        <w:t>As well as GDP</w:t>
      </w:r>
      <w:r w:rsidR="004841BE">
        <w:rPr>
          <w:szCs w:val="24"/>
          <w:lang w:val="en-GB"/>
        </w:rPr>
        <w:t>,</w:t>
      </w:r>
      <w:r w:rsidRPr="00934D9A">
        <w:rPr>
          <w:szCs w:val="24"/>
          <w:lang w:val="en-GB"/>
        </w:rPr>
        <w:t xml:space="preserve"> </w:t>
      </w:r>
      <w:r w:rsidRPr="00934D9A">
        <w:rPr>
          <w:rFonts w:cs="Times New Roman"/>
          <w:lang w:val="en-GB"/>
        </w:rPr>
        <w:t xml:space="preserve">all the other macroeconomics variables in </w:t>
      </w:r>
      <w:r w:rsidR="004841BE">
        <w:rPr>
          <w:rFonts w:cs="Times New Roman"/>
          <w:lang w:val="en-GB"/>
        </w:rPr>
        <w:t xml:space="preserve">the </w:t>
      </w:r>
      <w:r w:rsidRPr="00934D9A">
        <w:rPr>
          <w:rFonts w:cs="Times New Roman"/>
          <w:lang w:val="en-GB"/>
        </w:rPr>
        <w:t xml:space="preserve">Brazilian Northeast would be positively impacted </w:t>
      </w:r>
      <w:r w:rsidR="00A67399" w:rsidRPr="00934D9A">
        <w:rPr>
          <w:rFonts w:cs="Times New Roman"/>
          <w:lang w:val="en-GB"/>
        </w:rPr>
        <w:t xml:space="preserve">by </w:t>
      </w:r>
      <w:r w:rsidRPr="00934D9A">
        <w:rPr>
          <w:rFonts w:cs="Times New Roman"/>
          <w:lang w:val="en-GB"/>
        </w:rPr>
        <w:t>FNE investments</w:t>
      </w:r>
      <w:r w:rsidR="004841BE">
        <w:rPr>
          <w:rFonts w:cs="Times New Roman"/>
          <w:lang w:val="en-GB"/>
        </w:rPr>
        <w:t>,</w:t>
      </w:r>
      <w:r w:rsidRPr="00934D9A">
        <w:rPr>
          <w:rFonts w:cs="Times New Roman"/>
          <w:lang w:val="en-GB"/>
        </w:rPr>
        <w:t xml:space="preserve"> as shown in Figure </w:t>
      </w:r>
      <w:r w:rsidR="00E47554" w:rsidRPr="00934D9A">
        <w:rPr>
          <w:rFonts w:cs="Times New Roman"/>
          <w:lang w:val="en-GB"/>
        </w:rPr>
        <w:t>3</w:t>
      </w:r>
      <w:r w:rsidRPr="00934D9A">
        <w:rPr>
          <w:rFonts w:cs="Times New Roman"/>
          <w:lang w:val="en-GB"/>
        </w:rPr>
        <w:t xml:space="preserve">. It is important to highlight that the impact on </w:t>
      </w:r>
      <w:r w:rsidR="004841BE">
        <w:rPr>
          <w:rFonts w:cs="Times New Roman"/>
          <w:lang w:val="en-GB"/>
        </w:rPr>
        <w:t xml:space="preserve">the </w:t>
      </w:r>
      <w:r w:rsidRPr="00934D9A">
        <w:rPr>
          <w:rFonts w:cs="Times New Roman"/>
          <w:lang w:val="en-GB"/>
        </w:rPr>
        <w:t xml:space="preserve">Brazilian economy as a whole would be 0.70%. </w:t>
      </w:r>
      <w:r w:rsidR="00DE5672" w:rsidRPr="00934D9A">
        <w:rPr>
          <w:rFonts w:cs="Times New Roman"/>
          <w:lang w:val="en-GB"/>
        </w:rPr>
        <w:t xml:space="preserve">This result agrees with </w:t>
      </w:r>
      <w:proofErr w:type="spellStart"/>
      <w:r w:rsidR="000346B2" w:rsidRPr="00934D9A">
        <w:rPr>
          <w:rFonts w:cs="Times New Roman"/>
          <w:lang w:val="en-GB"/>
        </w:rPr>
        <w:t>Nascimento</w:t>
      </w:r>
      <w:proofErr w:type="spellEnd"/>
      <w:r w:rsidR="000346B2" w:rsidRPr="00934D9A">
        <w:rPr>
          <w:rFonts w:cs="Times New Roman"/>
          <w:lang w:val="en-GB"/>
        </w:rPr>
        <w:t xml:space="preserve"> and Haddad (2017)</w:t>
      </w:r>
      <w:r w:rsidR="00DE5672" w:rsidRPr="00934D9A">
        <w:rPr>
          <w:rFonts w:cs="Times New Roman"/>
          <w:lang w:val="en-GB"/>
        </w:rPr>
        <w:t xml:space="preserve"> about the positive impacts of the FNE in the Brazilian GDP, even though the effects founded in our study </w:t>
      </w:r>
      <w:r w:rsidR="004841BE">
        <w:rPr>
          <w:rFonts w:cs="Times New Roman"/>
          <w:lang w:val="en-GB"/>
        </w:rPr>
        <w:t>are</w:t>
      </w:r>
      <w:r w:rsidR="004841BE" w:rsidRPr="00934D9A">
        <w:rPr>
          <w:rFonts w:cs="Times New Roman"/>
          <w:lang w:val="en-GB"/>
        </w:rPr>
        <w:t xml:space="preserve"> </w:t>
      </w:r>
      <w:r w:rsidR="00DE5672" w:rsidRPr="00934D9A">
        <w:rPr>
          <w:rFonts w:cs="Times New Roman"/>
          <w:lang w:val="en-GB"/>
        </w:rPr>
        <w:t xml:space="preserve">sensitively higher. </w:t>
      </w:r>
      <w:proofErr w:type="spellStart"/>
      <w:r w:rsidR="00DE5672" w:rsidRPr="00934D9A">
        <w:rPr>
          <w:rFonts w:cs="Times New Roman"/>
          <w:lang w:val="en-GB"/>
        </w:rPr>
        <w:t>Nascimento</w:t>
      </w:r>
      <w:proofErr w:type="spellEnd"/>
      <w:r w:rsidR="00DE5672" w:rsidRPr="00934D9A">
        <w:rPr>
          <w:rFonts w:cs="Times New Roman"/>
          <w:lang w:val="en-GB"/>
        </w:rPr>
        <w:t xml:space="preserve"> and Haddad (2017),</w:t>
      </w:r>
      <w:r w:rsidR="000346B2" w:rsidRPr="00934D9A">
        <w:rPr>
          <w:rFonts w:cs="Times New Roman"/>
          <w:lang w:val="en-GB"/>
        </w:rPr>
        <w:t xml:space="preserve"> using a static CGE model, estimate that the elimination of FNE would result in a reduction of 0.19% of Brazilian real GDP.</w:t>
      </w:r>
    </w:p>
    <w:p w14:paraId="1705045A" w14:textId="77777777" w:rsidR="00E8300D" w:rsidRDefault="00D35A9F" w:rsidP="00184876">
      <w:pPr>
        <w:spacing w:before="120" w:after="120" w:line="240" w:lineRule="auto"/>
        <w:jc w:val="both"/>
        <w:rPr>
          <w:rFonts w:cs="Times New Roman"/>
          <w:lang w:val="en-GB"/>
        </w:rPr>
      </w:pPr>
      <w:r w:rsidRPr="00934D9A">
        <w:rPr>
          <w:rFonts w:cs="Times New Roman"/>
          <w:lang w:val="en-GB"/>
        </w:rPr>
        <w:t>We found that i</w:t>
      </w:r>
      <w:r w:rsidR="00922B70" w:rsidRPr="00934D9A">
        <w:rPr>
          <w:rFonts w:cs="Times New Roman"/>
          <w:lang w:val="en-GB"/>
        </w:rPr>
        <w:t>n monetary terms,</w:t>
      </w:r>
      <w:r w:rsidR="00663202" w:rsidRPr="00934D9A">
        <w:rPr>
          <w:rFonts w:cs="Times New Roman"/>
          <w:lang w:val="en-GB"/>
        </w:rPr>
        <w:t xml:space="preserve"> in 2025</w:t>
      </w:r>
      <w:r w:rsidR="00922B70" w:rsidRPr="00934D9A">
        <w:rPr>
          <w:rFonts w:cs="Times New Roman"/>
          <w:lang w:val="en-GB"/>
        </w:rPr>
        <w:t xml:space="preserve"> the Northeast GDP would have increased around 18.2 BRL billions at 2013 prices, and the Brazilian economy would be 37.3 BRL billions bigger. </w:t>
      </w:r>
      <w:r w:rsidR="004841BE">
        <w:rPr>
          <w:rFonts w:cs="Times New Roman"/>
          <w:lang w:val="en-GB"/>
        </w:rPr>
        <w:t>T</w:t>
      </w:r>
      <w:r w:rsidR="00877E78" w:rsidRPr="00934D9A">
        <w:rPr>
          <w:rFonts w:cs="Times New Roman"/>
          <w:lang w:val="en-GB"/>
        </w:rPr>
        <w:t xml:space="preserve">he effect in monetary terms is higher in the rest of Brazil than in the region itself, which means that there is a significant leakage effect. This occurs because the </w:t>
      </w:r>
      <w:r w:rsidR="00E44C56" w:rsidRPr="00934D9A">
        <w:rPr>
          <w:rFonts w:cs="Times New Roman"/>
          <w:lang w:val="en-GB"/>
        </w:rPr>
        <w:t>N</w:t>
      </w:r>
      <w:r w:rsidR="00877E78" w:rsidRPr="00934D9A">
        <w:rPr>
          <w:rFonts w:cs="Times New Roman"/>
          <w:lang w:val="en-GB"/>
        </w:rPr>
        <w:t>ortheast</w:t>
      </w:r>
      <w:r w:rsidR="004841BE">
        <w:rPr>
          <w:rFonts w:cs="Times New Roman"/>
          <w:lang w:val="en-GB"/>
        </w:rPr>
        <w:t>’</w:t>
      </w:r>
      <w:r w:rsidR="00E44C56" w:rsidRPr="00934D9A">
        <w:rPr>
          <w:rFonts w:cs="Times New Roman"/>
          <w:lang w:val="en-GB"/>
        </w:rPr>
        <w:t>s</w:t>
      </w:r>
      <w:r w:rsidR="00877E78" w:rsidRPr="00934D9A">
        <w:rPr>
          <w:rFonts w:cs="Times New Roman"/>
          <w:lang w:val="en-GB"/>
        </w:rPr>
        <w:t xml:space="preserve"> productive structure is incipient when compared to the more developed regions of the country, as pointed out by </w:t>
      </w:r>
      <w:proofErr w:type="spellStart"/>
      <w:r w:rsidR="00877E78" w:rsidRPr="00934D9A">
        <w:rPr>
          <w:rFonts w:cs="Times New Roman"/>
          <w:lang w:val="en-GB"/>
        </w:rPr>
        <w:t>Ribeiro</w:t>
      </w:r>
      <w:proofErr w:type="spellEnd"/>
      <w:r w:rsidR="00877E78" w:rsidRPr="00934D9A">
        <w:rPr>
          <w:rFonts w:cs="Times New Roman"/>
          <w:lang w:val="en-GB"/>
        </w:rPr>
        <w:t xml:space="preserve"> et al. (2018). </w:t>
      </w:r>
      <w:r w:rsidR="00663202" w:rsidRPr="00934D9A">
        <w:rPr>
          <w:rFonts w:cs="Times New Roman"/>
          <w:lang w:val="en-GB"/>
        </w:rPr>
        <w:t>Nevertheless, the Northeast region is able to increase its participation in national GDP from 13.17% (baseline) to 13.43% (policy scenario).</w:t>
      </w:r>
    </w:p>
    <w:p w14:paraId="3684AD50" w14:textId="295720EE" w:rsidR="00E8300D" w:rsidRDefault="00B57CEE" w:rsidP="00184876">
      <w:pPr>
        <w:spacing w:before="120" w:after="120" w:line="240" w:lineRule="auto"/>
        <w:jc w:val="both"/>
        <w:rPr>
          <w:rFonts w:cs="Times New Roman"/>
          <w:lang w:val="en-GB"/>
        </w:rPr>
      </w:pPr>
      <w:r w:rsidRPr="00934D9A">
        <w:rPr>
          <w:rFonts w:cs="Times New Roman"/>
          <w:lang w:val="en-GB"/>
        </w:rPr>
        <w:t>As expected, t</w:t>
      </w:r>
      <w:r w:rsidR="00D55661" w:rsidRPr="00934D9A">
        <w:rPr>
          <w:rFonts w:cs="Times New Roman"/>
          <w:lang w:val="en-GB"/>
        </w:rPr>
        <w:t>he main component of the final demand that would contribute to the positive impacts on GDP would be investment, whose variation peaked at 9.16% in 2016</w:t>
      </w:r>
      <w:r w:rsidR="003C1CFC" w:rsidRPr="00934D9A">
        <w:rPr>
          <w:rFonts w:cs="Times New Roman"/>
          <w:lang w:val="en-GB"/>
        </w:rPr>
        <w:t xml:space="preserve"> (Figure 2)</w:t>
      </w:r>
      <w:r w:rsidR="00D55661" w:rsidRPr="00934D9A">
        <w:rPr>
          <w:rFonts w:cs="Times New Roman"/>
          <w:lang w:val="en-GB"/>
        </w:rPr>
        <w:t>. This is mainly due to the adopted simulation strategy</w:t>
      </w:r>
      <w:r w:rsidR="004841BE">
        <w:rPr>
          <w:rFonts w:cs="Times New Roman"/>
          <w:lang w:val="en-GB"/>
        </w:rPr>
        <w:t>,</w:t>
      </w:r>
      <w:r w:rsidR="00D55661" w:rsidRPr="00934D9A">
        <w:rPr>
          <w:rFonts w:cs="Times New Roman"/>
          <w:lang w:val="en-GB"/>
        </w:rPr>
        <w:t xml:space="preserve"> which </w:t>
      </w:r>
      <w:r w:rsidR="00B40355">
        <w:rPr>
          <w:rFonts w:cs="Times New Roman"/>
          <w:lang w:val="en-GB"/>
        </w:rPr>
        <w:t>increased</w:t>
      </w:r>
      <w:r w:rsidR="00B40355" w:rsidRPr="00934D9A">
        <w:rPr>
          <w:rFonts w:cs="Times New Roman"/>
          <w:lang w:val="en-GB"/>
        </w:rPr>
        <w:t xml:space="preserve"> </w:t>
      </w:r>
      <w:r w:rsidRPr="00934D9A">
        <w:rPr>
          <w:rFonts w:cs="Times New Roman"/>
          <w:lang w:val="en-GB"/>
        </w:rPr>
        <w:t>investment</w:t>
      </w:r>
      <w:r w:rsidR="00D55661" w:rsidRPr="00934D9A">
        <w:rPr>
          <w:rFonts w:cs="Times New Roman"/>
          <w:lang w:val="en-GB"/>
        </w:rPr>
        <w:t xml:space="preserve"> in the sectors which received FNE investments in 2014 and 2015.</w:t>
      </w:r>
      <w:r w:rsidR="00F45EC7" w:rsidRPr="00934D9A">
        <w:rPr>
          <w:rFonts w:cs="Times New Roman"/>
          <w:lang w:val="en-GB"/>
        </w:rPr>
        <w:t xml:space="preserve"> </w:t>
      </w:r>
    </w:p>
    <w:p w14:paraId="1AF9ADE2" w14:textId="77777777" w:rsidR="00E8300D" w:rsidRDefault="00E47554" w:rsidP="00184876">
      <w:pPr>
        <w:spacing w:before="120" w:after="120" w:line="240" w:lineRule="auto"/>
        <w:jc w:val="both"/>
        <w:rPr>
          <w:rFonts w:cs="Times New Roman"/>
          <w:lang w:val="en-GB"/>
        </w:rPr>
      </w:pPr>
      <w:r w:rsidRPr="00934D9A">
        <w:rPr>
          <w:rFonts w:cs="Times New Roman"/>
          <w:lang w:val="en-GB"/>
        </w:rPr>
        <w:t xml:space="preserve">In our model, according to the capital adjustment process, when a sector receives exogenous investment, as FNE resources, in </w:t>
      </w:r>
      <w:proofErr w:type="gramStart"/>
      <w:r w:rsidRPr="00934D9A">
        <w:rPr>
          <w:rFonts w:cs="Times New Roman"/>
          <w:lang w:val="en-GB"/>
        </w:rPr>
        <w:t xml:space="preserve">period </w:t>
      </w:r>
      <w:proofErr w:type="gramEnd"/>
      <m:oMath>
        <m:r>
          <w:rPr>
            <w:rFonts w:ascii="Cambria Math" w:hAnsi="Cambria Math" w:cs="Times New Roman"/>
            <w:lang w:val="en-GB"/>
          </w:rPr>
          <m:t>t</m:t>
        </m:r>
      </m:oMath>
      <w:r w:rsidRPr="00934D9A">
        <w:rPr>
          <w:rFonts w:cs="Times New Roman"/>
          <w:lang w:val="en-GB"/>
        </w:rPr>
        <w:t>, the sector uses these resources for capital formation, i.e., buying machinery, equipment, construction services</w:t>
      </w:r>
      <w:r w:rsidR="004841BE">
        <w:rPr>
          <w:rFonts w:cs="Times New Roman"/>
          <w:lang w:val="en-GB"/>
        </w:rPr>
        <w:t>,</w:t>
      </w:r>
      <w:r w:rsidRPr="00934D9A">
        <w:rPr>
          <w:rFonts w:cs="Times New Roman"/>
          <w:lang w:val="en-GB"/>
        </w:rPr>
        <w:t xml:space="preserve"> and other goods in order to improve its production capacity in period </w:t>
      </w:r>
      <m:oMath>
        <m:r>
          <w:rPr>
            <w:rFonts w:ascii="Cambria Math" w:hAnsi="Cambria Math" w:cs="Times New Roman"/>
            <w:lang w:val="en-GB"/>
          </w:rPr>
          <m:t>t+1</m:t>
        </m:r>
      </m:oMath>
      <w:r w:rsidRPr="00934D9A">
        <w:rPr>
          <w:rFonts w:cs="Times New Roman"/>
          <w:lang w:val="en-GB"/>
        </w:rPr>
        <w:t>. Therefore, in the next period</w:t>
      </w:r>
      <w:r w:rsidR="004841BE">
        <w:rPr>
          <w:rFonts w:cs="Times New Roman"/>
          <w:lang w:val="en-GB"/>
        </w:rPr>
        <w:t>,</w:t>
      </w:r>
      <w:r w:rsidRPr="00934D9A">
        <w:rPr>
          <w:rFonts w:cs="Times New Roman"/>
          <w:lang w:val="en-GB"/>
        </w:rPr>
        <w:t xml:space="preserve"> that industry will become more competitive, either attracting more investments or encouraging investments in other related industries. In this way, the investment generates cumulative effects in all regions directly affected and, in their surroundings, provoking positive effects throughout the economy.</w:t>
      </w:r>
    </w:p>
    <w:p w14:paraId="7B5E9066" w14:textId="6A3831DD" w:rsidR="009969B1" w:rsidRPr="00193488" w:rsidRDefault="00E96A3D" w:rsidP="00184876">
      <w:pPr>
        <w:spacing w:before="120" w:after="120" w:line="240" w:lineRule="auto"/>
        <w:jc w:val="center"/>
        <w:rPr>
          <w:rFonts w:cs="Times New Roman"/>
          <w:lang w:val="en-GB"/>
        </w:rPr>
      </w:pPr>
      <w:r w:rsidRPr="00934D9A">
        <w:rPr>
          <w:szCs w:val="24"/>
          <w:lang w:val="en-GB"/>
        </w:rPr>
        <w:t>&lt;Insert Figure 2&gt;</w:t>
      </w:r>
    </w:p>
    <w:p w14:paraId="0161E425" w14:textId="77777777" w:rsidR="00E8300D" w:rsidRDefault="00DA24C2" w:rsidP="00184876">
      <w:pPr>
        <w:spacing w:before="120" w:after="120" w:line="240" w:lineRule="auto"/>
        <w:jc w:val="both"/>
        <w:rPr>
          <w:rFonts w:cs="Times New Roman"/>
          <w:lang w:val="en-GB"/>
        </w:rPr>
      </w:pPr>
      <w:r w:rsidRPr="00934D9A">
        <w:rPr>
          <w:rFonts w:cs="Times New Roman"/>
          <w:lang w:val="en-GB"/>
        </w:rPr>
        <w:t>Aggregate employment follows the same trajectory of GDP growth, since the expansion of the economy implies greater use of primary factors in production</w:t>
      </w:r>
      <w:r w:rsidR="004B4490" w:rsidRPr="00934D9A">
        <w:rPr>
          <w:rFonts w:cs="Times New Roman"/>
          <w:lang w:val="en-GB"/>
        </w:rPr>
        <w:t>, however, with the intensification of capital usage (due to investments), employment growth is slightly lower, increasing 2.75% in the end of the simulation period</w:t>
      </w:r>
      <w:r w:rsidRPr="00934D9A">
        <w:rPr>
          <w:rFonts w:cs="Times New Roman"/>
          <w:lang w:val="en-GB"/>
        </w:rPr>
        <w:t xml:space="preserve">. </w:t>
      </w:r>
      <w:r w:rsidR="004B4490" w:rsidRPr="00934D9A">
        <w:rPr>
          <w:rFonts w:cs="Times New Roman"/>
          <w:lang w:val="en-GB"/>
        </w:rPr>
        <w:t>H</w:t>
      </w:r>
      <w:r w:rsidRPr="00934D9A">
        <w:rPr>
          <w:rFonts w:cs="Times New Roman"/>
          <w:lang w:val="en-GB"/>
        </w:rPr>
        <w:t>ousehold consumption</w:t>
      </w:r>
      <w:r w:rsidR="004B4490" w:rsidRPr="00934D9A">
        <w:rPr>
          <w:rFonts w:cs="Times New Roman"/>
          <w:lang w:val="en-GB"/>
        </w:rPr>
        <w:t xml:space="preserve"> follows employment very closely and </w:t>
      </w:r>
      <w:r w:rsidRPr="00934D9A">
        <w:rPr>
          <w:rFonts w:cs="Times New Roman"/>
          <w:lang w:val="en-GB"/>
        </w:rPr>
        <w:t>increase</w:t>
      </w:r>
      <w:r w:rsidR="004B4490" w:rsidRPr="00934D9A">
        <w:rPr>
          <w:rFonts w:cs="Times New Roman"/>
          <w:lang w:val="en-GB"/>
        </w:rPr>
        <w:t>s</w:t>
      </w:r>
      <w:r w:rsidRPr="00934D9A">
        <w:rPr>
          <w:rFonts w:cs="Times New Roman"/>
          <w:lang w:val="en-GB"/>
        </w:rPr>
        <w:t xml:space="preserve"> 2.78%, above the baseline</w:t>
      </w:r>
      <w:r w:rsidR="00EB57F4" w:rsidRPr="00934D9A">
        <w:rPr>
          <w:rFonts w:cs="Times New Roman"/>
          <w:lang w:val="en-GB"/>
        </w:rPr>
        <w:t xml:space="preserve"> scenario</w:t>
      </w:r>
      <w:r w:rsidRPr="00934D9A">
        <w:rPr>
          <w:rFonts w:cs="Times New Roman"/>
          <w:lang w:val="en-GB"/>
        </w:rPr>
        <w:t xml:space="preserve"> in 2025</w:t>
      </w:r>
      <w:r w:rsidR="003C1CFC" w:rsidRPr="00934D9A">
        <w:rPr>
          <w:rFonts w:cs="Times New Roman"/>
          <w:lang w:val="en-GB"/>
        </w:rPr>
        <w:t xml:space="preserve"> (Figure 2)</w:t>
      </w:r>
      <w:r w:rsidRPr="00934D9A">
        <w:rPr>
          <w:rFonts w:cs="Times New Roman"/>
          <w:lang w:val="en-GB"/>
        </w:rPr>
        <w:t xml:space="preserve">. </w:t>
      </w:r>
    </w:p>
    <w:p w14:paraId="237A170A" w14:textId="77777777" w:rsidR="00E8300D" w:rsidRDefault="00DA24C2" w:rsidP="00184876">
      <w:pPr>
        <w:spacing w:before="120" w:after="120" w:line="240" w:lineRule="auto"/>
        <w:jc w:val="both"/>
        <w:rPr>
          <w:rFonts w:cs="Times New Roman"/>
          <w:lang w:val="en-GB"/>
        </w:rPr>
      </w:pPr>
      <w:proofErr w:type="gramStart"/>
      <w:r w:rsidRPr="00934D9A">
        <w:rPr>
          <w:rFonts w:cs="Times New Roman"/>
          <w:lang w:val="en-GB"/>
        </w:rPr>
        <w:t xml:space="preserve">Figure </w:t>
      </w:r>
      <w:r w:rsidR="003C1CFC" w:rsidRPr="00934D9A">
        <w:rPr>
          <w:rFonts w:cs="Times New Roman"/>
          <w:lang w:val="en-GB"/>
        </w:rPr>
        <w:t>3</w:t>
      </w:r>
      <w:r w:rsidRPr="00934D9A">
        <w:rPr>
          <w:rFonts w:cs="Times New Roman"/>
          <w:lang w:val="en-GB"/>
        </w:rPr>
        <w:t xml:space="preserve"> shows the</w:t>
      </w:r>
      <w:r w:rsidR="000E61FF" w:rsidRPr="00934D9A">
        <w:rPr>
          <w:rFonts w:cs="Times New Roman"/>
          <w:lang w:val="en-GB"/>
        </w:rPr>
        <w:t xml:space="preserve"> </w:t>
      </w:r>
      <w:r w:rsidR="00D35A9F" w:rsidRPr="00934D9A">
        <w:rPr>
          <w:rFonts w:cs="Times New Roman"/>
          <w:lang w:val="en-GB"/>
        </w:rPr>
        <w:t>FNE’</w:t>
      </w:r>
      <w:r w:rsidRPr="00934D9A">
        <w:rPr>
          <w:rFonts w:cs="Times New Roman"/>
          <w:lang w:val="en-GB"/>
        </w:rPr>
        <w:t xml:space="preserve"> impact on exports and imports of the Brazilian Northeast.</w:t>
      </w:r>
      <w:proofErr w:type="gramEnd"/>
      <w:r w:rsidR="004B4490" w:rsidRPr="00934D9A">
        <w:rPr>
          <w:rFonts w:cs="Times New Roman"/>
          <w:lang w:val="en-GB"/>
        </w:rPr>
        <w:t xml:space="preserve"> </w:t>
      </w:r>
      <w:r w:rsidR="000E61FF" w:rsidRPr="00934D9A">
        <w:rPr>
          <w:rFonts w:cs="Times New Roman"/>
          <w:lang w:val="en-GB"/>
        </w:rPr>
        <w:t>It</w:t>
      </w:r>
      <w:r w:rsidR="004B4490" w:rsidRPr="00934D9A">
        <w:rPr>
          <w:rFonts w:cs="Times New Roman"/>
          <w:lang w:val="en-GB"/>
        </w:rPr>
        <w:t xml:space="preserve"> shows a </w:t>
      </w:r>
      <w:r w:rsidR="000E61FF" w:rsidRPr="00934D9A">
        <w:rPr>
          <w:rFonts w:cs="Times New Roman"/>
          <w:lang w:val="en-GB"/>
        </w:rPr>
        <w:t xml:space="preserve">relative </w:t>
      </w:r>
      <w:r w:rsidR="004B4490" w:rsidRPr="00934D9A">
        <w:rPr>
          <w:rFonts w:cs="Times New Roman"/>
          <w:lang w:val="en-GB"/>
        </w:rPr>
        <w:t>growth in imports compared to exports, which can be explained by changes in terms of trade. The demand for investments</w:t>
      </w:r>
      <w:r w:rsidR="001914B7" w:rsidRPr="00934D9A">
        <w:rPr>
          <w:rFonts w:cs="Times New Roman"/>
          <w:lang w:val="en-GB"/>
        </w:rPr>
        <w:t xml:space="preserve"> from the benefited sectors by</w:t>
      </w:r>
      <w:r w:rsidR="004B4490" w:rsidRPr="00934D9A">
        <w:rPr>
          <w:rFonts w:cs="Times New Roman"/>
          <w:lang w:val="en-GB"/>
        </w:rPr>
        <w:t xml:space="preserve"> the FNE would increase their production costs</w:t>
      </w:r>
      <w:r w:rsidR="001914B7" w:rsidRPr="00934D9A">
        <w:rPr>
          <w:rFonts w:cs="Times New Roman"/>
          <w:lang w:val="en-GB"/>
        </w:rPr>
        <w:t xml:space="preserve">, </w:t>
      </w:r>
      <w:r w:rsidR="00C92110" w:rsidRPr="00934D9A">
        <w:rPr>
          <w:rFonts w:cs="Times New Roman"/>
          <w:lang w:val="en-GB"/>
        </w:rPr>
        <w:t>since the capital usage</w:t>
      </w:r>
      <w:r w:rsidR="001914B7" w:rsidRPr="00934D9A">
        <w:rPr>
          <w:rFonts w:cs="Times New Roman"/>
          <w:lang w:val="en-GB"/>
        </w:rPr>
        <w:t xml:space="preserve"> becomes more expensive</w:t>
      </w:r>
      <w:r w:rsidR="004B4490" w:rsidRPr="00934D9A">
        <w:rPr>
          <w:rFonts w:cs="Times New Roman"/>
          <w:lang w:val="en-GB"/>
        </w:rPr>
        <w:t xml:space="preserve">. These sectors, in turn, would pass on the increase in its costs to final consumers through price increases, which would imply domestic goods relatively more expensive than imported goods. </w:t>
      </w:r>
    </w:p>
    <w:p w14:paraId="1DD2ABEF" w14:textId="77777777" w:rsidR="00E8300D" w:rsidRDefault="00032619" w:rsidP="00184876">
      <w:pPr>
        <w:spacing w:before="120" w:after="120" w:line="240" w:lineRule="auto"/>
        <w:jc w:val="both"/>
        <w:rPr>
          <w:rFonts w:cs="Times New Roman"/>
          <w:lang w:val="en-GB"/>
        </w:rPr>
      </w:pPr>
      <w:r w:rsidRPr="00934D9A">
        <w:rPr>
          <w:rFonts w:cs="Times New Roman"/>
          <w:lang w:val="en-GB"/>
        </w:rPr>
        <w:t>Given the model’s mechanism of substitution effect, this would stimulate imports (positive changes throughout the period) and discourage exports, which would show negative variations during the investments’ period (2014 and 2015). Furthermore, the increase in production contributes to the increase of imports, whose cumulative deviation in 2025 would be 3.74% against 0.43% of exports.</w:t>
      </w:r>
    </w:p>
    <w:p w14:paraId="75D68387" w14:textId="08DDD9BC" w:rsidR="009969B1" w:rsidRPr="00193488" w:rsidRDefault="00E96A3D" w:rsidP="00184876">
      <w:pPr>
        <w:spacing w:before="120" w:after="120" w:line="240" w:lineRule="auto"/>
        <w:jc w:val="center"/>
        <w:rPr>
          <w:szCs w:val="24"/>
          <w:lang w:val="en-GB"/>
        </w:rPr>
      </w:pPr>
      <w:r w:rsidRPr="00934D9A">
        <w:rPr>
          <w:szCs w:val="24"/>
          <w:lang w:val="en-GB"/>
        </w:rPr>
        <w:t>&lt;Insert Figure 3&gt;</w:t>
      </w:r>
    </w:p>
    <w:p w14:paraId="0C3E71C8" w14:textId="77777777" w:rsidR="00E8300D" w:rsidRDefault="00DA24C2" w:rsidP="00184876">
      <w:pPr>
        <w:spacing w:before="120" w:after="120" w:line="240" w:lineRule="auto"/>
        <w:jc w:val="both"/>
        <w:rPr>
          <w:rFonts w:cs="Times New Roman"/>
          <w:lang w:val="en-GB"/>
        </w:rPr>
      </w:pPr>
      <w:r w:rsidRPr="00934D9A">
        <w:rPr>
          <w:rFonts w:cs="Times New Roman"/>
          <w:lang w:val="en-GB"/>
        </w:rPr>
        <w:t xml:space="preserve">In order to measure </w:t>
      </w:r>
      <w:r w:rsidR="00FA655C" w:rsidRPr="00934D9A">
        <w:rPr>
          <w:rFonts w:cs="Times New Roman"/>
          <w:lang w:val="en-GB"/>
        </w:rPr>
        <w:t>FNE impacts in the Northeast a</w:t>
      </w:r>
      <w:r w:rsidRPr="00934D9A">
        <w:rPr>
          <w:rFonts w:cs="Times New Roman"/>
          <w:lang w:val="en-GB"/>
        </w:rPr>
        <w:t xml:space="preserve">nd identify the spatial </w:t>
      </w:r>
      <w:r w:rsidR="00D35A9F" w:rsidRPr="00934D9A">
        <w:rPr>
          <w:rFonts w:cs="Times New Roman"/>
          <w:lang w:val="en-GB"/>
        </w:rPr>
        <w:t xml:space="preserve">effects </w:t>
      </w:r>
      <w:r w:rsidR="00FA655C" w:rsidRPr="00934D9A">
        <w:rPr>
          <w:rFonts w:cs="Times New Roman"/>
          <w:lang w:val="en-GB"/>
        </w:rPr>
        <w:t>in the rest of Brazil</w:t>
      </w:r>
      <w:r w:rsidRPr="00934D9A">
        <w:rPr>
          <w:rFonts w:cs="Times New Roman"/>
          <w:lang w:val="en-GB"/>
        </w:rPr>
        <w:t xml:space="preserve">, Figures </w:t>
      </w:r>
      <w:r w:rsidR="003C1CFC" w:rsidRPr="00934D9A">
        <w:rPr>
          <w:rFonts w:cs="Times New Roman"/>
          <w:lang w:val="en-GB"/>
        </w:rPr>
        <w:t>4</w:t>
      </w:r>
      <w:r w:rsidRPr="00934D9A">
        <w:rPr>
          <w:rFonts w:cs="Times New Roman"/>
          <w:lang w:val="en-GB"/>
        </w:rPr>
        <w:t xml:space="preserve"> and </w:t>
      </w:r>
      <w:r w:rsidR="003C1CFC" w:rsidRPr="00934D9A">
        <w:rPr>
          <w:rFonts w:cs="Times New Roman"/>
          <w:lang w:val="en-GB"/>
        </w:rPr>
        <w:t>5</w:t>
      </w:r>
      <w:r w:rsidRPr="00934D9A">
        <w:rPr>
          <w:rFonts w:cs="Times New Roman"/>
          <w:lang w:val="en-GB"/>
        </w:rPr>
        <w:t xml:space="preserve"> show the impact on GDP and employment among the Brazilian states</w:t>
      </w:r>
      <w:r w:rsidR="00EB57F4" w:rsidRPr="00934D9A">
        <w:rPr>
          <w:rFonts w:cs="Times New Roman"/>
          <w:lang w:val="en-GB"/>
        </w:rPr>
        <w:t xml:space="preserve"> in 2025</w:t>
      </w:r>
      <w:r w:rsidRPr="00934D9A">
        <w:rPr>
          <w:rFonts w:cs="Times New Roman"/>
          <w:lang w:val="en-GB"/>
        </w:rPr>
        <w:t xml:space="preserve">. </w:t>
      </w:r>
      <w:r w:rsidR="001540CA" w:rsidRPr="00934D9A">
        <w:rPr>
          <w:rFonts w:cs="Times New Roman"/>
          <w:lang w:val="en-GB"/>
        </w:rPr>
        <w:t xml:space="preserve">The greatest impacts, as expected, would be in the Northeast states, which are directly benefited by FNE resources. However, there is </w:t>
      </w:r>
      <w:r w:rsidR="00FA0C0E" w:rsidRPr="00934D9A">
        <w:rPr>
          <w:rFonts w:cs="Times New Roman"/>
          <w:lang w:val="en-GB"/>
        </w:rPr>
        <w:t>heterogeneity</w:t>
      </w:r>
      <w:r w:rsidR="001540CA" w:rsidRPr="00934D9A">
        <w:rPr>
          <w:rFonts w:cs="Times New Roman"/>
          <w:lang w:val="en-GB"/>
        </w:rPr>
        <w:t xml:space="preserve"> from the point of view of the impact magnitude within the region itself. </w:t>
      </w:r>
      <w:proofErr w:type="spellStart"/>
      <w:r w:rsidR="001540CA" w:rsidRPr="00934D9A">
        <w:rPr>
          <w:rFonts w:cs="Times New Roman"/>
          <w:lang w:val="en-GB"/>
        </w:rPr>
        <w:t>Piauí</w:t>
      </w:r>
      <w:proofErr w:type="spellEnd"/>
      <w:r w:rsidR="001540CA" w:rsidRPr="00934D9A">
        <w:rPr>
          <w:rFonts w:cs="Times New Roman"/>
          <w:lang w:val="en-GB"/>
        </w:rPr>
        <w:t xml:space="preserve"> – PI (5.69%), </w:t>
      </w:r>
      <w:proofErr w:type="spellStart"/>
      <w:r w:rsidR="001540CA" w:rsidRPr="00934D9A">
        <w:rPr>
          <w:rFonts w:cs="Times New Roman"/>
          <w:lang w:val="en-GB"/>
        </w:rPr>
        <w:t>Ceará</w:t>
      </w:r>
      <w:proofErr w:type="spellEnd"/>
      <w:r w:rsidR="001540CA" w:rsidRPr="00934D9A">
        <w:rPr>
          <w:rFonts w:cs="Times New Roman"/>
          <w:lang w:val="en-GB"/>
        </w:rPr>
        <w:t xml:space="preserve"> </w:t>
      </w:r>
      <w:r w:rsidR="004841BE">
        <w:rPr>
          <w:rFonts w:cs="Times New Roman"/>
          <w:lang w:val="en-GB"/>
        </w:rPr>
        <w:t>–</w:t>
      </w:r>
      <w:r w:rsidR="001540CA" w:rsidRPr="00934D9A">
        <w:rPr>
          <w:rFonts w:cs="Times New Roman"/>
          <w:lang w:val="en-GB"/>
        </w:rPr>
        <w:t xml:space="preserve"> CE (5.39%) and Rio Grande do </w:t>
      </w:r>
      <w:proofErr w:type="spellStart"/>
      <w:r w:rsidR="001540CA" w:rsidRPr="00934D9A">
        <w:rPr>
          <w:rFonts w:cs="Times New Roman"/>
          <w:lang w:val="en-GB"/>
        </w:rPr>
        <w:t>Norte</w:t>
      </w:r>
      <w:proofErr w:type="spellEnd"/>
      <w:r w:rsidR="001540CA" w:rsidRPr="00934D9A">
        <w:rPr>
          <w:rFonts w:cs="Times New Roman"/>
          <w:lang w:val="en-GB"/>
        </w:rPr>
        <w:t xml:space="preserve"> </w:t>
      </w:r>
      <w:r w:rsidR="004841BE">
        <w:rPr>
          <w:rFonts w:cs="Times New Roman"/>
          <w:lang w:val="en-GB"/>
        </w:rPr>
        <w:t>–</w:t>
      </w:r>
      <w:r w:rsidR="001540CA" w:rsidRPr="00934D9A">
        <w:rPr>
          <w:rFonts w:cs="Times New Roman"/>
          <w:lang w:val="en-GB"/>
        </w:rPr>
        <w:t xml:space="preserve"> RN (5.06%) would be the states with the largest accumulated GDP deviation in 2025, while the </w:t>
      </w:r>
      <w:r w:rsidR="00E47554" w:rsidRPr="00934D9A">
        <w:rPr>
          <w:rFonts w:cs="Times New Roman"/>
          <w:lang w:val="en-GB"/>
        </w:rPr>
        <w:t>other</w:t>
      </w:r>
      <w:r w:rsidR="001540CA" w:rsidRPr="00934D9A">
        <w:rPr>
          <w:rFonts w:cs="Times New Roman"/>
          <w:lang w:val="en-GB"/>
        </w:rPr>
        <w:t xml:space="preserve"> states would grow around </w:t>
      </w:r>
      <w:r w:rsidR="001540CA" w:rsidRPr="00934D9A">
        <w:rPr>
          <w:rFonts w:cs="Times New Roman"/>
          <w:lang w:val="en-GB"/>
        </w:rPr>
        <w:lastRenderedPageBreak/>
        <w:t>3% above the baseline scenario.</w:t>
      </w:r>
      <w:r w:rsidR="00EC3210" w:rsidRPr="00934D9A">
        <w:rPr>
          <w:rFonts w:cs="Times New Roman"/>
          <w:lang w:val="en-GB"/>
        </w:rPr>
        <w:t xml:space="preserve"> It is important to note that, the major impacts in these regions </w:t>
      </w:r>
      <w:r w:rsidR="004841BE">
        <w:rPr>
          <w:rFonts w:cs="Times New Roman"/>
          <w:lang w:val="en-GB"/>
        </w:rPr>
        <w:t>are</w:t>
      </w:r>
      <w:r w:rsidR="004841BE" w:rsidRPr="00934D9A">
        <w:rPr>
          <w:rFonts w:cs="Times New Roman"/>
          <w:lang w:val="en-GB"/>
        </w:rPr>
        <w:t xml:space="preserve"> </w:t>
      </w:r>
      <w:r w:rsidR="00EC3210" w:rsidRPr="00934D9A">
        <w:rPr>
          <w:rFonts w:cs="Times New Roman"/>
          <w:lang w:val="en-GB"/>
        </w:rPr>
        <w:t>associated with the greater share of FNE resources in total investment, since they are small economies.</w:t>
      </w:r>
    </w:p>
    <w:p w14:paraId="4180BBC4" w14:textId="41F6AABC" w:rsidR="009969B1" w:rsidRPr="00193488" w:rsidRDefault="00E96A3D" w:rsidP="00184876">
      <w:pPr>
        <w:spacing w:before="120" w:after="120" w:line="240" w:lineRule="auto"/>
        <w:jc w:val="center"/>
        <w:rPr>
          <w:szCs w:val="24"/>
          <w:lang w:val="en-GB"/>
        </w:rPr>
      </w:pPr>
      <w:r w:rsidRPr="00934D9A">
        <w:rPr>
          <w:szCs w:val="24"/>
          <w:lang w:val="en-GB"/>
        </w:rPr>
        <w:t>&lt;Insert Figure 4&gt;</w:t>
      </w:r>
    </w:p>
    <w:p w14:paraId="712B7A33" w14:textId="77777777" w:rsidR="00E8300D" w:rsidRDefault="00024A7A" w:rsidP="00184876">
      <w:pPr>
        <w:spacing w:before="120" w:after="120" w:line="240" w:lineRule="auto"/>
        <w:jc w:val="both"/>
        <w:rPr>
          <w:rFonts w:cs="Times New Roman"/>
          <w:lang w:val="en-GB"/>
        </w:rPr>
      </w:pPr>
      <w:r w:rsidRPr="00934D9A">
        <w:rPr>
          <w:rFonts w:cs="Times New Roman"/>
          <w:lang w:val="en-GB"/>
        </w:rPr>
        <w:t xml:space="preserve">Although Bahia, in absolute terms, received the largest share of FNE resources, its impact (2.41%) would be the lowest among the </w:t>
      </w:r>
      <w:proofErr w:type="spellStart"/>
      <w:r w:rsidRPr="00934D9A">
        <w:rPr>
          <w:rFonts w:cs="Times New Roman"/>
          <w:lang w:val="en-GB"/>
        </w:rPr>
        <w:t>Northeastern</w:t>
      </w:r>
      <w:proofErr w:type="spellEnd"/>
      <w:r w:rsidRPr="00934D9A">
        <w:rPr>
          <w:rFonts w:cs="Times New Roman"/>
          <w:lang w:val="en-GB"/>
        </w:rPr>
        <w:t xml:space="preserve"> states. This can be explained as a result of Bahia having the largest economy in the region and therefore the contribution of FNE over total investment is </w:t>
      </w:r>
      <w:proofErr w:type="gramStart"/>
      <w:r w:rsidRPr="00934D9A">
        <w:rPr>
          <w:rFonts w:cs="Times New Roman"/>
          <w:lang w:val="en-GB"/>
        </w:rPr>
        <w:t>less representative</w:t>
      </w:r>
      <w:proofErr w:type="gramEnd"/>
      <w:r w:rsidRPr="00934D9A">
        <w:rPr>
          <w:rFonts w:cs="Times New Roman"/>
          <w:lang w:val="en-GB"/>
        </w:rPr>
        <w:t xml:space="preserve"> compared to other Federal Units.</w:t>
      </w:r>
    </w:p>
    <w:p w14:paraId="2BFBEF03" w14:textId="77777777" w:rsidR="00E8300D" w:rsidRDefault="00024A7A" w:rsidP="00184876">
      <w:pPr>
        <w:spacing w:before="120" w:after="120" w:line="240" w:lineRule="auto"/>
        <w:jc w:val="both"/>
        <w:rPr>
          <w:rFonts w:cs="Times New Roman"/>
          <w:lang w:val="en-GB"/>
        </w:rPr>
      </w:pPr>
      <w:r w:rsidRPr="00934D9A">
        <w:rPr>
          <w:rFonts w:cs="Times New Roman"/>
          <w:lang w:val="en-GB"/>
        </w:rPr>
        <w:t xml:space="preserve">Excluding </w:t>
      </w:r>
      <w:proofErr w:type="spellStart"/>
      <w:r w:rsidRPr="00934D9A">
        <w:rPr>
          <w:rFonts w:cs="Times New Roman"/>
          <w:lang w:val="en-GB"/>
        </w:rPr>
        <w:t>Mato</w:t>
      </w:r>
      <w:proofErr w:type="spellEnd"/>
      <w:r w:rsidRPr="00934D9A">
        <w:rPr>
          <w:rFonts w:cs="Times New Roman"/>
          <w:lang w:val="en-GB"/>
        </w:rPr>
        <w:t xml:space="preserve"> </w:t>
      </w:r>
      <w:proofErr w:type="spellStart"/>
      <w:r w:rsidRPr="00934D9A">
        <w:rPr>
          <w:rFonts w:cs="Times New Roman"/>
          <w:lang w:val="en-GB"/>
        </w:rPr>
        <w:t>Grosso</w:t>
      </w:r>
      <w:proofErr w:type="spellEnd"/>
      <w:r w:rsidRPr="00934D9A">
        <w:rPr>
          <w:rFonts w:cs="Times New Roman"/>
          <w:lang w:val="en-GB"/>
        </w:rPr>
        <w:t xml:space="preserve"> </w:t>
      </w:r>
      <w:r w:rsidR="004841BE">
        <w:rPr>
          <w:rFonts w:cs="Times New Roman"/>
          <w:lang w:val="en-GB"/>
        </w:rPr>
        <w:t>–</w:t>
      </w:r>
      <w:r w:rsidRPr="00934D9A">
        <w:rPr>
          <w:rFonts w:cs="Times New Roman"/>
          <w:lang w:val="en-GB"/>
        </w:rPr>
        <w:t xml:space="preserve"> MT (-0.25%), all other Brazilian states would present positive impacts as a result of the indirect effects of FNE investments. Following the mechanisms of our model, this occurs both because the intermediate demand of inputs from the Northeast sectors benefited </w:t>
      </w:r>
      <w:r w:rsidR="00F214ED">
        <w:rPr>
          <w:rFonts w:cs="Times New Roman"/>
          <w:lang w:val="en-GB"/>
        </w:rPr>
        <w:t>from</w:t>
      </w:r>
      <w:r w:rsidR="00F214ED" w:rsidRPr="00934D9A">
        <w:rPr>
          <w:rFonts w:cs="Times New Roman"/>
          <w:lang w:val="en-GB"/>
        </w:rPr>
        <w:t xml:space="preserve"> </w:t>
      </w:r>
      <w:r w:rsidRPr="00934D9A">
        <w:rPr>
          <w:rFonts w:cs="Times New Roman"/>
          <w:lang w:val="en-GB"/>
        </w:rPr>
        <w:t>the FNE and the increase of the Northeast’s final demand in relation to the other states of Brazil. The FNE was allocated</w:t>
      </w:r>
      <w:r w:rsidR="00F214ED">
        <w:rPr>
          <w:rFonts w:cs="Times New Roman"/>
          <w:lang w:val="en-GB"/>
        </w:rPr>
        <w:t xml:space="preserve"> in consideration of </w:t>
      </w:r>
      <w:r w:rsidRPr="00934D9A">
        <w:rPr>
          <w:rFonts w:cs="Times New Roman"/>
          <w:lang w:val="en-GB"/>
        </w:rPr>
        <w:t xml:space="preserve">the priority sectors and the demand for resources, concentrating funds to the agriculture and livestock of the Northeast. Given that </w:t>
      </w:r>
      <w:proofErr w:type="spellStart"/>
      <w:r w:rsidRPr="00934D9A">
        <w:rPr>
          <w:rFonts w:cs="Times New Roman"/>
          <w:lang w:val="en-GB"/>
        </w:rPr>
        <w:t>Mato</w:t>
      </w:r>
      <w:proofErr w:type="spellEnd"/>
      <w:r w:rsidRPr="00934D9A">
        <w:rPr>
          <w:rFonts w:cs="Times New Roman"/>
          <w:lang w:val="en-GB"/>
        </w:rPr>
        <w:t xml:space="preserve"> </w:t>
      </w:r>
      <w:proofErr w:type="spellStart"/>
      <w:r w:rsidRPr="00934D9A">
        <w:rPr>
          <w:rFonts w:cs="Times New Roman"/>
          <w:lang w:val="en-GB"/>
        </w:rPr>
        <w:t>Grosso</w:t>
      </w:r>
      <w:proofErr w:type="spellEnd"/>
      <w:r w:rsidRPr="00934D9A">
        <w:rPr>
          <w:rFonts w:cs="Times New Roman"/>
          <w:lang w:val="en-GB"/>
        </w:rPr>
        <w:t xml:space="preserve"> is an important agricultural producer in the country, this state suffers a type of competitive effect due to the relative improvement of agriculture in the Northeast. It is worth mentioning that in terms of employment impact (see Figure 6), there would be no losers, i.e., employment would increase in all of the Brazilian states as a consequence of FNE investments. Furthermore, the impact distribution in the Northeast is similar when compared to the GDP impact (Figure </w:t>
      </w:r>
      <w:r w:rsidR="003C1CFC" w:rsidRPr="00934D9A">
        <w:rPr>
          <w:rFonts w:cs="Times New Roman"/>
          <w:lang w:val="en-GB"/>
        </w:rPr>
        <w:t>4</w:t>
      </w:r>
      <w:r w:rsidRPr="00934D9A">
        <w:rPr>
          <w:rFonts w:cs="Times New Roman"/>
          <w:lang w:val="en-GB"/>
        </w:rPr>
        <w:t xml:space="preserve">). </w:t>
      </w:r>
    </w:p>
    <w:p w14:paraId="02B0336F" w14:textId="2F00B2EF" w:rsidR="009969B1" w:rsidRPr="00193488" w:rsidRDefault="00E96A3D" w:rsidP="00184876">
      <w:pPr>
        <w:spacing w:before="120" w:after="120" w:line="240" w:lineRule="auto"/>
        <w:jc w:val="center"/>
        <w:rPr>
          <w:szCs w:val="24"/>
          <w:lang w:val="en-GB"/>
        </w:rPr>
      </w:pPr>
      <w:r w:rsidRPr="00934D9A">
        <w:rPr>
          <w:szCs w:val="24"/>
          <w:lang w:val="en-GB"/>
        </w:rPr>
        <w:t>&lt;Insert Figure 5&gt;</w:t>
      </w:r>
    </w:p>
    <w:p w14:paraId="08529C8C" w14:textId="77777777" w:rsidR="00E8300D" w:rsidRDefault="001540CA" w:rsidP="00184876">
      <w:pPr>
        <w:spacing w:before="120" w:after="120" w:line="240" w:lineRule="auto"/>
        <w:jc w:val="both"/>
        <w:rPr>
          <w:rFonts w:cs="Times New Roman"/>
          <w:lang w:val="en-GB"/>
        </w:rPr>
      </w:pPr>
      <w:r w:rsidRPr="00934D9A">
        <w:rPr>
          <w:rFonts w:cs="Times New Roman"/>
          <w:lang w:val="en-GB"/>
        </w:rPr>
        <w:t xml:space="preserve">Figure </w:t>
      </w:r>
      <w:r w:rsidR="003C1CFC" w:rsidRPr="00934D9A">
        <w:rPr>
          <w:rFonts w:cs="Times New Roman"/>
          <w:lang w:val="en-GB"/>
        </w:rPr>
        <w:t>6</w:t>
      </w:r>
      <w:r w:rsidRPr="00934D9A">
        <w:rPr>
          <w:rFonts w:cs="Times New Roman"/>
          <w:lang w:val="en-GB"/>
        </w:rPr>
        <w:t xml:space="preserve"> shows the </w:t>
      </w:r>
      <w:r w:rsidR="00FA0C0E" w:rsidRPr="00934D9A">
        <w:rPr>
          <w:rFonts w:cs="Times New Roman"/>
          <w:lang w:val="en-GB"/>
        </w:rPr>
        <w:t xml:space="preserve">sectorial </w:t>
      </w:r>
      <w:r w:rsidRPr="00934D9A">
        <w:rPr>
          <w:rFonts w:cs="Times New Roman"/>
          <w:lang w:val="en-GB"/>
        </w:rPr>
        <w:t>impact on output</w:t>
      </w:r>
      <w:r w:rsidR="00206F88" w:rsidRPr="00934D9A">
        <w:rPr>
          <w:rFonts w:cs="Times New Roman"/>
          <w:lang w:val="en-GB"/>
        </w:rPr>
        <w:t xml:space="preserve"> and employment</w:t>
      </w:r>
      <w:r w:rsidRPr="00934D9A">
        <w:rPr>
          <w:rFonts w:cs="Times New Roman"/>
          <w:lang w:val="en-GB"/>
        </w:rPr>
        <w:t xml:space="preserve"> as the accumulated difference between 2014 and 2025 relative to the baseline scenario.</w:t>
      </w:r>
      <w:r w:rsidR="00DF7216" w:rsidRPr="00934D9A">
        <w:rPr>
          <w:rFonts w:cs="Times New Roman"/>
          <w:lang w:val="en-GB"/>
        </w:rPr>
        <w:t xml:space="preserve"> </w:t>
      </w:r>
      <w:r w:rsidR="007F6F85" w:rsidRPr="00934D9A">
        <w:rPr>
          <w:rFonts w:cs="Times New Roman"/>
          <w:lang w:val="en-GB"/>
        </w:rPr>
        <w:t xml:space="preserve">There are no losers related to </w:t>
      </w:r>
      <w:r w:rsidR="00DC4FE2">
        <w:rPr>
          <w:rFonts w:cs="Times New Roman"/>
          <w:lang w:val="en-GB"/>
        </w:rPr>
        <w:t xml:space="preserve">the </w:t>
      </w:r>
      <w:r w:rsidR="00C17884" w:rsidRPr="00934D9A">
        <w:rPr>
          <w:rFonts w:cs="Times New Roman"/>
          <w:lang w:val="en-GB"/>
        </w:rPr>
        <w:t>baseline</w:t>
      </w:r>
      <w:r w:rsidR="007F6F85" w:rsidRPr="00934D9A">
        <w:rPr>
          <w:rFonts w:cs="Times New Roman"/>
          <w:lang w:val="en-GB"/>
        </w:rPr>
        <w:t xml:space="preserve"> scenario, which means all of Northeast’s sectors would have </w:t>
      </w:r>
      <w:r w:rsidR="00DC4FE2">
        <w:rPr>
          <w:rFonts w:cs="Times New Roman"/>
          <w:lang w:val="en-GB"/>
        </w:rPr>
        <w:t xml:space="preserve">a </w:t>
      </w:r>
      <w:r w:rsidR="007F6F85" w:rsidRPr="00934D9A">
        <w:rPr>
          <w:rFonts w:cs="Times New Roman"/>
          <w:lang w:val="en-GB"/>
        </w:rPr>
        <w:t>positive impact on output and employment</w:t>
      </w:r>
      <w:r w:rsidR="00C17884" w:rsidRPr="00934D9A">
        <w:rPr>
          <w:rFonts w:cs="Times New Roman"/>
          <w:lang w:val="en-GB"/>
        </w:rPr>
        <w:t xml:space="preserve"> in the region as a whole</w:t>
      </w:r>
      <w:r w:rsidR="00024A7A" w:rsidRPr="00934D9A">
        <w:rPr>
          <w:rFonts w:cs="Times New Roman"/>
          <w:lang w:val="en-GB"/>
        </w:rPr>
        <w:t>.</w:t>
      </w:r>
    </w:p>
    <w:p w14:paraId="644C6114" w14:textId="77777777" w:rsidR="00E8300D" w:rsidRDefault="00DC6586" w:rsidP="00184876">
      <w:pPr>
        <w:spacing w:before="120" w:after="120" w:line="240" w:lineRule="auto"/>
        <w:jc w:val="both"/>
        <w:rPr>
          <w:rFonts w:cs="Times New Roman"/>
          <w:lang w:val="en-GB"/>
        </w:rPr>
      </w:pPr>
      <w:r w:rsidRPr="00934D9A">
        <w:rPr>
          <w:rFonts w:cs="Times New Roman"/>
          <w:lang w:val="en-GB"/>
        </w:rPr>
        <w:t xml:space="preserve">The </w:t>
      </w:r>
      <w:r w:rsidR="007F6F85" w:rsidRPr="00934D9A">
        <w:rPr>
          <w:rFonts w:cs="Times New Roman"/>
          <w:lang w:val="en-GB"/>
        </w:rPr>
        <w:t xml:space="preserve">two </w:t>
      </w:r>
      <w:r w:rsidR="00C17884" w:rsidRPr="00934D9A">
        <w:rPr>
          <w:rFonts w:cs="Times New Roman"/>
          <w:lang w:val="en-GB"/>
        </w:rPr>
        <w:t>most</w:t>
      </w:r>
      <w:r w:rsidRPr="00934D9A">
        <w:rPr>
          <w:rFonts w:cs="Times New Roman"/>
          <w:lang w:val="en-GB"/>
        </w:rPr>
        <w:t xml:space="preserve"> benefited sectors </w:t>
      </w:r>
      <w:r w:rsidR="00DC4FE2">
        <w:rPr>
          <w:rFonts w:cs="Times New Roman"/>
          <w:lang w:val="en-GB"/>
        </w:rPr>
        <w:t>of</w:t>
      </w:r>
      <w:r w:rsidR="00DC4FE2" w:rsidRPr="00934D9A">
        <w:rPr>
          <w:rFonts w:cs="Times New Roman"/>
          <w:lang w:val="en-GB"/>
        </w:rPr>
        <w:t xml:space="preserve"> </w:t>
      </w:r>
      <w:r w:rsidRPr="00934D9A">
        <w:rPr>
          <w:rFonts w:cs="Times New Roman"/>
          <w:lang w:val="en-GB"/>
        </w:rPr>
        <w:t xml:space="preserve">FNE investments, i.e., </w:t>
      </w:r>
      <w:r w:rsidR="00DC4FE2">
        <w:rPr>
          <w:rFonts w:cs="Times New Roman"/>
          <w:lang w:val="en-GB"/>
        </w:rPr>
        <w:t>a</w:t>
      </w:r>
      <w:r w:rsidR="00DC4FE2" w:rsidRPr="00934D9A">
        <w:rPr>
          <w:rFonts w:cs="Times New Roman"/>
          <w:lang w:val="en-GB"/>
        </w:rPr>
        <w:t>griculture</w:t>
      </w:r>
      <w:r w:rsidRPr="00934D9A">
        <w:rPr>
          <w:rFonts w:cs="Times New Roman"/>
          <w:lang w:val="en-GB"/>
        </w:rPr>
        <w:t xml:space="preserve">, forestry and livestock and </w:t>
      </w:r>
      <w:r w:rsidR="00DC4FE2">
        <w:rPr>
          <w:rFonts w:cs="Times New Roman"/>
          <w:lang w:val="en-GB"/>
        </w:rPr>
        <w:t>m</w:t>
      </w:r>
      <w:r w:rsidR="00DC4FE2" w:rsidRPr="00934D9A">
        <w:rPr>
          <w:rFonts w:cs="Times New Roman"/>
          <w:lang w:val="en-GB"/>
        </w:rPr>
        <w:t xml:space="preserve">ining </w:t>
      </w:r>
      <w:r w:rsidRPr="00934D9A">
        <w:rPr>
          <w:rFonts w:cs="Times New Roman"/>
          <w:lang w:val="en-GB"/>
        </w:rPr>
        <w:t xml:space="preserve">industry, are the same </w:t>
      </w:r>
      <w:r w:rsidR="00DC4FE2">
        <w:rPr>
          <w:rFonts w:cs="Times New Roman"/>
          <w:lang w:val="en-GB"/>
        </w:rPr>
        <w:t>that</w:t>
      </w:r>
      <w:r w:rsidR="00DC4FE2" w:rsidRPr="00934D9A">
        <w:rPr>
          <w:rFonts w:cs="Times New Roman"/>
          <w:lang w:val="en-GB"/>
        </w:rPr>
        <w:t xml:space="preserve"> </w:t>
      </w:r>
      <w:r w:rsidRPr="00934D9A">
        <w:rPr>
          <w:rFonts w:cs="Times New Roman"/>
          <w:lang w:val="en-GB"/>
        </w:rPr>
        <w:t xml:space="preserve">would </w:t>
      </w:r>
      <w:r w:rsidR="007F6F85" w:rsidRPr="00934D9A">
        <w:rPr>
          <w:rFonts w:cs="Times New Roman"/>
          <w:lang w:val="en-GB"/>
        </w:rPr>
        <w:t>have</w:t>
      </w:r>
      <w:r w:rsidRPr="00934D9A">
        <w:rPr>
          <w:rFonts w:cs="Times New Roman"/>
          <w:lang w:val="en-GB"/>
        </w:rPr>
        <w:t xml:space="preserve"> the greatest impact on </w:t>
      </w:r>
      <w:r w:rsidR="007F6F85" w:rsidRPr="00934D9A">
        <w:rPr>
          <w:rFonts w:cs="Times New Roman"/>
          <w:lang w:val="en-GB"/>
        </w:rPr>
        <w:t>output</w:t>
      </w:r>
      <w:r w:rsidRPr="00934D9A">
        <w:rPr>
          <w:rFonts w:cs="Times New Roman"/>
          <w:lang w:val="en-GB"/>
        </w:rPr>
        <w:t xml:space="preserve"> and employment. In contrary, public sectors such as </w:t>
      </w:r>
      <w:r w:rsidR="00DC4FE2">
        <w:rPr>
          <w:rFonts w:cs="Times New Roman"/>
          <w:lang w:val="en-GB"/>
        </w:rPr>
        <w:t>p</w:t>
      </w:r>
      <w:r w:rsidR="00DC4FE2" w:rsidRPr="00934D9A">
        <w:rPr>
          <w:rFonts w:cs="Times New Roman"/>
          <w:lang w:val="en-GB"/>
        </w:rPr>
        <w:t xml:space="preserve">ublic </w:t>
      </w:r>
      <w:r w:rsidR="007F6F85" w:rsidRPr="00934D9A">
        <w:rPr>
          <w:rFonts w:cs="Times New Roman"/>
          <w:lang w:val="en-GB"/>
        </w:rPr>
        <w:t xml:space="preserve">administration and social security, </w:t>
      </w:r>
      <w:r w:rsidR="00DC4FE2">
        <w:rPr>
          <w:rFonts w:cs="Times New Roman"/>
          <w:lang w:val="en-GB"/>
        </w:rPr>
        <w:t>p</w:t>
      </w:r>
      <w:r w:rsidR="00DC4FE2" w:rsidRPr="00934D9A">
        <w:rPr>
          <w:rFonts w:cs="Times New Roman"/>
          <w:lang w:val="en-GB"/>
        </w:rPr>
        <w:t xml:space="preserve">ublic </w:t>
      </w:r>
      <w:r w:rsidR="007F6F85" w:rsidRPr="00934D9A">
        <w:rPr>
          <w:rFonts w:cs="Times New Roman"/>
          <w:lang w:val="en-GB"/>
        </w:rPr>
        <w:t>education</w:t>
      </w:r>
      <w:r w:rsidR="00A21749">
        <w:rPr>
          <w:rFonts w:cs="Times New Roman"/>
          <w:lang w:val="en-GB"/>
        </w:rPr>
        <w:t>, and</w:t>
      </w:r>
      <w:r w:rsidR="007F6F85" w:rsidRPr="00934D9A">
        <w:rPr>
          <w:rFonts w:cs="Times New Roman"/>
          <w:lang w:val="en-GB"/>
        </w:rPr>
        <w:t xml:space="preserve"> </w:t>
      </w:r>
      <w:r w:rsidR="00DC4FE2">
        <w:rPr>
          <w:rFonts w:cs="Times New Roman"/>
          <w:lang w:val="en-GB"/>
        </w:rPr>
        <w:t>p</w:t>
      </w:r>
      <w:r w:rsidR="00DC4FE2" w:rsidRPr="00934D9A">
        <w:rPr>
          <w:rFonts w:cs="Times New Roman"/>
          <w:lang w:val="en-GB"/>
        </w:rPr>
        <w:t xml:space="preserve">ublic </w:t>
      </w:r>
      <w:r w:rsidR="007F6F85" w:rsidRPr="00934D9A">
        <w:rPr>
          <w:rFonts w:cs="Times New Roman"/>
          <w:lang w:val="en-GB"/>
        </w:rPr>
        <w:t xml:space="preserve">heath, would present the lowest impacts once these activities </w:t>
      </w:r>
      <w:r w:rsidR="00DC4FE2">
        <w:rPr>
          <w:rFonts w:cs="Times New Roman"/>
          <w:lang w:val="en-GB"/>
        </w:rPr>
        <w:t>become</w:t>
      </w:r>
      <w:r w:rsidR="00DC4FE2" w:rsidRPr="00934D9A">
        <w:rPr>
          <w:rFonts w:cs="Times New Roman"/>
          <w:lang w:val="en-GB"/>
        </w:rPr>
        <w:t xml:space="preserve"> </w:t>
      </w:r>
      <w:r w:rsidR="00DC4FE2">
        <w:rPr>
          <w:rFonts w:cs="Times New Roman"/>
          <w:lang w:val="en-GB"/>
        </w:rPr>
        <w:t>in</w:t>
      </w:r>
      <w:r w:rsidR="007F6F85" w:rsidRPr="00934D9A">
        <w:rPr>
          <w:rFonts w:cs="Times New Roman"/>
          <w:lang w:val="en-GB"/>
        </w:rPr>
        <w:t xml:space="preserve">eligible to receive resources from FNE. </w:t>
      </w:r>
    </w:p>
    <w:p w14:paraId="61351B46" w14:textId="77777777" w:rsidR="00E8300D" w:rsidRDefault="00E8300D" w:rsidP="00184876">
      <w:pPr>
        <w:spacing w:before="120" w:after="120" w:line="240" w:lineRule="auto"/>
        <w:jc w:val="both"/>
        <w:rPr>
          <w:rFonts w:cs="Times New Roman"/>
          <w:lang w:val="en-GB"/>
        </w:rPr>
      </w:pPr>
    </w:p>
    <w:p w14:paraId="17F46188" w14:textId="17FCA1D6" w:rsidR="00E8300D" w:rsidRPr="009969B1" w:rsidRDefault="00E96A3D" w:rsidP="00184876">
      <w:pPr>
        <w:spacing w:before="120" w:after="120" w:line="240" w:lineRule="auto"/>
        <w:jc w:val="center"/>
        <w:rPr>
          <w:szCs w:val="24"/>
          <w:lang w:val="en-GB"/>
        </w:rPr>
      </w:pPr>
      <w:r w:rsidRPr="00934D9A">
        <w:rPr>
          <w:szCs w:val="24"/>
          <w:lang w:val="en-GB"/>
        </w:rPr>
        <w:t>&lt;Insert Figure 6&gt;</w:t>
      </w:r>
    </w:p>
    <w:p w14:paraId="3CA7488C" w14:textId="77777777" w:rsidR="00E8300D" w:rsidRDefault="00E52D2F" w:rsidP="00184876">
      <w:pPr>
        <w:spacing w:before="120" w:after="120" w:line="240" w:lineRule="auto"/>
        <w:jc w:val="both"/>
        <w:rPr>
          <w:rFonts w:cs="Times New Roman"/>
          <w:lang w:val="en-GB"/>
        </w:rPr>
      </w:pPr>
      <w:r w:rsidRPr="00934D9A">
        <w:rPr>
          <w:rFonts w:cs="Times New Roman"/>
          <w:lang w:val="en-GB"/>
        </w:rPr>
        <w:t>In order to assess</w:t>
      </w:r>
      <w:r w:rsidR="00531C85" w:rsidRPr="00934D9A">
        <w:rPr>
          <w:rFonts w:cs="Times New Roman"/>
          <w:lang w:val="en-GB"/>
        </w:rPr>
        <w:t xml:space="preserve"> the impact that FNE investments</w:t>
      </w:r>
      <w:r w:rsidR="000710BB" w:rsidRPr="00934D9A">
        <w:rPr>
          <w:rFonts w:cs="Times New Roman"/>
          <w:lang w:val="en-GB"/>
        </w:rPr>
        <w:t xml:space="preserve"> could have on Brazilian</w:t>
      </w:r>
      <w:r w:rsidR="00531C85" w:rsidRPr="00934D9A">
        <w:rPr>
          <w:rFonts w:cs="Times New Roman"/>
          <w:lang w:val="en-GB"/>
        </w:rPr>
        <w:t xml:space="preserve"> </w:t>
      </w:r>
      <w:r w:rsidRPr="00934D9A">
        <w:rPr>
          <w:rFonts w:cs="Times New Roman"/>
          <w:lang w:val="en-GB"/>
        </w:rPr>
        <w:t>regional inequality</w:t>
      </w:r>
      <w:r w:rsidR="00531C85" w:rsidRPr="00934D9A">
        <w:rPr>
          <w:rFonts w:cs="Times New Roman"/>
          <w:lang w:val="en-GB"/>
        </w:rPr>
        <w:t xml:space="preserve">, the method used by </w:t>
      </w:r>
      <w:proofErr w:type="spellStart"/>
      <w:r w:rsidR="00531C85" w:rsidRPr="00934D9A">
        <w:rPr>
          <w:rFonts w:cs="Times New Roman"/>
          <w:lang w:val="en-GB"/>
        </w:rPr>
        <w:t>Ribeiro</w:t>
      </w:r>
      <w:proofErr w:type="spellEnd"/>
      <w:r w:rsidR="00531C85" w:rsidRPr="00934D9A">
        <w:rPr>
          <w:rFonts w:cs="Times New Roman"/>
          <w:lang w:val="en-GB"/>
        </w:rPr>
        <w:t xml:space="preserve"> </w:t>
      </w:r>
      <w:r w:rsidR="00531C85" w:rsidRPr="00882887">
        <w:rPr>
          <w:rFonts w:cs="Times New Roman"/>
          <w:lang w:val="en-GB"/>
        </w:rPr>
        <w:t>et al.</w:t>
      </w:r>
      <w:r w:rsidR="00361838" w:rsidRPr="00934D9A">
        <w:rPr>
          <w:rFonts w:cs="Times New Roman"/>
          <w:lang w:val="en-GB"/>
        </w:rPr>
        <w:t xml:space="preserve"> (2017</w:t>
      </w:r>
      <w:r w:rsidR="00882887">
        <w:rPr>
          <w:rFonts w:cs="Times New Roman"/>
          <w:lang w:val="en-GB"/>
        </w:rPr>
        <w:t>,</w:t>
      </w:r>
      <w:r w:rsidR="00531C85" w:rsidRPr="00934D9A">
        <w:rPr>
          <w:rFonts w:cs="Times New Roman"/>
          <w:lang w:val="en-GB"/>
        </w:rPr>
        <w:t xml:space="preserve"> </w:t>
      </w:r>
      <w:r w:rsidR="00361838" w:rsidRPr="00934D9A">
        <w:rPr>
          <w:rFonts w:cs="Times New Roman"/>
          <w:lang w:val="en-GB"/>
        </w:rPr>
        <w:t>2018</w:t>
      </w:r>
      <w:r w:rsidR="00531C85" w:rsidRPr="00934D9A">
        <w:rPr>
          <w:rFonts w:cs="Times New Roman"/>
          <w:lang w:val="en-GB"/>
        </w:rPr>
        <w:t xml:space="preserve">) was adopted. GINI index from </w:t>
      </w:r>
      <w:r w:rsidRPr="00934D9A">
        <w:rPr>
          <w:rFonts w:cs="Times New Roman"/>
          <w:lang w:val="en-GB"/>
        </w:rPr>
        <w:t>Brazilian states’</w:t>
      </w:r>
      <w:r w:rsidR="00531C85" w:rsidRPr="00934D9A">
        <w:rPr>
          <w:rFonts w:cs="Times New Roman"/>
          <w:lang w:val="en-GB"/>
        </w:rPr>
        <w:t xml:space="preserve"> GDP</w:t>
      </w:r>
      <w:r w:rsidR="00C17884" w:rsidRPr="00934D9A">
        <w:rPr>
          <w:rFonts w:cs="Times New Roman"/>
          <w:lang w:val="en-GB"/>
        </w:rPr>
        <w:t xml:space="preserve"> distribution</w:t>
      </w:r>
      <w:r w:rsidR="000710BB" w:rsidRPr="00934D9A">
        <w:rPr>
          <w:rFonts w:cs="Times New Roman"/>
          <w:lang w:val="en-GB"/>
        </w:rPr>
        <w:t xml:space="preserve"> was calculated</w:t>
      </w:r>
      <w:r w:rsidR="00531C85" w:rsidRPr="00934D9A">
        <w:rPr>
          <w:rFonts w:cs="Times New Roman"/>
          <w:lang w:val="en-GB"/>
        </w:rPr>
        <w:t xml:space="preserve"> at current prices </w:t>
      </w:r>
      <w:r w:rsidR="00C17884" w:rsidRPr="00934D9A">
        <w:rPr>
          <w:rFonts w:cs="Times New Roman"/>
          <w:lang w:val="en-GB"/>
        </w:rPr>
        <w:t xml:space="preserve">in </w:t>
      </w:r>
      <w:r w:rsidR="00531C85" w:rsidRPr="00934D9A">
        <w:rPr>
          <w:rFonts w:cs="Times New Roman"/>
          <w:lang w:val="en-GB"/>
        </w:rPr>
        <w:t>the baseline and policy</w:t>
      </w:r>
      <w:r w:rsidRPr="00934D9A">
        <w:rPr>
          <w:rFonts w:cs="Times New Roman"/>
          <w:lang w:val="en-GB"/>
        </w:rPr>
        <w:t xml:space="preserve"> </w:t>
      </w:r>
      <w:r w:rsidR="00531C85" w:rsidRPr="00934D9A">
        <w:rPr>
          <w:rFonts w:cs="Times New Roman"/>
          <w:lang w:val="en-GB"/>
        </w:rPr>
        <w:t>(</w:t>
      </w:r>
      <w:r w:rsidRPr="00934D9A">
        <w:rPr>
          <w:rFonts w:cs="Times New Roman"/>
          <w:lang w:val="en-GB"/>
        </w:rPr>
        <w:t>considering</w:t>
      </w:r>
      <w:r w:rsidR="00531C85" w:rsidRPr="00934D9A">
        <w:rPr>
          <w:rFonts w:cs="Times New Roman"/>
          <w:lang w:val="en-GB"/>
        </w:rPr>
        <w:t xml:space="preserve"> the </w:t>
      </w:r>
      <w:r w:rsidRPr="00934D9A">
        <w:rPr>
          <w:rFonts w:cs="Times New Roman"/>
          <w:lang w:val="en-GB"/>
        </w:rPr>
        <w:t>FNE investments</w:t>
      </w:r>
      <w:r w:rsidR="00531C85" w:rsidRPr="00934D9A">
        <w:rPr>
          <w:rFonts w:cs="Times New Roman"/>
          <w:lang w:val="en-GB"/>
        </w:rPr>
        <w:t xml:space="preserve">) scenarios. </w:t>
      </w:r>
      <w:r w:rsidRPr="00934D9A">
        <w:rPr>
          <w:rFonts w:cs="Times New Roman"/>
          <w:lang w:val="en-GB"/>
        </w:rPr>
        <w:t xml:space="preserve">According to </w:t>
      </w:r>
      <w:proofErr w:type="spellStart"/>
      <w:r w:rsidRPr="00934D9A">
        <w:rPr>
          <w:rFonts w:cs="Times New Roman"/>
          <w:lang w:val="en-GB"/>
        </w:rPr>
        <w:t>Ribeiro</w:t>
      </w:r>
      <w:proofErr w:type="spellEnd"/>
      <w:r w:rsidRPr="00934D9A">
        <w:rPr>
          <w:rFonts w:cs="Times New Roman"/>
          <w:lang w:val="en-GB"/>
        </w:rPr>
        <w:t xml:space="preserve"> </w:t>
      </w:r>
      <w:r w:rsidRPr="00882887">
        <w:rPr>
          <w:rFonts w:cs="Times New Roman"/>
          <w:lang w:val="en-GB"/>
        </w:rPr>
        <w:t>et al.</w:t>
      </w:r>
      <w:r w:rsidRPr="00934D9A">
        <w:rPr>
          <w:rFonts w:cs="Times New Roman"/>
          <w:lang w:val="en-GB"/>
        </w:rPr>
        <w:t xml:space="preserve"> (201</w:t>
      </w:r>
      <w:r w:rsidR="00361838" w:rsidRPr="00934D9A">
        <w:rPr>
          <w:rFonts w:cs="Times New Roman"/>
          <w:lang w:val="en-GB"/>
        </w:rPr>
        <w:t>8</w:t>
      </w:r>
      <w:r w:rsidR="00882887">
        <w:rPr>
          <w:rFonts w:cs="Times New Roman"/>
          <w:lang w:val="en-GB"/>
        </w:rPr>
        <w:t>, p.</w:t>
      </w:r>
      <w:r w:rsidR="00882887" w:rsidRPr="00934D9A">
        <w:rPr>
          <w:rFonts w:cs="Times New Roman"/>
          <w:lang w:val="en-GB"/>
        </w:rPr>
        <w:t xml:space="preserve"> </w:t>
      </w:r>
      <w:r w:rsidR="00361838" w:rsidRPr="00934D9A">
        <w:rPr>
          <w:rFonts w:cs="Times New Roman"/>
          <w:lang w:val="en-GB"/>
        </w:rPr>
        <w:t>737</w:t>
      </w:r>
      <w:r w:rsidRPr="00934D9A">
        <w:rPr>
          <w:rFonts w:cs="Times New Roman"/>
          <w:lang w:val="en-GB"/>
        </w:rPr>
        <w:t>)</w:t>
      </w:r>
      <w:r w:rsidR="00DC4FE2">
        <w:rPr>
          <w:rFonts w:cs="Times New Roman"/>
          <w:lang w:val="en-GB"/>
        </w:rPr>
        <w:t>,</w:t>
      </w:r>
      <w:r w:rsidRPr="00934D9A">
        <w:rPr>
          <w:rFonts w:cs="Times New Roman"/>
          <w:lang w:val="en-GB"/>
        </w:rPr>
        <w:t xml:space="preserve"> </w:t>
      </w:r>
      <w:r w:rsidR="004841BE">
        <w:rPr>
          <w:rFonts w:cs="Times New Roman"/>
          <w:lang w:val="en-GB"/>
        </w:rPr>
        <w:t>‘</w:t>
      </w:r>
      <w:r w:rsidRPr="00934D9A">
        <w:rPr>
          <w:rFonts w:cs="Times New Roman"/>
          <w:lang w:val="en-GB"/>
        </w:rPr>
        <w:t>t</w:t>
      </w:r>
      <w:r w:rsidR="00531C85" w:rsidRPr="00934D9A">
        <w:rPr>
          <w:rFonts w:cs="Times New Roman"/>
          <w:lang w:val="en-GB"/>
        </w:rPr>
        <w:t>he idea is to see if there would be a positive (concentration) or negative (</w:t>
      </w:r>
      <w:proofErr w:type="spellStart"/>
      <w:r w:rsidR="00531C85" w:rsidRPr="00934D9A">
        <w:rPr>
          <w:rFonts w:cs="Times New Roman"/>
          <w:lang w:val="en-GB"/>
        </w:rPr>
        <w:t>deconcentration</w:t>
      </w:r>
      <w:proofErr w:type="spellEnd"/>
      <w:r w:rsidR="00531C85" w:rsidRPr="00934D9A">
        <w:rPr>
          <w:rFonts w:cs="Times New Roman"/>
          <w:lang w:val="en-GB"/>
        </w:rPr>
        <w:t>) variation of the GINI index</w:t>
      </w:r>
      <w:r w:rsidR="004841BE">
        <w:rPr>
          <w:rFonts w:cs="Times New Roman"/>
          <w:lang w:val="en-GB"/>
        </w:rPr>
        <w:t>’</w:t>
      </w:r>
      <w:r w:rsidR="00531C85" w:rsidRPr="00934D9A">
        <w:rPr>
          <w:rFonts w:cs="Times New Roman"/>
          <w:lang w:val="en-GB"/>
        </w:rPr>
        <w:t>.</w:t>
      </w:r>
      <w:r w:rsidR="009915EF" w:rsidRPr="00934D9A">
        <w:rPr>
          <w:rFonts w:cs="Times New Roman"/>
          <w:lang w:val="en-GB"/>
        </w:rPr>
        <w:t xml:space="preserve"> </w:t>
      </w:r>
      <w:r w:rsidRPr="00934D9A">
        <w:rPr>
          <w:rFonts w:cs="Times New Roman"/>
          <w:lang w:val="en-GB"/>
        </w:rPr>
        <w:t>Table 1</w:t>
      </w:r>
      <w:r w:rsidR="00531C85" w:rsidRPr="00934D9A">
        <w:rPr>
          <w:rFonts w:cs="Times New Roman"/>
          <w:lang w:val="en-GB"/>
        </w:rPr>
        <w:t xml:space="preserve"> shows the GINI index calculated in the baseline scenario and impacted by </w:t>
      </w:r>
      <w:r w:rsidRPr="00934D9A">
        <w:rPr>
          <w:rFonts w:cs="Times New Roman"/>
          <w:lang w:val="en-GB"/>
        </w:rPr>
        <w:t>FNE investment</w:t>
      </w:r>
      <w:r w:rsidR="000710BB" w:rsidRPr="00934D9A">
        <w:rPr>
          <w:rFonts w:cs="Times New Roman"/>
          <w:lang w:val="en-GB"/>
        </w:rPr>
        <w:t>s</w:t>
      </w:r>
      <w:r w:rsidR="00531C85" w:rsidRPr="00934D9A">
        <w:rPr>
          <w:rFonts w:cs="Times New Roman"/>
          <w:lang w:val="en-GB"/>
        </w:rPr>
        <w:t xml:space="preserve"> and their relative variation for </w:t>
      </w:r>
      <w:r w:rsidRPr="00934D9A">
        <w:rPr>
          <w:rFonts w:cs="Times New Roman"/>
          <w:lang w:val="en-GB"/>
        </w:rPr>
        <w:t xml:space="preserve">Brazil (taking into account all of the 27 states) and for Northeast region (only their states). The first one could reflect the impact on inter-regional inequality, once the last on intra-regional inequality. </w:t>
      </w:r>
    </w:p>
    <w:p w14:paraId="50D9CE2F" w14:textId="77777777" w:rsidR="00E8300D" w:rsidRDefault="00E96A3D" w:rsidP="00184876">
      <w:pPr>
        <w:spacing w:before="120" w:after="120" w:line="240" w:lineRule="auto"/>
        <w:jc w:val="center"/>
        <w:rPr>
          <w:szCs w:val="24"/>
          <w:lang w:val="en-GB"/>
        </w:rPr>
      </w:pPr>
      <w:r w:rsidRPr="00934D9A">
        <w:rPr>
          <w:szCs w:val="24"/>
          <w:lang w:val="en-GB"/>
        </w:rPr>
        <w:t>&lt;Insert Table 1&gt;</w:t>
      </w:r>
    </w:p>
    <w:p w14:paraId="6223549B" w14:textId="77777777" w:rsidR="00E8300D" w:rsidRDefault="00032619" w:rsidP="00184876">
      <w:pPr>
        <w:spacing w:before="120" w:after="120" w:line="240" w:lineRule="auto"/>
        <w:jc w:val="both"/>
        <w:rPr>
          <w:rFonts w:cs="Times New Roman"/>
          <w:lang w:val="en-GB"/>
        </w:rPr>
      </w:pPr>
      <w:r w:rsidRPr="00934D9A">
        <w:rPr>
          <w:rFonts w:cs="Times New Roman"/>
          <w:lang w:val="en-GB"/>
        </w:rPr>
        <w:t xml:space="preserve">Our estimations show a modest decrease in regional inequality among Northeast states of 0.46% measured by regional </w:t>
      </w:r>
      <w:r w:rsidR="00DC4FE2" w:rsidRPr="00934D9A">
        <w:rPr>
          <w:rFonts w:cs="Times New Roman"/>
          <w:lang w:val="en-GB"/>
        </w:rPr>
        <w:t>GINI</w:t>
      </w:r>
      <w:r w:rsidRPr="00934D9A">
        <w:rPr>
          <w:rFonts w:cs="Times New Roman"/>
          <w:lang w:val="en-GB"/>
        </w:rPr>
        <w:t xml:space="preserve">. It is important highlight that we do not assume any income change among households in the same federal unit, but only on regional GDP distribution. </w:t>
      </w:r>
      <w:r w:rsidR="00DC4FE2">
        <w:rPr>
          <w:rFonts w:cs="Times New Roman"/>
          <w:lang w:val="en-GB"/>
        </w:rPr>
        <w:t>A s</w:t>
      </w:r>
      <w:r w:rsidR="00976745" w:rsidRPr="00934D9A">
        <w:rPr>
          <w:rFonts w:cs="Times New Roman"/>
          <w:lang w:val="en-GB"/>
        </w:rPr>
        <w:t xml:space="preserve">imilar result was found by </w:t>
      </w:r>
      <w:proofErr w:type="spellStart"/>
      <w:r w:rsidR="00976745" w:rsidRPr="00934D9A">
        <w:rPr>
          <w:rFonts w:cs="Times New Roman"/>
          <w:lang w:val="en-GB"/>
        </w:rPr>
        <w:t>Nascimento</w:t>
      </w:r>
      <w:proofErr w:type="spellEnd"/>
      <w:r w:rsidR="00976745" w:rsidRPr="00934D9A">
        <w:rPr>
          <w:rFonts w:cs="Times New Roman"/>
          <w:lang w:val="en-GB"/>
        </w:rPr>
        <w:t xml:space="preserve"> and Haddad (2017). According to these authors, </w:t>
      </w:r>
      <w:r w:rsidR="00EA1DF0" w:rsidRPr="00934D9A">
        <w:rPr>
          <w:rFonts w:cs="Times New Roman"/>
          <w:lang w:val="en-GB"/>
        </w:rPr>
        <w:t>FNE</w:t>
      </w:r>
      <w:r w:rsidR="00976745" w:rsidRPr="00934D9A">
        <w:rPr>
          <w:rFonts w:cs="Times New Roman"/>
          <w:lang w:val="en-GB"/>
        </w:rPr>
        <w:t xml:space="preserve"> acts in a way to </w:t>
      </w:r>
      <w:proofErr w:type="spellStart"/>
      <w:r w:rsidR="00976745" w:rsidRPr="00934D9A">
        <w:rPr>
          <w:rFonts w:cs="Times New Roman"/>
          <w:lang w:val="en-GB"/>
        </w:rPr>
        <w:t>deconcentrate</w:t>
      </w:r>
      <w:proofErr w:type="spellEnd"/>
      <w:r w:rsidR="00976745" w:rsidRPr="00934D9A">
        <w:rPr>
          <w:rFonts w:cs="Times New Roman"/>
          <w:lang w:val="en-GB"/>
        </w:rPr>
        <w:t xml:space="preserve"> the production and keep it less unequal throughout the national territory. </w:t>
      </w:r>
    </w:p>
    <w:p w14:paraId="0071A57D" w14:textId="77777777" w:rsidR="00E8300D" w:rsidRDefault="00BA3C7C" w:rsidP="00184876">
      <w:pPr>
        <w:spacing w:before="120" w:after="120" w:line="240" w:lineRule="auto"/>
        <w:jc w:val="both"/>
        <w:rPr>
          <w:rFonts w:cs="Times New Roman"/>
          <w:lang w:val="en-GB"/>
        </w:rPr>
      </w:pPr>
      <w:r w:rsidRPr="00934D9A">
        <w:rPr>
          <w:rFonts w:cs="Times New Roman"/>
          <w:lang w:val="en-GB"/>
        </w:rPr>
        <w:t>For sectorial specific investments, s</w:t>
      </w:r>
      <w:r w:rsidR="007F6F85" w:rsidRPr="00934D9A">
        <w:rPr>
          <w:rFonts w:cs="Times New Roman"/>
          <w:lang w:val="en-GB"/>
        </w:rPr>
        <w:t>imilar result</w:t>
      </w:r>
      <w:r w:rsidR="00621449" w:rsidRPr="00934D9A">
        <w:rPr>
          <w:rFonts w:cs="Times New Roman"/>
          <w:lang w:val="en-GB"/>
        </w:rPr>
        <w:t xml:space="preserve"> </w:t>
      </w:r>
      <w:r w:rsidR="007F6F85" w:rsidRPr="00934D9A">
        <w:rPr>
          <w:rFonts w:cs="Times New Roman"/>
          <w:lang w:val="en-GB"/>
        </w:rPr>
        <w:t>was</w:t>
      </w:r>
      <w:r w:rsidR="00621449" w:rsidRPr="00934D9A">
        <w:rPr>
          <w:rFonts w:cs="Times New Roman"/>
          <w:lang w:val="en-GB"/>
        </w:rPr>
        <w:t xml:space="preserve"> found by </w:t>
      </w:r>
      <w:proofErr w:type="spellStart"/>
      <w:r w:rsidR="00621449" w:rsidRPr="00934D9A">
        <w:rPr>
          <w:rFonts w:cs="Times New Roman"/>
          <w:lang w:val="en-GB"/>
        </w:rPr>
        <w:t>Ribeiro</w:t>
      </w:r>
      <w:proofErr w:type="spellEnd"/>
      <w:r w:rsidR="00621449" w:rsidRPr="00934D9A">
        <w:rPr>
          <w:rFonts w:cs="Times New Roman"/>
          <w:lang w:val="en-GB"/>
        </w:rPr>
        <w:t xml:space="preserve"> </w:t>
      </w:r>
      <w:r w:rsidR="00621449" w:rsidRPr="00882887">
        <w:rPr>
          <w:rFonts w:cs="Times New Roman"/>
          <w:lang w:val="en-GB"/>
        </w:rPr>
        <w:t>et al.</w:t>
      </w:r>
      <w:r w:rsidR="00621449" w:rsidRPr="00934D9A">
        <w:rPr>
          <w:rFonts w:cs="Times New Roman"/>
          <w:lang w:val="en-GB"/>
        </w:rPr>
        <w:t xml:space="preserve"> (2017). These authors have shown using input-output simulations and </w:t>
      </w:r>
      <w:r w:rsidR="00DC4FE2" w:rsidRPr="00934D9A">
        <w:rPr>
          <w:rFonts w:cs="Times New Roman"/>
          <w:lang w:val="en-GB"/>
        </w:rPr>
        <w:t xml:space="preserve">GINI </w:t>
      </w:r>
      <w:r w:rsidR="00621449" w:rsidRPr="00934D9A">
        <w:rPr>
          <w:rFonts w:cs="Times New Roman"/>
          <w:lang w:val="en-GB"/>
        </w:rPr>
        <w:t xml:space="preserve">index variation that the domestic tourism expenditure spent in Northeast states also contributes to reduce regional inequalities. On the other hand, </w:t>
      </w:r>
      <w:proofErr w:type="spellStart"/>
      <w:r w:rsidR="00621449" w:rsidRPr="00934D9A">
        <w:rPr>
          <w:rFonts w:cs="Times New Roman"/>
          <w:lang w:val="en-GB"/>
        </w:rPr>
        <w:t>Ribeiro</w:t>
      </w:r>
      <w:proofErr w:type="spellEnd"/>
      <w:r w:rsidR="00621449" w:rsidRPr="00934D9A">
        <w:rPr>
          <w:rFonts w:cs="Times New Roman"/>
          <w:lang w:val="en-GB"/>
        </w:rPr>
        <w:t xml:space="preserve"> </w:t>
      </w:r>
      <w:r w:rsidR="00621449" w:rsidRPr="00882887">
        <w:rPr>
          <w:rFonts w:cs="Times New Roman"/>
          <w:lang w:val="en-GB"/>
        </w:rPr>
        <w:t>et al.</w:t>
      </w:r>
      <w:r w:rsidR="00621449" w:rsidRPr="00934D9A">
        <w:rPr>
          <w:rFonts w:cs="Times New Roman"/>
          <w:lang w:val="en-GB"/>
        </w:rPr>
        <w:t xml:space="preserve"> (201</w:t>
      </w:r>
      <w:r w:rsidR="0066439C" w:rsidRPr="00934D9A">
        <w:rPr>
          <w:rFonts w:cs="Times New Roman"/>
          <w:lang w:val="en-GB"/>
        </w:rPr>
        <w:t>8</w:t>
      </w:r>
      <w:r w:rsidR="00621449" w:rsidRPr="00934D9A">
        <w:rPr>
          <w:rFonts w:cs="Times New Roman"/>
          <w:lang w:val="en-GB"/>
        </w:rPr>
        <w:t>) have shown that structuring investments</w:t>
      </w:r>
      <w:r w:rsidR="007F6F85" w:rsidRPr="00934D9A">
        <w:rPr>
          <w:rFonts w:cs="Times New Roman"/>
          <w:lang w:val="en-GB"/>
        </w:rPr>
        <w:t xml:space="preserve"> in the Brazilian Northeast</w:t>
      </w:r>
      <w:r w:rsidR="00621449" w:rsidRPr="00934D9A">
        <w:rPr>
          <w:rFonts w:cs="Times New Roman"/>
          <w:lang w:val="en-GB"/>
        </w:rPr>
        <w:t xml:space="preserve"> increase regional inequalities. </w:t>
      </w:r>
    </w:p>
    <w:p w14:paraId="22E66475" w14:textId="77777777" w:rsidR="00E8300D" w:rsidRDefault="00E8300D" w:rsidP="00184876">
      <w:pPr>
        <w:spacing w:before="120" w:after="120" w:line="240" w:lineRule="auto"/>
        <w:jc w:val="both"/>
        <w:rPr>
          <w:rFonts w:cs="Times New Roman"/>
          <w:lang w:val="en-GB"/>
        </w:rPr>
      </w:pPr>
    </w:p>
    <w:p w14:paraId="7BA8B13F" w14:textId="77777777" w:rsidR="00E8300D" w:rsidRDefault="00053039" w:rsidP="00184876">
      <w:pPr>
        <w:pStyle w:val="Ttulo1"/>
        <w:spacing w:before="120" w:after="120"/>
        <w:rPr>
          <w:lang w:val="en-GB"/>
        </w:rPr>
      </w:pPr>
      <w:r w:rsidRPr="00934D9A">
        <w:rPr>
          <w:lang w:val="en-GB"/>
        </w:rPr>
        <w:t>Final remarks</w:t>
      </w:r>
    </w:p>
    <w:p w14:paraId="11A4B3F0" w14:textId="77777777" w:rsidR="00E8300D" w:rsidRDefault="006744BE" w:rsidP="00184876">
      <w:pPr>
        <w:spacing w:before="120" w:after="120" w:line="240" w:lineRule="auto"/>
        <w:jc w:val="both"/>
        <w:rPr>
          <w:rFonts w:cs="Times New Roman"/>
          <w:lang w:val="en-GB"/>
        </w:rPr>
      </w:pPr>
      <w:r w:rsidRPr="00934D9A">
        <w:rPr>
          <w:rFonts w:cs="Times New Roman"/>
          <w:lang w:val="en-GB"/>
        </w:rPr>
        <w:t>Regional policies</w:t>
      </w:r>
      <w:r w:rsidR="00BA3CF2" w:rsidRPr="00934D9A">
        <w:rPr>
          <w:rFonts w:cs="Times New Roman"/>
          <w:lang w:val="en-GB"/>
        </w:rPr>
        <w:t xml:space="preserve"> have been adopted in Brazil since the Brazilian Constitution of 1988, addressing, </w:t>
      </w:r>
      <w:r w:rsidR="00DC4FE2">
        <w:rPr>
          <w:rFonts w:cs="Times New Roman"/>
          <w:lang w:val="en-GB"/>
        </w:rPr>
        <w:t>in particular</w:t>
      </w:r>
      <w:r w:rsidR="00BA3CF2" w:rsidRPr="00934D9A">
        <w:rPr>
          <w:rFonts w:cs="Times New Roman"/>
          <w:lang w:val="en-GB"/>
        </w:rPr>
        <w:t xml:space="preserve">, </w:t>
      </w:r>
      <w:r w:rsidR="00DC4FE2">
        <w:rPr>
          <w:rFonts w:cs="Times New Roman"/>
          <w:lang w:val="en-GB"/>
        </w:rPr>
        <w:t>the</w:t>
      </w:r>
      <w:r w:rsidR="00DC4FE2" w:rsidRPr="00934D9A">
        <w:rPr>
          <w:rFonts w:cs="Times New Roman"/>
          <w:lang w:val="en-GB"/>
        </w:rPr>
        <w:t xml:space="preserve"> promot</w:t>
      </w:r>
      <w:r w:rsidR="00DC4FE2">
        <w:rPr>
          <w:rFonts w:cs="Times New Roman"/>
          <w:lang w:val="en-GB"/>
        </w:rPr>
        <w:t>ion</w:t>
      </w:r>
      <w:r w:rsidR="00DC4FE2" w:rsidRPr="00934D9A">
        <w:rPr>
          <w:rFonts w:cs="Times New Roman"/>
          <w:lang w:val="en-GB"/>
        </w:rPr>
        <w:t xml:space="preserve"> </w:t>
      </w:r>
      <w:r w:rsidRPr="00934D9A">
        <w:rPr>
          <w:rFonts w:cs="Times New Roman"/>
          <w:lang w:val="en-GB"/>
        </w:rPr>
        <w:t>regional</w:t>
      </w:r>
      <w:r w:rsidR="00BA3CF2" w:rsidRPr="00934D9A">
        <w:rPr>
          <w:rFonts w:cs="Times New Roman"/>
          <w:lang w:val="en-GB"/>
        </w:rPr>
        <w:t xml:space="preserve"> economies and</w:t>
      </w:r>
      <w:r w:rsidR="00DC4FE2">
        <w:rPr>
          <w:rFonts w:cs="Times New Roman"/>
          <w:lang w:val="en-GB"/>
        </w:rPr>
        <w:t xml:space="preserve"> aiming</w:t>
      </w:r>
      <w:r w:rsidR="00BA3CF2" w:rsidRPr="00934D9A">
        <w:rPr>
          <w:rFonts w:cs="Times New Roman"/>
          <w:lang w:val="en-GB"/>
        </w:rPr>
        <w:t xml:space="preserve"> to reduce poverty and inequality. The Northeast Financing Constitutional Funds (FNE) is one of the most important </w:t>
      </w:r>
      <w:r w:rsidRPr="00934D9A">
        <w:rPr>
          <w:rFonts w:cs="Times New Roman"/>
          <w:lang w:val="en-GB"/>
        </w:rPr>
        <w:t xml:space="preserve">regional </w:t>
      </w:r>
      <w:r w:rsidR="00FF1CD6" w:rsidRPr="00934D9A">
        <w:rPr>
          <w:rFonts w:cs="Times New Roman"/>
          <w:lang w:val="en-GB"/>
        </w:rPr>
        <w:t>policies</w:t>
      </w:r>
      <w:r w:rsidR="00BA3CF2" w:rsidRPr="00934D9A">
        <w:rPr>
          <w:rFonts w:cs="Times New Roman"/>
          <w:lang w:val="en-GB"/>
        </w:rPr>
        <w:t xml:space="preserve"> of the country, since</w:t>
      </w:r>
      <w:r w:rsidR="00DC4FE2">
        <w:rPr>
          <w:rFonts w:cs="Times New Roman"/>
          <w:lang w:val="en-GB"/>
        </w:rPr>
        <w:t xml:space="preserve"> the</w:t>
      </w:r>
      <w:r w:rsidR="00BA3CF2" w:rsidRPr="00934D9A">
        <w:rPr>
          <w:rFonts w:cs="Times New Roman"/>
          <w:lang w:val="en-GB"/>
        </w:rPr>
        <w:t xml:space="preserve"> Northeast </w:t>
      </w:r>
      <w:r w:rsidRPr="00934D9A">
        <w:rPr>
          <w:rFonts w:cs="Times New Roman"/>
          <w:lang w:val="en-GB"/>
        </w:rPr>
        <w:t xml:space="preserve">has some of the poorest regions in </w:t>
      </w:r>
      <w:r w:rsidR="0040171C" w:rsidRPr="00934D9A">
        <w:rPr>
          <w:rFonts w:cs="Times New Roman"/>
          <w:lang w:val="en-GB"/>
        </w:rPr>
        <w:t>Brazil</w:t>
      </w:r>
      <w:r w:rsidR="00BA3CF2" w:rsidRPr="00934D9A">
        <w:rPr>
          <w:rFonts w:cs="Times New Roman"/>
          <w:lang w:val="en-GB"/>
        </w:rPr>
        <w:t>.</w:t>
      </w:r>
      <w:r w:rsidR="00AF0766" w:rsidRPr="00934D9A">
        <w:rPr>
          <w:rFonts w:cs="Times New Roman"/>
          <w:lang w:val="en-GB"/>
        </w:rPr>
        <w:t xml:space="preserve"> Many studies have addressed the impacts of the FNE program </w:t>
      </w:r>
      <w:r w:rsidR="00A45611" w:rsidRPr="00934D9A">
        <w:rPr>
          <w:rFonts w:cs="Times New Roman"/>
          <w:lang w:val="en-GB"/>
        </w:rPr>
        <w:t>on employment, income</w:t>
      </w:r>
      <w:r w:rsidR="00DC4FE2">
        <w:rPr>
          <w:rFonts w:cs="Times New Roman"/>
          <w:lang w:val="en-GB"/>
        </w:rPr>
        <w:t>,</w:t>
      </w:r>
      <w:r w:rsidR="00AF0766" w:rsidRPr="00934D9A">
        <w:rPr>
          <w:rFonts w:cs="Times New Roman"/>
          <w:lang w:val="en-GB"/>
        </w:rPr>
        <w:t xml:space="preserve"> and other </w:t>
      </w:r>
      <w:r w:rsidRPr="00934D9A">
        <w:rPr>
          <w:rFonts w:cs="Times New Roman"/>
          <w:lang w:val="en-GB"/>
        </w:rPr>
        <w:t>aspects</w:t>
      </w:r>
      <w:r w:rsidR="00AF0766" w:rsidRPr="00934D9A">
        <w:rPr>
          <w:rFonts w:cs="Times New Roman"/>
          <w:lang w:val="en-GB"/>
        </w:rPr>
        <w:t xml:space="preserve">, even </w:t>
      </w:r>
      <w:r w:rsidR="00297C5E" w:rsidRPr="00934D9A">
        <w:rPr>
          <w:rFonts w:cs="Times New Roman"/>
          <w:lang w:val="en-GB"/>
        </w:rPr>
        <w:t>though there</w:t>
      </w:r>
      <w:r w:rsidR="00AF0766" w:rsidRPr="00934D9A">
        <w:rPr>
          <w:rFonts w:cs="Times New Roman"/>
          <w:lang w:val="en-GB"/>
        </w:rPr>
        <w:t xml:space="preserve"> is no consensus about these impacts. </w:t>
      </w:r>
      <w:r w:rsidR="001914B7" w:rsidRPr="00934D9A">
        <w:rPr>
          <w:rFonts w:cs="Times New Roman"/>
          <w:lang w:val="en-GB"/>
        </w:rPr>
        <w:t xml:space="preserve">The aim of this paper </w:t>
      </w:r>
      <w:r w:rsidR="00DC4FE2">
        <w:rPr>
          <w:rFonts w:cs="Times New Roman"/>
          <w:lang w:val="en-GB"/>
        </w:rPr>
        <w:t>is</w:t>
      </w:r>
      <w:r w:rsidR="00DC4FE2" w:rsidRPr="00934D9A">
        <w:rPr>
          <w:rFonts w:cs="Times New Roman"/>
          <w:lang w:val="en-GB"/>
        </w:rPr>
        <w:t xml:space="preserve"> </w:t>
      </w:r>
      <w:r w:rsidR="00BA3CF2" w:rsidRPr="00934D9A">
        <w:rPr>
          <w:rFonts w:cs="Times New Roman"/>
          <w:lang w:val="en-GB"/>
        </w:rPr>
        <w:t>to contribute</w:t>
      </w:r>
      <w:r w:rsidR="00DC4FE2">
        <w:rPr>
          <w:rFonts w:cs="Times New Roman"/>
          <w:lang w:val="en-GB"/>
        </w:rPr>
        <w:t>, along</w:t>
      </w:r>
      <w:r w:rsidR="00BA3CF2" w:rsidRPr="00934D9A">
        <w:rPr>
          <w:rFonts w:cs="Times New Roman"/>
          <w:lang w:val="en-GB"/>
        </w:rPr>
        <w:t xml:space="preserve"> with the </w:t>
      </w:r>
      <w:r w:rsidR="00DC4FE2">
        <w:rPr>
          <w:rFonts w:cs="Times New Roman"/>
          <w:lang w:val="en-GB"/>
        </w:rPr>
        <w:t xml:space="preserve">available </w:t>
      </w:r>
      <w:r w:rsidR="00BA3CF2" w:rsidRPr="00934D9A">
        <w:rPr>
          <w:rFonts w:cs="Times New Roman"/>
          <w:lang w:val="en-GB"/>
        </w:rPr>
        <w:t>literature</w:t>
      </w:r>
      <w:r w:rsidR="00DC4FE2">
        <w:rPr>
          <w:rFonts w:cs="Times New Roman"/>
          <w:lang w:val="en-GB"/>
        </w:rPr>
        <w:t>,</w:t>
      </w:r>
      <w:r w:rsidR="00BA3CF2" w:rsidRPr="00934D9A">
        <w:rPr>
          <w:rFonts w:cs="Times New Roman"/>
          <w:lang w:val="en-GB"/>
        </w:rPr>
        <w:t xml:space="preserve"> through the analysis of the FNE program in Brazil using an inter-regional and dynamic computable general equilibrium (CGE) model, calibrated for 2013 for </w:t>
      </w:r>
      <w:r w:rsidR="00A45611" w:rsidRPr="00934D9A">
        <w:rPr>
          <w:rFonts w:cs="Times New Roman"/>
          <w:lang w:val="en-GB"/>
        </w:rPr>
        <w:t xml:space="preserve">all </w:t>
      </w:r>
      <w:r w:rsidR="00BA3CF2" w:rsidRPr="00934D9A">
        <w:rPr>
          <w:rFonts w:cs="Times New Roman"/>
          <w:lang w:val="en-GB"/>
        </w:rPr>
        <w:t xml:space="preserve">Brazilian </w:t>
      </w:r>
      <w:r w:rsidR="00A45611" w:rsidRPr="00934D9A">
        <w:rPr>
          <w:rFonts w:cs="Times New Roman"/>
          <w:lang w:val="en-GB"/>
        </w:rPr>
        <w:t>states</w:t>
      </w:r>
      <w:r w:rsidR="00BA3CF2" w:rsidRPr="00934D9A">
        <w:rPr>
          <w:rFonts w:cs="Times New Roman"/>
          <w:lang w:val="en-GB"/>
        </w:rPr>
        <w:t>.</w:t>
      </w:r>
    </w:p>
    <w:p w14:paraId="7697CB96" w14:textId="77777777" w:rsidR="00E8300D" w:rsidRDefault="00AF0766" w:rsidP="00184876">
      <w:pPr>
        <w:spacing w:before="120" w:after="120" w:line="240" w:lineRule="auto"/>
        <w:jc w:val="both"/>
        <w:rPr>
          <w:rFonts w:cs="Times New Roman"/>
          <w:lang w:val="en-GB"/>
        </w:rPr>
      </w:pPr>
      <w:r w:rsidRPr="00934D9A">
        <w:rPr>
          <w:rFonts w:cs="Times New Roman"/>
          <w:lang w:val="en-GB"/>
        </w:rPr>
        <w:t xml:space="preserve">The results show that </w:t>
      </w:r>
      <w:r w:rsidR="006744BE" w:rsidRPr="00934D9A">
        <w:rPr>
          <w:rFonts w:cs="Times New Roman"/>
          <w:lang w:val="en-GB"/>
        </w:rPr>
        <w:t>FNE would increase</w:t>
      </w:r>
      <w:r w:rsidR="00151831" w:rsidRPr="00934D9A">
        <w:rPr>
          <w:rFonts w:cs="Times New Roman"/>
          <w:lang w:val="en-GB"/>
        </w:rPr>
        <w:t xml:space="preserve">, mainly, the </w:t>
      </w:r>
      <w:r w:rsidR="00A45611" w:rsidRPr="00934D9A">
        <w:rPr>
          <w:rFonts w:cs="Times New Roman"/>
          <w:lang w:val="en-GB"/>
        </w:rPr>
        <w:t>output</w:t>
      </w:r>
      <w:r w:rsidR="00151831" w:rsidRPr="00934D9A">
        <w:rPr>
          <w:rFonts w:cs="Times New Roman"/>
          <w:lang w:val="en-GB"/>
        </w:rPr>
        <w:t xml:space="preserve"> of the </w:t>
      </w:r>
      <w:r w:rsidR="006744BE" w:rsidRPr="00934D9A">
        <w:rPr>
          <w:rFonts w:cs="Times New Roman"/>
          <w:lang w:val="en-GB"/>
        </w:rPr>
        <w:t xml:space="preserve">states and </w:t>
      </w:r>
      <w:r w:rsidR="00151831" w:rsidRPr="00934D9A">
        <w:rPr>
          <w:rFonts w:cs="Times New Roman"/>
          <w:lang w:val="en-GB"/>
        </w:rPr>
        <w:t xml:space="preserve">sectors that receive </w:t>
      </w:r>
      <w:r w:rsidR="006744BE" w:rsidRPr="00934D9A">
        <w:rPr>
          <w:rFonts w:cs="Times New Roman"/>
          <w:lang w:val="en-GB"/>
        </w:rPr>
        <w:t>more</w:t>
      </w:r>
      <w:r w:rsidR="00151831" w:rsidRPr="00934D9A">
        <w:rPr>
          <w:rFonts w:cs="Times New Roman"/>
          <w:lang w:val="en-GB"/>
        </w:rPr>
        <w:t xml:space="preserve"> of FNE resources</w:t>
      </w:r>
      <w:r w:rsidR="00895BC2" w:rsidRPr="00934D9A">
        <w:rPr>
          <w:rFonts w:cs="Times New Roman"/>
          <w:lang w:val="en-GB"/>
        </w:rPr>
        <w:t xml:space="preserve"> in the Northeast</w:t>
      </w:r>
      <w:r w:rsidR="00A45611" w:rsidRPr="00934D9A">
        <w:rPr>
          <w:rFonts w:cs="Times New Roman"/>
          <w:lang w:val="en-GB"/>
        </w:rPr>
        <w:t xml:space="preserve">: </w:t>
      </w:r>
      <w:r w:rsidR="00DC4FE2">
        <w:rPr>
          <w:rFonts w:cs="Times New Roman"/>
          <w:lang w:val="en-GB"/>
        </w:rPr>
        <w:t>a</w:t>
      </w:r>
      <w:r w:rsidR="00DC4FE2" w:rsidRPr="00934D9A">
        <w:rPr>
          <w:rFonts w:cs="Times New Roman"/>
          <w:lang w:val="en-GB"/>
        </w:rPr>
        <w:t>griculture</w:t>
      </w:r>
      <w:r w:rsidR="00151831" w:rsidRPr="00934D9A">
        <w:rPr>
          <w:rFonts w:cs="Times New Roman"/>
          <w:lang w:val="en-GB"/>
        </w:rPr>
        <w:t>, forestry and livestock</w:t>
      </w:r>
      <w:r w:rsidR="00A21749">
        <w:rPr>
          <w:rFonts w:cs="Times New Roman"/>
          <w:lang w:val="en-GB"/>
        </w:rPr>
        <w:t>,</w:t>
      </w:r>
      <w:r w:rsidR="00151831" w:rsidRPr="00934D9A">
        <w:rPr>
          <w:rFonts w:cs="Times New Roman"/>
          <w:lang w:val="en-GB"/>
        </w:rPr>
        <w:t xml:space="preserve"> and </w:t>
      </w:r>
      <w:r w:rsidR="00DC4FE2">
        <w:rPr>
          <w:rFonts w:cs="Times New Roman"/>
          <w:lang w:val="en-GB"/>
        </w:rPr>
        <w:t>the m</w:t>
      </w:r>
      <w:r w:rsidR="00151831" w:rsidRPr="00934D9A">
        <w:rPr>
          <w:rFonts w:cs="Times New Roman"/>
          <w:lang w:val="en-GB"/>
        </w:rPr>
        <w:t xml:space="preserve">ining industry. </w:t>
      </w:r>
      <w:r w:rsidR="00AB26BD" w:rsidRPr="00934D9A">
        <w:rPr>
          <w:rFonts w:cs="Times New Roman"/>
          <w:lang w:val="en-GB"/>
        </w:rPr>
        <w:t xml:space="preserve">Sectors such as manufacturing industries, </w:t>
      </w:r>
      <w:r w:rsidR="00DC4FE2">
        <w:rPr>
          <w:rFonts w:cs="Times New Roman"/>
          <w:lang w:val="en-GB"/>
        </w:rPr>
        <w:t>c</w:t>
      </w:r>
      <w:r w:rsidR="00DC4FE2" w:rsidRPr="00934D9A">
        <w:rPr>
          <w:rFonts w:cs="Times New Roman"/>
          <w:lang w:val="en-GB"/>
        </w:rPr>
        <w:t>onstruction</w:t>
      </w:r>
      <w:r w:rsidR="00DC4FE2">
        <w:rPr>
          <w:rFonts w:cs="Times New Roman"/>
          <w:lang w:val="en-GB"/>
        </w:rPr>
        <w:t>,</w:t>
      </w:r>
      <w:r w:rsidR="00DC4FE2" w:rsidRPr="00934D9A">
        <w:rPr>
          <w:rFonts w:cs="Times New Roman"/>
          <w:lang w:val="en-GB"/>
        </w:rPr>
        <w:t xml:space="preserve"> </w:t>
      </w:r>
      <w:r w:rsidR="00AB26BD" w:rsidRPr="00934D9A">
        <w:rPr>
          <w:rFonts w:cs="Times New Roman"/>
          <w:lang w:val="en-GB"/>
        </w:rPr>
        <w:t xml:space="preserve">and information services are also among the most positively impacted, </w:t>
      </w:r>
      <w:r w:rsidR="00935272" w:rsidRPr="00934D9A">
        <w:rPr>
          <w:rFonts w:cs="Times New Roman"/>
          <w:lang w:val="en-GB"/>
        </w:rPr>
        <w:t xml:space="preserve">both due to the indirect effects caused by the expansion of the </w:t>
      </w:r>
      <w:r w:rsidR="00550341">
        <w:rPr>
          <w:rFonts w:cs="Times New Roman"/>
          <w:lang w:val="en-GB"/>
        </w:rPr>
        <w:t>region</w:t>
      </w:r>
      <w:r w:rsidR="00550341" w:rsidRPr="00934D9A">
        <w:rPr>
          <w:rFonts w:cs="Times New Roman"/>
          <w:lang w:val="en-GB"/>
        </w:rPr>
        <w:t>s</w:t>
      </w:r>
      <w:r w:rsidR="00550341">
        <w:rPr>
          <w:rFonts w:cs="Times New Roman"/>
          <w:lang w:val="en-GB"/>
        </w:rPr>
        <w:t xml:space="preserve"> that benefit</w:t>
      </w:r>
      <w:r w:rsidR="00A21749">
        <w:rPr>
          <w:rFonts w:cs="Times New Roman"/>
          <w:lang w:val="en-GB"/>
        </w:rPr>
        <w:t>ed</w:t>
      </w:r>
      <w:r w:rsidR="00550341">
        <w:rPr>
          <w:rFonts w:cs="Times New Roman"/>
          <w:lang w:val="en-GB"/>
        </w:rPr>
        <w:t xml:space="preserve"> the</w:t>
      </w:r>
      <w:r w:rsidR="006744BE" w:rsidRPr="00934D9A">
        <w:rPr>
          <w:rFonts w:cs="Times New Roman"/>
          <w:lang w:val="en-GB"/>
        </w:rPr>
        <w:t xml:space="preserve"> </w:t>
      </w:r>
      <w:r w:rsidR="00935272" w:rsidRPr="00934D9A">
        <w:rPr>
          <w:rFonts w:cs="Times New Roman"/>
          <w:lang w:val="en-GB"/>
        </w:rPr>
        <w:t>most</w:t>
      </w:r>
      <w:r w:rsidR="00550341">
        <w:rPr>
          <w:rFonts w:cs="Times New Roman"/>
          <w:lang w:val="en-GB"/>
        </w:rPr>
        <w:t>,</w:t>
      </w:r>
      <w:r w:rsidR="00935272" w:rsidRPr="00934D9A">
        <w:rPr>
          <w:rFonts w:cs="Times New Roman"/>
          <w:lang w:val="en-GB"/>
        </w:rPr>
        <w:t xml:space="preserve"> and due to the direct effects, given the greater relative participation of the investment generated by the FNE in the total investment of these sectors.</w:t>
      </w:r>
      <w:r w:rsidR="00D832B1" w:rsidRPr="00934D9A">
        <w:rPr>
          <w:rFonts w:cs="Times New Roman"/>
          <w:lang w:val="en-GB"/>
        </w:rPr>
        <w:t xml:space="preserve"> The positive impact on all </w:t>
      </w:r>
      <w:r w:rsidR="00550341">
        <w:rPr>
          <w:rFonts w:cs="Times New Roman"/>
          <w:lang w:val="en-GB"/>
        </w:rPr>
        <w:t xml:space="preserve">of the </w:t>
      </w:r>
      <w:r w:rsidR="00D832B1" w:rsidRPr="00934D9A">
        <w:rPr>
          <w:rFonts w:cs="Times New Roman"/>
          <w:lang w:val="en-GB"/>
        </w:rPr>
        <w:t>Northeast’s sectors</w:t>
      </w:r>
      <w:r w:rsidR="00550341">
        <w:rPr>
          <w:rFonts w:cs="Times New Roman"/>
          <w:lang w:val="en-GB"/>
        </w:rPr>
        <w:t>’</w:t>
      </w:r>
      <w:r w:rsidR="00D832B1" w:rsidRPr="00934D9A">
        <w:rPr>
          <w:rFonts w:cs="Times New Roman"/>
          <w:lang w:val="en-GB"/>
        </w:rPr>
        <w:t xml:space="preserve"> output would </w:t>
      </w:r>
      <w:r w:rsidR="00A45611" w:rsidRPr="00934D9A">
        <w:rPr>
          <w:rFonts w:cs="Times New Roman"/>
          <w:lang w:val="en-GB"/>
        </w:rPr>
        <w:t>cause a</w:t>
      </w:r>
      <w:r w:rsidR="00D832B1" w:rsidRPr="00934D9A">
        <w:rPr>
          <w:rFonts w:cs="Times New Roman"/>
          <w:lang w:val="en-GB"/>
        </w:rPr>
        <w:t xml:space="preserve"> positive impact on </w:t>
      </w:r>
      <w:r w:rsidR="00895BC2" w:rsidRPr="00934D9A">
        <w:rPr>
          <w:rFonts w:cs="Times New Roman"/>
          <w:lang w:val="en-GB"/>
        </w:rPr>
        <w:t>the</w:t>
      </w:r>
      <w:r w:rsidR="00A45611" w:rsidRPr="00934D9A">
        <w:rPr>
          <w:rFonts w:cs="Times New Roman"/>
          <w:lang w:val="en-GB"/>
        </w:rPr>
        <w:t xml:space="preserve"> regional</w:t>
      </w:r>
      <w:r w:rsidR="00895BC2" w:rsidRPr="00934D9A">
        <w:rPr>
          <w:rFonts w:cs="Times New Roman"/>
          <w:lang w:val="en-GB"/>
        </w:rPr>
        <w:t xml:space="preserve"> </w:t>
      </w:r>
      <w:r w:rsidR="00D832B1" w:rsidRPr="00934D9A">
        <w:rPr>
          <w:rFonts w:cs="Times New Roman"/>
          <w:lang w:val="en-GB"/>
        </w:rPr>
        <w:t xml:space="preserve">GDP. </w:t>
      </w:r>
      <w:r w:rsidR="00895BC2" w:rsidRPr="00934D9A">
        <w:rPr>
          <w:rFonts w:cs="Times New Roman"/>
          <w:lang w:val="en-GB"/>
        </w:rPr>
        <w:t xml:space="preserve">Thus, the simulation proposed here </w:t>
      </w:r>
      <w:r w:rsidR="00550341">
        <w:rPr>
          <w:rFonts w:cs="Times New Roman"/>
          <w:lang w:val="en-GB"/>
        </w:rPr>
        <w:t>shows</w:t>
      </w:r>
      <w:r w:rsidR="00550341" w:rsidRPr="00934D9A">
        <w:rPr>
          <w:rFonts w:cs="Times New Roman"/>
          <w:lang w:val="en-GB"/>
        </w:rPr>
        <w:t xml:space="preserve"> </w:t>
      </w:r>
      <w:r w:rsidR="00895BC2" w:rsidRPr="00934D9A">
        <w:rPr>
          <w:rFonts w:cs="Times New Roman"/>
          <w:lang w:val="en-GB"/>
        </w:rPr>
        <w:t xml:space="preserve">the </w:t>
      </w:r>
      <w:r w:rsidR="006744BE" w:rsidRPr="00934D9A">
        <w:rPr>
          <w:rFonts w:cs="Times New Roman"/>
          <w:lang w:val="en-GB"/>
        </w:rPr>
        <w:t xml:space="preserve">positive </w:t>
      </w:r>
      <w:r w:rsidR="00895BC2" w:rsidRPr="00934D9A">
        <w:rPr>
          <w:rFonts w:cs="Times New Roman"/>
          <w:lang w:val="en-GB"/>
        </w:rPr>
        <w:t xml:space="preserve">impacts of FNE over the years on </w:t>
      </w:r>
      <w:r w:rsidR="00895BC2" w:rsidRPr="00934D9A">
        <w:rPr>
          <w:rFonts w:cs="Times New Roman"/>
          <w:bCs/>
          <w:iCs/>
          <w:lang w:val="en-GB"/>
        </w:rPr>
        <w:t>regional and sectorial economic growth</w:t>
      </w:r>
      <w:r w:rsidR="00895BC2" w:rsidRPr="00934D9A">
        <w:rPr>
          <w:rFonts w:cs="Times New Roman"/>
          <w:lang w:val="en-GB"/>
        </w:rPr>
        <w:t>. The result</w:t>
      </w:r>
      <w:r w:rsidR="00550341">
        <w:rPr>
          <w:rFonts w:cs="Times New Roman"/>
          <w:lang w:val="en-GB"/>
        </w:rPr>
        <w:t>s</w:t>
      </w:r>
      <w:r w:rsidR="00895BC2" w:rsidRPr="00934D9A">
        <w:rPr>
          <w:rFonts w:cs="Times New Roman"/>
          <w:lang w:val="en-GB"/>
        </w:rPr>
        <w:t xml:space="preserve"> </w:t>
      </w:r>
      <w:r w:rsidR="009D2343" w:rsidRPr="00934D9A">
        <w:rPr>
          <w:rFonts w:cs="Times New Roman"/>
          <w:lang w:val="en-GB"/>
        </w:rPr>
        <w:t>suggest</w:t>
      </w:r>
      <w:r w:rsidR="006744BE" w:rsidRPr="00934D9A">
        <w:rPr>
          <w:rFonts w:cs="Times New Roman"/>
          <w:lang w:val="en-GB"/>
        </w:rPr>
        <w:t xml:space="preserve"> </w:t>
      </w:r>
      <w:r w:rsidR="009D2343" w:rsidRPr="00934D9A">
        <w:rPr>
          <w:rFonts w:cs="Times New Roman"/>
          <w:lang w:val="en-GB"/>
        </w:rPr>
        <w:t>important positive</w:t>
      </w:r>
      <w:r w:rsidR="00895BC2" w:rsidRPr="00934D9A">
        <w:rPr>
          <w:rFonts w:cs="Times New Roman"/>
          <w:lang w:val="en-GB"/>
        </w:rPr>
        <w:t xml:space="preserve"> effects f</w:t>
      </w:r>
      <w:r w:rsidR="00F122B7" w:rsidRPr="00934D9A">
        <w:rPr>
          <w:rFonts w:cs="Times New Roman"/>
          <w:lang w:val="en-GB"/>
        </w:rPr>
        <w:t>or the Northeast, and</w:t>
      </w:r>
      <w:r w:rsidR="00895BC2" w:rsidRPr="00934D9A">
        <w:rPr>
          <w:rFonts w:cs="Times New Roman"/>
          <w:lang w:val="en-GB"/>
        </w:rPr>
        <w:t xml:space="preserve"> also </w:t>
      </w:r>
      <w:r w:rsidR="00A45611" w:rsidRPr="00934D9A">
        <w:rPr>
          <w:rFonts w:cs="Times New Roman"/>
          <w:lang w:val="en-GB"/>
        </w:rPr>
        <w:t>for</w:t>
      </w:r>
      <w:r w:rsidR="00895BC2" w:rsidRPr="00934D9A">
        <w:rPr>
          <w:rFonts w:cs="Times New Roman"/>
          <w:lang w:val="en-GB"/>
        </w:rPr>
        <w:t xml:space="preserve"> Brazil. </w:t>
      </w:r>
    </w:p>
    <w:p w14:paraId="386A2BAF" w14:textId="77777777" w:rsidR="00E8300D" w:rsidRDefault="00963A37" w:rsidP="00184876">
      <w:pPr>
        <w:spacing w:before="120" w:after="120" w:line="240" w:lineRule="auto"/>
        <w:jc w:val="both"/>
        <w:rPr>
          <w:rFonts w:cs="Times New Roman"/>
          <w:lang w:val="en-GB"/>
        </w:rPr>
      </w:pPr>
      <w:r w:rsidRPr="00934D9A">
        <w:rPr>
          <w:rFonts w:cs="Times New Roman"/>
          <w:lang w:val="en-GB"/>
        </w:rPr>
        <w:t xml:space="preserve">In terms of regional inequality, we found that the FNE program has positive impacts in regional </w:t>
      </w:r>
      <w:r w:rsidR="006744BE" w:rsidRPr="00934D9A">
        <w:rPr>
          <w:rFonts w:cs="Times New Roman"/>
          <w:lang w:val="en-GB"/>
        </w:rPr>
        <w:t xml:space="preserve">inequality </w:t>
      </w:r>
      <w:r w:rsidRPr="00934D9A">
        <w:rPr>
          <w:rFonts w:cs="Times New Roman"/>
          <w:lang w:val="en-GB"/>
        </w:rPr>
        <w:t xml:space="preserve">in Brazil given the direct and indirect effects </w:t>
      </w:r>
      <w:r w:rsidR="006744BE" w:rsidRPr="00934D9A">
        <w:rPr>
          <w:rFonts w:cs="Times New Roman"/>
          <w:lang w:val="en-GB"/>
        </w:rPr>
        <w:t xml:space="preserve">of </w:t>
      </w:r>
      <w:r w:rsidRPr="00934D9A">
        <w:rPr>
          <w:rFonts w:cs="Times New Roman"/>
          <w:lang w:val="en-GB"/>
        </w:rPr>
        <w:t xml:space="preserve">investment in the </w:t>
      </w:r>
      <w:proofErr w:type="spellStart"/>
      <w:r w:rsidRPr="00934D9A">
        <w:rPr>
          <w:rFonts w:cs="Times New Roman"/>
          <w:lang w:val="en-GB"/>
        </w:rPr>
        <w:t>Northeastern</w:t>
      </w:r>
      <w:proofErr w:type="spellEnd"/>
      <w:r w:rsidRPr="00934D9A">
        <w:rPr>
          <w:rFonts w:cs="Times New Roman"/>
          <w:lang w:val="en-GB"/>
        </w:rPr>
        <w:t xml:space="preserve"> states and the system of complementarities among the sectors. A more important result, however, is about its effects in reducing intra-regional inequality. Our results suggest that</w:t>
      </w:r>
      <w:r w:rsidR="00BB1433" w:rsidRPr="00934D9A">
        <w:rPr>
          <w:rFonts w:cs="Times New Roman"/>
          <w:lang w:val="en-GB"/>
        </w:rPr>
        <w:t xml:space="preserve"> the investment funding has larger</w:t>
      </w:r>
      <w:r w:rsidRPr="00934D9A">
        <w:rPr>
          <w:rFonts w:cs="Times New Roman"/>
          <w:lang w:val="en-GB"/>
        </w:rPr>
        <w:t xml:space="preserve"> generator effects on small economies, </w:t>
      </w:r>
      <w:r w:rsidR="003115C2" w:rsidRPr="00934D9A">
        <w:rPr>
          <w:rFonts w:cs="Times New Roman"/>
          <w:lang w:val="en-GB"/>
        </w:rPr>
        <w:t xml:space="preserve">such </w:t>
      </w:r>
      <w:r w:rsidR="00297C5E" w:rsidRPr="00934D9A">
        <w:rPr>
          <w:rFonts w:cs="Times New Roman"/>
          <w:lang w:val="en-GB"/>
        </w:rPr>
        <w:t xml:space="preserve">as </w:t>
      </w:r>
      <w:proofErr w:type="spellStart"/>
      <w:r w:rsidR="00297C5E" w:rsidRPr="00934D9A">
        <w:rPr>
          <w:rFonts w:cs="Times New Roman"/>
          <w:lang w:val="en-GB"/>
        </w:rPr>
        <w:t>Piauí</w:t>
      </w:r>
      <w:proofErr w:type="spellEnd"/>
      <w:r w:rsidR="00297C5E" w:rsidRPr="00934D9A">
        <w:rPr>
          <w:rFonts w:cs="Times New Roman"/>
          <w:lang w:val="en-GB"/>
        </w:rPr>
        <w:t xml:space="preserve">, </w:t>
      </w:r>
      <w:proofErr w:type="spellStart"/>
      <w:r w:rsidR="00297C5E" w:rsidRPr="00934D9A">
        <w:rPr>
          <w:rFonts w:cs="Times New Roman"/>
          <w:lang w:val="en-GB"/>
        </w:rPr>
        <w:t>Ceará</w:t>
      </w:r>
      <w:proofErr w:type="spellEnd"/>
      <w:r w:rsidR="00550341">
        <w:rPr>
          <w:rFonts w:cs="Times New Roman"/>
          <w:lang w:val="en-GB"/>
        </w:rPr>
        <w:t>,</w:t>
      </w:r>
      <w:r w:rsidR="00297C5E" w:rsidRPr="00934D9A">
        <w:rPr>
          <w:rFonts w:cs="Times New Roman"/>
          <w:lang w:val="en-GB"/>
        </w:rPr>
        <w:t xml:space="preserve"> and Rio Grande do </w:t>
      </w:r>
      <w:proofErr w:type="spellStart"/>
      <w:r w:rsidR="00297C5E" w:rsidRPr="00934D9A">
        <w:rPr>
          <w:rFonts w:cs="Times New Roman"/>
          <w:lang w:val="en-GB"/>
        </w:rPr>
        <w:t>Norte</w:t>
      </w:r>
      <w:proofErr w:type="spellEnd"/>
      <w:r w:rsidR="00550341">
        <w:rPr>
          <w:rFonts w:cs="Times New Roman"/>
          <w:lang w:val="en-GB"/>
        </w:rPr>
        <w:t>,</w:t>
      </w:r>
      <w:r w:rsidRPr="00934D9A">
        <w:rPr>
          <w:rFonts w:cs="Times New Roman"/>
          <w:lang w:val="en-GB"/>
        </w:rPr>
        <w:t xml:space="preserve"> while Bahia, the largest economy of the Northeast, is the </w:t>
      </w:r>
      <w:r w:rsidR="00550341">
        <w:rPr>
          <w:rFonts w:cs="Times New Roman"/>
          <w:lang w:val="en-GB"/>
        </w:rPr>
        <w:t>least</w:t>
      </w:r>
      <w:r w:rsidR="00550341" w:rsidRPr="00934D9A">
        <w:rPr>
          <w:rFonts w:cs="Times New Roman"/>
          <w:lang w:val="en-GB"/>
        </w:rPr>
        <w:t xml:space="preserve"> </w:t>
      </w:r>
      <w:r w:rsidRPr="00934D9A">
        <w:rPr>
          <w:rFonts w:cs="Times New Roman"/>
          <w:lang w:val="en-GB"/>
        </w:rPr>
        <w:t>impacted</w:t>
      </w:r>
      <w:r w:rsidR="00762B4E" w:rsidRPr="00934D9A">
        <w:rPr>
          <w:rFonts w:cs="Times New Roman"/>
          <w:lang w:val="en-GB"/>
        </w:rPr>
        <w:t xml:space="preserve">. This effect occurs because </w:t>
      </w:r>
      <w:r w:rsidR="00FA655C" w:rsidRPr="00934D9A">
        <w:rPr>
          <w:rFonts w:cs="Times New Roman"/>
          <w:lang w:val="en-GB"/>
        </w:rPr>
        <w:t xml:space="preserve">FNE is less representative </w:t>
      </w:r>
      <w:r w:rsidR="00550341">
        <w:rPr>
          <w:rFonts w:cs="Times New Roman"/>
          <w:lang w:val="en-GB"/>
        </w:rPr>
        <w:t>than</w:t>
      </w:r>
      <w:r w:rsidR="00550341" w:rsidRPr="00934D9A">
        <w:rPr>
          <w:rFonts w:cs="Times New Roman"/>
          <w:lang w:val="en-GB"/>
        </w:rPr>
        <w:t xml:space="preserve"> </w:t>
      </w:r>
      <w:r w:rsidR="00550341">
        <w:rPr>
          <w:rFonts w:cs="Times New Roman"/>
          <w:lang w:val="en-GB"/>
        </w:rPr>
        <w:t xml:space="preserve">the </w:t>
      </w:r>
      <w:r w:rsidR="00FA655C" w:rsidRPr="00934D9A">
        <w:rPr>
          <w:rFonts w:cs="Times New Roman"/>
          <w:lang w:val="en-GB"/>
        </w:rPr>
        <w:t xml:space="preserve">total </w:t>
      </w:r>
      <w:r w:rsidR="009D2343" w:rsidRPr="00934D9A">
        <w:rPr>
          <w:rFonts w:cs="Times New Roman"/>
          <w:lang w:val="en-GB"/>
        </w:rPr>
        <w:t>investment</w:t>
      </w:r>
      <w:r w:rsidR="00762B4E" w:rsidRPr="00934D9A">
        <w:rPr>
          <w:rFonts w:cs="Times New Roman"/>
          <w:lang w:val="en-GB"/>
        </w:rPr>
        <w:t xml:space="preserve"> in the less</w:t>
      </w:r>
      <w:r w:rsidR="00550341">
        <w:rPr>
          <w:rFonts w:cs="Times New Roman"/>
          <w:lang w:val="en-GB"/>
        </w:rPr>
        <w:t>-</w:t>
      </w:r>
      <w:r w:rsidR="00762B4E" w:rsidRPr="00934D9A">
        <w:rPr>
          <w:rFonts w:cs="Times New Roman"/>
          <w:lang w:val="en-GB"/>
        </w:rPr>
        <w:t>developed federation units</w:t>
      </w:r>
      <w:r w:rsidRPr="00934D9A">
        <w:rPr>
          <w:rFonts w:cs="Times New Roman"/>
          <w:lang w:val="en-GB"/>
        </w:rPr>
        <w:t xml:space="preserve">. </w:t>
      </w:r>
    </w:p>
    <w:p w14:paraId="5C1AAB85" w14:textId="77777777" w:rsidR="00E8300D" w:rsidRDefault="00B87820" w:rsidP="00184876">
      <w:pPr>
        <w:spacing w:before="120" w:after="120" w:line="240" w:lineRule="auto"/>
        <w:jc w:val="both"/>
        <w:rPr>
          <w:rFonts w:cs="Times New Roman"/>
          <w:lang w:val="en-GB"/>
        </w:rPr>
      </w:pPr>
      <w:r w:rsidRPr="00934D9A">
        <w:rPr>
          <w:rFonts w:cs="Times New Roman"/>
          <w:lang w:val="en-GB"/>
        </w:rPr>
        <w:t xml:space="preserve">Thus, we can conclude that the </w:t>
      </w:r>
      <w:r w:rsidR="00E51E74" w:rsidRPr="00934D9A">
        <w:rPr>
          <w:rFonts w:cs="Times New Roman"/>
          <w:lang w:val="en-GB"/>
        </w:rPr>
        <w:t xml:space="preserve">FNE funding </w:t>
      </w:r>
      <w:r w:rsidR="00A45611" w:rsidRPr="00934D9A">
        <w:rPr>
          <w:rFonts w:cs="Times New Roman"/>
          <w:lang w:val="en-GB"/>
        </w:rPr>
        <w:t>has</w:t>
      </w:r>
      <w:r w:rsidR="00E51E74" w:rsidRPr="00934D9A">
        <w:rPr>
          <w:rFonts w:cs="Times New Roman"/>
          <w:lang w:val="en-GB"/>
        </w:rPr>
        <w:t xml:space="preserve"> been applied for a long time, and it </w:t>
      </w:r>
      <w:r w:rsidR="003115C2" w:rsidRPr="00934D9A">
        <w:rPr>
          <w:rFonts w:cs="Times New Roman"/>
          <w:lang w:val="en-GB"/>
        </w:rPr>
        <w:t>has</w:t>
      </w:r>
      <w:r w:rsidR="00E51E74" w:rsidRPr="00934D9A">
        <w:rPr>
          <w:rFonts w:cs="Times New Roman"/>
          <w:lang w:val="en-GB"/>
        </w:rPr>
        <w:t xml:space="preserve"> been an important source for </w:t>
      </w:r>
      <w:r w:rsidR="00E51E74" w:rsidRPr="00934D9A">
        <w:rPr>
          <w:rFonts w:cs="Times New Roman"/>
          <w:bCs/>
          <w:iCs/>
          <w:lang w:val="en-GB"/>
        </w:rPr>
        <w:t>local investment</w:t>
      </w:r>
      <w:r w:rsidR="00E51E74" w:rsidRPr="00934D9A">
        <w:rPr>
          <w:rFonts w:cs="Times New Roman"/>
          <w:lang w:val="en-GB"/>
        </w:rPr>
        <w:t xml:space="preserve">, </w:t>
      </w:r>
      <w:r w:rsidR="00F122B7" w:rsidRPr="00934D9A">
        <w:rPr>
          <w:rFonts w:cs="Times New Roman"/>
          <w:lang w:val="en-GB"/>
        </w:rPr>
        <w:t>especially</w:t>
      </w:r>
      <w:r w:rsidR="00E51E74" w:rsidRPr="00934D9A">
        <w:rPr>
          <w:rFonts w:cs="Times New Roman"/>
          <w:lang w:val="en-GB"/>
        </w:rPr>
        <w:t xml:space="preserve"> for small producers, and underdeveloped areas. </w:t>
      </w:r>
    </w:p>
    <w:p w14:paraId="79838DB0" w14:textId="46DF8CDA" w:rsidR="002E2196" w:rsidRDefault="007A383F" w:rsidP="00184876">
      <w:pPr>
        <w:spacing w:before="120" w:after="120" w:line="240" w:lineRule="auto"/>
        <w:jc w:val="both"/>
        <w:rPr>
          <w:rFonts w:cs="Times New Roman"/>
          <w:lang w:val="en-GB"/>
        </w:rPr>
      </w:pPr>
      <w:r w:rsidRPr="00934D9A">
        <w:rPr>
          <w:rFonts w:cs="Times New Roman"/>
          <w:lang w:val="en-GB"/>
        </w:rPr>
        <w:t>Finall</w:t>
      </w:r>
      <w:r w:rsidR="00E51E74" w:rsidRPr="00934D9A">
        <w:rPr>
          <w:rFonts w:cs="Times New Roman"/>
          <w:lang w:val="en-GB"/>
        </w:rPr>
        <w:t>y, we can point out some</w:t>
      </w:r>
      <w:r w:rsidRPr="00934D9A">
        <w:rPr>
          <w:rFonts w:cs="Times New Roman"/>
          <w:lang w:val="en-GB"/>
        </w:rPr>
        <w:t xml:space="preserve"> considerations</w:t>
      </w:r>
      <w:r w:rsidR="00003F22" w:rsidRPr="00934D9A">
        <w:rPr>
          <w:rFonts w:cs="Times New Roman"/>
          <w:lang w:val="en-GB"/>
        </w:rPr>
        <w:t xml:space="preserve"> that could be explored in further developments</w:t>
      </w:r>
      <w:r w:rsidR="00896BF1" w:rsidRPr="00934D9A">
        <w:rPr>
          <w:rFonts w:cs="Times New Roman"/>
          <w:lang w:val="en-GB"/>
        </w:rPr>
        <w:t>. A</w:t>
      </w:r>
      <w:r w:rsidR="00895BC2" w:rsidRPr="00934D9A">
        <w:rPr>
          <w:rFonts w:cs="Times New Roman"/>
          <w:lang w:val="en-GB"/>
        </w:rPr>
        <w:t xml:space="preserve">griculture is a priority sector for the FNE policy, being the main target of resources, since </w:t>
      </w:r>
      <w:r w:rsidR="00550341">
        <w:rPr>
          <w:rFonts w:cs="Times New Roman"/>
          <w:lang w:val="en-GB"/>
        </w:rPr>
        <w:t xml:space="preserve">it </w:t>
      </w:r>
      <w:r w:rsidR="00895BC2" w:rsidRPr="00934D9A">
        <w:rPr>
          <w:rFonts w:cs="Times New Roman"/>
          <w:lang w:val="en-GB"/>
        </w:rPr>
        <w:t xml:space="preserve">employs </w:t>
      </w:r>
      <w:r w:rsidRPr="00934D9A">
        <w:rPr>
          <w:rFonts w:cs="Times New Roman"/>
          <w:lang w:val="en-GB"/>
        </w:rPr>
        <w:t>the poorest popula</w:t>
      </w:r>
      <w:r w:rsidR="00895BC2" w:rsidRPr="00934D9A">
        <w:rPr>
          <w:rFonts w:cs="Times New Roman"/>
          <w:lang w:val="en-GB"/>
        </w:rPr>
        <w:t>tion of the Northeast</w:t>
      </w:r>
      <w:r w:rsidRPr="00934D9A">
        <w:rPr>
          <w:rFonts w:cs="Times New Roman"/>
          <w:lang w:val="en-GB"/>
        </w:rPr>
        <w:t>. In terms of this objective, our results indicate that the FNE has been successful</w:t>
      </w:r>
      <w:r w:rsidR="00E51E74" w:rsidRPr="00934D9A">
        <w:rPr>
          <w:rFonts w:cs="Times New Roman"/>
          <w:lang w:val="en-GB"/>
        </w:rPr>
        <w:t xml:space="preserve">, </w:t>
      </w:r>
      <w:r w:rsidR="00895BC2" w:rsidRPr="00934D9A">
        <w:rPr>
          <w:rFonts w:cs="Times New Roman"/>
          <w:lang w:val="en-GB"/>
        </w:rPr>
        <w:t xml:space="preserve">since </w:t>
      </w:r>
      <w:r w:rsidR="00685C3D" w:rsidRPr="00934D9A">
        <w:rPr>
          <w:rFonts w:cs="Times New Roman"/>
          <w:lang w:val="en-GB"/>
        </w:rPr>
        <w:t>the s</w:t>
      </w:r>
      <w:r w:rsidR="00895BC2" w:rsidRPr="00934D9A">
        <w:rPr>
          <w:rFonts w:cs="Times New Roman"/>
          <w:lang w:val="en-GB"/>
        </w:rPr>
        <w:t xml:space="preserve">ectorial results reinforce that priority sectors have been clearly benefited, and the </w:t>
      </w:r>
      <w:proofErr w:type="spellStart"/>
      <w:r w:rsidR="00895BC2" w:rsidRPr="00934D9A">
        <w:rPr>
          <w:rFonts w:cs="Times New Roman"/>
          <w:lang w:val="en-GB"/>
        </w:rPr>
        <w:t>spillover</w:t>
      </w:r>
      <w:proofErr w:type="spellEnd"/>
      <w:r w:rsidR="00895BC2" w:rsidRPr="00934D9A">
        <w:rPr>
          <w:rFonts w:cs="Times New Roman"/>
          <w:lang w:val="en-GB"/>
        </w:rPr>
        <w:t xml:space="preserve"> effects induce growth even in sectors that are not directly affected by the policy.</w:t>
      </w:r>
      <w:r w:rsidR="00685C3D" w:rsidRPr="00934D9A">
        <w:rPr>
          <w:rFonts w:cs="Times New Roman"/>
          <w:lang w:val="en-GB"/>
        </w:rPr>
        <w:t xml:space="preserve"> </w:t>
      </w:r>
      <w:r w:rsidR="00E51E74" w:rsidRPr="00934D9A">
        <w:rPr>
          <w:rFonts w:cs="Times New Roman"/>
          <w:lang w:val="en-GB"/>
        </w:rPr>
        <w:t>An interesting point to be explored, however, would be the profile of agricultural production that has been promoted by the program</w:t>
      </w:r>
      <w:r w:rsidR="00550341">
        <w:rPr>
          <w:rFonts w:cs="Times New Roman"/>
          <w:lang w:val="en-GB"/>
        </w:rPr>
        <w:t>–</w:t>
      </w:r>
      <w:r w:rsidR="00896BF1" w:rsidRPr="00934D9A">
        <w:rPr>
          <w:rFonts w:cs="Times New Roman"/>
          <w:lang w:val="en-GB"/>
        </w:rPr>
        <w:t xml:space="preserve"> </w:t>
      </w:r>
      <w:r w:rsidR="00550341">
        <w:rPr>
          <w:rFonts w:cs="Times New Roman"/>
          <w:lang w:val="en-GB"/>
        </w:rPr>
        <w:t>whether</w:t>
      </w:r>
      <w:r w:rsidR="00896BF1" w:rsidRPr="00934D9A">
        <w:rPr>
          <w:rFonts w:cs="Times New Roman"/>
          <w:lang w:val="en-GB"/>
        </w:rPr>
        <w:t xml:space="preserve"> it </w:t>
      </w:r>
      <w:r w:rsidR="00550341" w:rsidRPr="00934D9A">
        <w:rPr>
          <w:rFonts w:cs="Times New Roman"/>
          <w:lang w:val="en-GB"/>
        </w:rPr>
        <w:t xml:space="preserve">directly </w:t>
      </w:r>
      <w:r w:rsidR="00896BF1" w:rsidRPr="00934D9A">
        <w:rPr>
          <w:rFonts w:cs="Times New Roman"/>
          <w:lang w:val="en-GB"/>
        </w:rPr>
        <w:t xml:space="preserve">benefits familiar agriculture or </w:t>
      </w:r>
      <w:r w:rsidR="00550341">
        <w:rPr>
          <w:rFonts w:cs="Times New Roman"/>
          <w:lang w:val="en-GB"/>
        </w:rPr>
        <w:t>whether it</w:t>
      </w:r>
      <w:r w:rsidR="00550341" w:rsidRPr="00934D9A">
        <w:rPr>
          <w:rFonts w:cs="Times New Roman"/>
          <w:lang w:val="en-GB"/>
        </w:rPr>
        <w:t xml:space="preserve"> creat</w:t>
      </w:r>
      <w:r w:rsidR="00550341">
        <w:rPr>
          <w:rFonts w:cs="Times New Roman"/>
          <w:lang w:val="en-GB"/>
        </w:rPr>
        <w:t>es</w:t>
      </w:r>
      <w:r w:rsidR="00550341" w:rsidRPr="00934D9A">
        <w:rPr>
          <w:rFonts w:cs="Times New Roman"/>
          <w:lang w:val="en-GB"/>
        </w:rPr>
        <w:t xml:space="preserve"> </w:t>
      </w:r>
      <w:r w:rsidR="00896BF1" w:rsidRPr="00934D9A">
        <w:rPr>
          <w:rFonts w:cs="Times New Roman"/>
          <w:lang w:val="en-GB"/>
        </w:rPr>
        <w:t xml:space="preserve">jobs in </w:t>
      </w:r>
      <w:r w:rsidR="00550341" w:rsidRPr="00934D9A">
        <w:rPr>
          <w:rFonts w:cs="Times New Roman"/>
          <w:lang w:val="en-GB"/>
        </w:rPr>
        <w:t>large</w:t>
      </w:r>
      <w:r w:rsidR="00550341">
        <w:rPr>
          <w:rFonts w:cs="Times New Roman"/>
          <w:lang w:val="en-GB"/>
        </w:rPr>
        <w:t>-</w:t>
      </w:r>
      <w:r w:rsidR="00896BF1" w:rsidRPr="00934D9A">
        <w:rPr>
          <w:rFonts w:cs="Times New Roman"/>
          <w:lang w:val="en-GB"/>
        </w:rPr>
        <w:t>scale production</w:t>
      </w:r>
      <w:r w:rsidR="007166BB" w:rsidRPr="00934D9A">
        <w:rPr>
          <w:rFonts w:cs="Times New Roman"/>
          <w:iCs/>
          <w:lang w:val="en-GB"/>
        </w:rPr>
        <w:t>.</w:t>
      </w:r>
      <w:r w:rsidR="00F122B7" w:rsidRPr="00934D9A">
        <w:rPr>
          <w:rFonts w:cs="Times New Roman"/>
          <w:iCs/>
          <w:lang w:val="en-GB"/>
        </w:rPr>
        <w:t xml:space="preserve"> </w:t>
      </w:r>
      <w:r w:rsidR="00896BF1" w:rsidRPr="00934D9A">
        <w:rPr>
          <w:rFonts w:cs="Times New Roman"/>
          <w:iCs/>
          <w:lang w:val="en-GB"/>
        </w:rPr>
        <w:t xml:space="preserve">The information about the production size </w:t>
      </w:r>
      <w:r w:rsidR="00685C3D" w:rsidRPr="00934D9A">
        <w:rPr>
          <w:rFonts w:cs="Times New Roman"/>
          <w:iCs/>
          <w:lang w:val="en-GB"/>
        </w:rPr>
        <w:t>co</w:t>
      </w:r>
      <w:r w:rsidR="007166BB" w:rsidRPr="00934D9A">
        <w:rPr>
          <w:rFonts w:cs="Times New Roman"/>
          <w:iCs/>
          <w:lang w:val="en-GB"/>
        </w:rPr>
        <w:t>uld allow</w:t>
      </w:r>
      <w:r w:rsidR="00550341">
        <w:rPr>
          <w:rFonts w:cs="Times New Roman"/>
          <w:iCs/>
          <w:lang w:val="en-GB"/>
        </w:rPr>
        <w:t xml:space="preserve"> for</w:t>
      </w:r>
      <w:r w:rsidR="007166BB" w:rsidRPr="00934D9A">
        <w:rPr>
          <w:rFonts w:cs="Times New Roman"/>
          <w:iCs/>
          <w:lang w:val="en-GB"/>
        </w:rPr>
        <w:t xml:space="preserve"> this type of analysis</w:t>
      </w:r>
      <w:r w:rsidR="00896BF1" w:rsidRPr="00934D9A">
        <w:rPr>
          <w:rFonts w:cs="Times New Roman"/>
          <w:iCs/>
          <w:lang w:val="en-GB"/>
        </w:rPr>
        <w:t xml:space="preserve"> in a model with household </w:t>
      </w:r>
      <w:r w:rsidR="000A4463" w:rsidRPr="00934D9A">
        <w:rPr>
          <w:rFonts w:cs="Times New Roman"/>
          <w:iCs/>
          <w:lang w:val="en-GB"/>
        </w:rPr>
        <w:t xml:space="preserve">classified </w:t>
      </w:r>
      <w:r w:rsidR="00896BF1" w:rsidRPr="00934D9A">
        <w:rPr>
          <w:rFonts w:cs="Times New Roman"/>
          <w:iCs/>
          <w:lang w:val="en-GB"/>
        </w:rPr>
        <w:t>by income</w:t>
      </w:r>
      <w:r w:rsidR="000A4463" w:rsidRPr="00934D9A">
        <w:rPr>
          <w:rFonts w:cs="Times New Roman"/>
          <w:iCs/>
          <w:lang w:val="en-GB"/>
        </w:rPr>
        <w:t xml:space="preserve"> levels</w:t>
      </w:r>
      <w:r w:rsidR="007166BB" w:rsidRPr="00934D9A">
        <w:rPr>
          <w:rFonts w:cs="Times New Roman"/>
          <w:iCs/>
          <w:lang w:val="en-GB"/>
        </w:rPr>
        <w:t xml:space="preserve">. </w:t>
      </w:r>
      <w:r w:rsidR="00550341">
        <w:rPr>
          <w:rFonts w:cs="Times New Roman"/>
          <w:lang w:val="en-GB"/>
        </w:rPr>
        <w:t>Ano</w:t>
      </w:r>
      <w:r w:rsidR="00550341" w:rsidRPr="00934D9A">
        <w:rPr>
          <w:rFonts w:cs="Times New Roman"/>
          <w:lang w:val="en-GB"/>
        </w:rPr>
        <w:t xml:space="preserve">ther </w:t>
      </w:r>
      <w:r w:rsidR="00685C3D" w:rsidRPr="00934D9A">
        <w:rPr>
          <w:rFonts w:cs="Times New Roman"/>
          <w:lang w:val="en-GB"/>
        </w:rPr>
        <w:t xml:space="preserve">important question is to investigate </w:t>
      </w:r>
      <w:r w:rsidR="00550341">
        <w:rPr>
          <w:rFonts w:cs="Times New Roman"/>
          <w:lang w:val="en-GB"/>
        </w:rPr>
        <w:t>whether</w:t>
      </w:r>
      <w:r w:rsidR="00550341" w:rsidRPr="00934D9A">
        <w:rPr>
          <w:rFonts w:cs="Times New Roman"/>
          <w:lang w:val="en-GB"/>
        </w:rPr>
        <w:t xml:space="preserve"> </w:t>
      </w:r>
      <w:r w:rsidR="00685C3D" w:rsidRPr="00934D9A">
        <w:rPr>
          <w:rFonts w:cs="Times New Roman"/>
          <w:lang w:val="en-GB"/>
        </w:rPr>
        <w:t xml:space="preserve">the current allocation of the FNE resources is maximizing the impacts on reducing inequality or if there is another composition of investment that would bring more benefit for this target. CGE models can be used not only for policy evaluation, but especially for ex-ante analysis of alternative policy designs. The alternative scenarios can also be connected to more specific policy goals, for instance, </w:t>
      </w:r>
      <w:r w:rsidR="00003F22" w:rsidRPr="00934D9A">
        <w:rPr>
          <w:rFonts w:cs="Times New Roman"/>
          <w:lang w:val="en-GB"/>
        </w:rPr>
        <w:t>exploring the trade-off between</w:t>
      </w:r>
      <w:r w:rsidR="00685C3D" w:rsidRPr="00934D9A">
        <w:rPr>
          <w:rFonts w:cs="Times New Roman"/>
          <w:lang w:val="en-GB"/>
        </w:rPr>
        <w:t xml:space="preserve"> allocation efficiency </w:t>
      </w:r>
      <w:r w:rsidR="00003F22" w:rsidRPr="00934D9A">
        <w:rPr>
          <w:rFonts w:cs="Times New Roman"/>
          <w:lang w:val="en-GB"/>
        </w:rPr>
        <w:t>and</w:t>
      </w:r>
      <w:r w:rsidR="00685C3D" w:rsidRPr="00934D9A">
        <w:rPr>
          <w:rFonts w:cs="Times New Roman"/>
          <w:lang w:val="en-GB"/>
        </w:rPr>
        <w:t xml:space="preserve"> inequality reduction</w:t>
      </w:r>
      <w:r w:rsidR="00003F22" w:rsidRPr="00934D9A">
        <w:rPr>
          <w:rFonts w:cs="Times New Roman"/>
          <w:lang w:val="en-GB"/>
        </w:rPr>
        <w:t xml:space="preserve">. </w:t>
      </w:r>
    </w:p>
    <w:p w14:paraId="7D4751A3" w14:textId="77777777" w:rsidR="009969B1" w:rsidRDefault="009969B1" w:rsidP="00184876">
      <w:pPr>
        <w:spacing w:before="120" w:after="120" w:line="240" w:lineRule="auto"/>
        <w:jc w:val="both"/>
        <w:rPr>
          <w:rFonts w:cs="Times New Roman"/>
          <w:lang w:val="en-GB"/>
        </w:rPr>
      </w:pPr>
    </w:p>
    <w:p w14:paraId="4ACE882A" w14:textId="704A9D5B" w:rsidR="002E2196" w:rsidRPr="00184876" w:rsidRDefault="002E2196" w:rsidP="00184876">
      <w:pPr>
        <w:pStyle w:val="Ttulo1"/>
        <w:numPr>
          <w:ilvl w:val="0"/>
          <w:numId w:val="0"/>
        </w:numPr>
        <w:spacing w:before="120" w:after="120"/>
      </w:pPr>
      <w:proofErr w:type="spellStart"/>
      <w:r w:rsidRPr="00184876">
        <w:t>References</w:t>
      </w:r>
      <w:proofErr w:type="spellEnd"/>
      <w:r w:rsidRPr="00184876">
        <w:t xml:space="preserve"> </w:t>
      </w:r>
    </w:p>
    <w:p w14:paraId="5E69C4B0" w14:textId="66F4AA1C" w:rsidR="00F258B4" w:rsidRPr="00C35A1C" w:rsidRDefault="00F258B4" w:rsidP="00184876">
      <w:pPr>
        <w:spacing w:before="120" w:after="120" w:line="240" w:lineRule="auto"/>
        <w:jc w:val="both"/>
        <w:rPr>
          <w:lang w:val="en-US"/>
        </w:rPr>
      </w:pPr>
      <w:proofErr w:type="spellStart"/>
      <w:r w:rsidRPr="00184876">
        <w:t>Agovino</w:t>
      </w:r>
      <w:proofErr w:type="spellEnd"/>
      <w:r w:rsidRPr="00184876">
        <w:t xml:space="preserve">, M., </w:t>
      </w:r>
      <w:proofErr w:type="spellStart"/>
      <w:r w:rsidRPr="00184876">
        <w:t>Casaccia</w:t>
      </w:r>
      <w:proofErr w:type="spellEnd"/>
      <w:r w:rsidRPr="00184876">
        <w:t xml:space="preserve">, M., </w:t>
      </w:r>
      <w:proofErr w:type="spellStart"/>
      <w:r w:rsidRPr="00184876">
        <w:t>Crociata</w:t>
      </w:r>
      <w:proofErr w:type="spellEnd"/>
      <w:r w:rsidRPr="00184876">
        <w:t xml:space="preserve">, A., &amp; </w:t>
      </w:r>
      <w:proofErr w:type="spellStart"/>
      <w:r w:rsidRPr="00184876">
        <w:t>Sacco</w:t>
      </w:r>
      <w:proofErr w:type="spellEnd"/>
      <w:r w:rsidRPr="00184876">
        <w:t>, P.L. (2018)</w:t>
      </w:r>
      <w:r w:rsidR="007E2E74" w:rsidRPr="00184876">
        <w:t>.</w:t>
      </w:r>
      <w:r w:rsidRPr="00184876">
        <w:t xml:space="preserve"> </w:t>
      </w:r>
      <w:proofErr w:type="gramStart"/>
      <w:r w:rsidRPr="00C35A1C">
        <w:rPr>
          <w:lang w:val="en-US"/>
        </w:rPr>
        <w:t xml:space="preserve">European Regional Development Fund and pro-environmental </w:t>
      </w:r>
      <w:proofErr w:type="spellStart"/>
      <w:r w:rsidRPr="00C35A1C">
        <w:rPr>
          <w:lang w:val="en-US"/>
        </w:rPr>
        <w:t>behaviour</w:t>
      </w:r>
      <w:proofErr w:type="spellEnd"/>
      <w:r w:rsidRPr="00C35A1C">
        <w:rPr>
          <w:lang w:val="en-US"/>
        </w:rPr>
        <w:t>.</w:t>
      </w:r>
      <w:proofErr w:type="gramEnd"/>
      <w:r w:rsidRPr="00C35A1C">
        <w:rPr>
          <w:lang w:val="en-US"/>
        </w:rPr>
        <w:t xml:space="preserve"> </w:t>
      </w:r>
      <w:proofErr w:type="gramStart"/>
      <w:r w:rsidRPr="00C35A1C">
        <w:rPr>
          <w:lang w:val="en-US"/>
        </w:rPr>
        <w:t>The case of Italian separate waste collection.</w:t>
      </w:r>
      <w:proofErr w:type="gramEnd"/>
      <w:r w:rsidRPr="00C35A1C">
        <w:rPr>
          <w:lang w:val="en-US"/>
        </w:rPr>
        <w:t xml:space="preserve"> </w:t>
      </w:r>
      <w:proofErr w:type="gramStart"/>
      <w:r w:rsidRPr="00C35A1C">
        <w:rPr>
          <w:i/>
          <w:lang w:val="en-US"/>
        </w:rPr>
        <w:t>Socio-Economic Planning Sciences</w:t>
      </w:r>
      <w:r w:rsidRPr="00C35A1C">
        <w:rPr>
          <w:lang w:val="en-US"/>
        </w:rPr>
        <w:t>.</w:t>
      </w:r>
      <w:proofErr w:type="gramEnd"/>
    </w:p>
    <w:p w14:paraId="1AAB7A71" w14:textId="532ED7AD" w:rsidR="00F258B4" w:rsidRPr="005A520A" w:rsidRDefault="00F258B4" w:rsidP="00184876">
      <w:pPr>
        <w:spacing w:before="120" w:after="120" w:line="240" w:lineRule="auto"/>
        <w:jc w:val="both"/>
        <w:rPr>
          <w:rFonts w:cs="Times New Roman"/>
        </w:rPr>
      </w:pPr>
      <w:r w:rsidRPr="005A520A">
        <w:rPr>
          <w:rFonts w:cs="Times New Roman"/>
        </w:rPr>
        <w:lastRenderedPageBreak/>
        <w:t>Almeid</w:t>
      </w:r>
      <w:r>
        <w:rPr>
          <w:rFonts w:cs="Times New Roman"/>
        </w:rPr>
        <w:t xml:space="preserve">a, M. F., Silva, A. M. A. </w:t>
      </w:r>
      <w:proofErr w:type="gramStart"/>
      <w:r>
        <w:rPr>
          <w:rFonts w:cs="Times New Roman"/>
        </w:rPr>
        <w:t>D.</w:t>
      </w:r>
      <w:proofErr w:type="gramEnd"/>
      <w:r>
        <w:rPr>
          <w:rFonts w:cs="Times New Roman"/>
        </w:rPr>
        <w:t xml:space="preserve">, &amp; </w:t>
      </w:r>
      <w:r w:rsidRPr="005A520A">
        <w:rPr>
          <w:rFonts w:cs="Times New Roman"/>
        </w:rPr>
        <w:t xml:space="preserve">Resende, G. M. </w:t>
      </w:r>
      <w:r>
        <w:rPr>
          <w:rFonts w:cs="Times New Roman"/>
        </w:rPr>
        <w:t>(</w:t>
      </w:r>
      <w:r w:rsidRPr="005A520A">
        <w:rPr>
          <w:rFonts w:cs="Times New Roman"/>
        </w:rPr>
        <w:t>2006</w:t>
      </w:r>
      <w:r>
        <w:rPr>
          <w:rFonts w:cs="Times New Roman"/>
        </w:rPr>
        <w:t>)</w:t>
      </w:r>
      <w:r w:rsidR="007E2E74">
        <w:rPr>
          <w:rFonts w:cs="Times New Roman"/>
        </w:rPr>
        <w:t>.</w:t>
      </w:r>
      <w:r>
        <w:rPr>
          <w:rFonts w:cs="Times New Roman"/>
        </w:rPr>
        <w:t xml:space="preserve"> </w:t>
      </w:r>
      <w:r w:rsidRPr="00F277D2">
        <w:rPr>
          <w:rFonts w:cs="Times New Roman"/>
        </w:rPr>
        <w:t>Uma análise dos fundos constitucionais de financiamento do Nordeste (FNE), Norte (FNO) e Centro-Oeste (FCO).</w:t>
      </w:r>
      <w:r w:rsidRPr="005A520A">
        <w:rPr>
          <w:rFonts w:cs="Times New Roman"/>
        </w:rPr>
        <w:t xml:space="preserve"> </w:t>
      </w:r>
      <w:r w:rsidRPr="00F277D2">
        <w:rPr>
          <w:rFonts w:cs="Times New Roman"/>
          <w:i/>
        </w:rPr>
        <w:t>IPEA - Texto para Discussão</w:t>
      </w:r>
      <w:r w:rsidRPr="005A520A">
        <w:rPr>
          <w:rFonts w:cs="Times New Roman"/>
        </w:rPr>
        <w:t xml:space="preserve"> n. 1206, Brasília.</w:t>
      </w:r>
    </w:p>
    <w:p w14:paraId="6D6E90A4" w14:textId="67180B15" w:rsidR="00F258B4" w:rsidRDefault="00F258B4" w:rsidP="00184876">
      <w:pPr>
        <w:spacing w:before="120" w:after="120" w:line="240" w:lineRule="auto"/>
        <w:jc w:val="both"/>
        <w:rPr>
          <w:rFonts w:cs="Times New Roman"/>
          <w:lang w:val="en-US"/>
        </w:rPr>
      </w:pPr>
      <w:r w:rsidRPr="005A520A">
        <w:rPr>
          <w:rFonts w:cs="Times New Roman"/>
        </w:rPr>
        <w:t xml:space="preserve">Almeida, M. F., Resende, G. M., </w:t>
      </w:r>
      <w:r>
        <w:rPr>
          <w:rFonts w:cs="Times New Roman"/>
        </w:rPr>
        <w:t xml:space="preserve">&amp; </w:t>
      </w:r>
      <w:r w:rsidRPr="005A520A">
        <w:rPr>
          <w:rFonts w:cs="Times New Roman"/>
        </w:rPr>
        <w:t xml:space="preserve">Silva, A. M. A. </w:t>
      </w:r>
      <w:r>
        <w:rPr>
          <w:rFonts w:cs="Times New Roman"/>
        </w:rPr>
        <w:t>(</w:t>
      </w:r>
      <w:r w:rsidRPr="005A520A">
        <w:rPr>
          <w:rFonts w:cs="Times New Roman"/>
        </w:rPr>
        <w:t>2007</w:t>
      </w:r>
      <w:r>
        <w:rPr>
          <w:rFonts w:cs="Times New Roman"/>
        </w:rPr>
        <w:t>)</w:t>
      </w:r>
      <w:r w:rsidR="007E2E74">
        <w:rPr>
          <w:rFonts w:cs="Times New Roman"/>
        </w:rPr>
        <w:t>.</w:t>
      </w:r>
      <w:r>
        <w:rPr>
          <w:rFonts w:cs="Times New Roman"/>
        </w:rPr>
        <w:t xml:space="preserve"> </w:t>
      </w:r>
      <w:r w:rsidRPr="005A520A">
        <w:rPr>
          <w:rFonts w:cs="Times New Roman"/>
        </w:rPr>
        <w:t xml:space="preserve">Distribuição espacial dos fundos constitucionais de financiamento do Nordeste, Norte e Centro-Oeste. </w:t>
      </w:r>
      <w:proofErr w:type="spellStart"/>
      <w:r w:rsidRPr="00F277D2">
        <w:rPr>
          <w:rFonts w:cs="Times New Roman"/>
          <w:i/>
          <w:lang w:val="en-US"/>
        </w:rPr>
        <w:t>Revista</w:t>
      </w:r>
      <w:proofErr w:type="spellEnd"/>
      <w:r w:rsidRPr="00F277D2">
        <w:rPr>
          <w:rFonts w:cs="Times New Roman"/>
          <w:i/>
          <w:lang w:val="en-US"/>
        </w:rPr>
        <w:t xml:space="preserve"> de </w:t>
      </w:r>
      <w:proofErr w:type="spellStart"/>
      <w:r w:rsidRPr="00F277D2">
        <w:rPr>
          <w:rFonts w:cs="Times New Roman"/>
          <w:i/>
          <w:lang w:val="en-US"/>
        </w:rPr>
        <w:t>Economia</w:t>
      </w:r>
      <w:proofErr w:type="spellEnd"/>
      <w:r w:rsidRPr="00F277D2">
        <w:rPr>
          <w:rFonts w:cs="Times New Roman"/>
          <w:i/>
          <w:lang w:val="en-US"/>
        </w:rPr>
        <w:t xml:space="preserve"> </w:t>
      </w:r>
      <w:r w:rsidRPr="008963A8">
        <w:rPr>
          <w:rFonts w:cs="Times New Roman"/>
          <w:lang w:val="en-US"/>
        </w:rPr>
        <w:t>33</w:t>
      </w:r>
      <w:r>
        <w:rPr>
          <w:rFonts w:cs="Times New Roman"/>
          <w:lang w:val="en-US"/>
        </w:rPr>
        <w:t>(</w:t>
      </w:r>
      <w:r w:rsidRPr="008963A8">
        <w:rPr>
          <w:rFonts w:cs="Times New Roman"/>
          <w:lang w:val="en-US"/>
        </w:rPr>
        <w:t>2</w:t>
      </w:r>
      <w:r>
        <w:rPr>
          <w:rFonts w:cs="Times New Roman"/>
          <w:lang w:val="en-US"/>
        </w:rPr>
        <w:t>):</w:t>
      </w:r>
      <w:r w:rsidRPr="008963A8">
        <w:rPr>
          <w:rFonts w:cs="Times New Roman"/>
          <w:lang w:val="en-US"/>
        </w:rPr>
        <w:t xml:space="preserve"> 115-137.</w:t>
      </w:r>
    </w:p>
    <w:p w14:paraId="45AFCAC1" w14:textId="20F703D1" w:rsidR="00F258B4" w:rsidRPr="00585D56" w:rsidRDefault="00F258B4" w:rsidP="00184876">
      <w:pPr>
        <w:spacing w:before="120" w:after="120" w:line="240" w:lineRule="auto"/>
        <w:jc w:val="both"/>
        <w:rPr>
          <w:rFonts w:cs="Times New Roman"/>
          <w:lang w:val="en-US"/>
        </w:rPr>
      </w:pPr>
      <w:proofErr w:type="spellStart"/>
      <w:r w:rsidRPr="00585D56">
        <w:rPr>
          <w:rFonts w:cs="Times New Roman"/>
          <w:lang w:val="en-US"/>
        </w:rPr>
        <w:t>Azzoni</w:t>
      </w:r>
      <w:proofErr w:type="spellEnd"/>
      <w:r w:rsidRPr="00585D56">
        <w:rPr>
          <w:rFonts w:cs="Times New Roman"/>
          <w:lang w:val="en-US"/>
        </w:rPr>
        <w:t xml:space="preserve">, C. R. </w:t>
      </w:r>
      <w:r>
        <w:rPr>
          <w:rFonts w:cs="Times New Roman"/>
          <w:lang w:val="en-US"/>
        </w:rPr>
        <w:t>(</w:t>
      </w:r>
      <w:r w:rsidRPr="00585D56">
        <w:rPr>
          <w:rFonts w:cs="Times New Roman"/>
          <w:lang w:val="en-US"/>
        </w:rPr>
        <w:t>2001</w:t>
      </w:r>
      <w:r>
        <w:rPr>
          <w:rFonts w:cs="Times New Roman"/>
          <w:lang w:val="en-US"/>
        </w:rPr>
        <w:t>)</w:t>
      </w:r>
      <w:r w:rsidR="007E2E74">
        <w:rPr>
          <w:rFonts w:cs="Times New Roman"/>
          <w:lang w:val="en-US"/>
        </w:rPr>
        <w:t>.</w:t>
      </w:r>
      <w:r>
        <w:rPr>
          <w:rFonts w:cs="Times New Roman"/>
          <w:lang w:val="en-US"/>
        </w:rPr>
        <w:t xml:space="preserve"> </w:t>
      </w:r>
      <w:proofErr w:type="gramStart"/>
      <w:r w:rsidRPr="00585D56">
        <w:rPr>
          <w:rFonts w:cs="Times New Roman"/>
          <w:lang w:val="en-US"/>
        </w:rPr>
        <w:t>Economic growth and regional income inequality in Brazil.</w:t>
      </w:r>
      <w:proofErr w:type="gramEnd"/>
      <w:r w:rsidRPr="00585D56">
        <w:rPr>
          <w:rFonts w:cs="Times New Roman"/>
          <w:lang w:val="en-US"/>
        </w:rPr>
        <w:t xml:space="preserve"> </w:t>
      </w:r>
      <w:r w:rsidRPr="00F277D2">
        <w:rPr>
          <w:rFonts w:cs="Times New Roman"/>
          <w:i/>
          <w:lang w:val="en-US"/>
        </w:rPr>
        <w:t>The Annals of Regional Science</w:t>
      </w:r>
      <w:r>
        <w:rPr>
          <w:rFonts w:cs="Times New Roman"/>
          <w:lang w:val="en-US"/>
        </w:rPr>
        <w:t>,</w:t>
      </w:r>
      <w:r w:rsidRPr="00585D56">
        <w:rPr>
          <w:rFonts w:cs="Times New Roman"/>
          <w:lang w:val="en-US"/>
        </w:rPr>
        <w:t xml:space="preserve"> 35: 133–152.</w:t>
      </w:r>
    </w:p>
    <w:p w14:paraId="04022C9A" w14:textId="3F5A3ABF" w:rsidR="00F258B4" w:rsidRPr="00896BF1" w:rsidRDefault="00F258B4" w:rsidP="00184876">
      <w:pPr>
        <w:spacing w:before="120" w:after="120" w:line="240" w:lineRule="auto"/>
        <w:jc w:val="both"/>
        <w:rPr>
          <w:rFonts w:cs="Times New Roman"/>
        </w:rPr>
      </w:pPr>
      <w:proofErr w:type="gramStart"/>
      <w:r w:rsidRPr="00585D56">
        <w:rPr>
          <w:rFonts w:cs="Times New Roman"/>
          <w:lang w:val="en-US"/>
        </w:rPr>
        <w:t xml:space="preserve">Baer, W. </w:t>
      </w:r>
      <w:r>
        <w:rPr>
          <w:rFonts w:cs="Times New Roman"/>
          <w:lang w:val="en-US"/>
        </w:rPr>
        <w:t>(</w:t>
      </w:r>
      <w:r w:rsidRPr="00184876">
        <w:rPr>
          <w:rFonts w:cs="Times New Roman"/>
          <w:lang w:val="en-US"/>
        </w:rPr>
        <w:t>2007)</w:t>
      </w:r>
      <w:r w:rsidR="007E2E74" w:rsidRPr="00184876">
        <w:rPr>
          <w:rFonts w:cs="Times New Roman"/>
          <w:lang w:val="en-US"/>
        </w:rPr>
        <w:t>.</w:t>
      </w:r>
      <w:proofErr w:type="gramEnd"/>
      <w:r w:rsidRPr="00184876">
        <w:rPr>
          <w:rFonts w:cs="Times New Roman"/>
          <w:lang w:val="en-US"/>
        </w:rPr>
        <w:t xml:space="preserve"> </w:t>
      </w:r>
      <w:r w:rsidRPr="00FA4D13">
        <w:rPr>
          <w:rFonts w:cs="Times New Roman"/>
          <w:i/>
          <w:lang w:val="en-US"/>
        </w:rPr>
        <w:t>Brazilian economy: growth and development</w:t>
      </w:r>
      <w:r w:rsidRPr="00585D56">
        <w:rPr>
          <w:rFonts w:cs="Times New Roman"/>
          <w:lang w:val="en-US"/>
        </w:rPr>
        <w:t xml:space="preserve"> (6th </w:t>
      </w:r>
      <w:proofErr w:type="spellStart"/>
      <w:r w:rsidRPr="00585D56">
        <w:rPr>
          <w:rFonts w:cs="Times New Roman"/>
          <w:lang w:val="en-US"/>
        </w:rPr>
        <w:t>Revd</w:t>
      </w:r>
      <w:proofErr w:type="spellEnd"/>
      <w:r w:rsidRPr="00585D56">
        <w:rPr>
          <w:rFonts w:cs="Times New Roman"/>
          <w:lang w:val="en-US"/>
        </w:rPr>
        <w:t xml:space="preserve"> E). </w:t>
      </w:r>
      <w:r w:rsidRPr="00896BF1">
        <w:rPr>
          <w:rFonts w:cs="Times New Roman"/>
        </w:rPr>
        <w:t xml:space="preserve">Boulder, CO: </w:t>
      </w:r>
      <w:proofErr w:type="spellStart"/>
      <w:r w:rsidRPr="00896BF1">
        <w:rPr>
          <w:rFonts w:cs="Times New Roman"/>
        </w:rPr>
        <w:t>Lynne</w:t>
      </w:r>
      <w:proofErr w:type="spellEnd"/>
      <w:r w:rsidRPr="00896BF1">
        <w:rPr>
          <w:rFonts w:cs="Times New Roman"/>
        </w:rPr>
        <w:t xml:space="preserve"> </w:t>
      </w:r>
      <w:proofErr w:type="spellStart"/>
      <w:r w:rsidRPr="00896BF1">
        <w:rPr>
          <w:rFonts w:cs="Times New Roman"/>
        </w:rPr>
        <w:t>Rienner</w:t>
      </w:r>
      <w:proofErr w:type="spellEnd"/>
      <w:r w:rsidRPr="00896BF1">
        <w:rPr>
          <w:rFonts w:cs="Times New Roman"/>
        </w:rPr>
        <w:t>.</w:t>
      </w:r>
    </w:p>
    <w:p w14:paraId="6275C54B" w14:textId="6DC023BB" w:rsidR="00F258B4" w:rsidRPr="00184876" w:rsidRDefault="00F258B4" w:rsidP="00184876">
      <w:pPr>
        <w:spacing w:before="120" w:after="120" w:line="240" w:lineRule="auto"/>
        <w:jc w:val="both"/>
        <w:rPr>
          <w:noProof/>
        </w:rPr>
      </w:pPr>
      <w:proofErr w:type="spellStart"/>
      <w:r>
        <w:rPr>
          <w:rFonts w:cs="Times New Roman"/>
        </w:rPr>
        <w:t>Baer</w:t>
      </w:r>
      <w:proofErr w:type="spellEnd"/>
      <w:r>
        <w:rPr>
          <w:rFonts w:cs="Times New Roman"/>
        </w:rPr>
        <w:t>, W</w:t>
      </w:r>
      <w:proofErr w:type="gramStart"/>
      <w:r>
        <w:rPr>
          <w:rFonts w:cs="Times New Roman"/>
        </w:rPr>
        <w:t>.,</w:t>
      </w:r>
      <w:proofErr w:type="gramEnd"/>
      <w:r>
        <w:rPr>
          <w:rFonts w:cs="Times New Roman"/>
        </w:rPr>
        <w:t xml:space="preserve"> &amp; </w:t>
      </w:r>
      <w:r w:rsidRPr="00585D56">
        <w:rPr>
          <w:rFonts w:cs="Times New Roman"/>
        </w:rPr>
        <w:t>Geiger</w:t>
      </w:r>
      <w:r>
        <w:rPr>
          <w:rFonts w:cs="Times New Roman"/>
        </w:rPr>
        <w:t>, P. P.</w:t>
      </w:r>
      <w:r w:rsidRPr="00585D56">
        <w:rPr>
          <w:rFonts w:cs="Times New Roman"/>
        </w:rPr>
        <w:t xml:space="preserve"> </w:t>
      </w:r>
      <w:r>
        <w:rPr>
          <w:rFonts w:cs="Times New Roman"/>
        </w:rPr>
        <w:t>(1978)</w:t>
      </w:r>
      <w:r w:rsidR="007E2E74">
        <w:rPr>
          <w:rFonts w:cs="Times New Roman"/>
        </w:rPr>
        <w:t>.</w:t>
      </w:r>
      <w:r>
        <w:rPr>
          <w:rFonts w:cs="Times New Roman"/>
        </w:rPr>
        <w:t xml:space="preserve"> </w:t>
      </w:r>
      <w:r w:rsidRPr="00585D56">
        <w:rPr>
          <w:rFonts w:cs="Times New Roman"/>
        </w:rPr>
        <w:t xml:space="preserve">Industrialização, urbanização e a persistência das desigualdades regionais no Brasil. In </w:t>
      </w:r>
      <w:r w:rsidR="007E2E74" w:rsidRPr="00585D56">
        <w:rPr>
          <w:rFonts w:cs="Times New Roman"/>
        </w:rPr>
        <w:t xml:space="preserve">W. </w:t>
      </w:r>
      <w:proofErr w:type="spellStart"/>
      <w:r w:rsidR="007E2E74" w:rsidRPr="00585D56">
        <w:rPr>
          <w:rFonts w:cs="Times New Roman"/>
        </w:rPr>
        <w:t>Baer</w:t>
      </w:r>
      <w:proofErr w:type="spellEnd"/>
      <w:r w:rsidR="007E2E74" w:rsidRPr="00585D56">
        <w:rPr>
          <w:rFonts w:cs="Times New Roman"/>
        </w:rPr>
        <w:t xml:space="preserve">, P. P. Geiger, &amp; P. </w:t>
      </w:r>
      <w:proofErr w:type="gramStart"/>
      <w:r w:rsidR="007E2E74" w:rsidRPr="00585D56">
        <w:rPr>
          <w:rFonts w:cs="Times New Roman"/>
        </w:rPr>
        <w:t>R.</w:t>
      </w:r>
      <w:proofErr w:type="gramEnd"/>
      <w:r w:rsidR="007E2E74" w:rsidRPr="00585D56">
        <w:rPr>
          <w:rFonts w:cs="Times New Roman"/>
        </w:rPr>
        <w:t xml:space="preserve"> Haddad </w:t>
      </w:r>
      <w:r w:rsidRPr="00585D56">
        <w:rPr>
          <w:rFonts w:cs="Times New Roman"/>
        </w:rPr>
        <w:t xml:space="preserve">(Eds.), </w:t>
      </w:r>
      <w:r w:rsidRPr="00FA4D13">
        <w:rPr>
          <w:rFonts w:cs="Times New Roman"/>
          <w:i/>
        </w:rPr>
        <w:t>Dimensões do desenvolvimento brasileiro</w:t>
      </w:r>
      <w:r w:rsidRPr="00585D56">
        <w:rPr>
          <w:rFonts w:cs="Times New Roman"/>
        </w:rPr>
        <w:t xml:space="preserve">. </w:t>
      </w:r>
      <w:r w:rsidRPr="00184876">
        <w:rPr>
          <w:rFonts w:cs="Times New Roman"/>
        </w:rPr>
        <w:t xml:space="preserve">Rio de Janeiro: </w:t>
      </w:r>
      <w:proofErr w:type="gramStart"/>
      <w:r w:rsidRPr="00184876">
        <w:rPr>
          <w:rFonts w:cs="Times New Roman"/>
        </w:rPr>
        <w:t>Editora Campus</w:t>
      </w:r>
      <w:proofErr w:type="gramEnd"/>
      <w:r w:rsidRPr="00184876">
        <w:rPr>
          <w:rFonts w:cs="Times New Roman"/>
        </w:rPr>
        <w:t>.</w:t>
      </w:r>
    </w:p>
    <w:p w14:paraId="5B1EB4AC" w14:textId="7F27A83A" w:rsidR="00F258B4" w:rsidRPr="00FA4D13" w:rsidRDefault="00F258B4" w:rsidP="00184876">
      <w:pPr>
        <w:pStyle w:val="NormalWeb"/>
        <w:spacing w:before="120" w:beforeAutospacing="0" w:after="120" w:afterAutospacing="0"/>
        <w:jc w:val="both"/>
        <w:rPr>
          <w:shd w:val="clear" w:color="auto" w:fill="FFFFFF"/>
        </w:rPr>
      </w:pPr>
      <w:proofErr w:type="spellStart"/>
      <w:r w:rsidRPr="00184876">
        <w:rPr>
          <w:shd w:val="clear" w:color="auto" w:fill="FFFFFF"/>
        </w:rPr>
        <w:t>Banerjee</w:t>
      </w:r>
      <w:proofErr w:type="spellEnd"/>
      <w:r w:rsidRPr="00184876">
        <w:rPr>
          <w:shd w:val="clear" w:color="auto" w:fill="FFFFFF"/>
        </w:rPr>
        <w:t>, A. V., &amp; Newman, A. F. (1993)</w:t>
      </w:r>
      <w:r w:rsidR="007E2E74" w:rsidRPr="00184876">
        <w:rPr>
          <w:shd w:val="clear" w:color="auto" w:fill="FFFFFF"/>
        </w:rPr>
        <w:t>.</w:t>
      </w:r>
      <w:r w:rsidRPr="00184876">
        <w:rPr>
          <w:shd w:val="clear" w:color="auto" w:fill="FFFFFF"/>
        </w:rPr>
        <w:t xml:space="preserve"> </w:t>
      </w:r>
      <w:proofErr w:type="gramStart"/>
      <w:r>
        <w:rPr>
          <w:shd w:val="clear" w:color="auto" w:fill="FFFFFF"/>
          <w:lang w:val="en-US"/>
        </w:rPr>
        <w:t>Occupational choice and the process of development.</w:t>
      </w:r>
      <w:proofErr w:type="gramEnd"/>
      <w:r>
        <w:rPr>
          <w:lang w:val="en-US"/>
        </w:rPr>
        <w:t xml:space="preserve"> </w:t>
      </w:r>
      <w:proofErr w:type="spellStart"/>
      <w:r w:rsidRPr="00FA4D13">
        <w:rPr>
          <w:i/>
          <w:shd w:val="clear" w:color="auto" w:fill="FFFFFF"/>
        </w:rPr>
        <w:t>Journal</w:t>
      </w:r>
      <w:proofErr w:type="spellEnd"/>
      <w:r w:rsidRPr="00FA4D13">
        <w:rPr>
          <w:i/>
          <w:shd w:val="clear" w:color="auto" w:fill="FFFFFF"/>
        </w:rPr>
        <w:t xml:space="preserve"> </w:t>
      </w:r>
      <w:proofErr w:type="spellStart"/>
      <w:r w:rsidRPr="00FA4D13">
        <w:rPr>
          <w:i/>
          <w:shd w:val="clear" w:color="auto" w:fill="FFFFFF"/>
        </w:rPr>
        <w:t>of</w:t>
      </w:r>
      <w:proofErr w:type="spellEnd"/>
      <w:r w:rsidRPr="00FA4D13">
        <w:rPr>
          <w:i/>
          <w:shd w:val="clear" w:color="auto" w:fill="FFFFFF"/>
        </w:rPr>
        <w:t xml:space="preserve"> </w:t>
      </w:r>
      <w:proofErr w:type="spellStart"/>
      <w:r w:rsidRPr="00FA4D13">
        <w:rPr>
          <w:i/>
          <w:shd w:val="clear" w:color="auto" w:fill="FFFFFF"/>
        </w:rPr>
        <w:t>Political</w:t>
      </w:r>
      <w:proofErr w:type="spellEnd"/>
      <w:r w:rsidRPr="00FA4D13">
        <w:rPr>
          <w:i/>
          <w:shd w:val="clear" w:color="auto" w:fill="FFFFFF"/>
        </w:rPr>
        <w:t xml:space="preserve"> </w:t>
      </w:r>
      <w:proofErr w:type="spellStart"/>
      <w:r w:rsidRPr="00FA4D13">
        <w:rPr>
          <w:i/>
          <w:shd w:val="clear" w:color="auto" w:fill="FFFFFF"/>
        </w:rPr>
        <w:t>Economy</w:t>
      </w:r>
      <w:proofErr w:type="spellEnd"/>
      <w:r>
        <w:rPr>
          <w:i/>
          <w:shd w:val="clear" w:color="auto" w:fill="FFFFFF"/>
        </w:rPr>
        <w:t>,</w:t>
      </w:r>
      <w:r w:rsidRPr="00FA4D13">
        <w:rPr>
          <w:shd w:val="clear" w:color="auto" w:fill="FFFFFF"/>
        </w:rPr>
        <w:t xml:space="preserve"> 101(2): 274-298.</w:t>
      </w:r>
    </w:p>
    <w:p w14:paraId="44060FF0" w14:textId="51B6D850" w:rsidR="00F258B4" w:rsidRPr="00FA4D13" w:rsidRDefault="00F258B4" w:rsidP="00184876">
      <w:pPr>
        <w:spacing w:before="120" w:after="120" w:line="240" w:lineRule="auto"/>
        <w:jc w:val="both"/>
        <w:rPr>
          <w:rFonts w:cs="Times New Roman"/>
          <w:lang w:val="en-US"/>
        </w:rPr>
      </w:pPr>
      <w:proofErr w:type="spellStart"/>
      <w:r w:rsidRPr="00FD3B12">
        <w:rPr>
          <w:rFonts w:cs="Times New Roman"/>
        </w:rPr>
        <w:t>Brazilian</w:t>
      </w:r>
      <w:proofErr w:type="spellEnd"/>
      <w:r w:rsidRPr="00FD3B12">
        <w:rPr>
          <w:rFonts w:cs="Times New Roman"/>
        </w:rPr>
        <w:t xml:space="preserve"> Central Bank. </w:t>
      </w:r>
      <w:r w:rsidR="002D1ABF">
        <w:rPr>
          <w:rFonts w:cs="Times New Roman"/>
        </w:rPr>
        <w:t xml:space="preserve">(2017). </w:t>
      </w:r>
      <w:r w:rsidRPr="00FA4D13">
        <w:rPr>
          <w:rFonts w:cs="Times New Roman"/>
          <w:i/>
        </w:rPr>
        <w:t>Focus - Relatório de Mercado</w:t>
      </w:r>
      <w:r w:rsidRPr="00FD3B12">
        <w:rPr>
          <w:rFonts w:cs="Times New Roman"/>
        </w:rPr>
        <w:t xml:space="preserve">. 29 de dezembro de 2017. </w:t>
      </w:r>
      <w:r w:rsidRPr="00FA4D13">
        <w:rPr>
          <w:rFonts w:cs="Times New Roman"/>
          <w:lang w:val="en-US"/>
        </w:rPr>
        <w:t>Available at: https://www.bcb.gov.br/pec/GCI/PORT/readout/R20171229.pdf</w:t>
      </w:r>
    </w:p>
    <w:p w14:paraId="379E41C8" w14:textId="2F6DBD78" w:rsidR="00F258B4" w:rsidRPr="00FA4D13" w:rsidRDefault="00F258B4" w:rsidP="00184876">
      <w:pPr>
        <w:pStyle w:val="NormalWeb"/>
        <w:spacing w:before="120" w:beforeAutospacing="0" w:after="120" w:afterAutospacing="0"/>
        <w:jc w:val="both"/>
        <w:rPr>
          <w:noProof/>
          <w:lang w:val="en-US"/>
        </w:rPr>
      </w:pPr>
      <w:r w:rsidRPr="005A520A">
        <w:rPr>
          <w:lang w:val="en-US"/>
        </w:rPr>
        <w:fldChar w:fldCharType="begin" w:fldLock="1"/>
      </w:r>
      <w:r w:rsidRPr="00184876">
        <w:instrText xml:space="preserve">ADDIN Mendeley Bibliography CSL_BIBLIOGRAPHY </w:instrText>
      </w:r>
      <w:r w:rsidRPr="005A520A">
        <w:rPr>
          <w:lang w:val="en-US"/>
        </w:rPr>
        <w:fldChar w:fldCharType="separate"/>
      </w:r>
      <w:r w:rsidRPr="00184876">
        <w:rPr>
          <w:noProof/>
        </w:rPr>
        <w:t>Carvalho, T. S., Domingues, E. P., &amp; Horridge, J. (2017)</w:t>
      </w:r>
      <w:r w:rsidR="007E2E74" w:rsidRPr="00184876">
        <w:rPr>
          <w:noProof/>
        </w:rPr>
        <w:t>.</w:t>
      </w:r>
      <w:r w:rsidRPr="00184876">
        <w:rPr>
          <w:noProof/>
        </w:rPr>
        <w:t xml:space="preserve"> </w:t>
      </w:r>
      <w:r w:rsidRPr="008963A8">
        <w:rPr>
          <w:noProof/>
          <w:lang w:val="en-US"/>
        </w:rPr>
        <w:t xml:space="preserve">Controlling deforestation in the Brazilian Amazon: Regional economic impacts and land-use change. </w:t>
      </w:r>
      <w:r w:rsidRPr="00FA4D13">
        <w:rPr>
          <w:i/>
          <w:noProof/>
          <w:lang w:val="en-US"/>
        </w:rPr>
        <w:t>Land Use Policy</w:t>
      </w:r>
      <w:r>
        <w:rPr>
          <w:i/>
          <w:noProof/>
          <w:lang w:val="en-US"/>
        </w:rPr>
        <w:t>,</w:t>
      </w:r>
      <w:r w:rsidRPr="00FA4D13">
        <w:rPr>
          <w:noProof/>
          <w:lang w:val="en-US"/>
        </w:rPr>
        <w:t xml:space="preserve"> 64: 327-341.</w:t>
      </w:r>
    </w:p>
    <w:p w14:paraId="143DA1A8" w14:textId="200A7CF0" w:rsidR="00F258B4" w:rsidRPr="00184876" w:rsidRDefault="00F258B4" w:rsidP="00184876">
      <w:pPr>
        <w:pStyle w:val="NormalWeb"/>
        <w:spacing w:before="120" w:beforeAutospacing="0" w:after="120" w:afterAutospacing="0"/>
        <w:jc w:val="both"/>
        <w:rPr>
          <w:noProof/>
          <w:lang w:val="en-US"/>
        </w:rPr>
      </w:pPr>
      <w:r w:rsidRPr="00C02B0B">
        <w:rPr>
          <w:noProof/>
          <w:lang w:val="en-US"/>
        </w:rPr>
        <w:t xml:space="preserve">Dall’erba, S., </w:t>
      </w:r>
      <w:r>
        <w:rPr>
          <w:noProof/>
          <w:lang w:val="en-US"/>
        </w:rPr>
        <w:t>&amp;</w:t>
      </w:r>
      <w:r w:rsidRPr="00C02B0B">
        <w:rPr>
          <w:noProof/>
          <w:lang w:val="en-US"/>
        </w:rPr>
        <w:t xml:space="preserve"> Le Gallo, J.,</w:t>
      </w:r>
      <w:r w:rsidRPr="00FA4D13">
        <w:rPr>
          <w:noProof/>
          <w:lang w:val="en-US"/>
        </w:rPr>
        <w:t xml:space="preserve"> </w:t>
      </w:r>
      <w:r>
        <w:rPr>
          <w:noProof/>
          <w:lang w:val="en-US"/>
        </w:rPr>
        <w:t>(2008)</w:t>
      </w:r>
      <w:r w:rsidR="007E2E74">
        <w:rPr>
          <w:noProof/>
          <w:lang w:val="en-US"/>
        </w:rPr>
        <w:t>.</w:t>
      </w:r>
      <w:r>
        <w:rPr>
          <w:noProof/>
          <w:lang w:val="en-US"/>
        </w:rPr>
        <w:t xml:space="preserve"> </w:t>
      </w:r>
      <w:r w:rsidRPr="00FA4D13">
        <w:rPr>
          <w:noProof/>
          <w:lang w:val="en-US"/>
        </w:rPr>
        <w:t>Regional convergence and the impact of European structural funds over 1989–1999: A spatial econometric analysis.</w:t>
      </w:r>
      <w:r w:rsidRPr="00FA4D13">
        <w:rPr>
          <w:b/>
          <w:noProof/>
          <w:lang w:val="en-US"/>
        </w:rPr>
        <w:t xml:space="preserve"> </w:t>
      </w:r>
      <w:r w:rsidRPr="00184876">
        <w:rPr>
          <w:i/>
          <w:noProof/>
          <w:lang w:val="en-US"/>
        </w:rPr>
        <w:t>Papers in Regional Science</w:t>
      </w:r>
      <w:r w:rsidRPr="00184876">
        <w:rPr>
          <w:noProof/>
          <w:lang w:val="en-US"/>
        </w:rPr>
        <w:t>,</w:t>
      </w:r>
      <w:r w:rsidRPr="00184876">
        <w:rPr>
          <w:b/>
          <w:noProof/>
          <w:lang w:val="en-US"/>
        </w:rPr>
        <w:t xml:space="preserve"> </w:t>
      </w:r>
      <w:r w:rsidRPr="00184876">
        <w:rPr>
          <w:noProof/>
          <w:lang w:val="en-US"/>
        </w:rPr>
        <w:t>Volume 87 Number 2 June.</w:t>
      </w:r>
    </w:p>
    <w:p w14:paraId="1B6F6C58" w14:textId="4D67BC95" w:rsidR="00F258B4" w:rsidRPr="00585D56" w:rsidRDefault="00F258B4" w:rsidP="00184876">
      <w:pPr>
        <w:pStyle w:val="NormalWeb"/>
        <w:spacing w:before="120" w:beforeAutospacing="0" w:after="120" w:afterAutospacing="0"/>
        <w:jc w:val="both"/>
        <w:rPr>
          <w:noProof/>
        </w:rPr>
      </w:pPr>
      <w:r w:rsidRPr="00184876">
        <w:rPr>
          <w:noProof/>
          <w:lang w:val="en-US"/>
        </w:rPr>
        <w:t>Diniz, C. C. (1993)</w:t>
      </w:r>
      <w:r w:rsidR="007E2E74" w:rsidRPr="00184876">
        <w:rPr>
          <w:noProof/>
          <w:lang w:val="en-US"/>
        </w:rPr>
        <w:t>.</w:t>
      </w:r>
      <w:r w:rsidRPr="00184876">
        <w:rPr>
          <w:noProof/>
          <w:lang w:val="en-US"/>
        </w:rPr>
        <w:t xml:space="preserve"> </w:t>
      </w:r>
      <w:r w:rsidRPr="00585D56">
        <w:rPr>
          <w:noProof/>
        </w:rPr>
        <w:t>Desenvolvimento poligonal no Brasil: Nem desconcentração nem contínua po</w:t>
      </w:r>
      <w:r>
        <w:rPr>
          <w:noProof/>
        </w:rPr>
        <w:t xml:space="preserve">larização. </w:t>
      </w:r>
      <w:r w:rsidRPr="00FA4D13">
        <w:rPr>
          <w:i/>
          <w:noProof/>
        </w:rPr>
        <w:t>Nova Economia</w:t>
      </w:r>
      <w:r>
        <w:rPr>
          <w:noProof/>
        </w:rPr>
        <w:t xml:space="preserve"> 31(1):</w:t>
      </w:r>
      <w:r w:rsidRPr="00585D56">
        <w:rPr>
          <w:noProof/>
        </w:rPr>
        <w:t xml:space="preserve"> 35–6</w:t>
      </w:r>
      <w:r>
        <w:rPr>
          <w:noProof/>
        </w:rPr>
        <w:t>4</w:t>
      </w:r>
      <w:r w:rsidRPr="00585D56">
        <w:rPr>
          <w:noProof/>
        </w:rPr>
        <w:t>.</w:t>
      </w:r>
    </w:p>
    <w:p w14:paraId="1C9C3C4B" w14:textId="1FBA7F37" w:rsidR="00F258B4" w:rsidRPr="00896BF1" w:rsidRDefault="00F258B4" w:rsidP="00184876">
      <w:pPr>
        <w:pStyle w:val="NormalWeb"/>
        <w:spacing w:before="120" w:beforeAutospacing="0" w:after="120" w:afterAutospacing="0"/>
        <w:jc w:val="both"/>
        <w:rPr>
          <w:noProof/>
          <w:lang w:val="en-US"/>
        </w:rPr>
      </w:pPr>
      <w:r>
        <w:rPr>
          <w:noProof/>
        </w:rPr>
        <w:t>Diniz</w:t>
      </w:r>
      <w:r w:rsidRPr="00585D56">
        <w:rPr>
          <w:noProof/>
        </w:rPr>
        <w:t>,</w:t>
      </w:r>
      <w:r>
        <w:rPr>
          <w:noProof/>
        </w:rPr>
        <w:t xml:space="preserve"> C. C.</w:t>
      </w:r>
      <w:r w:rsidRPr="00585D56">
        <w:rPr>
          <w:noProof/>
        </w:rPr>
        <w:t xml:space="preserve"> </w:t>
      </w:r>
      <w:r>
        <w:rPr>
          <w:noProof/>
        </w:rPr>
        <w:t>(2006)</w:t>
      </w:r>
      <w:r w:rsidR="007E2E74">
        <w:rPr>
          <w:noProof/>
        </w:rPr>
        <w:t>.</w:t>
      </w:r>
      <w:r>
        <w:rPr>
          <w:noProof/>
        </w:rPr>
        <w:t xml:space="preserve"> </w:t>
      </w:r>
      <w:r w:rsidRPr="00585D56">
        <w:rPr>
          <w:noProof/>
        </w:rPr>
        <w:t xml:space="preserve">A busca de um projeto de nação: o papel do território e das políticas regional e urbana. </w:t>
      </w:r>
      <w:r w:rsidRPr="00FA4D13">
        <w:rPr>
          <w:i/>
          <w:noProof/>
          <w:lang w:val="en-US"/>
        </w:rPr>
        <w:t>Revista Economia</w:t>
      </w:r>
      <w:r>
        <w:rPr>
          <w:noProof/>
          <w:lang w:val="en-US"/>
        </w:rPr>
        <w:t>,</w:t>
      </w:r>
      <w:r w:rsidRPr="00896BF1">
        <w:rPr>
          <w:noProof/>
          <w:lang w:val="en-US"/>
        </w:rPr>
        <w:t xml:space="preserve"> 7(4): 1–18.</w:t>
      </w:r>
    </w:p>
    <w:p w14:paraId="1793A74A" w14:textId="6048E135" w:rsidR="00F258B4" w:rsidRPr="00896BF1" w:rsidRDefault="00F258B4" w:rsidP="00184876">
      <w:pPr>
        <w:pStyle w:val="NormalWeb"/>
        <w:spacing w:before="120" w:beforeAutospacing="0" w:after="120" w:afterAutospacing="0"/>
        <w:jc w:val="both"/>
        <w:rPr>
          <w:noProof/>
          <w:lang w:val="en-US"/>
        </w:rPr>
      </w:pPr>
      <w:r>
        <w:rPr>
          <w:noProof/>
          <w:lang w:val="en-US"/>
        </w:rPr>
        <w:t>Dixon, P.,</w:t>
      </w:r>
      <w:r w:rsidRPr="008963A8">
        <w:rPr>
          <w:noProof/>
          <w:lang w:val="en-US"/>
        </w:rPr>
        <w:t xml:space="preserve"> </w:t>
      </w:r>
      <w:r>
        <w:rPr>
          <w:noProof/>
          <w:lang w:val="en-US"/>
        </w:rPr>
        <w:t xml:space="preserve">&amp; </w:t>
      </w:r>
      <w:r w:rsidRPr="008963A8">
        <w:rPr>
          <w:noProof/>
          <w:lang w:val="en-US"/>
        </w:rPr>
        <w:t>Rimmer, M.</w:t>
      </w:r>
      <w:r>
        <w:rPr>
          <w:noProof/>
          <w:lang w:val="en-US"/>
        </w:rPr>
        <w:t xml:space="preserve"> (2002)</w:t>
      </w:r>
      <w:r w:rsidR="007E2E74">
        <w:rPr>
          <w:noProof/>
          <w:lang w:val="en-US"/>
        </w:rPr>
        <w:t>.</w:t>
      </w:r>
      <w:r w:rsidRPr="008963A8">
        <w:rPr>
          <w:noProof/>
          <w:lang w:val="en-US"/>
        </w:rPr>
        <w:t xml:space="preserve"> </w:t>
      </w:r>
      <w:r w:rsidRPr="00FA4D13">
        <w:rPr>
          <w:i/>
          <w:noProof/>
          <w:lang w:val="en-US"/>
        </w:rPr>
        <w:t>Dynamic general equilibrium modelling for forecasting and policy</w:t>
      </w:r>
      <w:r w:rsidRPr="008963A8">
        <w:rPr>
          <w:noProof/>
          <w:lang w:val="en-US"/>
        </w:rPr>
        <w:t xml:space="preserve">. </w:t>
      </w:r>
      <w:r w:rsidRPr="00774223">
        <w:rPr>
          <w:noProof/>
          <w:lang w:val="en-US"/>
        </w:rPr>
        <w:t xml:space="preserve">A practical guide and documentation of MONASH. </w:t>
      </w:r>
      <w:r w:rsidRPr="00896BF1">
        <w:rPr>
          <w:noProof/>
          <w:lang w:val="en-US"/>
        </w:rPr>
        <w:t>Cayton: Emerald.</w:t>
      </w:r>
    </w:p>
    <w:p w14:paraId="34436886" w14:textId="225ECBCB" w:rsidR="00F258B4" w:rsidRPr="00FD3B12" w:rsidRDefault="007E2E74" w:rsidP="00184876">
      <w:pPr>
        <w:pStyle w:val="NormalWeb"/>
        <w:spacing w:before="120" w:beforeAutospacing="0" w:after="120" w:afterAutospacing="0"/>
        <w:jc w:val="both"/>
        <w:rPr>
          <w:noProof/>
          <w:lang w:val="en-US"/>
        </w:rPr>
      </w:pPr>
      <w:r w:rsidRPr="00184876">
        <w:rPr>
          <w:lang w:val="en-US"/>
        </w:rPr>
        <w:t>Galor, O. &amp; Zeira</w:t>
      </w:r>
      <w:r w:rsidR="00F258B4" w:rsidRPr="00184876">
        <w:rPr>
          <w:lang w:val="en-US"/>
        </w:rPr>
        <w:t xml:space="preserve">, J. </w:t>
      </w:r>
      <w:r w:rsidRPr="00184876">
        <w:rPr>
          <w:lang w:val="en-US"/>
        </w:rPr>
        <w:t xml:space="preserve">(1993). </w:t>
      </w:r>
      <w:r w:rsidR="00F258B4" w:rsidRPr="00184876">
        <w:rPr>
          <w:lang w:val="en-US"/>
        </w:rPr>
        <w:t xml:space="preserve">Income distribution and Macroeconomics. </w:t>
      </w:r>
      <w:r w:rsidR="00F258B4" w:rsidRPr="007E2E74">
        <w:rPr>
          <w:i/>
          <w:lang w:val="en-US"/>
        </w:rPr>
        <w:t>The Review of Economic Studies</w:t>
      </w:r>
      <w:r w:rsidR="00F258B4">
        <w:rPr>
          <w:lang w:val="en-US"/>
        </w:rPr>
        <w:t xml:space="preserve"> 60(</w:t>
      </w:r>
      <w:r w:rsidR="00F258B4" w:rsidRPr="00270FD2">
        <w:rPr>
          <w:lang w:val="en-US"/>
        </w:rPr>
        <w:t>1</w:t>
      </w:r>
      <w:r w:rsidR="00F258B4">
        <w:rPr>
          <w:lang w:val="en-US"/>
        </w:rPr>
        <w:t>):</w:t>
      </w:r>
      <w:r>
        <w:rPr>
          <w:lang w:val="en-US"/>
        </w:rPr>
        <w:t xml:space="preserve"> 35-52</w:t>
      </w:r>
      <w:r w:rsidR="00F258B4" w:rsidRPr="00270FD2">
        <w:rPr>
          <w:lang w:val="en-US"/>
        </w:rPr>
        <w:t>.</w:t>
      </w:r>
    </w:p>
    <w:p w14:paraId="190DB5D9" w14:textId="570CEB8A" w:rsidR="00F258B4" w:rsidRPr="005A520A" w:rsidRDefault="007E2E74" w:rsidP="00184876">
      <w:pPr>
        <w:pStyle w:val="NormalWeb"/>
        <w:spacing w:before="120" w:beforeAutospacing="0" w:after="120" w:afterAutospacing="0"/>
        <w:jc w:val="both"/>
        <w:rPr>
          <w:noProof/>
          <w:lang w:val="en-US"/>
        </w:rPr>
      </w:pPr>
      <w:r>
        <w:rPr>
          <w:noProof/>
          <w:lang w:val="en-US"/>
        </w:rPr>
        <w:t>Haddad</w:t>
      </w:r>
      <w:r w:rsidR="00F258B4">
        <w:rPr>
          <w:noProof/>
          <w:lang w:val="en-US"/>
        </w:rPr>
        <w:t>, E. A</w:t>
      </w:r>
      <w:r w:rsidR="00F258B4" w:rsidRPr="00585D56">
        <w:rPr>
          <w:noProof/>
          <w:lang w:val="en-US"/>
        </w:rPr>
        <w:t xml:space="preserve">. </w:t>
      </w:r>
      <w:r>
        <w:rPr>
          <w:noProof/>
          <w:lang w:val="en-US"/>
        </w:rPr>
        <w:t xml:space="preserve">(1999). </w:t>
      </w:r>
      <w:r w:rsidR="00F258B4" w:rsidRPr="007E2E74">
        <w:rPr>
          <w:i/>
          <w:noProof/>
          <w:lang w:val="en-US"/>
        </w:rPr>
        <w:t>Regional inequality and structural changes: lessons from the brazilian experience</w:t>
      </w:r>
      <w:r w:rsidR="00F258B4" w:rsidRPr="00585D56">
        <w:rPr>
          <w:noProof/>
          <w:lang w:val="en-US"/>
        </w:rPr>
        <w:t>. Aldershot: Ashangate.</w:t>
      </w:r>
    </w:p>
    <w:p w14:paraId="3E05FF27" w14:textId="53DDDD21" w:rsidR="00F258B4" w:rsidRPr="005A520A" w:rsidRDefault="007E2E74" w:rsidP="00184876">
      <w:pPr>
        <w:pStyle w:val="NormalWeb"/>
        <w:spacing w:before="120" w:beforeAutospacing="0" w:after="120" w:afterAutospacing="0"/>
        <w:jc w:val="both"/>
        <w:rPr>
          <w:noProof/>
          <w:lang w:val="en-US"/>
        </w:rPr>
      </w:pPr>
      <w:r w:rsidRPr="005A520A">
        <w:rPr>
          <w:noProof/>
          <w:lang w:val="en-US"/>
        </w:rPr>
        <w:t>Horridge</w:t>
      </w:r>
      <w:r w:rsidR="00F258B4" w:rsidRPr="005A520A">
        <w:rPr>
          <w:noProof/>
          <w:lang w:val="en-US"/>
        </w:rPr>
        <w:t xml:space="preserve">, J. M. </w:t>
      </w:r>
      <w:r>
        <w:rPr>
          <w:noProof/>
          <w:lang w:val="en-US"/>
        </w:rPr>
        <w:t xml:space="preserve">(2012). </w:t>
      </w:r>
      <w:r w:rsidR="00F258B4" w:rsidRPr="005A520A">
        <w:rPr>
          <w:noProof/>
          <w:lang w:val="en-US"/>
        </w:rPr>
        <w:t xml:space="preserve">The TERM model and its database. In: </w:t>
      </w:r>
      <w:r w:rsidRPr="005A520A">
        <w:rPr>
          <w:noProof/>
          <w:lang w:val="en-US"/>
        </w:rPr>
        <w:t>Wittwer</w:t>
      </w:r>
      <w:r w:rsidR="00F258B4" w:rsidRPr="005A520A">
        <w:rPr>
          <w:noProof/>
          <w:lang w:val="en-US"/>
        </w:rPr>
        <w:t xml:space="preserve">, G. (Ed.). </w:t>
      </w:r>
      <w:r w:rsidR="00F258B4" w:rsidRPr="007E2E74">
        <w:rPr>
          <w:bCs/>
          <w:i/>
          <w:noProof/>
          <w:lang w:val="en-US"/>
        </w:rPr>
        <w:t>Economic Modeling of Water</w:t>
      </w:r>
      <w:r>
        <w:rPr>
          <w:noProof/>
          <w:lang w:val="en-US"/>
        </w:rPr>
        <w:t>. London: Springer</w:t>
      </w:r>
      <w:r w:rsidR="00F258B4" w:rsidRPr="005A520A">
        <w:rPr>
          <w:noProof/>
          <w:lang w:val="en-US"/>
        </w:rPr>
        <w:t xml:space="preserve">. </w:t>
      </w:r>
    </w:p>
    <w:p w14:paraId="071A534A" w14:textId="4D78C6CF" w:rsidR="00F258B4" w:rsidRPr="005A520A" w:rsidRDefault="007E2E74" w:rsidP="00184876">
      <w:pPr>
        <w:pStyle w:val="NormalWeb"/>
        <w:spacing w:before="120" w:beforeAutospacing="0" w:after="120" w:afterAutospacing="0"/>
        <w:jc w:val="both"/>
        <w:rPr>
          <w:noProof/>
          <w:lang w:val="en-US"/>
        </w:rPr>
      </w:pPr>
      <w:r>
        <w:rPr>
          <w:noProof/>
          <w:lang w:val="en-US"/>
        </w:rPr>
        <w:t>Horridge, J. M., Madden, J. R.,</w:t>
      </w:r>
      <w:r w:rsidRPr="005A520A">
        <w:rPr>
          <w:noProof/>
          <w:lang w:val="en-US"/>
        </w:rPr>
        <w:t xml:space="preserve"> </w:t>
      </w:r>
      <w:r>
        <w:rPr>
          <w:noProof/>
          <w:lang w:val="en-US"/>
        </w:rPr>
        <w:t xml:space="preserve">&amp; </w:t>
      </w:r>
      <w:r w:rsidRPr="005A520A">
        <w:rPr>
          <w:noProof/>
          <w:lang w:val="en-US"/>
        </w:rPr>
        <w:t>Wittwer, G</w:t>
      </w:r>
      <w:r w:rsidR="00F258B4" w:rsidRPr="005A520A">
        <w:rPr>
          <w:noProof/>
          <w:lang w:val="en-US"/>
        </w:rPr>
        <w:t xml:space="preserve">. </w:t>
      </w:r>
      <w:r>
        <w:rPr>
          <w:noProof/>
          <w:lang w:val="en-US"/>
        </w:rPr>
        <w:t xml:space="preserve">(2005). </w:t>
      </w:r>
      <w:r w:rsidR="00F258B4" w:rsidRPr="005A520A">
        <w:rPr>
          <w:noProof/>
          <w:lang w:val="en-US"/>
        </w:rPr>
        <w:t xml:space="preserve">The impact of the 2002-03 drought on Australia. </w:t>
      </w:r>
      <w:r w:rsidR="00F258B4" w:rsidRPr="007E2E74">
        <w:rPr>
          <w:bCs/>
          <w:i/>
          <w:noProof/>
          <w:lang w:val="en-US"/>
        </w:rPr>
        <w:t>Journal of Policy Modeling</w:t>
      </w:r>
      <w:r>
        <w:rPr>
          <w:noProof/>
          <w:lang w:val="en-US"/>
        </w:rPr>
        <w:t>, v. 27, n. 3, p. 285–308</w:t>
      </w:r>
      <w:r w:rsidR="00F258B4" w:rsidRPr="005A520A">
        <w:rPr>
          <w:noProof/>
          <w:lang w:val="en-US"/>
        </w:rPr>
        <w:t xml:space="preserve">. </w:t>
      </w:r>
    </w:p>
    <w:p w14:paraId="17F9E260" w14:textId="0B2CDF0D" w:rsidR="00F258B4" w:rsidRDefault="007E2E74" w:rsidP="00184876">
      <w:pPr>
        <w:pStyle w:val="NormalWeb"/>
        <w:spacing w:before="120" w:beforeAutospacing="0" w:after="120" w:afterAutospacing="0"/>
        <w:jc w:val="both"/>
        <w:rPr>
          <w:noProof/>
          <w:lang w:val="en-US"/>
        </w:rPr>
      </w:pPr>
      <w:r w:rsidRPr="005A520A">
        <w:rPr>
          <w:noProof/>
          <w:lang w:val="en-US"/>
        </w:rPr>
        <w:t>Johansen</w:t>
      </w:r>
      <w:r w:rsidR="00F258B4" w:rsidRPr="005A520A">
        <w:rPr>
          <w:noProof/>
          <w:lang w:val="en-US"/>
        </w:rPr>
        <w:t xml:space="preserve">, L. </w:t>
      </w:r>
      <w:r>
        <w:rPr>
          <w:noProof/>
          <w:lang w:val="en-US"/>
        </w:rPr>
        <w:t xml:space="preserve">(1960). </w:t>
      </w:r>
      <w:r w:rsidR="00F258B4" w:rsidRPr="007E2E74">
        <w:rPr>
          <w:bCs/>
          <w:i/>
          <w:noProof/>
          <w:lang w:val="en-US"/>
        </w:rPr>
        <w:t>A multisectoral model of economic growth</w:t>
      </w:r>
      <w:r w:rsidR="00F258B4" w:rsidRPr="005A520A">
        <w:rPr>
          <w:noProof/>
          <w:lang w:val="en-US"/>
        </w:rPr>
        <w:t>.</w:t>
      </w:r>
      <w:r>
        <w:rPr>
          <w:noProof/>
          <w:lang w:val="en-US"/>
        </w:rPr>
        <w:t xml:space="preserve"> Amsterdan: North Holland Press</w:t>
      </w:r>
      <w:r w:rsidR="00F258B4" w:rsidRPr="005A520A">
        <w:rPr>
          <w:noProof/>
          <w:lang w:val="en-US"/>
        </w:rPr>
        <w:t xml:space="preserve">. </w:t>
      </w:r>
    </w:p>
    <w:p w14:paraId="686E41F5" w14:textId="0F57A961" w:rsidR="00F258B4" w:rsidRPr="005A520A" w:rsidRDefault="007E2E74" w:rsidP="00184876">
      <w:pPr>
        <w:pStyle w:val="NormalWeb"/>
        <w:spacing w:before="120" w:beforeAutospacing="0" w:after="120" w:afterAutospacing="0"/>
        <w:jc w:val="both"/>
        <w:rPr>
          <w:noProof/>
          <w:lang w:val="en-US"/>
        </w:rPr>
      </w:pPr>
      <w:r>
        <w:rPr>
          <w:noProof/>
          <w:lang w:val="en-US"/>
        </w:rPr>
        <w:t>Lolos, S. E. G. (2009).</w:t>
      </w:r>
      <w:r w:rsidR="00F258B4">
        <w:rPr>
          <w:noProof/>
          <w:lang w:val="en-US"/>
        </w:rPr>
        <w:t xml:space="preserve"> </w:t>
      </w:r>
      <w:r w:rsidR="00F258B4" w:rsidRPr="00DE6719">
        <w:rPr>
          <w:noProof/>
          <w:lang w:val="en-US"/>
        </w:rPr>
        <w:t xml:space="preserve">The effect of EU structural funds on regional growth: Assessing the </w:t>
      </w:r>
      <w:r w:rsidR="00F258B4">
        <w:rPr>
          <w:noProof/>
          <w:lang w:val="en-US"/>
        </w:rPr>
        <w:t>evidence from Greece, 1990–2005</w:t>
      </w:r>
      <w:r w:rsidR="00F258B4" w:rsidRPr="00DE6719">
        <w:rPr>
          <w:noProof/>
          <w:lang w:val="en-US"/>
        </w:rPr>
        <w:t xml:space="preserve">. </w:t>
      </w:r>
      <w:r w:rsidR="00F258B4" w:rsidRPr="007E2E74">
        <w:rPr>
          <w:i/>
          <w:noProof/>
          <w:lang w:val="en-US"/>
        </w:rPr>
        <w:t>Economic Change and Restructuring</w:t>
      </w:r>
      <w:r>
        <w:rPr>
          <w:noProof/>
          <w:lang w:val="en-US"/>
        </w:rPr>
        <w:t xml:space="preserve"> 42(3): 211–228</w:t>
      </w:r>
      <w:r w:rsidR="00F258B4" w:rsidRPr="00DE6719">
        <w:rPr>
          <w:noProof/>
          <w:lang w:val="en-US"/>
        </w:rPr>
        <w:t>.</w:t>
      </w:r>
    </w:p>
    <w:p w14:paraId="3DD429D8" w14:textId="1D2EF0B0" w:rsidR="00F258B4" w:rsidRPr="00184876" w:rsidRDefault="007E2E74" w:rsidP="00184876">
      <w:pPr>
        <w:pStyle w:val="NormalWeb"/>
        <w:spacing w:before="120" w:beforeAutospacing="0" w:after="120" w:afterAutospacing="0"/>
        <w:jc w:val="both"/>
      </w:pPr>
      <w:r w:rsidRPr="00184876">
        <w:rPr>
          <w:lang w:val="en-US"/>
        </w:rPr>
        <w:t>Nascimento, T. O., &amp; Haddad,</w:t>
      </w:r>
      <w:r w:rsidR="00F258B4" w:rsidRPr="00184876">
        <w:rPr>
          <w:lang w:val="en-US"/>
        </w:rPr>
        <w:t xml:space="preserve"> E. A. </w:t>
      </w:r>
      <w:r w:rsidRPr="00184876">
        <w:rPr>
          <w:lang w:val="en-US"/>
        </w:rPr>
        <w:t xml:space="preserve">(2017). </w:t>
      </w:r>
      <w:r w:rsidR="00F258B4" w:rsidRPr="007E2E74">
        <w:t>Análise do Fundo Constitucional de Financiamento do Nordeste:</w:t>
      </w:r>
      <w:r w:rsidR="00F258B4">
        <w:t xml:space="preserve"> Uma Aplicação de Equilíbrio Geral Computável. </w:t>
      </w:r>
      <w:r w:rsidR="00F258B4" w:rsidRPr="00184876">
        <w:t xml:space="preserve">In: </w:t>
      </w:r>
      <w:r w:rsidR="00F258B4" w:rsidRPr="00184876">
        <w:rPr>
          <w:i/>
        </w:rPr>
        <w:t>45º Encontro Nacional de Economia</w:t>
      </w:r>
      <w:r w:rsidR="00F258B4" w:rsidRPr="00184876">
        <w:t xml:space="preserve">. </w:t>
      </w:r>
    </w:p>
    <w:p w14:paraId="0F561D03" w14:textId="49911389" w:rsidR="00F258B4" w:rsidRDefault="007E2E74" w:rsidP="00184876">
      <w:pPr>
        <w:pStyle w:val="NormalWeb"/>
        <w:spacing w:before="120" w:beforeAutospacing="0" w:after="120" w:afterAutospacing="0"/>
        <w:jc w:val="both"/>
        <w:rPr>
          <w:noProof/>
        </w:rPr>
      </w:pPr>
      <w:r>
        <w:rPr>
          <w:noProof/>
        </w:rPr>
        <w:t>Oliveira, H. C., &amp; Domingues,</w:t>
      </w:r>
      <w:r w:rsidR="00F258B4">
        <w:rPr>
          <w:noProof/>
        </w:rPr>
        <w:t xml:space="preserve"> E. P. </w:t>
      </w:r>
      <w:r>
        <w:rPr>
          <w:noProof/>
        </w:rPr>
        <w:t>(2005)</w:t>
      </w:r>
      <w:r w:rsidR="00F258B4">
        <w:rPr>
          <w:noProof/>
        </w:rPr>
        <w:t xml:space="preserve">. Desigualdades regionais e os Fundos Constitucionais de Financiamento do Norte e do Centro-Oeste. In: José Raimundo Carvalho; Klauss Hermanns.. (Org.). </w:t>
      </w:r>
      <w:r w:rsidR="00F258B4" w:rsidRPr="007E2E74">
        <w:rPr>
          <w:i/>
          <w:noProof/>
        </w:rPr>
        <w:t>Políticas Públicas e Desenvolvimento Regional</w:t>
      </w:r>
      <w:r w:rsidR="00F258B4">
        <w:rPr>
          <w:noProof/>
        </w:rPr>
        <w:t>. Coletânea CAEN / Konra</w:t>
      </w:r>
      <w:r>
        <w:rPr>
          <w:noProof/>
        </w:rPr>
        <w:t>d Adenauer. Fortaleza.</w:t>
      </w:r>
    </w:p>
    <w:p w14:paraId="75A3B1E3" w14:textId="63ABD5EF" w:rsidR="00F258B4" w:rsidRPr="00184876" w:rsidRDefault="00F258B4" w:rsidP="00184876">
      <w:pPr>
        <w:spacing w:before="120" w:after="120" w:line="240" w:lineRule="auto"/>
        <w:jc w:val="both"/>
        <w:rPr>
          <w:rFonts w:cs="Times New Roman"/>
        </w:rPr>
      </w:pPr>
      <w:r w:rsidRPr="005A520A">
        <w:rPr>
          <w:rFonts w:cs="Times New Roman"/>
          <w:lang w:val="en-US"/>
        </w:rPr>
        <w:lastRenderedPageBreak/>
        <w:fldChar w:fldCharType="end"/>
      </w:r>
      <w:r w:rsidR="007E2E74" w:rsidRPr="005A520A">
        <w:rPr>
          <w:rFonts w:cs="Times New Roman"/>
        </w:rPr>
        <w:t>Resende</w:t>
      </w:r>
      <w:r w:rsidRPr="005A520A">
        <w:rPr>
          <w:rFonts w:cs="Times New Roman"/>
        </w:rPr>
        <w:t xml:space="preserve">, G. M. </w:t>
      </w:r>
      <w:r w:rsidR="007E2E74">
        <w:rPr>
          <w:rFonts w:cs="Times New Roman"/>
        </w:rPr>
        <w:t xml:space="preserve">(2014). </w:t>
      </w:r>
      <w:r w:rsidRPr="007E2E74">
        <w:rPr>
          <w:rFonts w:cs="Times New Roman"/>
        </w:rPr>
        <w:t>Avaliação dos impactos econômicos do Fundo Constitucional de Financiamento do Nordeste entre 2004 e 2010</w:t>
      </w:r>
      <w:r w:rsidRPr="005A520A">
        <w:rPr>
          <w:rFonts w:cs="Times New Roman"/>
        </w:rPr>
        <w:t xml:space="preserve">. </w:t>
      </w:r>
      <w:r w:rsidRPr="00184876">
        <w:rPr>
          <w:rFonts w:cs="Times New Roman"/>
          <w:i/>
        </w:rPr>
        <w:t>Texto para Discussão IPEA</w:t>
      </w:r>
      <w:r w:rsidRPr="00184876">
        <w:rPr>
          <w:rFonts w:cs="Times New Roman"/>
        </w:rPr>
        <w:t>, n</w:t>
      </w:r>
      <w:r w:rsidR="007E2E74" w:rsidRPr="00184876">
        <w:rPr>
          <w:rFonts w:cs="Times New Roman"/>
        </w:rPr>
        <w:t>. 1918</w:t>
      </w:r>
      <w:r w:rsidRPr="00184876">
        <w:rPr>
          <w:rFonts w:cs="Times New Roman"/>
        </w:rPr>
        <w:t>.</w:t>
      </w:r>
    </w:p>
    <w:p w14:paraId="23EC3B57" w14:textId="5F99D655" w:rsidR="00F258B4" w:rsidRPr="003E0FBE" w:rsidRDefault="007E2E74" w:rsidP="00184876">
      <w:pPr>
        <w:spacing w:before="120" w:after="120" w:line="240" w:lineRule="auto"/>
        <w:jc w:val="both"/>
        <w:rPr>
          <w:rFonts w:cs="Times New Roman"/>
          <w:bCs/>
          <w:szCs w:val="24"/>
          <w:lang w:val="en-US"/>
        </w:rPr>
      </w:pPr>
      <w:r w:rsidRPr="00184876">
        <w:rPr>
          <w:rFonts w:cs="Times New Roman"/>
          <w:bCs/>
          <w:szCs w:val="24"/>
        </w:rPr>
        <w:t xml:space="preserve">Ribeiro, L. C. S., Domingues, E. P., </w:t>
      </w:r>
      <w:proofErr w:type="spellStart"/>
      <w:r w:rsidRPr="00184876">
        <w:rPr>
          <w:rFonts w:cs="Times New Roman"/>
          <w:bCs/>
          <w:szCs w:val="24"/>
        </w:rPr>
        <w:t>Perobelli</w:t>
      </w:r>
      <w:proofErr w:type="spellEnd"/>
      <w:r w:rsidRPr="00184876">
        <w:rPr>
          <w:rFonts w:cs="Times New Roman"/>
          <w:bCs/>
          <w:szCs w:val="24"/>
        </w:rPr>
        <w:t xml:space="preserve">, F. S., </w:t>
      </w:r>
      <w:r w:rsidR="00A56657" w:rsidRPr="00184876">
        <w:rPr>
          <w:rFonts w:cs="Times New Roman"/>
          <w:bCs/>
          <w:szCs w:val="24"/>
        </w:rPr>
        <w:t xml:space="preserve">&amp; </w:t>
      </w:r>
      <w:proofErr w:type="spellStart"/>
      <w:r w:rsidRPr="00184876">
        <w:rPr>
          <w:rFonts w:cs="Times New Roman"/>
          <w:bCs/>
          <w:szCs w:val="24"/>
        </w:rPr>
        <w:t>Hewings</w:t>
      </w:r>
      <w:proofErr w:type="spellEnd"/>
      <w:r w:rsidRPr="00184876">
        <w:rPr>
          <w:rFonts w:cs="Times New Roman"/>
          <w:bCs/>
          <w:szCs w:val="24"/>
        </w:rPr>
        <w:t xml:space="preserve">, G. J. </w:t>
      </w:r>
      <w:proofErr w:type="gramStart"/>
      <w:r w:rsidRPr="00184876">
        <w:rPr>
          <w:rFonts w:cs="Times New Roman"/>
          <w:bCs/>
          <w:szCs w:val="24"/>
        </w:rPr>
        <w:t>D</w:t>
      </w:r>
      <w:r w:rsidR="00F258B4" w:rsidRPr="00184876">
        <w:rPr>
          <w:rFonts w:cs="Times New Roman"/>
          <w:bCs/>
          <w:szCs w:val="24"/>
        </w:rPr>
        <w:t>.</w:t>
      </w:r>
      <w:proofErr w:type="gramEnd"/>
      <w:r w:rsidR="00F258B4" w:rsidRPr="00184876">
        <w:rPr>
          <w:rFonts w:cs="Times New Roman"/>
          <w:bCs/>
          <w:szCs w:val="24"/>
        </w:rPr>
        <w:t xml:space="preserve"> </w:t>
      </w:r>
      <w:r w:rsidR="00A56657" w:rsidRPr="00184876">
        <w:rPr>
          <w:rFonts w:cs="Times New Roman"/>
          <w:bCs/>
          <w:szCs w:val="24"/>
        </w:rPr>
        <w:t xml:space="preserve">(2018). </w:t>
      </w:r>
      <w:proofErr w:type="gramStart"/>
      <w:r w:rsidR="00F258B4" w:rsidRPr="00EA137D">
        <w:rPr>
          <w:rFonts w:cs="Times New Roman"/>
          <w:bCs/>
          <w:szCs w:val="24"/>
          <w:lang w:val="en-US"/>
        </w:rPr>
        <w:t>Structuring investment and regional inequalities in the Brazilian Northeast.</w:t>
      </w:r>
      <w:proofErr w:type="gramEnd"/>
      <w:r w:rsidR="00F258B4" w:rsidRPr="00EA137D">
        <w:rPr>
          <w:rFonts w:cs="Times New Roman"/>
          <w:bCs/>
          <w:szCs w:val="24"/>
          <w:lang w:val="en-US"/>
        </w:rPr>
        <w:t xml:space="preserve"> </w:t>
      </w:r>
      <w:r w:rsidR="00F258B4" w:rsidRPr="00A56657">
        <w:rPr>
          <w:rFonts w:cs="Times New Roman"/>
          <w:bCs/>
          <w:i/>
          <w:szCs w:val="24"/>
          <w:lang w:val="en-US"/>
        </w:rPr>
        <w:t>Regional Studies</w:t>
      </w:r>
      <w:r w:rsidR="00F258B4" w:rsidRPr="003E0FBE">
        <w:rPr>
          <w:rFonts w:cs="Times New Roman"/>
          <w:bCs/>
          <w:szCs w:val="24"/>
          <w:lang w:val="en-US"/>
        </w:rPr>
        <w:t xml:space="preserve"> 52(5): </w:t>
      </w:r>
      <w:r w:rsidR="00A56657">
        <w:rPr>
          <w:rFonts w:cs="Times New Roman"/>
          <w:bCs/>
          <w:szCs w:val="24"/>
          <w:lang w:val="en-US"/>
        </w:rPr>
        <w:t>727-739</w:t>
      </w:r>
      <w:r w:rsidR="00F258B4" w:rsidRPr="003E0FBE">
        <w:rPr>
          <w:rFonts w:cs="Times New Roman"/>
          <w:bCs/>
          <w:szCs w:val="24"/>
          <w:lang w:val="en-US"/>
        </w:rPr>
        <w:t>.</w:t>
      </w:r>
    </w:p>
    <w:p w14:paraId="38AD4568" w14:textId="07206B8D" w:rsidR="00F258B4" w:rsidRPr="00184876" w:rsidRDefault="00A56657" w:rsidP="00184876">
      <w:pPr>
        <w:spacing w:before="120" w:after="120" w:line="240" w:lineRule="auto"/>
        <w:jc w:val="both"/>
        <w:rPr>
          <w:rFonts w:cs="Times New Roman"/>
          <w:lang w:val="en-US"/>
        </w:rPr>
      </w:pPr>
      <w:r w:rsidRPr="00184876">
        <w:rPr>
          <w:rFonts w:cs="Times New Roman"/>
          <w:bCs/>
          <w:szCs w:val="24"/>
        </w:rPr>
        <w:t xml:space="preserve">Ribeiro, L. C. S., Silva, E. O. V., Andrade, J. R. L., &amp; Souza, K. B. (2017). </w:t>
      </w:r>
      <w:proofErr w:type="gramStart"/>
      <w:r w:rsidR="00F258B4" w:rsidRPr="00DD472E">
        <w:rPr>
          <w:rFonts w:cs="Times New Roman"/>
          <w:bCs/>
          <w:szCs w:val="24"/>
          <w:lang w:val="en-US"/>
        </w:rPr>
        <w:t>Tourism and regional development in the Brazilian Northeast.</w:t>
      </w:r>
      <w:proofErr w:type="gramEnd"/>
      <w:r w:rsidR="00F258B4" w:rsidRPr="00DD472E">
        <w:rPr>
          <w:rFonts w:cs="Times New Roman"/>
          <w:bCs/>
          <w:szCs w:val="24"/>
          <w:lang w:val="en-US"/>
        </w:rPr>
        <w:t xml:space="preserve"> </w:t>
      </w:r>
      <w:r w:rsidR="00F258B4" w:rsidRPr="00184876">
        <w:rPr>
          <w:rFonts w:cs="Times New Roman"/>
          <w:bCs/>
          <w:i/>
          <w:szCs w:val="24"/>
          <w:lang w:val="en-US"/>
        </w:rPr>
        <w:t>Tourism Economics</w:t>
      </w:r>
      <w:r w:rsidR="00F258B4" w:rsidRPr="00184876">
        <w:rPr>
          <w:rFonts w:cs="Times New Roman"/>
          <w:bCs/>
          <w:szCs w:val="24"/>
          <w:lang w:val="en-US"/>
        </w:rPr>
        <w:t xml:space="preserve"> 23(3): 717-727</w:t>
      </w:r>
      <w:r w:rsidR="00F258B4" w:rsidRPr="00184876">
        <w:rPr>
          <w:rFonts w:cs="Times New Roman"/>
          <w:szCs w:val="24"/>
          <w:lang w:val="en-US"/>
        </w:rPr>
        <w:t>.</w:t>
      </w:r>
    </w:p>
    <w:p w14:paraId="6A4C8796" w14:textId="58F94E70" w:rsidR="00F258B4" w:rsidRPr="00184876" w:rsidRDefault="00A56657" w:rsidP="00184876">
      <w:pPr>
        <w:spacing w:before="120" w:after="120" w:line="240" w:lineRule="auto"/>
        <w:jc w:val="both"/>
        <w:rPr>
          <w:rFonts w:cs="Times New Roman"/>
        </w:rPr>
      </w:pPr>
      <w:r w:rsidRPr="005A520A">
        <w:rPr>
          <w:rFonts w:cs="Times New Roman"/>
        </w:rPr>
        <w:t xml:space="preserve">Rodrigues, M. T., </w:t>
      </w:r>
      <w:r>
        <w:rPr>
          <w:rFonts w:cs="Times New Roman"/>
        </w:rPr>
        <w:t xml:space="preserve">&amp; </w:t>
      </w:r>
      <w:proofErr w:type="spellStart"/>
      <w:r w:rsidRPr="005A520A">
        <w:rPr>
          <w:rFonts w:cs="Times New Roman"/>
        </w:rPr>
        <w:t>Guilhoto</w:t>
      </w:r>
      <w:proofErr w:type="spellEnd"/>
      <w:r w:rsidR="00F258B4" w:rsidRPr="005A520A">
        <w:rPr>
          <w:rFonts w:cs="Times New Roman"/>
        </w:rPr>
        <w:t>, J. J. M.</w:t>
      </w:r>
      <w:r>
        <w:rPr>
          <w:rFonts w:cs="Times New Roman"/>
        </w:rPr>
        <w:t xml:space="preserve"> (1998).</w:t>
      </w:r>
      <w:r w:rsidR="00F258B4" w:rsidRPr="005A520A">
        <w:rPr>
          <w:rFonts w:cs="Times New Roman"/>
        </w:rPr>
        <w:t xml:space="preserve"> Eficiência </w:t>
      </w:r>
      <w:proofErr w:type="spellStart"/>
      <w:r w:rsidR="00F258B4" w:rsidRPr="005A520A">
        <w:rPr>
          <w:rFonts w:cs="Times New Roman"/>
        </w:rPr>
        <w:t>alocativa</w:t>
      </w:r>
      <w:proofErr w:type="spellEnd"/>
      <w:r w:rsidR="00F258B4" w:rsidRPr="005A520A">
        <w:rPr>
          <w:rFonts w:cs="Times New Roman"/>
        </w:rPr>
        <w:t xml:space="preserve"> do Fundo Constitucional de Financiamento do Nordeste (FNE) - uma visão de insumo produto. </w:t>
      </w:r>
      <w:r w:rsidR="00F258B4" w:rsidRPr="00184876">
        <w:rPr>
          <w:rFonts w:cs="Times New Roman"/>
          <w:i/>
        </w:rPr>
        <w:t>Revista Econômica do Nordeste,</w:t>
      </w:r>
      <w:r w:rsidR="00F258B4" w:rsidRPr="00184876">
        <w:rPr>
          <w:rFonts w:cs="Times New Roman"/>
        </w:rPr>
        <w:t xml:space="preserve"> Fortaleza 29(3):</w:t>
      </w:r>
      <w:r w:rsidRPr="00184876">
        <w:rPr>
          <w:rFonts w:cs="Times New Roman"/>
        </w:rPr>
        <w:t xml:space="preserve"> 319-348</w:t>
      </w:r>
      <w:r w:rsidR="00F258B4" w:rsidRPr="00184876">
        <w:rPr>
          <w:rFonts w:cs="Times New Roman"/>
        </w:rPr>
        <w:t>.</w:t>
      </w:r>
    </w:p>
    <w:p w14:paraId="14FA7969" w14:textId="2F390994" w:rsidR="00F258B4" w:rsidRPr="00184876" w:rsidRDefault="00A56657" w:rsidP="00184876">
      <w:pPr>
        <w:spacing w:before="120" w:after="120" w:line="240" w:lineRule="auto"/>
        <w:jc w:val="both"/>
        <w:rPr>
          <w:rFonts w:cs="Times New Roman"/>
          <w:lang w:val="en-US"/>
        </w:rPr>
      </w:pPr>
      <w:r w:rsidRPr="00184876">
        <w:rPr>
          <w:rFonts w:cs="Times New Roman"/>
        </w:rPr>
        <w:t xml:space="preserve">Rodríguez-Pose, A., &amp; </w:t>
      </w:r>
      <w:proofErr w:type="spellStart"/>
      <w:r w:rsidRPr="00184876">
        <w:rPr>
          <w:rFonts w:cs="Times New Roman"/>
        </w:rPr>
        <w:t>Fratesi</w:t>
      </w:r>
      <w:proofErr w:type="spellEnd"/>
      <w:r w:rsidRPr="00184876">
        <w:rPr>
          <w:rFonts w:cs="Times New Roman"/>
        </w:rPr>
        <w:t>, U. (2004).</w:t>
      </w:r>
      <w:r w:rsidR="00F258B4" w:rsidRPr="00184876">
        <w:rPr>
          <w:rFonts w:cs="Times New Roman"/>
        </w:rPr>
        <w:t xml:space="preserve"> </w:t>
      </w:r>
      <w:r w:rsidR="00F258B4" w:rsidRPr="00DE6719">
        <w:rPr>
          <w:rFonts w:cs="Times New Roman"/>
          <w:lang w:val="en-US"/>
        </w:rPr>
        <w:t>Between Development and Social Policies: The Impact of European Structur</w:t>
      </w:r>
      <w:r w:rsidR="00F258B4">
        <w:rPr>
          <w:rFonts w:cs="Times New Roman"/>
          <w:lang w:val="en-US"/>
        </w:rPr>
        <w:t>al Funds in Objective 1 Regions</w:t>
      </w:r>
      <w:r w:rsidR="00F258B4" w:rsidRPr="00DE6719">
        <w:rPr>
          <w:rFonts w:cs="Times New Roman"/>
          <w:lang w:val="en-US"/>
        </w:rPr>
        <w:t xml:space="preserve">, </w:t>
      </w:r>
      <w:r w:rsidR="00F258B4" w:rsidRPr="00A56657">
        <w:rPr>
          <w:rFonts w:cs="Times New Roman"/>
          <w:i/>
          <w:lang w:val="en-US"/>
        </w:rPr>
        <w:t>Regional Studies</w:t>
      </w:r>
      <w:r>
        <w:rPr>
          <w:rFonts w:cs="Times New Roman"/>
          <w:lang w:val="en-US"/>
        </w:rPr>
        <w:t xml:space="preserve"> </w:t>
      </w:r>
      <w:r w:rsidRPr="00184876">
        <w:rPr>
          <w:rFonts w:cs="Times New Roman"/>
          <w:lang w:val="en-US"/>
        </w:rPr>
        <w:t>38(1): 97–113</w:t>
      </w:r>
      <w:r w:rsidR="00F258B4" w:rsidRPr="00184876">
        <w:rPr>
          <w:rFonts w:cs="Times New Roman"/>
          <w:lang w:val="en-US"/>
        </w:rPr>
        <w:t>.</w:t>
      </w:r>
    </w:p>
    <w:p w14:paraId="6810648B" w14:textId="5FAAD5B6" w:rsidR="00F258B4" w:rsidRPr="00184876" w:rsidRDefault="00A56657" w:rsidP="00184876">
      <w:pPr>
        <w:spacing w:before="120" w:after="120" w:line="240" w:lineRule="auto"/>
        <w:jc w:val="both"/>
        <w:rPr>
          <w:rFonts w:cs="Times New Roman"/>
          <w:lang w:val="en-US"/>
        </w:rPr>
      </w:pPr>
      <w:r w:rsidRPr="0084401B">
        <w:rPr>
          <w:rFonts w:cs="Times New Roman"/>
        </w:rPr>
        <w:t>Senado Federal</w:t>
      </w:r>
      <w:r w:rsidR="00F258B4" w:rsidRPr="0084401B">
        <w:rPr>
          <w:rFonts w:cs="Times New Roman"/>
        </w:rPr>
        <w:t xml:space="preserve">. </w:t>
      </w:r>
      <w:r w:rsidR="00F258B4" w:rsidRPr="00A56657">
        <w:rPr>
          <w:rFonts w:cs="Times New Roman"/>
          <w:i/>
        </w:rPr>
        <w:t>Emenda Constitucional nº 95 de 15/12/2016</w:t>
      </w:r>
      <w:r w:rsidR="00F258B4" w:rsidRPr="008963A8">
        <w:rPr>
          <w:rFonts w:cs="Times New Roman"/>
        </w:rPr>
        <w:t>.</w:t>
      </w:r>
      <w:r w:rsidR="00F258B4" w:rsidRPr="00510C8F">
        <w:rPr>
          <w:rFonts w:cs="Times New Roman"/>
        </w:rPr>
        <w:t xml:space="preserve"> </w:t>
      </w:r>
      <w:r w:rsidR="000328BF" w:rsidRPr="00184876">
        <w:rPr>
          <w:rFonts w:cs="Times New Roman"/>
          <w:lang w:val="en-US"/>
        </w:rPr>
        <w:t xml:space="preserve">(2016). </w:t>
      </w:r>
      <w:r w:rsidR="00F258B4" w:rsidRPr="00184876">
        <w:rPr>
          <w:rFonts w:cs="Times New Roman"/>
          <w:lang w:val="en-US"/>
        </w:rPr>
        <w:t>Available at: http://legis.senado.leg.br/legislacao/DetalhaSigen.action?id=540698</w:t>
      </w:r>
    </w:p>
    <w:p w14:paraId="57EE1990" w14:textId="735B84C5" w:rsidR="00F258B4" w:rsidRPr="006B693E" w:rsidRDefault="00A56657" w:rsidP="00184876">
      <w:pPr>
        <w:spacing w:before="120" w:after="120" w:line="240" w:lineRule="auto"/>
        <w:jc w:val="both"/>
        <w:rPr>
          <w:rFonts w:cs="Times New Roman"/>
        </w:rPr>
      </w:pPr>
      <w:proofErr w:type="gramStart"/>
      <w:r w:rsidRPr="00585D56">
        <w:rPr>
          <w:rFonts w:cs="Times New Roman"/>
          <w:lang w:val="en-US"/>
        </w:rPr>
        <w:t xml:space="preserve">Shankar, R., </w:t>
      </w:r>
      <w:r w:rsidR="00354525">
        <w:rPr>
          <w:rFonts w:cs="Times New Roman"/>
          <w:lang w:val="en-US"/>
        </w:rPr>
        <w:t xml:space="preserve">&amp; </w:t>
      </w:r>
      <w:r w:rsidRPr="00585D56">
        <w:rPr>
          <w:rFonts w:cs="Times New Roman"/>
          <w:lang w:val="en-US"/>
        </w:rPr>
        <w:t>Shah</w:t>
      </w:r>
      <w:r w:rsidR="00F258B4" w:rsidRPr="00585D56">
        <w:rPr>
          <w:rFonts w:cs="Times New Roman"/>
          <w:lang w:val="en-US"/>
        </w:rPr>
        <w:t xml:space="preserve">, A. </w:t>
      </w:r>
      <w:r w:rsidR="00354525">
        <w:rPr>
          <w:rFonts w:cs="Times New Roman"/>
          <w:lang w:val="en-US"/>
        </w:rPr>
        <w:t>(2003</w:t>
      </w:r>
      <w:r>
        <w:rPr>
          <w:rFonts w:cs="Times New Roman"/>
          <w:lang w:val="en-US"/>
        </w:rPr>
        <w:t>).</w:t>
      </w:r>
      <w:proofErr w:type="gramEnd"/>
      <w:r>
        <w:rPr>
          <w:rFonts w:cs="Times New Roman"/>
          <w:lang w:val="en-US"/>
        </w:rPr>
        <w:t xml:space="preserve"> </w:t>
      </w:r>
      <w:r w:rsidRPr="00A56657">
        <w:rPr>
          <w:rFonts w:cs="Times New Roman"/>
          <w:lang w:val="en-US"/>
        </w:rPr>
        <w:t xml:space="preserve">Bridging the Economic Divide </w:t>
      </w:r>
      <w:proofErr w:type="gramStart"/>
      <w:r w:rsidRPr="00A56657">
        <w:rPr>
          <w:rFonts w:cs="Times New Roman"/>
          <w:lang w:val="en-US"/>
        </w:rPr>
        <w:t>Within</w:t>
      </w:r>
      <w:proofErr w:type="gramEnd"/>
      <w:r w:rsidRPr="00A56657">
        <w:rPr>
          <w:rFonts w:cs="Times New Roman"/>
          <w:lang w:val="en-US"/>
        </w:rPr>
        <w:t xml:space="preserve"> Countries: A Scorecard on the Performance of Regional Policies in Reducing Regional Income Disparities</w:t>
      </w:r>
      <w:r w:rsidR="00F258B4" w:rsidRPr="00585D56">
        <w:rPr>
          <w:rFonts w:cs="Times New Roman"/>
          <w:lang w:val="en-US"/>
        </w:rPr>
        <w:t xml:space="preserve">. </w:t>
      </w:r>
      <w:r w:rsidR="00354525" w:rsidRPr="00354525">
        <w:rPr>
          <w:rFonts w:cs="Times New Roman"/>
          <w:i/>
        </w:rPr>
        <w:t xml:space="preserve">World </w:t>
      </w:r>
      <w:proofErr w:type="spellStart"/>
      <w:r w:rsidR="00354525" w:rsidRPr="00354525">
        <w:rPr>
          <w:rFonts w:cs="Times New Roman"/>
          <w:i/>
        </w:rPr>
        <w:t>Development</w:t>
      </w:r>
      <w:proofErr w:type="spellEnd"/>
      <w:r w:rsidR="00354525">
        <w:rPr>
          <w:rFonts w:cs="Times New Roman"/>
        </w:rPr>
        <w:t xml:space="preserve"> 31(8): 1421–1441</w:t>
      </w:r>
      <w:r w:rsidR="00F258B4" w:rsidRPr="006B693E">
        <w:rPr>
          <w:rFonts w:cs="Times New Roman"/>
        </w:rPr>
        <w:t>.</w:t>
      </w:r>
    </w:p>
    <w:p w14:paraId="645786D2" w14:textId="5AD5225C" w:rsidR="00F258B4" w:rsidRPr="00184876" w:rsidRDefault="00354525" w:rsidP="00184876">
      <w:pPr>
        <w:spacing w:before="120" w:after="120" w:line="240" w:lineRule="auto"/>
        <w:jc w:val="both"/>
        <w:rPr>
          <w:rFonts w:cs="Times New Roman"/>
          <w:lang w:val="en-US"/>
        </w:rPr>
      </w:pPr>
      <w:r w:rsidRPr="005A520A">
        <w:rPr>
          <w:rFonts w:cs="Times New Roman"/>
        </w:rPr>
        <w:t xml:space="preserve">Silva, A. M. A., Resende, G., </w:t>
      </w:r>
      <w:r>
        <w:rPr>
          <w:rFonts w:cs="Times New Roman"/>
        </w:rPr>
        <w:t xml:space="preserve">&amp; </w:t>
      </w:r>
      <w:r w:rsidRPr="005A520A">
        <w:rPr>
          <w:rFonts w:cs="Times New Roman"/>
        </w:rPr>
        <w:t xml:space="preserve">Silveira Neto, R. D. </w:t>
      </w:r>
      <w:r w:rsidR="00F258B4" w:rsidRPr="005A520A">
        <w:rPr>
          <w:rFonts w:cs="Times New Roman"/>
        </w:rPr>
        <w:t xml:space="preserve">M. </w:t>
      </w:r>
      <w:r>
        <w:rPr>
          <w:rFonts w:cs="Times New Roman"/>
        </w:rPr>
        <w:t xml:space="preserve">(2007). </w:t>
      </w:r>
      <w:r w:rsidR="00F258B4" w:rsidRPr="005A520A">
        <w:rPr>
          <w:rFonts w:cs="Times New Roman"/>
        </w:rPr>
        <w:t xml:space="preserve">Uma Avaliação da Eficácia do FNE, no período 1995-2000. </w:t>
      </w:r>
      <w:proofErr w:type="spellStart"/>
      <w:r w:rsidR="00F258B4" w:rsidRPr="00184876">
        <w:rPr>
          <w:rFonts w:cs="Times New Roman"/>
          <w:i/>
          <w:lang w:val="en-US"/>
        </w:rPr>
        <w:t>Análise</w:t>
      </w:r>
      <w:proofErr w:type="spellEnd"/>
      <w:r w:rsidR="00F258B4" w:rsidRPr="00184876">
        <w:rPr>
          <w:rFonts w:cs="Times New Roman"/>
          <w:i/>
          <w:lang w:val="en-US"/>
        </w:rPr>
        <w:t xml:space="preserve"> </w:t>
      </w:r>
      <w:proofErr w:type="spellStart"/>
      <w:r w:rsidR="00F258B4" w:rsidRPr="00184876">
        <w:rPr>
          <w:rFonts w:cs="Times New Roman"/>
          <w:i/>
          <w:lang w:val="en-US"/>
        </w:rPr>
        <w:t>Econômica</w:t>
      </w:r>
      <w:proofErr w:type="spellEnd"/>
      <w:r w:rsidRPr="00184876">
        <w:rPr>
          <w:rFonts w:cs="Times New Roman"/>
          <w:lang w:val="en-US"/>
        </w:rPr>
        <w:t xml:space="preserve"> 25(48): 213-241</w:t>
      </w:r>
      <w:r w:rsidR="00F258B4" w:rsidRPr="00184876">
        <w:rPr>
          <w:rFonts w:cs="Times New Roman"/>
          <w:lang w:val="en-US"/>
        </w:rPr>
        <w:t xml:space="preserve">. </w:t>
      </w:r>
    </w:p>
    <w:p w14:paraId="0CDC1A82" w14:textId="3B42C675" w:rsidR="00F258B4" w:rsidRPr="00585D56" w:rsidRDefault="00354525" w:rsidP="00184876">
      <w:pPr>
        <w:spacing w:before="120" w:after="120" w:line="240" w:lineRule="auto"/>
        <w:jc w:val="both"/>
        <w:rPr>
          <w:rFonts w:cs="Times New Roman"/>
          <w:lang w:val="en-US"/>
        </w:rPr>
      </w:pPr>
      <w:r w:rsidRPr="00631CCB">
        <w:rPr>
          <w:rFonts w:cs="Times New Roman"/>
        </w:rPr>
        <w:t xml:space="preserve">Silveira Neto, R. M., &amp; </w:t>
      </w:r>
      <w:proofErr w:type="spellStart"/>
      <w:r w:rsidRPr="00631CCB">
        <w:rPr>
          <w:rFonts w:cs="Times New Roman"/>
        </w:rPr>
        <w:t>Azzoni</w:t>
      </w:r>
      <w:proofErr w:type="spellEnd"/>
      <w:r w:rsidR="00F258B4" w:rsidRPr="00631CCB">
        <w:rPr>
          <w:rFonts w:cs="Times New Roman"/>
        </w:rPr>
        <w:t xml:space="preserve">, C. R. </w:t>
      </w:r>
      <w:r w:rsidRPr="00631CCB">
        <w:rPr>
          <w:rFonts w:cs="Times New Roman"/>
        </w:rPr>
        <w:t xml:space="preserve">(2011). </w:t>
      </w:r>
      <w:proofErr w:type="gramStart"/>
      <w:r w:rsidR="00F258B4" w:rsidRPr="00184876">
        <w:rPr>
          <w:rFonts w:cs="Times New Roman"/>
          <w:lang w:val="en-US"/>
        </w:rPr>
        <w:t>Non-spatial government policies and regional income inequality in Brazil.</w:t>
      </w:r>
      <w:proofErr w:type="gramEnd"/>
      <w:r w:rsidR="00F258B4" w:rsidRPr="00184876">
        <w:rPr>
          <w:rFonts w:cs="Times New Roman"/>
          <w:lang w:val="en-US"/>
        </w:rPr>
        <w:t xml:space="preserve"> </w:t>
      </w:r>
      <w:r w:rsidR="00F258B4" w:rsidRPr="00354525">
        <w:rPr>
          <w:rFonts w:cs="Times New Roman"/>
          <w:i/>
          <w:lang w:val="en-US"/>
        </w:rPr>
        <w:t>Regional Studies</w:t>
      </w:r>
      <w:r>
        <w:rPr>
          <w:rFonts w:cs="Times New Roman"/>
          <w:lang w:val="en-US"/>
        </w:rPr>
        <w:t xml:space="preserve"> 45(4): 453–461</w:t>
      </w:r>
      <w:r w:rsidR="00F258B4" w:rsidRPr="00585D56">
        <w:rPr>
          <w:rFonts w:cs="Times New Roman"/>
          <w:lang w:val="en-US"/>
        </w:rPr>
        <w:t>.</w:t>
      </w:r>
    </w:p>
    <w:p w14:paraId="72F19622" w14:textId="14B01D5B" w:rsidR="00F258B4" w:rsidRPr="00FD3B12" w:rsidRDefault="000328BF" w:rsidP="00184876">
      <w:pPr>
        <w:spacing w:before="120" w:after="120" w:line="240" w:lineRule="auto"/>
        <w:jc w:val="both"/>
        <w:rPr>
          <w:rFonts w:cs="Times New Roman"/>
        </w:rPr>
      </w:pPr>
      <w:proofErr w:type="spellStart"/>
      <w:proofErr w:type="gramStart"/>
      <w:r w:rsidRPr="00631CCB">
        <w:rPr>
          <w:rFonts w:cs="Times New Roman"/>
          <w:lang w:val="en-US"/>
        </w:rPr>
        <w:t>Silveira</w:t>
      </w:r>
      <w:proofErr w:type="spellEnd"/>
      <w:r w:rsidRPr="00631CCB">
        <w:rPr>
          <w:rFonts w:cs="Times New Roman"/>
          <w:lang w:val="en-US"/>
        </w:rPr>
        <w:t xml:space="preserve"> </w:t>
      </w:r>
      <w:proofErr w:type="spellStart"/>
      <w:r w:rsidR="00354525" w:rsidRPr="00631CCB">
        <w:rPr>
          <w:rFonts w:cs="Times New Roman"/>
          <w:lang w:val="en-US"/>
        </w:rPr>
        <w:t>Neto</w:t>
      </w:r>
      <w:proofErr w:type="spellEnd"/>
      <w:r w:rsidR="00354525" w:rsidRPr="00631CCB">
        <w:rPr>
          <w:rFonts w:cs="Times New Roman"/>
          <w:lang w:val="en-US"/>
        </w:rPr>
        <w:t xml:space="preserve">, R. M., &amp; </w:t>
      </w:r>
      <w:proofErr w:type="spellStart"/>
      <w:r w:rsidR="00354525" w:rsidRPr="00631CCB">
        <w:rPr>
          <w:rFonts w:cs="Times New Roman"/>
          <w:lang w:val="en-US"/>
        </w:rPr>
        <w:t>Azzoni</w:t>
      </w:r>
      <w:proofErr w:type="spellEnd"/>
      <w:r w:rsidR="00F258B4" w:rsidRPr="00631CCB">
        <w:rPr>
          <w:rFonts w:cs="Times New Roman"/>
          <w:lang w:val="en-US"/>
        </w:rPr>
        <w:t xml:space="preserve">, C. R. </w:t>
      </w:r>
      <w:r w:rsidR="00354525" w:rsidRPr="00631CCB">
        <w:rPr>
          <w:rFonts w:cs="Times New Roman"/>
          <w:lang w:val="en-US"/>
        </w:rPr>
        <w:t>(2012).</w:t>
      </w:r>
      <w:proofErr w:type="gramEnd"/>
      <w:r w:rsidR="00354525" w:rsidRPr="00631CCB">
        <w:rPr>
          <w:rFonts w:cs="Times New Roman"/>
          <w:lang w:val="en-US"/>
        </w:rPr>
        <w:t xml:space="preserve"> </w:t>
      </w:r>
      <w:r w:rsidR="00F258B4" w:rsidRPr="00354525">
        <w:rPr>
          <w:rFonts w:cs="Times New Roman"/>
          <w:lang w:val="en-US"/>
        </w:rPr>
        <w:t xml:space="preserve">Social policy as regional policy: Market and nonmarket factors determining regional inequality. </w:t>
      </w:r>
      <w:proofErr w:type="spellStart"/>
      <w:r w:rsidR="00F258B4" w:rsidRPr="00354525">
        <w:rPr>
          <w:rFonts w:cs="Times New Roman"/>
          <w:i/>
        </w:rPr>
        <w:t>Journal</w:t>
      </w:r>
      <w:proofErr w:type="spellEnd"/>
      <w:r w:rsidR="00F258B4" w:rsidRPr="00354525">
        <w:rPr>
          <w:rFonts w:cs="Times New Roman"/>
          <w:i/>
        </w:rPr>
        <w:t xml:space="preserve"> </w:t>
      </w:r>
      <w:proofErr w:type="spellStart"/>
      <w:r w:rsidR="00F258B4" w:rsidRPr="00354525">
        <w:rPr>
          <w:rFonts w:cs="Times New Roman"/>
          <w:i/>
        </w:rPr>
        <w:t>of</w:t>
      </w:r>
      <w:proofErr w:type="spellEnd"/>
      <w:r w:rsidR="00F258B4" w:rsidRPr="00354525">
        <w:rPr>
          <w:rFonts w:cs="Times New Roman"/>
          <w:i/>
        </w:rPr>
        <w:t xml:space="preserve"> Regional Science</w:t>
      </w:r>
      <w:r w:rsidR="00354525">
        <w:rPr>
          <w:rFonts w:cs="Times New Roman"/>
        </w:rPr>
        <w:t xml:space="preserve"> 52(3): 433–450</w:t>
      </w:r>
      <w:r w:rsidR="00F258B4" w:rsidRPr="00354525">
        <w:rPr>
          <w:rFonts w:cs="Times New Roman"/>
        </w:rPr>
        <w:t>.</w:t>
      </w:r>
    </w:p>
    <w:p w14:paraId="39199D4C" w14:textId="785E92B5" w:rsidR="00F258B4" w:rsidRDefault="00354525" w:rsidP="00184876">
      <w:pPr>
        <w:spacing w:before="120" w:after="120" w:line="240" w:lineRule="auto"/>
        <w:jc w:val="both"/>
        <w:rPr>
          <w:rFonts w:cs="Times New Roman"/>
          <w:lang w:val="en-US"/>
        </w:rPr>
      </w:pPr>
      <w:r w:rsidRPr="00406D1D">
        <w:rPr>
          <w:rFonts w:cs="Times New Roman"/>
        </w:rPr>
        <w:t>Soares, R. B.</w:t>
      </w:r>
      <w:r>
        <w:rPr>
          <w:rFonts w:cs="Times New Roman"/>
        </w:rPr>
        <w:t>,</w:t>
      </w:r>
      <w:r w:rsidRPr="00406D1D">
        <w:rPr>
          <w:rFonts w:cs="Times New Roman"/>
        </w:rPr>
        <w:t xml:space="preserve"> Linhares, F.</w:t>
      </w:r>
      <w:r>
        <w:rPr>
          <w:rFonts w:cs="Times New Roman"/>
        </w:rPr>
        <w:t>,</w:t>
      </w:r>
      <w:r w:rsidRPr="00406D1D">
        <w:rPr>
          <w:rFonts w:cs="Times New Roman"/>
        </w:rPr>
        <w:t xml:space="preserve"> Gonçalves, M. F.</w:t>
      </w:r>
      <w:r>
        <w:rPr>
          <w:rFonts w:cs="Times New Roman"/>
        </w:rPr>
        <w:t>,</w:t>
      </w:r>
      <w:r w:rsidRPr="00406D1D">
        <w:rPr>
          <w:rFonts w:cs="Times New Roman"/>
        </w:rPr>
        <w:t xml:space="preserve"> </w:t>
      </w:r>
      <w:r>
        <w:rPr>
          <w:rFonts w:cs="Times New Roman"/>
        </w:rPr>
        <w:t xml:space="preserve">&amp; </w:t>
      </w:r>
      <w:r w:rsidRPr="00406D1D">
        <w:rPr>
          <w:rFonts w:cs="Times New Roman"/>
        </w:rPr>
        <w:t>Viana</w:t>
      </w:r>
      <w:r w:rsidR="00F258B4" w:rsidRPr="00406D1D">
        <w:rPr>
          <w:rFonts w:cs="Times New Roman"/>
        </w:rPr>
        <w:t xml:space="preserve">, L. F. G. </w:t>
      </w:r>
      <w:r>
        <w:rPr>
          <w:rFonts w:cs="Times New Roman"/>
        </w:rPr>
        <w:t xml:space="preserve">(2014). </w:t>
      </w:r>
      <w:r w:rsidR="00F258B4" w:rsidRPr="00406D1D">
        <w:rPr>
          <w:rFonts w:cs="Times New Roman"/>
        </w:rPr>
        <w:t xml:space="preserve">Efeitos </w:t>
      </w:r>
      <w:r w:rsidR="00F258B4">
        <w:rPr>
          <w:rFonts w:cs="Times New Roman"/>
        </w:rPr>
        <w:t>d</w:t>
      </w:r>
      <w:r w:rsidR="00F258B4" w:rsidRPr="00406D1D">
        <w:rPr>
          <w:rFonts w:cs="Times New Roman"/>
        </w:rPr>
        <w:t xml:space="preserve">iferenciados do Fundo Constitucional de Financiamento do Nordeste (FNE) no </w:t>
      </w:r>
      <w:r w:rsidR="00F258B4">
        <w:rPr>
          <w:rFonts w:cs="Times New Roman"/>
        </w:rPr>
        <w:t>c</w:t>
      </w:r>
      <w:r w:rsidR="00F258B4" w:rsidRPr="00406D1D">
        <w:rPr>
          <w:rFonts w:cs="Times New Roman"/>
        </w:rPr>
        <w:t xml:space="preserve">rescimento </w:t>
      </w:r>
      <w:r w:rsidR="00F258B4">
        <w:rPr>
          <w:rFonts w:cs="Times New Roman"/>
        </w:rPr>
        <w:t>e</w:t>
      </w:r>
      <w:r w:rsidR="00F258B4" w:rsidRPr="00406D1D">
        <w:rPr>
          <w:rFonts w:cs="Times New Roman"/>
        </w:rPr>
        <w:t xml:space="preserve">conômico dos </w:t>
      </w:r>
      <w:r w:rsidR="00F258B4">
        <w:rPr>
          <w:rFonts w:cs="Times New Roman"/>
        </w:rPr>
        <w:t>m</w:t>
      </w:r>
      <w:r w:rsidR="00F258B4" w:rsidRPr="00406D1D">
        <w:rPr>
          <w:rFonts w:cs="Times New Roman"/>
        </w:rPr>
        <w:t xml:space="preserve">unicípios </w:t>
      </w:r>
      <w:r w:rsidR="00F258B4">
        <w:rPr>
          <w:rFonts w:cs="Times New Roman"/>
        </w:rPr>
        <w:t>n</w:t>
      </w:r>
      <w:r w:rsidR="00F258B4" w:rsidRPr="00406D1D">
        <w:rPr>
          <w:rFonts w:cs="Times New Roman"/>
        </w:rPr>
        <w:t xml:space="preserve">ordestinos. </w:t>
      </w:r>
      <w:r w:rsidR="00F258B4" w:rsidRPr="00354525">
        <w:rPr>
          <w:rFonts w:cs="Times New Roman"/>
          <w:i/>
          <w:lang w:val="en-US"/>
        </w:rPr>
        <w:t>CEPAL Review</w:t>
      </w:r>
      <w:r w:rsidR="00F258B4">
        <w:rPr>
          <w:rFonts w:cs="Times New Roman"/>
          <w:lang w:val="en-US"/>
        </w:rPr>
        <w:t xml:space="preserve"> 113: </w:t>
      </w:r>
      <w:r>
        <w:rPr>
          <w:rFonts w:cs="Times New Roman"/>
          <w:lang w:val="en-US"/>
        </w:rPr>
        <w:t>184-201</w:t>
      </w:r>
      <w:r w:rsidR="00F258B4" w:rsidRPr="00406D1D">
        <w:rPr>
          <w:rFonts w:cs="Times New Roman"/>
          <w:lang w:val="en-US"/>
        </w:rPr>
        <w:t>.</w:t>
      </w:r>
    </w:p>
    <w:p w14:paraId="59E191D3" w14:textId="0C3A439A" w:rsidR="00F258B4" w:rsidRPr="00585D56" w:rsidRDefault="00354525" w:rsidP="00184876">
      <w:pPr>
        <w:spacing w:before="120" w:after="120" w:line="240" w:lineRule="auto"/>
        <w:jc w:val="both"/>
        <w:rPr>
          <w:rFonts w:cs="Times New Roman"/>
          <w:lang w:val="en-US"/>
        </w:rPr>
      </w:pPr>
      <w:proofErr w:type="spellStart"/>
      <w:proofErr w:type="gramStart"/>
      <w:r w:rsidRPr="001300F8">
        <w:rPr>
          <w:rFonts w:cs="Times New Roman"/>
          <w:lang w:val="en-US"/>
        </w:rPr>
        <w:t>Stiglitz</w:t>
      </w:r>
      <w:proofErr w:type="spellEnd"/>
      <w:r w:rsidRPr="001300F8">
        <w:rPr>
          <w:rFonts w:cs="Times New Roman"/>
          <w:lang w:val="en-US"/>
        </w:rPr>
        <w:t>, J.</w:t>
      </w:r>
      <w:r>
        <w:rPr>
          <w:rFonts w:cs="Times New Roman"/>
          <w:lang w:val="en-US"/>
        </w:rPr>
        <w:t>,</w:t>
      </w:r>
      <w:r w:rsidRPr="001300F8">
        <w:rPr>
          <w:rFonts w:cs="Times New Roman"/>
          <w:lang w:val="en-US"/>
        </w:rPr>
        <w:t xml:space="preserve"> Vallejo, J. J.</w:t>
      </w:r>
      <w:r>
        <w:rPr>
          <w:rFonts w:cs="Times New Roman"/>
          <w:lang w:val="en-US"/>
        </w:rPr>
        <w:t>,</w:t>
      </w:r>
      <w:r w:rsidRPr="001300F8">
        <w:rPr>
          <w:rFonts w:cs="Times New Roman"/>
          <w:lang w:val="en-US"/>
        </w:rPr>
        <w:t xml:space="preserve"> </w:t>
      </w:r>
      <w:r>
        <w:rPr>
          <w:rFonts w:cs="Times New Roman"/>
          <w:lang w:val="en-US"/>
        </w:rPr>
        <w:t xml:space="preserve">&amp; </w:t>
      </w:r>
      <w:r w:rsidRPr="001300F8">
        <w:rPr>
          <w:rFonts w:cs="Times New Roman"/>
          <w:lang w:val="en-US"/>
        </w:rPr>
        <w:t xml:space="preserve">Park, </w:t>
      </w:r>
      <w:r w:rsidR="00F258B4" w:rsidRPr="001300F8">
        <w:rPr>
          <w:rFonts w:cs="Times New Roman"/>
          <w:lang w:val="en-US"/>
        </w:rPr>
        <w:t xml:space="preserve">Y. C. </w:t>
      </w:r>
      <w:r>
        <w:rPr>
          <w:rFonts w:cs="Times New Roman"/>
          <w:lang w:val="en-US"/>
        </w:rPr>
        <w:t>(1993).</w:t>
      </w:r>
      <w:proofErr w:type="gramEnd"/>
      <w:r>
        <w:rPr>
          <w:rFonts w:cs="Times New Roman"/>
          <w:lang w:val="en-US"/>
        </w:rPr>
        <w:t xml:space="preserve"> </w:t>
      </w:r>
      <w:proofErr w:type="gramStart"/>
      <w:r w:rsidR="00F258B4" w:rsidRPr="00354525">
        <w:rPr>
          <w:rFonts w:cs="Times New Roman"/>
          <w:i/>
          <w:lang w:val="en-US"/>
        </w:rPr>
        <w:t>The role of the state in financial markets.</w:t>
      </w:r>
      <w:proofErr w:type="gramEnd"/>
      <w:r w:rsidR="00F258B4" w:rsidRPr="001300F8">
        <w:rPr>
          <w:rFonts w:cs="Times New Roman"/>
          <w:lang w:val="en-US"/>
        </w:rPr>
        <w:t xml:space="preserve"> </w:t>
      </w:r>
      <w:proofErr w:type="gramStart"/>
      <w:r w:rsidR="00F258B4" w:rsidRPr="001300F8">
        <w:rPr>
          <w:rFonts w:cs="Times New Roman"/>
          <w:lang w:val="en-US"/>
        </w:rPr>
        <w:t>Proceedings of the World Bank Annual Conf</w:t>
      </w:r>
      <w:r>
        <w:rPr>
          <w:rFonts w:cs="Times New Roman"/>
          <w:lang w:val="en-US"/>
        </w:rPr>
        <w:t>erence on Development Economics</w:t>
      </w:r>
      <w:r w:rsidR="00F258B4" w:rsidRPr="00FD3B12">
        <w:rPr>
          <w:rFonts w:cs="Times New Roman"/>
          <w:lang w:val="en-US"/>
        </w:rPr>
        <w:t>.</w:t>
      </w:r>
      <w:proofErr w:type="gramEnd"/>
      <w:r w:rsidR="00F258B4" w:rsidRPr="00FD3B12">
        <w:rPr>
          <w:rFonts w:cs="Times New Roman"/>
          <w:lang w:val="en-US"/>
        </w:rPr>
        <w:t xml:space="preserve"> </w:t>
      </w:r>
      <w:r w:rsidR="00F258B4" w:rsidRPr="001300F8">
        <w:rPr>
          <w:rFonts w:cs="Times New Roman"/>
          <w:lang w:val="en-US"/>
        </w:rPr>
        <w:t>Available online at: &lt;http://financecottage.com/wp-content/uploads/2013/03/Role-of-Gove</w:t>
      </w:r>
      <w:r w:rsidR="00F258B4">
        <w:rPr>
          <w:rFonts w:cs="Times New Roman"/>
          <w:lang w:val="en-US"/>
        </w:rPr>
        <w:t>rnment-in-Financial-Market.pdf&gt;</w:t>
      </w:r>
      <w:r w:rsidR="00F258B4" w:rsidRPr="001300F8">
        <w:rPr>
          <w:rFonts w:cs="Times New Roman"/>
          <w:lang w:val="en-US"/>
        </w:rPr>
        <w:t>.</w:t>
      </w:r>
    </w:p>
    <w:p w14:paraId="1A3D59A1" w14:textId="44BB0246" w:rsidR="00EB1D81" w:rsidRPr="002263E6" w:rsidRDefault="00654F73" w:rsidP="00184876">
      <w:pPr>
        <w:spacing w:before="120" w:after="120" w:line="240" w:lineRule="auto"/>
        <w:jc w:val="both"/>
        <w:rPr>
          <w:rFonts w:cs="Times New Roman"/>
          <w:lang w:val="en-US"/>
        </w:rPr>
      </w:pPr>
      <w:proofErr w:type="spellStart"/>
      <w:r w:rsidRPr="00B925D7">
        <w:rPr>
          <w:rFonts w:cs="Times New Roman"/>
          <w:lang w:val="en-US"/>
        </w:rPr>
        <w:t>Wittwer</w:t>
      </w:r>
      <w:proofErr w:type="spellEnd"/>
      <w:r w:rsidR="00F258B4" w:rsidRPr="00B925D7">
        <w:rPr>
          <w:rFonts w:cs="Times New Roman"/>
          <w:lang w:val="en-US"/>
        </w:rPr>
        <w:t xml:space="preserve">, </w:t>
      </w:r>
      <w:r w:rsidR="00F258B4" w:rsidRPr="008963A8">
        <w:rPr>
          <w:rFonts w:cs="Times New Roman"/>
          <w:lang w:val="en-US"/>
        </w:rPr>
        <w:t xml:space="preserve">G. </w:t>
      </w:r>
      <w:r w:rsidR="002E2196">
        <w:rPr>
          <w:rFonts w:cs="Times New Roman"/>
          <w:lang w:val="en-US"/>
        </w:rPr>
        <w:t xml:space="preserve">(2012). </w:t>
      </w:r>
      <w:proofErr w:type="gramStart"/>
      <w:r w:rsidR="00F258B4" w:rsidRPr="002E2196">
        <w:rPr>
          <w:rFonts w:cs="Times New Roman"/>
          <w:i/>
          <w:lang w:val="en-US"/>
        </w:rPr>
        <w:t>Economic Modeling of Water.</w:t>
      </w:r>
      <w:proofErr w:type="gramEnd"/>
      <w:r w:rsidR="00F258B4" w:rsidRPr="002E2196">
        <w:rPr>
          <w:rFonts w:cs="Times New Roman"/>
          <w:i/>
          <w:lang w:val="en-US"/>
        </w:rPr>
        <w:t xml:space="preserve"> </w:t>
      </w:r>
      <w:proofErr w:type="gramStart"/>
      <w:r w:rsidR="00F258B4" w:rsidRPr="002E2196">
        <w:rPr>
          <w:rFonts w:cs="Times New Roman"/>
          <w:i/>
          <w:lang w:val="en-US"/>
        </w:rPr>
        <w:t>The Australian CGE Experience</w:t>
      </w:r>
      <w:r w:rsidR="00F258B4">
        <w:rPr>
          <w:rFonts w:cs="Times New Roman"/>
          <w:lang w:val="en-US"/>
        </w:rPr>
        <w:t>.</w:t>
      </w:r>
      <w:proofErr w:type="gramEnd"/>
      <w:r w:rsidR="00F258B4">
        <w:rPr>
          <w:rFonts w:cs="Times New Roman"/>
          <w:lang w:val="en-US"/>
        </w:rPr>
        <w:t xml:space="preserve"> </w:t>
      </w:r>
      <w:proofErr w:type="gramStart"/>
      <w:r w:rsidR="00F258B4">
        <w:rPr>
          <w:rFonts w:cs="Times New Roman"/>
          <w:lang w:val="en-US"/>
        </w:rPr>
        <w:t xml:space="preserve">Springer </w:t>
      </w:r>
      <w:r w:rsidR="00F258B4" w:rsidRPr="00B925D7">
        <w:rPr>
          <w:rFonts w:cs="Times New Roman"/>
          <w:lang w:val="en-US"/>
        </w:rPr>
        <w:t>Netherlands</w:t>
      </w:r>
      <w:r w:rsidR="00F258B4">
        <w:rPr>
          <w:rFonts w:cs="Times New Roman"/>
          <w:lang w:val="en-US"/>
        </w:rPr>
        <w:t>.</w:t>
      </w:r>
      <w:proofErr w:type="gramEnd"/>
      <w:r w:rsidR="00EB1D81">
        <w:rPr>
          <w:lang w:val="en-US"/>
        </w:rPr>
        <w:br w:type="page"/>
      </w:r>
    </w:p>
    <w:p w14:paraId="205B374B" w14:textId="5C6B44DA" w:rsidR="00E8300D" w:rsidRDefault="005862C0" w:rsidP="00184876">
      <w:pPr>
        <w:pStyle w:val="Ttulo1"/>
        <w:numPr>
          <w:ilvl w:val="0"/>
          <w:numId w:val="0"/>
        </w:numPr>
        <w:spacing w:before="120" w:after="120"/>
        <w:rPr>
          <w:lang w:val="en-US"/>
        </w:rPr>
      </w:pPr>
      <w:r w:rsidRPr="00EB1D81">
        <w:rPr>
          <w:lang w:val="en-US"/>
        </w:rPr>
        <w:lastRenderedPageBreak/>
        <w:t>Tables and Pictures</w:t>
      </w:r>
    </w:p>
    <w:p w14:paraId="2FD9AB09" w14:textId="77777777" w:rsidR="00EB1D81" w:rsidRPr="00EB1D81" w:rsidRDefault="00EB1D81" w:rsidP="00184876">
      <w:pPr>
        <w:spacing w:before="120" w:after="120" w:line="240" w:lineRule="auto"/>
        <w:rPr>
          <w:lang w:val="en-US"/>
        </w:rPr>
      </w:pPr>
    </w:p>
    <w:p w14:paraId="39AA8418" w14:textId="77777777" w:rsidR="005862C0" w:rsidRPr="007F6F85" w:rsidRDefault="005862C0" w:rsidP="00184876">
      <w:pPr>
        <w:spacing w:before="120" w:after="120" w:line="240" w:lineRule="auto"/>
        <w:jc w:val="center"/>
        <w:rPr>
          <w:rFonts w:cs="Times New Roman"/>
          <w:szCs w:val="24"/>
          <w:lang w:val="en-US"/>
        </w:rPr>
      </w:pPr>
      <w:r>
        <w:rPr>
          <w:rFonts w:cs="Times New Roman"/>
          <w:szCs w:val="24"/>
          <w:lang w:val="en-US"/>
        </w:rPr>
        <w:t xml:space="preserve">Table 1: </w:t>
      </w:r>
      <w:r w:rsidRPr="00191872">
        <w:rPr>
          <w:rFonts w:cs="Times New Roman"/>
          <w:szCs w:val="24"/>
          <w:lang w:val="en-US"/>
        </w:rPr>
        <w:t>Impacts on regional inequality –GINI indexes of regional GDP in 202</w:t>
      </w:r>
      <w:r>
        <w:rPr>
          <w:rFonts w:cs="Times New Roman"/>
          <w:szCs w:val="24"/>
          <w:lang w:val="en-US"/>
        </w:rPr>
        <w:t>5</w:t>
      </w:r>
      <w:r w:rsidRPr="00191872">
        <w:rPr>
          <w:rFonts w:cs="Times New Roman"/>
          <w:szCs w:val="24"/>
          <w:lang w:val="en-US"/>
        </w:rPr>
        <w:t xml:space="preserve"> in the baseline and policy scenarios</w:t>
      </w:r>
    </w:p>
    <w:tbl>
      <w:tblPr>
        <w:tblW w:w="0" w:type="auto"/>
        <w:jc w:val="center"/>
        <w:tblCellMar>
          <w:left w:w="70" w:type="dxa"/>
          <w:right w:w="70" w:type="dxa"/>
        </w:tblCellMar>
        <w:tblLook w:val="04A0" w:firstRow="1" w:lastRow="0" w:firstColumn="1" w:lastColumn="0" w:noHBand="0" w:noVBand="1"/>
      </w:tblPr>
      <w:tblGrid>
        <w:gridCol w:w="1680"/>
        <w:gridCol w:w="1260"/>
        <w:gridCol w:w="1694"/>
        <w:gridCol w:w="1141"/>
      </w:tblGrid>
      <w:tr w:rsidR="005862C0" w:rsidRPr="00D47D10" w14:paraId="7C4D4CA7" w14:textId="77777777" w:rsidTr="00FA4D13">
        <w:trPr>
          <w:trHeight w:val="624"/>
          <w:jc w:val="center"/>
        </w:trPr>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D9A58FF" w14:textId="77777777" w:rsidR="005862C0" w:rsidRPr="00E52D2F" w:rsidRDefault="005862C0" w:rsidP="00184876">
            <w:pPr>
              <w:spacing w:before="120" w:after="120" w:line="240" w:lineRule="auto"/>
              <w:jc w:val="center"/>
              <w:rPr>
                <w:rFonts w:eastAsia="Times New Roman" w:cs="Times New Roman"/>
                <w:color w:val="000000"/>
                <w:szCs w:val="24"/>
                <w:lang w:val="en-US"/>
              </w:rPr>
            </w:pP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05550508"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 xml:space="preserve">GINI </w:t>
            </w:r>
            <w:proofErr w:type="spellStart"/>
            <w:r w:rsidRPr="00D47D10">
              <w:rPr>
                <w:rFonts w:eastAsia="Times New Roman" w:cs="Times New Roman"/>
                <w:color w:val="000000"/>
                <w:szCs w:val="24"/>
              </w:rPr>
              <w:t>baseline</w:t>
            </w:r>
            <w:proofErr w:type="spellEnd"/>
          </w:p>
        </w:tc>
        <w:tc>
          <w:tcPr>
            <w:tcW w:w="1694" w:type="dxa"/>
            <w:tcBorders>
              <w:top w:val="single" w:sz="4" w:space="0" w:color="auto"/>
              <w:left w:val="nil"/>
              <w:bottom w:val="single" w:sz="4" w:space="0" w:color="auto"/>
              <w:right w:val="single" w:sz="4" w:space="0" w:color="auto"/>
            </w:tcBorders>
            <w:shd w:val="clear" w:color="000000" w:fill="FFFFFF"/>
            <w:vAlign w:val="center"/>
            <w:hideMark/>
          </w:tcPr>
          <w:p w14:paraId="29AEC7F1"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 xml:space="preserve">GINI                   FNE </w:t>
            </w:r>
            <w:proofErr w:type="spellStart"/>
            <w:r w:rsidRPr="00D47D10">
              <w:rPr>
                <w:rFonts w:eastAsia="Times New Roman" w:cs="Times New Roman"/>
                <w:color w:val="000000"/>
                <w:szCs w:val="24"/>
              </w:rPr>
              <w:t>scenario</w:t>
            </w:r>
            <w:proofErr w:type="spellEnd"/>
          </w:p>
        </w:tc>
        <w:tc>
          <w:tcPr>
            <w:tcW w:w="1141" w:type="dxa"/>
            <w:tcBorders>
              <w:top w:val="single" w:sz="4" w:space="0" w:color="auto"/>
              <w:left w:val="nil"/>
              <w:bottom w:val="single" w:sz="4" w:space="0" w:color="auto"/>
              <w:right w:val="nil"/>
            </w:tcBorders>
            <w:shd w:val="clear" w:color="000000" w:fill="FFFFFF"/>
            <w:vAlign w:val="center"/>
            <w:hideMark/>
          </w:tcPr>
          <w:p w14:paraId="31393FB2" w14:textId="77777777" w:rsidR="005862C0" w:rsidRPr="00D47D10" w:rsidRDefault="005862C0" w:rsidP="00184876">
            <w:pPr>
              <w:spacing w:before="120" w:after="120" w:line="240" w:lineRule="auto"/>
              <w:jc w:val="center"/>
              <w:rPr>
                <w:rFonts w:eastAsia="Times New Roman" w:cs="Times New Roman"/>
                <w:color w:val="000000"/>
                <w:szCs w:val="24"/>
              </w:rPr>
            </w:pPr>
            <w:proofErr w:type="spellStart"/>
            <w:r w:rsidRPr="00D47D10">
              <w:rPr>
                <w:rFonts w:eastAsia="Times New Roman" w:cs="Times New Roman"/>
                <w:color w:val="000000"/>
                <w:szCs w:val="24"/>
              </w:rPr>
              <w:t>Variation</w:t>
            </w:r>
            <w:proofErr w:type="spellEnd"/>
            <w:r w:rsidRPr="00D47D10">
              <w:rPr>
                <w:rFonts w:eastAsia="Times New Roman" w:cs="Times New Roman"/>
                <w:color w:val="000000"/>
                <w:szCs w:val="24"/>
              </w:rPr>
              <w:t xml:space="preserve"> %</w:t>
            </w:r>
          </w:p>
        </w:tc>
      </w:tr>
      <w:tr w:rsidR="005862C0" w:rsidRPr="00D47D10" w14:paraId="62B10EA7" w14:textId="77777777" w:rsidTr="00FA4D13">
        <w:trPr>
          <w:trHeight w:val="312"/>
          <w:jc w:val="center"/>
        </w:trPr>
        <w:tc>
          <w:tcPr>
            <w:tcW w:w="0" w:type="auto"/>
            <w:tcBorders>
              <w:top w:val="nil"/>
              <w:left w:val="nil"/>
              <w:bottom w:val="nil"/>
              <w:right w:val="nil"/>
            </w:tcBorders>
            <w:shd w:val="clear" w:color="000000" w:fill="FFFFFF"/>
            <w:noWrap/>
            <w:vAlign w:val="center"/>
            <w:hideMark/>
          </w:tcPr>
          <w:p w14:paraId="3C829D53" w14:textId="77777777" w:rsidR="005862C0" w:rsidRPr="00D47D10" w:rsidRDefault="005862C0" w:rsidP="00184876">
            <w:pPr>
              <w:spacing w:before="120" w:after="120" w:line="240" w:lineRule="auto"/>
              <w:jc w:val="center"/>
              <w:rPr>
                <w:rFonts w:eastAsia="Times New Roman" w:cs="Times New Roman"/>
                <w:color w:val="000000"/>
                <w:szCs w:val="24"/>
              </w:rPr>
            </w:pPr>
            <w:proofErr w:type="spellStart"/>
            <w:r w:rsidRPr="00D47D10">
              <w:rPr>
                <w:rFonts w:eastAsia="Times New Roman" w:cs="Times New Roman"/>
                <w:color w:val="000000"/>
                <w:szCs w:val="24"/>
              </w:rPr>
              <w:t>Brazil</w:t>
            </w:r>
            <w:r>
              <w:rPr>
                <w:rFonts w:eastAsia="Times New Roman" w:cs="Times New Roman"/>
                <w:color w:val="000000"/>
                <w:szCs w:val="24"/>
              </w:rPr>
              <w:t>lian</w:t>
            </w:r>
            <w:proofErr w:type="spellEnd"/>
            <w:r>
              <w:rPr>
                <w:rFonts w:eastAsia="Times New Roman" w:cs="Times New Roman"/>
                <w:color w:val="000000"/>
                <w:szCs w:val="24"/>
              </w:rPr>
              <w:t xml:space="preserve"> </w:t>
            </w:r>
            <w:proofErr w:type="spellStart"/>
            <w:r>
              <w:rPr>
                <w:rFonts w:eastAsia="Times New Roman" w:cs="Times New Roman"/>
                <w:color w:val="000000"/>
                <w:szCs w:val="24"/>
              </w:rPr>
              <w:t>states</w:t>
            </w:r>
            <w:proofErr w:type="spellEnd"/>
          </w:p>
        </w:tc>
        <w:tc>
          <w:tcPr>
            <w:tcW w:w="1260" w:type="dxa"/>
            <w:tcBorders>
              <w:top w:val="nil"/>
              <w:left w:val="nil"/>
              <w:bottom w:val="nil"/>
              <w:right w:val="nil"/>
            </w:tcBorders>
            <w:shd w:val="clear" w:color="000000" w:fill="FFFFFF"/>
            <w:noWrap/>
            <w:vAlign w:val="center"/>
            <w:hideMark/>
          </w:tcPr>
          <w:p w14:paraId="79DA6053"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0.643</w:t>
            </w:r>
          </w:p>
        </w:tc>
        <w:tc>
          <w:tcPr>
            <w:tcW w:w="1694" w:type="dxa"/>
            <w:tcBorders>
              <w:top w:val="nil"/>
              <w:left w:val="nil"/>
              <w:bottom w:val="nil"/>
              <w:right w:val="nil"/>
            </w:tcBorders>
            <w:shd w:val="clear" w:color="000000" w:fill="FFFFFF"/>
            <w:noWrap/>
            <w:vAlign w:val="center"/>
            <w:hideMark/>
          </w:tcPr>
          <w:p w14:paraId="49AE54ED"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0.641</w:t>
            </w:r>
          </w:p>
        </w:tc>
        <w:tc>
          <w:tcPr>
            <w:tcW w:w="1141" w:type="dxa"/>
            <w:tcBorders>
              <w:top w:val="nil"/>
              <w:left w:val="nil"/>
              <w:bottom w:val="nil"/>
              <w:right w:val="nil"/>
            </w:tcBorders>
            <w:shd w:val="clear" w:color="000000" w:fill="FFFFFF"/>
            <w:noWrap/>
            <w:vAlign w:val="center"/>
            <w:hideMark/>
          </w:tcPr>
          <w:p w14:paraId="3FFCDCD8"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-0.26%</w:t>
            </w:r>
          </w:p>
        </w:tc>
      </w:tr>
      <w:tr w:rsidR="005862C0" w:rsidRPr="00D47D10" w14:paraId="53450E2E" w14:textId="77777777" w:rsidTr="00FA4D13">
        <w:trPr>
          <w:trHeight w:val="312"/>
          <w:jc w:val="center"/>
        </w:trPr>
        <w:tc>
          <w:tcPr>
            <w:tcW w:w="0" w:type="auto"/>
            <w:tcBorders>
              <w:top w:val="nil"/>
              <w:left w:val="nil"/>
              <w:bottom w:val="single" w:sz="4" w:space="0" w:color="auto"/>
              <w:right w:val="nil"/>
            </w:tcBorders>
            <w:shd w:val="clear" w:color="000000" w:fill="FFFFFF"/>
            <w:noWrap/>
            <w:vAlign w:val="center"/>
            <w:hideMark/>
          </w:tcPr>
          <w:p w14:paraId="3D8C01BF" w14:textId="77777777" w:rsidR="005862C0" w:rsidRPr="00D47D10" w:rsidRDefault="005862C0" w:rsidP="00184876">
            <w:pPr>
              <w:spacing w:before="120" w:after="120" w:line="240" w:lineRule="auto"/>
              <w:jc w:val="center"/>
              <w:rPr>
                <w:rFonts w:eastAsia="Times New Roman" w:cs="Times New Roman"/>
                <w:color w:val="000000"/>
                <w:szCs w:val="24"/>
              </w:rPr>
            </w:pPr>
            <w:proofErr w:type="spellStart"/>
            <w:r w:rsidRPr="00D47D10">
              <w:rPr>
                <w:rFonts w:eastAsia="Times New Roman" w:cs="Times New Roman"/>
                <w:color w:val="000000"/>
                <w:szCs w:val="24"/>
              </w:rPr>
              <w:t>Northeast</w:t>
            </w:r>
            <w:proofErr w:type="spellEnd"/>
            <w:r>
              <w:rPr>
                <w:rFonts w:eastAsia="Times New Roman" w:cs="Times New Roman"/>
                <w:color w:val="000000"/>
                <w:szCs w:val="24"/>
              </w:rPr>
              <w:t xml:space="preserve"> </w:t>
            </w:r>
            <w:proofErr w:type="spellStart"/>
            <w:r>
              <w:rPr>
                <w:rFonts w:eastAsia="Times New Roman" w:cs="Times New Roman"/>
                <w:color w:val="000000"/>
                <w:szCs w:val="24"/>
              </w:rPr>
              <w:t>states</w:t>
            </w:r>
            <w:proofErr w:type="spellEnd"/>
          </w:p>
        </w:tc>
        <w:tc>
          <w:tcPr>
            <w:tcW w:w="1260" w:type="dxa"/>
            <w:tcBorders>
              <w:top w:val="nil"/>
              <w:left w:val="nil"/>
              <w:bottom w:val="single" w:sz="4" w:space="0" w:color="auto"/>
              <w:right w:val="nil"/>
            </w:tcBorders>
            <w:shd w:val="clear" w:color="000000" w:fill="FFFFFF"/>
            <w:noWrap/>
            <w:vAlign w:val="center"/>
            <w:hideMark/>
          </w:tcPr>
          <w:p w14:paraId="3F2BD780"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0.393</w:t>
            </w:r>
          </w:p>
        </w:tc>
        <w:tc>
          <w:tcPr>
            <w:tcW w:w="1694" w:type="dxa"/>
            <w:tcBorders>
              <w:top w:val="nil"/>
              <w:left w:val="nil"/>
              <w:bottom w:val="single" w:sz="4" w:space="0" w:color="auto"/>
              <w:right w:val="nil"/>
            </w:tcBorders>
            <w:shd w:val="clear" w:color="000000" w:fill="FFFFFF"/>
            <w:noWrap/>
            <w:vAlign w:val="center"/>
            <w:hideMark/>
          </w:tcPr>
          <w:p w14:paraId="0FF71E8C"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0.391</w:t>
            </w:r>
          </w:p>
        </w:tc>
        <w:tc>
          <w:tcPr>
            <w:tcW w:w="1141" w:type="dxa"/>
            <w:tcBorders>
              <w:top w:val="nil"/>
              <w:left w:val="nil"/>
              <w:bottom w:val="single" w:sz="4" w:space="0" w:color="auto"/>
              <w:right w:val="nil"/>
            </w:tcBorders>
            <w:shd w:val="clear" w:color="000000" w:fill="FFFFFF"/>
            <w:noWrap/>
            <w:vAlign w:val="center"/>
            <w:hideMark/>
          </w:tcPr>
          <w:p w14:paraId="165B9A8F" w14:textId="77777777" w:rsidR="005862C0" w:rsidRPr="00D47D10" w:rsidRDefault="005862C0" w:rsidP="00184876">
            <w:pPr>
              <w:spacing w:before="120" w:after="120" w:line="240" w:lineRule="auto"/>
              <w:jc w:val="center"/>
              <w:rPr>
                <w:rFonts w:eastAsia="Times New Roman" w:cs="Times New Roman"/>
                <w:color w:val="000000"/>
                <w:szCs w:val="24"/>
              </w:rPr>
            </w:pPr>
            <w:r w:rsidRPr="00D47D10">
              <w:rPr>
                <w:rFonts w:eastAsia="Times New Roman" w:cs="Times New Roman"/>
                <w:color w:val="000000"/>
                <w:szCs w:val="24"/>
              </w:rPr>
              <w:t>-0.46%</w:t>
            </w:r>
          </w:p>
        </w:tc>
      </w:tr>
    </w:tbl>
    <w:p w14:paraId="1B3DD753" w14:textId="77777777" w:rsidR="005862C0" w:rsidRDefault="005862C0" w:rsidP="00184876">
      <w:pPr>
        <w:spacing w:before="120" w:after="120" w:line="240" w:lineRule="auto"/>
        <w:ind w:firstLine="1560"/>
        <w:rPr>
          <w:rFonts w:cs="Times New Roman"/>
          <w:lang w:val="en-US"/>
        </w:rPr>
      </w:pPr>
      <w:r w:rsidRPr="002D6E99">
        <w:rPr>
          <w:rFonts w:cs="Times New Roman"/>
          <w:sz w:val="20"/>
          <w:szCs w:val="24"/>
          <w:lang w:val="en-US"/>
        </w:rPr>
        <w:t xml:space="preserve">Source: Authors’ own elaboration based on </w:t>
      </w:r>
      <w:r>
        <w:rPr>
          <w:rFonts w:cs="Times New Roman"/>
          <w:sz w:val="20"/>
          <w:szCs w:val="24"/>
          <w:lang w:val="en-US"/>
        </w:rPr>
        <w:t>CGE</w:t>
      </w:r>
      <w:r w:rsidRPr="002D6E99">
        <w:rPr>
          <w:rFonts w:cs="Times New Roman"/>
          <w:sz w:val="20"/>
          <w:szCs w:val="24"/>
          <w:lang w:val="en-US"/>
        </w:rPr>
        <w:t xml:space="preserve"> simulations.</w:t>
      </w:r>
    </w:p>
    <w:p w14:paraId="3F5EE861" w14:textId="77777777" w:rsidR="005862C0" w:rsidRDefault="005862C0" w:rsidP="00184876">
      <w:pPr>
        <w:spacing w:before="120" w:after="120" w:line="240" w:lineRule="auto"/>
        <w:rPr>
          <w:szCs w:val="24"/>
          <w:lang w:val="en-GB"/>
        </w:rPr>
      </w:pPr>
    </w:p>
    <w:p w14:paraId="1E807265" w14:textId="1DF7E266" w:rsidR="00EB1D81" w:rsidRDefault="00EB1D81" w:rsidP="00184876">
      <w:pPr>
        <w:spacing w:before="120" w:after="120" w:line="240" w:lineRule="auto"/>
        <w:jc w:val="both"/>
        <w:rPr>
          <w:szCs w:val="24"/>
          <w:lang w:val="en-US"/>
        </w:rPr>
      </w:pPr>
      <w:r>
        <w:rPr>
          <w:noProof/>
          <w:szCs w:val="24"/>
        </w:rPr>
        <w:drawing>
          <wp:inline distT="0" distB="0" distL="0" distR="0" wp14:anchorId="4F437026" wp14:editId="0092E215">
            <wp:extent cx="5782310" cy="2525395"/>
            <wp:effectExtent l="0" t="0" r="8890" b="14605"/>
            <wp:docPr id="10" name="Chart 10">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07CF6431-15FC-4B89-9BD7-9A1F37E087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B14B55" w14:textId="77777777" w:rsidR="00EB1D81" w:rsidRDefault="00EB1D81" w:rsidP="00184876">
      <w:pPr>
        <w:spacing w:before="120" w:after="120" w:line="240" w:lineRule="auto"/>
        <w:jc w:val="both"/>
        <w:rPr>
          <w:rFonts w:cs="Times New Roman"/>
          <w:szCs w:val="24"/>
          <w:lang w:val="en-US"/>
        </w:rPr>
      </w:pPr>
      <w:r>
        <w:rPr>
          <w:rFonts w:cs="Times New Roman"/>
          <w:szCs w:val="24"/>
          <w:lang w:val="en-US"/>
        </w:rPr>
        <w:t xml:space="preserve">Figure 1: GDP results in the Brazilian Northeast, Baseline and Policy Scenarios – accumulated growth rate (%) </w:t>
      </w:r>
    </w:p>
    <w:p w14:paraId="6CA3D005" w14:textId="77777777" w:rsidR="00EB1D81" w:rsidRDefault="00EB1D81"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CGE simulations.</w:t>
      </w:r>
    </w:p>
    <w:p w14:paraId="3705A8FB" w14:textId="53B9731B" w:rsidR="00184876" w:rsidRDefault="00184876">
      <w:pPr>
        <w:rPr>
          <w:rFonts w:cs="Times New Roman"/>
          <w:sz w:val="20"/>
          <w:szCs w:val="24"/>
          <w:lang w:val="en-US"/>
        </w:rPr>
      </w:pPr>
      <w:r>
        <w:rPr>
          <w:rFonts w:cs="Times New Roman"/>
          <w:sz w:val="20"/>
          <w:szCs w:val="24"/>
          <w:lang w:val="en-US"/>
        </w:rPr>
        <w:br w:type="page"/>
      </w:r>
    </w:p>
    <w:p w14:paraId="63704F58" w14:textId="7257C5AB" w:rsidR="00EB1D81" w:rsidRDefault="00EB1D81" w:rsidP="00184876">
      <w:pPr>
        <w:spacing w:before="120" w:after="120" w:line="240" w:lineRule="auto"/>
        <w:jc w:val="center"/>
        <w:rPr>
          <w:rFonts w:cs="Times New Roman"/>
        </w:rPr>
      </w:pPr>
      <w:r>
        <w:rPr>
          <w:noProof/>
        </w:rPr>
        <w:lastRenderedPageBreak/>
        <w:drawing>
          <wp:inline distT="0" distB="0" distL="0" distR="0" wp14:anchorId="69324B27" wp14:editId="1F935605">
            <wp:extent cx="5782310" cy="2525395"/>
            <wp:effectExtent l="0" t="0" r="8890" b="14605"/>
            <wp:docPr id="4" name="Chart 4">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DF4508C-6CF4-48AE-9E79-320F55911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A0C2CD" w14:textId="77777777" w:rsidR="00EB1D81" w:rsidRDefault="00EB1D81" w:rsidP="00184876">
      <w:pPr>
        <w:spacing w:before="120" w:after="120" w:line="240" w:lineRule="auto"/>
        <w:jc w:val="both"/>
        <w:rPr>
          <w:rFonts w:cs="Times New Roman"/>
          <w:szCs w:val="24"/>
          <w:lang w:val="en-US"/>
        </w:rPr>
      </w:pPr>
      <w:r>
        <w:rPr>
          <w:rFonts w:cs="Times New Roman"/>
          <w:szCs w:val="24"/>
          <w:lang w:val="en-US"/>
        </w:rPr>
        <w:t>Figure 2: Macroeconomic results in the Brazilian Northeast: accumulated deviation 2014–25 compared with the baseline (%).</w:t>
      </w:r>
    </w:p>
    <w:p w14:paraId="405E1886" w14:textId="77777777" w:rsidR="00EB1D81" w:rsidRDefault="00EB1D81"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CGE simulations.</w:t>
      </w:r>
    </w:p>
    <w:p w14:paraId="74DFB5A7" w14:textId="5356680A" w:rsidR="00EB1D81" w:rsidRDefault="00EB1D81" w:rsidP="00184876">
      <w:pPr>
        <w:spacing w:before="120" w:after="120" w:line="240" w:lineRule="auto"/>
        <w:rPr>
          <w:rFonts w:cs="Times New Roman"/>
          <w:lang w:val="en-US"/>
        </w:rPr>
      </w:pPr>
    </w:p>
    <w:p w14:paraId="66B55790" w14:textId="77777777" w:rsidR="00EB1D81" w:rsidRDefault="00EB1D81" w:rsidP="00184876">
      <w:pPr>
        <w:spacing w:before="120" w:after="120" w:line="240" w:lineRule="auto"/>
        <w:jc w:val="both"/>
        <w:rPr>
          <w:rFonts w:cs="Times New Roman"/>
          <w:lang w:val="en-US"/>
        </w:rPr>
      </w:pPr>
    </w:p>
    <w:p w14:paraId="4548B3DD" w14:textId="64BB7D79" w:rsidR="00EB1D81" w:rsidRDefault="00EB1D81" w:rsidP="00184876">
      <w:pPr>
        <w:spacing w:before="120" w:after="120" w:line="240" w:lineRule="auto"/>
        <w:jc w:val="both"/>
        <w:rPr>
          <w:rFonts w:cs="Times New Roman"/>
          <w:lang w:val="en-US"/>
        </w:rPr>
      </w:pPr>
      <w:r>
        <w:rPr>
          <w:noProof/>
        </w:rPr>
        <w:drawing>
          <wp:inline distT="0" distB="0" distL="0" distR="0" wp14:anchorId="4979FFD8" wp14:editId="3D9A54FF">
            <wp:extent cx="5782310" cy="2525395"/>
            <wp:effectExtent l="0" t="0" r="8890" b="14605"/>
            <wp:docPr id="15" name="Chart 15">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582EDA88-856C-4261-9ECB-CDE055132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290A37" w14:textId="77777777" w:rsidR="00EB1D81" w:rsidRDefault="00EB1D81" w:rsidP="00184876">
      <w:pPr>
        <w:spacing w:before="120" w:after="120" w:line="240" w:lineRule="auto"/>
        <w:jc w:val="both"/>
        <w:rPr>
          <w:rFonts w:cs="Times New Roman"/>
          <w:szCs w:val="24"/>
          <w:lang w:val="en-US"/>
        </w:rPr>
      </w:pPr>
      <w:r>
        <w:rPr>
          <w:rFonts w:cs="Times New Roman"/>
          <w:szCs w:val="24"/>
          <w:lang w:val="en-US"/>
        </w:rPr>
        <w:t>Figure 3: FNE impacts on Northeast’s exports and imports: accumulated deviation 2014–25 compared with the baseline (%).</w:t>
      </w:r>
    </w:p>
    <w:p w14:paraId="6E79AD27" w14:textId="77777777" w:rsidR="00EB1D81" w:rsidRDefault="00EB1D81"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CGE simulations.</w:t>
      </w:r>
    </w:p>
    <w:p w14:paraId="55ED1F08" w14:textId="04CC4915" w:rsidR="00EB1D81" w:rsidRDefault="00EB1D81" w:rsidP="00184876">
      <w:pPr>
        <w:spacing w:before="120" w:after="120" w:line="240" w:lineRule="auto"/>
        <w:rPr>
          <w:rFonts w:cs="Times New Roman"/>
          <w:sz w:val="20"/>
          <w:szCs w:val="24"/>
          <w:lang w:val="en-US"/>
        </w:rPr>
      </w:pPr>
      <w:r>
        <w:rPr>
          <w:rFonts w:cs="Times New Roman"/>
          <w:sz w:val="20"/>
          <w:szCs w:val="24"/>
          <w:lang w:val="en-US"/>
        </w:rPr>
        <w:br w:type="page"/>
      </w:r>
    </w:p>
    <w:p w14:paraId="2C1C4F92" w14:textId="77777777" w:rsidR="00EB1D81" w:rsidRDefault="00EB1D81" w:rsidP="00184876">
      <w:pPr>
        <w:spacing w:before="120" w:after="120" w:line="240" w:lineRule="auto"/>
        <w:jc w:val="both"/>
        <w:rPr>
          <w:rFonts w:cs="Times New Roman"/>
          <w:sz w:val="20"/>
          <w:szCs w:val="24"/>
          <w:lang w:val="en-US"/>
        </w:rPr>
      </w:pPr>
    </w:p>
    <w:p w14:paraId="4CF4B4D1" w14:textId="6C0B7633" w:rsidR="00EB1D81" w:rsidRDefault="00EB1D81" w:rsidP="00184876">
      <w:pPr>
        <w:spacing w:before="120" w:after="120" w:line="240" w:lineRule="auto"/>
        <w:jc w:val="center"/>
        <w:rPr>
          <w:rFonts w:cs="Times New Roman"/>
        </w:rPr>
      </w:pPr>
      <w:r>
        <w:rPr>
          <w:rFonts w:cs="Times New Roman"/>
          <w:noProof/>
        </w:rPr>
        <w:drawing>
          <wp:inline distT="0" distB="0" distL="0" distR="0" wp14:anchorId="6858D1CA" wp14:editId="5EB54B02">
            <wp:extent cx="5495290" cy="338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290" cy="3387725"/>
                    </a:xfrm>
                    <a:prstGeom prst="rect">
                      <a:avLst/>
                    </a:prstGeom>
                    <a:noFill/>
                    <a:ln>
                      <a:noFill/>
                    </a:ln>
                  </pic:spPr>
                </pic:pic>
              </a:graphicData>
            </a:graphic>
          </wp:inline>
        </w:drawing>
      </w:r>
    </w:p>
    <w:p w14:paraId="62C9954F" w14:textId="77777777" w:rsidR="00EB1D81" w:rsidRDefault="00EB1D81" w:rsidP="00184876">
      <w:pPr>
        <w:spacing w:before="120" w:after="120" w:line="240" w:lineRule="auto"/>
        <w:jc w:val="both"/>
        <w:rPr>
          <w:rFonts w:cs="Times New Roman"/>
          <w:szCs w:val="24"/>
          <w:lang w:val="en-US"/>
        </w:rPr>
      </w:pPr>
      <w:r>
        <w:rPr>
          <w:rFonts w:cs="Times New Roman"/>
          <w:szCs w:val="24"/>
          <w:lang w:val="en-US"/>
        </w:rPr>
        <w:t>Figure 4: FNE impacts on Brazilian states’ GDP: accumulated deviation 2014–25 compared with the baseline (%).</w:t>
      </w:r>
    </w:p>
    <w:p w14:paraId="6A71DA4D" w14:textId="77777777" w:rsidR="00EB1D81" w:rsidRDefault="00EB1D81"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CGE simulations.</w:t>
      </w:r>
    </w:p>
    <w:p w14:paraId="55255C92" w14:textId="34E2315C" w:rsidR="00EB1D81" w:rsidRDefault="00EB1D81" w:rsidP="00184876">
      <w:pPr>
        <w:spacing w:before="120" w:after="120" w:line="240" w:lineRule="auto"/>
        <w:rPr>
          <w:rFonts w:cs="Times New Roman"/>
          <w:sz w:val="20"/>
          <w:szCs w:val="24"/>
          <w:lang w:val="en-US"/>
        </w:rPr>
      </w:pPr>
    </w:p>
    <w:p w14:paraId="30AC62CB" w14:textId="77777777" w:rsidR="00EB1D81" w:rsidRDefault="00EB1D81" w:rsidP="00184876">
      <w:pPr>
        <w:spacing w:before="120" w:after="120" w:line="240" w:lineRule="auto"/>
        <w:jc w:val="both"/>
        <w:rPr>
          <w:rFonts w:cs="Times New Roman"/>
          <w:sz w:val="20"/>
          <w:szCs w:val="24"/>
          <w:lang w:val="en-US"/>
        </w:rPr>
      </w:pPr>
    </w:p>
    <w:p w14:paraId="2CD0BDAD" w14:textId="64A06D29" w:rsidR="00EB1D81" w:rsidRDefault="00EB1D81" w:rsidP="00184876">
      <w:pPr>
        <w:spacing w:before="120" w:after="120" w:line="240" w:lineRule="auto"/>
        <w:jc w:val="center"/>
        <w:rPr>
          <w:rFonts w:cs="Times New Roman"/>
          <w:lang w:val="en-US"/>
        </w:rPr>
      </w:pPr>
      <w:r>
        <w:rPr>
          <w:rFonts w:cs="Times New Roman"/>
          <w:noProof/>
        </w:rPr>
        <w:drawing>
          <wp:inline distT="0" distB="0" distL="0" distR="0" wp14:anchorId="327527CC" wp14:editId="1C542F1F">
            <wp:extent cx="5756275" cy="33877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3387725"/>
                    </a:xfrm>
                    <a:prstGeom prst="rect">
                      <a:avLst/>
                    </a:prstGeom>
                    <a:noFill/>
                    <a:ln>
                      <a:noFill/>
                    </a:ln>
                  </pic:spPr>
                </pic:pic>
              </a:graphicData>
            </a:graphic>
          </wp:inline>
        </w:drawing>
      </w:r>
    </w:p>
    <w:p w14:paraId="5F09596E" w14:textId="77777777" w:rsidR="00EB1D81" w:rsidRDefault="00EB1D81" w:rsidP="00184876">
      <w:pPr>
        <w:spacing w:before="120" w:after="120" w:line="240" w:lineRule="auto"/>
        <w:jc w:val="both"/>
        <w:rPr>
          <w:rFonts w:cs="Times New Roman"/>
          <w:szCs w:val="24"/>
          <w:lang w:val="en-US"/>
        </w:rPr>
      </w:pPr>
      <w:r>
        <w:rPr>
          <w:rFonts w:cs="Times New Roman"/>
          <w:szCs w:val="24"/>
          <w:lang w:val="en-US"/>
        </w:rPr>
        <w:t>Figure 5: FNE impacts on Brazilian states’ employment: accumulated deviation 2014–25 compared with the baseline (%).</w:t>
      </w:r>
    </w:p>
    <w:p w14:paraId="04B8CB06" w14:textId="77777777" w:rsidR="00EB1D81" w:rsidRDefault="00EB1D81"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CGE simulations.</w:t>
      </w:r>
    </w:p>
    <w:p w14:paraId="40515489" w14:textId="6056CA27" w:rsidR="00EB1D81" w:rsidRDefault="00EB1D81" w:rsidP="00184876">
      <w:pPr>
        <w:spacing w:before="120" w:after="120" w:line="240" w:lineRule="auto"/>
        <w:rPr>
          <w:rFonts w:cs="Times New Roman"/>
          <w:sz w:val="20"/>
          <w:szCs w:val="24"/>
          <w:lang w:val="en-US"/>
        </w:rPr>
      </w:pPr>
      <w:r>
        <w:rPr>
          <w:rFonts w:cs="Times New Roman"/>
          <w:sz w:val="20"/>
          <w:szCs w:val="24"/>
          <w:lang w:val="en-US"/>
        </w:rPr>
        <w:br w:type="page"/>
      </w:r>
    </w:p>
    <w:p w14:paraId="7C963426" w14:textId="77777777" w:rsidR="00EB1D81" w:rsidRDefault="00EB1D81" w:rsidP="00184876">
      <w:pPr>
        <w:spacing w:before="120" w:after="120" w:line="240" w:lineRule="auto"/>
        <w:jc w:val="both"/>
        <w:rPr>
          <w:rFonts w:cs="Times New Roman"/>
          <w:sz w:val="20"/>
          <w:szCs w:val="24"/>
          <w:lang w:val="en-US"/>
        </w:rPr>
      </w:pPr>
    </w:p>
    <w:p w14:paraId="0B24DDD2" w14:textId="7273FE31" w:rsidR="00EB1D81" w:rsidRDefault="00EB1D81" w:rsidP="00184876">
      <w:pPr>
        <w:spacing w:before="120" w:after="120" w:line="240" w:lineRule="auto"/>
        <w:jc w:val="center"/>
        <w:rPr>
          <w:rFonts w:cs="Times New Roman"/>
          <w:lang w:val="en-US"/>
        </w:rPr>
      </w:pPr>
      <w:r>
        <w:rPr>
          <w:rFonts w:cs="Times New Roman"/>
          <w:noProof/>
        </w:rPr>
        <w:drawing>
          <wp:inline distT="0" distB="0" distL="0" distR="0" wp14:anchorId="538488C9" wp14:editId="569A246B">
            <wp:extent cx="5007610"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7610" cy="3457575"/>
                    </a:xfrm>
                    <a:prstGeom prst="rect">
                      <a:avLst/>
                    </a:prstGeom>
                    <a:noFill/>
                    <a:ln>
                      <a:noFill/>
                    </a:ln>
                  </pic:spPr>
                </pic:pic>
              </a:graphicData>
            </a:graphic>
          </wp:inline>
        </w:drawing>
      </w:r>
    </w:p>
    <w:p w14:paraId="205E70CC" w14:textId="77777777" w:rsidR="00EB1D81" w:rsidRDefault="00EB1D81" w:rsidP="00184876">
      <w:pPr>
        <w:spacing w:before="120" w:after="120" w:line="240" w:lineRule="auto"/>
        <w:jc w:val="both"/>
        <w:rPr>
          <w:rFonts w:cs="Times New Roman"/>
          <w:lang w:val="en-US"/>
        </w:rPr>
      </w:pPr>
      <w:r>
        <w:rPr>
          <w:rFonts w:cs="Times New Roman"/>
          <w:lang w:val="en-US"/>
        </w:rPr>
        <w:t>Figure 6: Impacts on sectorial output and employment in the Northeast region - accumulated deviation 2014-2025 compared to baseline (%)</w:t>
      </w:r>
    </w:p>
    <w:p w14:paraId="6219FBBA" w14:textId="77777777" w:rsidR="00EB1D81" w:rsidRDefault="00EB1D81" w:rsidP="00184876">
      <w:pPr>
        <w:spacing w:before="120" w:after="120" w:line="240" w:lineRule="auto"/>
        <w:rPr>
          <w:rFonts w:cs="Times New Roman"/>
          <w:lang w:val="en-US"/>
        </w:rPr>
      </w:pPr>
      <w:r>
        <w:rPr>
          <w:rFonts w:cs="Times New Roman"/>
          <w:sz w:val="20"/>
          <w:szCs w:val="24"/>
          <w:lang w:val="en-US"/>
        </w:rPr>
        <w:t>Source: Authors’ own elaboration based on CGE simulations.</w:t>
      </w:r>
    </w:p>
    <w:p w14:paraId="6664EDBE" w14:textId="77777777" w:rsidR="00E8300D" w:rsidRDefault="00E8300D" w:rsidP="00184876">
      <w:pPr>
        <w:spacing w:before="120" w:after="120" w:line="240" w:lineRule="auto"/>
        <w:jc w:val="center"/>
        <w:rPr>
          <w:rFonts w:cs="Times New Roman"/>
          <w:lang w:val="en-GB"/>
        </w:rPr>
      </w:pPr>
    </w:p>
    <w:p w14:paraId="49018663" w14:textId="39477921" w:rsidR="002961DD" w:rsidRDefault="002961DD" w:rsidP="00184876">
      <w:pPr>
        <w:spacing w:before="120" w:after="120" w:line="240" w:lineRule="auto"/>
        <w:rPr>
          <w:rFonts w:cs="Times New Roman"/>
          <w:sz w:val="20"/>
          <w:szCs w:val="24"/>
          <w:lang w:val="en-GB"/>
        </w:rPr>
      </w:pPr>
      <w:r>
        <w:rPr>
          <w:rFonts w:cs="Times New Roman"/>
          <w:sz w:val="20"/>
          <w:szCs w:val="24"/>
          <w:lang w:val="en-GB"/>
        </w:rPr>
        <w:br w:type="page"/>
      </w:r>
    </w:p>
    <w:p w14:paraId="39095C85" w14:textId="77777777" w:rsidR="002961DD" w:rsidRDefault="002961DD" w:rsidP="00184876">
      <w:pPr>
        <w:spacing w:before="120" w:after="120" w:line="240" w:lineRule="auto"/>
        <w:jc w:val="center"/>
        <w:rPr>
          <w:rFonts w:cs="Times New Roman"/>
          <w:szCs w:val="24"/>
          <w:lang w:val="en-US"/>
        </w:rPr>
      </w:pPr>
      <w:r>
        <w:rPr>
          <w:rFonts w:cs="Times New Roman"/>
          <w:lang w:val="en-US"/>
        </w:rPr>
        <w:lastRenderedPageBreak/>
        <w:t xml:space="preserve">Annex 1 – </w:t>
      </w:r>
      <w:r>
        <w:rPr>
          <w:rFonts w:cs="Times New Roman"/>
          <w:szCs w:val="24"/>
          <w:lang w:val="en-US"/>
        </w:rPr>
        <w:t>Sectorial and regional distribution of FNE resources</w:t>
      </w:r>
    </w:p>
    <w:p w14:paraId="26FF6A94" w14:textId="2A314AFE" w:rsidR="002961DD" w:rsidRDefault="002961DD" w:rsidP="00184876">
      <w:pPr>
        <w:spacing w:after="0" w:line="240" w:lineRule="auto"/>
        <w:rPr>
          <w:rFonts w:cs="Times New Roman"/>
          <w:lang w:val="en-US"/>
        </w:rPr>
      </w:pPr>
      <w:r>
        <w:rPr>
          <w:rFonts w:cs="Times New Roman"/>
          <w:noProof/>
        </w:rPr>
        <w:drawing>
          <wp:inline distT="0" distB="0" distL="0" distR="0" wp14:anchorId="767CF864" wp14:editId="2B06427C">
            <wp:extent cx="5768975" cy="2061845"/>
            <wp:effectExtent l="0" t="0" r="0" b="0"/>
            <wp:docPr id="5" name="Chart 5">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58E3B0C5-8732-4D9E-B0F6-6ECA6281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A87932" w14:textId="77777777" w:rsidR="002961DD" w:rsidRDefault="002961DD" w:rsidP="00184876">
      <w:pPr>
        <w:spacing w:after="0" w:line="240" w:lineRule="auto"/>
        <w:jc w:val="center"/>
        <w:rPr>
          <w:rFonts w:cs="Times New Roman"/>
          <w:sz w:val="20"/>
          <w:szCs w:val="20"/>
          <w:lang w:val="en-US"/>
        </w:rPr>
      </w:pPr>
      <w:r>
        <w:rPr>
          <w:rFonts w:cs="Times New Roman"/>
          <w:sz w:val="20"/>
          <w:szCs w:val="20"/>
          <w:lang w:val="en-US"/>
        </w:rPr>
        <w:t>(a)</w:t>
      </w:r>
    </w:p>
    <w:p w14:paraId="6D3E4D4D" w14:textId="4D32BEA7" w:rsidR="002961DD" w:rsidRDefault="002961DD" w:rsidP="00184876">
      <w:pPr>
        <w:spacing w:after="0" w:line="240" w:lineRule="auto"/>
        <w:rPr>
          <w:rFonts w:cs="Times New Roman"/>
          <w:sz w:val="20"/>
          <w:szCs w:val="20"/>
          <w:lang w:val="en-US"/>
        </w:rPr>
      </w:pPr>
      <w:r>
        <w:rPr>
          <w:rFonts w:cs="Times New Roman"/>
          <w:noProof/>
          <w:sz w:val="20"/>
          <w:szCs w:val="20"/>
        </w:rPr>
        <w:drawing>
          <wp:inline distT="0" distB="0" distL="0" distR="0" wp14:anchorId="33521A87" wp14:editId="7D700312">
            <wp:extent cx="5768975" cy="2061845"/>
            <wp:effectExtent l="0" t="0" r="0" b="0"/>
            <wp:docPr id="7" name="Chart 7">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A7F44260-6C2B-4CF8-86CA-2D2BA67AAB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287085" w14:textId="77777777" w:rsidR="002961DD" w:rsidRDefault="002961DD" w:rsidP="00184876">
      <w:pPr>
        <w:spacing w:after="0" w:line="240" w:lineRule="auto"/>
        <w:jc w:val="center"/>
        <w:rPr>
          <w:rFonts w:cs="Times New Roman"/>
          <w:sz w:val="20"/>
          <w:szCs w:val="20"/>
          <w:lang w:val="en-US"/>
        </w:rPr>
      </w:pPr>
      <w:r>
        <w:rPr>
          <w:rFonts w:cs="Times New Roman"/>
          <w:sz w:val="20"/>
          <w:szCs w:val="20"/>
          <w:lang w:val="en-US"/>
        </w:rPr>
        <w:t>(b)</w:t>
      </w:r>
    </w:p>
    <w:p w14:paraId="4C71675F" w14:textId="59B5E050" w:rsidR="002961DD" w:rsidRDefault="002961DD" w:rsidP="00184876">
      <w:pPr>
        <w:spacing w:after="0" w:line="240" w:lineRule="auto"/>
        <w:rPr>
          <w:rFonts w:cs="Times New Roman"/>
          <w:lang w:val="en-US"/>
        </w:rPr>
      </w:pPr>
      <w:r>
        <w:rPr>
          <w:rFonts w:cs="Times New Roman"/>
          <w:noProof/>
        </w:rPr>
        <w:drawing>
          <wp:inline distT="0" distB="0" distL="0" distR="0" wp14:anchorId="6FD06CCE" wp14:editId="21C33ADC">
            <wp:extent cx="5768975" cy="1804035"/>
            <wp:effectExtent l="0" t="0" r="0" b="0"/>
            <wp:docPr id="9" name="Chart 9">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4BEDB16E-43BA-42DE-834B-C87798E1B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97852C" w14:textId="77777777" w:rsidR="002961DD" w:rsidRDefault="002961DD" w:rsidP="00184876">
      <w:pPr>
        <w:spacing w:after="0" w:line="240" w:lineRule="auto"/>
        <w:jc w:val="center"/>
        <w:rPr>
          <w:rFonts w:cs="Times New Roman"/>
          <w:sz w:val="20"/>
          <w:szCs w:val="20"/>
          <w:lang w:val="en-US"/>
        </w:rPr>
      </w:pPr>
      <w:r>
        <w:rPr>
          <w:rFonts w:cs="Times New Roman"/>
          <w:sz w:val="20"/>
          <w:szCs w:val="20"/>
          <w:lang w:val="en-US"/>
        </w:rPr>
        <w:t>(c)</w:t>
      </w:r>
    </w:p>
    <w:p w14:paraId="10DCC4C6" w14:textId="056E7878" w:rsidR="002961DD" w:rsidRDefault="002961DD" w:rsidP="00184876">
      <w:pPr>
        <w:spacing w:after="0" w:line="240" w:lineRule="auto"/>
        <w:jc w:val="both"/>
        <w:rPr>
          <w:rFonts w:cs="Times New Roman"/>
          <w:sz w:val="20"/>
          <w:szCs w:val="20"/>
          <w:lang w:val="en-US"/>
        </w:rPr>
      </w:pPr>
      <w:r>
        <w:rPr>
          <w:rFonts w:cs="Times New Roman"/>
          <w:noProof/>
          <w:sz w:val="20"/>
          <w:szCs w:val="20"/>
        </w:rPr>
        <w:drawing>
          <wp:inline distT="0" distB="0" distL="0" distR="0" wp14:anchorId="29EB0AC8" wp14:editId="73830BF4">
            <wp:extent cx="5768975" cy="1804035"/>
            <wp:effectExtent l="0" t="0" r="0" b="0"/>
            <wp:docPr id="8" name="Chart 8">
              <a:extLst xmlns:a="http://schemas.openxmlformats.org/drawingml/2006/main">
                <a:ext uri="{FF2B5EF4-FFF2-40B4-BE49-F238E27FC236}">
                  <a16:creationId xmlns:mo="http://schemas.microsoft.com/office/mac/office/2008/main" xmlns:mv="urn:schemas-microsoft-com:mac:vml" xmlns:w15="http://schemas.microsoft.com/office/word/2012/wordml"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3DB8F5AA-643B-4B46-A495-E080419DF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75A6F7" w14:textId="77777777" w:rsidR="002961DD" w:rsidRDefault="002961DD" w:rsidP="00184876">
      <w:pPr>
        <w:spacing w:after="0" w:line="240" w:lineRule="auto"/>
        <w:jc w:val="center"/>
        <w:rPr>
          <w:rFonts w:cs="Times New Roman"/>
          <w:sz w:val="20"/>
          <w:szCs w:val="20"/>
          <w:lang w:val="en-US"/>
        </w:rPr>
      </w:pPr>
      <w:r>
        <w:rPr>
          <w:rFonts w:cs="Times New Roman"/>
          <w:sz w:val="20"/>
          <w:szCs w:val="20"/>
          <w:lang w:val="en-US"/>
        </w:rPr>
        <w:t>(d)</w:t>
      </w:r>
    </w:p>
    <w:p w14:paraId="05FEAA21" w14:textId="3DB2B5EC" w:rsidR="00184876" w:rsidRDefault="002961DD" w:rsidP="00184876">
      <w:pPr>
        <w:spacing w:before="120" w:after="120" w:line="240" w:lineRule="auto"/>
        <w:jc w:val="both"/>
        <w:rPr>
          <w:rFonts w:cs="Times New Roman"/>
          <w:sz w:val="20"/>
          <w:szCs w:val="24"/>
          <w:lang w:val="en-US"/>
        </w:rPr>
      </w:pPr>
      <w:r>
        <w:rPr>
          <w:rFonts w:cs="Times New Roman"/>
          <w:sz w:val="20"/>
          <w:szCs w:val="24"/>
          <w:lang w:val="en-US"/>
        </w:rPr>
        <w:t>Source: Authors’ own elaboration based on data provided by the Brazilian Northeast Bank and CGE data.</w:t>
      </w:r>
    </w:p>
    <w:p w14:paraId="0BF9EE50" w14:textId="77777777" w:rsidR="00184876" w:rsidRDefault="00184876">
      <w:pPr>
        <w:rPr>
          <w:rFonts w:cs="Times New Roman"/>
          <w:sz w:val="20"/>
          <w:szCs w:val="24"/>
          <w:lang w:val="en-US"/>
        </w:rPr>
      </w:pPr>
      <w:r>
        <w:rPr>
          <w:rFonts w:cs="Times New Roman"/>
          <w:sz w:val="20"/>
          <w:szCs w:val="24"/>
          <w:lang w:val="en-US"/>
        </w:rPr>
        <w:br w:type="page"/>
      </w:r>
    </w:p>
    <w:p w14:paraId="3C9866F6" w14:textId="77777777" w:rsidR="00D845E4" w:rsidRPr="002961DD" w:rsidRDefault="00D845E4" w:rsidP="00184876">
      <w:pPr>
        <w:spacing w:before="120" w:after="120" w:line="240" w:lineRule="auto"/>
        <w:jc w:val="both"/>
        <w:rPr>
          <w:rFonts w:cs="Times New Roman"/>
          <w:sz w:val="20"/>
          <w:szCs w:val="24"/>
          <w:lang w:val="en-US"/>
        </w:rPr>
      </w:pPr>
    </w:p>
    <w:sectPr w:rsidR="00D845E4" w:rsidRPr="002961DD" w:rsidSect="00184876">
      <w:endnotePr>
        <w:numFmt w:val="decimal"/>
      </w:endnotePr>
      <w:pgSz w:w="11906" w:h="16838"/>
      <w:pgMar w:top="1134" w:right="851" w:bottom="1134" w:left="85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70949" w16cid:durableId="1EB94FEE"/>
  <w16cid:commentId w16cid:paraId="48D79FC5" w16cid:durableId="1EB951F9"/>
  <w16cid:commentId w16cid:paraId="5EECB303" w16cid:durableId="1EB94FF0"/>
  <w16cid:commentId w16cid:paraId="411B430C" w16cid:durableId="1EB95D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943CF" w14:textId="77777777" w:rsidR="00C4377E" w:rsidRDefault="00C4377E" w:rsidP="00C66CF7">
      <w:pPr>
        <w:spacing w:after="0" w:line="240" w:lineRule="auto"/>
      </w:pPr>
      <w:r>
        <w:separator/>
      </w:r>
    </w:p>
  </w:endnote>
  <w:endnote w:type="continuationSeparator" w:id="0">
    <w:p w14:paraId="7CAE475B" w14:textId="77777777" w:rsidR="00C4377E" w:rsidRDefault="00C4377E" w:rsidP="00C66CF7">
      <w:pPr>
        <w:spacing w:after="0" w:line="240" w:lineRule="auto"/>
      </w:pPr>
      <w:r>
        <w:continuationSeparator/>
      </w:r>
    </w:p>
  </w:endnote>
  <w:endnote w:id="1">
    <w:p w14:paraId="744B4943" w14:textId="77777777" w:rsidR="002263E6" w:rsidRPr="00184876" w:rsidRDefault="002263E6">
      <w:pPr>
        <w:pStyle w:val="Textodenotadefim"/>
        <w:rPr>
          <w:rFonts w:cs="Times New Roman"/>
          <w:sz w:val="20"/>
          <w:lang w:val="en-US"/>
        </w:rPr>
      </w:pPr>
      <w:r w:rsidRPr="00184876">
        <w:rPr>
          <w:rStyle w:val="Refdenotadefim"/>
          <w:rFonts w:cs="Times New Roman"/>
          <w:sz w:val="20"/>
        </w:rPr>
        <w:endnoteRef/>
      </w:r>
      <w:r w:rsidRPr="00184876">
        <w:rPr>
          <w:rFonts w:cs="Times New Roman"/>
          <w:sz w:val="20"/>
          <w:lang w:val="en-US"/>
        </w:rPr>
        <w:t xml:space="preserve"> Most of the acronyms are written as if in Portuguese. </w:t>
      </w:r>
    </w:p>
  </w:endnote>
  <w:endnote w:id="2">
    <w:p w14:paraId="07467219" w14:textId="77777777" w:rsidR="002263E6" w:rsidRPr="00184876" w:rsidRDefault="002263E6" w:rsidP="0085690C">
      <w:pPr>
        <w:pStyle w:val="Textodenotadefim"/>
        <w:rPr>
          <w:rFonts w:cs="Times New Roman"/>
          <w:sz w:val="20"/>
          <w:lang w:val="en-US"/>
        </w:rPr>
      </w:pPr>
      <w:r w:rsidRPr="00184876">
        <w:rPr>
          <w:rStyle w:val="Refdenotadefim"/>
          <w:rFonts w:cs="Times New Roman"/>
          <w:sz w:val="20"/>
        </w:rPr>
        <w:endnoteRef/>
      </w:r>
      <w:r w:rsidRPr="00184876">
        <w:rPr>
          <w:rFonts w:cs="Times New Roman"/>
          <w:sz w:val="20"/>
          <w:lang w:val="en-US"/>
        </w:rPr>
        <w:t xml:space="preserve"> The authors thank the Bank of Northeast (BNB) for providing the database. </w:t>
      </w:r>
    </w:p>
  </w:endnote>
  <w:endnote w:id="3">
    <w:p w14:paraId="3493EC25" w14:textId="0E69260C" w:rsidR="002263E6" w:rsidRPr="00184876" w:rsidRDefault="002263E6">
      <w:pPr>
        <w:pStyle w:val="Textodenotadefim"/>
        <w:rPr>
          <w:rFonts w:cs="Times New Roman"/>
          <w:sz w:val="20"/>
          <w:lang w:val="en-US"/>
        </w:rPr>
      </w:pPr>
      <w:r w:rsidRPr="00184876">
        <w:rPr>
          <w:rStyle w:val="Refdenotadefim"/>
          <w:rFonts w:cs="Times New Roman"/>
          <w:sz w:val="20"/>
        </w:rPr>
        <w:endnoteRef/>
      </w:r>
      <w:r w:rsidRPr="00184876">
        <w:rPr>
          <w:rFonts w:cs="Times New Roman"/>
          <w:sz w:val="20"/>
        </w:rPr>
        <w:t xml:space="preserve"> </w:t>
      </w:r>
      <w:r w:rsidRPr="00184876">
        <w:rPr>
          <w:rFonts w:cs="Times New Roman"/>
          <w:i/>
          <w:sz w:val="20"/>
        </w:rPr>
        <w:t>Superintendência de Desenvolvimento do Nordeste</w:t>
      </w:r>
      <w:r w:rsidRPr="00184876">
        <w:rPr>
          <w:rFonts w:cs="Times New Roman"/>
          <w:sz w:val="20"/>
        </w:rPr>
        <w:t xml:space="preserve">. </w:t>
      </w:r>
      <w:r w:rsidRPr="00184876">
        <w:rPr>
          <w:rFonts w:cs="Times New Roman"/>
          <w:sz w:val="20"/>
          <w:lang w:val="en-US"/>
        </w:rPr>
        <w:t>For more details about FNE characteristics, see Almeida et al. (2006).</w:t>
      </w:r>
    </w:p>
  </w:endnote>
  <w:endnote w:id="4">
    <w:p w14:paraId="29D710B9" w14:textId="77777777" w:rsidR="002263E6" w:rsidRPr="00631CCB" w:rsidRDefault="002263E6">
      <w:pPr>
        <w:pStyle w:val="Textodenotadefim"/>
        <w:rPr>
          <w:rFonts w:cs="Times New Roman"/>
          <w:sz w:val="20"/>
          <w:lang w:val="en-US"/>
        </w:rPr>
      </w:pPr>
      <w:r w:rsidRPr="00184876">
        <w:rPr>
          <w:rStyle w:val="Refdenotadefim"/>
          <w:rFonts w:cs="Times New Roman"/>
          <w:sz w:val="20"/>
        </w:rPr>
        <w:endnoteRef/>
      </w:r>
      <w:r w:rsidRPr="00631CCB">
        <w:rPr>
          <w:rFonts w:cs="Times New Roman"/>
          <w:sz w:val="20"/>
          <w:lang w:val="en-US"/>
        </w:rPr>
        <w:t xml:space="preserve"> From Portuguese ‘Imposto Sobre Produtos Industrializados’.</w:t>
      </w:r>
    </w:p>
  </w:endnote>
  <w:endnote w:id="5">
    <w:p w14:paraId="3AA95569" w14:textId="77777777" w:rsidR="002263E6" w:rsidRPr="00184876" w:rsidRDefault="002263E6">
      <w:pPr>
        <w:pStyle w:val="Textodenotadefim"/>
        <w:rPr>
          <w:rFonts w:cs="Times New Roman"/>
          <w:sz w:val="20"/>
          <w:lang w:val="en-US"/>
        </w:rPr>
      </w:pPr>
      <w:r w:rsidRPr="00184876">
        <w:rPr>
          <w:rStyle w:val="Refdenotadefim"/>
          <w:rFonts w:cs="Times New Roman"/>
          <w:sz w:val="20"/>
        </w:rPr>
        <w:endnoteRef/>
      </w:r>
      <w:r w:rsidRPr="00184876">
        <w:rPr>
          <w:rFonts w:cs="Times New Roman"/>
          <w:sz w:val="20"/>
          <w:lang w:val="en-US"/>
        </w:rPr>
        <w:t xml:space="preserve"> The simulation was made using data for investment in the Northeastern states.</w:t>
      </w:r>
    </w:p>
  </w:endnote>
  <w:endnote w:id="6">
    <w:p w14:paraId="0D3E6C92" w14:textId="77777777" w:rsidR="002263E6" w:rsidRPr="00184876" w:rsidRDefault="002263E6">
      <w:pPr>
        <w:pStyle w:val="Textodenotadefim"/>
        <w:rPr>
          <w:rFonts w:cs="Times New Roman"/>
          <w:sz w:val="20"/>
          <w:lang w:val="en-US"/>
        </w:rPr>
      </w:pPr>
      <w:r w:rsidRPr="00184876">
        <w:rPr>
          <w:rStyle w:val="Refdenotadefim"/>
          <w:rFonts w:cs="Times New Roman"/>
          <w:sz w:val="20"/>
        </w:rPr>
        <w:endnoteRef/>
      </w:r>
      <w:r w:rsidRPr="00184876">
        <w:rPr>
          <w:rFonts w:cs="Times New Roman"/>
          <w:sz w:val="20"/>
          <w:lang w:val="en-US"/>
        </w:rPr>
        <w:t xml:space="preserve"> </w:t>
      </w:r>
      <w:proofErr w:type="gramStart"/>
      <w:r w:rsidRPr="00184876">
        <w:rPr>
          <w:rFonts w:cs="Times New Roman"/>
          <w:sz w:val="20"/>
          <w:lang w:val="en-US"/>
        </w:rPr>
        <w:t>Aggregated from 67 industries in the Brazilian input-output database.</w:t>
      </w:r>
      <w:proofErr w:type="gramEnd"/>
      <w:r w:rsidRPr="00184876">
        <w:rPr>
          <w:rFonts w:cs="Times New Roman"/>
          <w:sz w:val="20"/>
          <w:lang w:val="en-US"/>
        </w:rPr>
        <w:t xml:space="preserve"> </w:t>
      </w:r>
    </w:p>
  </w:endnote>
  <w:endnote w:id="7">
    <w:p w14:paraId="2ED7E532" w14:textId="77777777" w:rsidR="002263E6" w:rsidRPr="00184876" w:rsidRDefault="002263E6" w:rsidP="00A45611">
      <w:pPr>
        <w:pStyle w:val="Textodenotadefim"/>
        <w:jc w:val="both"/>
        <w:rPr>
          <w:rFonts w:cs="Times New Roman"/>
          <w:sz w:val="20"/>
          <w:lang w:val="en-US"/>
        </w:rPr>
      </w:pPr>
      <w:r w:rsidRPr="00184876">
        <w:rPr>
          <w:rStyle w:val="Refdenotadefim"/>
          <w:rFonts w:cs="Times New Roman"/>
          <w:sz w:val="20"/>
        </w:rPr>
        <w:endnoteRef/>
      </w:r>
      <w:r w:rsidRPr="00184876">
        <w:rPr>
          <w:rFonts w:cs="Times New Roman"/>
          <w:sz w:val="20"/>
          <w:lang w:val="en-US"/>
        </w:rPr>
        <w:t xml:space="preserve"> For a complete description of equations and solution method see Dixon and </w:t>
      </w:r>
      <w:proofErr w:type="spellStart"/>
      <w:r w:rsidRPr="00184876">
        <w:rPr>
          <w:rFonts w:cs="Times New Roman"/>
          <w:sz w:val="20"/>
          <w:lang w:val="en-US"/>
        </w:rPr>
        <w:t>Rimmer</w:t>
      </w:r>
      <w:proofErr w:type="spellEnd"/>
      <w:r w:rsidRPr="00184876">
        <w:rPr>
          <w:rFonts w:cs="Times New Roman"/>
          <w:sz w:val="20"/>
          <w:lang w:val="en-US"/>
        </w:rPr>
        <w:t xml:space="preserve"> (2002) and </w:t>
      </w:r>
      <w:proofErr w:type="spellStart"/>
      <w:r w:rsidRPr="00184876">
        <w:rPr>
          <w:rFonts w:cs="Times New Roman"/>
          <w:sz w:val="20"/>
          <w:lang w:val="en-US"/>
        </w:rPr>
        <w:t>Wittwer</w:t>
      </w:r>
      <w:proofErr w:type="spellEnd"/>
      <w:r w:rsidRPr="00184876">
        <w:rPr>
          <w:rFonts w:cs="Times New Roman"/>
          <w:sz w:val="20"/>
          <w:lang w:val="en-US"/>
        </w:rPr>
        <w:t xml:space="preserve"> (2012).</w:t>
      </w:r>
    </w:p>
  </w:endnote>
  <w:endnote w:id="8">
    <w:p w14:paraId="2B8085EF" w14:textId="77777777" w:rsidR="002263E6" w:rsidRPr="00184876" w:rsidRDefault="002263E6" w:rsidP="00037D4C">
      <w:pPr>
        <w:pStyle w:val="Textodenotadefim"/>
        <w:jc w:val="both"/>
        <w:rPr>
          <w:sz w:val="20"/>
          <w:lang w:val="en-US"/>
        </w:rPr>
      </w:pPr>
      <w:r w:rsidRPr="00184876">
        <w:rPr>
          <w:rStyle w:val="Refdenotadefim"/>
          <w:sz w:val="20"/>
        </w:rPr>
        <w:endnoteRef/>
      </w:r>
      <w:r w:rsidRPr="00184876">
        <w:rPr>
          <w:sz w:val="20"/>
          <w:lang w:val="en-US"/>
        </w:rPr>
        <w:t xml:space="preserve"> </w:t>
      </w:r>
      <w:r w:rsidRPr="00184876">
        <w:rPr>
          <w:rFonts w:cs="Times New Roman"/>
          <w:sz w:val="20"/>
          <w:lang w:val="en-US"/>
        </w:rPr>
        <w:t xml:space="preserve">In the regionalization process, it was assumed that the regional industries have the same technology (input-output coefficient) of the respective national industry, both for intermediate inputs (domestic and imported) and for primary factors. The regionalization of the final demand vectors (consumption, investment, exports, and government consumption) was based on specific information to each of these components. </w:t>
      </w:r>
      <w:proofErr w:type="gramStart"/>
      <w:r w:rsidRPr="00184876">
        <w:rPr>
          <w:rFonts w:cs="Times New Roman"/>
          <w:sz w:val="20"/>
          <w:lang w:val="en-US"/>
        </w:rPr>
        <w:t xml:space="preserve">See </w:t>
      </w:r>
      <w:proofErr w:type="spellStart"/>
      <w:r w:rsidRPr="00184876">
        <w:rPr>
          <w:rFonts w:cs="Times New Roman"/>
          <w:sz w:val="20"/>
          <w:lang w:val="en-US"/>
        </w:rPr>
        <w:t>Carvalho</w:t>
      </w:r>
      <w:proofErr w:type="spellEnd"/>
      <w:r w:rsidRPr="00184876">
        <w:rPr>
          <w:rFonts w:cs="Times New Roman"/>
          <w:sz w:val="20"/>
          <w:lang w:val="en-US"/>
        </w:rPr>
        <w:t xml:space="preserve"> et al. (2017) and </w:t>
      </w:r>
      <w:proofErr w:type="spellStart"/>
      <w:r w:rsidRPr="00184876">
        <w:rPr>
          <w:rFonts w:cs="Times New Roman"/>
          <w:sz w:val="20"/>
          <w:lang w:val="en-US"/>
        </w:rPr>
        <w:t>Ribeiro</w:t>
      </w:r>
      <w:proofErr w:type="spellEnd"/>
      <w:r w:rsidRPr="00184876">
        <w:rPr>
          <w:rFonts w:cs="Times New Roman"/>
          <w:sz w:val="20"/>
          <w:lang w:val="en-US"/>
        </w:rPr>
        <w:t xml:space="preserve"> et al. (2018) for more information about the regionalization procedure.</w:t>
      </w:r>
      <w:proofErr w:type="gramEnd"/>
      <w:r w:rsidRPr="00184876">
        <w:rPr>
          <w:rFonts w:cs="Times New Roman"/>
          <w:sz w:val="20"/>
          <w:lang w:val="en-US"/>
        </w:rPr>
        <w:t xml:space="preserve"> </w:t>
      </w:r>
    </w:p>
  </w:endnote>
  <w:endnote w:id="9">
    <w:p w14:paraId="7C9EE256" w14:textId="77777777" w:rsidR="002263E6" w:rsidRPr="00BF50F6" w:rsidRDefault="002263E6">
      <w:pPr>
        <w:pStyle w:val="Textodenotadefim"/>
        <w:rPr>
          <w:lang w:val="en-US"/>
        </w:rPr>
      </w:pPr>
      <w:r w:rsidRPr="00184876">
        <w:rPr>
          <w:rStyle w:val="Refdenotadefim"/>
          <w:sz w:val="20"/>
        </w:rPr>
        <w:endnoteRef/>
      </w:r>
      <w:r w:rsidRPr="00184876">
        <w:rPr>
          <w:sz w:val="20"/>
          <w:lang w:val="en-US"/>
        </w:rPr>
        <w:t xml:space="preserve"> With the exception of the regional population growth variable, the baseline scenario does not incorporate other regional characteristics; accordingly regions follow national macroeconomic trends.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444B4" w14:textId="77777777" w:rsidR="00C4377E" w:rsidRDefault="00C4377E" w:rsidP="00C66CF7">
      <w:pPr>
        <w:spacing w:after="0" w:line="240" w:lineRule="auto"/>
      </w:pPr>
      <w:r>
        <w:separator/>
      </w:r>
    </w:p>
  </w:footnote>
  <w:footnote w:type="continuationSeparator" w:id="0">
    <w:p w14:paraId="58B6A9A5" w14:textId="77777777" w:rsidR="00C4377E" w:rsidRDefault="00C4377E" w:rsidP="00C66CF7">
      <w:pPr>
        <w:spacing w:after="0" w:line="240" w:lineRule="auto"/>
      </w:pPr>
      <w:r>
        <w:continuationSeparator/>
      </w:r>
    </w:p>
  </w:footnote>
  <w:footnote w:id="1">
    <w:p w14:paraId="11291F56" w14:textId="5CB48D1D" w:rsidR="00631CCB" w:rsidRPr="00631CCB" w:rsidRDefault="00631CCB" w:rsidP="00631CCB">
      <w:pPr>
        <w:spacing w:after="0" w:line="240" w:lineRule="auto"/>
        <w:jc w:val="both"/>
        <w:rPr>
          <w:rFonts w:cs="Times New Roman"/>
          <w:sz w:val="20"/>
          <w:szCs w:val="20"/>
          <w:lang w:val="en-GB"/>
        </w:rPr>
      </w:pPr>
      <w:r w:rsidRPr="00631CCB">
        <w:rPr>
          <w:rStyle w:val="Refdenotaderodap"/>
          <w:sz w:val="20"/>
          <w:szCs w:val="20"/>
        </w:rPr>
        <w:footnoteRef/>
      </w:r>
      <w:r w:rsidRPr="00631CCB">
        <w:rPr>
          <w:sz w:val="20"/>
          <w:szCs w:val="20"/>
          <w:lang w:val="en-US"/>
        </w:rPr>
        <w:t xml:space="preserve"> </w:t>
      </w:r>
      <w:proofErr w:type="gramStart"/>
      <w:r w:rsidRPr="00631CCB">
        <w:rPr>
          <w:rFonts w:cs="Times New Roman"/>
          <w:sz w:val="20"/>
          <w:szCs w:val="20"/>
          <w:lang w:val="en-GB"/>
        </w:rPr>
        <w:t xml:space="preserve">Assistant Professor at Department of Economics - Federal University of </w:t>
      </w:r>
      <w:proofErr w:type="spellStart"/>
      <w:r w:rsidRPr="00631CCB">
        <w:rPr>
          <w:rFonts w:cs="Times New Roman"/>
          <w:sz w:val="20"/>
          <w:szCs w:val="20"/>
          <w:lang w:val="en-GB"/>
        </w:rPr>
        <w:t>Sergipe</w:t>
      </w:r>
      <w:proofErr w:type="spellEnd"/>
      <w:r w:rsidRPr="00631CCB">
        <w:rPr>
          <w:rFonts w:cs="Times New Roman"/>
          <w:sz w:val="20"/>
          <w:szCs w:val="20"/>
          <w:lang w:val="en-GB"/>
        </w:rPr>
        <w:t>, Brazil.</w:t>
      </w:r>
      <w:proofErr w:type="gramEnd"/>
      <w:r w:rsidRPr="00631CCB">
        <w:rPr>
          <w:rFonts w:cs="Times New Roman"/>
          <w:sz w:val="20"/>
          <w:szCs w:val="20"/>
          <w:lang w:val="en-GB"/>
        </w:rPr>
        <w:t xml:space="preserve"> </w:t>
      </w:r>
      <w:r w:rsidRPr="00631CCB">
        <w:rPr>
          <w:rFonts w:cs="Times New Roman"/>
          <w:sz w:val="20"/>
          <w:szCs w:val="20"/>
        </w:rPr>
        <w:t xml:space="preserve">CNPq </w:t>
      </w:r>
      <w:proofErr w:type="spellStart"/>
      <w:r w:rsidRPr="00631CCB">
        <w:rPr>
          <w:rFonts w:cs="Times New Roman"/>
          <w:sz w:val="20"/>
          <w:szCs w:val="20"/>
        </w:rPr>
        <w:t>researcher</w:t>
      </w:r>
      <w:proofErr w:type="spellEnd"/>
      <w:r w:rsidRPr="00631CCB">
        <w:rPr>
          <w:rFonts w:cs="Times New Roman"/>
          <w:sz w:val="20"/>
          <w:szCs w:val="20"/>
        </w:rPr>
        <w:t xml:space="preserve">. </w:t>
      </w:r>
      <w:r w:rsidRPr="00631CCB">
        <w:rPr>
          <w:rFonts w:cs="Times New Roman"/>
          <w:sz w:val="20"/>
          <w:szCs w:val="20"/>
          <w:lang w:val="en-GB"/>
        </w:rPr>
        <w:t>E-mail: ribeiro.luiz84@gmail.com</w:t>
      </w:r>
      <w:r w:rsidRPr="00631CCB">
        <w:rPr>
          <w:rFonts w:cs="Times New Roman"/>
          <w:sz w:val="20"/>
          <w:szCs w:val="20"/>
          <w:lang w:val="en-GB"/>
        </w:rPr>
        <w:t xml:space="preserve">. </w:t>
      </w:r>
    </w:p>
  </w:footnote>
  <w:footnote w:id="2">
    <w:p w14:paraId="7FB408D3" w14:textId="7CEA5430" w:rsidR="00631CCB" w:rsidRPr="00631CCB" w:rsidRDefault="00631CCB" w:rsidP="00631CCB">
      <w:pPr>
        <w:spacing w:after="0" w:line="240" w:lineRule="auto"/>
        <w:jc w:val="both"/>
        <w:rPr>
          <w:rFonts w:cs="Times New Roman"/>
          <w:sz w:val="20"/>
          <w:szCs w:val="20"/>
          <w:lang w:val="en-GB"/>
        </w:rPr>
      </w:pPr>
      <w:r w:rsidRPr="00631CCB">
        <w:rPr>
          <w:rStyle w:val="Refdenotaderodap"/>
          <w:sz w:val="20"/>
          <w:szCs w:val="20"/>
        </w:rPr>
        <w:footnoteRef/>
      </w:r>
      <w:r w:rsidRPr="00631CCB">
        <w:rPr>
          <w:sz w:val="20"/>
          <w:szCs w:val="20"/>
          <w:lang w:val="en-US"/>
        </w:rPr>
        <w:t xml:space="preserve"> </w:t>
      </w:r>
      <w:proofErr w:type="gramStart"/>
      <w:r w:rsidRPr="00631CCB">
        <w:rPr>
          <w:rFonts w:cs="Times New Roman"/>
          <w:sz w:val="20"/>
          <w:szCs w:val="20"/>
          <w:lang w:val="en-GB"/>
        </w:rPr>
        <w:t>Visiting Assistant Professor at University of Illinois at Urbana-Champaign, USA.</w:t>
      </w:r>
      <w:proofErr w:type="gramEnd"/>
      <w:r w:rsidRPr="00631CCB">
        <w:rPr>
          <w:rFonts w:cs="Times New Roman"/>
          <w:sz w:val="20"/>
          <w:szCs w:val="20"/>
          <w:lang w:val="en-GB"/>
        </w:rPr>
        <w:t xml:space="preserve"> E-mail: rcaldas@illinois.edu</w:t>
      </w:r>
      <w:r>
        <w:rPr>
          <w:rFonts w:cs="Times New Roman"/>
          <w:sz w:val="20"/>
          <w:szCs w:val="20"/>
          <w:lang w:val="en-GB"/>
        </w:rPr>
        <w:t xml:space="preserve">. </w:t>
      </w:r>
    </w:p>
  </w:footnote>
  <w:footnote w:id="3">
    <w:p w14:paraId="2C7D3F90" w14:textId="3F0A53B9" w:rsidR="00631CCB" w:rsidRPr="00631CCB" w:rsidRDefault="00631CCB" w:rsidP="00631CCB">
      <w:pPr>
        <w:spacing w:after="0" w:line="240" w:lineRule="auto"/>
        <w:jc w:val="both"/>
        <w:rPr>
          <w:rFonts w:cs="Times New Roman"/>
          <w:sz w:val="20"/>
          <w:lang w:val="en-GB"/>
        </w:rPr>
      </w:pPr>
      <w:r w:rsidRPr="00631CCB">
        <w:rPr>
          <w:rStyle w:val="Refdenotaderodap"/>
          <w:sz w:val="20"/>
        </w:rPr>
        <w:footnoteRef/>
      </w:r>
      <w:r w:rsidRPr="00631CCB">
        <w:rPr>
          <w:sz w:val="20"/>
          <w:lang w:val="en-US"/>
        </w:rPr>
        <w:t xml:space="preserve"> </w:t>
      </w:r>
      <w:proofErr w:type="gramStart"/>
      <w:r w:rsidRPr="00631CCB">
        <w:rPr>
          <w:rFonts w:cs="Times New Roman"/>
          <w:sz w:val="20"/>
          <w:lang w:val="en-GB"/>
        </w:rPr>
        <w:t>Adjunct Professor at Department of Economics - Federal University of Paraná.</w:t>
      </w:r>
      <w:proofErr w:type="gramEnd"/>
      <w:r w:rsidRPr="00631CCB">
        <w:rPr>
          <w:rFonts w:cs="Times New Roman"/>
          <w:sz w:val="20"/>
          <w:lang w:val="en-GB"/>
        </w:rPr>
        <w:t xml:space="preserve"> E-mail: keniadesouza@ufpr.br</w:t>
      </w:r>
      <w:r>
        <w:rPr>
          <w:rFonts w:cs="Times New Roman"/>
          <w:sz w:val="20"/>
          <w:lang w:val="en-GB"/>
        </w:rPr>
        <w:t xml:space="preserve">. </w:t>
      </w:r>
    </w:p>
  </w:footnote>
  <w:footnote w:id="4">
    <w:p w14:paraId="41534A31" w14:textId="729DE121" w:rsidR="00631CCB" w:rsidRPr="00631CCB" w:rsidRDefault="00631CCB" w:rsidP="00631CCB">
      <w:pPr>
        <w:spacing w:after="0" w:line="240" w:lineRule="auto"/>
        <w:jc w:val="both"/>
        <w:rPr>
          <w:rFonts w:cs="Times New Roman"/>
          <w:sz w:val="20"/>
          <w:lang w:val="en-US"/>
        </w:rPr>
      </w:pPr>
      <w:r w:rsidRPr="00631CCB">
        <w:rPr>
          <w:rStyle w:val="Refdenotaderodap"/>
          <w:sz w:val="20"/>
        </w:rPr>
        <w:footnoteRef/>
      </w:r>
      <w:r w:rsidRPr="00631CCB">
        <w:rPr>
          <w:sz w:val="20"/>
          <w:lang w:val="en-US"/>
        </w:rPr>
        <w:t xml:space="preserve"> </w:t>
      </w:r>
      <w:r w:rsidRPr="00631CCB">
        <w:rPr>
          <w:rFonts w:cs="Times New Roman"/>
          <w:sz w:val="20"/>
          <w:lang w:val="en-US"/>
        </w:rPr>
        <w:t xml:space="preserve">Adjunct Professor at Department of Economics and </w:t>
      </w:r>
      <w:proofErr w:type="spellStart"/>
      <w:r w:rsidRPr="00631CCB">
        <w:rPr>
          <w:rFonts w:cs="Times New Roman"/>
          <w:sz w:val="20"/>
          <w:lang w:val="en-US"/>
        </w:rPr>
        <w:t>Cedeplar</w:t>
      </w:r>
      <w:proofErr w:type="spellEnd"/>
      <w:r w:rsidRPr="00631CCB">
        <w:rPr>
          <w:rFonts w:cs="Times New Roman"/>
          <w:sz w:val="20"/>
          <w:lang w:val="en-US"/>
        </w:rPr>
        <w:t xml:space="preserve"> - Federal University of Minas </w:t>
      </w:r>
      <w:proofErr w:type="spellStart"/>
      <w:r w:rsidRPr="00631CCB">
        <w:rPr>
          <w:rFonts w:cs="Times New Roman"/>
          <w:sz w:val="20"/>
          <w:lang w:val="en-US"/>
        </w:rPr>
        <w:t>Gerais</w:t>
      </w:r>
      <w:proofErr w:type="spellEnd"/>
      <w:r w:rsidRPr="00631CCB">
        <w:rPr>
          <w:rFonts w:cs="Times New Roman"/>
          <w:sz w:val="20"/>
          <w:lang w:val="en-US"/>
        </w:rPr>
        <w:t xml:space="preserve"> Email: dfreire@cedeplar.ufmg.br</w:t>
      </w:r>
    </w:p>
  </w:footnote>
  <w:footnote w:id="5">
    <w:p w14:paraId="1CBE3D78" w14:textId="2DD2A261" w:rsidR="00631CCB" w:rsidRDefault="00631CCB" w:rsidP="00631CCB">
      <w:pPr>
        <w:pStyle w:val="Textodenotaderodap"/>
        <w:jc w:val="both"/>
      </w:pPr>
      <w:r>
        <w:rPr>
          <w:rStyle w:val="Refdenotaderodap"/>
        </w:rPr>
        <w:footnoteRef/>
      </w:r>
      <w:r w:rsidRPr="00631CCB">
        <w:rPr>
          <w:lang w:val="en-US"/>
        </w:rPr>
        <w:t xml:space="preserve"> </w:t>
      </w:r>
      <w:proofErr w:type="gramStart"/>
      <w:r w:rsidRPr="00631CCB">
        <w:rPr>
          <w:rFonts w:cs="Times New Roman"/>
          <w:lang w:val="en-GB"/>
        </w:rPr>
        <w:t xml:space="preserve">Associate Professor at Department of Economics and </w:t>
      </w:r>
      <w:proofErr w:type="spellStart"/>
      <w:r w:rsidRPr="00631CCB">
        <w:rPr>
          <w:rFonts w:cs="Times New Roman"/>
          <w:lang w:val="en-GB"/>
        </w:rPr>
        <w:t>Cedeplar</w:t>
      </w:r>
      <w:proofErr w:type="spellEnd"/>
      <w:r w:rsidRPr="00631CCB">
        <w:rPr>
          <w:rFonts w:cs="Times New Roman"/>
          <w:lang w:val="en-GB"/>
        </w:rPr>
        <w:t xml:space="preserve"> - Federal University of Minas </w:t>
      </w:r>
      <w:proofErr w:type="spellStart"/>
      <w:r w:rsidRPr="00631CCB">
        <w:rPr>
          <w:rFonts w:cs="Times New Roman"/>
          <w:lang w:val="en-GB"/>
        </w:rPr>
        <w:t>Gerais</w:t>
      </w:r>
      <w:proofErr w:type="spellEnd"/>
      <w:r w:rsidRPr="00631CCB">
        <w:rPr>
          <w:rFonts w:cs="Times New Roman"/>
          <w:lang w:val="en-GB"/>
        </w:rPr>
        <w:t>.</w:t>
      </w:r>
      <w:proofErr w:type="gramEnd"/>
      <w:r w:rsidRPr="00631CCB">
        <w:rPr>
          <w:rFonts w:cs="Times New Roman"/>
          <w:lang w:val="en-GB"/>
        </w:rPr>
        <w:t xml:space="preserve"> </w:t>
      </w:r>
      <w:r w:rsidRPr="00631CCB">
        <w:rPr>
          <w:rFonts w:cs="Times New Roman"/>
        </w:rPr>
        <w:t xml:space="preserve">CNPq </w:t>
      </w:r>
      <w:proofErr w:type="spellStart"/>
      <w:r w:rsidRPr="00631CCB">
        <w:rPr>
          <w:rFonts w:cs="Times New Roman"/>
        </w:rPr>
        <w:t>researcher</w:t>
      </w:r>
      <w:proofErr w:type="spellEnd"/>
      <w:r w:rsidRPr="00631CCB">
        <w:rPr>
          <w:rFonts w:cs="Times New Roman"/>
        </w:rPr>
        <w:t xml:space="preserve">. </w:t>
      </w:r>
      <w:proofErr w:type="spellStart"/>
      <w:r w:rsidRPr="00631CCB">
        <w:rPr>
          <w:rFonts w:cs="Times New Roman"/>
        </w:rPr>
        <w:t>Email</w:t>
      </w:r>
      <w:proofErr w:type="spellEnd"/>
      <w:r w:rsidRPr="00631CCB">
        <w:rPr>
          <w:rFonts w:cs="Times New Roman"/>
        </w:rPr>
        <w:t>: epdomin@cedeplar.ufmg.br</w:t>
      </w:r>
      <w:r>
        <w:rPr>
          <w:rFonts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954C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EFC71A4"/>
    <w:multiLevelType w:val="hybridMultilevel"/>
    <w:tmpl w:val="B5864342"/>
    <w:lvl w:ilvl="0" w:tplc="833AB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20E27"/>
    <w:multiLevelType w:val="multilevel"/>
    <w:tmpl w:val="A3405D10"/>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615154"/>
    <w:multiLevelType w:val="hybridMultilevel"/>
    <w:tmpl w:val="90882A6A"/>
    <w:lvl w:ilvl="0" w:tplc="9BA8EC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543EB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ED1B86"/>
    <w:multiLevelType w:val="hybridMultilevel"/>
    <w:tmpl w:val="57E8E012"/>
    <w:lvl w:ilvl="0" w:tplc="D566445C">
      <w:start w:val="1"/>
      <w:numFmt w:val="bullet"/>
      <w:lvlText w:val=""/>
      <w:lvlJc w:val="left"/>
      <w:pPr>
        <w:tabs>
          <w:tab w:val="num" w:pos="720"/>
        </w:tabs>
        <w:ind w:left="720" w:hanging="360"/>
      </w:pPr>
      <w:rPr>
        <w:rFonts w:ascii="Wingdings 2" w:hAnsi="Wingdings 2" w:hint="default"/>
      </w:rPr>
    </w:lvl>
    <w:lvl w:ilvl="1" w:tplc="E1A869B6" w:tentative="1">
      <w:start w:val="1"/>
      <w:numFmt w:val="bullet"/>
      <w:lvlText w:val=""/>
      <w:lvlJc w:val="left"/>
      <w:pPr>
        <w:tabs>
          <w:tab w:val="num" w:pos="1440"/>
        </w:tabs>
        <w:ind w:left="1440" w:hanging="360"/>
      </w:pPr>
      <w:rPr>
        <w:rFonts w:ascii="Wingdings 2" w:hAnsi="Wingdings 2" w:hint="default"/>
      </w:rPr>
    </w:lvl>
    <w:lvl w:ilvl="2" w:tplc="CDBC2358" w:tentative="1">
      <w:start w:val="1"/>
      <w:numFmt w:val="bullet"/>
      <w:lvlText w:val=""/>
      <w:lvlJc w:val="left"/>
      <w:pPr>
        <w:tabs>
          <w:tab w:val="num" w:pos="2160"/>
        </w:tabs>
        <w:ind w:left="2160" w:hanging="360"/>
      </w:pPr>
      <w:rPr>
        <w:rFonts w:ascii="Wingdings 2" w:hAnsi="Wingdings 2" w:hint="default"/>
      </w:rPr>
    </w:lvl>
    <w:lvl w:ilvl="3" w:tplc="453209E0" w:tentative="1">
      <w:start w:val="1"/>
      <w:numFmt w:val="bullet"/>
      <w:lvlText w:val=""/>
      <w:lvlJc w:val="left"/>
      <w:pPr>
        <w:tabs>
          <w:tab w:val="num" w:pos="2880"/>
        </w:tabs>
        <w:ind w:left="2880" w:hanging="360"/>
      </w:pPr>
      <w:rPr>
        <w:rFonts w:ascii="Wingdings 2" w:hAnsi="Wingdings 2" w:hint="default"/>
      </w:rPr>
    </w:lvl>
    <w:lvl w:ilvl="4" w:tplc="27E62002" w:tentative="1">
      <w:start w:val="1"/>
      <w:numFmt w:val="bullet"/>
      <w:lvlText w:val=""/>
      <w:lvlJc w:val="left"/>
      <w:pPr>
        <w:tabs>
          <w:tab w:val="num" w:pos="3600"/>
        </w:tabs>
        <w:ind w:left="3600" w:hanging="360"/>
      </w:pPr>
      <w:rPr>
        <w:rFonts w:ascii="Wingdings 2" w:hAnsi="Wingdings 2" w:hint="default"/>
      </w:rPr>
    </w:lvl>
    <w:lvl w:ilvl="5" w:tplc="4A46C26C" w:tentative="1">
      <w:start w:val="1"/>
      <w:numFmt w:val="bullet"/>
      <w:lvlText w:val=""/>
      <w:lvlJc w:val="left"/>
      <w:pPr>
        <w:tabs>
          <w:tab w:val="num" w:pos="4320"/>
        </w:tabs>
        <w:ind w:left="4320" w:hanging="360"/>
      </w:pPr>
      <w:rPr>
        <w:rFonts w:ascii="Wingdings 2" w:hAnsi="Wingdings 2" w:hint="default"/>
      </w:rPr>
    </w:lvl>
    <w:lvl w:ilvl="6" w:tplc="5672AF0C" w:tentative="1">
      <w:start w:val="1"/>
      <w:numFmt w:val="bullet"/>
      <w:lvlText w:val=""/>
      <w:lvlJc w:val="left"/>
      <w:pPr>
        <w:tabs>
          <w:tab w:val="num" w:pos="5040"/>
        </w:tabs>
        <w:ind w:left="5040" w:hanging="360"/>
      </w:pPr>
      <w:rPr>
        <w:rFonts w:ascii="Wingdings 2" w:hAnsi="Wingdings 2" w:hint="default"/>
      </w:rPr>
    </w:lvl>
    <w:lvl w:ilvl="7" w:tplc="0812E222" w:tentative="1">
      <w:start w:val="1"/>
      <w:numFmt w:val="bullet"/>
      <w:lvlText w:val=""/>
      <w:lvlJc w:val="left"/>
      <w:pPr>
        <w:tabs>
          <w:tab w:val="num" w:pos="5760"/>
        </w:tabs>
        <w:ind w:left="5760" w:hanging="360"/>
      </w:pPr>
      <w:rPr>
        <w:rFonts w:ascii="Wingdings 2" w:hAnsi="Wingdings 2" w:hint="default"/>
      </w:rPr>
    </w:lvl>
    <w:lvl w:ilvl="8" w:tplc="F7C02AC0"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E80"/>
    <w:rsid w:val="00003EE7"/>
    <w:rsid w:val="00003F22"/>
    <w:rsid w:val="00004322"/>
    <w:rsid w:val="00006F34"/>
    <w:rsid w:val="00024A7A"/>
    <w:rsid w:val="00027070"/>
    <w:rsid w:val="00032619"/>
    <w:rsid w:val="000328BF"/>
    <w:rsid w:val="000346B2"/>
    <w:rsid w:val="000356A2"/>
    <w:rsid w:val="00036F59"/>
    <w:rsid w:val="00037D4C"/>
    <w:rsid w:val="00052DF7"/>
    <w:rsid w:val="00053039"/>
    <w:rsid w:val="00054CAF"/>
    <w:rsid w:val="00062F29"/>
    <w:rsid w:val="00063A07"/>
    <w:rsid w:val="000649B8"/>
    <w:rsid w:val="000672B9"/>
    <w:rsid w:val="00067F63"/>
    <w:rsid w:val="00070D8E"/>
    <w:rsid w:val="000710BB"/>
    <w:rsid w:val="00074450"/>
    <w:rsid w:val="00076FB1"/>
    <w:rsid w:val="00080407"/>
    <w:rsid w:val="000805A2"/>
    <w:rsid w:val="000858D6"/>
    <w:rsid w:val="00087181"/>
    <w:rsid w:val="0009084F"/>
    <w:rsid w:val="00096C72"/>
    <w:rsid w:val="000A3D94"/>
    <w:rsid w:val="000A4202"/>
    <w:rsid w:val="000A4463"/>
    <w:rsid w:val="000A4F0D"/>
    <w:rsid w:val="000B0CB6"/>
    <w:rsid w:val="000B2AFF"/>
    <w:rsid w:val="000B35D1"/>
    <w:rsid w:val="000B3F05"/>
    <w:rsid w:val="000B444F"/>
    <w:rsid w:val="000B448A"/>
    <w:rsid w:val="000C2E43"/>
    <w:rsid w:val="000C7342"/>
    <w:rsid w:val="000E1A08"/>
    <w:rsid w:val="000E61FF"/>
    <w:rsid w:val="000F193F"/>
    <w:rsid w:val="000F61D8"/>
    <w:rsid w:val="000F6EAC"/>
    <w:rsid w:val="001060F5"/>
    <w:rsid w:val="00106B07"/>
    <w:rsid w:val="00107B60"/>
    <w:rsid w:val="001176B1"/>
    <w:rsid w:val="00127900"/>
    <w:rsid w:val="001300F8"/>
    <w:rsid w:val="00144B88"/>
    <w:rsid w:val="0014645A"/>
    <w:rsid w:val="00147249"/>
    <w:rsid w:val="00147B3D"/>
    <w:rsid w:val="00151831"/>
    <w:rsid w:val="001540CA"/>
    <w:rsid w:val="00155AA3"/>
    <w:rsid w:val="00175F4E"/>
    <w:rsid w:val="001779AE"/>
    <w:rsid w:val="00184876"/>
    <w:rsid w:val="001914B7"/>
    <w:rsid w:val="001928D3"/>
    <w:rsid w:val="00193488"/>
    <w:rsid w:val="00194C82"/>
    <w:rsid w:val="0019631D"/>
    <w:rsid w:val="001A13A8"/>
    <w:rsid w:val="001A7956"/>
    <w:rsid w:val="001B32D4"/>
    <w:rsid w:val="001B336F"/>
    <w:rsid w:val="001B6C13"/>
    <w:rsid w:val="001C7741"/>
    <w:rsid w:val="001D1FD9"/>
    <w:rsid w:val="001D39DB"/>
    <w:rsid w:val="001D3FB6"/>
    <w:rsid w:val="001E0DD0"/>
    <w:rsid w:val="001E15C5"/>
    <w:rsid w:val="001E6AC0"/>
    <w:rsid w:val="001F4DDB"/>
    <w:rsid w:val="001F612A"/>
    <w:rsid w:val="00203743"/>
    <w:rsid w:val="00206F88"/>
    <w:rsid w:val="00213450"/>
    <w:rsid w:val="00213B72"/>
    <w:rsid w:val="0022242C"/>
    <w:rsid w:val="002228F2"/>
    <w:rsid w:val="00224509"/>
    <w:rsid w:val="00224691"/>
    <w:rsid w:val="002263E6"/>
    <w:rsid w:val="00226A3B"/>
    <w:rsid w:val="00230E35"/>
    <w:rsid w:val="002351E4"/>
    <w:rsid w:val="00241576"/>
    <w:rsid w:val="00242510"/>
    <w:rsid w:val="00246261"/>
    <w:rsid w:val="002466AA"/>
    <w:rsid w:val="0026249F"/>
    <w:rsid w:val="00264520"/>
    <w:rsid w:val="00270FD2"/>
    <w:rsid w:val="002739DE"/>
    <w:rsid w:val="00274F28"/>
    <w:rsid w:val="0028480E"/>
    <w:rsid w:val="00291C98"/>
    <w:rsid w:val="00292083"/>
    <w:rsid w:val="002961DD"/>
    <w:rsid w:val="00297C5E"/>
    <w:rsid w:val="002A4D18"/>
    <w:rsid w:val="002B3F46"/>
    <w:rsid w:val="002B69F1"/>
    <w:rsid w:val="002C1D25"/>
    <w:rsid w:val="002C654D"/>
    <w:rsid w:val="002D1ABF"/>
    <w:rsid w:val="002D7BD2"/>
    <w:rsid w:val="002E2196"/>
    <w:rsid w:val="002E22DF"/>
    <w:rsid w:val="002E42E3"/>
    <w:rsid w:val="002E67C4"/>
    <w:rsid w:val="002F5540"/>
    <w:rsid w:val="00301464"/>
    <w:rsid w:val="0030237D"/>
    <w:rsid w:val="0030535C"/>
    <w:rsid w:val="00307BFB"/>
    <w:rsid w:val="003115C2"/>
    <w:rsid w:val="00312D0B"/>
    <w:rsid w:val="00320837"/>
    <w:rsid w:val="00322A58"/>
    <w:rsid w:val="00341D40"/>
    <w:rsid w:val="003434AE"/>
    <w:rsid w:val="00354525"/>
    <w:rsid w:val="0036035A"/>
    <w:rsid w:val="00361838"/>
    <w:rsid w:val="00362681"/>
    <w:rsid w:val="00380203"/>
    <w:rsid w:val="00380CFB"/>
    <w:rsid w:val="003A17B2"/>
    <w:rsid w:val="003B3FEF"/>
    <w:rsid w:val="003B73DB"/>
    <w:rsid w:val="003C1CFC"/>
    <w:rsid w:val="003C6E8C"/>
    <w:rsid w:val="003D0819"/>
    <w:rsid w:val="003D3173"/>
    <w:rsid w:val="003D64A8"/>
    <w:rsid w:val="003D76CF"/>
    <w:rsid w:val="003E0FBE"/>
    <w:rsid w:val="003E29E7"/>
    <w:rsid w:val="003E728D"/>
    <w:rsid w:val="0040138A"/>
    <w:rsid w:val="0040171C"/>
    <w:rsid w:val="00406D1D"/>
    <w:rsid w:val="00406F8F"/>
    <w:rsid w:val="0041225F"/>
    <w:rsid w:val="004124BB"/>
    <w:rsid w:val="00412E9E"/>
    <w:rsid w:val="00414F96"/>
    <w:rsid w:val="004167D9"/>
    <w:rsid w:val="00427D51"/>
    <w:rsid w:val="004306B5"/>
    <w:rsid w:val="004332BA"/>
    <w:rsid w:val="00436A21"/>
    <w:rsid w:val="00446AB1"/>
    <w:rsid w:val="0046459C"/>
    <w:rsid w:val="00466875"/>
    <w:rsid w:val="0048118E"/>
    <w:rsid w:val="00483502"/>
    <w:rsid w:val="004841BE"/>
    <w:rsid w:val="00491A55"/>
    <w:rsid w:val="004A0FA5"/>
    <w:rsid w:val="004A6E71"/>
    <w:rsid w:val="004B108E"/>
    <w:rsid w:val="004B4490"/>
    <w:rsid w:val="004B5E84"/>
    <w:rsid w:val="004B6876"/>
    <w:rsid w:val="004B70D0"/>
    <w:rsid w:val="004C76F6"/>
    <w:rsid w:val="004D04CA"/>
    <w:rsid w:val="004D09DB"/>
    <w:rsid w:val="004D39B2"/>
    <w:rsid w:val="00502201"/>
    <w:rsid w:val="005032B7"/>
    <w:rsid w:val="005103EF"/>
    <w:rsid w:val="00510C8F"/>
    <w:rsid w:val="005111F2"/>
    <w:rsid w:val="005139B7"/>
    <w:rsid w:val="005263F6"/>
    <w:rsid w:val="00531C85"/>
    <w:rsid w:val="005327F0"/>
    <w:rsid w:val="005420F5"/>
    <w:rsid w:val="00550341"/>
    <w:rsid w:val="00551D5C"/>
    <w:rsid w:val="00555B4D"/>
    <w:rsid w:val="00561DF7"/>
    <w:rsid w:val="005716C8"/>
    <w:rsid w:val="00585D56"/>
    <w:rsid w:val="005862C0"/>
    <w:rsid w:val="00591330"/>
    <w:rsid w:val="005A520A"/>
    <w:rsid w:val="005A5D41"/>
    <w:rsid w:val="005A662C"/>
    <w:rsid w:val="005B2F14"/>
    <w:rsid w:val="005B7F47"/>
    <w:rsid w:val="005C01C5"/>
    <w:rsid w:val="005D27FF"/>
    <w:rsid w:val="005E543C"/>
    <w:rsid w:val="005F1032"/>
    <w:rsid w:val="005F3F73"/>
    <w:rsid w:val="005F63E4"/>
    <w:rsid w:val="006100BF"/>
    <w:rsid w:val="00611805"/>
    <w:rsid w:val="00613308"/>
    <w:rsid w:val="00616FC5"/>
    <w:rsid w:val="00621449"/>
    <w:rsid w:val="00623158"/>
    <w:rsid w:val="00631CCB"/>
    <w:rsid w:val="006401D2"/>
    <w:rsid w:val="00643350"/>
    <w:rsid w:val="006465F6"/>
    <w:rsid w:val="006530C0"/>
    <w:rsid w:val="00654F73"/>
    <w:rsid w:val="006612D5"/>
    <w:rsid w:val="00663202"/>
    <w:rsid w:val="0066439C"/>
    <w:rsid w:val="00670874"/>
    <w:rsid w:val="006708A3"/>
    <w:rsid w:val="006744BE"/>
    <w:rsid w:val="006813E4"/>
    <w:rsid w:val="00684E88"/>
    <w:rsid w:val="00685C3D"/>
    <w:rsid w:val="00686E38"/>
    <w:rsid w:val="006972BD"/>
    <w:rsid w:val="00697AA0"/>
    <w:rsid w:val="006A0C89"/>
    <w:rsid w:val="006A1734"/>
    <w:rsid w:val="006A2700"/>
    <w:rsid w:val="006A37AC"/>
    <w:rsid w:val="006A3AA7"/>
    <w:rsid w:val="006A7187"/>
    <w:rsid w:val="006A79FE"/>
    <w:rsid w:val="006B6719"/>
    <w:rsid w:val="006B693E"/>
    <w:rsid w:val="006D2C60"/>
    <w:rsid w:val="006D65A4"/>
    <w:rsid w:val="006E06ED"/>
    <w:rsid w:val="006E0DE0"/>
    <w:rsid w:val="006E172F"/>
    <w:rsid w:val="006E2B8C"/>
    <w:rsid w:val="006F1685"/>
    <w:rsid w:val="00702E5A"/>
    <w:rsid w:val="00706756"/>
    <w:rsid w:val="007118C9"/>
    <w:rsid w:val="007136AE"/>
    <w:rsid w:val="007157D6"/>
    <w:rsid w:val="007166BB"/>
    <w:rsid w:val="007213D3"/>
    <w:rsid w:val="0072596A"/>
    <w:rsid w:val="00731D86"/>
    <w:rsid w:val="00734907"/>
    <w:rsid w:val="007351FA"/>
    <w:rsid w:val="00752054"/>
    <w:rsid w:val="00762B4E"/>
    <w:rsid w:val="00763E5B"/>
    <w:rsid w:val="00764C05"/>
    <w:rsid w:val="00774223"/>
    <w:rsid w:val="00784D8C"/>
    <w:rsid w:val="00785219"/>
    <w:rsid w:val="007856A1"/>
    <w:rsid w:val="007A383F"/>
    <w:rsid w:val="007A3DF4"/>
    <w:rsid w:val="007B0DB0"/>
    <w:rsid w:val="007B4759"/>
    <w:rsid w:val="007D099A"/>
    <w:rsid w:val="007D66AC"/>
    <w:rsid w:val="007D7DD7"/>
    <w:rsid w:val="007E2E74"/>
    <w:rsid w:val="007E33F1"/>
    <w:rsid w:val="007E4E06"/>
    <w:rsid w:val="007E77A8"/>
    <w:rsid w:val="007F33D4"/>
    <w:rsid w:val="007F6F85"/>
    <w:rsid w:val="0080604A"/>
    <w:rsid w:val="00812B90"/>
    <w:rsid w:val="00820226"/>
    <w:rsid w:val="00822F24"/>
    <w:rsid w:val="008306B5"/>
    <w:rsid w:val="0083222A"/>
    <w:rsid w:val="00835B77"/>
    <w:rsid w:val="008373A4"/>
    <w:rsid w:val="0084401B"/>
    <w:rsid w:val="0085393B"/>
    <w:rsid w:val="0085690C"/>
    <w:rsid w:val="0085711A"/>
    <w:rsid w:val="00864D4C"/>
    <w:rsid w:val="0086701D"/>
    <w:rsid w:val="008674B1"/>
    <w:rsid w:val="00873586"/>
    <w:rsid w:val="008761F9"/>
    <w:rsid w:val="00877C27"/>
    <w:rsid w:val="00877E78"/>
    <w:rsid w:val="00882227"/>
    <w:rsid w:val="00882887"/>
    <w:rsid w:val="00894D1B"/>
    <w:rsid w:val="00895BC2"/>
    <w:rsid w:val="008963A8"/>
    <w:rsid w:val="00896BF1"/>
    <w:rsid w:val="008A3D7A"/>
    <w:rsid w:val="008A70F4"/>
    <w:rsid w:val="008B09FA"/>
    <w:rsid w:val="008C46ED"/>
    <w:rsid w:val="008C5A88"/>
    <w:rsid w:val="008D320B"/>
    <w:rsid w:val="008D4BDC"/>
    <w:rsid w:val="008E30B7"/>
    <w:rsid w:val="008E4516"/>
    <w:rsid w:val="008E64CC"/>
    <w:rsid w:val="008F05C1"/>
    <w:rsid w:val="008F0AE7"/>
    <w:rsid w:val="00900F99"/>
    <w:rsid w:val="0090269B"/>
    <w:rsid w:val="00911986"/>
    <w:rsid w:val="0091422D"/>
    <w:rsid w:val="00921DCB"/>
    <w:rsid w:val="00922B70"/>
    <w:rsid w:val="009324B5"/>
    <w:rsid w:val="00932CF1"/>
    <w:rsid w:val="00934D9A"/>
    <w:rsid w:val="00935272"/>
    <w:rsid w:val="0093733D"/>
    <w:rsid w:val="0094185E"/>
    <w:rsid w:val="00952273"/>
    <w:rsid w:val="00955AFE"/>
    <w:rsid w:val="0096366E"/>
    <w:rsid w:val="00963A37"/>
    <w:rsid w:val="00963C18"/>
    <w:rsid w:val="0096409A"/>
    <w:rsid w:val="00964164"/>
    <w:rsid w:val="00971070"/>
    <w:rsid w:val="00971A8C"/>
    <w:rsid w:val="009765C6"/>
    <w:rsid w:val="00976745"/>
    <w:rsid w:val="00976BC3"/>
    <w:rsid w:val="00976D2F"/>
    <w:rsid w:val="009807C9"/>
    <w:rsid w:val="009810A4"/>
    <w:rsid w:val="00982358"/>
    <w:rsid w:val="00983638"/>
    <w:rsid w:val="009876B3"/>
    <w:rsid w:val="009915EF"/>
    <w:rsid w:val="009969B1"/>
    <w:rsid w:val="009B5BF8"/>
    <w:rsid w:val="009C5D93"/>
    <w:rsid w:val="009D14A6"/>
    <w:rsid w:val="009D2343"/>
    <w:rsid w:val="009D586B"/>
    <w:rsid w:val="00A00884"/>
    <w:rsid w:val="00A06F33"/>
    <w:rsid w:val="00A10F0D"/>
    <w:rsid w:val="00A11D7E"/>
    <w:rsid w:val="00A20FBD"/>
    <w:rsid w:val="00A21749"/>
    <w:rsid w:val="00A23595"/>
    <w:rsid w:val="00A30B92"/>
    <w:rsid w:val="00A35DED"/>
    <w:rsid w:val="00A42BA6"/>
    <w:rsid w:val="00A45611"/>
    <w:rsid w:val="00A46025"/>
    <w:rsid w:val="00A5042B"/>
    <w:rsid w:val="00A51069"/>
    <w:rsid w:val="00A56657"/>
    <w:rsid w:val="00A61F4C"/>
    <w:rsid w:val="00A64C1E"/>
    <w:rsid w:val="00A67399"/>
    <w:rsid w:val="00A75E9D"/>
    <w:rsid w:val="00A76B25"/>
    <w:rsid w:val="00A93F96"/>
    <w:rsid w:val="00A943A7"/>
    <w:rsid w:val="00A973B7"/>
    <w:rsid w:val="00AA1F9A"/>
    <w:rsid w:val="00AB08A2"/>
    <w:rsid w:val="00AB26BD"/>
    <w:rsid w:val="00AB29D9"/>
    <w:rsid w:val="00AB5B52"/>
    <w:rsid w:val="00AC01A2"/>
    <w:rsid w:val="00AC3ABF"/>
    <w:rsid w:val="00AD0992"/>
    <w:rsid w:val="00AD7E4D"/>
    <w:rsid w:val="00AE186C"/>
    <w:rsid w:val="00AE3ABC"/>
    <w:rsid w:val="00AE74C9"/>
    <w:rsid w:val="00AF0766"/>
    <w:rsid w:val="00AF276C"/>
    <w:rsid w:val="00AF433C"/>
    <w:rsid w:val="00B02606"/>
    <w:rsid w:val="00B03327"/>
    <w:rsid w:val="00B1112F"/>
    <w:rsid w:val="00B142FA"/>
    <w:rsid w:val="00B40355"/>
    <w:rsid w:val="00B40412"/>
    <w:rsid w:val="00B57CEE"/>
    <w:rsid w:val="00B65E10"/>
    <w:rsid w:val="00B66558"/>
    <w:rsid w:val="00B70EB3"/>
    <w:rsid w:val="00B756BC"/>
    <w:rsid w:val="00B76185"/>
    <w:rsid w:val="00B77D46"/>
    <w:rsid w:val="00B87820"/>
    <w:rsid w:val="00B925D7"/>
    <w:rsid w:val="00BA3C7C"/>
    <w:rsid w:val="00BA3CF2"/>
    <w:rsid w:val="00BA6062"/>
    <w:rsid w:val="00BA61D1"/>
    <w:rsid w:val="00BB1433"/>
    <w:rsid w:val="00BC512C"/>
    <w:rsid w:val="00BC7FB0"/>
    <w:rsid w:val="00BD2B4C"/>
    <w:rsid w:val="00BD3D2C"/>
    <w:rsid w:val="00BE01BA"/>
    <w:rsid w:val="00BF50F6"/>
    <w:rsid w:val="00C00950"/>
    <w:rsid w:val="00C14378"/>
    <w:rsid w:val="00C17884"/>
    <w:rsid w:val="00C2024D"/>
    <w:rsid w:val="00C30BCD"/>
    <w:rsid w:val="00C34433"/>
    <w:rsid w:val="00C4281A"/>
    <w:rsid w:val="00C4377E"/>
    <w:rsid w:val="00C514E2"/>
    <w:rsid w:val="00C55778"/>
    <w:rsid w:val="00C57ACB"/>
    <w:rsid w:val="00C6582A"/>
    <w:rsid w:val="00C66CF7"/>
    <w:rsid w:val="00C73FAB"/>
    <w:rsid w:val="00C76361"/>
    <w:rsid w:val="00C77D12"/>
    <w:rsid w:val="00C91F82"/>
    <w:rsid w:val="00C92110"/>
    <w:rsid w:val="00C94782"/>
    <w:rsid w:val="00CA0806"/>
    <w:rsid w:val="00CA6DBC"/>
    <w:rsid w:val="00CB3BBA"/>
    <w:rsid w:val="00CB5A38"/>
    <w:rsid w:val="00CB60C9"/>
    <w:rsid w:val="00CC0FBA"/>
    <w:rsid w:val="00CC3FB5"/>
    <w:rsid w:val="00CC64D2"/>
    <w:rsid w:val="00CD7E52"/>
    <w:rsid w:val="00D003BF"/>
    <w:rsid w:val="00D023E0"/>
    <w:rsid w:val="00D04080"/>
    <w:rsid w:val="00D11C6D"/>
    <w:rsid w:val="00D14667"/>
    <w:rsid w:val="00D16429"/>
    <w:rsid w:val="00D17640"/>
    <w:rsid w:val="00D25357"/>
    <w:rsid w:val="00D33AB4"/>
    <w:rsid w:val="00D35A9F"/>
    <w:rsid w:val="00D35C89"/>
    <w:rsid w:val="00D47D10"/>
    <w:rsid w:val="00D50D3A"/>
    <w:rsid w:val="00D554C5"/>
    <w:rsid w:val="00D55661"/>
    <w:rsid w:val="00D755B2"/>
    <w:rsid w:val="00D76965"/>
    <w:rsid w:val="00D776ED"/>
    <w:rsid w:val="00D832B1"/>
    <w:rsid w:val="00D83FC3"/>
    <w:rsid w:val="00D845E4"/>
    <w:rsid w:val="00D934D1"/>
    <w:rsid w:val="00DA1C16"/>
    <w:rsid w:val="00DA24C2"/>
    <w:rsid w:val="00DB66F1"/>
    <w:rsid w:val="00DB6B90"/>
    <w:rsid w:val="00DB7412"/>
    <w:rsid w:val="00DC4FE2"/>
    <w:rsid w:val="00DC6586"/>
    <w:rsid w:val="00DD2754"/>
    <w:rsid w:val="00DD472E"/>
    <w:rsid w:val="00DE247E"/>
    <w:rsid w:val="00DE5672"/>
    <w:rsid w:val="00DF7216"/>
    <w:rsid w:val="00E11E01"/>
    <w:rsid w:val="00E177FA"/>
    <w:rsid w:val="00E303F2"/>
    <w:rsid w:val="00E44C56"/>
    <w:rsid w:val="00E46EC1"/>
    <w:rsid w:val="00E47554"/>
    <w:rsid w:val="00E47770"/>
    <w:rsid w:val="00E508D6"/>
    <w:rsid w:val="00E51E74"/>
    <w:rsid w:val="00E52D2F"/>
    <w:rsid w:val="00E54AD1"/>
    <w:rsid w:val="00E571AC"/>
    <w:rsid w:val="00E63088"/>
    <w:rsid w:val="00E653A3"/>
    <w:rsid w:val="00E72982"/>
    <w:rsid w:val="00E80473"/>
    <w:rsid w:val="00E8300D"/>
    <w:rsid w:val="00E84D4D"/>
    <w:rsid w:val="00E96A3D"/>
    <w:rsid w:val="00E973B3"/>
    <w:rsid w:val="00EA1DF0"/>
    <w:rsid w:val="00EA333E"/>
    <w:rsid w:val="00EB1D81"/>
    <w:rsid w:val="00EB29CF"/>
    <w:rsid w:val="00EB2E80"/>
    <w:rsid w:val="00EB57F4"/>
    <w:rsid w:val="00EB6A12"/>
    <w:rsid w:val="00EB6A82"/>
    <w:rsid w:val="00EC09B5"/>
    <w:rsid w:val="00EC3210"/>
    <w:rsid w:val="00ED2403"/>
    <w:rsid w:val="00EE550D"/>
    <w:rsid w:val="00EF2C98"/>
    <w:rsid w:val="00EF4FCA"/>
    <w:rsid w:val="00F01F7A"/>
    <w:rsid w:val="00F04DA9"/>
    <w:rsid w:val="00F074B4"/>
    <w:rsid w:val="00F122B7"/>
    <w:rsid w:val="00F14336"/>
    <w:rsid w:val="00F2080B"/>
    <w:rsid w:val="00F2134B"/>
    <w:rsid w:val="00F214ED"/>
    <w:rsid w:val="00F24AC1"/>
    <w:rsid w:val="00F25091"/>
    <w:rsid w:val="00F258B4"/>
    <w:rsid w:val="00F45EC7"/>
    <w:rsid w:val="00F61211"/>
    <w:rsid w:val="00F7288B"/>
    <w:rsid w:val="00F81278"/>
    <w:rsid w:val="00F92A94"/>
    <w:rsid w:val="00F97C2C"/>
    <w:rsid w:val="00FA0C0E"/>
    <w:rsid w:val="00FA564E"/>
    <w:rsid w:val="00FA655C"/>
    <w:rsid w:val="00FB00C3"/>
    <w:rsid w:val="00FB0318"/>
    <w:rsid w:val="00FD0E3A"/>
    <w:rsid w:val="00FD3B12"/>
    <w:rsid w:val="00FD73AF"/>
    <w:rsid w:val="00FE39D8"/>
    <w:rsid w:val="00FE5DEA"/>
    <w:rsid w:val="00FF1CD6"/>
    <w:rsid w:val="00FF2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9CF"/>
    <w:rPr>
      <w:rFonts w:ascii="Times New Roman" w:hAnsi="Times New Roman"/>
      <w:sz w:val="24"/>
    </w:rPr>
  </w:style>
  <w:style w:type="paragraph" w:styleId="Ttulo1">
    <w:name w:val="heading 1"/>
    <w:basedOn w:val="PargrafodaLista"/>
    <w:next w:val="Normal"/>
    <w:link w:val="Ttulo1Char"/>
    <w:uiPriority w:val="9"/>
    <w:qFormat/>
    <w:rsid w:val="009D2343"/>
    <w:pPr>
      <w:numPr>
        <w:numId w:val="1"/>
      </w:numPr>
      <w:spacing w:line="240" w:lineRule="auto"/>
      <w:contextualSpacing w:val="0"/>
      <w:outlineLvl w:val="0"/>
    </w:pPr>
    <w:rPr>
      <w:rFonts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C66CF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C66CF7"/>
    <w:rPr>
      <w:sz w:val="20"/>
      <w:szCs w:val="20"/>
    </w:rPr>
  </w:style>
  <w:style w:type="character" w:styleId="Refdenotaderodap">
    <w:name w:val="footnote reference"/>
    <w:basedOn w:val="Fontepargpadro"/>
    <w:uiPriority w:val="99"/>
    <w:unhideWhenUsed/>
    <w:rsid w:val="00C66CF7"/>
    <w:rPr>
      <w:vertAlign w:val="superscript"/>
    </w:rPr>
  </w:style>
  <w:style w:type="table" w:styleId="Tabelacomgrade">
    <w:name w:val="Table Grid"/>
    <w:basedOn w:val="Tabelanormal"/>
    <w:uiPriority w:val="59"/>
    <w:rsid w:val="00C66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6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6CF7"/>
    <w:rPr>
      <w:rFonts w:ascii="Tahoma" w:hAnsi="Tahoma" w:cs="Tahoma"/>
      <w:sz w:val="16"/>
      <w:szCs w:val="16"/>
    </w:rPr>
  </w:style>
  <w:style w:type="paragraph" w:styleId="NormalWeb">
    <w:name w:val="Normal (Web)"/>
    <w:basedOn w:val="Normal"/>
    <w:uiPriority w:val="99"/>
    <w:unhideWhenUsed/>
    <w:rsid w:val="00F24AC1"/>
    <w:pPr>
      <w:spacing w:before="100" w:beforeAutospacing="1" w:after="100" w:afterAutospacing="1" w:line="240" w:lineRule="auto"/>
    </w:pPr>
    <w:rPr>
      <w:rFonts w:cs="Times New Roman"/>
      <w:szCs w:val="24"/>
    </w:rPr>
  </w:style>
  <w:style w:type="paragraph" w:styleId="PargrafodaLista">
    <w:name w:val="List Paragraph"/>
    <w:basedOn w:val="Normal"/>
    <w:uiPriority w:val="34"/>
    <w:qFormat/>
    <w:rsid w:val="005716C8"/>
    <w:pPr>
      <w:ind w:left="720"/>
      <w:contextualSpacing/>
    </w:pPr>
  </w:style>
  <w:style w:type="character" w:styleId="Refdecomentrio">
    <w:name w:val="annotation reference"/>
    <w:basedOn w:val="Fontepargpadro"/>
    <w:uiPriority w:val="99"/>
    <w:semiHidden/>
    <w:unhideWhenUsed/>
    <w:rsid w:val="00623158"/>
    <w:rPr>
      <w:sz w:val="16"/>
      <w:szCs w:val="16"/>
    </w:rPr>
  </w:style>
  <w:style w:type="paragraph" w:styleId="Textodecomentrio">
    <w:name w:val="annotation text"/>
    <w:basedOn w:val="Normal"/>
    <w:link w:val="TextodecomentrioChar"/>
    <w:uiPriority w:val="99"/>
    <w:semiHidden/>
    <w:unhideWhenUsed/>
    <w:rsid w:val="0062315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23158"/>
    <w:rPr>
      <w:sz w:val="20"/>
      <w:szCs w:val="20"/>
    </w:rPr>
  </w:style>
  <w:style w:type="paragraph" w:styleId="Assuntodocomentrio">
    <w:name w:val="annotation subject"/>
    <w:basedOn w:val="Textodecomentrio"/>
    <w:next w:val="Textodecomentrio"/>
    <w:link w:val="AssuntodocomentrioChar"/>
    <w:uiPriority w:val="99"/>
    <w:semiHidden/>
    <w:unhideWhenUsed/>
    <w:rsid w:val="00623158"/>
    <w:rPr>
      <w:b/>
      <w:bCs/>
    </w:rPr>
  </w:style>
  <w:style w:type="character" w:customStyle="1" w:styleId="AssuntodocomentrioChar">
    <w:name w:val="Assunto do comentário Char"/>
    <w:basedOn w:val="TextodecomentrioChar"/>
    <w:link w:val="Assuntodocomentrio"/>
    <w:uiPriority w:val="99"/>
    <w:semiHidden/>
    <w:rsid w:val="00623158"/>
    <w:rPr>
      <w:b/>
      <w:bCs/>
      <w:sz w:val="20"/>
      <w:szCs w:val="20"/>
    </w:rPr>
  </w:style>
  <w:style w:type="paragraph" w:styleId="Reviso">
    <w:name w:val="Revision"/>
    <w:hidden/>
    <w:uiPriority w:val="99"/>
    <w:semiHidden/>
    <w:rsid w:val="00F2080B"/>
    <w:pPr>
      <w:spacing w:after="0" w:line="240" w:lineRule="auto"/>
    </w:pPr>
  </w:style>
  <w:style w:type="character" w:styleId="Hyperlink">
    <w:name w:val="Hyperlink"/>
    <w:basedOn w:val="Fontepargpadro"/>
    <w:uiPriority w:val="99"/>
    <w:unhideWhenUsed/>
    <w:rsid w:val="00D14667"/>
    <w:rPr>
      <w:color w:val="0000FF" w:themeColor="hyperlink"/>
      <w:u w:val="single"/>
    </w:rPr>
  </w:style>
  <w:style w:type="paragraph" w:styleId="Cabealho">
    <w:name w:val="header"/>
    <w:basedOn w:val="Normal"/>
    <w:link w:val="CabealhoChar"/>
    <w:uiPriority w:val="99"/>
    <w:unhideWhenUsed/>
    <w:rsid w:val="0097107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71070"/>
  </w:style>
  <w:style w:type="paragraph" w:styleId="Rodap">
    <w:name w:val="footer"/>
    <w:basedOn w:val="Normal"/>
    <w:link w:val="RodapChar"/>
    <w:uiPriority w:val="99"/>
    <w:unhideWhenUsed/>
    <w:rsid w:val="00971070"/>
    <w:pPr>
      <w:tabs>
        <w:tab w:val="center" w:pos="4680"/>
        <w:tab w:val="right" w:pos="9360"/>
      </w:tabs>
      <w:spacing w:after="0" w:line="240" w:lineRule="auto"/>
    </w:pPr>
  </w:style>
  <w:style w:type="character" w:customStyle="1" w:styleId="RodapChar">
    <w:name w:val="Rodapé Char"/>
    <w:basedOn w:val="Fontepargpadro"/>
    <w:link w:val="Rodap"/>
    <w:uiPriority w:val="99"/>
    <w:rsid w:val="00971070"/>
  </w:style>
  <w:style w:type="character" w:styleId="TextodoEspaoReservado">
    <w:name w:val="Placeholder Text"/>
    <w:basedOn w:val="Fontepargpadro"/>
    <w:uiPriority w:val="99"/>
    <w:semiHidden/>
    <w:rsid w:val="00D55661"/>
    <w:rPr>
      <w:color w:val="808080"/>
    </w:rPr>
  </w:style>
  <w:style w:type="character" w:customStyle="1" w:styleId="UnresolvedMention1">
    <w:name w:val="Unresolved Mention1"/>
    <w:basedOn w:val="Fontepargpadro"/>
    <w:uiPriority w:val="99"/>
    <w:semiHidden/>
    <w:unhideWhenUsed/>
    <w:rsid w:val="007136AE"/>
    <w:rPr>
      <w:color w:val="808080"/>
      <w:shd w:val="clear" w:color="auto" w:fill="E6E6E6"/>
    </w:rPr>
  </w:style>
  <w:style w:type="character" w:customStyle="1" w:styleId="Ttulo1Char">
    <w:name w:val="Título 1 Char"/>
    <w:basedOn w:val="Fontepargpadro"/>
    <w:link w:val="Ttulo1"/>
    <w:uiPriority w:val="9"/>
    <w:rsid w:val="009D2343"/>
    <w:rPr>
      <w:rFonts w:ascii="Times New Roman" w:hAnsi="Times New Roman" w:cs="Times New Roman"/>
      <w:b/>
      <w:sz w:val="24"/>
    </w:rPr>
  </w:style>
  <w:style w:type="character" w:customStyle="1" w:styleId="Heading1Char">
    <w:name w:val="Heading 1 Char"/>
    <w:basedOn w:val="Fontepargpadro"/>
    <w:uiPriority w:val="9"/>
    <w:rsid w:val="00F258B4"/>
    <w:rPr>
      <w:rFonts w:ascii="Times New Roman" w:hAnsi="Times New Roman" w:cs="Times New Roman"/>
      <w:b/>
      <w:sz w:val="24"/>
    </w:rPr>
  </w:style>
  <w:style w:type="paragraph" w:styleId="Textodenotadefim">
    <w:name w:val="endnote text"/>
    <w:basedOn w:val="Normal"/>
    <w:link w:val="TextodenotadefimChar"/>
    <w:uiPriority w:val="99"/>
    <w:unhideWhenUsed/>
    <w:rsid w:val="00702E5A"/>
    <w:pPr>
      <w:spacing w:after="0" w:line="240" w:lineRule="auto"/>
    </w:pPr>
    <w:rPr>
      <w:szCs w:val="24"/>
    </w:rPr>
  </w:style>
  <w:style w:type="character" w:customStyle="1" w:styleId="TextodenotadefimChar">
    <w:name w:val="Texto de nota de fim Char"/>
    <w:basedOn w:val="Fontepargpadro"/>
    <w:link w:val="Textodenotadefim"/>
    <w:uiPriority w:val="99"/>
    <w:rsid w:val="00702E5A"/>
    <w:rPr>
      <w:rFonts w:ascii="Times New Roman" w:hAnsi="Times New Roman"/>
      <w:sz w:val="24"/>
      <w:szCs w:val="24"/>
    </w:rPr>
  </w:style>
  <w:style w:type="character" w:styleId="Refdenotadefim">
    <w:name w:val="endnote reference"/>
    <w:basedOn w:val="Fontepargpadro"/>
    <w:uiPriority w:val="99"/>
    <w:unhideWhenUsed/>
    <w:rsid w:val="00702E5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9CF"/>
    <w:rPr>
      <w:rFonts w:ascii="Times New Roman" w:hAnsi="Times New Roman"/>
      <w:sz w:val="24"/>
    </w:rPr>
  </w:style>
  <w:style w:type="paragraph" w:styleId="Ttulo1">
    <w:name w:val="heading 1"/>
    <w:basedOn w:val="PargrafodaLista"/>
    <w:next w:val="Normal"/>
    <w:link w:val="Ttulo1Char"/>
    <w:uiPriority w:val="9"/>
    <w:qFormat/>
    <w:rsid w:val="009D2343"/>
    <w:pPr>
      <w:numPr>
        <w:numId w:val="1"/>
      </w:numPr>
      <w:spacing w:line="240" w:lineRule="auto"/>
      <w:contextualSpacing w:val="0"/>
      <w:outlineLvl w:val="0"/>
    </w:pPr>
    <w:rPr>
      <w:rFonts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C66CF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C66CF7"/>
    <w:rPr>
      <w:sz w:val="20"/>
      <w:szCs w:val="20"/>
    </w:rPr>
  </w:style>
  <w:style w:type="character" w:styleId="Refdenotaderodap">
    <w:name w:val="footnote reference"/>
    <w:basedOn w:val="Fontepargpadro"/>
    <w:uiPriority w:val="99"/>
    <w:unhideWhenUsed/>
    <w:rsid w:val="00C66CF7"/>
    <w:rPr>
      <w:vertAlign w:val="superscript"/>
    </w:rPr>
  </w:style>
  <w:style w:type="table" w:styleId="Tabelacomgrade">
    <w:name w:val="Table Grid"/>
    <w:basedOn w:val="Tabelanormal"/>
    <w:uiPriority w:val="59"/>
    <w:rsid w:val="00C66C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6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6CF7"/>
    <w:rPr>
      <w:rFonts w:ascii="Tahoma" w:hAnsi="Tahoma" w:cs="Tahoma"/>
      <w:sz w:val="16"/>
      <w:szCs w:val="16"/>
    </w:rPr>
  </w:style>
  <w:style w:type="paragraph" w:styleId="NormalWeb">
    <w:name w:val="Normal (Web)"/>
    <w:basedOn w:val="Normal"/>
    <w:uiPriority w:val="99"/>
    <w:unhideWhenUsed/>
    <w:rsid w:val="00F24AC1"/>
    <w:pPr>
      <w:spacing w:before="100" w:beforeAutospacing="1" w:after="100" w:afterAutospacing="1" w:line="240" w:lineRule="auto"/>
    </w:pPr>
    <w:rPr>
      <w:rFonts w:cs="Times New Roman"/>
      <w:szCs w:val="24"/>
    </w:rPr>
  </w:style>
  <w:style w:type="paragraph" w:styleId="PargrafodaLista">
    <w:name w:val="List Paragraph"/>
    <w:basedOn w:val="Normal"/>
    <w:uiPriority w:val="34"/>
    <w:qFormat/>
    <w:rsid w:val="005716C8"/>
    <w:pPr>
      <w:ind w:left="720"/>
      <w:contextualSpacing/>
    </w:pPr>
  </w:style>
  <w:style w:type="character" w:styleId="Refdecomentrio">
    <w:name w:val="annotation reference"/>
    <w:basedOn w:val="Fontepargpadro"/>
    <w:uiPriority w:val="99"/>
    <w:semiHidden/>
    <w:unhideWhenUsed/>
    <w:rsid w:val="00623158"/>
    <w:rPr>
      <w:sz w:val="16"/>
      <w:szCs w:val="16"/>
    </w:rPr>
  </w:style>
  <w:style w:type="paragraph" w:styleId="Textodecomentrio">
    <w:name w:val="annotation text"/>
    <w:basedOn w:val="Normal"/>
    <w:link w:val="TextodecomentrioChar"/>
    <w:uiPriority w:val="99"/>
    <w:semiHidden/>
    <w:unhideWhenUsed/>
    <w:rsid w:val="0062315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23158"/>
    <w:rPr>
      <w:sz w:val="20"/>
      <w:szCs w:val="20"/>
    </w:rPr>
  </w:style>
  <w:style w:type="paragraph" w:styleId="Assuntodocomentrio">
    <w:name w:val="annotation subject"/>
    <w:basedOn w:val="Textodecomentrio"/>
    <w:next w:val="Textodecomentrio"/>
    <w:link w:val="AssuntodocomentrioChar"/>
    <w:uiPriority w:val="99"/>
    <w:semiHidden/>
    <w:unhideWhenUsed/>
    <w:rsid w:val="00623158"/>
    <w:rPr>
      <w:b/>
      <w:bCs/>
    </w:rPr>
  </w:style>
  <w:style w:type="character" w:customStyle="1" w:styleId="AssuntodocomentrioChar">
    <w:name w:val="Assunto do comentário Char"/>
    <w:basedOn w:val="TextodecomentrioChar"/>
    <w:link w:val="Assuntodocomentrio"/>
    <w:uiPriority w:val="99"/>
    <w:semiHidden/>
    <w:rsid w:val="00623158"/>
    <w:rPr>
      <w:b/>
      <w:bCs/>
      <w:sz w:val="20"/>
      <w:szCs w:val="20"/>
    </w:rPr>
  </w:style>
  <w:style w:type="paragraph" w:styleId="Reviso">
    <w:name w:val="Revision"/>
    <w:hidden/>
    <w:uiPriority w:val="99"/>
    <w:semiHidden/>
    <w:rsid w:val="00F2080B"/>
    <w:pPr>
      <w:spacing w:after="0" w:line="240" w:lineRule="auto"/>
    </w:pPr>
  </w:style>
  <w:style w:type="character" w:styleId="Hyperlink">
    <w:name w:val="Hyperlink"/>
    <w:basedOn w:val="Fontepargpadro"/>
    <w:uiPriority w:val="99"/>
    <w:unhideWhenUsed/>
    <w:rsid w:val="00D14667"/>
    <w:rPr>
      <w:color w:val="0000FF" w:themeColor="hyperlink"/>
      <w:u w:val="single"/>
    </w:rPr>
  </w:style>
  <w:style w:type="paragraph" w:styleId="Cabealho">
    <w:name w:val="header"/>
    <w:basedOn w:val="Normal"/>
    <w:link w:val="CabealhoChar"/>
    <w:uiPriority w:val="99"/>
    <w:unhideWhenUsed/>
    <w:rsid w:val="00971070"/>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71070"/>
  </w:style>
  <w:style w:type="paragraph" w:styleId="Rodap">
    <w:name w:val="footer"/>
    <w:basedOn w:val="Normal"/>
    <w:link w:val="RodapChar"/>
    <w:uiPriority w:val="99"/>
    <w:unhideWhenUsed/>
    <w:rsid w:val="00971070"/>
    <w:pPr>
      <w:tabs>
        <w:tab w:val="center" w:pos="4680"/>
        <w:tab w:val="right" w:pos="9360"/>
      </w:tabs>
      <w:spacing w:after="0" w:line="240" w:lineRule="auto"/>
    </w:pPr>
  </w:style>
  <w:style w:type="character" w:customStyle="1" w:styleId="RodapChar">
    <w:name w:val="Rodapé Char"/>
    <w:basedOn w:val="Fontepargpadro"/>
    <w:link w:val="Rodap"/>
    <w:uiPriority w:val="99"/>
    <w:rsid w:val="00971070"/>
  </w:style>
  <w:style w:type="character" w:styleId="TextodoEspaoReservado">
    <w:name w:val="Placeholder Text"/>
    <w:basedOn w:val="Fontepargpadro"/>
    <w:uiPriority w:val="99"/>
    <w:semiHidden/>
    <w:rsid w:val="00D55661"/>
    <w:rPr>
      <w:color w:val="808080"/>
    </w:rPr>
  </w:style>
  <w:style w:type="character" w:customStyle="1" w:styleId="UnresolvedMention1">
    <w:name w:val="Unresolved Mention1"/>
    <w:basedOn w:val="Fontepargpadro"/>
    <w:uiPriority w:val="99"/>
    <w:semiHidden/>
    <w:unhideWhenUsed/>
    <w:rsid w:val="007136AE"/>
    <w:rPr>
      <w:color w:val="808080"/>
      <w:shd w:val="clear" w:color="auto" w:fill="E6E6E6"/>
    </w:rPr>
  </w:style>
  <w:style w:type="character" w:customStyle="1" w:styleId="Ttulo1Char">
    <w:name w:val="Título 1 Char"/>
    <w:basedOn w:val="Fontepargpadro"/>
    <w:link w:val="Ttulo1"/>
    <w:uiPriority w:val="9"/>
    <w:rsid w:val="009D2343"/>
    <w:rPr>
      <w:rFonts w:ascii="Times New Roman" w:hAnsi="Times New Roman" w:cs="Times New Roman"/>
      <w:b/>
      <w:sz w:val="24"/>
    </w:rPr>
  </w:style>
  <w:style w:type="character" w:customStyle="1" w:styleId="Heading1Char">
    <w:name w:val="Heading 1 Char"/>
    <w:basedOn w:val="Fontepargpadro"/>
    <w:uiPriority w:val="9"/>
    <w:rsid w:val="00F258B4"/>
    <w:rPr>
      <w:rFonts w:ascii="Times New Roman" w:hAnsi="Times New Roman" w:cs="Times New Roman"/>
      <w:b/>
      <w:sz w:val="24"/>
    </w:rPr>
  </w:style>
  <w:style w:type="paragraph" w:styleId="Textodenotadefim">
    <w:name w:val="endnote text"/>
    <w:basedOn w:val="Normal"/>
    <w:link w:val="TextodenotadefimChar"/>
    <w:uiPriority w:val="99"/>
    <w:unhideWhenUsed/>
    <w:rsid w:val="00702E5A"/>
    <w:pPr>
      <w:spacing w:after="0" w:line="240" w:lineRule="auto"/>
    </w:pPr>
    <w:rPr>
      <w:szCs w:val="24"/>
    </w:rPr>
  </w:style>
  <w:style w:type="character" w:customStyle="1" w:styleId="TextodenotadefimChar">
    <w:name w:val="Texto de nota de fim Char"/>
    <w:basedOn w:val="Fontepargpadro"/>
    <w:link w:val="Textodenotadefim"/>
    <w:uiPriority w:val="99"/>
    <w:rsid w:val="00702E5A"/>
    <w:rPr>
      <w:rFonts w:ascii="Times New Roman" w:hAnsi="Times New Roman"/>
      <w:sz w:val="24"/>
      <w:szCs w:val="24"/>
    </w:rPr>
  </w:style>
  <w:style w:type="character" w:styleId="Refdenotadefim">
    <w:name w:val="endnote reference"/>
    <w:basedOn w:val="Fontepargpadro"/>
    <w:uiPriority w:val="99"/>
    <w:unhideWhenUsed/>
    <w:rsid w:val="00702E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2529">
      <w:bodyDiv w:val="1"/>
      <w:marLeft w:val="0"/>
      <w:marRight w:val="0"/>
      <w:marTop w:val="0"/>
      <w:marBottom w:val="0"/>
      <w:divBdr>
        <w:top w:val="none" w:sz="0" w:space="0" w:color="auto"/>
        <w:left w:val="none" w:sz="0" w:space="0" w:color="auto"/>
        <w:bottom w:val="none" w:sz="0" w:space="0" w:color="auto"/>
        <w:right w:val="none" w:sz="0" w:space="0" w:color="auto"/>
      </w:divBdr>
      <w:divsChild>
        <w:div w:id="663509460">
          <w:marLeft w:val="0"/>
          <w:marRight w:val="0"/>
          <w:marTop w:val="0"/>
          <w:marBottom w:val="0"/>
          <w:divBdr>
            <w:top w:val="none" w:sz="0" w:space="0" w:color="auto"/>
            <w:left w:val="none" w:sz="0" w:space="0" w:color="auto"/>
            <w:bottom w:val="none" w:sz="0" w:space="0" w:color="auto"/>
            <w:right w:val="none" w:sz="0" w:space="0" w:color="auto"/>
          </w:divBdr>
        </w:div>
        <w:div w:id="809860388">
          <w:marLeft w:val="0"/>
          <w:marRight w:val="0"/>
          <w:marTop w:val="0"/>
          <w:marBottom w:val="0"/>
          <w:divBdr>
            <w:top w:val="none" w:sz="0" w:space="0" w:color="auto"/>
            <w:left w:val="none" w:sz="0" w:space="0" w:color="auto"/>
            <w:bottom w:val="none" w:sz="0" w:space="0" w:color="auto"/>
            <w:right w:val="none" w:sz="0" w:space="0" w:color="auto"/>
          </w:divBdr>
        </w:div>
        <w:div w:id="2114006353">
          <w:marLeft w:val="0"/>
          <w:marRight w:val="0"/>
          <w:marTop w:val="0"/>
          <w:marBottom w:val="0"/>
          <w:divBdr>
            <w:top w:val="none" w:sz="0" w:space="0" w:color="auto"/>
            <w:left w:val="none" w:sz="0" w:space="0" w:color="auto"/>
            <w:bottom w:val="none" w:sz="0" w:space="0" w:color="auto"/>
            <w:right w:val="none" w:sz="0" w:space="0" w:color="auto"/>
          </w:divBdr>
        </w:div>
        <w:div w:id="113061935">
          <w:marLeft w:val="0"/>
          <w:marRight w:val="0"/>
          <w:marTop w:val="0"/>
          <w:marBottom w:val="0"/>
          <w:divBdr>
            <w:top w:val="none" w:sz="0" w:space="0" w:color="auto"/>
            <w:left w:val="none" w:sz="0" w:space="0" w:color="auto"/>
            <w:bottom w:val="none" w:sz="0" w:space="0" w:color="auto"/>
            <w:right w:val="none" w:sz="0" w:space="0" w:color="auto"/>
          </w:divBdr>
        </w:div>
      </w:divsChild>
    </w:div>
    <w:div w:id="296029047">
      <w:bodyDiv w:val="1"/>
      <w:marLeft w:val="0"/>
      <w:marRight w:val="0"/>
      <w:marTop w:val="0"/>
      <w:marBottom w:val="0"/>
      <w:divBdr>
        <w:top w:val="none" w:sz="0" w:space="0" w:color="auto"/>
        <w:left w:val="none" w:sz="0" w:space="0" w:color="auto"/>
        <w:bottom w:val="none" w:sz="0" w:space="0" w:color="auto"/>
        <w:right w:val="none" w:sz="0" w:space="0" w:color="auto"/>
      </w:divBdr>
    </w:div>
    <w:div w:id="410542878">
      <w:bodyDiv w:val="1"/>
      <w:marLeft w:val="0"/>
      <w:marRight w:val="0"/>
      <w:marTop w:val="0"/>
      <w:marBottom w:val="0"/>
      <w:divBdr>
        <w:top w:val="none" w:sz="0" w:space="0" w:color="auto"/>
        <w:left w:val="none" w:sz="0" w:space="0" w:color="auto"/>
        <w:bottom w:val="none" w:sz="0" w:space="0" w:color="auto"/>
        <w:right w:val="none" w:sz="0" w:space="0" w:color="auto"/>
      </w:divBdr>
    </w:div>
    <w:div w:id="436676076">
      <w:bodyDiv w:val="1"/>
      <w:marLeft w:val="0"/>
      <w:marRight w:val="0"/>
      <w:marTop w:val="0"/>
      <w:marBottom w:val="0"/>
      <w:divBdr>
        <w:top w:val="none" w:sz="0" w:space="0" w:color="auto"/>
        <w:left w:val="none" w:sz="0" w:space="0" w:color="auto"/>
        <w:bottom w:val="none" w:sz="0" w:space="0" w:color="auto"/>
        <w:right w:val="none" w:sz="0" w:space="0" w:color="auto"/>
      </w:divBdr>
      <w:divsChild>
        <w:div w:id="576594224">
          <w:marLeft w:val="0"/>
          <w:marRight w:val="0"/>
          <w:marTop w:val="0"/>
          <w:marBottom w:val="0"/>
          <w:divBdr>
            <w:top w:val="none" w:sz="0" w:space="0" w:color="auto"/>
            <w:left w:val="none" w:sz="0" w:space="0" w:color="auto"/>
            <w:bottom w:val="none" w:sz="0" w:space="0" w:color="auto"/>
            <w:right w:val="none" w:sz="0" w:space="0" w:color="auto"/>
          </w:divBdr>
          <w:divsChild>
            <w:div w:id="609699996">
              <w:marLeft w:val="0"/>
              <w:marRight w:val="0"/>
              <w:marTop w:val="0"/>
              <w:marBottom w:val="0"/>
              <w:divBdr>
                <w:top w:val="none" w:sz="0" w:space="0" w:color="auto"/>
                <w:left w:val="none" w:sz="0" w:space="0" w:color="auto"/>
                <w:bottom w:val="none" w:sz="0" w:space="0" w:color="auto"/>
                <w:right w:val="none" w:sz="0" w:space="0" w:color="auto"/>
              </w:divBdr>
            </w:div>
            <w:div w:id="405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202">
      <w:bodyDiv w:val="1"/>
      <w:marLeft w:val="0"/>
      <w:marRight w:val="0"/>
      <w:marTop w:val="0"/>
      <w:marBottom w:val="0"/>
      <w:divBdr>
        <w:top w:val="none" w:sz="0" w:space="0" w:color="auto"/>
        <w:left w:val="none" w:sz="0" w:space="0" w:color="auto"/>
        <w:bottom w:val="none" w:sz="0" w:space="0" w:color="auto"/>
        <w:right w:val="none" w:sz="0" w:space="0" w:color="auto"/>
      </w:divBdr>
    </w:div>
    <w:div w:id="806897063">
      <w:bodyDiv w:val="1"/>
      <w:marLeft w:val="0"/>
      <w:marRight w:val="0"/>
      <w:marTop w:val="0"/>
      <w:marBottom w:val="0"/>
      <w:divBdr>
        <w:top w:val="none" w:sz="0" w:space="0" w:color="auto"/>
        <w:left w:val="none" w:sz="0" w:space="0" w:color="auto"/>
        <w:bottom w:val="none" w:sz="0" w:space="0" w:color="auto"/>
        <w:right w:val="none" w:sz="0" w:space="0" w:color="auto"/>
      </w:divBdr>
    </w:div>
    <w:div w:id="1184637680">
      <w:bodyDiv w:val="1"/>
      <w:marLeft w:val="0"/>
      <w:marRight w:val="0"/>
      <w:marTop w:val="0"/>
      <w:marBottom w:val="0"/>
      <w:divBdr>
        <w:top w:val="none" w:sz="0" w:space="0" w:color="auto"/>
        <w:left w:val="none" w:sz="0" w:space="0" w:color="auto"/>
        <w:bottom w:val="none" w:sz="0" w:space="0" w:color="auto"/>
        <w:right w:val="none" w:sz="0" w:space="0" w:color="auto"/>
      </w:divBdr>
      <w:divsChild>
        <w:div w:id="2048603148">
          <w:marLeft w:val="0"/>
          <w:marRight w:val="0"/>
          <w:marTop w:val="0"/>
          <w:marBottom w:val="0"/>
          <w:divBdr>
            <w:top w:val="none" w:sz="0" w:space="0" w:color="auto"/>
            <w:left w:val="none" w:sz="0" w:space="0" w:color="auto"/>
            <w:bottom w:val="none" w:sz="0" w:space="0" w:color="auto"/>
            <w:right w:val="none" w:sz="0" w:space="0" w:color="auto"/>
          </w:divBdr>
        </w:div>
        <w:div w:id="1197700622">
          <w:marLeft w:val="0"/>
          <w:marRight w:val="0"/>
          <w:marTop w:val="0"/>
          <w:marBottom w:val="0"/>
          <w:divBdr>
            <w:top w:val="none" w:sz="0" w:space="0" w:color="auto"/>
            <w:left w:val="none" w:sz="0" w:space="0" w:color="auto"/>
            <w:bottom w:val="none" w:sz="0" w:space="0" w:color="auto"/>
            <w:right w:val="none" w:sz="0" w:space="0" w:color="auto"/>
          </w:divBdr>
        </w:div>
        <w:div w:id="482427736">
          <w:marLeft w:val="0"/>
          <w:marRight w:val="0"/>
          <w:marTop w:val="0"/>
          <w:marBottom w:val="0"/>
          <w:divBdr>
            <w:top w:val="none" w:sz="0" w:space="0" w:color="auto"/>
            <w:left w:val="none" w:sz="0" w:space="0" w:color="auto"/>
            <w:bottom w:val="none" w:sz="0" w:space="0" w:color="auto"/>
            <w:right w:val="none" w:sz="0" w:space="0" w:color="auto"/>
          </w:divBdr>
        </w:div>
        <w:div w:id="493492644">
          <w:marLeft w:val="0"/>
          <w:marRight w:val="0"/>
          <w:marTop w:val="0"/>
          <w:marBottom w:val="0"/>
          <w:divBdr>
            <w:top w:val="none" w:sz="0" w:space="0" w:color="auto"/>
            <w:left w:val="none" w:sz="0" w:space="0" w:color="auto"/>
            <w:bottom w:val="none" w:sz="0" w:space="0" w:color="auto"/>
            <w:right w:val="none" w:sz="0" w:space="0" w:color="auto"/>
          </w:divBdr>
        </w:div>
      </w:divsChild>
    </w:div>
    <w:div w:id="1232346369">
      <w:bodyDiv w:val="1"/>
      <w:marLeft w:val="0"/>
      <w:marRight w:val="0"/>
      <w:marTop w:val="0"/>
      <w:marBottom w:val="0"/>
      <w:divBdr>
        <w:top w:val="none" w:sz="0" w:space="0" w:color="auto"/>
        <w:left w:val="none" w:sz="0" w:space="0" w:color="auto"/>
        <w:bottom w:val="none" w:sz="0" w:space="0" w:color="auto"/>
        <w:right w:val="none" w:sz="0" w:space="0" w:color="auto"/>
      </w:divBdr>
    </w:div>
    <w:div w:id="1284927188">
      <w:bodyDiv w:val="1"/>
      <w:marLeft w:val="0"/>
      <w:marRight w:val="0"/>
      <w:marTop w:val="0"/>
      <w:marBottom w:val="0"/>
      <w:divBdr>
        <w:top w:val="none" w:sz="0" w:space="0" w:color="auto"/>
        <w:left w:val="none" w:sz="0" w:space="0" w:color="auto"/>
        <w:bottom w:val="none" w:sz="0" w:space="0" w:color="auto"/>
        <w:right w:val="none" w:sz="0" w:space="0" w:color="auto"/>
      </w:divBdr>
      <w:divsChild>
        <w:div w:id="301272063">
          <w:marLeft w:val="0"/>
          <w:marRight w:val="0"/>
          <w:marTop w:val="0"/>
          <w:marBottom w:val="0"/>
          <w:divBdr>
            <w:top w:val="none" w:sz="0" w:space="0" w:color="auto"/>
            <w:left w:val="none" w:sz="0" w:space="0" w:color="auto"/>
            <w:bottom w:val="none" w:sz="0" w:space="0" w:color="auto"/>
            <w:right w:val="none" w:sz="0" w:space="0" w:color="auto"/>
          </w:divBdr>
          <w:divsChild>
            <w:div w:id="1555695277">
              <w:marLeft w:val="0"/>
              <w:marRight w:val="60"/>
              <w:marTop w:val="0"/>
              <w:marBottom w:val="0"/>
              <w:divBdr>
                <w:top w:val="none" w:sz="0" w:space="0" w:color="auto"/>
                <w:left w:val="none" w:sz="0" w:space="0" w:color="auto"/>
                <w:bottom w:val="none" w:sz="0" w:space="0" w:color="auto"/>
                <w:right w:val="none" w:sz="0" w:space="0" w:color="auto"/>
              </w:divBdr>
              <w:divsChild>
                <w:div w:id="622922612">
                  <w:marLeft w:val="0"/>
                  <w:marRight w:val="0"/>
                  <w:marTop w:val="0"/>
                  <w:marBottom w:val="120"/>
                  <w:divBdr>
                    <w:top w:val="single" w:sz="6" w:space="0" w:color="C0C0C0"/>
                    <w:left w:val="single" w:sz="6" w:space="0" w:color="D9D9D9"/>
                    <w:bottom w:val="single" w:sz="6" w:space="0" w:color="D9D9D9"/>
                    <w:right w:val="single" w:sz="6" w:space="0" w:color="D9D9D9"/>
                  </w:divBdr>
                  <w:divsChild>
                    <w:div w:id="859855951">
                      <w:marLeft w:val="0"/>
                      <w:marRight w:val="0"/>
                      <w:marTop w:val="0"/>
                      <w:marBottom w:val="0"/>
                      <w:divBdr>
                        <w:top w:val="none" w:sz="0" w:space="0" w:color="auto"/>
                        <w:left w:val="none" w:sz="0" w:space="0" w:color="auto"/>
                        <w:bottom w:val="none" w:sz="0" w:space="0" w:color="auto"/>
                        <w:right w:val="none" w:sz="0" w:space="0" w:color="auto"/>
                      </w:divBdr>
                    </w:div>
                    <w:div w:id="19447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3053">
          <w:marLeft w:val="0"/>
          <w:marRight w:val="0"/>
          <w:marTop w:val="0"/>
          <w:marBottom w:val="0"/>
          <w:divBdr>
            <w:top w:val="none" w:sz="0" w:space="0" w:color="auto"/>
            <w:left w:val="none" w:sz="0" w:space="0" w:color="auto"/>
            <w:bottom w:val="none" w:sz="0" w:space="0" w:color="auto"/>
            <w:right w:val="none" w:sz="0" w:space="0" w:color="auto"/>
          </w:divBdr>
          <w:divsChild>
            <w:div w:id="905798991">
              <w:marLeft w:val="60"/>
              <w:marRight w:val="0"/>
              <w:marTop w:val="0"/>
              <w:marBottom w:val="0"/>
              <w:divBdr>
                <w:top w:val="none" w:sz="0" w:space="0" w:color="auto"/>
                <w:left w:val="none" w:sz="0" w:space="0" w:color="auto"/>
                <w:bottom w:val="none" w:sz="0" w:space="0" w:color="auto"/>
                <w:right w:val="none" w:sz="0" w:space="0" w:color="auto"/>
              </w:divBdr>
              <w:divsChild>
                <w:div w:id="489564788">
                  <w:marLeft w:val="0"/>
                  <w:marRight w:val="0"/>
                  <w:marTop w:val="0"/>
                  <w:marBottom w:val="0"/>
                  <w:divBdr>
                    <w:top w:val="none" w:sz="0" w:space="0" w:color="auto"/>
                    <w:left w:val="none" w:sz="0" w:space="0" w:color="auto"/>
                    <w:bottom w:val="none" w:sz="0" w:space="0" w:color="auto"/>
                    <w:right w:val="none" w:sz="0" w:space="0" w:color="auto"/>
                  </w:divBdr>
                  <w:divsChild>
                    <w:div w:id="1159232495">
                      <w:marLeft w:val="0"/>
                      <w:marRight w:val="0"/>
                      <w:marTop w:val="0"/>
                      <w:marBottom w:val="120"/>
                      <w:divBdr>
                        <w:top w:val="single" w:sz="6" w:space="0" w:color="F5F5F5"/>
                        <w:left w:val="single" w:sz="6" w:space="0" w:color="F5F5F5"/>
                        <w:bottom w:val="single" w:sz="6" w:space="0" w:color="F5F5F5"/>
                        <w:right w:val="single" w:sz="6" w:space="0" w:color="F5F5F5"/>
                      </w:divBdr>
                      <w:divsChild>
                        <w:div w:id="2064672670">
                          <w:marLeft w:val="0"/>
                          <w:marRight w:val="0"/>
                          <w:marTop w:val="0"/>
                          <w:marBottom w:val="0"/>
                          <w:divBdr>
                            <w:top w:val="none" w:sz="0" w:space="0" w:color="auto"/>
                            <w:left w:val="none" w:sz="0" w:space="0" w:color="auto"/>
                            <w:bottom w:val="none" w:sz="0" w:space="0" w:color="auto"/>
                            <w:right w:val="none" w:sz="0" w:space="0" w:color="auto"/>
                          </w:divBdr>
                          <w:divsChild>
                            <w:div w:id="11371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820592">
      <w:bodyDiv w:val="1"/>
      <w:marLeft w:val="0"/>
      <w:marRight w:val="0"/>
      <w:marTop w:val="0"/>
      <w:marBottom w:val="0"/>
      <w:divBdr>
        <w:top w:val="none" w:sz="0" w:space="0" w:color="auto"/>
        <w:left w:val="none" w:sz="0" w:space="0" w:color="auto"/>
        <w:bottom w:val="none" w:sz="0" w:space="0" w:color="auto"/>
        <w:right w:val="none" w:sz="0" w:space="0" w:color="auto"/>
      </w:divBdr>
      <w:divsChild>
        <w:div w:id="830753618">
          <w:marLeft w:val="0"/>
          <w:marRight w:val="0"/>
          <w:marTop w:val="0"/>
          <w:marBottom w:val="0"/>
          <w:divBdr>
            <w:top w:val="none" w:sz="0" w:space="0" w:color="auto"/>
            <w:left w:val="none" w:sz="0" w:space="0" w:color="auto"/>
            <w:bottom w:val="none" w:sz="0" w:space="0" w:color="auto"/>
            <w:right w:val="none" w:sz="0" w:space="0" w:color="auto"/>
          </w:divBdr>
          <w:divsChild>
            <w:div w:id="1752776339">
              <w:marLeft w:val="0"/>
              <w:marRight w:val="60"/>
              <w:marTop w:val="0"/>
              <w:marBottom w:val="0"/>
              <w:divBdr>
                <w:top w:val="none" w:sz="0" w:space="0" w:color="auto"/>
                <w:left w:val="none" w:sz="0" w:space="0" w:color="auto"/>
                <w:bottom w:val="none" w:sz="0" w:space="0" w:color="auto"/>
                <w:right w:val="none" w:sz="0" w:space="0" w:color="auto"/>
              </w:divBdr>
              <w:divsChild>
                <w:div w:id="1860923252">
                  <w:marLeft w:val="0"/>
                  <w:marRight w:val="0"/>
                  <w:marTop w:val="0"/>
                  <w:marBottom w:val="120"/>
                  <w:divBdr>
                    <w:top w:val="single" w:sz="6" w:space="0" w:color="C0C0C0"/>
                    <w:left w:val="single" w:sz="6" w:space="0" w:color="D9D9D9"/>
                    <w:bottom w:val="single" w:sz="6" w:space="0" w:color="D9D9D9"/>
                    <w:right w:val="single" w:sz="6" w:space="0" w:color="D9D9D9"/>
                  </w:divBdr>
                  <w:divsChild>
                    <w:div w:id="1083184441">
                      <w:marLeft w:val="0"/>
                      <w:marRight w:val="0"/>
                      <w:marTop w:val="0"/>
                      <w:marBottom w:val="0"/>
                      <w:divBdr>
                        <w:top w:val="none" w:sz="0" w:space="0" w:color="auto"/>
                        <w:left w:val="none" w:sz="0" w:space="0" w:color="auto"/>
                        <w:bottom w:val="none" w:sz="0" w:space="0" w:color="auto"/>
                        <w:right w:val="none" w:sz="0" w:space="0" w:color="auto"/>
                      </w:divBdr>
                    </w:div>
                    <w:div w:id="1142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011">
          <w:marLeft w:val="0"/>
          <w:marRight w:val="0"/>
          <w:marTop w:val="0"/>
          <w:marBottom w:val="0"/>
          <w:divBdr>
            <w:top w:val="none" w:sz="0" w:space="0" w:color="auto"/>
            <w:left w:val="none" w:sz="0" w:space="0" w:color="auto"/>
            <w:bottom w:val="none" w:sz="0" w:space="0" w:color="auto"/>
            <w:right w:val="none" w:sz="0" w:space="0" w:color="auto"/>
          </w:divBdr>
          <w:divsChild>
            <w:div w:id="575361481">
              <w:marLeft w:val="60"/>
              <w:marRight w:val="0"/>
              <w:marTop w:val="0"/>
              <w:marBottom w:val="0"/>
              <w:divBdr>
                <w:top w:val="none" w:sz="0" w:space="0" w:color="auto"/>
                <w:left w:val="none" w:sz="0" w:space="0" w:color="auto"/>
                <w:bottom w:val="none" w:sz="0" w:space="0" w:color="auto"/>
                <w:right w:val="none" w:sz="0" w:space="0" w:color="auto"/>
              </w:divBdr>
              <w:divsChild>
                <w:div w:id="471485940">
                  <w:marLeft w:val="0"/>
                  <w:marRight w:val="0"/>
                  <w:marTop w:val="0"/>
                  <w:marBottom w:val="0"/>
                  <w:divBdr>
                    <w:top w:val="none" w:sz="0" w:space="0" w:color="auto"/>
                    <w:left w:val="none" w:sz="0" w:space="0" w:color="auto"/>
                    <w:bottom w:val="none" w:sz="0" w:space="0" w:color="auto"/>
                    <w:right w:val="none" w:sz="0" w:space="0" w:color="auto"/>
                  </w:divBdr>
                  <w:divsChild>
                    <w:div w:id="1208184844">
                      <w:marLeft w:val="0"/>
                      <w:marRight w:val="0"/>
                      <w:marTop w:val="0"/>
                      <w:marBottom w:val="120"/>
                      <w:divBdr>
                        <w:top w:val="single" w:sz="6" w:space="0" w:color="F5F5F5"/>
                        <w:left w:val="single" w:sz="6" w:space="0" w:color="F5F5F5"/>
                        <w:bottom w:val="single" w:sz="6" w:space="0" w:color="F5F5F5"/>
                        <w:right w:val="single" w:sz="6" w:space="0" w:color="F5F5F5"/>
                      </w:divBdr>
                      <w:divsChild>
                        <w:div w:id="2074231608">
                          <w:marLeft w:val="0"/>
                          <w:marRight w:val="0"/>
                          <w:marTop w:val="0"/>
                          <w:marBottom w:val="0"/>
                          <w:divBdr>
                            <w:top w:val="none" w:sz="0" w:space="0" w:color="auto"/>
                            <w:left w:val="none" w:sz="0" w:space="0" w:color="auto"/>
                            <w:bottom w:val="none" w:sz="0" w:space="0" w:color="auto"/>
                            <w:right w:val="none" w:sz="0" w:space="0" w:color="auto"/>
                          </w:divBdr>
                          <w:divsChild>
                            <w:div w:id="7298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21208">
      <w:bodyDiv w:val="1"/>
      <w:marLeft w:val="0"/>
      <w:marRight w:val="0"/>
      <w:marTop w:val="0"/>
      <w:marBottom w:val="0"/>
      <w:divBdr>
        <w:top w:val="none" w:sz="0" w:space="0" w:color="auto"/>
        <w:left w:val="none" w:sz="0" w:space="0" w:color="auto"/>
        <w:bottom w:val="none" w:sz="0" w:space="0" w:color="auto"/>
        <w:right w:val="none" w:sz="0" w:space="0" w:color="auto"/>
      </w:divBdr>
    </w:div>
    <w:div w:id="1508058393">
      <w:bodyDiv w:val="1"/>
      <w:marLeft w:val="0"/>
      <w:marRight w:val="0"/>
      <w:marTop w:val="0"/>
      <w:marBottom w:val="0"/>
      <w:divBdr>
        <w:top w:val="none" w:sz="0" w:space="0" w:color="auto"/>
        <w:left w:val="none" w:sz="0" w:space="0" w:color="auto"/>
        <w:bottom w:val="none" w:sz="0" w:space="0" w:color="auto"/>
        <w:right w:val="none" w:sz="0" w:space="0" w:color="auto"/>
      </w:divBdr>
    </w:div>
    <w:div w:id="1525051679">
      <w:bodyDiv w:val="1"/>
      <w:marLeft w:val="0"/>
      <w:marRight w:val="0"/>
      <w:marTop w:val="0"/>
      <w:marBottom w:val="0"/>
      <w:divBdr>
        <w:top w:val="none" w:sz="0" w:space="0" w:color="auto"/>
        <w:left w:val="none" w:sz="0" w:space="0" w:color="auto"/>
        <w:bottom w:val="none" w:sz="0" w:space="0" w:color="auto"/>
        <w:right w:val="none" w:sz="0" w:space="0" w:color="auto"/>
      </w:divBdr>
    </w:div>
    <w:div w:id="1769812348">
      <w:bodyDiv w:val="1"/>
      <w:marLeft w:val="0"/>
      <w:marRight w:val="0"/>
      <w:marTop w:val="0"/>
      <w:marBottom w:val="0"/>
      <w:divBdr>
        <w:top w:val="none" w:sz="0" w:space="0" w:color="auto"/>
        <w:left w:val="none" w:sz="0" w:space="0" w:color="auto"/>
        <w:bottom w:val="none" w:sz="0" w:space="0" w:color="auto"/>
        <w:right w:val="none" w:sz="0" w:space="0" w:color="auto"/>
      </w:divBdr>
      <w:divsChild>
        <w:div w:id="445974684">
          <w:marLeft w:val="360"/>
          <w:marRight w:val="0"/>
          <w:marTop w:val="200"/>
          <w:marBottom w:val="0"/>
          <w:divBdr>
            <w:top w:val="none" w:sz="0" w:space="0" w:color="auto"/>
            <w:left w:val="none" w:sz="0" w:space="0" w:color="auto"/>
            <w:bottom w:val="none" w:sz="0" w:space="0" w:color="auto"/>
            <w:right w:val="none" w:sz="0" w:space="0" w:color="auto"/>
          </w:divBdr>
        </w:div>
        <w:div w:id="1180047582">
          <w:marLeft w:val="360"/>
          <w:marRight w:val="0"/>
          <w:marTop w:val="200"/>
          <w:marBottom w:val="0"/>
          <w:divBdr>
            <w:top w:val="none" w:sz="0" w:space="0" w:color="auto"/>
            <w:left w:val="none" w:sz="0" w:space="0" w:color="auto"/>
            <w:bottom w:val="none" w:sz="0" w:space="0" w:color="auto"/>
            <w:right w:val="none" w:sz="0" w:space="0" w:color="auto"/>
          </w:divBdr>
        </w:div>
        <w:div w:id="1241135074">
          <w:marLeft w:val="360"/>
          <w:marRight w:val="0"/>
          <w:marTop w:val="200"/>
          <w:marBottom w:val="0"/>
          <w:divBdr>
            <w:top w:val="none" w:sz="0" w:space="0" w:color="auto"/>
            <w:left w:val="none" w:sz="0" w:space="0" w:color="auto"/>
            <w:bottom w:val="none" w:sz="0" w:space="0" w:color="auto"/>
            <w:right w:val="none" w:sz="0" w:space="0" w:color="auto"/>
          </w:divBdr>
        </w:div>
        <w:div w:id="1887061519">
          <w:marLeft w:val="360"/>
          <w:marRight w:val="0"/>
          <w:marTop w:val="200"/>
          <w:marBottom w:val="0"/>
          <w:divBdr>
            <w:top w:val="none" w:sz="0" w:space="0" w:color="auto"/>
            <w:left w:val="none" w:sz="0" w:space="0" w:color="auto"/>
            <w:bottom w:val="none" w:sz="0" w:space="0" w:color="auto"/>
            <w:right w:val="none" w:sz="0" w:space="0" w:color="auto"/>
          </w:divBdr>
        </w:div>
        <w:div w:id="1434544802">
          <w:marLeft w:val="360"/>
          <w:marRight w:val="0"/>
          <w:marTop w:val="200"/>
          <w:marBottom w:val="0"/>
          <w:divBdr>
            <w:top w:val="none" w:sz="0" w:space="0" w:color="auto"/>
            <w:left w:val="none" w:sz="0" w:space="0" w:color="auto"/>
            <w:bottom w:val="none" w:sz="0" w:space="0" w:color="auto"/>
            <w:right w:val="none" w:sz="0" w:space="0" w:color="auto"/>
          </w:divBdr>
        </w:div>
      </w:divsChild>
    </w:div>
    <w:div w:id="1772168731">
      <w:bodyDiv w:val="1"/>
      <w:marLeft w:val="0"/>
      <w:marRight w:val="0"/>
      <w:marTop w:val="0"/>
      <w:marBottom w:val="0"/>
      <w:divBdr>
        <w:top w:val="none" w:sz="0" w:space="0" w:color="auto"/>
        <w:left w:val="none" w:sz="0" w:space="0" w:color="auto"/>
        <w:bottom w:val="none" w:sz="0" w:space="0" w:color="auto"/>
        <w:right w:val="none" w:sz="0" w:space="0" w:color="auto"/>
      </w:divBdr>
      <w:divsChild>
        <w:div w:id="2065905187">
          <w:marLeft w:val="0"/>
          <w:marRight w:val="0"/>
          <w:marTop w:val="0"/>
          <w:marBottom w:val="0"/>
          <w:divBdr>
            <w:top w:val="none" w:sz="0" w:space="0" w:color="auto"/>
            <w:left w:val="none" w:sz="0" w:space="0" w:color="auto"/>
            <w:bottom w:val="none" w:sz="0" w:space="0" w:color="auto"/>
            <w:right w:val="none" w:sz="0" w:space="0" w:color="auto"/>
          </w:divBdr>
          <w:divsChild>
            <w:div w:id="738020794">
              <w:marLeft w:val="0"/>
              <w:marRight w:val="0"/>
              <w:marTop w:val="0"/>
              <w:marBottom w:val="0"/>
              <w:divBdr>
                <w:top w:val="none" w:sz="0" w:space="0" w:color="auto"/>
                <w:left w:val="none" w:sz="0" w:space="0" w:color="auto"/>
                <w:bottom w:val="none" w:sz="0" w:space="0" w:color="auto"/>
                <w:right w:val="none" w:sz="0" w:space="0" w:color="auto"/>
              </w:divBdr>
              <w:divsChild>
                <w:div w:id="15385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6014">
      <w:bodyDiv w:val="1"/>
      <w:marLeft w:val="0"/>
      <w:marRight w:val="0"/>
      <w:marTop w:val="0"/>
      <w:marBottom w:val="0"/>
      <w:divBdr>
        <w:top w:val="none" w:sz="0" w:space="0" w:color="auto"/>
        <w:left w:val="none" w:sz="0" w:space="0" w:color="auto"/>
        <w:bottom w:val="none" w:sz="0" w:space="0" w:color="auto"/>
        <w:right w:val="none" w:sz="0" w:space="0" w:color="auto"/>
      </w:divBdr>
    </w:div>
    <w:div w:id="2076076206">
      <w:bodyDiv w:val="1"/>
      <w:marLeft w:val="0"/>
      <w:marRight w:val="0"/>
      <w:marTop w:val="0"/>
      <w:marBottom w:val="0"/>
      <w:divBdr>
        <w:top w:val="none" w:sz="0" w:space="0" w:color="auto"/>
        <w:left w:val="none" w:sz="0" w:space="0" w:color="auto"/>
        <w:bottom w:val="none" w:sz="0" w:space="0" w:color="auto"/>
        <w:right w:val="none" w:sz="0" w:space="0" w:color="auto"/>
      </w:divBdr>
      <w:divsChild>
        <w:div w:id="811144720">
          <w:marLeft w:val="0"/>
          <w:marRight w:val="0"/>
          <w:marTop w:val="0"/>
          <w:marBottom w:val="0"/>
          <w:divBdr>
            <w:top w:val="none" w:sz="0" w:space="0" w:color="auto"/>
            <w:left w:val="none" w:sz="0" w:space="0" w:color="auto"/>
            <w:bottom w:val="none" w:sz="0" w:space="0" w:color="auto"/>
            <w:right w:val="none" w:sz="0" w:space="0" w:color="auto"/>
          </w:divBdr>
          <w:divsChild>
            <w:div w:id="303896148">
              <w:marLeft w:val="0"/>
              <w:marRight w:val="0"/>
              <w:marTop w:val="0"/>
              <w:marBottom w:val="0"/>
              <w:divBdr>
                <w:top w:val="none" w:sz="0" w:space="0" w:color="auto"/>
                <w:left w:val="none" w:sz="0" w:space="0" w:color="auto"/>
                <w:bottom w:val="none" w:sz="0" w:space="0" w:color="auto"/>
                <w:right w:val="none" w:sz="0" w:space="0" w:color="auto"/>
              </w:divBdr>
              <w:divsChild>
                <w:div w:id="5644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chart" Target="charts/chart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4.xml"/><Relationship Id="rId23" Type="http://schemas.microsoft.com/office/2016/09/relationships/commentsIds" Target="commentsIds.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Dropbox\Artigo_FNE\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Dropbox\Artigos%20cient&#237;ficos\Avalia&#231;&#227;o%20do%20FNE\Artigo_FNE\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ot\Dropbox\Artigos%20cient&#237;ficos\Avalia&#231;&#227;o%20do%20FNE\Artigo_FNE\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ropbox\Artigo_FNE\Resultados.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D:\Dropbox\Artigo_FNE\Resultados.xlsx"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1" Type="http://schemas.openxmlformats.org/officeDocument/2006/relationships/oleObject" Target="file:///D:\Dropbox\Artigo_FNE\Resultado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ropbox\Artigo_FNE\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NatMacro_Nordeste_Acumulado!$O$2</c:f>
              <c:strCache>
                <c:ptCount val="1"/>
                <c:pt idx="0">
                  <c:v>Baseline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1"/>
              <c:layout>
                <c:manualLayout>
                  <c:x val="-8.3314238497965501E-3"/>
                  <c:y val="3.6687631027253698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09FB-45AE-9C89-3CC09E1A4A06}"/>
                </c:ext>
                <c:ext xmlns:c15="http://schemas.microsoft.com/office/drawing/2012/chart" uri="{CE6537A1-D6FC-4f65-9D91-7224C49458BB}"/>
              </c:extLst>
            </c:dLbl>
            <c:spPr>
              <a:noFill/>
              <a:ln>
                <a:noFill/>
              </a:ln>
              <a:effectLst/>
            </c:spPr>
            <c:dLblPos val="ct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numRef>
              <c:f>NatMacro_Nordeste_Acumulado!$P$1:$AA$1</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NatMacro_Nordeste_Acumulado!$P$2:$AA$2</c:f>
              <c:numCache>
                <c:formatCode>0.00</c:formatCode>
                <c:ptCount val="12"/>
                <c:pt idx="0">
                  <c:v>0.40196399999999999</c:v>
                </c:pt>
                <c:pt idx="1">
                  <c:v>-3.1170490000000002</c:v>
                </c:pt>
                <c:pt idx="2">
                  <c:v>-6.2319579999999997</c:v>
                </c:pt>
                <c:pt idx="3">
                  <c:v>-5.4001809999999946</c:v>
                </c:pt>
                <c:pt idx="4">
                  <c:v>-2.9388510000000001</c:v>
                </c:pt>
                <c:pt idx="5">
                  <c:v>-0.118268</c:v>
                </c:pt>
                <c:pt idx="6">
                  <c:v>2.7838229999999999</c:v>
                </c:pt>
                <c:pt idx="7">
                  <c:v>5.7715269999999999</c:v>
                </c:pt>
                <c:pt idx="8">
                  <c:v>8.8777700000000035</c:v>
                </c:pt>
                <c:pt idx="9">
                  <c:v>12.161541</c:v>
                </c:pt>
                <c:pt idx="10">
                  <c:v>15.660501999999999</c:v>
                </c:pt>
                <c:pt idx="11">
                  <c:v>19.347206</c:v>
                </c:pt>
              </c:numCache>
            </c:numRef>
          </c:val>
          <c:smooth val="0"/>
          <c:extLst xmlns:c16r2="http://schemas.microsoft.com/office/drawing/2015/06/chart">
            <c:ext xmlns:c16="http://schemas.microsoft.com/office/drawing/2014/chart" uri="{C3380CC4-5D6E-409C-BE32-E72D297353CC}">
              <c16:uniqueId val="{00000001-7EEC-44F4-91A5-BF71BA07CF5F}"/>
            </c:ext>
          </c:extLst>
        </c:ser>
        <c:ser>
          <c:idx val="1"/>
          <c:order val="1"/>
          <c:tx>
            <c:strRef>
              <c:f>NatMacro_Nordeste_Acumulado!$O$3</c:f>
              <c:strCache>
                <c:ptCount val="1"/>
                <c:pt idx="0">
                  <c:v>Policy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1"/>
              <c:layout>
                <c:manualLayout>
                  <c:x val="-2.1558937077309801E-2"/>
                  <c:y val="-5.2410901467505197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9FB-45AE-9C89-3CC09E1A4A06}"/>
                </c:ext>
                <c:ext xmlns:c15="http://schemas.microsoft.com/office/drawing/2012/chart" uri="{CE6537A1-D6FC-4f65-9D91-7224C49458BB}"/>
              </c:extLst>
            </c:dLbl>
            <c:spPr>
              <a:noFill/>
              <a:ln>
                <a:noFill/>
              </a:ln>
              <a:effectLst/>
            </c:spPr>
            <c:dLblPos val="ct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numRef>
              <c:f>NatMacro_Nordeste_Acumulado!$P$1:$AA$1</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NatMacro_Nordeste_Acumulado!$P$3:$AA$3</c:f>
              <c:numCache>
                <c:formatCode>0.00</c:formatCode>
                <c:ptCount val="12"/>
                <c:pt idx="0">
                  <c:v>0.55532599999999999</c:v>
                </c:pt>
                <c:pt idx="1">
                  <c:v>-2.5651830000000002</c:v>
                </c:pt>
                <c:pt idx="2">
                  <c:v>-5.263719</c:v>
                </c:pt>
                <c:pt idx="3">
                  <c:v>-4.0624369999999743</c:v>
                </c:pt>
                <c:pt idx="4">
                  <c:v>-1.2506010000000001</c:v>
                </c:pt>
                <c:pt idx="5">
                  <c:v>1.9045160000000001</c:v>
                </c:pt>
                <c:pt idx="6">
                  <c:v>5.1281929999999836</c:v>
                </c:pt>
                <c:pt idx="7">
                  <c:v>8.434742</c:v>
                </c:pt>
                <c:pt idx="8">
                  <c:v>11.877435</c:v>
                </c:pt>
                <c:pt idx="9">
                  <c:v>15.533581</c:v>
                </c:pt>
                <c:pt idx="10">
                  <c:v>19.434479</c:v>
                </c:pt>
                <c:pt idx="11">
                  <c:v>23.541971</c:v>
                </c:pt>
              </c:numCache>
            </c:numRef>
          </c:val>
          <c:smooth val="0"/>
          <c:extLst xmlns:c16r2="http://schemas.microsoft.com/office/drawing/2015/06/chart">
            <c:ext xmlns:c16="http://schemas.microsoft.com/office/drawing/2014/chart" uri="{C3380CC4-5D6E-409C-BE32-E72D297353CC}">
              <c16:uniqueId val="{00000003-7EEC-44F4-91A5-BF71BA07CF5F}"/>
            </c:ext>
          </c:extLst>
        </c:ser>
        <c:dLbls>
          <c:showLegendKey val="0"/>
          <c:showVal val="0"/>
          <c:showCatName val="0"/>
          <c:showSerName val="0"/>
          <c:showPercent val="0"/>
          <c:showBubbleSize val="0"/>
        </c:dLbls>
        <c:marker val="1"/>
        <c:smooth val="0"/>
        <c:axId val="100926976"/>
        <c:axId val="100928512"/>
      </c:lineChart>
      <c:catAx>
        <c:axId val="10092697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28512"/>
        <c:crosses val="autoZero"/>
        <c:auto val="1"/>
        <c:lblAlgn val="ctr"/>
        <c:lblOffset val="100"/>
        <c:noMultiLvlLbl val="0"/>
      </c:catAx>
      <c:valAx>
        <c:axId val="10092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b="0"/>
                </a:pPr>
                <a:r>
                  <a:rPr lang="pt-BR" b="0"/>
                  <a:t>Accumulated growth rate (%)</a:t>
                </a:r>
              </a:p>
            </c:rich>
          </c:tx>
          <c:overlay val="0"/>
        </c:title>
        <c:numFmt formatCode="0.00"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2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Nordeste_Desvio!$O$25</c:f>
              <c:strCache>
                <c:ptCount val="1"/>
                <c:pt idx="0">
                  <c:v>Real GDP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1"/>
              <c:layout>
                <c:manualLayout>
                  <c:x val="-8.8183421516754793E-3"/>
                  <c:y val="-4.5317220543806699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1B3-4E8A-9975-C99A4591AAFE}"/>
                </c:ext>
                <c:ext xmlns:c15="http://schemas.microsoft.com/office/drawing/2012/chart" uri="{CE6537A1-D6FC-4f65-9D91-7224C49458BB}"/>
              </c:extLst>
            </c:dLbl>
            <c:spPr>
              <a:noFill/>
              <a:ln>
                <a:noFill/>
              </a:ln>
              <a:effectLst/>
            </c:spPr>
            <c:txPr>
              <a:bodyPr/>
              <a:lstStyle/>
              <a:p>
                <a:pPr>
                  <a:defRPr>
                    <a:latin typeface="Times New Roman" pitchFamily="18" charset="0"/>
                    <a:cs typeface="Times New Roman"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numRef>
              <c:f>Nordeste_Desvio!$P$24:$AA$24</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Nordeste_Desvio!$P$25:$AA$25</c:f>
              <c:numCache>
                <c:formatCode>0.00</c:formatCode>
                <c:ptCount val="12"/>
                <c:pt idx="0">
                  <c:v>0.152749</c:v>
                </c:pt>
                <c:pt idx="1">
                  <c:v>0.56962199999999996</c:v>
                </c:pt>
                <c:pt idx="2">
                  <c:v>1.0325899999999999</c:v>
                </c:pt>
                <c:pt idx="3">
                  <c:v>1.4141079999999999</c:v>
                </c:pt>
                <c:pt idx="4">
                  <c:v>1.7393670000000001</c:v>
                </c:pt>
                <c:pt idx="5">
                  <c:v>2.0251790000000001</c:v>
                </c:pt>
                <c:pt idx="6">
                  <c:v>2.2808739999999998</c:v>
                </c:pt>
                <c:pt idx="7">
                  <c:v>2.5178940000000001</c:v>
                </c:pt>
                <c:pt idx="8">
                  <c:v>2.7550750000000002</c:v>
                </c:pt>
                <c:pt idx="9">
                  <c:v>3.006412999999998</c:v>
                </c:pt>
                <c:pt idx="10">
                  <c:v>3.2629779999999999</c:v>
                </c:pt>
                <c:pt idx="11">
                  <c:v>3.514758</c:v>
                </c:pt>
              </c:numCache>
            </c:numRef>
          </c:val>
          <c:smooth val="0"/>
          <c:extLst xmlns:c16r2="http://schemas.microsoft.com/office/drawing/2015/06/chart">
            <c:ext xmlns:c16="http://schemas.microsoft.com/office/drawing/2014/chart" uri="{C3380CC4-5D6E-409C-BE32-E72D297353CC}">
              <c16:uniqueId val="{00000001-C15F-47FB-89D9-947511E07BBD}"/>
            </c:ext>
          </c:extLst>
        </c:ser>
        <c:ser>
          <c:idx val="1"/>
          <c:order val="1"/>
          <c:tx>
            <c:strRef>
              <c:f>Nordeste_Desvio!$O$26</c:f>
              <c:strCache>
                <c:ptCount val="1"/>
                <c:pt idx="0">
                  <c:v>Household consumption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Nordeste_Desvio!$P$24:$AA$24</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Nordeste_Desvio!$P$26:$AA$26</c:f>
              <c:numCache>
                <c:formatCode>0.00</c:formatCode>
                <c:ptCount val="12"/>
                <c:pt idx="0">
                  <c:v>0.1484</c:v>
                </c:pt>
                <c:pt idx="1">
                  <c:v>0.49171500000000001</c:v>
                </c:pt>
                <c:pt idx="2">
                  <c:v>0.822542</c:v>
                </c:pt>
                <c:pt idx="3">
                  <c:v>1.100908</c:v>
                </c:pt>
                <c:pt idx="4">
                  <c:v>1.342978</c:v>
                </c:pt>
                <c:pt idx="5">
                  <c:v>1.5649869999999999</c:v>
                </c:pt>
                <c:pt idx="6">
                  <c:v>1.7733699999999999</c:v>
                </c:pt>
                <c:pt idx="7">
                  <c:v>1.972148</c:v>
                </c:pt>
                <c:pt idx="8">
                  <c:v>2.1688800000000001</c:v>
                </c:pt>
                <c:pt idx="9">
                  <c:v>2.3695930000000001</c:v>
                </c:pt>
                <c:pt idx="10">
                  <c:v>2.5739200000000002</c:v>
                </c:pt>
                <c:pt idx="11">
                  <c:v>2.7859989999999999</c:v>
                </c:pt>
              </c:numCache>
            </c:numRef>
          </c:val>
          <c:smooth val="0"/>
          <c:extLst xmlns:c16r2="http://schemas.microsoft.com/office/drawing/2015/06/chart">
            <c:ext xmlns:c16="http://schemas.microsoft.com/office/drawing/2014/chart" uri="{C3380CC4-5D6E-409C-BE32-E72D297353CC}">
              <c16:uniqueId val="{00000002-C15F-47FB-89D9-947511E07BBD}"/>
            </c:ext>
          </c:extLst>
        </c:ser>
        <c:ser>
          <c:idx val="2"/>
          <c:order val="2"/>
          <c:tx>
            <c:strRef>
              <c:f>Nordeste_Desvio!$O$27</c:f>
              <c:strCache>
                <c:ptCount val="1"/>
                <c:pt idx="0">
                  <c:v>Investment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11"/>
              <c:layout>
                <c:manualLayout>
                  <c:x val="-6.6137566137566099E-3"/>
                  <c:y val="-4.028197381671699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11B3-4E8A-9975-C99A4591AAFE}"/>
                </c:ext>
                <c:ext xmlns:c15="http://schemas.microsoft.com/office/drawing/2012/chart" uri="{CE6537A1-D6FC-4f65-9D91-7224C49458BB}"/>
              </c:extLst>
            </c:dLbl>
            <c:spPr>
              <a:noFill/>
              <a:ln>
                <a:noFill/>
              </a:ln>
              <a:effectLst/>
            </c:spPr>
            <c:txPr>
              <a:bodyPr/>
              <a:lstStyle/>
              <a:p>
                <a:pPr>
                  <a:defRPr>
                    <a:latin typeface="Times New Roman" pitchFamily="18" charset="0"/>
                    <a:cs typeface="Times New Roman"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numRef>
              <c:f>Nordeste_Desvio!$P$24:$AA$24</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Nordeste_Desvio!$P$27:$AA$27</c:f>
              <c:numCache>
                <c:formatCode>0.00</c:formatCode>
                <c:ptCount val="12"/>
                <c:pt idx="0">
                  <c:v>3.8936920000000002</c:v>
                </c:pt>
                <c:pt idx="1">
                  <c:v>8.8691130000000005</c:v>
                </c:pt>
                <c:pt idx="2">
                  <c:v>9.1917500000000008</c:v>
                </c:pt>
                <c:pt idx="3">
                  <c:v>9.0571289999999998</c:v>
                </c:pt>
                <c:pt idx="4">
                  <c:v>8.5808020000000003</c:v>
                </c:pt>
                <c:pt idx="5">
                  <c:v>7.9611139999999976</c:v>
                </c:pt>
                <c:pt idx="6">
                  <c:v>7.3947769999999746</c:v>
                </c:pt>
                <c:pt idx="7">
                  <c:v>7.0310569999999997</c:v>
                </c:pt>
                <c:pt idx="8">
                  <c:v>6.8682720000000002</c:v>
                </c:pt>
                <c:pt idx="9">
                  <c:v>6.706499</c:v>
                </c:pt>
                <c:pt idx="10">
                  <c:v>6.4875299999999996</c:v>
                </c:pt>
                <c:pt idx="11">
                  <c:v>6.2785650000000004</c:v>
                </c:pt>
              </c:numCache>
            </c:numRef>
          </c:val>
          <c:smooth val="0"/>
          <c:extLst xmlns:c16r2="http://schemas.microsoft.com/office/drawing/2015/06/chart">
            <c:ext xmlns:c16="http://schemas.microsoft.com/office/drawing/2014/chart" uri="{C3380CC4-5D6E-409C-BE32-E72D297353CC}">
              <c16:uniqueId val="{00000004-C15F-47FB-89D9-947511E07BBD}"/>
            </c:ext>
          </c:extLst>
        </c:ser>
        <c:ser>
          <c:idx val="3"/>
          <c:order val="3"/>
          <c:tx>
            <c:strRef>
              <c:f>Nordeste_Desvio!$O$28</c:f>
              <c:strCache>
                <c:ptCount val="1"/>
                <c:pt idx="0">
                  <c:v>Employment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11"/>
              <c:layout>
                <c:manualLayout>
                  <c:x val="0"/>
                  <c:y val="3.5246727089627401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11B3-4E8A-9975-C99A4591AAFE}"/>
                </c:ext>
                <c:ext xmlns:c15="http://schemas.microsoft.com/office/drawing/2012/chart" uri="{CE6537A1-D6FC-4f65-9D91-7224C49458BB}"/>
              </c:extLst>
            </c:dLbl>
            <c:spPr>
              <a:noFill/>
              <a:ln>
                <a:noFill/>
              </a:ln>
              <a:effectLst/>
            </c:spPr>
            <c:txPr>
              <a:bodyPr/>
              <a:lstStyle/>
              <a:p>
                <a:pPr>
                  <a:defRPr>
                    <a:latin typeface="Times New Roman" pitchFamily="18" charset="0"/>
                    <a:cs typeface="Times New Roman"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numRef>
              <c:f>Nordeste_Desvio!$P$24:$AA$24</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Nordeste_Desvio!$P$28:$AA$28</c:f>
              <c:numCache>
                <c:formatCode>0.00</c:formatCode>
                <c:ptCount val="12"/>
                <c:pt idx="0">
                  <c:v>0.178424</c:v>
                </c:pt>
                <c:pt idx="1">
                  <c:v>0.53335399999999999</c:v>
                </c:pt>
                <c:pt idx="2">
                  <c:v>0.84590500000000002</c:v>
                </c:pt>
                <c:pt idx="3">
                  <c:v>1.116457</c:v>
                </c:pt>
                <c:pt idx="4">
                  <c:v>1.3547070000000001</c:v>
                </c:pt>
                <c:pt idx="5">
                  <c:v>1.5740540000000001</c:v>
                </c:pt>
                <c:pt idx="6">
                  <c:v>1.7792650000000001</c:v>
                </c:pt>
                <c:pt idx="7">
                  <c:v>1.9738290000000001</c:v>
                </c:pt>
                <c:pt idx="8">
                  <c:v>2.1640969999999999</c:v>
                </c:pt>
                <c:pt idx="9">
                  <c:v>2.3534739999999981</c:v>
                </c:pt>
                <c:pt idx="10">
                  <c:v>2.546435999999999</c:v>
                </c:pt>
                <c:pt idx="11">
                  <c:v>2.7505099999999998</c:v>
                </c:pt>
              </c:numCache>
            </c:numRef>
          </c:val>
          <c:smooth val="0"/>
          <c:extLst xmlns:c16r2="http://schemas.microsoft.com/office/drawing/2015/06/chart">
            <c:ext xmlns:c16="http://schemas.microsoft.com/office/drawing/2014/chart" uri="{C3380CC4-5D6E-409C-BE32-E72D297353CC}">
              <c16:uniqueId val="{00000006-C15F-47FB-89D9-947511E07BBD}"/>
            </c:ext>
          </c:extLst>
        </c:ser>
        <c:dLbls>
          <c:showLegendKey val="0"/>
          <c:showVal val="0"/>
          <c:showCatName val="0"/>
          <c:showSerName val="0"/>
          <c:showPercent val="0"/>
          <c:showBubbleSize val="0"/>
        </c:dLbls>
        <c:marker val="1"/>
        <c:smooth val="0"/>
        <c:axId val="135531136"/>
        <c:axId val="182005120"/>
      </c:lineChart>
      <c:dateAx>
        <c:axId val="13553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82005120"/>
        <c:crosses val="autoZero"/>
        <c:auto val="0"/>
        <c:lblOffset val="100"/>
        <c:baseTimeUnit val="days"/>
      </c:dateAx>
      <c:valAx>
        <c:axId val="18200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pt-BR" sz="1000" b="0" i="0" baseline="0">
                    <a:effectLst/>
                    <a:latin typeface="Times New Roman" pitchFamily="18" charset="0"/>
                    <a:cs typeface="Times New Roman" pitchFamily="18" charset="0"/>
                  </a:rPr>
                  <a:t>Accumulated growth rate (%)</a:t>
                </a:r>
                <a:endParaRPr lang="pt-BR" sz="1000">
                  <a:effectLst/>
                  <a:latin typeface="Times New Roman" pitchFamily="18" charset="0"/>
                  <a:cs typeface="Times New Roman" pitchFamily="18" charset="0"/>
                </a:endParaRPr>
              </a:p>
            </c:rich>
          </c:tx>
          <c:overlay val="0"/>
        </c:title>
        <c:numFmt formatCode="0.00" sourceLinked="1"/>
        <c:majorTickMark val="none"/>
        <c:minorTickMark val="none"/>
        <c:tickLblPos val="nextTo"/>
        <c:spPr>
          <a:noFill/>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35531136"/>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Nordeste_Desvio!$A$5</c:f>
              <c:strCache>
                <c:ptCount val="1"/>
                <c:pt idx="0">
                  <c:v>Exports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Nordeste_Desvio!$B$1:$M$1</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Nordeste_Desvio!$B$5:$M$5</c:f>
              <c:numCache>
                <c:formatCode>0.00</c:formatCode>
                <c:ptCount val="12"/>
                <c:pt idx="0">
                  <c:v>-0.25263799999999997</c:v>
                </c:pt>
                <c:pt idx="1">
                  <c:v>-0.366784</c:v>
                </c:pt>
                <c:pt idx="2">
                  <c:v>-0.109836</c:v>
                </c:pt>
                <c:pt idx="3">
                  <c:v>9.7391000000000005E-2</c:v>
                </c:pt>
                <c:pt idx="4">
                  <c:v>0.25761400000000001</c:v>
                </c:pt>
                <c:pt idx="5">
                  <c:v>0.38121100000000002</c:v>
                </c:pt>
                <c:pt idx="6">
                  <c:v>0.47178100000000001</c:v>
                </c:pt>
                <c:pt idx="7">
                  <c:v>0.52115800000000001</c:v>
                </c:pt>
                <c:pt idx="8">
                  <c:v>0.52007999999999999</c:v>
                </c:pt>
                <c:pt idx="9">
                  <c:v>0.48320200000000002</c:v>
                </c:pt>
                <c:pt idx="10">
                  <c:v>0.44494099999999998</c:v>
                </c:pt>
                <c:pt idx="11">
                  <c:v>0.42924600000000002</c:v>
                </c:pt>
              </c:numCache>
            </c:numRef>
          </c:val>
          <c:smooth val="0"/>
          <c:extLst xmlns:c16r2="http://schemas.microsoft.com/office/drawing/2015/06/chart">
            <c:ext xmlns:c16="http://schemas.microsoft.com/office/drawing/2014/chart" uri="{C3380CC4-5D6E-409C-BE32-E72D297353CC}">
              <c16:uniqueId val="{00000000-EBFA-42AF-A134-465EF0B2BF95}"/>
            </c:ext>
          </c:extLst>
        </c:ser>
        <c:ser>
          <c:idx val="1"/>
          <c:order val="1"/>
          <c:tx>
            <c:strRef>
              <c:f>Nordeste_Desvio!$A$6</c:f>
              <c:strCache>
                <c:ptCount val="1"/>
                <c:pt idx="0">
                  <c:v>Imports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Nordeste_Desvio!$B$1:$M$1</c:f>
              <c:numCache>
                <c:formatCode>General</c:formatCode>
                <c:ptCount val="12"/>
                <c:pt idx="0">
                  <c:v>2014</c:v>
                </c:pt>
                <c:pt idx="1">
                  <c:v>2015</c:v>
                </c:pt>
                <c:pt idx="2">
                  <c:v>2016</c:v>
                </c:pt>
                <c:pt idx="3">
                  <c:v>2017</c:v>
                </c:pt>
                <c:pt idx="4">
                  <c:v>2018</c:v>
                </c:pt>
                <c:pt idx="5">
                  <c:v>2019</c:v>
                </c:pt>
                <c:pt idx="6">
                  <c:v>2020</c:v>
                </c:pt>
                <c:pt idx="7">
                  <c:v>2021</c:v>
                </c:pt>
                <c:pt idx="8">
                  <c:v>2022</c:v>
                </c:pt>
                <c:pt idx="9">
                  <c:v>2023</c:v>
                </c:pt>
                <c:pt idx="10">
                  <c:v>2024</c:v>
                </c:pt>
                <c:pt idx="11">
                  <c:v>2025</c:v>
                </c:pt>
              </c:numCache>
            </c:numRef>
          </c:cat>
          <c:val>
            <c:numRef>
              <c:f>Nordeste_Desvio!$B$6:$M$6</c:f>
              <c:numCache>
                <c:formatCode>0.00</c:formatCode>
                <c:ptCount val="12"/>
                <c:pt idx="0">
                  <c:v>0.98995900000000003</c:v>
                </c:pt>
                <c:pt idx="1">
                  <c:v>2.1772580000000001</c:v>
                </c:pt>
                <c:pt idx="2">
                  <c:v>2.3902920000000001</c:v>
                </c:pt>
                <c:pt idx="3">
                  <c:v>2.5221930000000001</c:v>
                </c:pt>
                <c:pt idx="4">
                  <c:v>2.6181410000000001</c:v>
                </c:pt>
                <c:pt idx="5">
                  <c:v>2.6946560000000002</c:v>
                </c:pt>
                <c:pt idx="6">
                  <c:v>2.7711459999999981</c:v>
                </c:pt>
                <c:pt idx="7">
                  <c:v>2.8871099999999998</c:v>
                </c:pt>
                <c:pt idx="8">
                  <c:v>3.0781070000000001</c:v>
                </c:pt>
                <c:pt idx="9">
                  <c:v>3.3180360000000002</c:v>
                </c:pt>
                <c:pt idx="10">
                  <c:v>3.5487549999999999</c:v>
                </c:pt>
                <c:pt idx="11">
                  <c:v>3.7398799999999981</c:v>
                </c:pt>
              </c:numCache>
            </c:numRef>
          </c:val>
          <c:smooth val="0"/>
          <c:extLst xmlns:c16r2="http://schemas.microsoft.com/office/drawing/2015/06/chart">
            <c:ext xmlns:c16="http://schemas.microsoft.com/office/drawing/2014/chart" uri="{C3380CC4-5D6E-409C-BE32-E72D297353CC}">
              <c16:uniqueId val="{00000001-EBFA-42AF-A134-465EF0B2BF95}"/>
            </c:ext>
          </c:extLst>
        </c:ser>
        <c:dLbls>
          <c:showLegendKey val="0"/>
          <c:showVal val="0"/>
          <c:showCatName val="0"/>
          <c:showSerName val="0"/>
          <c:showPercent val="0"/>
          <c:showBubbleSize val="0"/>
        </c:dLbls>
        <c:marker val="1"/>
        <c:smooth val="0"/>
        <c:axId val="100594048"/>
        <c:axId val="100595968"/>
      </c:lineChart>
      <c:catAx>
        <c:axId val="10059404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595968"/>
        <c:crosses val="autoZero"/>
        <c:auto val="1"/>
        <c:lblAlgn val="ctr"/>
        <c:lblOffset val="100"/>
        <c:noMultiLvlLbl val="0"/>
      </c:catAx>
      <c:valAx>
        <c:axId val="10059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pt-BR" sz="1000" b="0" i="0" baseline="0">
                    <a:effectLst/>
                    <a:latin typeface="Times New Roman" pitchFamily="18" charset="0"/>
                    <a:cs typeface="Times New Roman" pitchFamily="18" charset="0"/>
                  </a:rPr>
                  <a:t>Accumulated growth rate (%)</a:t>
                </a:r>
                <a:endParaRPr lang="pt-BR" sz="400">
                  <a:effectLst/>
                  <a:latin typeface="Times New Roman" pitchFamily="18" charset="0"/>
                  <a:cs typeface="Times New Roman" pitchFamily="18" charset="0"/>
                </a:endParaRPr>
              </a:p>
            </c:rich>
          </c:tx>
          <c:overlay val="0"/>
        </c:title>
        <c:numFmt formatCode="0.00" sourceLinked="1"/>
        <c:majorTickMark val="none"/>
        <c:min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594048"/>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32850241545894E-2"/>
          <c:y val="3.2105067452815703E-2"/>
          <c:w val="0.97342995169082103"/>
          <c:h val="0.764230220681547"/>
        </c:manualLayout>
      </c:layout>
      <c:bar3DChart>
        <c:barDir val="col"/>
        <c:grouping val="clustered"/>
        <c:varyColors val="0"/>
        <c:ser>
          <c:idx val="0"/>
          <c:order val="0"/>
          <c:tx>
            <c:strRef>
              <c:f>Dados!$C$1</c:f>
              <c:strCache>
                <c:ptCount val="1"/>
                <c:pt idx="0">
                  <c:v>2014</c:v>
                </c:pt>
              </c:strCache>
            </c:strRef>
          </c:tx>
          <c:spPr>
            <a:solidFill>
              <a:schemeClr val="accent1"/>
            </a:solidFill>
            <a:ln>
              <a:noFill/>
            </a:ln>
            <a:effectLst/>
            <a:sp3d/>
          </c:spPr>
          <c:invertIfNegative val="0"/>
          <c:dLbls>
            <c:dLbl>
              <c:idx val="0"/>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72FB-4AF2-89E9-ACED31ED1D27}"/>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Dados!$B$2:$B$21</c:f>
              <c:strCache>
                <c:ptCount val="20"/>
                <c:pt idx="0">
                  <c:v>Agriculture, forestry and Livestck</c:v>
                </c:pt>
                <c:pt idx="1">
                  <c:v>Mining industry</c:v>
                </c:pt>
                <c:pt idx="2">
                  <c:v>Food and drinks</c:v>
                </c:pt>
                <c:pt idx="3">
                  <c:v>Electricity and gas, and other utilities</c:v>
                </c:pt>
                <c:pt idx="4">
                  <c:v>Water, sewage and urban cleaning</c:v>
                </c:pt>
                <c:pt idx="5">
                  <c:v>Construction</c:v>
                </c:pt>
                <c:pt idx="6">
                  <c:v>Trade</c:v>
                </c:pt>
                <c:pt idx="7">
                  <c:v>Transportation, paper and packaging</c:v>
                </c:pt>
                <c:pt idx="8">
                  <c:v>Accommodation and food services</c:v>
                </c:pt>
                <c:pt idx="9">
                  <c:v>Information services</c:v>
                </c:pt>
                <c:pt idx="10">
                  <c:v>Financial intermediation and insurance</c:v>
                </c:pt>
                <c:pt idx="11">
                  <c:v>Real estate services and rentals</c:v>
                </c:pt>
                <c:pt idx="12">
                  <c:v>Cientific, professional, technical and artistic activities</c:v>
                </c:pt>
                <c:pt idx="13">
                  <c:v>Administration and complementary services</c:v>
                </c:pt>
                <c:pt idx="14">
                  <c:v>Public administration and social security</c:v>
                </c:pt>
                <c:pt idx="15">
                  <c:v>Public education</c:v>
                </c:pt>
                <c:pt idx="16">
                  <c:v>Private education</c:v>
                </c:pt>
                <c:pt idx="17">
                  <c:v>Public health</c:v>
                </c:pt>
                <c:pt idx="18">
                  <c:v>Private health </c:v>
                </c:pt>
                <c:pt idx="19">
                  <c:v>Associations and other personal and household services</c:v>
                </c:pt>
              </c:strCache>
            </c:strRef>
          </c:cat>
          <c:val>
            <c:numRef>
              <c:f>Dados!$C$2:$C$21</c:f>
              <c:numCache>
                <c:formatCode>#,##0</c:formatCode>
                <c:ptCount val="20"/>
                <c:pt idx="0">
                  <c:v>2784.5593632711202</c:v>
                </c:pt>
                <c:pt idx="1">
                  <c:v>536.38602691180142</c:v>
                </c:pt>
                <c:pt idx="2">
                  <c:v>1364.10534913735</c:v>
                </c:pt>
                <c:pt idx="3">
                  <c:v>88.211815324463544</c:v>
                </c:pt>
                <c:pt idx="4">
                  <c:v>1.310531102344763</c:v>
                </c:pt>
                <c:pt idx="5">
                  <c:v>140.7792201331329</c:v>
                </c:pt>
                <c:pt idx="6">
                  <c:v>676.40397242395136</c:v>
                </c:pt>
                <c:pt idx="7">
                  <c:v>364.52279224231012</c:v>
                </c:pt>
                <c:pt idx="8">
                  <c:v>76.998831940172366</c:v>
                </c:pt>
                <c:pt idx="9">
                  <c:v>143.55193700905269</c:v>
                </c:pt>
                <c:pt idx="10">
                  <c:v>9.0678955225789668</c:v>
                </c:pt>
                <c:pt idx="11">
                  <c:v>787.76303461533882</c:v>
                </c:pt>
                <c:pt idx="12">
                  <c:v>21.365965105576631</c:v>
                </c:pt>
                <c:pt idx="13">
                  <c:v>57.764460540406503</c:v>
                </c:pt>
                <c:pt idx="14">
                  <c:v>2.2490244172686E-2</c:v>
                </c:pt>
                <c:pt idx="15">
                  <c:v>0</c:v>
                </c:pt>
                <c:pt idx="16">
                  <c:v>98.589223205128206</c:v>
                </c:pt>
                <c:pt idx="17">
                  <c:v>0</c:v>
                </c:pt>
                <c:pt idx="18">
                  <c:v>111.234629095657</c:v>
                </c:pt>
                <c:pt idx="19">
                  <c:v>79.223582469708461</c:v>
                </c:pt>
              </c:numCache>
            </c:numRef>
          </c:val>
          <c:extLst xmlns:c16r2="http://schemas.microsoft.com/office/drawing/2015/06/chart">
            <c:ext xmlns:c16="http://schemas.microsoft.com/office/drawing/2014/chart" uri="{C3380CC4-5D6E-409C-BE32-E72D297353CC}">
              <c16:uniqueId val="{00000001-72FB-4AF2-89E9-ACED31ED1D27}"/>
            </c:ext>
          </c:extLst>
        </c:ser>
        <c:ser>
          <c:idx val="1"/>
          <c:order val="1"/>
          <c:tx>
            <c:strRef>
              <c:f>Dados!$D$1</c:f>
              <c:strCache>
                <c:ptCount val="1"/>
                <c:pt idx="0">
                  <c:v>2015</c:v>
                </c:pt>
              </c:strCache>
            </c:strRef>
          </c:tx>
          <c:spPr>
            <a:solidFill>
              <a:schemeClr val="accent2"/>
            </a:solidFill>
            <a:ln>
              <a:noFill/>
            </a:ln>
            <a:effectLst/>
            <a:sp3d/>
          </c:spPr>
          <c:invertIfNegative val="0"/>
          <c:dLbls>
            <c:dLbl>
              <c:idx val="0"/>
              <c:layout>
                <c:manualLayout>
                  <c:x val="3.3339294550694898E-2"/>
                  <c:y val="2.317061574893709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2FB-4AF2-89E9-ACED31ED1D27}"/>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Dados!$B$2:$B$21</c:f>
              <c:strCache>
                <c:ptCount val="20"/>
                <c:pt idx="0">
                  <c:v>Agriculture, forestry and Livestck</c:v>
                </c:pt>
                <c:pt idx="1">
                  <c:v>Mining industry</c:v>
                </c:pt>
                <c:pt idx="2">
                  <c:v>Food and drinks</c:v>
                </c:pt>
                <c:pt idx="3">
                  <c:v>Electricity and gas, and other utilities</c:v>
                </c:pt>
                <c:pt idx="4">
                  <c:v>Water, sewage and urban cleaning</c:v>
                </c:pt>
                <c:pt idx="5">
                  <c:v>Construction</c:v>
                </c:pt>
                <c:pt idx="6">
                  <c:v>Trade</c:v>
                </c:pt>
                <c:pt idx="7">
                  <c:v>Transportation, paper and packaging</c:v>
                </c:pt>
                <c:pt idx="8">
                  <c:v>Accommodation and food services</c:v>
                </c:pt>
                <c:pt idx="9">
                  <c:v>Information services</c:v>
                </c:pt>
                <c:pt idx="10">
                  <c:v>Financial intermediation and insurance</c:v>
                </c:pt>
                <c:pt idx="11">
                  <c:v>Real estate services and rentals</c:v>
                </c:pt>
                <c:pt idx="12">
                  <c:v>Cientific, professional, technical and artistic activities</c:v>
                </c:pt>
                <c:pt idx="13">
                  <c:v>Administration and complementary services</c:v>
                </c:pt>
                <c:pt idx="14">
                  <c:v>Public administration and social security</c:v>
                </c:pt>
                <c:pt idx="15">
                  <c:v>Public education</c:v>
                </c:pt>
                <c:pt idx="16">
                  <c:v>Private education</c:v>
                </c:pt>
                <c:pt idx="17">
                  <c:v>Public health</c:v>
                </c:pt>
                <c:pt idx="18">
                  <c:v>Private health </c:v>
                </c:pt>
                <c:pt idx="19">
                  <c:v>Associations and other personal and household services</c:v>
                </c:pt>
              </c:strCache>
            </c:strRef>
          </c:cat>
          <c:val>
            <c:numRef>
              <c:f>Dados!$D$2:$D$21</c:f>
              <c:numCache>
                <c:formatCode>#,##0</c:formatCode>
                <c:ptCount val="20"/>
                <c:pt idx="0">
                  <c:v>2719.5671941760961</c:v>
                </c:pt>
                <c:pt idx="1">
                  <c:v>158.3435547891643</c:v>
                </c:pt>
                <c:pt idx="2">
                  <c:v>609.9744041449062</c:v>
                </c:pt>
                <c:pt idx="3">
                  <c:v>110.4671279559935</c:v>
                </c:pt>
                <c:pt idx="4">
                  <c:v>2.1257666798214672</c:v>
                </c:pt>
                <c:pt idx="5">
                  <c:v>92.511284754461414</c:v>
                </c:pt>
                <c:pt idx="6">
                  <c:v>633.52538340937599</c:v>
                </c:pt>
                <c:pt idx="7">
                  <c:v>180.67412983549741</c:v>
                </c:pt>
                <c:pt idx="8">
                  <c:v>124.031703920922</c:v>
                </c:pt>
                <c:pt idx="9">
                  <c:v>324.69496369675198</c:v>
                </c:pt>
                <c:pt idx="10">
                  <c:v>3.8301746501830038</c:v>
                </c:pt>
                <c:pt idx="11">
                  <c:v>307.73553023199861</c:v>
                </c:pt>
                <c:pt idx="12">
                  <c:v>26.983655027972301</c:v>
                </c:pt>
                <c:pt idx="13">
                  <c:v>50.723365892532001</c:v>
                </c:pt>
                <c:pt idx="14">
                  <c:v>0</c:v>
                </c:pt>
                <c:pt idx="15">
                  <c:v>0</c:v>
                </c:pt>
                <c:pt idx="16">
                  <c:v>70.621622965356522</c:v>
                </c:pt>
                <c:pt idx="17">
                  <c:v>0</c:v>
                </c:pt>
                <c:pt idx="18">
                  <c:v>83.4342855550004</c:v>
                </c:pt>
                <c:pt idx="19">
                  <c:v>46.697139813694903</c:v>
                </c:pt>
              </c:numCache>
            </c:numRef>
          </c:val>
          <c:extLst xmlns:c16r2="http://schemas.microsoft.com/office/drawing/2015/06/chart">
            <c:ext xmlns:c16="http://schemas.microsoft.com/office/drawing/2014/chart" uri="{C3380CC4-5D6E-409C-BE32-E72D297353CC}">
              <c16:uniqueId val="{00000003-72FB-4AF2-89E9-ACED31ED1D27}"/>
            </c:ext>
          </c:extLst>
        </c:ser>
        <c:dLbls>
          <c:showLegendKey val="0"/>
          <c:showVal val="1"/>
          <c:showCatName val="0"/>
          <c:showSerName val="0"/>
          <c:showPercent val="0"/>
          <c:showBubbleSize val="0"/>
        </c:dLbls>
        <c:gapWidth val="150"/>
        <c:shape val="box"/>
        <c:axId val="100931840"/>
        <c:axId val="100937728"/>
        <c:axId val="0"/>
      </c:bar3DChart>
      <c:catAx>
        <c:axId val="100931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37728"/>
        <c:crosses val="autoZero"/>
        <c:auto val="1"/>
        <c:lblAlgn val="ctr"/>
        <c:lblOffset val="100"/>
        <c:noMultiLvlLbl val="0"/>
      </c:catAx>
      <c:valAx>
        <c:axId val="100937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Million BRL</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31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32850241545894E-2"/>
          <c:y val="3.2105067452815703E-2"/>
          <c:w val="0.97342995169082103"/>
          <c:h val="0.764230220681547"/>
        </c:manualLayout>
      </c:layout>
      <c:bar3DChart>
        <c:barDir val="col"/>
        <c:grouping val="clustered"/>
        <c:varyColors val="0"/>
        <c:ser>
          <c:idx val="0"/>
          <c:order val="0"/>
          <c:tx>
            <c:strRef>
              <c:f>Dados2_Investimento!$C$1</c:f>
              <c:strCache>
                <c:ptCount val="1"/>
                <c:pt idx="0">
                  <c:v>2014</c:v>
                </c:pt>
              </c:strCache>
            </c:strRef>
          </c:tx>
          <c:spPr>
            <a:solidFill>
              <a:schemeClr val="accent1"/>
            </a:solidFill>
            <a:ln>
              <a:noFill/>
            </a:ln>
            <a:effectLst/>
            <a:sp3d/>
          </c:spPr>
          <c:invertIfNegative val="0"/>
          <c:dLbls>
            <c:delete val="1"/>
          </c:dLbls>
          <c:cat>
            <c:strRef>
              <c:f>Dados2_Investimento!$B$2:$B$21</c:f>
              <c:strCache>
                <c:ptCount val="20"/>
                <c:pt idx="0">
                  <c:v>Agriculture, forestry and Livestck</c:v>
                </c:pt>
                <c:pt idx="1">
                  <c:v>Mining industry</c:v>
                </c:pt>
                <c:pt idx="2">
                  <c:v>Food and drinks</c:v>
                </c:pt>
                <c:pt idx="3">
                  <c:v>Electricity and gas, and other utilities</c:v>
                </c:pt>
                <c:pt idx="4">
                  <c:v>Water, sewage and urban cleaning</c:v>
                </c:pt>
                <c:pt idx="5">
                  <c:v>Construction</c:v>
                </c:pt>
                <c:pt idx="6">
                  <c:v>Trade</c:v>
                </c:pt>
                <c:pt idx="7">
                  <c:v>Transportation, paper and packaging</c:v>
                </c:pt>
                <c:pt idx="8">
                  <c:v>Accommodation and food services</c:v>
                </c:pt>
                <c:pt idx="9">
                  <c:v>Information services</c:v>
                </c:pt>
                <c:pt idx="10">
                  <c:v>Financial intermediation and insurance</c:v>
                </c:pt>
                <c:pt idx="11">
                  <c:v>Real estate services and rentals</c:v>
                </c:pt>
                <c:pt idx="12">
                  <c:v>Cientific, professional, technical and artistic activities</c:v>
                </c:pt>
                <c:pt idx="13">
                  <c:v>Administration and complementary services</c:v>
                </c:pt>
                <c:pt idx="14">
                  <c:v>Public administration and social security</c:v>
                </c:pt>
                <c:pt idx="15">
                  <c:v>Public education</c:v>
                </c:pt>
                <c:pt idx="16">
                  <c:v>Private education</c:v>
                </c:pt>
                <c:pt idx="17">
                  <c:v>Public health</c:v>
                </c:pt>
                <c:pt idx="18">
                  <c:v>Private health </c:v>
                </c:pt>
                <c:pt idx="19">
                  <c:v>Associations and other personal and household services</c:v>
                </c:pt>
              </c:strCache>
            </c:strRef>
          </c:cat>
          <c:val>
            <c:numRef>
              <c:f>Dados2_Investimento!$C$2:$C$21</c:f>
              <c:numCache>
                <c:formatCode>#,##0.00</c:formatCode>
                <c:ptCount val="20"/>
                <c:pt idx="0">
                  <c:v>11.174874015605599</c:v>
                </c:pt>
                <c:pt idx="1">
                  <c:v>2.2334646782370751</c:v>
                </c:pt>
                <c:pt idx="2">
                  <c:v>4.9107017985682129</c:v>
                </c:pt>
                <c:pt idx="3">
                  <c:v>1.619198251387038</c:v>
                </c:pt>
                <c:pt idx="4">
                  <c:v>4.2015610098229898E-2</c:v>
                </c:pt>
                <c:pt idx="5">
                  <c:v>0.900545500585197</c:v>
                </c:pt>
                <c:pt idx="6">
                  <c:v>2.0960684486097971</c:v>
                </c:pt>
                <c:pt idx="7">
                  <c:v>1.963647559936941</c:v>
                </c:pt>
                <c:pt idx="8">
                  <c:v>0.98778352496205102</c:v>
                </c:pt>
                <c:pt idx="9">
                  <c:v>2.2962648761459108</c:v>
                </c:pt>
                <c:pt idx="10">
                  <c:v>0.104171493754081</c:v>
                </c:pt>
                <c:pt idx="11">
                  <c:v>1.467350250333689</c:v>
                </c:pt>
                <c:pt idx="12">
                  <c:v>0.225438336273898</c:v>
                </c:pt>
                <c:pt idx="13">
                  <c:v>0.83633745491079903</c:v>
                </c:pt>
                <c:pt idx="14">
                  <c:v>3.0029548139937599E-4</c:v>
                </c:pt>
                <c:pt idx="15">
                  <c:v>0</c:v>
                </c:pt>
                <c:pt idx="16">
                  <c:v>13.391678789560929</c:v>
                </c:pt>
                <c:pt idx="17">
                  <c:v>0</c:v>
                </c:pt>
                <c:pt idx="18">
                  <c:v>2.7080519600568178</c:v>
                </c:pt>
                <c:pt idx="19">
                  <c:v>2.3659656964496261</c:v>
                </c:pt>
              </c:numCache>
            </c:numRef>
          </c:val>
          <c:extLst xmlns:c16r2="http://schemas.microsoft.com/office/drawing/2015/06/chart">
            <c:ext xmlns:c16="http://schemas.microsoft.com/office/drawing/2014/chart" uri="{C3380CC4-5D6E-409C-BE32-E72D297353CC}">
              <c16:uniqueId val="{00000000-CD5D-4ED5-A581-DE1327A33F4C}"/>
            </c:ext>
          </c:extLst>
        </c:ser>
        <c:ser>
          <c:idx val="1"/>
          <c:order val="1"/>
          <c:tx>
            <c:strRef>
              <c:f>Dados2_Investimento!$D$1</c:f>
              <c:strCache>
                <c:ptCount val="1"/>
                <c:pt idx="0">
                  <c:v>2015</c:v>
                </c:pt>
              </c:strCache>
            </c:strRef>
          </c:tx>
          <c:spPr>
            <a:solidFill>
              <a:schemeClr val="accent2"/>
            </a:solidFill>
            <a:ln>
              <a:noFill/>
            </a:ln>
            <a:effectLst/>
            <a:sp3d/>
          </c:spPr>
          <c:invertIfNegative val="0"/>
          <c:dLbls>
            <c:delete val="1"/>
          </c:dLbls>
          <c:cat>
            <c:strRef>
              <c:f>Dados2_Investimento!$B$2:$B$21</c:f>
              <c:strCache>
                <c:ptCount val="20"/>
                <c:pt idx="0">
                  <c:v>Agriculture, forestry and Livestck</c:v>
                </c:pt>
                <c:pt idx="1">
                  <c:v>Mining industry</c:v>
                </c:pt>
                <c:pt idx="2">
                  <c:v>Food and drinks</c:v>
                </c:pt>
                <c:pt idx="3">
                  <c:v>Electricity and gas, and other utilities</c:v>
                </c:pt>
                <c:pt idx="4">
                  <c:v>Water, sewage and urban cleaning</c:v>
                </c:pt>
                <c:pt idx="5">
                  <c:v>Construction</c:v>
                </c:pt>
                <c:pt idx="6">
                  <c:v>Trade</c:v>
                </c:pt>
                <c:pt idx="7">
                  <c:v>Transportation, paper and packaging</c:v>
                </c:pt>
                <c:pt idx="8">
                  <c:v>Accommodation and food services</c:v>
                </c:pt>
                <c:pt idx="9">
                  <c:v>Information services</c:v>
                </c:pt>
                <c:pt idx="10">
                  <c:v>Financial intermediation and insurance</c:v>
                </c:pt>
                <c:pt idx="11">
                  <c:v>Real estate services and rentals</c:v>
                </c:pt>
                <c:pt idx="12">
                  <c:v>Cientific, professional, technical and artistic activities</c:v>
                </c:pt>
                <c:pt idx="13">
                  <c:v>Administration and complementary services</c:v>
                </c:pt>
                <c:pt idx="14">
                  <c:v>Public administration and social security</c:v>
                </c:pt>
                <c:pt idx="15">
                  <c:v>Public education</c:v>
                </c:pt>
                <c:pt idx="16">
                  <c:v>Private education</c:v>
                </c:pt>
                <c:pt idx="17">
                  <c:v>Public health</c:v>
                </c:pt>
                <c:pt idx="18">
                  <c:v>Private health </c:v>
                </c:pt>
                <c:pt idx="19">
                  <c:v>Associations and other personal and household services</c:v>
                </c:pt>
              </c:strCache>
            </c:strRef>
          </c:cat>
          <c:val>
            <c:numRef>
              <c:f>Dados2_Investimento!$D$2:$D$21</c:f>
              <c:numCache>
                <c:formatCode>#,##0.00</c:formatCode>
                <c:ptCount val="20"/>
                <c:pt idx="0">
                  <c:v>11.504569834803061</c:v>
                </c:pt>
                <c:pt idx="1">
                  <c:v>0.72474030674731904</c:v>
                </c:pt>
                <c:pt idx="2">
                  <c:v>2.6346847815408112</c:v>
                </c:pt>
                <c:pt idx="3">
                  <c:v>2.3372155052675558</c:v>
                </c:pt>
                <c:pt idx="4">
                  <c:v>7.80972192760266E-2</c:v>
                </c:pt>
                <c:pt idx="5">
                  <c:v>1.2691208957553151</c:v>
                </c:pt>
                <c:pt idx="6">
                  <c:v>2.47225630390253</c:v>
                </c:pt>
                <c:pt idx="7">
                  <c:v>1.13345210149366</c:v>
                </c:pt>
                <c:pt idx="8">
                  <c:v>1.73865439232744</c:v>
                </c:pt>
                <c:pt idx="9">
                  <c:v>6.3711881076040697</c:v>
                </c:pt>
                <c:pt idx="10">
                  <c:v>5.0715132735340403E-2</c:v>
                </c:pt>
                <c:pt idx="11">
                  <c:v>0.67549485821910105</c:v>
                </c:pt>
                <c:pt idx="12">
                  <c:v>0.34707064930411902</c:v>
                </c:pt>
                <c:pt idx="13">
                  <c:v>0.84197838457389995</c:v>
                </c:pt>
                <c:pt idx="14">
                  <c:v>0</c:v>
                </c:pt>
                <c:pt idx="15">
                  <c:v>0</c:v>
                </c:pt>
                <c:pt idx="16">
                  <c:v>11.163441657795479</c:v>
                </c:pt>
                <c:pt idx="17">
                  <c:v>0</c:v>
                </c:pt>
                <c:pt idx="18">
                  <c:v>2.316341528723679</c:v>
                </c:pt>
                <c:pt idx="19">
                  <c:v>1.60315374107626</c:v>
                </c:pt>
              </c:numCache>
            </c:numRef>
          </c:val>
          <c:extLst xmlns:c16r2="http://schemas.microsoft.com/office/drawing/2015/06/chart">
            <c:ext xmlns:c16="http://schemas.microsoft.com/office/drawing/2014/chart" uri="{C3380CC4-5D6E-409C-BE32-E72D297353CC}">
              <c16:uniqueId val="{00000001-CD5D-4ED5-A581-DE1327A33F4C}"/>
            </c:ext>
          </c:extLst>
        </c:ser>
        <c:dLbls>
          <c:showLegendKey val="0"/>
          <c:showVal val="1"/>
          <c:showCatName val="0"/>
          <c:showSerName val="0"/>
          <c:showPercent val="0"/>
          <c:showBubbleSize val="0"/>
        </c:dLbls>
        <c:gapWidth val="150"/>
        <c:shape val="box"/>
        <c:axId val="100972800"/>
        <c:axId val="100986880"/>
        <c:axId val="0"/>
      </c:bar3DChart>
      <c:catAx>
        <c:axId val="100972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86880"/>
        <c:crosses val="autoZero"/>
        <c:auto val="1"/>
        <c:lblAlgn val="ctr"/>
        <c:lblOffset val="100"/>
        <c:noMultiLvlLbl val="0"/>
      </c:catAx>
      <c:valAx>
        <c:axId val="10098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t>% of BNB/Total</a:t>
                </a:r>
                <a:r>
                  <a:rPr lang="pt-BR" baseline="0"/>
                  <a:t> investiment</a:t>
                </a:r>
                <a:endParaRPr lang="pt-B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0097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3796359694168706E-2"/>
          <c:y val="2.9225353310317798E-2"/>
          <c:w val="0.97342995169082103"/>
          <c:h val="0.764230220681547"/>
        </c:manualLayout>
      </c:layout>
      <c:bar3DChart>
        <c:barDir val="col"/>
        <c:grouping val="clustered"/>
        <c:varyColors val="0"/>
        <c:ser>
          <c:idx val="0"/>
          <c:order val="0"/>
          <c:tx>
            <c:strRef>
              <c:f>Dados!$G$1</c:f>
              <c:strCache>
                <c:ptCount val="1"/>
                <c:pt idx="0">
                  <c:v>2014</c:v>
                </c:pt>
              </c:strCache>
            </c:strRef>
          </c:tx>
          <c:spPr>
            <a:solidFill>
              <a:schemeClr val="accent1"/>
            </a:solidFill>
            <a:ln>
              <a:noFill/>
            </a:ln>
            <a:effectLst/>
            <a:sp3d/>
          </c:spPr>
          <c:invertIfNegative val="0"/>
          <c:dLbls>
            <c:delete val="1"/>
          </c:dLbls>
          <c:cat>
            <c:strRef>
              <c:f>Dados!$F$2:$F$12</c:f>
              <c:strCache>
                <c:ptCount val="11"/>
                <c:pt idx="0">
                  <c:v>Maranhão</c:v>
                </c:pt>
                <c:pt idx="1">
                  <c:v>Piauí</c:v>
                </c:pt>
                <c:pt idx="2">
                  <c:v>Ceará</c:v>
                </c:pt>
                <c:pt idx="3">
                  <c:v>Rio Grande do Norte</c:v>
                </c:pt>
                <c:pt idx="4">
                  <c:v>Paraíba</c:v>
                </c:pt>
                <c:pt idx="5">
                  <c:v>Pernambuco</c:v>
                </c:pt>
                <c:pt idx="6">
                  <c:v>Alagoas</c:v>
                </c:pt>
                <c:pt idx="7">
                  <c:v>Sergipe</c:v>
                </c:pt>
                <c:pt idx="8">
                  <c:v>Bahia</c:v>
                </c:pt>
                <c:pt idx="9">
                  <c:v>Minas Gerais</c:v>
                </c:pt>
                <c:pt idx="10">
                  <c:v>Espírito Santo</c:v>
                </c:pt>
              </c:strCache>
            </c:strRef>
          </c:cat>
          <c:val>
            <c:numRef>
              <c:f>Dados!$G$2:$G$12</c:f>
              <c:numCache>
                <c:formatCode>#,##0</c:formatCode>
                <c:ptCount val="11"/>
                <c:pt idx="0">
                  <c:v>852.58979131200545</c:v>
                </c:pt>
                <c:pt idx="1">
                  <c:v>563.06485514410201</c:v>
                </c:pt>
                <c:pt idx="2">
                  <c:v>1066.187490072969</c:v>
                </c:pt>
                <c:pt idx="3">
                  <c:v>644.47034633002374</c:v>
                </c:pt>
                <c:pt idx="4">
                  <c:v>381.06849539482022</c:v>
                </c:pt>
                <c:pt idx="5">
                  <c:v>830.29658984546768</c:v>
                </c:pt>
                <c:pt idx="6">
                  <c:v>458.59607532213192</c:v>
                </c:pt>
                <c:pt idx="7">
                  <c:v>350.71638994733672</c:v>
                </c:pt>
                <c:pt idx="8">
                  <c:v>1641.7188056364071</c:v>
                </c:pt>
                <c:pt idx="9">
                  <c:v>401.45232840743182</c:v>
                </c:pt>
                <c:pt idx="10">
                  <c:v>151.6999528815677</c:v>
                </c:pt>
              </c:numCache>
            </c:numRef>
          </c:val>
          <c:extLst xmlns:c16r2="http://schemas.microsoft.com/office/drawing/2015/06/chart">
            <c:ext xmlns:c16="http://schemas.microsoft.com/office/drawing/2014/chart" uri="{C3380CC4-5D6E-409C-BE32-E72D297353CC}">
              <c16:uniqueId val="{00000000-C54E-45D6-B2A5-DCE03BEDB2AA}"/>
            </c:ext>
          </c:extLst>
        </c:ser>
        <c:ser>
          <c:idx val="1"/>
          <c:order val="1"/>
          <c:tx>
            <c:strRef>
              <c:f>Dados!$H$1</c:f>
              <c:strCache>
                <c:ptCount val="1"/>
                <c:pt idx="0">
                  <c:v>2015</c:v>
                </c:pt>
              </c:strCache>
            </c:strRef>
          </c:tx>
          <c:spPr>
            <a:solidFill>
              <a:schemeClr val="accent2"/>
            </a:solidFill>
            <a:ln>
              <a:noFill/>
            </a:ln>
            <a:effectLst/>
            <a:sp3d/>
          </c:spPr>
          <c:invertIfNegative val="0"/>
          <c:dLbls>
            <c:delete val="1"/>
          </c:dLbls>
          <c:cat>
            <c:strRef>
              <c:f>Dados!$F$2:$F$12</c:f>
              <c:strCache>
                <c:ptCount val="11"/>
                <c:pt idx="0">
                  <c:v>Maranhão</c:v>
                </c:pt>
                <c:pt idx="1">
                  <c:v>Piauí</c:v>
                </c:pt>
                <c:pt idx="2">
                  <c:v>Ceará</c:v>
                </c:pt>
                <c:pt idx="3">
                  <c:v>Rio Grande do Norte</c:v>
                </c:pt>
                <c:pt idx="4">
                  <c:v>Paraíba</c:v>
                </c:pt>
                <c:pt idx="5">
                  <c:v>Pernambuco</c:v>
                </c:pt>
                <c:pt idx="6">
                  <c:v>Alagoas</c:v>
                </c:pt>
                <c:pt idx="7">
                  <c:v>Sergipe</c:v>
                </c:pt>
                <c:pt idx="8">
                  <c:v>Bahia</c:v>
                </c:pt>
                <c:pt idx="9">
                  <c:v>Minas Gerais</c:v>
                </c:pt>
                <c:pt idx="10">
                  <c:v>Espírito Santo</c:v>
                </c:pt>
              </c:strCache>
            </c:strRef>
          </c:cat>
          <c:val>
            <c:numRef>
              <c:f>Dados!$H$2:$H$12</c:f>
              <c:numCache>
                <c:formatCode>#,##0</c:formatCode>
                <c:ptCount val="11"/>
                <c:pt idx="0">
                  <c:v>530.10225299177739</c:v>
                </c:pt>
                <c:pt idx="1">
                  <c:v>392.01172295236103</c:v>
                </c:pt>
                <c:pt idx="2">
                  <c:v>1078.0136189390289</c:v>
                </c:pt>
                <c:pt idx="3">
                  <c:v>321.56894328217561</c:v>
                </c:pt>
                <c:pt idx="4">
                  <c:v>373.055704078735</c:v>
                </c:pt>
                <c:pt idx="5">
                  <c:v>699.84946928751026</c:v>
                </c:pt>
                <c:pt idx="6">
                  <c:v>278.17282742602032</c:v>
                </c:pt>
                <c:pt idx="7">
                  <c:v>165.60574395870881</c:v>
                </c:pt>
                <c:pt idx="8">
                  <c:v>1291.052892970527</c:v>
                </c:pt>
                <c:pt idx="9">
                  <c:v>334.48404662695771</c:v>
                </c:pt>
                <c:pt idx="10">
                  <c:v>82.024064985926401</c:v>
                </c:pt>
              </c:numCache>
            </c:numRef>
          </c:val>
          <c:extLst xmlns:c16r2="http://schemas.microsoft.com/office/drawing/2015/06/chart">
            <c:ext xmlns:c16="http://schemas.microsoft.com/office/drawing/2014/chart" uri="{C3380CC4-5D6E-409C-BE32-E72D297353CC}">
              <c16:uniqueId val="{00000001-C54E-45D6-B2A5-DCE03BEDB2AA}"/>
            </c:ext>
          </c:extLst>
        </c:ser>
        <c:dLbls>
          <c:showLegendKey val="0"/>
          <c:showVal val="1"/>
          <c:showCatName val="0"/>
          <c:showSerName val="0"/>
          <c:showPercent val="0"/>
          <c:showBubbleSize val="0"/>
        </c:dLbls>
        <c:gapWidth val="150"/>
        <c:shape val="box"/>
        <c:axId val="115411584"/>
        <c:axId val="115417472"/>
        <c:axId val="0"/>
      </c:bar3DChart>
      <c:catAx>
        <c:axId val="1154115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5417472"/>
        <c:crosses val="autoZero"/>
        <c:auto val="1"/>
        <c:lblAlgn val="ctr"/>
        <c:lblOffset val="100"/>
        <c:noMultiLvlLbl val="0"/>
      </c:catAx>
      <c:valAx>
        <c:axId val="11541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Million BRL</a:t>
                </a:r>
                <a:endParaRPr lang="pt-BR"/>
              </a:p>
            </c:rich>
          </c:tx>
          <c:layout>
            <c:manualLayout>
              <c:xMode val="edge"/>
              <c:yMode val="edge"/>
              <c:x val="1.0452090227852E-3"/>
              <c:y val="0.21540654070508999"/>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541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32850241545894E-2"/>
          <c:y val="3.2105067452815703E-2"/>
          <c:w val="0.97342995169082103"/>
          <c:h val="0.764230220681547"/>
        </c:manualLayout>
      </c:layout>
      <c:bar3DChart>
        <c:barDir val="col"/>
        <c:grouping val="clustered"/>
        <c:varyColors val="0"/>
        <c:ser>
          <c:idx val="0"/>
          <c:order val="0"/>
          <c:tx>
            <c:strRef>
              <c:f>Dados2_Investimento!$G$1</c:f>
              <c:strCache>
                <c:ptCount val="1"/>
                <c:pt idx="0">
                  <c:v>2014</c:v>
                </c:pt>
              </c:strCache>
            </c:strRef>
          </c:tx>
          <c:spPr>
            <a:solidFill>
              <a:schemeClr val="accent1"/>
            </a:solidFill>
            <a:ln>
              <a:noFill/>
            </a:ln>
            <a:effectLst/>
            <a:sp3d/>
          </c:spPr>
          <c:invertIfNegative val="0"/>
          <c:dLbls>
            <c:dLbl>
              <c:idx val="1"/>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E5C-49CE-AEFB-94FF3683FF0E}"/>
                </c:ext>
                <c:ext xmlns:c15="http://schemas.microsoft.com/office/drawing/2012/chart" uri="{CE6537A1-D6FC-4f65-9D91-7224C49458BB}"/>
              </c:extLst>
            </c:dLbl>
            <c:dLbl>
              <c:idx val="11"/>
              <c:layout>
                <c:manualLayout>
                  <c:x val="-1.5700483091787398E-2"/>
                  <c:y val="-2.01583873290137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E5C-49CE-AEFB-94FF3683FF0E}"/>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Dados2_Investimento!$F$2:$F$13</c:f>
              <c:strCache>
                <c:ptCount val="12"/>
                <c:pt idx="0">
                  <c:v>Maranhão</c:v>
                </c:pt>
                <c:pt idx="1">
                  <c:v>Piauí</c:v>
                </c:pt>
                <c:pt idx="2">
                  <c:v>Ceará</c:v>
                </c:pt>
                <c:pt idx="3">
                  <c:v>Rio Grande do Norte</c:v>
                </c:pt>
                <c:pt idx="4">
                  <c:v>Paraíba</c:v>
                </c:pt>
                <c:pt idx="5">
                  <c:v>Pernambuco</c:v>
                </c:pt>
                <c:pt idx="6">
                  <c:v>Alagoas</c:v>
                </c:pt>
                <c:pt idx="7">
                  <c:v>Sergipe</c:v>
                </c:pt>
                <c:pt idx="8">
                  <c:v>Bahia</c:v>
                </c:pt>
                <c:pt idx="9">
                  <c:v>Minas Gerais</c:v>
                </c:pt>
                <c:pt idx="10">
                  <c:v>Espírito Santo</c:v>
                </c:pt>
                <c:pt idx="11">
                  <c:v>Total</c:v>
                </c:pt>
              </c:strCache>
            </c:strRef>
          </c:cat>
          <c:val>
            <c:numRef>
              <c:f>Dados2_Investimento!$G$2:$G$13</c:f>
              <c:numCache>
                <c:formatCode>#,##0.00</c:formatCode>
                <c:ptCount val="12"/>
                <c:pt idx="0">
                  <c:v>5.3200141291133836</c:v>
                </c:pt>
                <c:pt idx="1">
                  <c:v>11.28335375993522</c:v>
                </c:pt>
                <c:pt idx="2">
                  <c:v>5.7598464855437896</c:v>
                </c:pt>
                <c:pt idx="3">
                  <c:v>7.1077002346382274</c:v>
                </c:pt>
                <c:pt idx="4">
                  <c:v>5.8266282453042697</c:v>
                </c:pt>
                <c:pt idx="5">
                  <c:v>3.5663172353217578</c:v>
                </c:pt>
                <c:pt idx="6">
                  <c:v>6.9098312540600073</c:v>
                </c:pt>
                <c:pt idx="7">
                  <c:v>5.7016615468800751</c:v>
                </c:pt>
                <c:pt idx="8">
                  <c:v>3.8247732701831221</c:v>
                </c:pt>
                <c:pt idx="9">
                  <c:v>0.41476716029051902</c:v>
                </c:pt>
                <c:pt idx="10">
                  <c:v>0.49244384738109698</c:v>
                </c:pt>
                <c:pt idx="11">
                  <c:v>2.805207330068491</c:v>
                </c:pt>
              </c:numCache>
            </c:numRef>
          </c:val>
          <c:extLst xmlns:c16r2="http://schemas.microsoft.com/office/drawing/2015/06/chart">
            <c:ext xmlns:c16="http://schemas.microsoft.com/office/drawing/2014/chart" uri="{C3380CC4-5D6E-409C-BE32-E72D297353CC}">
              <c16:uniqueId val="{00000002-FE5C-49CE-AEFB-94FF3683FF0E}"/>
            </c:ext>
          </c:extLst>
        </c:ser>
        <c:ser>
          <c:idx val="1"/>
          <c:order val="1"/>
          <c:tx>
            <c:strRef>
              <c:f>Dados2_Investimento!$H$1</c:f>
              <c:strCache>
                <c:ptCount val="1"/>
                <c:pt idx="0">
                  <c:v>2015</c:v>
                </c:pt>
              </c:strCache>
            </c:strRef>
          </c:tx>
          <c:spPr>
            <a:solidFill>
              <a:schemeClr val="accent2"/>
            </a:solidFill>
            <a:ln>
              <a:noFill/>
            </a:ln>
            <a:effectLst/>
            <a:sp3d/>
          </c:spPr>
          <c:invertIfNegative val="0"/>
          <c:dLbls>
            <c:dLbl>
              <c:idx val="1"/>
              <c:layout>
                <c:manualLayout>
                  <c:x val="2.05314009661836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E5C-49CE-AEFB-94FF3683FF0E}"/>
                </c:ext>
                <c:ext xmlns:c15="http://schemas.microsoft.com/office/drawing/2012/chart" uri="{CE6537A1-D6FC-4f65-9D91-7224C49458BB}"/>
              </c:extLst>
            </c:dLbl>
            <c:dLbl>
              <c:idx val="11"/>
              <c:layout>
                <c:manualLayout>
                  <c:x val="4.8309178743961298E-3"/>
                  <c:y val="-3.455723542116630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FE5C-49CE-AEFB-94FF3683FF0E}"/>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Dados2_Investimento!$F$2:$F$13</c:f>
              <c:strCache>
                <c:ptCount val="12"/>
                <c:pt idx="0">
                  <c:v>Maranhão</c:v>
                </c:pt>
                <c:pt idx="1">
                  <c:v>Piauí</c:v>
                </c:pt>
                <c:pt idx="2">
                  <c:v>Ceará</c:v>
                </c:pt>
                <c:pt idx="3">
                  <c:v>Rio Grande do Norte</c:v>
                </c:pt>
                <c:pt idx="4">
                  <c:v>Paraíba</c:v>
                </c:pt>
                <c:pt idx="5">
                  <c:v>Pernambuco</c:v>
                </c:pt>
                <c:pt idx="6">
                  <c:v>Alagoas</c:v>
                </c:pt>
                <c:pt idx="7">
                  <c:v>Sergipe</c:v>
                </c:pt>
                <c:pt idx="8">
                  <c:v>Bahia</c:v>
                </c:pt>
                <c:pt idx="9">
                  <c:v>Minas Gerais</c:v>
                </c:pt>
                <c:pt idx="10">
                  <c:v>Espírito Santo</c:v>
                </c:pt>
                <c:pt idx="11">
                  <c:v>Total</c:v>
                </c:pt>
              </c:strCache>
            </c:strRef>
          </c:cat>
          <c:val>
            <c:numRef>
              <c:f>Dados2_Investimento!$H$2:$H$13</c:f>
              <c:numCache>
                <c:formatCode>#,##0.00</c:formatCode>
                <c:ptCount val="12"/>
                <c:pt idx="0">
                  <c:v>3.8890197770319159</c:v>
                </c:pt>
                <c:pt idx="1">
                  <c:v>9.2574381416777509</c:v>
                </c:pt>
                <c:pt idx="2">
                  <c:v>7.0764651197234629</c:v>
                </c:pt>
                <c:pt idx="3">
                  <c:v>4.3285435271338448</c:v>
                </c:pt>
                <c:pt idx="4">
                  <c:v>6.9036307965155226</c:v>
                </c:pt>
                <c:pt idx="5">
                  <c:v>3.678732625715686</c:v>
                </c:pt>
                <c:pt idx="6">
                  <c:v>4.8765025899755052</c:v>
                </c:pt>
                <c:pt idx="7">
                  <c:v>3.2348035428984558</c:v>
                </c:pt>
                <c:pt idx="8">
                  <c:v>3.5827329044135801</c:v>
                </c:pt>
                <c:pt idx="9">
                  <c:v>0.40923531288100601</c:v>
                </c:pt>
                <c:pt idx="10">
                  <c:v>0.31404923367470999</c:v>
                </c:pt>
                <c:pt idx="11">
                  <c:v>2.524698264854746</c:v>
                </c:pt>
              </c:numCache>
            </c:numRef>
          </c:val>
          <c:extLst xmlns:c16r2="http://schemas.microsoft.com/office/drawing/2015/06/chart">
            <c:ext xmlns:c16="http://schemas.microsoft.com/office/drawing/2014/chart" uri="{C3380CC4-5D6E-409C-BE32-E72D297353CC}">
              <c16:uniqueId val="{00000005-FE5C-49CE-AEFB-94FF3683FF0E}"/>
            </c:ext>
          </c:extLst>
        </c:ser>
        <c:dLbls>
          <c:showLegendKey val="0"/>
          <c:showVal val="1"/>
          <c:showCatName val="0"/>
          <c:showSerName val="0"/>
          <c:showPercent val="0"/>
          <c:showBubbleSize val="0"/>
        </c:dLbls>
        <c:gapWidth val="150"/>
        <c:shape val="box"/>
        <c:axId val="115438720"/>
        <c:axId val="115440256"/>
        <c:axId val="0"/>
      </c:bar3DChart>
      <c:catAx>
        <c:axId val="1154387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5440256"/>
        <c:crosses val="autoZero"/>
        <c:auto val="1"/>
        <c:lblAlgn val="ctr"/>
        <c:lblOffset val="100"/>
        <c:noMultiLvlLbl val="0"/>
      </c:catAx>
      <c:valAx>
        <c:axId val="11544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t-BR"/>
                  <a:t>% of total investment</a:t>
                </a:r>
              </a:p>
            </c:rich>
          </c:tx>
          <c:layout>
            <c:manualLayout>
              <c:xMode val="edge"/>
              <c:yMode val="edge"/>
              <c:x val="3.3377077865266798E-3"/>
              <c:y val="0.22903918867593001"/>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11543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extLst xmlns:c16r2="http://schemas.microsoft.com/office/drawing/2015/06/char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7B1B3-A685-4778-87E6-47BE3DCA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16</Pages>
  <Words>6187</Words>
  <Characters>33410</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not</cp:lastModifiedBy>
  <cp:revision>19</cp:revision>
  <dcterms:created xsi:type="dcterms:W3CDTF">2018-06-11T15:47:00Z</dcterms:created>
  <dcterms:modified xsi:type="dcterms:W3CDTF">2018-07-07T23:25:00Z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ribeiro.luiz84@gmail.com@www.mendeley.com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