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E75" w:rsidRPr="005F5D32" w:rsidRDefault="003B7E75" w:rsidP="003B7E75">
      <w:pPr>
        <w:jc w:val="center"/>
        <w:rPr>
          <w:b/>
          <w:szCs w:val="28"/>
        </w:rPr>
      </w:pPr>
      <w:r w:rsidRPr="005F5D32">
        <w:rPr>
          <w:b/>
          <w:szCs w:val="28"/>
        </w:rPr>
        <w:t>Avaliação de Efeitos Locais</w:t>
      </w:r>
      <w:r w:rsidR="00BD47FC">
        <w:rPr>
          <w:b/>
          <w:szCs w:val="28"/>
        </w:rPr>
        <w:t xml:space="preserve"> da Construção de Usinas Eólicas no</w:t>
      </w:r>
      <w:r w:rsidR="00622083">
        <w:rPr>
          <w:b/>
          <w:szCs w:val="28"/>
        </w:rPr>
        <w:t>s</w:t>
      </w:r>
      <w:r w:rsidR="00BD47FC">
        <w:rPr>
          <w:b/>
          <w:szCs w:val="28"/>
        </w:rPr>
        <w:t xml:space="preserve"> </w:t>
      </w:r>
      <w:r w:rsidR="00622083">
        <w:rPr>
          <w:b/>
          <w:szCs w:val="28"/>
        </w:rPr>
        <w:t>Municípios Brasileiros</w:t>
      </w:r>
      <w:r w:rsidR="00BD47FC">
        <w:rPr>
          <w:b/>
          <w:szCs w:val="28"/>
        </w:rPr>
        <w:t>: Uma Abordagem por Controle Sintético</w:t>
      </w:r>
    </w:p>
    <w:p w:rsidR="003B7E75" w:rsidRPr="005F5D32" w:rsidRDefault="003B7E75" w:rsidP="003B7E75">
      <w:pPr>
        <w:jc w:val="center"/>
        <w:rPr>
          <w:b/>
          <w:szCs w:val="28"/>
        </w:rPr>
      </w:pPr>
    </w:p>
    <w:p w:rsidR="003B7E75" w:rsidRPr="005F5D32" w:rsidRDefault="003B7E75" w:rsidP="003B7E75">
      <w:pPr>
        <w:jc w:val="center"/>
        <w:rPr>
          <w:b/>
          <w:szCs w:val="28"/>
        </w:rPr>
      </w:pPr>
      <w:r w:rsidRPr="005F5D32">
        <w:rPr>
          <w:b/>
          <w:szCs w:val="28"/>
        </w:rPr>
        <w:t xml:space="preserve">ANPEC- </w:t>
      </w:r>
      <w:r w:rsidR="005F5D32" w:rsidRPr="005F5D32">
        <w:rPr>
          <w:b/>
          <w:szCs w:val="28"/>
        </w:rPr>
        <w:t>46</w:t>
      </w:r>
      <w:r w:rsidRPr="005F5D32">
        <w:rPr>
          <w:b/>
          <w:szCs w:val="28"/>
        </w:rPr>
        <w:t>º Encontro Nacional de Economia</w:t>
      </w:r>
    </w:p>
    <w:p w:rsidR="003B7E75" w:rsidRPr="005F5D32" w:rsidRDefault="003B7E75" w:rsidP="003B7E75">
      <w:pPr>
        <w:jc w:val="center"/>
        <w:rPr>
          <w:b/>
          <w:szCs w:val="28"/>
        </w:rPr>
      </w:pPr>
    </w:p>
    <w:p w:rsidR="003B7E75" w:rsidRPr="005F5D32" w:rsidRDefault="003B7E75" w:rsidP="003B7E75">
      <w:pPr>
        <w:jc w:val="center"/>
        <w:rPr>
          <w:b/>
          <w:szCs w:val="28"/>
        </w:rPr>
      </w:pPr>
      <w:r w:rsidRPr="005F5D32">
        <w:rPr>
          <w:b/>
          <w:szCs w:val="28"/>
        </w:rPr>
        <w:t xml:space="preserve">Área </w:t>
      </w:r>
      <w:r w:rsidR="00915B29">
        <w:rPr>
          <w:b/>
          <w:szCs w:val="28"/>
        </w:rPr>
        <w:t>11</w:t>
      </w:r>
      <w:r w:rsidRPr="005F5D32">
        <w:rPr>
          <w:b/>
          <w:szCs w:val="28"/>
        </w:rPr>
        <w:t xml:space="preserve"> – </w:t>
      </w:r>
      <w:r w:rsidR="00915B29" w:rsidRPr="00915B29">
        <w:rPr>
          <w:b/>
          <w:szCs w:val="28"/>
        </w:rPr>
        <w:t>Economia Agrícola e do Meio Ambiente</w:t>
      </w:r>
      <w:bookmarkStart w:id="0" w:name="_GoBack"/>
      <w:bookmarkEnd w:id="0"/>
    </w:p>
    <w:p w:rsidR="003B7E75" w:rsidRDefault="003B7E75" w:rsidP="003B7E75">
      <w:pPr>
        <w:jc w:val="center"/>
        <w:rPr>
          <w:b/>
          <w:sz w:val="28"/>
          <w:szCs w:val="28"/>
        </w:rPr>
      </w:pPr>
    </w:p>
    <w:p w:rsidR="003B7E75" w:rsidRDefault="003B7E75" w:rsidP="003B7E75">
      <w:pPr>
        <w:jc w:val="center"/>
        <w:rPr>
          <w:b/>
          <w:bCs/>
          <w:color w:val="000000"/>
          <w:szCs w:val="23"/>
        </w:rPr>
      </w:pPr>
      <w:r w:rsidRPr="00AD5A1D">
        <w:rPr>
          <w:b/>
          <w:bCs/>
          <w:color w:val="000000"/>
          <w:szCs w:val="23"/>
        </w:rPr>
        <w:t>Ricardo Agostini Martini</w:t>
      </w:r>
      <w:r w:rsidRPr="00AD5A1D">
        <w:rPr>
          <w:rStyle w:val="Refdenotaderodap"/>
          <w:b/>
          <w:bCs/>
          <w:color w:val="000000"/>
          <w:szCs w:val="23"/>
        </w:rPr>
        <w:footnoteReference w:id="1"/>
      </w:r>
      <w:r w:rsidRPr="00AD5A1D">
        <w:rPr>
          <w:b/>
          <w:bCs/>
          <w:color w:val="000000"/>
          <w:szCs w:val="23"/>
        </w:rPr>
        <w:t xml:space="preserve"> (BNDES) </w:t>
      </w:r>
    </w:p>
    <w:p w:rsidR="009034E0" w:rsidRPr="00AD5A1D" w:rsidRDefault="009034E0" w:rsidP="009034E0">
      <w:pPr>
        <w:jc w:val="center"/>
        <w:rPr>
          <w:b/>
          <w:bCs/>
          <w:color w:val="000000"/>
          <w:szCs w:val="23"/>
        </w:rPr>
      </w:pPr>
      <w:r w:rsidRPr="00AD5A1D">
        <w:rPr>
          <w:b/>
          <w:bCs/>
          <w:color w:val="000000"/>
          <w:szCs w:val="23"/>
        </w:rPr>
        <w:t>Marília de Figueiredo Jordão</w:t>
      </w:r>
      <w:r w:rsidRPr="00AD5A1D">
        <w:rPr>
          <w:rStyle w:val="Refdenotaderodap"/>
          <w:b/>
          <w:bCs/>
          <w:color w:val="000000"/>
          <w:szCs w:val="23"/>
        </w:rPr>
        <w:footnoteReference w:id="2"/>
      </w:r>
      <w:r w:rsidRPr="00AD5A1D">
        <w:rPr>
          <w:b/>
          <w:bCs/>
          <w:color w:val="000000"/>
          <w:szCs w:val="23"/>
        </w:rPr>
        <w:t xml:space="preserve"> (BNDES)</w:t>
      </w:r>
    </w:p>
    <w:p w:rsidR="003218E0" w:rsidRPr="00AD5A1D" w:rsidRDefault="003218E0" w:rsidP="003B7E75">
      <w:pPr>
        <w:jc w:val="center"/>
        <w:rPr>
          <w:b/>
          <w:bCs/>
          <w:color w:val="000000"/>
          <w:szCs w:val="23"/>
        </w:rPr>
      </w:pPr>
      <w:r>
        <w:rPr>
          <w:b/>
          <w:bCs/>
          <w:color w:val="000000"/>
          <w:szCs w:val="23"/>
        </w:rPr>
        <w:t>Daniel da Silva Grimaldi</w:t>
      </w:r>
      <w:r>
        <w:rPr>
          <w:rStyle w:val="Refdenotaderodap"/>
          <w:b/>
          <w:bCs/>
          <w:color w:val="000000"/>
          <w:szCs w:val="23"/>
        </w:rPr>
        <w:footnoteReference w:id="3"/>
      </w:r>
      <w:r>
        <w:rPr>
          <w:b/>
          <w:bCs/>
          <w:color w:val="000000"/>
          <w:szCs w:val="23"/>
        </w:rPr>
        <w:t xml:space="preserve"> (BNDES)</w:t>
      </w:r>
    </w:p>
    <w:p w:rsidR="003B7E75" w:rsidRDefault="003B7E75" w:rsidP="00D97D63">
      <w:pPr>
        <w:pStyle w:val="BNDES"/>
      </w:pPr>
    </w:p>
    <w:p w:rsidR="00D97D63" w:rsidRDefault="00D97D63" w:rsidP="00D97D63">
      <w:pPr>
        <w:pStyle w:val="BNDES"/>
      </w:pPr>
    </w:p>
    <w:p w:rsidR="00790ABF" w:rsidRDefault="00790ABF" w:rsidP="00790ABF">
      <w:pPr>
        <w:autoSpaceDE w:val="0"/>
        <w:autoSpaceDN w:val="0"/>
        <w:adjustRightInd w:val="0"/>
        <w:ind w:right="-137" w:firstLine="708"/>
        <w:jc w:val="both"/>
      </w:pPr>
      <w:r w:rsidRPr="000E3450">
        <w:rPr>
          <w:b/>
          <w:bCs/>
          <w:color w:val="000000"/>
          <w:sz w:val="23"/>
          <w:szCs w:val="23"/>
          <w:lang w:eastAsia="en-US"/>
        </w:rPr>
        <w:t xml:space="preserve">Resumo: </w:t>
      </w:r>
      <w:r>
        <w:t xml:space="preserve">O presente trabalho tem o objetivo de verificar possíveis impactos da construção de usinas eólicas nas economias municipais. Mais especificamente, pretende-se aqui analisar a evolução do PIB per capita dos municípios que receberam investimentos na construção de usinas eólicas </w:t>
      </w:r>
      <w:r w:rsidR="002C680F">
        <w:t xml:space="preserve">no período 2008-2014 </w:t>
      </w:r>
      <w:r>
        <w:t>em comparação a um grupo de outros municípios com características semelhantes, mas que não recebeu essa intervenção. O estudo utilizou uma base de dados municipais construída como uma consolidação de 250 variáveis quantitativas provenientes de 12 fontes diferentes, sendo utilizad</w:t>
      </w:r>
      <w:r w:rsidR="00F2705E">
        <w:t>a</w:t>
      </w:r>
      <w:r>
        <w:t xml:space="preserve"> uma metodologia apropriada para a redução da dimensionalidade do espaço paramétrico, chamada </w:t>
      </w:r>
      <w:proofErr w:type="spellStart"/>
      <w:proofErr w:type="gramStart"/>
      <w:r w:rsidRPr="001C4270">
        <w:t>adaLASSO</w:t>
      </w:r>
      <w:proofErr w:type="spellEnd"/>
      <w:proofErr w:type="gramEnd"/>
      <w:r>
        <w:t xml:space="preserve">, com o objetivo de selecionar as covariadas mais importantes. O método do controle sintético foi aplicado para cada caso, somando 37 avaliações individuais, que foram então compiladas e analisadas de maneira agregada. Os resultados obtidos se mostraram heterogêneos, mas com efeitos </w:t>
      </w:r>
      <w:r w:rsidR="00FD3225">
        <w:t xml:space="preserve">medianos </w:t>
      </w:r>
      <w:r>
        <w:t xml:space="preserve">positivos, concordando com a bibliografia levantada. Os efeitos compilados são mais favoráveis em </w:t>
      </w:r>
      <w:proofErr w:type="gramStart"/>
      <w:r>
        <w:t>2</w:t>
      </w:r>
      <w:proofErr w:type="gramEnd"/>
      <w:r>
        <w:t xml:space="preserve"> anos após as construções e em parques eólicos com investimentos mais elevados.</w:t>
      </w:r>
    </w:p>
    <w:p w:rsidR="00790ABF" w:rsidRDefault="00790ABF" w:rsidP="00790ABF">
      <w:pPr>
        <w:pStyle w:val="BNDES"/>
      </w:pPr>
    </w:p>
    <w:p w:rsidR="00790ABF" w:rsidRDefault="00790ABF" w:rsidP="00790ABF">
      <w:pPr>
        <w:ind w:firstLine="708"/>
        <w:jc w:val="both"/>
        <w:rPr>
          <w:b/>
          <w:bCs/>
          <w:color w:val="000000"/>
          <w:sz w:val="23"/>
          <w:szCs w:val="23"/>
          <w:lang w:eastAsia="en-US"/>
        </w:rPr>
      </w:pPr>
      <w:r w:rsidRPr="000E3450">
        <w:rPr>
          <w:b/>
          <w:bCs/>
          <w:color w:val="000000"/>
          <w:sz w:val="23"/>
          <w:szCs w:val="23"/>
          <w:lang w:eastAsia="en-US"/>
        </w:rPr>
        <w:t xml:space="preserve">Palavras-chave: </w:t>
      </w:r>
      <w:r w:rsidR="002C680F" w:rsidRPr="002C680F">
        <w:rPr>
          <w:bCs/>
          <w:color w:val="000000"/>
          <w:sz w:val="23"/>
          <w:szCs w:val="23"/>
          <w:lang w:eastAsia="en-US"/>
        </w:rPr>
        <w:t xml:space="preserve">Usinas Eólicas, Avaliação de Impacto, Controle </w:t>
      </w:r>
      <w:proofErr w:type="gramStart"/>
      <w:r w:rsidR="002C680F" w:rsidRPr="002C680F">
        <w:rPr>
          <w:bCs/>
          <w:color w:val="000000"/>
          <w:sz w:val="23"/>
          <w:szCs w:val="23"/>
          <w:lang w:eastAsia="en-US"/>
        </w:rPr>
        <w:t>Sintético</w:t>
      </w:r>
      <w:proofErr w:type="gramEnd"/>
    </w:p>
    <w:p w:rsidR="002C680F" w:rsidRPr="000E3450" w:rsidRDefault="002C680F" w:rsidP="00790ABF">
      <w:pPr>
        <w:ind w:firstLine="708"/>
        <w:jc w:val="both"/>
        <w:rPr>
          <w:color w:val="000000"/>
          <w:sz w:val="23"/>
          <w:szCs w:val="23"/>
          <w:lang w:eastAsia="en-US"/>
        </w:rPr>
      </w:pPr>
    </w:p>
    <w:p w:rsidR="00790ABF" w:rsidRDefault="00790ABF" w:rsidP="00790ABF">
      <w:pPr>
        <w:ind w:firstLine="708"/>
        <w:rPr>
          <w:color w:val="000000"/>
          <w:sz w:val="23"/>
          <w:szCs w:val="23"/>
          <w:lang w:val="en-US" w:eastAsia="en-US"/>
        </w:rPr>
      </w:pPr>
      <w:proofErr w:type="spellStart"/>
      <w:r w:rsidRPr="00491884">
        <w:rPr>
          <w:b/>
          <w:color w:val="000000"/>
          <w:sz w:val="23"/>
          <w:szCs w:val="23"/>
          <w:lang w:val="en-US" w:eastAsia="en-US"/>
        </w:rPr>
        <w:t>Classificação</w:t>
      </w:r>
      <w:proofErr w:type="spellEnd"/>
      <w:r w:rsidRPr="00491884">
        <w:rPr>
          <w:b/>
          <w:color w:val="000000"/>
          <w:sz w:val="23"/>
          <w:szCs w:val="23"/>
          <w:lang w:val="en-US" w:eastAsia="en-US"/>
        </w:rPr>
        <w:t xml:space="preserve"> JEL:</w:t>
      </w:r>
      <w:r>
        <w:rPr>
          <w:color w:val="000000"/>
          <w:sz w:val="23"/>
          <w:szCs w:val="23"/>
          <w:lang w:val="en-US" w:eastAsia="en-US"/>
        </w:rPr>
        <w:t xml:space="preserve"> </w:t>
      </w:r>
      <w:r w:rsidR="002C680F">
        <w:rPr>
          <w:color w:val="000000"/>
          <w:sz w:val="23"/>
          <w:szCs w:val="23"/>
          <w:lang w:val="en-US" w:eastAsia="en-US"/>
        </w:rPr>
        <w:t>C23, Q42, R58</w:t>
      </w:r>
    </w:p>
    <w:p w:rsidR="00480DB7" w:rsidRDefault="00480DB7" w:rsidP="00790ABF">
      <w:pPr>
        <w:ind w:firstLine="708"/>
        <w:rPr>
          <w:color w:val="000000"/>
          <w:sz w:val="23"/>
          <w:szCs w:val="23"/>
          <w:lang w:val="en-US" w:eastAsia="en-US"/>
        </w:rPr>
      </w:pPr>
    </w:p>
    <w:p w:rsidR="00355624" w:rsidRDefault="00355624" w:rsidP="00480DB7">
      <w:pPr>
        <w:autoSpaceDE w:val="0"/>
        <w:autoSpaceDN w:val="0"/>
        <w:adjustRightInd w:val="0"/>
        <w:ind w:right="-137" w:firstLine="708"/>
        <w:jc w:val="both"/>
        <w:rPr>
          <w:b/>
          <w:bCs/>
          <w:color w:val="000000"/>
          <w:sz w:val="23"/>
          <w:szCs w:val="23"/>
          <w:lang w:eastAsia="en-US"/>
        </w:rPr>
      </w:pPr>
    </w:p>
    <w:p w:rsidR="00480DB7" w:rsidRDefault="00480DB7" w:rsidP="00480DB7">
      <w:pPr>
        <w:autoSpaceDE w:val="0"/>
        <w:autoSpaceDN w:val="0"/>
        <w:adjustRightInd w:val="0"/>
        <w:ind w:right="-137" w:firstLine="708"/>
        <w:jc w:val="both"/>
      </w:pPr>
      <w:proofErr w:type="spellStart"/>
      <w:r>
        <w:rPr>
          <w:b/>
          <w:bCs/>
          <w:color w:val="000000"/>
          <w:sz w:val="23"/>
          <w:szCs w:val="23"/>
          <w:lang w:eastAsia="en-US"/>
        </w:rPr>
        <w:t>Absract</w:t>
      </w:r>
      <w:proofErr w:type="spellEnd"/>
      <w:r w:rsidRPr="000E3450">
        <w:rPr>
          <w:b/>
          <w:bCs/>
          <w:color w:val="000000"/>
          <w:sz w:val="23"/>
          <w:szCs w:val="23"/>
          <w:lang w:eastAsia="en-US"/>
        </w:rPr>
        <w:t xml:space="preserve">: </w:t>
      </w:r>
      <w:r w:rsidRPr="00480DB7">
        <w:t xml:space="preserve">The </w:t>
      </w:r>
      <w:proofErr w:type="spellStart"/>
      <w:r w:rsidRPr="00480DB7">
        <w:t>present</w:t>
      </w:r>
      <w:proofErr w:type="spellEnd"/>
      <w:r w:rsidRPr="00480DB7">
        <w:t xml:space="preserve"> </w:t>
      </w:r>
      <w:proofErr w:type="spellStart"/>
      <w:r w:rsidRPr="00480DB7">
        <w:t>work</w:t>
      </w:r>
      <w:proofErr w:type="spellEnd"/>
      <w:r w:rsidRPr="00480DB7">
        <w:t xml:space="preserve"> </w:t>
      </w:r>
      <w:proofErr w:type="spellStart"/>
      <w:r>
        <w:t>aims</w:t>
      </w:r>
      <w:proofErr w:type="spellEnd"/>
      <w:r w:rsidRPr="00480DB7">
        <w:t xml:space="preserve"> </w:t>
      </w:r>
      <w:proofErr w:type="spellStart"/>
      <w:r w:rsidRPr="00480DB7">
        <w:t>to</w:t>
      </w:r>
      <w:proofErr w:type="spellEnd"/>
      <w:r w:rsidRPr="00480DB7">
        <w:t xml:space="preserve"> </w:t>
      </w:r>
      <w:proofErr w:type="spellStart"/>
      <w:r w:rsidRPr="00480DB7">
        <w:t>verify</w:t>
      </w:r>
      <w:proofErr w:type="spellEnd"/>
      <w:r w:rsidRPr="00480DB7">
        <w:t xml:space="preserve"> </w:t>
      </w:r>
      <w:proofErr w:type="spellStart"/>
      <w:r w:rsidRPr="00480DB7">
        <w:t>possible</w:t>
      </w:r>
      <w:proofErr w:type="spellEnd"/>
      <w:r w:rsidRPr="00480DB7">
        <w:t xml:space="preserve"> </w:t>
      </w:r>
      <w:proofErr w:type="spellStart"/>
      <w:r w:rsidRPr="00480DB7">
        <w:t>impacts</w:t>
      </w:r>
      <w:proofErr w:type="spellEnd"/>
      <w:r w:rsidRPr="00480DB7">
        <w:t xml:space="preserve"> </w:t>
      </w:r>
      <w:proofErr w:type="spellStart"/>
      <w:r w:rsidRPr="00480DB7">
        <w:t>of</w:t>
      </w:r>
      <w:proofErr w:type="spellEnd"/>
      <w:r w:rsidRPr="00480DB7">
        <w:t xml:space="preserve"> </w:t>
      </w:r>
      <w:proofErr w:type="spellStart"/>
      <w:r w:rsidRPr="00480DB7">
        <w:t>the</w:t>
      </w:r>
      <w:proofErr w:type="spellEnd"/>
      <w:r w:rsidRPr="00480DB7">
        <w:t xml:space="preserve"> </w:t>
      </w:r>
      <w:proofErr w:type="spellStart"/>
      <w:r w:rsidRPr="00480DB7">
        <w:t>construction</w:t>
      </w:r>
      <w:proofErr w:type="spellEnd"/>
      <w:r w:rsidRPr="00480DB7">
        <w:t xml:space="preserve"> </w:t>
      </w:r>
      <w:proofErr w:type="spellStart"/>
      <w:r w:rsidRPr="00480DB7">
        <w:t>of</w:t>
      </w:r>
      <w:proofErr w:type="spellEnd"/>
      <w:r w:rsidRPr="00480DB7">
        <w:t xml:space="preserve"> </w:t>
      </w:r>
      <w:proofErr w:type="spellStart"/>
      <w:proofErr w:type="gramStart"/>
      <w:r w:rsidRPr="00480DB7">
        <w:t>wind</w:t>
      </w:r>
      <w:proofErr w:type="spellEnd"/>
      <w:proofErr w:type="gramEnd"/>
      <w:r w:rsidRPr="00480DB7">
        <w:t xml:space="preserve"> </w:t>
      </w:r>
      <w:proofErr w:type="spellStart"/>
      <w:r w:rsidRPr="00480DB7">
        <w:t>power</w:t>
      </w:r>
      <w:proofErr w:type="spellEnd"/>
      <w:r w:rsidRPr="00480DB7">
        <w:t xml:space="preserve"> </w:t>
      </w:r>
      <w:proofErr w:type="spellStart"/>
      <w:r w:rsidRPr="00480DB7">
        <w:t>plants</w:t>
      </w:r>
      <w:proofErr w:type="spellEnd"/>
      <w:r w:rsidRPr="00480DB7">
        <w:t xml:space="preserve"> in </w:t>
      </w:r>
      <w:proofErr w:type="spellStart"/>
      <w:r w:rsidRPr="00480DB7">
        <w:t>the</w:t>
      </w:r>
      <w:proofErr w:type="spellEnd"/>
      <w:r w:rsidRPr="00480DB7">
        <w:t xml:space="preserve"> municipal </w:t>
      </w:r>
      <w:proofErr w:type="spellStart"/>
      <w:r w:rsidRPr="00480DB7">
        <w:t>economies</w:t>
      </w:r>
      <w:proofErr w:type="spellEnd"/>
      <w:r w:rsidRPr="00480DB7">
        <w:t xml:space="preserve">. More </w:t>
      </w:r>
      <w:proofErr w:type="spellStart"/>
      <w:r w:rsidRPr="00480DB7">
        <w:t>specifically</w:t>
      </w:r>
      <w:proofErr w:type="spellEnd"/>
      <w:r w:rsidRPr="00480DB7">
        <w:t xml:space="preserve">, it </w:t>
      </w:r>
      <w:proofErr w:type="spellStart"/>
      <w:r w:rsidRPr="00480DB7">
        <w:t>intend</w:t>
      </w:r>
      <w:r>
        <w:t>s</w:t>
      </w:r>
      <w:proofErr w:type="spellEnd"/>
      <w:r w:rsidRPr="00480DB7">
        <w:t xml:space="preserve"> </w:t>
      </w:r>
      <w:proofErr w:type="spellStart"/>
      <w:r w:rsidRPr="00480DB7">
        <w:t>to</w:t>
      </w:r>
      <w:proofErr w:type="spellEnd"/>
      <w:r w:rsidRPr="00480DB7">
        <w:t xml:space="preserve"> </w:t>
      </w:r>
      <w:proofErr w:type="spellStart"/>
      <w:r w:rsidRPr="00480DB7">
        <w:t>analyze</w:t>
      </w:r>
      <w:proofErr w:type="spellEnd"/>
      <w:r w:rsidRPr="00480DB7">
        <w:t xml:space="preserve"> </w:t>
      </w:r>
      <w:proofErr w:type="spellStart"/>
      <w:r w:rsidRPr="00480DB7">
        <w:t>the</w:t>
      </w:r>
      <w:proofErr w:type="spellEnd"/>
      <w:r w:rsidRPr="00480DB7">
        <w:t xml:space="preserve"> </w:t>
      </w:r>
      <w:proofErr w:type="spellStart"/>
      <w:r w:rsidRPr="00480DB7">
        <w:t>evolution</w:t>
      </w:r>
      <w:proofErr w:type="spellEnd"/>
      <w:r w:rsidRPr="00480DB7">
        <w:t xml:space="preserve"> </w:t>
      </w:r>
      <w:proofErr w:type="spellStart"/>
      <w:r w:rsidRPr="00480DB7">
        <w:t>of</w:t>
      </w:r>
      <w:proofErr w:type="spellEnd"/>
      <w:r w:rsidRPr="00480DB7">
        <w:t xml:space="preserve"> GDP per capita </w:t>
      </w:r>
      <w:proofErr w:type="spellStart"/>
      <w:r w:rsidRPr="00480DB7">
        <w:t>of</w:t>
      </w:r>
      <w:proofErr w:type="spellEnd"/>
      <w:r w:rsidRPr="00480DB7">
        <w:t xml:space="preserve"> </w:t>
      </w:r>
      <w:proofErr w:type="spellStart"/>
      <w:proofErr w:type="gramStart"/>
      <w:r w:rsidRPr="00480DB7">
        <w:t>the</w:t>
      </w:r>
      <w:proofErr w:type="spellEnd"/>
      <w:proofErr w:type="gramEnd"/>
      <w:r w:rsidRPr="00480DB7">
        <w:t xml:space="preserve"> </w:t>
      </w:r>
      <w:proofErr w:type="spellStart"/>
      <w:proofErr w:type="gramStart"/>
      <w:r w:rsidRPr="00480DB7">
        <w:t>municipalities</w:t>
      </w:r>
      <w:proofErr w:type="spellEnd"/>
      <w:proofErr w:type="gramEnd"/>
      <w:r w:rsidRPr="00480DB7">
        <w:t xml:space="preserve"> </w:t>
      </w:r>
      <w:proofErr w:type="spellStart"/>
      <w:r w:rsidRPr="00480DB7">
        <w:t>that</w:t>
      </w:r>
      <w:proofErr w:type="spellEnd"/>
      <w:r w:rsidRPr="00480DB7">
        <w:t xml:space="preserve"> </w:t>
      </w:r>
      <w:proofErr w:type="spellStart"/>
      <w:r w:rsidRPr="00480DB7">
        <w:t>received</w:t>
      </w:r>
      <w:proofErr w:type="spellEnd"/>
      <w:r w:rsidRPr="00480DB7">
        <w:t xml:space="preserve"> </w:t>
      </w:r>
      <w:proofErr w:type="spellStart"/>
      <w:r w:rsidRPr="00480DB7">
        <w:t>investments</w:t>
      </w:r>
      <w:proofErr w:type="spellEnd"/>
      <w:r w:rsidRPr="00480DB7">
        <w:t xml:space="preserve"> in </w:t>
      </w:r>
      <w:proofErr w:type="spellStart"/>
      <w:r w:rsidRPr="00480DB7">
        <w:t>the</w:t>
      </w:r>
      <w:proofErr w:type="spellEnd"/>
      <w:r w:rsidRPr="00480DB7">
        <w:t xml:space="preserve"> </w:t>
      </w:r>
      <w:proofErr w:type="spellStart"/>
      <w:r w:rsidRPr="00480DB7">
        <w:t>construction</w:t>
      </w:r>
      <w:proofErr w:type="spellEnd"/>
      <w:r w:rsidRPr="00480DB7">
        <w:t xml:space="preserve"> </w:t>
      </w:r>
      <w:proofErr w:type="spellStart"/>
      <w:r w:rsidRPr="00480DB7">
        <w:t>of</w:t>
      </w:r>
      <w:proofErr w:type="spellEnd"/>
      <w:r w:rsidRPr="00480DB7">
        <w:t xml:space="preserve"> </w:t>
      </w:r>
      <w:proofErr w:type="spellStart"/>
      <w:r w:rsidRPr="00480DB7">
        <w:t>wind</w:t>
      </w:r>
      <w:proofErr w:type="spellEnd"/>
      <w:r w:rsidRPr="00480DB7">
        <w:t xml:space="preserve"> </w:t>
      </w:r>
      <w:proofErr w:type="spellStart"/>
      <w:r w:rsidRPr="00480DB7">
        <w:t>power</w:t>
      </w:r>
      <w:proofErr w:type="spellEnd"/>
      <w:r w:rsidRPr="00480DB7">
        <w:t xml:space="preserve"> </w:t>
      </w:r>
      <w:proofErr w:type="spellStart"/>
      <w:r w:rsidRPr="00480DB7">
        <w:t>plants</w:t>
      </w:r>
      <w:proofErr w:type="spellEnd"/>
      <w:r w:rsidRPr="00480DB7">
        <w:t xml:space="preserve"> in </w:t>
      </w:r>
      <w:proofErr w:type="spellStart"/>
      <w:r w:rsidRPr="00480DB7">
        <w:t>the</w:t>
      </w:r>
      <w:proofErr w:type="spellEnd"/>
      <w:r w:rsidRPr="00480DB7">
        <w:t xml:space="preserve"> </w:t>
      </w:r>
      <w:proofErr w:type="spellStart"/>
      <w:r w:rsidRPr="00480DB7">
        <w:t>period</w:t>
      </w:r>
      <w:proofErr w:type="spellEnd"/>
      <w:r w:rsidRPr="00480DB7">
        <w:t xml:space="preserve"> 2008-2014 in </w:t>
      </w:r>
      <w:proofErr w:type="spellStart"/>
      <w:r w:rsidRPr="00480DB7">
        <w:t>comparison</w:t>
      </w:r>
      <w:proofErr w:type="spellEnd"/>
      <w:r w:rsidRPr="00480DB7">
        <w:t xml:space="preserve"> </w:t>
      </w:r>
      <w:proofErr w:type="spellStart"/>
      <w:r w:rsidRPr="00480DB7">
        <w:t>to</w:t>
      </w:r>
      <w:proofErr w:type="spellEnd"/>
      <w:r w:rsidRPr="00480DB7">
        <w:t xml:space="preserve"> a </w:t>
      </w:r>
      <w:proofErr w:type="spellStart"/>
      <w:r w:rsidRPr="00480DB7">
        <w:t>group</w:t>
      </w:r>
      <w:proofErr w:type="spellEnd"/>
      <w:r w:rsidRPr="00480DB7">
        <w:t xml:space="preserve"> </w:t>
      </w:r>
      <w:proofErr w:type="spellStart"/>
      <w:r w:rsidRPr="00480DB7">
        <w:t>of</w:t>
      </w:r>
      <w:proofErr w:type="spellEnd"/>
      <w:r w:rsidRPr="00480DB7">
        <w:t xml:space="preserve"> </w:t>
      </w:r>
      <w:proofErr w:type="spellStart"/>
      <w:r w:rsidRPr="00480DB7">
        <w:t>other</w:t>
      </w:r>
      <w:proofErr w:type="spellEnd"/>
      <w:r w:rsidRPr="00480DB7">
        <w:t xml:space="preserve"> </w:t>
      </w:r>
      <w:proofErr w:type="spellStart"/>
      <w:r w:rsidRPr="00480DB7">
        <w:t>municipalities</w:t>
      </w:r>
      <w:proofErr w:type="spellEnd"/>
      <w:r w:rsidRPr="00480DB7">
        <w:t xml:space="preserve"> </w:t>
      </w:r>
      <w:proofErr w:type="spellStart"/>
      <w:r w:rsidRPr="00480DB7">
        <w:t>with</w:t>
      </w:r>
      <w:proofErr w:type="spellEnd"/>
      <w:r w:rsidRPr="00480DB7">
        <w:t xml:space="preserve"> similar </w:t>
      </w:r>
      <w:proofErr w:type="spellStart"/>
      <w:r w:rsidRPr="00480DB7">
        <w:t>characteristics</w:t>
      </w:r>
      <w:proofErr w:type="spellEnd"/>
      <w:r w:rsidRPr="00480DB7">
        <w:t xml:space="preserve">, </w:t>
      </w:r>
      <w:proofErr w:type="spellStart"/>
      <w:r w:rsidRPr="00480DB7">
        <w:t>but</w:t>
      </w:r>
      <w:proofErr w:type="spellEnd"/>
      <w:r w:rsidRPr="00480DB7">
        <w:t xml:space="preserve"> </w:t>
      </w:r>
      <w:proofErr w:type="spellStart"/>
      <w:r w:rsidRPr="00480DB7">
        <w:t>that</w:t>
      </w:r>
      <w:proofErr w:type="spellEnd"/>
      <w:r w:rsidRPr="00480DB7">
        <w:t xml:space="preserve"> </w:t>
      </w:r>
      <w:proofErr w:type="spellStart"/>
      <w:r w:rsidRPr="00480DB7">
        <w:t>did</w:t>
      </w:r>
      <w:proofErr w:type="spellEnd"/>
      <w:r w:rsidRPr="00480DB7">
        <w:t xml:space="preserve"> </w:t>
      </w:r>
      <w:proofErr w:type="spellStart"/>
      <w:r w:rsidRPr="00480DB7">
        <w:t>not</w:t>
      </w:r>
      <w:proofErr w:type="spellEnd"/>
      <w:r w:rsidRPr="00480DB7">
        <w:t xml:space="preserve"> </w:t>
      </w:r>
      <w:proofErr w:type="spellStart"/>
      <w:r w:rsidRPr="00480DB7">
        <w:t>receive</w:t>
      </w:r>
      <w:proofErr w:type="spellEnd"/>
      <w:r w:rsidRPr="00480DB7">
        <w:t xml:space="preserve"> </w:t>
      </w:r>
      <w:proofErr w:type="spellStart"/>
      <w:r w:rsidRPr="00480DB7">
        <w:t>this</w:t>
      </w:r>
      <w:proofErr w:type="spellEnd"/>
      <w:r w:rsidRPr="00480DB7">
        <w:t xml:space="preserve"> </w:t>
      </w:r>
      <w:proofErr w:type="spellStart"/>
      <w:r w:rsidRPr="00480DB7">
        <w:t>intervention</w:t>
      </w:r>
      <w:proofErr w:type="spellEnd"/>
      <w:r w:rsidRPr="00480DB7">
        <w:t xml:space="preserve">. The </w:t>
      </w:r>
      <w:proofErr w:type="spellStart"/>
      <w:r w:rsidRPr="00480DB7">
        <w:t>study</w:t>
      </w:r>
      <w:proofErr w:type="spellEnd"/>
      <w:r w:rsidRPr="00480DB7">
        <w:t xml:space="preserve"> </w:t>
      </w:r>
      <w:proofErr w:type="spellStart"/>
      <w:r w:rsidRPr="00480DB7">
        <w:t>use</w:t>
      </w:r>
      <w:r w:rsidR="00355624">
        <w:t>d</w:t>
      </w:r>
      <w:proofErr w:type="spellEnd"/>
      <w:r w:rsidRPr="00480DB7">
        <w:t xml:space="preserve"> a municipal </w:t>
      </w:r>
      <w:proofErr w:type="spellStart"/>
      <w:r w:rsidRPr="00480DB7">
        <w:t>database</w:t>
      </w:r>
      <w:proofErr w:type="spellEnd"/>
      <w:r w:rsidRPr="00480DB7">
        <w:t xml:space="preserve"> </w:t>
      </w:r>
      <w:proofErr w:type="spellStart"/>
      <w:r w:rsidR="00355624">
        <w:t>that</w:t>
      </w:r>
      <w:proofErr w:type="spellEnd"/>
      <w:r w:rsidRPr="00480DB7">
        <w:t xml:space="preserve"> </w:t>
      </w:r>
      <w:proofErr w:type="spellStart"/>
      <w:r w:rsidRPr="00480DB7">
        <w:t>consolidat</w:t>
      </w:r>
      <w:r w:rsidR="00355624">
        <w:t>es</w:t>
      </w:r>
      <w:proofErr w:type="spellEnd"/>
      <w:r w:rsidRPr="00480DB7">
        <w:t xml:space="preserve"> 250 </w:t>
      </w:r>
      <w:proofErr w:type="spellStart"/>
      <w:r w:rsidRPr="00480DB7">
        <w:t>quantitative</w:t>
      </w:r>
      <w:proofErr w:type="spellEnd"/>
      <w:r w:rsidRPr="00480DB7">
        <w:t xml:space="preserve"> </w:t>
      </w:r>
      <w:proofErr w:type="spellStart"/>
      <w:r w:rsidRPr="00480DB7">
        <w:t>variables</w:t>
      </w:r>
      <w:proofErr w:type="spellEnd"/>
      <w:r w:rsidRPr="00480DB7">
        <w:t xml:space="preserve"> </w:t>
      </w:r>
      <w:proofErr w:type="spellStart"/>
      <w:r w:rsidRPr="00480DB7">
        <w:t>from</w:t>
      </w:r>
      <w:proofErr w:type="spellEnd"/>
      <w:r w:rsidRPr="00480DB7">
        <w:t xml:space="preserve"> 12 </w:t>
      </w:r>
      <w:proofErr w:type="spellStart"/>
      <w:r w:rsidRPr="00480DB7">
        <w:t>different</w:t>
      </w:r>
      <w:proofErr w:type="spellEnd"/>
      <w:r w:rsidRPr="00480DB7">
        <w:t xml:space="preserve"> </w:t>
      </w:r>
      <w:proofErr w:type="spellStart"/>
      <w:r w:rsidRPr="00480DB7">
        <w:t>sources</w:t>
      </w:r>
      <w:proofErr w:type="spellEnd"/>
      <w:r w:rsidRPr="00480DB7">
        <w:t xml:space="preserve">, </w:t>
      </w:r>
      <w:proofErr w:type="spellStart"/>
      <w:r w:rsidRPr="00480DB7">
        <w:t>using</w:t>
      </w:r>
      <w:proofErr w:type="spellEnd"/>
      <w:r w:rsidRPr="00480DB7">
        <w:t xml:space="preserve"> </w:t>
      </w:r>
      <w:proofErr w:type="spellStart"/>
      <w:r w:rsidRPr="00480DB7">
        <w:t>an</w:t>
      </w:r>
      <w:proofErr w:type="spellEnd"/>
      <w:r w:rsidRPr="00480DB7">
        <w:t xml:space="preserve"> </w:t>
      </w:r>
      <w:proofErr w:type="spellStart"/>
      <w:r w:rsidRPr="00480DB7">
        <w:t>appropriate</w:t>
      </w:r>
      <w:proofErr w:type="spellEnd"/>
      <w:r w:rsidRPr="00480DB7">
        <w:t xml:space="preserve"> </w:t>
      </w:r>
      <w:proofErr w:type="spellStart"/>
      <w:r w:rsidRPr="00480DB7">
        <w:t>methodology</w:t>
      </w:r>
      <w:proofErr w:type="spellEnd"/>
      <w:r w:rsidRPr="00480DB7">
        <w:t xml:space="preserve"> </w:t>
      </w:r>
      <w:proofErr w:type="spellStart"/>
      <w:r w:rsidRPr="00480DB7">
        <w:t>to</w:t>
      </w:r>
      <w:proofErr w:type="spellEnd"/>
      <w:r w:rsidRPr="00480DB7">
        <w:t xml:space="preserve"> </w:t>
      </w:r>
      <w:proofErr w:type="spellStart"/>
      <w:r w:rsidRPr="00480DB7">
        <w:t>reduce</w:t>
      </w:r>
      <w:proofErr w:type="spellEnd"/>
      <w:r w:rsidRPr="00480DB7">
        <w:t xml:space="preserve"> </w:t>
      </w:r>
      <w:proofErr w:type="spellStart"/>
      <w:r w:rsidRPr="00480DB7">
        <w:t>the</w:t>
      </w:r>
      <w:proofErr w:type="spellEnd"/>
      <w:r w:rsidRPr="00480DB7">
        <w:t xml:space="preserve"> </w:t>
      </w:r>
      <w:proofErr w:type="spellStart"/>
      <w:r w:rsidRPr="00480DB7">
        <w:t>dimensionality</w:t>
      </w:r>
      <w:proofErr w:type="spellEnd"/>
      <w:r w:rsidRPr="00480DB7">
        <w:t xml:space="preserve"> </w:t>
      </w:r>
      <w:proofErr w:type="spellStart"/>
      <w:r w:rsidRPr="00480DB7">
        <w:t>of</w:t>
      </w:r>
      <w:proofErr w:type="spellEnd"/>
      <w:r w:rsidRPr="00480DB7">
        <w:t xml:space="preserve"> </w:t>
      </w:r>
      <w:proofErr w:type="spellStart"/>
      <w:r w:rsidRPr="00480DB7">
        <w:t>the</w:t>
      </w:r>
      <w:proofErr w:type="spellEnd"/>
      <w:r w:rsidRPr="00480DB7">
        <w:t xml:space="preserve"> </w:t>
      </w:r>
      <w:proofErr w:type="spellStart"/>
      <w:r w:rsidRPr="00480DB7">
        <w:t>parametric</w:t>
      </w:r>
      <w:proofErr w:type="spellEnd"/>
      <w:r w:rsidRPr="00480DB7">
        <w:t xml:space="preserve"> </w:t>
      </w:r>
      <w:proofErr w:type="spellStart"/>
      <w:r w:rsidRPr="00480DB7">
        <w:t>space</w:t>
      </w:r>
      <w:proofErr w:type="spellEnd"/>
      <w:r w:rsidRPr="00480DB7">
        <w:t xml:space="preserve">, </w:t>
      </w:r>
      <w:proofErr w:type="spellStart"/>
      <w:r w:rsidRPr="00480DB7">
        <w:t>called</w:t>
      </w:r>
      <w:proofErr w:type="spellEnd"/>
      <w:r w:rsidRPr="00480DB7">
        <w:t xml:space="preserve"> </w:t>
      </w:r>
      <w:proofErr w:type="spellStart"/>
      <w:proofErr w:type="gramStart"/>
      <w:r w:rsidRPr="00480DB7">
        <w:t>adaLASSO</w:t>
      </w:r>
      <w:proofErr w:type="spellEnd"/>
      <w:proofErr w:type="gramEnd"/>
      <w:r w:rsidRPr="00480DB7">
        <w:t xml:space="preserve">, in </w:t>
      </w:r>
      <w:proofErr w:type="spellStart"/>
      <w:r w:rsidRPr="00480DB7">
        <w:t>order</w:t>
      </w:r>
      <w:proofErr w:type="spellEnd"/>
      <w:r w:rsidRPr="00480DB7">
        <w:t xml:space="preserve"> </w:t>
      </w:r>
      <w:proofErr w:type="spellStart"/>
      <w:r w:rsidRPr="00480DB7">
        <w:t>to</w:t>
      </w:r>
      <w:proofErr w:type="spellEnd"/>
      <w:r w:rsidRPr="00480DB7">
        <w:t xml:space="preserve"> </w:t>
      </w:r>
      <w:proofErr w:type="spellStart"/>
      <w:r w:rsidRPr="00480DB7">
        <w:t>select</w:t>
      </w:r>
      <w:proofErr w:type="spellEnd"/>
      <w:r w:rsidRPr="00480DB7">
        <w:t xml:space="preserve"> </w:t>
      </w:r>
      <w:proofErr w:type="spellStart"/>
      <w:r w:rsidRPr="00480DB7">
        <w:t>the</w:t>
      </w:r>
      <w:proofErr w:type="spellEnd"/>
      <w:r w:rsidRPr="00480DB7">
        <w:t xml:space="preserve"> </w:t>
      </w:r>
      <w:proofErr w:type="spellStart"/>
      <w:r w:rsidRPr="00480DB7">
        <w:t>most</w:t>
      </w:r>
      <w:proofErr w:type="spellEnd"/>
      <w:r w:rsidRPr="00480DB7">
        <w:t xml:space="preserve"> </w:t>
      </w:r>
      <w:proofErr w:type="spellStart"/>
      <w:r w:rsidRPr="00480DB7">
        <w:t>important</w:t>
      </w:r>
      <w:proofErr w:type="spellEnd"/>
      <w:r w:rsidRPr="00480DB7">
        <w:t xml:space="preserve"> </w:t>
      </w:r>
      <w:proofErr w:type="spellStart"/>
      <w:r w:rsidRPr="00480DB7">
        <w:t>covariates</w:t>
      </w:r>
      <w:proofErr w:type="spellEnd"/>
      <w:r w:rsidRPr="00480DB7">
        <w:t xml:space="preserve">. The </w:t>
      </w:r>
      <w:proofErr w:type="spellStart"/>
      <w:r w:rsidRPr="00480DB7">
        <w:t>synthetic</w:t>
      </w:r>
      <w:proofErr w:type="spellEnd"/>
      <w:r w:rsidRPr="00480DB7">
        <w:t xml:space="preserve"> </w:t>
      </w:r>
      <w:proofErr w:type="spellStart"/>
      <w:r w:rsidRPr="00480DB7">
        <w:t>control</w:t>
      </w:r>
      <w:proofErr w:type="spellEnd"/>
      <w:r w:rsidRPr="00480DB7">
        <w:t xml:space="preserve"> </w:t>
      </w:r>
      <w:proofErr w:type="spellStart"/>
      <w:r w:rsidRPr="00480DB7">
        <w:t>method</w:t>
      </w:r>
      <w:proofErr w:type="spellEnd"/>
      <w:r w:rsidRPr="00480DB7">
        <w:t xml:space="preserve"> </w:t>
      </w:r>
      <w:proofErr w:type="spellStart"/>
      <w:r w:rsidRPr="00480DB7">
        <w:t>was</w:t>
      </w:r>
      <w:proofErr w:type="spellEnd"/>
      <w:r w:rsidRPr="00480DB7">
        <w:t xml:space="preserve"> </w:t>
      </w:r>
      <w:proofErr w:type="spellStart"/>
      <w:r w:rsidRPr="00480DB7">
        <w:t>applied</w:t>
      </w:r>
      <w:proofErr w:type="spellEnd"/>
      <w:r w:rsidRPr="00480DB7">
        <w:t xml:space="preserve"> for </w:t>
      </w:r>
      <w:proofErr w:type="spellStart"/>
      <w:r w:rsidRPr="00480DB7">
        <w:t>each</w:t>
      </w:r>
      <w:proofErr w:type="spellEnd"/>
      <w:r w:rsidRPr="00480DB7">
        <w:t xml:space="preserve"> case, </w:t>
      </w:r>
      <w:proofErr w:type="spellStart"/>
      <w:r w:rsidRPr="00480DB7">
        <w:t>adding</w:t>
      </w:r>
      <w:proofErr w:type="spellEnd"/>
      <w:r w:rsidRPr="00480DB7">
        <w:t xml:space="preserve"> </w:t>
      </w:r>
      <w:proofErr w:type="gramStart"/>
      <w:r w:rsidRPr="00480DB7">
        <w:t>37 individual</w:t>
      </w:r>
      <w:proofErr w:type="gramEnd"/>
      <w:r w:rsidRPr="00480DB7">
        <w:t xml:space="preserve"> </w:t>
      </w:r>
      <w:proofErr w:type="spellStart"/>
      <w:r w:rsidRPr="00480DB7">
        <w:t>evaluations</w:t>
      </w:r>
      <w:proofErr w:type="spellEnd"/>
      <w:r w:rsidRPr="00480DB7">
        <w:t xml:space="preserve">, </w:t>
      </w:r>
      <w:proofErr w:type="spellStart"/>
      <w:r w:rsidRPr="00480DB7">
        <w:t>which</w:t>
      </w:r>
      <w:proofErr w:type="spellEnd"/>
      <w:r w:rsidRPr="00480DB7">
        <w:t xml:space="preserve"> </w:t>
      </w:r>
      <w:proofErr w:type="spellStart"/>
      <w:r w:rsidRPr="00480DB7">
        <w:t>were</w:t>
      </w:r>
      <w:proofErr w:type="spellEnd"/>
      <w:r w:rsidRPr="00480DB7">
        <w:t xml:space="preserve"> </w:t>
      </w:r>
      <w:proofErr w:type="spellStart"/>
      <w:r w:rsidRPr="00480DB7">
        <w:t>then</w:t>
      </w:r>
      <w:proofErr w:type="spellEnd"/>
      <w:r w:rsidRPr="00480DB7">
        <w:t xml:space="preserve"> </w:t>
      </w:r>
      <w:proofErr w:type="spellStart"/>
      <w:r w:rsidRPr="00480DB7">
        <w:t>compiled</w:t>
      </w:r>
      <w:proofErr w:type="spellEnd"/>
      <w:r w:rsidRPr="00480DB7">
        <w:t xml:space="preserve"> </w:t>
      </w:r>
      <w:proofErr w:type="spellStart"/>
      <w:r w:rsidRPr="00480DB7">
        <w:t>and</w:t>
      </w:r>
      <w:proofErr w:type="spellEnd"/>
      <w:r w:rsidRPr="00480DB7">
        <w:t xml:space="preserve"> </w:t>
      </w:r>
      <w:proofErr w:type="spellStart"/>
      <w:r w:rsidRPr="00480DB7">
        <w:t>analyzed</w:t>
      </w:r>
      <w:proofErr w:type="spellEnd"/>
      <w:r w:rsidRPr="00480DB7">
        <w:t xml:space="preserve"> in </w:t>
      </w:r>
      <w:proofErr w:type="spellStart"/>
      <w:r w:rsidRPr="00480DB7">
        <w:t>an</w:t>
      </w:r>
      <w:proofErr w:type="spellEnd"/>
      <w:r w:rsidRPr="00480DB7">
        <w:t xml:space="preserve"> </w:t>
      </w:r>
      <w:proofErr w:type="spellStart"/>
      <w:r w:rsidRPr="00480DB7">
        <w:t>aggregate</w:t>
      </w:r>
      <w:proofErr w:type="spellEnd"/>
      <w:r w:rsidRPr="00480DB7">
        <w:t xml:space="preserve"> </w:t>
      </w:r>
      <w:proofErr w:type="spellStart"/>
      <w:r w:rsidRPr="00480DB7">
        <w:t>manner</w:t>
      </w:r>
      <w:proofErr w:type="spellEnd"/>
      <w:r w:rsidRPr="00480DB7">
        <w:t xml:space="preserve">. The </w:t>
      </w:r>
      <w:proofErr w:type="spellStart"/>
      <w:r w:rsidRPr="00480DB7">
        <w:t>results</w:t>
      </w:r>
      <w:proofErr w:type="spellEnd"/>
      <w:r w:rsidRPr="00480DB7">
        <w:t xml:space="preserve"> </w:t>
      </w:r>
      <w:proofErr w:type="spellStart"/>
      <w:r w:rsidRPr="00480DB7">
        <w:t>obtained</w:t>
      </w:r>
      <w:proofErr w:type="spellEnd"/>
      <w:r w:rsidRPr="00480DB7">
        <w:t xml:space="preserve"> </w:t>
      </w:r>
      <w:proofErr w:type="spellStart"/>
      <w:r w:rsidRPr="00480DB7">
        <w:t>were</w:t>
      </w:r>
      <w:proofErr w:type="spellEnd"/>
      <w:r w:rsidRPr="00480DB7">
        <w:t xml:space="preserve"> </w:t>
      </w:r>
      <w:proofErr w:type="spellStart"/>
      <w:r w:rsidRPr="00480DB7">
        <w:t>heterogeneous</w:t>
      </w:r>
      <w:proofErr w:type="spellEnd"/>
      <w:r w:rsidRPr="00480DB7">
        <w:t xml:space="preserve">, </w:t>
      </w:r>
      <w:proofErr w:type="spellStart"/>
      <w:r w:rsidRPr="00480DB7">
        <w:t>but</w:t>
      </w:r>
      <w:proofErr w:type="spellEnd"/>
      <w:r w:rsidRPr="00480DB7">
        <w:t xml:space="preserve"> </w:t>
      </w:r>
      <w:proofErr w:type="spellStart"/>
      <w:r w:rsidRPr="00480DB7">
        <w:t>with</w:t>
      </w:r>
      <w:proofErr w:type="spellEnd"/>
      <w:r w:rsidRPr="00480DB7">
        <w:t xml:space="preserve"> </w:t>
      </w:r>
      <w:proofErr w:type="spellStart"/>
      <w:r w:rsidR="00FD3225">
        <w:t>median</w:t>
      </w:r>
      <w:proofErr w:type="spellEnd"/>
      <w:r w:rsidR="00FD3225">
        <w:t xml:space="preserve"> </w:t>
      </w:r>
      <w:r w:rsidRPr="00480DB7">
        <w:t xml:space="preserve">positive </w:t>
      </w:r>
      <w:proofErr w:type="spellStart"/>
      <w:r w:rsidRPr="00480DB7">
        <w:t>effects</w:t>
      </w:r>
      <w:proofErr w:type="spellEnd"/>
      <w:r w:rsidRPr="00480DB7">
        <w:t xml:space="preserve">, in </w:t>
      </w:r>
      <w:proofErr w:type="spellStart"/>
      <w:r w:rsidRPr="00480DB7">
        <w:t>agreement</w:t>
      </w:r>
      <w:proofErr w:type="spellEnd"/>
      <w:r w:rsidRPr="00480DB7">
        <w:t xml:space="preserve"> </w:t>
      </w:r>
      <w:proofErr w:type="spellStart"/>
      <w:r w:rsidRPr="00480DB7">
        <w:t>with</w:t>
      </w:r>
      <w:proofErr w:type="spellEnd"/>
      <w:r w:rsidRPr="00480DB7">
        <w:t xml:space="preserve"> </w:t>
      </w:r>
      <w:proofErr w:type="spellStart"/>
      <w:r w:rsidRPr="00480DB7">
        <w:t>the</w:t>
      </w:r>
      <w:proofErr w:type="spellEnd"/>
      <w:r w:rsidRPr="00480DB7">
        <w:t xml:space="preserve"> </w:t>
      </w:r>
      <w:proofErr w:type="spellStart"/>
      <w:r w:rsidRPr="00480DB7">
        <w:t>bibliography</w:t>
      </w:r>
      <w:proofErr w:type="spellEnd"/>
      <w:r w:rsidRPr="00480DB7">
        <w:t xml:space="preserve"> </w:t>
      </w:r>
      <w:proofErr w:type="spellStart"/>
      <w:r w:rsidRPr="00480DB7">
        <w:t>raised</w:t>
      </w:r>
      <w:proofErr w:type="spellEnd"/>
      <w:r w:rsidRPr="00480DB7">
        <w:t xml:space="preserve">. The </w:t>
      </w:r>
      <w:proofErr w:type="spellStart"/>
      <w:r w:rsidRPr="00480DB7">
        <w:t>compiled</w:t>
      </w:r>
      <w:proofErr w:type="spellEnd"/>
      <w:r w:rsidRPr="00480DB7">
        <w:t xml:space="preserve"> </w:t>
      </w:r>
      <w:proofErr w:type="spellStart"/>
      <w:r w:rsidRPr="00480DB7">
        <w:t>effects</w:t>
      </w:r>
      <w:proofErr w:type="spellEnd"/>
      <w:r w:rsidRPr="00480DB7">
        <w:t xml:space="preserve"> are more </w:t>
      </w:r>
      <w:proofErr w:type="spellStart"/>
      <w:r w:rsidRPr="00480DB7">
        <w:t>favorable</w:t>
      </w:r>
      <w:proofErr w:type="spellEnd"/>
      <w:r w:rsidRPr="00480DB7">
        <w:t xml:space="preserve"> in </w:t>
      </w:r>
      <w:proofErr w:type="gramStart"/>
      <w:r w:rsidRPr="00480DB7">
        <w:t>2</w:t>
      </w:r>
      <w:proofErr w:type="gramEnd"/>
      <w:r w:rsidRPr="00480DB7">
        <w:t xml:space="preserve"> </w:t>
      </w:r>
      <w:proofErr w:type="spellStart"/>
      <w:r w:rsidRPr="00480DB7">
        <w:t>years</w:t>
      </w:r>
      <w:proofErr w:type="spellEnd"/>
      <w:r w:rsidRPr="00480DB7">
        <w:t xml:space="preserve"> </w:t>
      </w:r>
      <w:proofErr w:type="spellStart"/>
      <w:r w:rsidRPr="00480DB7">
        <w:t>after</w:t>
      </w:r>
      <w:proofErr w:type="spellEnd"/>
      <w:r w:rsidRPr="00480DB7">
        <w:t xml:space="preserve"> </w:t>
      </w:r>
      <w:proofErr w:type="spellStart"/>
      <w:r w:rsidRPr="00480DB7">
        <w:t>the</w:t>
      </w:r>
      <w:proofErr w:type="spellEnd"/>
      <w:r w:rsidRPr="00480DB7">
        <w:t xml:space="preserve"> </w:t>
      </w:r>
      <w:proofErr w:type="spellStart"/>
      <w:r w:rsidRPr="00480DB7">
        <w:t>constructions</w:t>
      </w:r>
      <w:proofErr w:type="spellEnd"/>
      <w:r w:rsidRPr="00480DB7">
        <w:t xml:space="preserve"> </w:t>
      </w:r>
      <w:proofErr w:type="spellStart"/>
      <w:r w:rsidRPr="00480DB7">
        <w:t>and</w:t>
      </w:r>
      <w:proofErr w:type="spellEnd"/>
      <w:r w:rsidRPr="00480DB7">
        <w:t xml:space="preserve"> in </w:t>
      </w:r>
      <w:proofErr w:type="spellStart"/>
      <w:r w:rsidRPr="00480DB7">
        <w:t>wind</w:t>
      </w:r>
      <w:proofErr w:type="spellEnd"/>
      <w:r w:rsidRPr="00480DB7">
        <w:t xml:space="preserve"> </w:t>
      </w:r>
      <w:proofErr w:type="spellStart"/>
      <w:r w:rsidRPr="00480DB7">
        <w:t>farms</w:t>
      </w:r>
      <w:proofErr w:type="spellEnd"/>
      <w:r w:rsidRPr="00480DB7">
        <w:t xml:space="preserve"> </w:t>
      </w:r>
      <w:proofErr w:type="spellStart"/>
      <w:r w:rsidRPr="00480DB7">
        <w:t>with</w:t>
      </w:r>
      <w:proofErr w:type="spellEnd"/>
      <w:r w:rsidRPr="00480DB7">
        <w:t xml:space="preserve"> </w:t>
      </w:r>
      <w:proofErr w:type="spellStart"/>
      <w:r w:rsidRPr="00480DB7">
        <w:t>higher</w:t>
      </w:r>
      <w:proofErr w:type="spellEnd"/>
      <w:r w:rsidRPr="00480DB7">
        <w:t xml:space="preserve"> </w:t>
      </w:r>
      <w:proofErr w:type="spellStart"/>
      <w:r w:rsidRPr="00480DB7">
        <w:t>investments</w:t>
      </w:r>
      <w:proofErr w:type="spellEnd"/>
      <w:r w:rsidRPr="00480DB7">
        <w:t>.</w:t>
      </w:r>
    </w:p>
    <w:p w:rsidR="00355624" w:rsidRDefault="00355624" w:rsidP="00480DB7">
      <w:pPr>
        <w:autoSpaceDE w:val="0"/>
        <w:autoSpaceDN w:val="0"/>
        <w:adjustRightInd w:val="0"/>
        <w:ind w:right="-137" w:firstLine="708"/>
        <w:jc w:val="both"/>
      </w:pPr>
    </w:p>
    <w:p w:rsidR="00355624" w:rsidRDefault="00355624" w:rsidP="00355624">
      <w:pPr>
        <w:ind w:firstLine="708"/>
        <w:jc w:val="both"/>
        <w:rPr>
          <w:b/>
          <w:bCs/>
          <w:color w:val="000000"/>
          <w:sz w:val="23"/>
          <w:szCs w:val="23"/>
          <w:lang w:eastAsia="en-US"/>
        </w:rPr>
      </w:pPr>
      <w:proofErr w:type="spellStart"/>
      <w:r>
        <w:rPr>
          <w:b/>
          <w:bCs/>
          <w:color w:val="000000"/>
          <w:sz w:val="23"/>
          <w:szCs w:val="23"/>
          <w:lang w:eastAsia="en-US"/>
        </w:rPr>
        <w:t>Keywords</w:t>
      </w:r>
      <w:proofErr w:type="spellEnd"/>
      <w:r w:rsidRPr="000E3450">
        <w:rPr>
          <w:b/>
          <w:bCs/>
          <w:color w:val="000000"/>
          <w:sz w:val="23"/>
          <w:szCs w:val="23"/>
          <w:lang w:eastAsia="en-US"/>
        </w:rPr>
        <w:t xml:space="preserve">: </w:t>
      </w:r>
      <w:r>
        <w:rPr>
          <w:bCs/>
          <w:color w:val="000000"/>
          <w:sz w:val="23"/>
          <w:szCs w:val="23"/>
          <w:lang w:eastAsia="en-US"/>
        </w:rPr>
        <w:t xml:space="preserve">Wind Power </w:t>
      </w:r>
      <w:proofErr w:type="spellStart"/>
      <w:r>
        <w:rPr>
          <w:bCs/>
          <w:color w:val="000000"/>
          <w:sz w:val="23"/>
          <w:szCs w:val="23"/>
          <w:lang w:eastAsia="en-US"/>
        </w:rPr>
        <w:t>Plants</w:t>
      </w:r>
      <w:proofErr w:type="spellEnd"/>
      <w:r w:rsidRPr="002C680F">
        <w:rPr>
          <w:bCs/>
          <w:color w:val="000000"/>
          <w:sz w:val="23"/>
          <w:szCs w:val="23"/>
          <w:lang w:eastAsia="en-US"/>
        </w:rPr>
        <w:t xml:space="preserve">, </w:t>
      </w:r>
      <w:proofErr w:type="spellStart"/>
      <w:r>
        <w:rPr>
          <w:bCs/>
          <w:color w:val="000000"/>
          <w:sz w:val="23"/>
          <w:szCs w:val="23"/>
          <w:lang w:eastAsia="en-US"/>
        </w:rPr>
        <w:t>Impact</w:t>
      </w:r>
      <w:proofErr w:type="spellEnd"/>
      <w:r>
        <w:rPr>
          <w:bCs/>
          <w:color w:val="000000"/>
          <w:sz w:val="23"/>
          <w:szCs w:val="23"/>
          <w:lang w:eastAsia="en-US"/>
        </w:rPr>
        <w:t xml:space="preserve"> </w:t>
      </w:r>
      <w:proofErr w:type="spellStart"/>
      <w:r>
        <w:rPr>
          <w:bCs/>
          <w:color w:val="000000"/>
          <w:sz w:val="23"/>
          <w:szCs w:val="23"/>
          <w:lang w:eastAsia="en-US"/>
        </w:rPr>
        <w:t>Avaliation</w:t>
      </w:r>
      <w:proofErr w:type="spellEnd"/>
      <w:r w:rsidRPr="002C680F">
        <w:rPr>
          <w:bCs/>
          <w:color w:val="000000"/>
          <w:sz w:val="23"/>
          <w:szCs w:val="23"/>
          <w:lang w:eastAsia="en-US"/>
        </w:rPr>
        <w:t xml:space="preserve">, </w:t>
      </w:r>
      <w:proofErr w:type="spellStart"/>
      <w:r>
        <w:rPr>
          <w:bCs/>
          <w:color w:val="000000"/>
          <w:sz w:val="23"/>
          <w:szCs w:val="23"/>
          <w:lang w:eastAsia="en-US"/>
        </w:rPr>
        <w:t>Synthetic</w:t>
      </w:r>
      <w:proofErr w:type="spellEnd"/>
      <w:r>
        <w:rPr>
          <w:bCs/>
          <w:color w:val="000000"/>
          <w:sz w:val="23"/>
          <w:szCs w:val="23"/>
          <w:lang w:eastAsia="en-US"/>
        </w:rPr>
        <w:t xml:space="preserve"> </w:t>
      </w:r>
      <w:proofErr w:type="spellStart"/>
      <w:r>
        <w:rPr>
          <w:bCs/>
          <w:color w:val="000000"/>
          <w:sz w:val="23"/>
          <w:szCs w:val="23"/>
          <w:lang w:eastAsia="en-US"/>
        </w:rPr>
        <w:t>Control</w:t>
      </w:r>
      <w:proofErr w:type="spellEnd"/>
      <w:r>
        <w:rPr>
          <w:bCs/>
          <w:color w:val="000000"/>
          <w:sz w:val="23"/>
          <w:szCs w:val="23"/>
          <w:lang w:eastAsia="en-US"/>
        </w:rPr>
        <w:t xml:space="preserve"> </w:t>
      </w:r>
      <w:proofErr w:type="spellStart"/>
      <w:proofErr w:type="gramStart"/>
      <w:r>
        <w:rPr>
          <w:bCs/>
          <w:color w:val="000000"/>
          <w:sz w:val="23"/>
          <w:szCs w:val="23"/>
          <w:lang w:eastAsia="en-US"/>
        </w:rPr>
        <w:t>Methods</w:t>
      </w:r>
      <w:proofErr w:type="spellEnd"/>
      <w:proofErr w:type="gramEnd"/>
    </w:p>
    <w:p w:rsidR="00355624" w:rsidRPr="000E3450" w:rsidRDefault="00355624" w:rsidP="00355624">
      <w:pPr>
        <w:ind w:firstLine="708"/>
        <w:jc w:val="both"/>
        <w:rPr>
          <w:color w:val="000000"/>
          <w:sz w:val="23"/>
          <w:szCs w:val="23"/>
          <w:lang w:eastAsia="en-US"/>
        </w:rPr>
      </w:pPr>
    </w:p>
    <w:p w:rsidR="00355624" w:rsidRDefault="00355624" w:rsidP="00355624">
      <w:pPr>
        <w:ind w:firstLine="708"/>
        <w:rPr>
          <w:color w:val="000000"/>
          <w:sz w:val="23"/>
          <w:szCs w:val="23"/>
          <w:lang w:val="en-US" w:eastAsia="en-US"/>
        </w:rPr>
      </w:pPr>
      <w:proofErr w:type="spellStart"/>
      <w:r w:rsidRPr="00491884">
        <w:rPr>
          <w:b/>
          <w:color w:val="000000"/>
          <w:sz w:val="23"/>
          <w:szCs w:val="23"/>
          <w:lang w:val="en-US" w:eastAsia="en-US"/>
        </w:rPr>
        <w:t>Classificação</w:t>
      </w:r>
      <w:proofErr w:type="spellEnd"/>
      <w:r w:rsidRPr="00491884">
        <w:rPr>
          <w:b/>
          <w:color w:val="000000"/>
          <w:sz w:val="23"/>
          <w:szCs w:val="23"/>
          <w:lang w:val="en-US" w:eastAsia="en-US"/>
        </w:rPr>
        <w:t xml:space="preserve"> JEL:</w:t>
      </w:r>
      <w:r>
        <w:rPr>
          <w:color w:val="000000"/>
          <w:sz w:val="23"/>
          <w:szCs w:val="23"/>
          <w:lang w:val="en-US" w:eastAsia="en-US"/>
        </w:rPr>
        <w:t xml:space="preserve"> C23, Q42, R58</w:t>
      </w:r>
    </w:p>
    <w:p w:rsidR="00355624" w:rsidRDefault="00355624" w:rsidP="00480DB7">
      <w:pPr>
        <w:autoSpaceDE w:val="0"/>
        <w:autoSpaceDN w:val="0"/>
        <w:adjustRightInd w:val="0"/>
        <w:ind w:right="-137" w:firstLine="708"/>
        <w:jc w:val="both"/>
        <w:rPr>
          <w:color w:val="000000"/>
          <w:sz w:val="23"/>
          <w:szCs w:val="23"/>
          <w:lang w:val="en-US" w:eastAsia="en-US"/>
        </w:rPr>
      </w:pPr>
    </w:p>
    <w:p w:rsidR="009034E0" w:rsidRDefault="009034E0" w:rsidP="00480DB7">
      <w:pPr>
        <w:autoSpaceDE w:val="0"/>
        <w:autoSpaceDN w:val="0"/>
        <w:adjustRightInd w:val="0"/>
        <w:ind w:right="-137" w:firstLine="708"/>
        <w:jc w:val="both"/>
        <w:rPr>
          <w:color w:val="000000"/>
          <w:sz w:val="23"/>
          <w:szCs w:val="23"/>
          <w:lang w:val="en-US" w:eastAsia="en-US"/>
        </w:rPr>
      </w:pPr>
    </w:p>
    <w:p w:rsidR="009034E0" w:rsidRDefault="009034E0" w:rsidP="00480DB7">
      <w:pPr>
        <w:autoSpaceDE w:val="0"/>
        <w:autoSpaceDN w:val="0"/>
        <w:adjustRightInd w:val="0"/>
        <w:ind w:right="-137" w:firstLine="708"/>
        <w:jc w:val="both"/>
        <w:rPr>
          <w:color w:val="000000"/>
          <w:sz w:val="23"/>
          <w:szCs w:val="23"/>
          <w:lang w:val="en-US" w:eastAsia="en-US"/>
        </w:rPr>
      </w:pPr>
    </w:p>
    <w:p w:rsidR="00790ABF" w:rsidRDefault="00790ABF" w:rsidP="005F5D32">
      <w:pPr>
        <w:pStyle w:val="BNDES"/>
        <w:ind w:firstLine="709"/>
        <w:rPr>
          <w:b/>
        </w:rPr>
      </w:pPr>
    </w:p>
    <w:p w:rsidR="00D97D63" w:rsidRPr="005F5D32" w:rsidRDefault="00D97D63" w:rsidP="005F5D32">
      <w:pPr>
        <w:pStyle w:val="BNDES"/>
        <w:ind w:firstLine="709"/>
        <w:rPr>
          <w:b/>
        </w:rPr>
      </w:pPr>
      <w:r w:rsidRPr="005F5D32">
        <w:rPr>
          <w:b/>
        </w:rPr>
        <w:lastRenderedPageBreak/>
        <w:t>1. Introdução</w:t>
      </w:r>
    </w:p>
    <w:p w:rsidR="00D97D63" w:rsidRDefault="00D97D63" w:rsidP="00D97D63">
      <w:pPr>
        <w:pStyle w:val="BNDES"/>
      </w:pPr>
    </w:p>
    <w:p w:rsidR="00E70FCC" w:rsidRDefault="00E70FCC" w:rsidP="00E70FCC">
      <w:pPr>
        <w:pStyle w:val="BNDES"/>
        <w:ind w:firstLine="709"/>
      </w:pPr>
      <w:r>
        <w:t xml:space="preserve">A energia eólica, em relação a outras fontes de energia, apresenta uma série de vantagens. Em primeiro lugar, trata-se de uma fonte de energia renovável e limpa. Além disso, não produz resíduos ao gerar eletricidade. Também se deve destacar que a fonte é considerada inesgotável e não há custos associados à obtenção de uma matéria-prima, assim como há </w:t>
      </w:r>
      <w:r w:rsidR="00F55C9D">
        <w:t xml:space="preserve">baixos </w:t>
      </w:r>
      <w:r>
        <w:t xml:space="preserve">riscos ambientais envolvidos na construção de suas usinas. Há estudos que procuram analisar a importância da introdução de energias renováveis em nível local. Pelo fato de poder coexistir com outras atividades ligadas ao uso da terra, os parques eólicos podem ajudar o desenvolvimento econômico de regiões agrícolas, aumentando a qualidade de vida e reduzindo desigualdades sociais. Ou seja, devido aos arrendamentos de terras para a instalação de torres eólicas, o investimento em energia eólica pode estar associado ao aumento de renda dos pequenos proprietários de terras no interior do Brasil. </w:t>
      </w:r>
    </w:p>
    <w:p w:rsidR="00E70FCC" w:rsidRDefault="00E70FCC" w:rsidP="00A13B43">
      <w:pPr>
        <w:pStyle w:val="BNDES"/>
        <w:ind w:firstLine="709"/>
      </w:pPr>
    </w:p>
    <w:p w:rsidR="00E70FCC" w:rsidRDefault="00E70FCC" w:rsidP="00A13B43">
      <w:pPr>
        <w:pStyle w:val="BNDES"/>
        <w:ind w:firstLine="709"/>
      </w:pPr>
      <w:r>
        <w:t>Nesse sentido, o</w:t>
      </w:r>
      <w:r w:rsidR="00A13B43">
        <w:t xml:space="preserve"> presente trabalho tem o objetivo de verificar possíveis impactos da </w:t>
      </w:r>
      <w:r>
        <w:t xml:space="preserve">política de </w:t>
      </w:r>
      <w:r w:rsidR="00A13B43">
        <w:t>construção de usinas eólicas nas economias municipais. Mais especificamente, pretende-se aqui analisar a evolução do PIB per capita dos municípios que receberam investimentos na construção de usinas eólicas em comparação a um grupo de outros municípios com características semelhantes, mas que não recebeu essa intervenção. O período coberto pela avaliação vai de 2008 a 2014, devido à melhor disponibilidade de dados nesse período.</w:t>
      </w:r>
      <w:r>
        <w:t xml:space="preserve"> </w:t>
      </w:r>
    </w:p>
    <w:p w:rsidR="00E70FCC" w:rsidRDefault="00E70FCC" w:rsidP="00A13B43">
      <w:pPr>
        <w:pStyle w:val="BNDES"/>
        <w:ind w:firstLine="709"/>
      </w:pPr>
    </w:p>
    <w:p w:rsidR="00E70FCC" w:rsidRDefault="00E70FCC" w:rsidP="00E70FCC">
      <w:pPr>
        <w:autoSpaceDE w:val="0"/>
        <w:autoSpaceDN w:val="0"/>
        <w:adjustRightInd w:val="0"/>
        <w:ind w:firstLine="709"/>
        <w:jc w:val="both"/>
      </w:pPr>
      <w:r>
        <w:t>É</w:t>
      </w:r>
      <w:r>
        <w:rPr>
          <w:rFonts w:asciiTheme="minorHAnsi" w:hAnsiTheme="minorHAnsi" w:cstheme="minorHAnsi"/>
        </w:rPr>
        <w:t xml:space="preserve"> necessário levar em consideração o fato de que, para que os resultados estimados no exercício empírico possam ser expandidos para uma análise da política efetuada, é necessário que as estimativas obtidas por essa técnica permitam inferências estatísticas confiáveis. Isto é, é preciso que se tenha confiança de que os resultados obtidos para a amostra reflitam o efeito da intervenção para a população como um todo. Para isso, é fundamental que a amostra de unidades tratadas tenha um volume apropriado. Esse ponto é sensível para muitas intervenções públicas, como, por exemplo, para o caso do impacto local, em nível geográfico, das grandes obras de infraestrutura. Nesse sentido, o presente texto apresenta uma metodologia adequada para os casos em que as intervenções atingem um número pequeno de unidades. Essa metodologia é a estimação por controle sintético, a qual procura comparar cada unidade tratada com uma unidade artificial de controle que consiste em uma média ponderada de todas as unidades elegíveis para comparação disponíveis na base de dados</w:t>
      </w:r>
      <w:r w:rsidR="00F2705E">
        <w:rPr>
          <w:rStyle w:val="Refdenotaderodap"/>
        </w:rPr>
        <w:footnoteReference w:id="4"/>
      </w:r>
      <w:r>
        <w:rPr>
          <w:rFonts w:asciiTheme="minorHAnsi" w:hAnsiTheme="minorHAnsi" w:cstheme="minorHAnsi"/>
        </w:rPr>
        <w:t xml:space="preserve">. </w:t>
      </w:r>
    </w:p>
    <w:p w:rsidR="00E70FCC" w:rsidRDefault="00E70FCC" w:rsidP="00A13B43">
      <w:pPr>
        <w:pStyle w:val="BNDES"/>
        <w:ind w:firstLine="709"/>
        <w:rPr>
          <w:rFonts w:asciiTheme="minorHAnsi" w:hAnsiTheme="minorHAnsi" w:cstheme="minorHAnsi"/>
        </w:rPr>
      </w:pPr>
    </w:p>
    <w:p w:rsidR="00A13B43" w:rsidRDefault="00A13B43" w:rsidP="00A13B43">
      <w:pPr>
        <w:pStyle w:val="BNDES"/>
        <w:ind w:firstLine="709"/>
      </w:pPr>
      <w:r>
        <w:t xml:space="preserve">O método do controle sintético foi aplicado para cada </w:t>
      </w:r>
      <w:r w:rsidR="00112D42">
        <w:t>município beneficiado pela construção de parques eólicos</w:t>
      </w:r>
      <w:r>
        <w:t xml:space="preserve">, somando 37 avaliações individuais, que foram então compiladas e analisadas de maneira agregada. Os resultados obtidos se mostraram heterogêneos, mas com efeitos </w:t>
      </w:r>
      <w:r w:rsidR="00FD3225">
        <w:t xml:space="preserve">medianos </w:t>
      </w:r>
      <w:r>
        <w:t xml:space="preserve">positivos, concordando com a bibliografia levantada. Os efeitos compilados são mais favoráveis em </w:t>
      </w:r>
      <w:proofErr w:type="gramStart"/>
      <w:r>
        <w:t>2</w:t>
      </w:r>
      <w:proofErr w:type="gramEnd"/>
      <w:r>
        <w:t xml:space="preserve"> anos após as construções e em parques eólicos com investimentos mais elevados.</w:t>
      </w:r>
    </w:p>
    <w:p w:rsidR="00A13B43" w:rsidRDefault="00A13B43" w:rsidP="00A13B43">
      <w:pPr>
        <w:pStyle w:val="BNDES"/>
        <w:ind w:firstLine="709"/>
      </w:pPr>
    </w:p>
    <w:p w:rsidR="00D97D63" w:rsidRDefault="00D97D63" w:rsidP="001C1D5E">
      <w:pPr>
        <w:pStyle w:val="BNDES"/>
        <w:ind w:firstLine="709"/>
      </w:pPr>
      <w:r>
        <w:t>O estudo aqui realizado utilizou uma base de dados municipais</w:t>
      </w:r>
      <w:r w:rsidR="00BC5122">
        <w:t xml:space="preserve"> construída como uma consolidação de 250 variáveis </w:t>
      </w:r>
      <w:r w:rsidR="001C1D5E">
        <w:t>quantitativas</w:t>
      </w:r>
      <w:r w:rsidR="00BC5122">
        <w:t xml:space="preserve"> provenientes de 12 fontes diferentes. Essas fontes são</w:t>
      </w:r>
      <w:r>
        <w:t xml:space="preserve"> </w:t>
      </w:r>
      <w:r w:rsidR="00BC5122">
        <w:t>o</w:t>
      </w:r>
      <w:r>
        <w:t xml:space="preserve"> Instituto Brasileiro de Geografia e Estatísti</w:t>
      </w:r>
      <w:r w:rsidR="00BC5122">
        <w:t xml:space="preserve">ca (IBGE), o </w:t>
      </w:r>
      <w:r w:rsidR="00BC5122" w:rsidRPr="007F0DC7">
        <w:t>Sistema de Informações sobre Mortalidade</w:t>
      </w:r>
      <w:r w:rsidR="00BC5122">
        <w:t xml:space="preserve"> (SIM) e o </w:t>
      </w:r>
      <w:r w:rsidR="00BC5122" w:rsidRPr="007F0DC7">
        <w:t>Cadastro Nacional de Estabelecimentos de Saúde</w:t>
      </w:r>
      <w:r w:rsidR="00BC5122">
        <w:t xml:space="preserve"> (CNES), ambos do Departamento de Informática do Sistema Único de Saúde (DATASUS), Informações da </w:t>
      </w:r>
      <w:r w:rsidR="00BC5122" w:rsidRPr="00D45BD3">
        <w:t>Estatística Bancária por Município</w:t>
      </w:r>
      <w:r w:rsidR="00BC5122">
        <w:t xml:space="preserve"> (ESTBAN), dados da </w:t>
      </w:r>
      <w:r w:rsidR="00BC5122" w:rsidRPr="00D45BD3">
        <w:t>Secretaria de Comércio Exterior (SECEX), órgão do Ministério do Desenvolvimento, Indústria e Comércio Exterior</w:t>
      </w:r>
      <w:r w:rsidR="00BC5122">
        <w:t xml:space="preserve"> (MDIC), informações do </w:t>
      </w:r>
      <w:r w:rsidR="00BC5122" w:rsidRPr="00D45BD3">
        <w:t>Instituto Nacional de Pesquisas Espaciais</w:t>
      </w:r>
      <w:r w:rsidR="00BC5122">
        <w:t xml:space="preserve">, a </w:t>
      </w:r>
      <w:r w:rsidR="00BC5122" w:rsidRPr="003A2180">
        <w:t>Relação Anual de Informações Sociais</w:t>
      </w:r>
      <w:r w:rsidR="00BC5122">
        <w:t xml:space="preserve"> (RAIS), do Ministério do Trabalho e Emprego, </w:t>
      </w:r>
      <w:r w:rsidR="001C1D5E">
        <w:t>i</w:t>
      </w:r>
      <w:r w:rsidR="00BC5122">
        <w:t>nformações financeiras dos municípios (</w:t>
      </w:r>
      <w:proofErr w:type="spellStart"/>
      <w:proofErr w:type="gramStart"/>
      <w:r w:rsidR="00BC5122">
        <w:t>FinBra</w:t>
      </w:r>
      <w:proofErr w:type="spellEnd"/>
      <w:proofErr w:type="gramEnd"/>
      <w:r w:rsidR="00BC5122">
        <w:t xml:space="preserve">), </w:t>
      </w:r>
      <w:r w:rsidR="00BC5122" w:rsidRPr="00D7010A">
        <w:t>banco de dados criado pela Secretaria do Tesouro Nacional</w:t>
      </w:r>
      <w:r w:rsidR="00BC5122">
        <w:t xml:space="preserve"> (STN)</w:t>
      </w:r>
      <w:r w:rsidR="00BC5122" w:rsidRPr="00D7010A">
        <w:t>, em convênio com a Caixa Econômica Federal</w:t>
      </w:r>
      <w:r w:rsidR="00BC5122">
        <w:t xml:space="preserve"> (CEF), </w:t>
      </w:r>
      <w:r w:rsidR="001C1D5E">
        <w:t xml:space="preserve">o Censo Escolar e o Censo do Ensino Superior, ambos do </w:t>
      </w:r>
      <w:r w:rsidR="001C1D5E" w:rsidRPr="00487F0E">
        <w:t>Instituto Nacional de Estudos e Pesquisas</w:t>
      </w:r>
      <w:r w:rsidR="001C1D5E">
        <w:t xml:space="preserve"> (INEP), o </w:t>
      </w:r>
      <w:r w:rsidR="001C1D5E" w:rsidRPr="00556118">
        <w:t>Sistema Nacional de Informações sobre Saneamento</w:t>
      </w:r>
      <w:r w:rsidR="001C1D5E">
        <w:t xml:space="preserve"> (SNIS) e uma série de variáveis derivadas construídas com o cruzamento dessas variáveis brutas</w:t>
      </w:r>
      <w:r>
        <w:t xml:space="preserve">. </w:t>
      </w:r>
      <w:r w:rsidR="001C1D5E">
        <w:t xml:space="preserve">Por fim, </w:t>
      </w:r>
      <w:r w:rsidR="001C1D5E">
        <w:lastRenderedPageBreak/>
        <w:t>o</w:t>
      </w:r>
      <w:r>
        <w:t xml:space="preserve"> banco de dados da Agência Nacional de Energia Elétrica (ANEEL) forneceu informações sobre os valores de potência outorgada para todas as usinas eólicas avaliadas, assim como o ano de construção e o município em que está localizado o parque eólico.</w:t>
      </w:r>
      <w:r w:rsidR="00E70FCC">
        <w:t xml:space="preserve"> Para reduzir a dimensionalidade </w:t>
      </w:r>
      <w:r w:rsidR="00C60F10">
        <w:t xml:space="preserve">do modelo utilizado no presente exercício empírico, de modo a selecionar as variáveis explicativas mais relevantes em relação à variável de interesse, foi utilizada uma metodologia de seleção de variáveis denominada </w:t>
      </w:r>
      <w:proofErr w:type="spellStart"/>
      <w:r w:rsidR="00C60F10" w:rsidRPr="00C60F10">
        <w:rPr>
          <w:i/>
        </w:rPr>
        <w:t>Adaptative</w:t>
      </w:r>
      <w:proofErr w:type="spellEnd"/>
      <w:r w:rsidR="00C60F10" w:rsidRPr="00C60F10">
        <w:rPr>
          <w:i/>
        </w:rPr>
        <w:t xml:space="preserve"> LASSO</w:t>
      </w:r>
      <w:r w:rsidR="00C60F10">
        <w:t xml:space="preserve">, ou </w:t>
      </w:r>
      <w:proofErr w:type="spellStart"/>
      <w:proofErr w:type="gramStart"/>
      <w:r w:rsidR="00C60F10">
        <w:t>adaLASSO</w:t>
      </w:r>
      <w:proofErr w:type="spellEnd"/>
      <w:proofErr w:type="gramEnd"/>
      <w:r w:rsidR="00C60F10">
        <w:t>. Em resumo, essa metodologia introduz uma penalização sobre a soma dos coeficientes estimados, de modo a reduzir a complexidade do modelo e seu custo em termos computacionais.</w:t>
      </w:r>
    </w:p>
    <w:p w:rsidR="009E6616" w:rsidRDefault="009E6616" w:rsidP="001C1D5E">
      <w:pPr>
        <w:pStyle w:val="BNDES"/>
        <w:ind w:firstLine="709"/>
      </w:pPr>
    </w:p>
    <w:p w:rsidR="009E6616" w:rsidRDefault="009E6616" w:rsidP="001C1D5E">
      <w:pPr>
        <w:pStyle w:val="BNDES"/>
        <w:ind w:firstLine="709"/>
      </w:pPr>
      <w:r>
        <w:t xml:space="preserve">O trabalho está organizado da seguinte maneira. Essa introdução é seguida por uma descrição sobre o panorama da energia eólica no Brasil, com base em dados da ANEEL, que inclui uma revisão da bibliografia sobre seus impactos em nível local. Após isso, é descrita a base de dados consolidada, assim como as principais informações de suas fontes. A metodologia é apresentada a seguir, na qual são expostos os modelos teóricos da estimação por controle sintético e do método </w:t>
      </w:r>
      <w:proofErr w:type="spellStart"/>
      <w:proofErr w:type="gramStart"/>
      <w:r>
        <w:t>adaLASSO</w:t>
      </w:r>
      <w:proofErr w:type="spellEnd"/>
      <w:proofErr w:type="gramEnd"/>
      <w:r>
        <w:t xml:space="preserve"> de seleção de variáveis de controle. Após isso, serão apresentados os resultados das estimações individuais compiladas. Por fim, serão apresentadas as considerações finais do trabalho e possíveis desdobramentos futuros dessa linha de pesquisa.</w:t>
      </w:r>
    </w:p>
    <w:p w:rsidR="00BC5122" w:rsidRDefault="00BC5122" w:rsidP="00BC5122">
      <w:pPr>
        <w:pStyle w:val="BNDES"/>
        <w:ind w:firstLine="709"/>
      </w:pPr>
    </w:p>
    <w:p w:rsidR="00D97D63" w:rsidRPr="005F5D32" w:rsidRDefault="00D97D63" w:rsidP="005F5D32">
      <w:pPr>
        <w:pStyle w:val="BNDES"/>
        <w:ind w:firstLine="709"/>
        <w:rPr>
          <w:b/>
        </w:rPr>
      </w:pPr>
      <w:r w:rsidRPr="005F5D32">
        <w:rPr>
          <w:b/>
        </w:rPr>
        <w:t>2. Panorama do Setor de Energia Eólica no Brasil</w:t>
      </w:r>
    </w:p>
    <w:p w:rsidR="00D97D63" w:rsidRDefault="00D97D63" w:rsidP="00D97D63">
      <w:pPr>
        <w:pStyle w:val="BNDES"/>
      </w:pPr>
    </w:p>
    <w:p w:rsidR="00D97D63" w:rsidRDefault="00D97D63" w:rsidP="005F5D32">
      <w:pPr>
        <w:pStyle w:val="BNDES"/>
        <w:ind w:firstLine="709"/>
      </w:pPr>
      <w:r>
        <w:t xml:space="preserve">Conceitualmente, pode-se entender um parque eólico ou usina eólica como um conjunto de moinhos de vento ou turbinas que são usados para gerar energia elétrica através de seus aerogeradores, que são empurrados pelo vento. As turbinas são destinadas a transformar energia eólica em elétrica. A principal vantagem da energia eólica em relação a outras fontes é que se trata de uma fonte de energia renovável e limpa, pois não emite os gases de efeito estufa que contribuem para o aquecimento global. Além disso, não produz resíduos ao gerar eletricidade. Também </w:t>
      </w:r>
      <w:r w:rsidR="005F5D32">
        <w:t>se deve</w:t>
      </w:r>
      <w:r>
        <w:t xml:space="preserve"> destacar que a fonte é</w:t>
      </w:r>
      <w:r w:rsidR="002835FB">
        <w:t xml:space="preserve"> </w:t>
      </w:r>
      <w:r>
        <w:t xml:space="preserve">considerada inesgotável e não há custos associados à obtenção de uma matéria-prima, diferentemente do que ocorre com combustíveis fósseis, assim como há </w:t>
      </w:r>
      <w:r w:rsidR="00F55C9D">
        <w:t xml:space="preserve">baixos </w:t>
      </w:r>
      <w:r>
        <w:t xml:space="preserve">riscos ambientais que </w:t>
      </w:r>
      <w:proofErr w:type="gramStart"/>
      <w:r>
        <w:t>podem</w:t>
      </w:r>
      <w:proofErr w:type="gramEnd"/>
      <w:r>
        <w:t xml:space="preserve"> haver em usinas hidrelétrica e nucleares, por exemplo </w:t>
      </w:r>
      <w:r w:rsidR="00B7476F">
        <w:t>(COSTA ET AL, 2009</w:t>
      </w:r>
      <w:r>
        <w:t>).</w:t>
      </w:r>
    </w:p>
    <w:p w:rsidR="00D97D63" w:rsidRDefault="00D97D63" w:rsidP="00D97D63">
      <w:pPr>
        <w:pStyle w:val="BNDES"/>
      </w:pPr>
    </w:p>
    <w:p w:rsidR="00D97D63" w:rsidRDefault="00D97D63" w:rsidP="005F5D32">
      <w:pPr>
        <w:pStyle w:val="BNDES"/>
        <w:ind w:firstLine="709"/>
      </w:pPr>
      <w:r>
        <w:t xml:space="preserve">Atualmente, a maior fonte energética do Brasil advém de usinas hidrelétricas. Apesar de sua produção não poluente e barata, essa dependência pode acarretar danos. Isso porque, diante de períodos de seca, os reservatórios de água podem esvaziar e vê-se necessidade de colocar em funcionamento usinas termelétricas, caras e poluentes. Para que o gargalo de energia seja solucionado, investimentos em energia alternativa </w:t>
      </w:r>
      <w:proofErr w:type="gramStart"/>
      <w:r>
        <w:t>tornam-se</w:t>
      </w:r>
      <w:proofErr w:type="gramEnd"/>
      <w:r>
        <w:t xml:space="preserve"> de suma importância. O Brasil possui um dos maiores volumes de ventos do mundo, assim como baixa </w:t>
      </w:r>
      <w:r w:rsidR="002835FB">
        <w:t>probabilidade</w:t>
      </w:r>
      <w:r>
        <w:t xml:space="preserve"> de ocorrência de fenômenos climáticos extremos, o país tem possibilidades concretas de ampliar seu uso de energia eólica. Segundo o Atlas do Potencial Eólico (Amarante </w:t>
      </w:r>
      <w:proofErr w:type="gramStart"/>
      <w:r>
        <w:t>et</w:t>
      </w:r>
      <w:proofErr w:type="gramEnd"/>
      <w:r>
        <w:t xml:space="preserve"> al, 2001), o território nacional apresenta ventos com potencial que proporcionariam o equivalente a 272 </w:t>
      </w:r>
      <w:proofErr w:type="spellStart"/>
      <w:r>
        <w:t>terawatt-hora</w:t>
      </w:r>
      <w:proofErr w:type="spellEnd"/>
      <w:r>
        <w:t xml:space="preserve"> por ano (</w:t>
      </w:r>
      <w:proofErr w:type="spellStart"/>
      <w:r>
        <w:t>TWh</w:t>
      </w:r>
      <w:proofErr w:type="spellEnd"/>
      <w:r>
        <w:t>/ano), o que representa aproximadamente 64% do consumo nacional de energia elétrica, que gira em torno de 424 TW/ano.</w:t>
      </w:r>
    </w:p>
    <w:p w:rsidR="00D97D63" w:rsidRDefault="00D97D63" w:rsidP="00D97D63">
      <w:pPr>
        <w:pStyle w:val="BNDES"/>
      </w:pPr>
    </w:p>
    <w:p w:rsidR="00D97D63" w:rsidRDefault="00D97D63" w:rsidP="005F5D32">
      <w:pPr>
        <w:pStyle w:val="BNDES"/>
        <w:ind w:firstLine="709"/>
      </w:pPr>
      <w:r>
        <w:t xml:space="preserve">O Brasil, nos últimos anos, vem acelerando a implantação de parques eólicos. Atualmente, 14 estados produzem energia elétrica através de usinas eólicas. Até 2014, a quantidade de energia eólica </w:t>
      </w:r>
      <w:r w:rsidRPr="00F2705E">
        <w:t xml:space="preserve">produzida era de </w:t>
      </w:r>
      <w:proofErr w:type="gramStart"/>
      <w:r w:rsidRPr="00F2705E">
        <w:t>4</w:t>
      </w:r>
      <w:proofErr w:type="gramEnd"/>
      <w:r w:rsidRPr="00F2705E">
        <w:t xml:space="preserve"> </w:t>
      </w:r>
      <w:proofErr w:type="spellStart"/>
      <w:r w:rsidRPr="00F2705E">
        <w:t>terawatt-hora</w:t>
      </w:r>
      <w:proofErr w:type="spellEnd"/>
      <w:r w:rsidRPr="00F2705E">
        <w:t xml:space="preserve"> por ano. O Brasil iniciou o mês de fevereiro de 2018 com capacidade instalada de 12,95 GW, 8,3% na matriz elétrica total do país (</w:t>
      </w:r>
      <w:proofErr w:type="spellStart"/>
      <w:proofErr w:type="gramStart"/>
      <w:r w:rsidRPr="00F2705E">
        <w:t>ABEE</w:t>
      </w:r>
      <w:r w:rsidR="00F2705E" w:rsidRPr="00F2705E">
        <w:t>ólica</w:t>
      </w:r>
      <w:proofErr w:type="spellEnd"/>
      <w:proofErr w:type="gramEnd"/>
      <w:r w:rsidR="00F2705E" w:rsidRPr="00F2705E">
        <w:t>, 2018</w:t>
      </w:r>
      <w:r w:rsidRPr="00F2705E">
        <w:t>). Nesse mês, havia ainda 4,8 GW de capacidade em construção.</w:t>
      </w:r>
    </w:p>
    <w:p w:rsidR="00F2705E" w:rsidRDefault="00F2705E" w:rsidP="005F5D32">
      <w:pPr>
        <w:pStyle w:val="BNDES"/>
        <w:ind w:firstLine="709"/>
      </w:pPr>
    </w:p>
    <w:p w:rsidR="00F2705E" w:rsidRDefault="00F2705E" w:rsidP="00F2705E">
      <w:pPr>
        <w:pStyle w:val="BNDES"/>
        <w:ind w:firstLine="709"/>
      </w:pPr>
      <w:r>
        <w:t>Os incentivos no setor de energia eólica no Brasil iniciaram-se no ano de 2002, através do Programa de Incentivo às Fontes Alternativas de Energia Elétrica (</w:t>
      </w:r>
      <w:proofErr w:type="spellStart"/>
      <w:r>
        <w:t>Proinfa</w:t>
      </w:r>
      <w:proofErr w:type="spellEnd"/>
      <w:r>
        <w:t xml:space="preserve">). Os investimentos ocorrem por meio de leilões especificamente para a geração de eólicas, e também outras fontes de energias alternativas, por serem pouco competitivas em relação às fontes tradicionais (hidrelétrica, gás natural, óleo combustível, etc.) (Lage e </w:t>
      </w:r>
      <w:proofErr w:type="spellStart"/>
      <w:r>
        <w:t>Processi</w:t>
      </w:r>
      <w:proofErr w:type="spellEnd"/>
      <w:r>
        <w:t xml:space="preserve">, 2013). O BNDES apoia o setor de energia eólica com linhas </w:t>
      </w:r>
      <w:r>
        <w:lastRenderedPageBreak/>
        <w:t xml:space="preserve">especiais de financiamento para empresas do segmento de geração, transmissão e distribuição de energia. Para os fabricantes de componentes de aerogeradores, o banco disponibiliza dois produtos: o </w:t>
      </w:r>
      <w:proofErr w:type="gramStart"/>
      <w:r>
        <w:t>FINEM,</w:t>
      </w:r>
      <w:proofErr w:type="gramEnd"/>
      <w:r>
        <w:t xml:space="preserve"> que visa apoiar investimentos em aumento da capacidade e construção de novas plantas; e o FINAME, que visa financiar a venda de máquinas e equipamentos já negociados com as respectivas compradoras (Costa et al, 2009).</w:t>
      </w:r>
    </w:p>
    <w:p w:rsidR="00AD5A1D" w:rsidRDefault="00AD5A1D" w:rsidP="005F5D32">
      <w:pPr>
        <w:pStyle w:val="BNDES"/>
        <w:ind w:firstLine="709"/>
      </w:pPr>
    </w:p>
    <w:p w:rsidR="00FD3225" w:rsidRDefault="00FD3225" w:rsidP="00FD3225">
      <w:pPr>
        <w:pStyle w:val="BNDES"/>
        <w:ind w:firstLine="709"/>
      </w:pPr>
      <w:r>
        <w:t>O gráfico abaixo apresenta o número de municípios brasileiros que receberam suas primeiras usinas eólicas por ano. Vale ressaltar, de acordo com o gráfico, que o período de maior inauguração de eólicas por município foi entre os anos de 2014 e 2017. Dessa maneira, a maior parte dos parques eólicos não pôde ser avaliada neste trabalho por falta de dados nas variáveis de comparação referentes aos anos subsequentes a 2015 no banco de dados do IBGE.</w:t>
      </w:r>
    </w:p>
    <w:p w:rsidR="00FD3225" w:rsidRDefault="00FD3225" w:rsidP="00FD3225">
      <w:pPr>
        <w:pStyle w:val="BNDES"/>
      </w:pPr>
    </w:p>
    <w:p w:rsidR="00FD3225" w:rsidRPr="00903546" w:rsidRDefault="00FD3225" w:rsidP="00FD3225">
      <w:pPr>
        <w:pStyle w:val="BNDES"/>
        <w:jc w:val="center"/>
        <w:rPr>
          <w:b/>
        </w:rPr>
      </w:pPr>
      <w:r w:rsidRPr="00903546">
        <w:rPr>
          <w:b/>
        </w:rPr>
        <w:t xml:space="preserve">Gráfico </w:t>
      </w:r>
      <w:proofErr w:type="gramStart"/>
      <w:r w:rsidR="003747C8">
        <w:rPr>
          <w:b/>
        </w:rPr>
        <w:t>1</w:t>
      </w:r>
      <w:proofErr w:type="gramEnd"/>
      <w:r w:rsidRPr="00903546">
        <w:rPr>
          <w:b/>
        </w:rPr>
        <w:t>: Número de Municípios com Parques Eólicos pelo Ano de sua Primeira Usina Construída</w:t>
      </w:r>
    </w:p>
    <w:p w:rsidR="00FD3225" w:rsidRDefault="003747C8" w:rsidP="00FD3225">
      <w:pPr>
        <w:pStyle w:val="BNDES"/>
        <w:jc w:val="center"/>
      </w:pPr>
      <w:r w:rsidRPr="00903546">
        <w:rPr>
          <w:b/>
          <w:noProof/>
        </w:rPr>
        <w:drawing>
          <wp:anchor distT="0" distB="0" distL="114300" distR="114300" simplePos="0" relativeHeight="251707392" behindDoc="0" locked="0" layoutInCell="1" allowOverlap="1" wp14:anchorId="507C07C8" wp14:editId="41435FAB">
            <wp:simplePos x="0" y="0"/>
            <wp:positionH relativeFrom="column">
              <wp:posOffset>106680</wp:posOffset>
            </wp:positionH>
            <wp:positionV relativeFrom="paragraph">
              <wp:posOffset>135255</wp:posOffset>
            </wp:positionV>
            <wp:extent cx="6221730" cy="3467100"/>
            <wp:effectExtent l="0" t="0" r="762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1730"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225" w:rsidRPr="00AB5CCC">
        <w:t>Fonte: Elaboração própria com base em dados da ANEEL.</w:t>
      </w:r>
    </w:p>
    <w:p w:rsidR="00FD3225" w:rsidRDefault="00FD3225" w:rsidP="00AD5A1D">
      <w:pPr>
        <w:pStyle w:val="BNDES"/>
        <w:ind w:firstLine="709"/>
      </w:pPr>
    </w:p>
    <w:p w:rsidR="00AD5A1D" w:rsidRDefault="00AD5A1D" w:rsidP="00AD5A1D">
      <w:pPr>
        <w:pStyle w:val="BNDES"/>
        <w:ind w:firstLine="709"/>
      </w:pPr>
      <w:r>
        <w:t>O mapa a seguir indica como as usinas eólicas estão distribuídas no Brasil, agregando os parques eólicos por período de construção.</w:t>
      </w:r>
      <w:r w:rsidR="00FD3225">
        <w:t xml:space="preserve"> Os períodos foram divididos em três grupos, isto é, antes (1998-2007), durante (2008-2014) e depois (2015-2017) do período de análise do presente trabalho, definida pela disponibilidade de dados.</w:t>
      </w:r>
      <w:r>
        <w:t xml:space="preserve"> </w:t>
      </w:r>
      <w:r w:rsidR="00FD3225">
        <w:t xml:space="preserve">A região Nordeste apresenta a maioria das usinas eólicas no país, com 78% do total. O estado que apresenta a maior quantidade de usinas é o Rio Grande do Norte, concentrando 28% do total entre os 14 estados. A região Sul vem atrás, com 21%, sendo que só o Rio Grande do Sul representa 17% de eólicas no Brasil. </w:t>
      </w:r>
      <w:proofErr w:type="gramStart"/>
      <w:r w:rsidR="00F2705E">
        <w:t>A</w:t>
      </w:r>
      <w:proofErr w:type="gramEnd"/>
      <w:r w:rsidR="00FD3225">
        <w:t xml:space="preserve"> região Sudeste conta com menos de 1% da matriz energética eólica (ANEEL). </w:t>
      </w:r>
      <w:r>
        <w:t xml:space="preserve">O mapa </w:t>
      </w:r>
      <w:r w:rsidR="00FD3225">
        <w:t xml:space="preserve">também </w:t>
      </w:r>
      <w:r>
        <w:t>evidencia uma concentração de usinas no período mais recente</w:t>
      </w:r>
      <w:r w:rsidR="00FD3225">
        <w:t>.</w:t>
      </w:r>
    </w:p>
    <w:p w:rsidR="00FD3225" w:rsidRDefault="00FD3225" w:rsidP="00AD5A1D">
      <w:pPr>
        <w:pStyle w:val="BNDES"/>
        <w:ind w:firstLine="709"/>
      </w:pPr>
    </w:p>
    <w:p w:rsidR="00FD3225" w:rsidRDefault="00FD3225" w:rsidP="00AD5A1D">
      <w:pPr>
        <w:pStyle w:val="BNDES"/>
        <w:ind w:firstLine="709"/>
      </w:pPr>
    </w:p>
    <w:p w:rsidR="00FD3225" w:rsidRDefault="00FD3225" w:rsidP="00AD5A1D">
      <w:pPr>
        <w:pStyle w:val="BNDES"/>
        <w:ind w:firstLine="709"/>
      </w:pPr>
    </w:p>
    <w:p w:rsidR="00FD3225" w:rsidRDefault="00FD3225" w:rsidP="00AD5A1D">
      <w:pPr>
        <w:pStyle w:val="BNDES"/>
        <w:ind w:firstLine="709"/>
      </w:pPr>
    </w:p>
    <w:p w:rsidR="00FD3225" w:rsidRDefault="00FD3225" w:rsidP="00AD5A1D">
      <w:pPr>
        <w:pStyle w:val="BNDES"/>
        <w:ind w:firstLine="709"/>
      </w:pPr>
    </w:p>
    <w:p w:rsidR="00FD3225" w:rsidRDefault="00FD3225" w:rsidP="00AD5A1D">
      <w:pPr>
        <w:pStyle w:val="BNDES"/>
        <w:ind w:firstLine="709"/>
      </w:pPr>
    </w:p>
    <w:p w:rsidR="00FD3225" w:rsidRDefault="00FD3225" w:rsidP="00AD5A1D">
      <w:pPr>
        <w:pStyle w:val="BNDES"/>
        <w:ind w:firstLine="709"/>
      </w:pPr>
    </w:p>
    <w:p w:rsidR="00FD3225" w:rsidRDefault="00FD3225" w:rsidP="00AD5A1D">
      <w:pPr>
        <w:pStyle w:val="BNDES"/>
        <w:ind w:firstLine="709"/>
      </w:pPr>
    </w:p>
    <w:p w:rsidR="00AD5A1D" w:rsidRPr="00A9762F" w:rsidRDefault="00AD5A1D" w:rsidP="00AD5A1D">
      <w:pPr>
        <w:pStyle w:val="BNDES"/>
        <w:jc w:val="center"/>
        <w:rPr>
          <w:b/>
        </w:rPr>
      </w:pPr>
      <w:r w:rsidRPr="00A9762F">
        <w:rPr>
          <w:b/>
        </w:rPr>
        <w:lastRenderedPageBreak/>
        <w:t xml:space="preserve">Gráfico </w:t>
      </w:r>
      <w:proofErr w:type="gramStart"/>
      <w:r w:rsidR="00835D02">
        <w:rPr>
          <w:b/>
        </w:rPr>
        <w:t>2</w:t>
      </w:r>
      <w:proofErr w:type="gramEnd"/>
      <w:r w:rsidRPr="00A9762F">
        <w:rPr>
          <w:b/>
        </w:rPr>
        <w:t>: Mapa dos Municípios com Parques Eólicos pelo Ano da Primeira Usina Construída</w:t>
      </w:r>
    </w:p>
    <w:p w:rsidR="00D92A0D" w:rsidRDefault="00FD3225" w:rsidP="00AD5A1D">
      <w:pPr>
        <w:pStyle w:val="BNDES"/>
        <w:jc w:val="center"/>
        <w:rPr>
          <w:noProof/>
        </w:rPr>
      </w:pPr>
      <w:r>
        <w:rPr>
          <w:noProof/>
        </w:rPr>
        <w:drawing>
          <wp:anchor distT="0" distB="0" distL="114300" distR="114300" simplePos="0" relativeHeight="251701248" behindDoc="0" locked="0" layoutInCell="1" allowOverlap="1" wp14:anchorId="6CA9F163" wp14:editId="4E9E5FDF">
            <wp:simplePos x="0" y="0"/>
            <wp:positionH relativeFrom="column">
              <wp:posOffset>386715</wp:posOffset>
            </wp:positionH>
            <wp:positionV relativeFrom="paragraph">
              <wp:posOffset>150495</wp:posOffset>
            </wp:positionV>
            <wp:extent cx="5607050" cy="388874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388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FD3225" w:rsidRDefault="00FD3225" w:rsidP="00AD5A1D">
      <w:pPr>
        <w:pStyle w:val="BNDES"/>
        <w:jc w:val="center"/>
      </w:pPr>
    </w:p>
    <w:p w:rsidR="00AD5A1D" w:rsidRDefault="00AD5A1D" w:rsidP="00AD5A1D">
      <w:pPr>
        <w:pStyle w:val="BNDES"/>
        <w:jc w:val="center"/>
      </w:pPr>
      <w:r w:rsidRPr="00AB5CCC">
        <w:t>Fonte: Elaboração própria com base em dados da ANEEL.</w:t>
      </w:r>
    </w:p>
    <w:p w:rsidR="00AD5A1D" w:rsidRDefault="00AD5A1D" w:rsidP="00AD5A1D">
      <w:pPr>
        <w:pStyle w:val="BNDES"/>
      </w:pPr>
    </w:p>
    <w:p w:rsidR="00D97D63" w:rsidRDefault="00D97D63" w:rsidP="005F5D32">
      <w:pPr>
        <w:pStyle w:val="BNDES"/>
        <w:ind w:firstLine="709"/>
      </w:pPr>
      <w:r>
        <w:t>Há estudos que procuram analisar a importância da introdução de energias renováveis em nível local. Pelo fato de poder coexistir com outras atividades ligadas ao uso da terra, os parques eólicos podem ajudar o desenvolvimento econômico de regiões agrícolas, com capacidade de melhorar, assim, esse setor, aumentando a qualidade de vida e reduzindo desigualdades sociais (AIE, 2002; Costa e Prates, 2005). Mais especificamente, o investimento em energia eólica está associado ao aumento de renda dos pequenos proprietários de terras em regiões ermas do Brasil. Isto se deve aos arrendamentos de suas terras para a instalação de torres eólicas (ABEEL, 2014).</w:t>
      </w:r>
    </w:p>
    <w:p w:rsidR="00D97D63" w:rsidRDefault="00D97D63" w:rsidP="00D97D63">
      <w:pPr>
        <w:pStyle w:val="BNDES"/>
      </w:pPr>
    </w:p>
    <w:p w:rsidR="00D97D63" w:rsidRDefault="00D97D63" w:rsidP="005F5D32">
      <w:pPr>
        <w:pStyle w:val="BNDES"/>
        <w:ind w:firstLine="709"/>
      </w:pPr>
      <w:r>
        <w:t>Na literatura há uma crescente série de estudos empíricos que procuraram</w:t>
      </w:r>
      <w:r w:rsidR="002835FB">
        <w:t xml:space="preserve"> </w:t>
      </w:r>
      <w:r>
        <w:t>medir o impacto de usinas eólicas</w:t>
      </w:r>
      <w:r w:rsidR="002835FB">
        <w:t xml:space="preserve"> </w:t>
      </w:r>
      <w:r>
        <w:t>em</w:t>
      </w:r>
      <w:r w:rsidR="002835FB">
        <w:t xml:space="preserve"> </w:t>
      </w:r>
      <w:r>
        <w:t xml:space="preserve">nível local no Brasil. </w:t>
      </w:r>
      <w:proofErr w:type="spellStart"/>
      <w:r>
        <w:t>Simas</w:t>
      </w:r>
      <w:proofErr w:type="spellEnd"/>
      <w:r>
        <w:t xml:space="preserve"> (2012) procurou verificar a contribuição da energia eólica para a geração de empregos no Brasil, tomando como base de dados primários uma série de entrevistas com dezoito parques eólicos e empresas de componentes para o setor e utilizando uma análise baseada em matriz insumo-produto. O trabalho chegou à conclusão que o setor de energia eólica tem o potencial de geração de 330 mil empregos até 2020, principalmente no setor de construção.</w:t>
      </w:r>
    </w:p>
    <w:p w:rsidR="00D97D63" w:rsidRDefault="00D97D63" w:rsidP="00D97D63">
      <w:pPr>
        <w:pStyle w:val="BNDES"/>
      </w:pPr>
    </w:p>
    <w:p w:rsidR="00D97D63" w:rsidRDefault="00D97D63" w:rsidP="005F5D32">
      <w:pPr>
        <w:pStyle w:val="BNDES"/>
        <w:ind w:firstLine="709"/>
      </w:pPr>
      <w:r>
        <w:t>Estudando especificamente os efeitos em nível municipal, Resende (2015) procurou verificar o impacto da construção de usinas eólicas sobre os preços dos alugueis nos entornos. O trabalhou utilizou dados do Censo Demográfico (IBGE) de 1991 e 2010 para cobrir dezoito municípios que receberam alguma usina eólica entre esses anos. Por meio da metodologia do controle sintético, o estudo concluiu que os alugueis ficaram 8,3% mais caros nos municípios que receberam usinas eólicas do que foi previsto pelo grupo de controle.</w:t>
      </w:r>
    </w:p>
    <w:p w:rsidR="00D97D63" w:rsidRDefault="00D97D63" w:rsidP="00D97D63">
      <w:pPr>
        <w:pStyle w:val="BNDES"/>
      </w:pPr>
    </w:p>
    <w:p w:rsidR="00D97D63" w:rsidRDefault="00D97D63" w:rsidP="005F5D32">
      <w:pPr>
        <w:pStyle w:val="BNDES"/>
        <w:ind w:firstLine="709"/>
      </w:pPr>
      <w:r>
        <w:t xml:space="preserve">Especificamente para os municípios da Região Nordeste, Rodrigues </w:t>
      </w:r>
      <w:proofErr w:type="gramStart"/>
      <w:r>
        <w:t>et</w:t>
      </w:r>
      <w:proofErr w:type="gramEnd"/>
      <w:r>
        <w:t xml:space="preserve"> al (2016) procurou analisar o impacto dos parques eólicos no nível de emprego, na massa salarial e no número de firmas em cada unidade. A análise partiu do cruzamento entre dados da ANEEL com dados de mercado de trabalho da </w:t>
      </w:r>
      <w:r>
        <w:lastRenderedPageBreak/>
        <w:t>Relação Anual de Informações Sociais (RAIS), do Ministério do Trabalho. Por meio de um pareamento por escore de propensão, o estudo verificou que os municípios com usinas eólicas apresentaram maior massa salarial e número de firmas que as demais, ao passo que o efeito sobre o emprego não foi significante.</w:t>
      </w:r>
    </w:p>
    <w:p w:rsidR="00D97D63" w:rsidRDefault="00D97D63" w:rsidP="00D97D63">
      <w:pPr>
        <w:pStyle w:val="BNDES"/>
      </w:pPr>
    </w:p>
    <w:p w:rsidR="00D97D63" w:rsidRDefault="00D97D63" w:rsidP="005F5D32">
      <w:pPr>
        <w:pStyle w:val="BNDES"/>
        <w:ind w:firstLine="709"/>
      </w:pPr>
      <w:r>
        <w:t xml:space="preserve">Já para o caso da Região Sul, </w:t>
      </w:r>
      <w:proofErr w:type="spellStart"/>
      <w:r>
        <w:t>Rintzel</w:t>
      </w:r>
      <w:proofErr w:type="spellEnd"/>
      <w:r>
        <w:t xml:space="preserve"> </w:t>
      </w:r>
      <w:proofErr w:type="gramStart"/>
      <w:r>
        <w:t>et</w:t>
      </w:r>
      <w:proofErr w:type="gramEnd"/>
      <w:r>
        <w:t xml:space="preserve"> al (2017) cruzou dados de mercado de trabalho da RAIS com dados de valor adicionado desagregado por grandes setores do IBGE e informações de receitas de impostos do Sistema de Coleta de Dados Contábeis e Fiscais dos Entes da Federação (SISTN) em 1999, 2006 e 2013. O estudo procurou verificar efeitos da instalação de parques eólicos nos municípios por meio do método estrutural diferencial, o qual é baseado na comparação do desempenho dos municípios tratados com a média da região para cada variável. O trabalho verificou resultados positivos para todas as variáveis, especialmente para o nível de emprego.</w:t>
      </w:r>
    </w:p>
    <w:p w:rsidR="00D97D63" w:rsidRDefault="00D97D63" w:rsidP="00D97D63">
      <w:pPr>
        <w:pStyle w:val="BNDES"/>
      </w:pPr>
    </w:p>
    <w:p w:rsidR="00D97D63" w:rsidRDefault="00D97D63" w:rsidP="005F5D32">
      <w:pPr>
        <w:pStyle w:val="BNDES"/>
        <w:ind w:firstLine="709"/>
      </w:pPr>
      <w:r>
        <w:t xml:space="preserve">Ou seja, os estudos empíricos levantados destacaram potenciais efeitos positivos da construção de usinas eólicas nas suas localidades. Todavia, esses estudos observaram casos específicos e não </w:t>
      </w:r>
      <w:proofErr w:type="gramStart"/>
      <w:r>
        <w:t>controlaram</w:t>
      </w:r>
      <w:proofErr w:type="gramEnd"/>
      <w:r>
        <w:t xml:space="preserve"> o problema da micronumerosidade de casos tratados, o que compromete </w:t>
      </w:r>
      <w:r w:rsidR="00FA2555">
        <w:t xml:space="preserve">inferências estatísticas sobre </w:t>
      </w:r>
      <w:r>
        <w:t>a avaliação. O único estudo que tratou esse problema pelo método do controle sintético trabalhou com apenas um ponto no período pré-tratamento, de modo que suas previsões podem não ter consistência. Dessa maneira, a contribuição do presente trabalho é exatamente utilizar uma metodologia apropriada para avaliação com poucos tratados, valendo-se de ampla disponibilidade de dados para melhor verificar o impacto da construção de usinas eólicas nos municípios brasileiros.</w:t>
      </w:r>
    </w:p>
    <w:p w:rsidR="00AD5A1D" w:rsidRDefault="00AD5A1D" w:rsidP="005F5D32">
      <w:pPr>
        <w:pStyle w:val="BNDES"/>
        <w:ind w:firstLine="709"/>
      </w:pPr>
    </w:p>
    <w:p w:rsidR="00AD5A1D" w:rsidRDefault="00AD5A1D" w:rsidP="00AD5A1D">
      <w:pPr>
        <w:pStyle w:val="BNDES"/>
      </w:pPr>
      <w:r>
        <w:tab/>
        <w:t xml:space="preserve">Nesse levantamento da literatura empírica, é importante destacar o trabalho de Assunção </w:t>
      </w:r>
      <w:proofErr w:type="gramStart"/>
      <w:r>
        <w:t>et</w:t>
      </w:r>
      <w:proofErr w:type="gramEnd"/>
      <w:r>
        <w:t xml:space="preserve"> al (2016), o qual, ainda que tenha focado em usinas hidrelétricas, foi a principal inspiração metodológica do presente artigo. Esse trabalho procurou avaliar os efeitos da construção de usinas hidrelétricas em 82 municípios brasileiros entre 2002 e 2011 em uma série de indicadores socioeconômicos municipais, tais como PIB per capita, taxa de crescimento do PIB, número de empregos formais, número de </w:t>
      </w:r>
      <w:proofErr w:type="gramStart"/>
      <w:r>
        <w:t>empresas formais e tamanho da população</w:t>
      </w:r>
      <w:proofErr w:type="gramEnd"/>
      <w:r>
        <w:t>. Os autores utilizaram a metodologia</w:t>
      </w:r>
      <w:r w:rsidR="00AC24E5">
        <w:t xml:space="preserve"> do controle sintético, a qual, por basear-se na construção de 82 estudos de caso comparáveis, permite a estimação </w:t>
      </w:r>
      <w:r w:rsidR="00F55C9D">
        <w:t>d</w:t>
      </w:r>
      <w:r w:rsidR="00AC24E5">
        <w:t>os efeitos dinâmicos desde o início da construção das usinas, assim como o cálculo do efeito mediano da construção e a distribuição desses efeitos por ano, no curto e no médio prazo. O estudo observou que o impacto da construção das usinas hidrelétricas é estimulado apenas no curto prazo, tendendo a zero no 5º ano após o início das obras. O único impacto de médio prazo foi observado no nível de emprego formal no município. Por fim, os impactos nos municípios são muito heterogêneos, em todos os indicadores estimados.</w:t>
      </w:r>
    </w:p>
    <w:p w:rsidR="00AC24E5" w:rsidRDefault="00AC24E5" w:rsidP="00AD5A1D">
      <w:pPr>
        <w:pStyle w:val="BNDES"/>
      </w:pPr>
    </w:p>
    <w:p w:rsidR="00D97D63" w:rsidRDefault="00D97D63" w:rsidP="005F5D32">
      <w:pPr>
        <w:pStyle w:val="BNDES"/>
        <w:ind w:firstLine="709"/>
        <w:rPr>
          <w:b/>
        </w:rPr>
      </w:pPr>
      <w:r w:rsidRPr="005F5D32">
        <w:rPr>
          <w:b/>
        </w:rPr>
        <w:t xml:space="preserve">3. </w:t>
      </w:r>
      <w:r w:rsidR="009823D9">
        <w:rPr>
          <w:b/>
        </w:rPr>
        <w:t>Base</w:t>
      </w:r>
      <w:r w:rsidRPr="005F5D32">
        <w:rPr>
          <w:b/>
        </w:rPr>
        <w:t xml:space="preserve"> </w:t>
      </w:r>
      <w:r w:rsidR="009823D9">
        <w:rPr>
          <w:b/>
        </w:rPr>
        <w:t>d</w:t>
      </w:r>
      <w:r w:rsidRPr="005F5D32">
        <w:rPr>
          <w:b/>
        </w:rPr>
        <w:t>e Dados</w:t>
      </w:r>
    </w:p>
    <w:p w:rsidR="0036629A" w:rsidRDefault="0036629A" w:rsidP="0036629A">
      <w:pPr>
        <w:pStyle w:val="BNDES"/>
        <w:rPr>
          <w:b/>
        </w:rPr>
      </w:pPr>
    </w:p>
    <w:p w:rsidR="00B51684" w:rsidRDefault="006148FD" w:rsidP="006148FD">
      <w:pPr>
        <w:pStyle w:val="BNDES"/>
        <w:ind w:firstLine="709"/>
      </w:pPr>
      <w:r>
        <w:t xml:space="preserve">Com o objetivo de verificar possíveis efeitos </w:t>
      </w:r>
      <w:r w:rsidR="00D12B40">
        <w:t xml:space="preserve">locais </w:t>
      </w:r>
      <w:r>
        <w:t>da política de construção de usinas eólicas</w:t>
      </w:r>
      <w:r w:rsidR="00D12B40">
        <w:t xml:space="preserve"> no Brasil</w:t>
      </w:r>
      <w:r>
        <w:t>, o presente trabalho</w:t>
      </w:r>
      <w:r w:rsidR="00F00260">
        <w:t xml:space="preserve"> </w:t>
      </w:r>
      <w:r>
        <w:t>utilizou</w:t>
      </w:r>
      <w:r w:rsidR="00F00260">
        <w:t xml:space="preserve"> uma </w:t>
      </w:r>
      <w:r>
        <w:t xml:space="preserve">extensa </w:t>
      </w:r>
      <w:r w:rsidR="00F00260">
        <w:t>base de dados dos municípios brasileiros. Essa base é uma consolidação de informações de diversas fontes, que serão descritas a seguir. A base municipal conta com um total de 250 variáveis numéricas que podem servir como indicadores de interesse ou covariadas para as estimações de controle sintético.</w:t>
      </w:r>
      <w:r>
        <w:t xml:space="preserve"> Essas </w:t>
      </w:r>
      <w:r w:rsidR="00B51684">
        <w:t>variáveis são provenientes de 12 fontes diferentes de informações municipais:</w:t>
      </w:r>
    </w:p>
    <w:p w:rsidR="00B51684" w:rsidRDefault="00B51684" w:rsidP="00B51684">
      <w:pPr>
        <w:pStyle w:val="BNDES"/>
        <w:ind w:firstLine="709"/>
      </w:pPr>
    </w:p>
    <w:p w:rsidR="00B51684" w:rsidRDefault="00B51684" w:rsidP="00B51684">
      <w:pPr>
        <w:pStyle w:val="BNDES"/>
        <w:ind w:firstLine="709"/>
      </w:pPr>
      <w:r>
        <w:t xml:space="preserve">- O </w:t>
      </w:r>
      <w:r w:rsidRPr="007F0DC7">
        <w:t>Sistema de Informações sobre Mortalidade</w:t>
      </w:r>
      <w:r>
        <w:t xml:space="preserve"> (SIM), do Departamento de Informática do Sistema Único de Saúde (DATASUS), com dados de causas de mortes; </w:t>
      </w:r>
    </w:p>
    <w:p w:rsidR="00B51684" w:rsidRDefault="00B51684" w:rsidP="00B51684">
      <w:pPr>
        <w:pStyle w:val="BNDES"/>
        <w:ind w:firstLine="709"/>
      </w:pPr>
    </w:p>
    <w:p w:rsidR="00B51684" w:rsidRDefault="00B51684" w:rsidP="00B51684">
      <w:pPr>
        <w:pStyle w:val="BNDES"/>
        <w:ind w:firstLine="709"/>
      </w:pPr>
      <w:r>
        <w:t xml:space="preserve">- O </w:t>
      </w:r>
      <w:r w:rsidRPr="007F0DC7">
        <w:t>Cadastro Nacional de Estabelecimentos de Saúde</w:t>
      </w:r>
      <w:r>
        <w:t xml:space="preserve"> (CNES), também do DATASUS, com informações sobre número de estabelecimentos e equipamentos de saúde;</w:t>
      </w:r>
    </w:p>
    <w:p w:rsidR="00B51684" w:rsidRDefault="00B51684" w:rsidP="00B51684">
      <w:pPr>
        <w:pStyle w:val="BNDES"/>
        <w:ind w:firstLine="709"/>
      </w:pPr>
    </w:p>
    <w:p w:rsidR="00BA3BA0" w:rsidRDefault="00B51684" w:rsidP="00B51684">
      <w:pPr>
        <w:pStyle w:val="BNDES"/>
        <w:ind w:firstLine="709"/>
      </w:pPr>
      <w:r>
        <w:lastRenderedPageBreak/>
        <w:t>- Informações de economia e população do Instituto Brasileiro de Geografia e Estatística (IBGE)</w:t>
      </w:r>
      <w:r w:rsidR="00BA3BA0">
        <w:t>, incluindo o PIB do município e sua desagregação nos setores de agropecuária, indústria, serviços e administração pública, tanto em proporção, quanto em valor agregado</w:t>
      </w:r>
      <w:r>
        <w:t xml:space="preserve">; </w:t>
      </w:r>
    </w:p>
    <w:p w:rsidR="00BA3BA0" w:rsidRDefault="00BA3BA0" w:rsidP="00B51684">
      <w:pPr>
        <w:pStyle w:val="BNDES"/>
        <w:ind w:firstLine="709"/>
      </w:pPr>
    </w:p>
    <w:p w:rsidR="00BA3BA0" w:rsidRDefault="00BA3BA0" w:rsidP="00B51684">
      <w:pPr>
        <w:pStyle w:val="BNDES"/>
        <w:ind w:firstLine="709"/>
      </w:pPr>
      <w:r>
        <w:t>- I</w:t>
      </w:r>
      <w:r w:rsidR="00B51684">
        <w:t xml:space="preserve">nformações da </w:t>
      </w:r>
      <w:r w:rsidR="00B51684" w:rsidRPr="00D45BD3">
        <w:t>Estatística Bancária por Município</w:t>
      </w:r>
      <w:r w:rsidR="00B51684">
        <w:t xml:space="preserve"> (ESTBAN)</w:t>
      </w:r>
      <w:r w:rsidR="00826409">
        <w:t>, incluindo o número de agências bancárias e o montante de empréstimos, financiamentos e outras operações bancárias, além do ativo e passivo total do setor</w:t>
      </w:r>
      <w:r w:rsidR="00B51684">
        <w:t xml:space="preserve">; </w:t>
      </w:r>
    </w:p>
    <w:p w:rsidR="00BA3BA0" w:rsidRDefault="00BA3BA0" w:rsidP="00B51684">
      <w:pPr>
        <w:pStyle w:val="BNDES"/>
        <w:ind w:firstLine="709"/>
      </w:pPr>
    </w:p>
    <w:p w:rsidR="00BA3BA0" w:rsidRDefault="00BA3BA0" w:rsidP="00B51684">
      <w:pPr>
        <w:pStyle w:val="BNDES"/>
        <w:ind w:firstLine="709"/>
      </w:pPr>
      <w:r>
        <w:t>- I</w:t>
      </w:r>
      <w:r w:rsidR="00B51684">
        <w:t xml:space="preserve">nformações sobre importações e exportações da </w:t>
      </w:r>
      <w:r w:rsidR="00B51684" w:rsidRPr="00D45BD3">
        <w:t>Secretaria de Comércio Exterior (SECEX), órgão do Ministério do Desenvolvimento, Indústria e Comércio Exterior</w:t>
      </w:r>
      <w:r w:rsidR="00B51684">
        <w:t xml:space="preserve"> (MDIC); </w:t>
      </w:r>
    </w:p>
    <w:p w:rsidR="00BA3BA0" w:rsidRDefault="00BA3BA0" w:rsidP="00B51684">
      <w:pPr>
        <w:pStyle w:val="BNDES"/>
        <w:ind w:firstLine="709"/>
      </w:pPr>
    </w:p>
    <w:p w:rsidR="00BA3BA0" w:rsidRDefault="00BA3BA0" w:rsidP="00B51684">
      <w:pPr>
        <w:pStyle w:val="BNDES"/>
        <w:ind w:firstLine="709"/>
      </w:pPr>
      <w:r>
        <w:t>- I</w:t>
      </w:r>
      <w:r w:rsidR="00B51684">
        <w:t xml:space="preserve">nformações sobre desmatamento e cobertura florestal na Amazônia Legal do </w:t>
      </w:r>
      <w:r w:rsidR="00B51684" w:rsidRPr="00D45BD3">
        <w:t>Instituto Nacional de Pesquisas Espaciais</w:t>
      </w:r>
      <w:r w:rsidR="00B51684">
        <w:t xml:space="preserve"> (INPE); </w:t>
      </w:r>
    </w:p>
    <w:p w:rsidR="00BA3BA0" w:rsidRDefault="00BA3BA0" w:rsidP="00B51684">
      <w:pPr>
        <w:pStyle w:val="BNDES"/>
        <w:ind w:firstLine="709"/>
      </w:pPr>
    </w:p>
    <w:p w:rsidR="00BA3BA0" w:rsidRDefault="00BA3BA0" w:rsidP="00B51684">
      <w:pPr>
        <w:pStyle w:val="BNDES"/>
        <w:ind w:firstLine="709"/>
      </w:pPr>
      <w:r>
        <w:t xml:space="preserve">- </w:t>
      </w:r>
      <w:r w:rsidR="00B51684">
        <w:t xml:space="preserve">A </w:t>
      </w:r>
      <w:r w:rsidR="00B51684" w:rsidRPr="003A2180">
        <w:t>Relação Anual de Informações Sociais</w:t>
      </w:r>
      <w:r w:rsidR="00B51684">
        <w:t xml:space="preserve"> (RAIS), do Ministério do Trabalho e Emprego, com informações sobre número de empregados</w:t>
      </w:r>
      <w:r>
        <w:t>, vínculos empregatícios e de estabelecimentos</w:t>
      </w:r>
      <w:r w:rsidR="00B51684">
        <w:t xml:space="preserve">, salário médio e </w:t>
      </w:r>
      <w:r>
        <w:t>idade</w:t>
      </w:r>
      <w:r w:rsidR="00B51684">
        <w:t xml:space="preserve"> média dos empregados, com informações consolidadas em nível municipal; </w:t>
      </w:r>
    </w:p>
    <w:p w:rsidR="00BA3BA0" w:rsidRDefault="00BA3BA0" w:rsidP="00B51684">
      <w:pPr>
        <w:pStyle w:val="BNDES"/>
        <w:ind w:firstLine="709"/>
      </w:pPr>
    </w:p>
    <w:p w:rsidR="00BA3BA0" w:rsidRDefault="00BA3BA0" w:rsidP="00B51684">
      <w:pPr>
        <w:pStyle w:val="BNDES"/>
        <w:ind w:firstLine="709"/>
      </w:pPr>
      <w:r>
        <w:t>- I</w:t>
      </w:r>
      <w:r w:rsidR="00B51684">
        <w:t>nformações financeiras dos municípios (</w:t>
      </w:r>
      <w:proofErr w:type="spellStart"/>
      <w:proofErr w:type="gramStart"/>
      <w:r w:rsidR="00B51684">
        <w:t>FinBra</w:t>
      </w:r>
      <w:proofErr w:type="spellEnd"/>
      <w:proofErr w:type="gramEnd"/>
      <w:r w:rsidR="00B51684">
        <w:t xml:space="preserve">), </w:t>
      </w:r>
      <w:r w:rsidR="00B51684" w:rsidRPr="00D7010A">
        <w:t>banco de dados criado pela Secretaria do Tesouro Nacional</w:t>
      </w:r>
      <w:r w:rsidR="00B51684">
        <w:t xml:space="preserve"> (STN)</w:t>
      </w:r>
      <w:r w:rsidR="00B51684" w:rsidRPr="00D7010A">
        <w:t>, em convênio com a Caixa Econômica Federal</w:t>
      </w:r>
      <w:r w:rsidR="00B51684">
        <w:t xml:space="preserve"> (CEF)</w:t>
      </w:r>
      <w:r w:rsidR="00826409">
        <w:t>. Essa base inclui informações sobre receitas e despesas públicas desagregadas por função. Inclui também ativos, passivos, patrimônio líquido e resultados acumulados da administração pública</w:t>
      </w:r>
      <w:r w:rsidR="00B51684">
        <w:t xml:space="preserve">; </w:t>
      </w:r>
    </w:p>
    <w:p w:rsidR="00BA3BA0" w:rsidRDefault="00BA3BA0" w:rsidP="00B51684">
      <w:pPr>
        <w:pStyle w:val="BNDES"/>
        <w:ind w:firstLine="709"/>
      </w:pPr>
    </w:p>
    <w:p w:rsidR="00BA3BA0" w:rsidRDefault="00BA3BA0" w:rsidP="00B51684">
      <w:pPr>
        <w:pStyle w:val="BNDES"/>
        <w:ind w:firstLine="709"/>
      </w:pPr>
      <w:r>
        <w:t>- D</w:t>
      </w:r>
      <w:r w:rsidR="00B51684">
        <w:t>ados do Censo Escolar</w:t>
      </w:r>
      <w:r>
        <w:t>,</w:t>
      </w:r>
      <w:r w:rsidR="00B51684">
        <w:t xml:space="preserve"> do </w:t>
      </w:r>
      <w:r w:rsidR="00B51684" w:rsidRPr="00487F0E">
        <w:t>Instituto Nacional de Estudos e Pesquisas</w:t>
      </w:r>
      <w:r w:rsidR="00B51684">
        <w:t xml:space="preserve"> (INEP)</w:t>
      </w:r>
      <w:r>
        <w:t>, com informações sobre número de escolas, turmas e alunos matriculados, assim como sua média de idade;</w:t>
      </w:r>
    </w:p>
    <w:p w:rsidR="00BA3BA0" w:rsidRDefault="00BA3BA0" w:rsidP="00B51684">
      <w:pPr>
        <w:pStyle w:val="BNDES"/>
        <w:ind w:firstLine="709"/>
      </w:pPr>
    </w:p>
    <w:p w:rsidR="00BA3BA0" w:rsidRDefault="00BA3BA0" w:rsidP="00BA3BA0">
      <w:pPr>
        <w:pStyle w:val="BNDES"/>
        <w:ind w:firstLine="709"/>
      </w:pPr>
      <w:r>
        <w:t>- Dados do Censo do Ensino Superior, também do INEP, com informações sobre o número de estabelecimentos e de alunos, distribuídos por turno e por condição (entrantes ou concluintes), assim como sua média de idade;</w:t>
      </w:r>
    </w:p>
    <w:p w:rsidR="00556118" w:rsidRDefault="00556118" w:rsidP="00BA3BA0">
      <w:pPr>
        <w:pStyle w:val="BNDES"/>
        <w:ind w:firstLine="709"/>
      </w:pPr>
    </w:p>
    <w:p w:rsidR="00556118" w:rsidRDefault="00556118" w:rsidP="00BA3BA0">
      <w:pPr>
        <w:pStyle w:val="BNDES"/>
        <w:ind w:firstLine="709"/>
      </w:pPr>
      <w:r>
        <w:t xml:space="preserve">- Dados do </w:t>
      </w:r>
      <w:r w:rsidRPr="00556118">
        <w:t>Sistema Nacional de Informações sobre Saneamento</w:t>
      </w:r>
      <w:r>
        <w:t xml:space="preserve"> (SNIS) sobre os sistemas de água, esgoto e coleta de resíduos e o acesso aos mesmos. </w:t>
      </w:r>
    </w:p>
    <w:p w:rsidR="00BA3BA0" w:rsidRDefault="00BA3BA0" w:rsidP="00B51684">
      <w:pPr>
        <w:pStyle w:val="BNDES"/>
        <w:ind w:firstLine="709"/>
      </w:pPr>
    </w:p>
    <w:p w:rsidR="00B51684" w:rsidRDefault="00BA3BA0" w:rsidP="00B51684">
      <w:pPr>
        <w:pStyle w:val="BNDES"/>
        <w:ind w:firstLine="709"/>
      </w:pPr>
      <w:r>
        <w:t xml:space="preserve">- </w:t>
      </w:r>
      <w:r w:rsidR="00B51684">
        <w:t>Além disso, a base municipal conta com variáveis derivadas, construídas a partir do cruzamento de dois ou mais indicadores de diferentes fontes.</w:t>
      </w:r>
      <w:r>
        <w:t xml:space="preserve"> A maior parte dessas variáveis indicam valores integrais como proporção da população, das receitas do governo ou da área do município. Por exemplo, tem-se o PIB per capita, as despesas com habitação como proporção da receita corrente líquida da prefeitura, a área desmatada sobre a área total e a densidade demográfica do município.</w:t>
      </w:r>
    </w:p>
    <w:p w:rsidR="00556118" w:rsidRDefault="00556118" w:rsidP="00B51684">
      <w:pPr>
        <w:pStyle w:val="BNDES"/>
        <w:ind w:firstLine="709"/>
      </w:pPr>
    </w:p>
    <w:p w:rsidR="00556118" w:rsidRDefault="00556118" w:rsidP="00B51684">
      <w:pPr>
        <w:pStyle w:val="BNDES"/>
        <w:ind w:firstLine="709"/>
      </w:pPr>
      <w:r>
        <w:t xml:space="preserve">As principais informações sobre essas fontes de dados estão registradas na Tabela </w:t>
      </w:r>
      <w:r w:rsidR="004066C8">
        <w:t>1</w:t>
      </w:r>
      <w:r>
        <w:t>.</w:t>
      </w:r>
      <w:r w:rsidR="00296C59">
        <w:t xml:space="preserve"> Nessa tabela estão representados, por fonte de dados, o número de variáveis, o menor ano inicial</w:t>
      </w:r>
      <w:r w:rsidR="004E2C88">
        <w:t xml:space="preserve"> de cobertura</w:t>
      </w:r>
      <w:r w:rsidR="00296C59">
        <w:t>, o maior ano final e as médias de preenchimento, tanto das variáveis em si como a proporção dos municípios cobertos com pelo menos uma observação.</w:t>
      </w:r>
    </w:p>
    <w:p w:rsidR="008712DC" w:rsidRDefault="008712DC" w:rsidP="00B51684">
      <w:pPr>
        <w:pStyle w:val="BNDES"/>
        <w:ind w:firstLine="709"/>
      </w:pPr>
    </w:p>
    <w:p w:rsidR="008712DC" w:rsidRDefault="008712DC" w:rsidP="00B51684">
      <w:pPr>
        <w:pStyle w:val="BNDES"/>
        <w:ind w:firstLine="709"/>
      </w:pPr>
    </w:p>
    <w:p w:rsidR="008712DC" w:rsidRDefault="008712DC" w:rsidP="00B51684">
      <w:pPr>
        <w:pStyle w:val="BNDES"/>
        <w:ind w:firstLine="709"/>
      </w:pPr>
    </w:p>
    <w:p w:rsidR="008712DC" w:rsidRDefault="008712DC" w:rsidP="00B51684">
      <w:pPr>
        <w:pStyle w:val="BNDES"/>
        <w:ind w:firstLine="709"/>
      </w:pPr>
    </w:p>
    <w:p w:rsidR="008712DC" w:rsidRDefault="008712DC" w:rsidP="00B51684">
      <w:pPr>
        <w:pStyle w:val="BNDES"/>
        <w:ind w:firstLine="709"/>
      </w:pPr>
    </w:p>
    <w:p w:rsidR="008712DC" w:rsidRDefault="008712DC" w:rsidP="00B51684">
      <w:pPr>
        <w:pStyle w:val="BNDES"/>
        <w:ind w:firstLine="709"/>
      </w:pPr>
    </w:p>
    <w:p w:rsidR="008712DC" w:rsidRDefault="008712DC" w:rsidP="00B51684">
      <w:pPr>
        <w:pStyle w:val="BNDES"/>
        <w:ind w:firstLine="709"/>
      </w:pPr>
    </w:p>
    <w:p w:rsidR="008712DC" w:rsidRDefault="008712DC" w:rsidP="00B51684">
      <w:pPr>
        <w:pStyle w:val="BNDES"/>
        <w:ind w:firstLine="709"/>
      </w:pPr>
    </w:p>
    <w:p w:rsidR="00556118" w:rsidRDefault="00556118" w:rsidP="00B51684">
      <w:pPr>
        <w:pStyle w:val="BNDES"/>
        <w:ind w:firstLine="709"/>
      </w:pPr>
    </w:p>
    <w:p w:rsidR="00556118" w:rsidRPr="00296C59" w:rsidRDefault="00556118" w:rsidP="00556118">
      <w:pPr>
        <w:pStyle w:val="BNDES"/>
        <w:jc w:val="center"/>
        <w:rPr>
          <w:b/>
        </w:rPr>
      </w:pPr>
      <w:r w:rsidRPr="00296C59">
        <w:rPr>
          <w:b/>
        </w:rPr>
        <w:lastRenderedPageBreak/>
        <w:t xml:space="preserve">Tabela </w:t>
      </w:r>
      <w:r w:rsidR="004066C8">
        <w:rPr>
          <w:b/>
        </w:rPr>
        <w:t>1</w:t>
      </w:r>
      <w:r w:rsidRPr="00296C59">
        <w:rPr>
          <w:b/>
        </w:rPr>
        <w:t>: Informações Gerais sobre as Fontes das Variáveis Municipais</w:t>
      </w:r>
    </w:p>
    <w:tbl>
      <w:tblPr>
        <w:tblW w:w="8376" w:type="dxa"/>
        <w:jc w:val="center"/>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0"/>
        <w:gridCol w:w="1114"/>
        <w:gridCol w:w="1060"/>
        <w:gridCol w:w="940"/>
        <w:gridCol w:w="1687"/>
        <w:gridCol w:w="1835"/>
      </w:tblGrid>
      <w:tr w:rsidR="00556118" w:rsidRPr="00556118" w:rsidTr="00556118">
        <w:trPr>
          <w:trHeight w:val="300"/>
          <w:jc w:val="center"/>
        </w:trPr>
        <w:tc>
          <w:tcPr>
            <w:tcW w:w="1740" w:type="dxa"/>
            <w:shd w:val="clear" w:color="auto" w:fill="auto"/>
            <w:noWrap/>
            <w:vAlign w:val="bottom"/>
            <w:hideMark/>
          </w:tcPr>
          <w:p w:rsidR="00556118" w:rsidRPr="00556118" w:rsidRDefault="00556118" w:rsidP="00556118">
            <w:pPr>
              <w:jc w:val="center"/>
              <w:rPr>
                <w:rFonts w:asciiTheme="minorHAnsi" w:hAnsiTheme="minorHAnsi" w:cstheme="minorHAnsi"/>
                <w:b/>
                <w:color w:val="000000"/>
              </w:rPr>
            </w:pPr>
            <w:r w:rsidRPr="00556118">
              <w:rPr>
                <w:rFonts w:asciiTheme="minorHAnsi" w:hAnsiTheme="minorHAnsi" w:cstheme="minorHAnsi"/>
                <w:b/>
                <w:color w:val="000000"/>
              </w:rPr>
              <w:t>Fonte</w:t>
            </w:r>
          </w:p>
        </w:tc>
        <w:tc>
          <w:tcPr>
            <w:tcW w:w="1114" w:type="dxa"/>
            <w:shd w:val="clear" w:color="auto" w:fill="auto"/>
            <w:noWrap/>
            <w:vAlign w:val="bottom"/>
            <w:hideMark/>
          </w:tcPr>
          <w:p w:rsidR="00556118" w:rsidRPr="00556118" w:rsidRDefault="00556118" w:rsidP="00556118">
            <w:pPr>
              <w:jc w:val="center"/>
              <w:rPr>
                <w:rFonts w:asciiTheme="minorHAnsi" w:hAnsiTheme="minorHAnsi" w:cstheme="minorHAnsi"/>
                <w:b/>
                <w:color w:val="000000"/>
              </w:rPr>
            </w:pPr>
            <w:r>
              <w:rPr>
                <w:rFonts w:asciiTheme="minorHAnsi" w:hAnsiTheme="minorHAnsi" w:cstheme="minorHAnsi"/>
                <w:b/>
                <w:color w:val="000000"/>
              </w:rPr>
              <w:t>Variáveis</w:t>
            </w:r>
          </w:p>
        </w:tc>
        <w:tc>
          <w:tcPr>
            <w:tcW w:w="1060" w:type="dxa"/>
            <w:shd w:val="clear" w:color="auto" w:fill="auto"/>
            <w:noWrap/>
            <w:vAlign w:val="bottom"/>
            <w:hideMark/>
          </w:tcPr>
          <w:p w:rsidR="00556118" w:rsidRPr="00556118" w:rsidRDefault="00556118" w:rsidP="00556118">
            <w:pPr>
              <w:jc w:val="center"/>
              <w:rPr>
                <w:rFonts w:asciiTheme="minorHAnsi" w:hAnsiTheme="minorHAnsi" w:cstheme="minorHAnsi"/>
                <w:b/>
                <w:color w:val="000000"/>
              </w:rPr>
            </w:pPr>
            <w:r w:rsidRPr="00556118">
              <w:rPr>
                <w:rFonts w:asciiTheme="minorHAnsi" w:hAnsiTheme="minorHAnsi" w:cstheme="minorHAnsi"/>
                <w:b/>
                <w:color w:val="000000"/>
              </w:rPr>
              <w:t>Ano Inicial</w:t>
            </w:r>
          </w:p>
        </w:tc>
        <w:tc>
          <w:tcPr>
            <w:tcW w:w="940" w:type="dxa"/>
            <w:shd w:val="clear" w:color="auto" w:fill="auto"/>
            <w:noWrap/>
            <w:vAlign w:val="bottom"/>
            <w:hideMark/>
          </w:tcPr>
          <w:p w:rsidR="00556118" w:rsidRPr="00556118" w:rsidRDefault="00556118" w:rsidP="00556118">
            <w:pPr>
              <w:jc w:val="center"/>
              <w:rPr>
                <w:rFonts w:asciiTheme="minorHAnsi" w:hAnsiTheme="minorHAnsi" w:cstheme="minorHAnsi"/>
                <w:b/>
                <w:color w:val="000000"/>
              </w:rPr>
            </w:pPr>
            <w:r w:rsidRPr="00556118">
              <w:rPr>
                <w:rFonts w:asciiTheme="minorHAnsi" w:hAnsiTheme="minorHAnsi" w:cstheme="minorHAnsi"/>
                <w:b/>
                <w:color w:val="000000"/>
              </w:rPr>
              <w:t>Ano Final</w:t>
            </w:r>
          </w:p>
        </w:tc>
        <w:tc>
          <w:tcPr>
            <w:tcW w:w="1687" w:type="dxa"/>
            <w:shd w:val="clear" w:color="auto" w:fill="auto"/>
            <w:noWrap/>
            <w:vAlign w:val="bottom"/>
            <w:hideMark/>
          </w:tcPr>
          <w:p w:rsidR="00556118" w:rsidRPr="00556118" w:rsidRDefault="00556118" w:rsidP="00556118">
            <w:pPr>
              <w:jc w:val="center"/>
              <w:rPr>
                <w:rFonts w:asciiTheme="minorHAnsi" w:hAnsiTheme="minorHAnsi" w:cstheme="minorHAnsi"/>
                <w:b/>
                <w:color w:val="000000"/>
              </w:rPr>
            </w:pPr>
            <w:r w:rsidRPr="00556118">
              <w:rPr>
                <w:rFonts w:asciiTheme="minorHAnsi" w:hAnsiTheme="minorHAnsi" w:cstheme="minorHAnsi"/>
                <w:b/>
                <w:color w:val="000000"/>
              </w:rPr>
              <w:t>Preenchimento (%)</w:t>
            </w:r>
          </w:p>
        </w:tc>
        <w:tc>
          <w:tcPr>
            <w:tcW w:w="1835" w:type="dxa"/>
            <w:shd w:val="clear" w:color="auto" w:fill="auto"/>
            <w:noWrap/>
            <w:vAlign w:val="bottom"/>
            <w:hideMark/>
          </w:tcPr>
          <w:p w:rsidR="00556118" w:rsidRPr="00556118" w:rsidRDefault="00556118" w:rsidP="00556118">
            <w:pPr>
              <w:jc w:val="center"/>
              <w:rPr>
                <w:rFonts w:asciiTheme="minorHAnsi" w:hAnsiTheme="minorHAnsi" w:cstheme="minorHAnsi"/>
                <w:b/>
                <w:color w:val="000000"/>
              </w:rPr>
            </w:pPr>
            <w:r w:rsidRPr="00556118">
              <w:rPr>
                <w:rFonts w:asciiTheme="minorHAnsi" w:hAnsiTheme="minorHAnsi" w:cstheme="minorHAnsi"/>
                <w:b/>
                <w:color w:val="000000"/>
              </w:rPr>
              <w:t>Cobertura nos Municípios (%)</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rsidP="00556118">
            <w:pPr>
              <w:rPr>
                <w:rFonts w:asciiTheme="minorHAnsi" w:hAnsiTheme="minorHAnsi" w:cstheme="minorHAnsi"/>
                <w:color w:val="000000"/>
              </w:rPr>
            </w:pPr>
            <w:r>
              <w:rPr>
                <w:rFonts w:asciiTheme="minorHAnsi" w:hAnsiTheme="minorHAnsi" w:cstheme="minorHAnsi"/>
                <w:color w:val="000000"/>
              </w:rPr>
              <w:t>Censo E</w:t>
            </w:r>
            <w:r w:rsidRPr="00556118">
              <w:rPr>
                <w:rFonts w:asciiTheme="minorHAnsi" w:hAnsiTheme="minorHAnsi" w:cstheme="minorHAnsi"/>
                <w:color w:val="000000"/>
              </w:rPr>
              <w:t>scolar</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proofErr w:type="gramStart"/>
            <w:r w:rsidRPr="00556118">
              <w:rPr>
                <w:rFonts w:asciiTheme="minorHAnsi" w:hAnsiTheme="minorHAnsi" w:cstheme="minorHAnsi"/>
                <w:color w:val="000000"/>
              </w:rPr>
              <w:t>6</w:t>
            </w:r>
            <w:proofErr w:type="gramEnd"/>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2007</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2015</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99,9</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100,0</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D</w:t>
            </w:r>
            <w:r w:rsidRPr="00556118">
              <w:rPr>
                <w:rFonts w:asciiTheme="minorHAnsi" w:hAnsiTheme="minorHAnsi" w:cstheme="minorHAnsi"/>
                <w:color w:val="000000"/>
              </w:rPr>
              <w:t>erivadas</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22</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1999</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2016</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71,0</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77,8</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rsidP="00556118">
            <w:pPr>
              <w:rPr>
                <w:rFonts w:asciiTheme="minorHAnsi" w:hAnsiTheme="minorHAnsi" w:cstheme="minorHAnsi"/>
                <w:color w:val="000000"/>
              </w:rPr>
            </w:pPr>
            <w:r>
              <w:rPr>
                <w:rFonts w:asciiTheme="minorHAnsi" w:hAnsiTheme="minorHAnsi" w:cstheme="minorHAnsi"/>
                <w:color w:val="000000"/>
              </w:rPr>
              <w:t>E</w:t>
            </w:r>
            <w:r w:rsidRPr="00556118">
              <w:rPr>
                <w:rFonts w:asciiTheme="minorHAnsi" w:hAnsiTheme="minorHAnsi" w:cstheme="minorHAnsi"/>
                <w:color w:val="000000"/>
              </w:rPr>
              <w:t>nsino</w:t>
            </w:r>
            <w:r>
              <w:rPr>
                <w:rFonts w:asciiTheme="minorHAnsi" w:hAnsiTheme="minorHAnsi" w:cstheme="minorHAnsi"/>
                <w:color w:val="000000"/>
              </w:rPr>
              <w:t xml:space="preserve"> S</w:t>
            </w:r>
            <w:r w:rsidRPr="00556118">
              <w:rPr>
                <w:rFonts w:asciiTheme="minorHAnsi" w:hAnsiTheme="minorHAnsi" w:cstheme="minorHAnsi"/>
                <w:color w:val="000000"/>
              </w:rPr>
              <w:t>uperior</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11</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2009</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2014</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85,5</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86,0</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proofErr w:type="spellStart"/>
            <w:r>
              <w:rPr>
                <w:rFonts w:asciiTheme="minorHAnsi" w:hAnsiTheme="minorHAnsi" w:cstheme="minorHAnsi"/>
                <w:color w:val="000000"/>
              </w:rPr>
              <w:t>E</w:t>
            </w:r>
            <w:r w:rsidRPr="00556118">
              <w:rPr>
                <w:rFonts w:asciiTheme="minorHAnsi" w:hAnsiTheme="minorHAnsi" w:cstheme="minorHAnsi"/>
                <w:color w:val="000000"/>
              </w:rPr>
              <w:t>stban</w:t>
            </w:r>
            <w:proofErr w:type="spellEnd"/>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21</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1999</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2015</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61,7</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69,5</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proofErr w:type="spellStart"/>
            <w:r>
              <w:rPr>
                <w:rFonts w:asciiTheme="minorHAnsi" w:hAnsiTheme="minorHAnsi" w:cstheme="minorHAnsi"/>
                <w:color w:val="000000"/>
              </w:rPr>
              <w:t>F</w:t>
            </w:r>
            <w:r w:rsidRPr="00556118">
              <w:rPr>
                <w:rFonts w:asciiTheme="minorHAnsi" w:hAnsiTheme="minorHAnsi" w:cstheme="minorHAnsi"/>
                <w:color w:val="000000"/>
              </w:rPr>
              <w:t>inbra</w:t>
            </w:r>
            <w:proofErr w:type="spellEnd"/>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76</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2002</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2015</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83,7</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96,3</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IBGE</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10</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1999</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2016</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99,5</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99,6</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INPE</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proofErr w:type="gramStart"/>
            <w:r w:rsidRPr="00556118">
              <w:rPr>
                <w:rFonts w:asciiTheme="minorHAnsi" w:hAnsiTheme="minorHAnsi" w:cstheme="minorHAnsi"/>
                <w:color w:val="000000"/>
              </w:rPr>
              <w:t>3</w:t>
            </w:r>
            <w:proofErr w:type="gramEnd"/>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2000</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2015</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13,6</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13,6</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RAIS</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15</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2002</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2014</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99,8</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100,0</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SECEX</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proofErr w:type="gramStart"/>
            <w:r w:rsidRPr="00556118">
              <w:rPr>
                <w:rFonts w:asciiTheme="minorHAnsi" w:hAnsiTheme="minorHAnsi" w:cstheme="minorHAnsi"/>
                <w:color w:val="000000"/>
              </w:rPr>
              <w:t>8</w:t>
            </w:r>
            <w:proofErr w:type="gramEnd"/>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2000</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2016</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56,3</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67,5</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SNIS</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36</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1999</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2014</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49,8</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80,5</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Óbitos</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proofErr w:type="gramStart"/>
            <w:r w:rsidRPr="00556118">
              <w:rPr>
                <w:rFonts w:asciiTheme="minorHAnsi" w:hAnsiTheme="minorHAnsi" w:cstheme="minorHAnsi"/>
                <w:color w:val="000000"/>
              </w:rPr>
              <w:t>5</w:t>
            </w:r>
            <w:proofErr w:type="gramEnd"/>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1999</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2014</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93,9</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100,0</w:t>
            </w:r>
          </w:p>
        </w:tc>
      </w:tr>
      <w:tr w:rsidR="00556118" w:rsidRPr="00556118" w:rsidTr="00556118">
        <w:trPr>
          <w:trHeight w:val="300"/>
          <w:jc w:val="center"/>
        </w:trPr>
        <w:tc>
          <w:tcPr>
            <w:tcW w:w="1740" w:type="dxa"/>
            <w:shd w:val="clear" w:color="auto" w:fill="auto"/>
            <w:noWrap/>
            <w:vAlign w:val="bottom"/>
            <w:hideMark/>
          </w:tcPr>
          <w:p w:rsidR="00556118" w:rsidRPr="00556118" w:rsidRDefault="00556118">
            <w:pPr>
              <w:rPr>
                <w:rFonts w:asciiTheme="minorHAnsi" w:hAnsiTheme="minorHAnsi" w:cstheme="minorHAnsi"/>
                <w:color w:val="000000"/>
              </w:rPr>
            </w:pPr>
            <w:r>
              <w:rPr>
                <w:rFonts w:asciiTheme="minorHAnsi" w:hAnsiTheme="minorHAnsi" w:cstheme="minorHAnsi"/>
                <w:color w:val="000000"/>
              </w:rPr>
              <w:t>U</w:t>
            </w:r>
            <w:r w:rsidRPr="00556118">
              <w:rPr>
                <w:rFonts w:asciiTheme="minorHAnsi" w:hAnsiTheme="minorHAnsi" w:cstheme="minorHAnsi"/>
                <w:color w:val="000000"/>
              </w:rPr>
              <w:t>nidades</w:t>
            </w:r>
            <w:r>
              <w:rPr>
                <w:rFonts w:asciiTheme="minorHAnsi" w:hAnsiTheme="minorHAnsi" w:cstheme="minorHAnsi"/>
                <w:color w:val="000000"/>
              </w:rPr>
              <w:t xml:space="preserve"> SUS</w:t>
            </w:r>
          </w:p>
        </w:tc>
        <w:tc>
          <w:tcPr>
            <w:tcW w:w="1114"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37</w:t>
            </w:r>
          </w:p>
        </w:tc>
        <w:tc>
          <w:tcPr>
            <w:tcW w:w="106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2005</w:t>
            </w:r>
          </w:p>
        </w:tc>
        <w:tc>
          <w:tcPr>
            <w:tcW w:w="940"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2015</w:t>
            </w:r>
          </w:p>
        </w:tc>
        <w:tc>
          <w:tcPr>
            <w:tcW w:w="1687"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56,4</w:t>
            </w:r>
          </w:p>
        </w:tc>
        <w:tc>
          <w:tcPr>
            <w:tcW w:w="1835" w:type="dxa"/>
            <w:shd w:val="clear" w:color="auto" w:fill="auto"/>
            <w:noWrap/>
            <w:vAlign w:val="bottom"/>
            <w:hideMark/>
          </w:tcPr>
          <w:p w:rsidR="00556118" w:rsidRPr="00556118" w:rsidRDefault="00556118">
            <w:pPr>
              <w:jc w:val="right"/>
              <w:rPr>
                <w:rFonts w:asciiTheme="minorHAnsi" w:hAnsiTheme="minorHAnsi" w:cstheme="minorHAnsi"/>
                <w:color w:val="000000"/>
              </w:rPr>
            </w:pPr>
            <w:r w:rsidRPr="00556118">
              <w:rPr>
                <w:rFonts w:asciiTheme="minorHAnsi" w:hAnsiTheme="minorHAnsi" w:cstheme="minorHAnsi"/>
                <w:color w:val="000000"/>
              </w:rPr>
              <w:t>56,4</w:t>
            </w:r>
          </w:p>
        </w:tc>
      </w:tr>
    </w:tbl>
    <w:p w:rsidR="00556118" w:rsidRDefault="004E2C88" w:rsidP="004E2C88">
      <w:pPr>
        <w:pStyle w:val="BNDES"/>
        <w:jc w:val="center"/>
      </w:pPr>
      <w:r>
        <w:t>Fonte: Elaboração própria.</w:t>
      </w:r>
    </w:p>
    <w:p w:rsidR="004E2C88" w:rsidRDefault="004E2C88" w:rsidP="00B51684">
      <w:pPr>
        <w:pStyle w:val="BNDES"/>
        <w:ind w:firstLine="709"/>
      </w:pPr>
    </w:p>
    <w:p w:rsidR="00641999" w:rsidRDefault="00641999" w:rsidP="00FE7BB4">
      <w:pPr>
        <w:pStyle w:val="BNDES"/>
      </w:pPr>
      <w:r>
        <w:tab/>
        <w:t xml:space="preserve">Do total das 250 variáveis numéricas presentes na base de dados, o destaque são as contas públicas municipais, com um </w:t>
      </w:r>
      <w:r w:rsidR="00B27836">
        <w:t xml:space="preserve">total de </w:t>
      </w:r>
      <w:r w:rsidR="00075958">
        <w:t>7</w:t>
      </w:r>
      <w:r w:rsidR="00B27836">
        <w:t>6 indicadores, seguido do registro de unidades do SUS, com 37 indicadores.</w:t>
      </w:r>
      <w:r w:rsidR="006148FD">
        <w:t xml:space="preserve"> </w:t>
      </w:r>
      <w:r w:rsidR="00B27836">
        <w:t>Em termos de cobertura temporal, a base de dados municipais consolidada abrange um período total de 1999 a 2016. O destaque são as bases do IBGE e as variáveis derivadas, que cobrem o período inteiro. Por outro</w:t>
      </w:r>
      <w:r w:rsidR="0095704C">
        <w:t xml:space="preserve"> </w:t>
      </w:r>
      <w:r w:rsidR="00B27836">
        <w:t>lado, os censos das escolas e do ensino superior são relativamente mais restritos. De uma forma geral, a base é mais completa no período de 2002 a 2014.</w:t>
      </w:r>
    </w:p>
    <w:p w:rsidR="00075958" w:rsidRDefault="00075958" w:rsidP="00FE7BB4">
      <w:pPr>
        <w:pStyle w:val="BNDES"/>
      </w:pPr>
    </w:p>
    <w:p w:rsidR="00033D83" w:rsidRDefault="00B27836" w:rsidP="004E2C88">
      <w:pPr>
        <w:pStyle w:val="BNDES"/>
        <w:ind w:firstLine="709"/>
      </w:pPr>
      <w:r>
        <w:t xml:space="preserve">Uma avaliação de impacto exige informações completas sobre os indicadores de interesse, assim como de suas covariadas. Essa necessidade é ainda mais importante em estimativas realizadas por controle sintético, as quais são mais </w:t>
      </w:r>
      <w:proofErr w:type="gramStart"/>
      <w:r>
        <w:t>consistentes quanto mais extenso</w:t>
      </w:r>
      <w:proofErr w:type="gramEnd"/>
      <w:r>
        <w:t xml:space="preserve"> for o período de ajuste. O Censo Escolar, a RAIS</w:t>
      </w:r>
      <w:r w:rsidR="0095704C">
        <w:t>, o Sistema de Informações sobre Mortalidade e o IBGE apresentam as informações mais completas. Já o INPE parece apresentar as informações menos completas. Todavia, isso se deve ao fato de que suas variáveis são observadas apenas para os municípios da Amazônia Legal.</w:t>
      </w:r>
      <w:r w:rsidR="00BE480B">
        <w:t xml:space="preserve"> </w:t>
      </w:r>
    </w:p>
    <w:p w:rsidR="00F5593C" w:rsidRDefault="00F5593C" w:rsidP="004E2C88">
      <w:pPr>
        <w:pStyle w:val="BNDES"/>
        <w:ind w:firstLine="709"/>
      </w:pPr>
    </w:p>
    <w:p w:rsidR="0095704C" w:rsidRDefault="0095704C" w:rsidP="009823D9">
      <w:pPr>
        <w:pStyle w:val="BNDES"/>
        <w:ind w:firstLine="709"/>
      </w:pPr>
      <w:r>
        <w:t>Em termos de cobertura por municípios, o percentual de preenchimento foi determinado como a proporção de municípios brasileiros com pelo menos uma informação ao longo do período de cobertura, para cada variável. Novamente, o Censo Escolar, a RAIS, o Sistema de Informações sobre Mortalidade e o IBGE apresentam as informações mais completas.</w:t>
      </w:r>
      <w:r w:rsidR="00BE480B">
        <w:t xml:space="preserve"> </w:t>
      </w:r>
      <w:r w:rsidR="00075958">
        <w:t>De forma geral, observa-se que os indicadores médios de preenchimento e de cobertura por município são semelhantes em cada fonte. Isso sugere que os problemas de falta de dados em algumas séries devem-se mais à inexistência de dados para alguns municípios – sobretudo os de menor porte – do que à descontinuidade das séries.</w:t>
      </w:r>
      <w:r w:rsidR="004E2C88">
        <w:t xml:space="preserve"> A exceção a essa tendência é </w:t>
      </w:r>
      <w:proofErr w:type="gramStart"/>
      <w:r w:rsidR="004E2C88">
        <w:t>a</w:t>
      </w:r>
      <w:proofErr w:type="gramEnd"/>
      <w:r w:rsidR="004E2C88">
        <w:t xml:space="preserve"> base do SNIS, que é presente em mais de 80% dos municípios brasileiros, mas com uma taxa de preenchimento total de menos de 50%.</w:t>
      </w:r>
    </w:p>
    <w:p w:rsidR="0095704C" w:rsidRDefault="0095704C" w:rsidP="009823D9">
      <w:pPr>
        <w:pStyle w:val="BNDES"/>
        <w:ind w:firstLine="709"/>
      </w:pPr>
    </w:p>
    <w:p w:rsidR="009823D9" w:rsidRDefault="00075958" w:rsidP="009823D9">
      <w:pPr>
        <w:pStyle w:val="BNDES"/>
        <w:ind w:firstLine="709"/>
      </w:pPr>
      <w:r>
        <w:t>O presente estudo de caso pretende calcular o impacto da construção de usinas eólicas sobre o PIB per capita dos municípios</w:t>
      </w:r>
      <w:r w:rsidR="00D12B40">
        <w:t xml:space="preserve"> beneficiados</w:t>
      </w:r>
      <w:r>
        <w:t>. Devido à disponibilidade de dados, a</w:t>
      </w:r>
      <w:r w:rsidR="009823D9">
        <w:t xml:space="preserve"> avaliação considera como unidades tratadas os 37 municípios beneficiados de 2008 a 2014 por entrada em operação de </w:t>
      </w:r>
      <w:r>
        <w:t xml:space="preserve">sua primeira </w:t>
      </w:r>
      <w:r w:rsidR="009823D9">
        <w:t>usina eólica</w:t>
      </w:r>
      <w:r w:rsidR="00BC7164">
        <w:t xml:space="preserve">, expostos na Tabela </w:t>
      </w:r>
      <w:r w:rsidR="004066C8">
        <w:t>2</w:t>
      </w:r>
      <w:r w:rsidR="009823D9">
        <w:t>.</w:t>
      </w:r>
      <w:r>
        <w:t xml:space="preserve"> Já os potenciais controles (isto é, o </w:t>
      </w:r>
      <w:proofErr w:type="spellStart"/>
      <w:r w:rsidRPr="00075958">
        <w:rPr>
          <w:i/>
        </w:rPr>
        <w:t>donor</w:t>
      </w:r>
      <w:proofErr w:type="spellEnd"/>
      <w:r w:rsidRPr="00075958">
        <w:rPr>
          <w:i/>
        </w:rPr>
        <w:t xml:space="preserve"> pool</w:t>
      </w:r>
      <w:r>
        <w:t xml:space="preserve">) inclui um total de 5.490 municípios que não possuem usinas eólicas. </w:t>
      </w:r>
      <w:r w:rsidR="006020F3">
        <w:t xml:space="preserve">Outros </w:t>
      </w:r>
      <w:r>
        <w:t xml:space="preserve">43 municípios que receberam sua primeira usina eólica </w:t>
      </w:r>
      <w:r w:rsidR="006020F3">
        <w:t>antes de 2008 ou após 2014</w:t>
      </w:r>
      <w:r>
        <w:t xml:space="preserve"> foram considerados contaminados e excluídos da amostra.</w:t>
      </w:r>
      <w:r w:rsidR="009823D9">
        <w:t xml:space="preserve"> O exercício realizado procurou construir um controle sintético para cada unidade tratada, a partir de combinações de municípios não tratados de todo o Brasil.</w:t>
      </w:r>
      <w:r w:rsidR="001C4270">
        <w:t xml:space="preserve"> Para melhor capturar os efeitos da construção </w:t>
      </w:r>
      <w:r w:rsidR="001C4270">
        <w:lastRenderedPageBreak/>
        <w:t>das usinas eólicas, o controle sintético foi aplicado para cada caso com um ano de defasagem em relação ao tratamento tal como definido.</w:t>
      </w:r>
    </w:p>
    <w:p w:rsidR="00BC7164" w:rsidRDefault="00BC7164" w:rsidP="009823D9">
      <w:pPr>
        <w:pStyle w:val="BNDES"/>
        <w:ind w:firstLine="709"/>
      </w:pPr>
    </w:p>
    <w:p w:rsidR="00BC7164" w:rsidRPr="00BC7164" w:rsidRDefault="00BC7164" w:rsidP="00BC7164">
      <w:pPr>
        <w:pStyle w:val="BNDES"/>
        <w:jc w:val="center"/>
        <w:rPr>
          <w:b/>
        </w:rPr>
      </w:pPr>
      <w:r w:rsidRPr="001659C0">
        <w:rPr>
          <w:b/>
        </w:rPr>
        <w:t xml:space="preserve">Tabela </w:t>
      </w:r>
      <w:r w:rsidR="004066C8">
        <w:rPr>
          <w:b/>
        </w:rPr>
        <w:t>2</w:t>
      </w:r>
      <w:r w:rsidRPr="001659C0">
        <w:rPr>
          <w:b/>
        </w:rPr>
        <w:t>:</w:t>
      </w:r>
      <w:r w:rsidR="008712DC">
        <w:rPr>
          <w:b/>
        </w:rPr>
        <w:t xml:space="preserve"> Lista de Municípios Avaliados,</w:t>
      </w:r>
      <w:r w:rsidRPr="001659C0">
        <w:rPr>
          <w:b/>
        </w:rPr>
        <w:t xml:space="preserve"> Ano </w:t>
      </w:r>
      <w:r w:rsidR="008712DC">
        <w:rPr>
          <w:b/>
        </w:rPr>
        <w:t xml:space="preserve">e Potência </w:t>
      </w:r>
      <w:r w:rsidRPr="001659C0">
        <w:rPr>
          <w:b/>
        </w:rPr>
        <w:t xml:space="preserve">de sua Primeira Usina </w:t>
      </w:r>
      <w:proofErr w:type="gramStart"/>
      <w:r w:rsidRPr="001659C0">
        <w:rPr>
          <w:b/>
        </w:rPr>
        <w:t>Eólica</w:t>
      </w:r>
      <w:proofErr w:type="gramEnd"/>
    </w:p>
    <w:tbl>
      <w:tblPr>
        <w:tblStyle w:val="Tabelacomgrade"/>
        <w:tblW w:w="8188" w:type="dxa"/>
        <w:jc w:val="center"/>
        <w:tblLook w:val="04A0" w:firstRow="1" w:lastRow="0" w:firstColumn="1" w:lastColumn="0" w:noHBand="0" w:noVBand="1"/>
      </w:tblPr>
      <w:tblGrid>
        <w:gridCol w:w="3542"/>
        <w:gridCol w:w="1563"/>
        <w:gridCol w:w="3083"/>
      </w:tblGrid>
      <w:tr w:rsidR="001659C0" w:rsidTr="001659C0">
        <w:trPr>
          <w:jc w:val="center"/>
        </w:trPr>
        <w:tc>
          <w:tcPr>
            <w:tcW w:w="3542" w:type="dxa"/>
          </w:tcPr>
          <w:p w:rsidR="001659C0" w:rsidRPr="001659C0" w:rsidRDefault="001659C0" w:rsidP="00FD0B67">
            <w:pPr>
              <w:rPr>
                <w:b/>
              </w:rPr>
            </w:pPr>
            <w:r w:rsidRPr="001659C0">
              <w:rPr>
                <w:b/>
              </w:rPr>
              <w:t>Município</w:t>
            </w:r>
          </w:p>
        </w:tc>
        <w:tc>
          <w:tcPr>
            <w:tcW w:w="1563" w:type="dxa"/>
          </w:tcPr>
          <w:p w:rsidR="001659C0" w:rsidRPr="001659C0" w:rsidRDefault="001659C0" w:rsidP="00FD0B67">
            <w:pPr>
              <w:rPr>
                <w:b/>
              </w:rPr>
            </w:pPr>
            <w:r w:rsidRPr="001659C0">
              <w:rPr>
                <w:b/>
              </w:rPr>
              <w:t>Tratamento</w:t>
            </w:r>
          </w:p>
        </w:tc>
        <w:tc>
          <w:tcPr>
            <w:tcW w:w="3083" w:type="dxa"/>
          </w:tcPr>
          <w:p w:rsidR="001659C0" w:rsidRPr="001659C0" w:rsidRDefault="001659C0" w:rsidP="00FD0B67">
            <w:pPr>
              <w:rPr>
                <w:b/>
              </w:rPr>
            </w:pPr>
            <w:r w:rsidRPr="001659C0">
              <w:rPr>
                <w:b/>
              </w:rPr>
              <w:t>Potência Outorgada (MW)</w:t>
            </w:r>
          </w:p>
        </w:tc>
      </w:tr>
      <w:tr w:rsidR="001659C0" w:rsidTr="001659C0">
        <w:trPr>
          <w:jc w:val="center"/>
        </w:trPr>
        <w:tc>
          <w:tcPr>
            <w:tcW w:w="3542" w:type="dxa"/>
          </w:tcPr>
          <w:p w:rsidR="001659C0" w:rsidRPr="00E45552" w:rsidRDefault="001659C0" w:rsidP="00FD0B67">
            <w:r w:rsidRPr="00E45552">
              <w:t>Acaraú - CE</w:t>
            </w:r>
          </w:p>
        </w:tc>
        <w:tc>
          <w:tcPr>
            <w:tcW w:w="1563" w:type="dxa"/>
          </w:tcPr>
          <w:p w:rsidR="001659C0" w:rsidRPr="00E45552" w:rsidRDefault="001659C0" w:rsidP="00FD0B67">
            <w:r w:rsidRPr="00E45552">
              <w:t>2010</w:t>
            </w:r>
          </w:p>
        </w:tc>
        <w:tc>
          <w:tcPr>
            <w:tcW w:w="3083" w:type="dxa"/>
          </w:tcPr>
          <w:p w:rsidR="001659C0" w:rsidRPr="00E45552" w:rsidRDefault="001659C0" w:rsidP="00FD0B67">
            <w:r w:rsidRPr="00E45552">
              <w:t xml:space="preserve"> 70.800 </w:t>
            </w:r>
          </w:p>
        </w:tc>
      </w:tr>
      <w:tr w:rsidR="001659C0" w:rsidTr="001659C0">
        <w:trPr>
          <w:jc w:val="center"/>
        </w:trPr>
        <w:tc>
          <w:tcPr>
            <w:tcW w:w="3542" w:type="dxa"/>
          </w:tcPr>
          <w:p w:rsidR="001659C0" w:rsidRPr="00E45552" w:rsidRDefault="001659C0" w:rsidP="00FD0B67">
            <w:r w:rsidRPr="00E45552">
              <w:t>Amontada - CE</w:t>
            </w:r>
          </w:p>
        </w:tc>
        <w:tc>
          <w:tcPr>
            <w:tcW w:w="1563" w:type="dxa"/>
          </w:tcPr>
          <w:p w:rsidR="001659C0" w:rsidRPr="00E45552" w:rsidRDefault="001659C0" w:rsidP="00FD0B67">
            <w:r w:rsidRPr="00E45552">
              <w:t>2009</w:t>
            </w:r>
          </w:p>
        </w:tc>
        <w:tc>
          <w:tcPr>
            <w:tcW w:w="3083" w:type="dxa"/>
          </w:tcPr>
          <w:p w:rsidR="001659C0" w:rsidRPr="00E45552" w:rsidRDefault="001659C0" w:rsidP="00FD0B67">
            <w:r w:rsidRPr="00E45552">
              <w:t xml:space="preserve"> 54.600 </w:t>
            </w:r>
          </w:p>
        </w:tc>
      </w:tr>
      <w:tr w:rsidR="001659C0" w:rsidTr="001659C0">
        <w:trPr>
          <w:jc w:val="center"/>
        </w:trPr>
        <w:tc>
          <w:tcPr>
            <w:tcW w:w="3542" w:type="dxa"/>
          </w:tcPr>
          <w:p w:rsidR="001659C0" w:rsidRPr="00E45552" w:rsidRDefault="001659C0" w:rsidP="00FD0B67">
            <w:r w:rsidRPr="00E45552">
              <w:t>Aracati - CE</w:t>
            </w:r>
          </w:p>
        </w:tc>
        <w:tc>
          <w:tcPr>
            <w:tcW w:w="1563" w:type="dxa"/>
          </w:tcPr>
          <w:p w:rsidR="001659C0" w:rsidRPr="00E45552" w:rsidRDefault="001659C0" w:rsidP="00FD0B67">
            <w:r w:rsidRPr="00E45552">
              <w:t>2008</w:t>
            </w:r>
          </w:p>
        </w:tc>
        <w:tc>
          <w:tcPr>
            <w:tcW w:w="3083" w:type="dxa"/>
          </w:tcPr>
          <w:p w:rsidR="001659C0" w:rsidRPr="00E45552" w:rsidRDefault="001659C0" w:rsidP="00FD0B67">
            <w:r w:rsidRPr="00E45552">
              <w:t xml:space="preserve"> 10.500 </w:t>
            </w:r>
          </w:p>
        </w:tc>
      </w:tr>
      <w:tr w:rsidR="001659C0" w:rsidTr="001659C0">
        <w:trPr>
          <w:jc w:val="center"/>
        </w:trPr>
        <w:tc>
          <w:tcPr>
            <w:tcW w:w="3542" w:type="dxa"/>
          </w:tcPr>
          <w:p w:rsidR="001659C0" w:rsidRPr="00E45552" w:rsidRDefault="001659C0" w:rsidP="00FD0B67">
            <w:r w:rsidRPr="00E45552">
              <w:t>Areia Branca - RN</w:t>
            </w:r>
          </w:p>
        </w:tc>
        <w:tc>
          <w:tcPr>
            <w:tcW w:w="1563" w:type="dxa"/>
          </w:tcPr>
          <w:p w:rsidR="001659C0" w:rsidRPr="00E45552" w:rsidRDefault="001659C0" w:rsidP="00FD0B67">
            <w:r w:rsidRPr="00E45552">
              <w:t>2013</w:t>
            </w:r>
          </w:p>
        </w:tc>
        <w:tc>
          <w:tcPr>
            <w:tcW w:w="3083" w:type="dxa"/>
          </w:tcPr>
          <w:p w:rsidR="001659C0" w:rsidRPr="00E45552" w:rsidRDefault="001659C0" w:rsidP="00FD0B67">
            <w:r w:rsidRPr="00E45552">
              <w:t xml:space="preserve"> 20.000 </w:t>
            </w:r>
          </w:p>
        </w:tc>
      </w:tr>
      <w:tr w:rsidR="001659C0" w:rsidTr="001659C0">
        <w:trPr>
          <w:jc w:val="center"/>
        </w:trPr>
        <w:tc>
          <w:tcPr>
            <w:tcW w:w="3542" w:type="dxa"/>
          </w:tcPr>
          <w:p w:rsidR="001659C0" w:rsidRPr="00E45552" w:rsidRDefault="001659C0" w:rsidP="00FD0B67">
            <w:r w:rsidRPr="00E45552">
              <w:t>Barra dos Coqueiros - SE</w:t>
            </w:r>
          </w:p>
        </w:tc>
        <w:tc>
          <w:tcPr>
            <w:tcW w:w="1563" w:type="dxa"/>
          </w:tcPr>
          <w:p w:rsidR="001659C0" w:rsidRPr="00E45552" w:rsidRDefault="001659C0" w:rsidP="00FD0B67">
            <w:r w:rsidRPr="00E45552">
              <w:t>2012</w:t>
            </w:r>
          </w:p>
        </w:tc>
        <w:tc>
          <w:tcPr>
            <w:tcW w:w="3083" w:type="dxa"/>
          </w:tcPr>
          <w:p w:rsidR="001659C0" w:rsidRPr="00E45552" w:rsidRDefault="001659C0" w:rsidP="00FD0B67">
            <w:r w:rsidRPr="00E45552">
              <w:t xml:space="preserve"> 34.500 </w:t>
            </w:r>
          </w:p>
        </w:tc>
      </w:tr>
      <w:tr w:rsidR="001659C0" w:rsidTr="001659C0">
        <w:trPr>
          <w:jc w:val="center"/>
        </w:trPr>
        <w:tc>
          <w:tcPr>
            <w:tcW w:w="3542" w:type="dxa"/>
          </w:tcPr>
          <w:p w:rsidR="001659C0" w:rsidRPr="00E45552" w:rsidRDefault="001659C0" w:rsidP="00FD0B67">
            <w:r w:rsidRPr="00E45552">
              <w:t>Beberibe - CE</w:t>
            </w:r>
          </w:p>
        </w:tc>
        <w:tc>
          <w:tcPr>
            <w:tcW w:w="1563" w:type="dxa"/>
          </w:tcPr>
          <w:p w:rsidR="001659C0" w:rsidRPr="00E45552" w:rsidRDefault="001659C0" w:rsidP="00FD0B67">
            <w:r w:rsidRPr="00E45552">
              <w:t>2008</w:t>
            </w:r>
          </w:p>
        </w:tc>
        <w:tc>
          <w:tcPr>
            <w:tcW w:w="3083" w:type="dxa"/>
          </w:tcPr>
          <w:p w:rsidR="001659C0" w:rsidRPr="00E45552" w:rsidRDefault="001659C0" w:rsidP="00FD0B67">
            <w:r w:rsidRPr="00E45552">
              <w:t xml:space="preserve"> 25.600 </w:t>
            </w:r>
          </w:p>
        </w:tc>
      </w:tr>
      <w:tr w:rsidR="001659C0" w:rsidTr="001659C0">
        <w:trPr>
          <w:jc w:val="center"/>
        </w:trPr>
        <w:tc>
          <w:tcPr>
            <w:tcW w:w="3542" w:type="dxa"/>
          </w:tcPr>
          <w:p w:rsidR="001659C0" w:rsidRPr="00E45552" w:rsidRDefault="001659C0" w:rsidP="00FD0B67">
            <w:r w:rsidRPr="00E45552">
              <w:t>Boituva - SP</w:t>
            </w:r>
          </w:p>
        </w:tc>
        <w:tc>
          <w:tcPr>
            <w:tcW w:w="1563" w:type="dxa"/>
          </w:tcPr>
          <w:p w:rsidR="001659C0" w:rsidRPr="00E45552" w:rsidRDefault="001659C0" w:rsidP="00FD0B67">
            <w:r w:rsidRPr="00E45552">
              <w:t>2012</w:t>
            </w:r>
          </w:p>
        </w:tc>
        <w:tc>
          <w:tcPr>
            <w:tcW w:w="3083" w:type="dxa"/>
          </w:tcPr>
          <w:p w:rsidR="001659C0" w:rsidRPr="00E45552" w:rsidRDefault="001659C0" w:rsidP="00FD0B67">
            <w:r w:rsidRPr="00E45552">
              <w:t xml:space="preserve"> 2,24 </w:t>
            </w:r>
          </w:p>
        </w:tc>
      </w:tr>
      <w:tr w:rsidR="001659C0" w:rsidTr="001659C0">
        <w:trPr>
          <w:jc w:val="center"/>
        </w:trPr>
        <w:tc>
          <w:tcPr>
            <w:tcW w:w="3542" w:type="dxa"/>
          </w:tcPr>
          <w:p w:rsidR="001659C0" w:rsidRPr="00E45552" w:rsidRDefault="001659C0" w:rsidP="00FD0B67">
            <w:r w:rsidRPr="00E45552">
              <w:t>Brotas de Macaúbas - BA</w:t>
            </w:r>
          </w:p>
        </w:tc>
        <w:tc>
          <w:tcPr>
            <w:tcW w:w="1563" w:type="dxa"/>
          </w:tcPr>
          <w:p w:rsidR="001659C0" w:rsidRPr="00E45552" w:rsidRDefault="001659C0" w:rsidP="00FD0B67">
            <w:r w:rsidRPr="00E45552">
              <w:t>2012</w:t>
            </w:r>
          </w:p>
        </w:tc>
        <w:tc>
          <w:tcPr>
            <w:tcW w:w="3083" w:type="dxa"/>
          </w:tcPr>
          <w:p w:rsidR="001659C0" w:rsidRPr="00E45552" w:rsidRDefault="001659C0" w:rsidP="00FD0B67">
            <w:r w:rsidRPr="00E45552">
              <w:t xml:space="preserve"> 95.190 </w:t>
            </w:r>
          </w:p>
        </w:tc>
      </w:tr>
      <w:tr w:rsidR="001659C0" w:rsidTr="001659C0">
        <w:trPr>
          <w:jc w:val="center"/>
        </w:trPr>
        <w:tc>
          <w:tcPr>
            <w:tcW w:w="3542" w:type="dxa"/>
          </w:tcPr>
          <w:p w:rsidR="001659C0" w:rsidRPr="00E45552" w:rsidRDefault="001659C0" w:rsidP="00FD0B67">
            <w:r w:rsidRPr="00E45552">
              <w:t>Cabo de Santo Agostinho - PE</w:t>
            </w:r>
          </w:p>
        </w:tc>
        <w:tc>
          <w:tcPr>
            <w:tcW w:w="1563" w:type="dxa"/>
          </w:tcPr>
          <w:p w:rsidR="001659C0" w:rsidRPr="00E45552" w:rsidRDefault="001659C0" w:rsidP="00FD0B67">
            <w:r w:rsidRPr="00E45552">
              <w:t>2012</w:t>
            </w:r>
          </w:p>
        </w:tc>
        <w:tc>
          <w:tcPr>
            <w:tcW w:w="3083" w:type="dxa"/>
          </w:tcPr>
          <w:p w:rsidR="001659C0" w:rsidRPr="00E45552" w:rsidRDefault="001659C0" w:rsidP="00FD0B67">
            <w:r w:rsidRPr="00E45552">
              <w:t xml:space="preserve"> 2.000 </w:t>
            </w:r>
          </w:p>
        </w:tc>
      </w:tr>
      <w:tr w:rsidR="001659C0" w:rsidTr="001659C0">
        <w:trPr>
          <w:jc w:val="center"/>
        </w:trPr>
        <w:tc>
          <w:tcPr>
            <w:tcW w:w="3542" w:type="dxa"/>
          </w:tcPr>
          <w:p w:rsidR="001659C0" w:rsidRPr="00E45552" w:rsidRDefault="001659C0" w:rsidP="00FD0B67">
            <w:r w:rsidRPr="00E45552">
              <w:t>Caetité - BA</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296.820 </w:t>
            </w:r>
          </w:p>
        </w:tc>
      </w:tr>
      <w:tr w:rsidR="001659C0" w:rsidTr="001659C0">
        <w:trPr>
          <w:jc w:val="center"/>
        </w:trPr>
        <w:tc>
          <w:tcPr>
            <w:tcW w:w="3542" w:type="dxa"/>
          </w:tcPr>
          <w:p w:rsidR="001659C0" w:rsidRPr="00E45552" w:rsidRDefault="001659C0" w:rsidP="00FD0B67">
            <w:r w:rsidRPr="00E45552">
              <w:t>Camocim - CE</w:t>
            </w:r>
          </w:p>
        </w:tc>
        <w:tc>
          <w:tcPr>
            <w:tcW w:w="1563" w:type="dxa"/>
          </w:tcPr>
          <w:p w:rsidR="001659C0" w:rsidRPr="00E45552" w:rsidRDefault="001659C0" w:rsidP="00FD0B67">
            <w:r w:rsidRPr="00E45552">
              <w:t>2009</w:t>
            </w:r>
          </w:p>
        </w:tc>
        <w:tc>
          <w:tcPr>
            <w:tcW w:w="3083" w:type="dxa"/>
          </w:tcPr>
          <w:p w:rsidR="001659C0" w:rsidRPr="00E45552" w:rsidRDefault="001659C0" w:rsidP="00FD0B67">
            <w:r w:rsidRPr="00E45552">
              <w:t xml:space="preserve"> 105.000 </w:t>
            </w:r>
          </w:p>
        </w:tc>
      </w:tr>
      <w:tr w:rsidR="001659C0" w:rsidTr="001659C0">
        <w:trPr>
          <w:jc w:val="center"/>
        </w:trPr>
        <w:tc>
          <w:tcPr>
            <w:tcW w:w="3542" w:type="dxa"/>
          </w:tcPr>
          <w:p w:rsidR="001659C0" w:rsidRPr="00E45552" w:rsidRDefault="001659C0" w:rsidP="00FD0B67">
            <w:r w:rsidRPr="00E45552">
              <w:t>Cururupu - MA</w:t>
            </w:r>
          </w:p>
        </w:tc>
        <w:tc>
          <w:tcPr>
            <w:tcW w:w="1563" w:type="dxa"/>
          </w:tcPr>
          <w:p w:rsidR="001659C0" w:rsidRPr="00E45552" w:rsidRDefault="001659C0" w:rsidP="00FD0B67">
            <w:r w:rsidRPr="00E45552">
              <w:t>2008</w:t>
            </w:r>
          </w:p>
        </w:tc>
        <w:tc>
          <w:tcPr>
            <w:tcW w:w="3083" w:type="dxa"/>
          </w:tcPr>
          <w:p w:rsidR="001659C0" w:rsidRPr="00E45552" w:rsidRDefault="001659C0" w:rsidP="00FD0B67">
            <w:r w:rsidRPr="00E45552">
              <w:t xml:space="preserve"> 22,5 </w:t>
            </w:r>
          </w:p>
        </w:tc>
      </w:tr>
      <w:tr w:rsidR="001659C0" w:rsidTr="001659C0">
        <w:trPr>
          <w:jc w:val="center"/>
        </w:trPr>
        <w:tc>
          <w:tcPr>
            <w:tcW w:w="3542" w:type="dxa"/>
          </w:tcPr>
          <w:p w:rsidR="001659C0" w:rsidRPr="00E45552" w:rsidRDefault="001659C0" w:rsidP="00FD0B67">
            <w:r w:rsidRPr="00E45552">
              <w:t>Galinhos - RN</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118.570 </w:t>
            </w:r>
          </w:p>
        </w:tc>
      </w:tr>
      <w:tr w:rsidR="001659C0" w:rsidTr="001659C0">
        <w:trPr>
          <w:jc w:val="center"/>
        </w:trPr>
        <w:tc>
          <w:tcPr>
            <w:tcW w:w="3542" w:type="dxa"/>
          </w:tcPr>
          <w:p w:rsidR="001659C0" w:rsidRPr="00E45552" w:rsidRDefault="001659C0" w:rsidP="00FD0B67">
            <w:r w:rsidRPr="00E45552">
              <w:t>Gravatá - PE</w:t>
            </w:r>
          </w:p>
        </w:tc>
        <w:tc>
          <w:tcPr>
            <w:tcW w:w="1563" w:type="dxa"/>
          </w:tcPr>
          <w:p w:rsidR="001659C0" w:rsidRPr="00E45552" w:rsidRDefault="001659C0" w:rsidP="00FD0B67">
            <w:r w:rsidRPr="00E45552">
              <w:t>2010</w:t>
            </w:r>
          </w:p>
        </w:tc>
        <w:tc>
          <w:tcPr>
            <w:tcW w:w="3083" w:type="dxa"/>
          </w:tcPr>
          <w:p w:rsidR="001659C0" w:rsidRPr="00E45552" w:rsidRDefault="001659C0" w:rsidP="00FD0B67">
            <w:r w:rsidRPr="00E45552">
              <w:t xml:space="preserve"> 14.850 </w:t>
            </w:r>
          </w:p>
        </w:tc>
      </w:tr>
      <w:tr w:rsidR="001659C0" w:rsidTr="001659C0">
        <w:trPr>
          <w:jc w:val="center"/>
        </w:trPr>
        <w:tc>
          <w:tcPr>
            <w:tcW w:w="3542" w:type="dxa"/>
          </w:tcPr>
          <w:p w:rsidR="001659C0" w:rsidRPr="00E45552" w:rsidRDefault="001659C0" w:rsidP="00FD0B67">
            <w:r w:rsidRPr="00E45552">
              <w:t>Guamaré - RN</w:t>
            </w:r>
          </w:p>
        </w:tc>
        <w:tc>
          <w:tcPr>
            <w:tcW w:w="1563" w:type="dxa"/>
          </w:tcPr>
          <w:p w:rsidR="001659C0" w:rsidRPr="00E45552" w:rsidRDefault="001659C0" w:rsidP="00FD0B67">
            <w:r w:rsidRPr="00E45552">
              <w:t>2010</w:t>
            </w:r>
          </w:p>
        </w:tc>
        <w:tc>
          <w:tcPr>
            <w:tcW w:w="3083" w:type="dxa"/>
          </w:tcPr>
          <w:p w:rsidR="001659C0" w:rsidRPr="00E45552" w:rsidRDefault="001659C0" w:rsidP="00FD0B67">
            <w:r w:rsidRPr="00E45552">
              <w:t xml:space="preserve"> 51.000 </w:t>
            </w:r>
          </w:p>
        </w:tc>
      </w:tr>
      <w:tr w:rsidR="001659C0" w:rsidTr="001659C0">
        <w:trPr>
          <w:jc w:val="center"/>
        </w:trPr>
        <w:tc>
          <w:tcPr>
            <w:tcW w:w="3542" w:type="dxa"/>
          </w:tcPr>
          <w:p w:rsidR="001659C0" w:rsidRPr="00E45552" w:rsidRDefault="001659C0" w:rsidP="00FD0B67">
            <w:r w:rsidRPr="00E45552">
              <w:t>Guanambi - BA</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167.840 </w:t>
            </w:r>
          </w:p>
        </w:tc>
      </w:tr>
      <w:tr w:rsidR="001659C0" w:rsidTr="001659C0">
        <w:trPr>
          <w:jc w:val="center"/>
        </w:trPr>
        <w:tc>
          <w:tcPr>
            <w:tcW w:w="3542" w:type="dxa"/>
          </w:tcPr>
          <w:p w:rsidR="001659C0" w:rsidRPr="00E45552" w:rsidRDefault="001659C0" w:rsidP="00FD0B67">
            <w:r w:rsidRPr="00E45552">
              <w:t>Igaporã - BA</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143.840 </w:t>
            </w:r>
          </w:p>
        </w:tc>
      </w:tr>
      <w:tr w:rsidR="001659C0" w:rsidTr="001659C0">
        <w:trPr>
          <w:jc w:val="center"/>
        </w:trPr>
        <w:tc>
          <w:tcPr>
            <w:tcW w:w="3542" w:type="dxa"/>
          </w:tcPr>
          <w:p w:rsidR="001659C0" w:rsidRPr="00E45552" w:rsidRDefault="001659C0" w:rsidP="00FD0B67">
            <w:r w:rsidRPr="00E45552">
              <w:t>Itarema - CE</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30.000 </w:t>
            </w:r>
          </w:p>
        </w:tc>
      </w:tr>
      <w:tr w:rsidR="001659C0" w:rsidTr="001659C0">
        <w:trPr>
          <w:jc w:val="center"/>
        </w:trPr>
        <w:tc>
          <w:tcPr>
            <w:tcW w:w="3542" w:type="dxa"/>
          </w:tcPr>
          <w:p w:rsidR="001659C0" w:rsidRPr="00E45552" w:rsidRDefault="001659C0" w:rsidP="00FD0B67">
            <w:r w:rsidRPr="00E45552">
              <w:t>Iturama - MG</w:t>
            </w:r>
          </w:p>
        </w:tc>
        <w:tc>
          <w:tcPr>
            <w:tcW w:w="1563" w:type="dxa"/>
          </w:tcPr>
          <w:p w:rsidR="001659C0" w:rsidRPr="00E45552" w:rsidRDefault="001659C0" w:rsidP="00FD0B67">
            <w:r w:rsidRPr="00E45552">
              <w:t>2012</w:t>
            </w:r>
          </w:p>
        </w:tc>
        <w:tc>
          <w:tcPr>
            <w:tcW w:w="3083" w:type="dxa"/>
          </w:tcPr>
          <w:p w:rsidR="001659C0" w:rsidRPr="00E45552" w:rsidRDefault="001659C0" w:rsidP="00FD0B67">
            <w:r w:rsidRPr="00E45552">
              <w:t xml:space="preserve"> 156 </w:t>
            </w:r>
          </w:p>
        </w:tc>
      </w:tr>
      <w:tr w:rsidR="001659C0" w:rsidTr="001659C0">
        <w:trPr>
          <w:jc w:val="center"/>
        </w:trPr>
        <w:tc>
          <w:tcPr>
            <w:tcW w:w="3542" w:type="dxa"/>
          </w:tcPr>
          <w:p w:rsidR="001659C0" w:rsidRPr="00E45552" w:rsidRDefault="001659C0" w:rsidP="00FD0B67">
            <w:r w:rsidRPr="00E45552">
              <w:t>João Câmara - RN</w:t>
            </w:r>
          </w:p>
        </w:tc>
        <w:tc>
          <w:tcPr>
            <w:tcW w:w="1563" w:type="dxa"/>
          </w:tcPr>
          <w:p w:rsidR="001659C0" w:rsidRPr="00E45552" w:rsidRDefault="001659C0" w:rsidP="00FD0B67">
            <w:r w:rsidRPr="00E45552">
              <w:t>2012</w:t>
            </w:r>
          </w:p>
        </w:tc>
        <w:tc>
          <w:tcPr>
            <w:tcW w:w="3083" w:type="dxa"/>
          </w:tcPr>
          <w:p w:rsidR="001659C0" w:rsidRPr="00E45552" w:rsidRDefault="001659C0" w:rsidP="00FD0B67">
            <w:r w:rsidRPr="00E45552">
              <w:t xml:space="preserve"> 39.600 </w:t>
            </w:r>
          </w:p>
        </w:tc>
      </w:tr>
      <w:tr w:rsidR="001659C0" w:rsidTr="001659C0">
        <w:trPr>
          <w:jc w:val="center"/>
        </w:trPr>
        <w:tc>
          <w:tcPr>
            <w:tcW w:w="3542" w:type="dxa"/>
          </w:tcPr>
          <w:p w:rsidR="001659C0" w:rsidRPr="00E45552" w:rsidRDefault="001659C0" w:rsidP="00FD0B67">
            <w:r w:rsidRPr="00E45552">
              <w:t>Macaparana - PE</w:t>
            </w:r>
          </w:p>
        </w:tc>
        <w:tc>
          <w:tcPr>
            <w:tcW w:w="1563" w:type="dxa"/>
          </w:tcPr>
          <w:p w:rsidR="001659C0" w:rsidRPr="00E45552" w:rsidRDefault="001659C0" w:rsidP="00FD0B67">
            <w:r w:rsidRPr="00E45552">
              <w:t>2010</w:t>
            </w:r>
          </w:p>
        </w:tc>
        <w:tc>
          <w:tcPr>
            <w:tcW w:w="3083" w:type="dxa"/>
          </w:tcPr>
          <w:p w:rsidR="001659C0" w:rsidRPr="00E45552" w:rsidRDefault="001659C0" w:rsidP="00FD0B67">
            <w:r w:rsidRPr="00E45552">
              <w:t xml:space="preserve"> 4.950 </w:t>
            </w:r>
          </w:p>
        </w:tc>
      </w:tr>
      <w:tr w:rsidR="001659C0" w:rsidTr="001659C0">
        <w:trPr>
          <w:jc w:val="center"/>
        </w:trPr>
        <w:tc>
          <w:tcPr>
            <w:tcW w:w="3542" w:type="dxa"/>
          </w:tcPr>
          <w:p w:rsidR="001659C0" w:rsidRPr="00E45552" w:rsidRDefault="001659C0" w:rsidP="00FD0B67">
            <w:r w:rsidRPr="00E45552">
              <w:t>Palmares do Sul - RS</w:t>
            </w:r>
          </w:p>
        </w:tc>
        <w:tc>
          <w:tcPr>
            <w:tcW w:w="1563" w:type="dxa"/>
          </w:tcPr>
          <w:p w:rsidR="001659C0" w:rsidRPr="00E45552" w:rsidRDefault="001659C0" w:rsidP="00FD0B67">
            <w:r w:rsidRPr="00E45552">
              <w:t>2010</w:t>
            </w:r>
          </w:p>
        </w:tc>
        <w:tc>
          <w:tcPr>
            <w:tcW w:w="3083" w:type="dxa"/>
          </w:tcPr>
          <w:p w:rsidR="001659C0" w:rsidRPr="00E45552" w:rsidRDefault="001659C0" w:rsidP="00FD0B67">
            <w:r w:rsidRPr="00E45552">
              <w:t xml:space="preserve"> 9.200 </w:t>
            </w:r>
          </w:p>
        </w:tc>
      </w:tr>
      <w:tr w:rsidR="001659C0" w:rsidTr="001659C0">
        <w:trPr>
          <w:jc w:val="center"/>
        </w:trPr>
        <w:tc>
          <w:tcPr>
            <w:tcW w:w="3542" w:type="dxa"/>
          </w:tcPr>
          <w:p w:rsidR="001659C0" w:rsidRPr="00E45552" w:rsidRDefault="001659C0" w:rsidP="00FD0B67">
            <w:r w:rsidRPr="00E45552">
              <w:t>Paracuru - CE</w:t>
            </w:r>
          </w:p>
        </w:tc>
        <w:tc>
          <w:tcPr>
            <w:tcW w:w="1563" w:type="dxa"/>
          </w:tcPr>
          <w:p w:rsidR="001659C0" w:rsidRPr="00E45552" w:rsidRDefault="001659C0" w:rsidP="00FD0B67">
            <w:r w:rsidRPr="00E45552">
              <w:t>2008</w:t>
            </w:r>
          </w:p>
        </w:tc>
        <w:tc>
          <w:tcPr>
            <w:tcW w:w="3083" w:type="dxa"/>
          </w:tcPr>
          <w:p w:rsidR="001659C0" w:rsidRPr="00E45552" w:rsidRDefault="001659C0" w:rsidP="00FD0B67">
            <w:r w:rsidRPr="00E45552">
              <w:t xml:space="preserve"> 25.200 </w:t>
            </w:r>
          </w:p>
        </w:tc>
      </w:tr>
      <w:tr w:rsidR="001659C0" w:rsidTr="001659C0">
        <w:trPr>
          <w:jc w:val="center"/>
        </w:trPr>
        <w:tc>
          <w:tcPr>
            <w:tcW w:w="3542" w:type="dxa"/>
          </w:tcPr>
          <w:p w:rsidR="001659C0" w:rsidRPr="00E45552" w:rsidRDefault="001659C0" w:rsidP="00FD0B67">
            <w:r w:rsidRPr="00E45552">
              <w:t>Parazinho - RN</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466.000 </w:t>
            </w:r>
          </w:p>
        </w:tc>
      </w:tr>
      <w:tr w:rsidR="001659C0" w:rsidTr="001659C0">
        <w:trPr>
          <w:jc w:val="center"/>
        </w:trPr>
        <w:tc>
          <w:tcPr>
            <w:tcW w:w="3542" w:type="dxa"/>
          </w:tcPr>
          <w:p w:rsidR="001659C0" w:rsidRPr="00E45552" w:rsidRDefault="001659C0" w:rsidP="00FD0B67">
            <w:r w:rsidRPr="00E45552">
              <w:t>Parnaíba - PI</w:t>
            </w:r>
          </w:p>
        </w:tc>
        <w:tc>
          <w:tcPr>
            <w:tcW w:w="1563" w:type="dxa"/>
          </w:tcPr>
          <w:p w:rsidR="001659C0" w:rsidRPr="00E45552" w:rsidRDefault="001659C0" w:rsidP="00FD0B67">
            <w:r w:rsidRPr="00E45552">
              <w:t>2008</w:t>
            </w:r>
          </w:p>
        </w:tc>
        <w:tc>
          <w:tcPr>
            <w:tcW w:w="3083" w:type="dxa"/>
          </w:tcPr>
          <w:p w:rsidR="001659C0" w:rsidRPr="00E45552" w:rsidRDefault="001659C0" w:rsidP="00FD0B67">
            <w:r w:rsidRPr="00E45552">
              <w:t xml:space="preserve"> 18.000 </w:t>
            </w:r>
          </w:p>
        </w:tc>
      </w:tr>
      <w:tr w:rsidR="001659C0" w:rsidTr="001659C0">
        <w:trPr>
          <w:jc w:val="center"/>
        </w:trPr>
        <w:tc>
          <w:tcPr>
            <w:tcW w:w="3542" w:type="dxa"/>
          </w:tcPr>
          <w:p w:rsidR="001659C0" w:rsidRPr="00E45552" w:rsidRDefault="001659C0" w:rsidP="00FD0B67">
            <w:r w:rsidRPr="00E45552">
              <w:t>Pedra Grande - RN</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118.400 </w:t>
            </w:r>
          </w:p>
        </w:tc>
      </w:tr>
      <w:tr w:rsidR="001659C0" w:rsidTr="001659C0">
        <w:trPr>
          <w:jc w:val="center"/>
        </w:trPr>
        <w:tc>
          <w:tcPr>
            <w:tcW w:w="3542" w:type="dxa"/>
          </w:tcPr>
          <w:p w:rsidR="001659C0" w:rsidRPr="00E45552" w:rsidRDefault="001659C0" w:rsidP="00FD0B67">
            <w:r w:rsidRPr="00E45552">
              <w:t>Pelotas - RS</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1,98 </w:t>
            </w:r>
          </w:p>
        </w:tc>
      </w:tr>
      <w:tr w:rsidR="001659C0" w:rsidTr="001659C0">
        <w:trPr>
          <w:jc w:val="center"/>
        </w:trPr>
        <w:tc>
          <w:tcPr>
            <w:tcW w:w="3542" w:type="dxa"/>
          </w:tcPr>
          <w:p w:rsidR="001659C0" w:rsidRPr="00E45552" w:rsidRDefault="001659C0" w:rsidP="00FD0B67">
            <w:r w:rsidRPr="00E45552">
              <w:t>Pombos - PE</w:t>
            </w:r>
          </w:p>
        </w:tc>
        <w:tc>
          <w:tcPr>
            <w:tcW w:w="1563" w:type="dxa"/>
          </w:tcPr>
          <w:p w:rsidR="001659C0" w:rsidRPr="00E45552" w:rsidRDefault="001659C0" w:rsidP="00FD0B67">
            <w:r w:rsidRPr="00E45552">
              <w:t>2010</w:t>
            </w:r>
          </w:p>
        </w:tc>
        <w:tc>
          <w:tcPr>
            <w:tcW w:w="3083" w:type="dxa"/>
          </w:tcPr>
          <w:p w:rsidR="001659C0" w:rsidRPr="00E45552" w:rsidRDefault="001659C0" w:rsidP="00FD0B67">
            <w:r w:rsidRPr="00E45552">
              <w:t xml:space="preserve"> 4.950 </w:t>
            </w:r>
          </w:p>
        </w:tc>
      </w:tr>
      <w:tr w:rsidR="001659C0" w:rsidTr="001659C0">
        <w:trPr>
          <w:jc w:val="center"/>
        </w:trPr>
        <w:tc>
          <w:tcPr>
            <w:tcW w:w="3542" w:type="dxa"/>
          </w:tcPr>
          <w:p w:rsidR="001659C0" w:rsidRPr="00E45552" w:rsidRDefault="001659C0" w:rsidP="00FD0B67">
            <w:proofErr w:type="gramStart"/>
            <w:r w:rsidRPr="00E45552">
              <w:t>Sant'Ana</w:t>
            </w:r>
            <w:proofErr w:type="gramEnd"/>
            <w:r w:rsidRPr="00E45552">
              <w:t xml:space="preserve"> do Livramento - RS</w:t>
            </w:r>
          </w:p>
        </w:tc>
        <w:tc>
          <w:tcPr>
            <w:tcW w:w="1563" w:type="dxa"/>
          </w:tcPr>
          <w:p w:rsidR="001659C0" w:rsidRPr="00E45552" w:rsidRDefault="001659C0" w:rsidP="00FD0B67">
            <w:r w:rsidRPr="00E45552">
              <w:t>2011</w:t>
            </w:r>
          </w:p>
        </w:tc>
        <w:tc>
          <w:tcPr>
            <w:tcW w:w="3083" w:type="dxa"/>
          </w:tcPr>
          <w:p w:rsidR="001659C0" w:rsidRPr="00E45552" w:rsidRDefault="001659C0" w:rsidP="00FD0B67">
            <w:r w:rsidRPr="00E45552">
              <w:t xml:space="preserve"> 60.000 </w:t>
            </w:r>
          </w:p>
        </w:tc>
      </w:tr>
      <w:tr w:rsidR="001659C0" w:rsidTr="001659C0">
        <w:trPr>
          <w:jc w:val="center"/>
        </w:trPr>
        <w:tc>
          <w:tcPr>
            <w:tcW w:w="3542" w:type="dxa"/>
          </w:tcPr>
          <w:p w:rsidR="001659C0" w:rsidRPr="00E45552" w:rsidRDefault="001659C0" w:rsidP="00FD0B67">
            <w:r w:rsidRPr="00E45552">
              <w:t>São Francisco de Itabapoana - RJ</w:t>
            </w:r>
          </w:p>
        </w:tc>
        <w:tc>
          <w:tcPr>
            <w:tcW w:w="1563" w:type="dxa"/>
          </w:tcPr>
          <w:p w:rsidR="001659C0" w:rsidRPr="00E45552" w:rsidRDefault="001659C0" w:rsidP="00FD0B67">
            <w:r w:rsidRPr="00E45552">
              <w:t>2010</w:t>
            </w:r>
          </w:p>
        </w:tc>
        <w:tc>
          <w:tcPr>
            <w:tcW w:w="3083" w:type="dxa"/>
          </w:tcPr>
          <w:p w:rsidR="001659C0" w:rsidRPr="00E45552" w:rsidRDefault="001659C0" w:rsidP="00FD0B67">
            <w:r w:rsidRPr="00E45552">
              <w:t xml:space="preserve"> 28.050 </w:t>
            </w:r>
          </w:p>
        </w:tc>
      </w:tr>
      <w:tr w:rsidR="001659C0" w:rsidTr="001659C0">
        <w:trPr>
          <w:jc w:val="center"/>
        </w:trPr>
        <w:tc>
          <w:tcPr>
            <w:tcW w:w="3542" w:type="dxa"/>
          </w:tcPr>
          <w:p w:rsidR="001659C0" w:rsidRPr="00E45552" w:rsidRDefault="001659C0" w:rsidP="00FD0B67">
            <w:r w:rsidRPr="00E45552">
              <w:t>São Miguel do Gostoso - RN</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51.200 </w:t>
            </w:r>
          </w:p>
        </w:tc>
      </w:tr>
      <w:tr w:rsidR="001659C0" w:rsidTr="001659C0">
        <w:trPr>
          <w:jc w:val="center"/>
        </w:trPr>
        <w:tc>
          <w:tcPr>
            <w:tcW w:w="3542" w:type="dxa"/>
          </w:tcPr>
          <w:p w:rsidR="001659C0" w:rsidRPr="00E45552" w:rsidRDefault="001659C0" w:rsidP="00FD0B67">
            <w:r w:rsidRPr="00E45552">
              <w:t>Sento Sé - BA</w:t>
            </w:r>
          </w:p>
        </w:tc>
        <w:tc>
          <w:tcPr>
            <w:tcW w:w="1563" w:type="dxa"/>
          </w:tcPr>
          <w:p w:rsidR="001659C0" w:rsidRPr="00E45552" w:rsidRDefault="001659C0" w:rsidP="00FD0B67">
            <w:r w:rsidRPr="00E45552">
              <w:t>2013</w:t>
            </w:r>
          </w:p>
        </w:tc>
        <w:tc>
          <w:tcPr>
            <w:tcW w:w="3083" w:type="dxa"/>
          </w:tcPr>
          <w:p w:rsidR="001659C0" w:rsidRPr="00E45552" w:rsidRDefault="001659C0" w:rsidP="00FD0B67">
            <w:r w:rsidRPr="00E45552">
              <w:t xml:space="preserve"> 90.000 </w:t>
            </w:r>
          </w:p>
        </w:tc>
      </w:tr>
      <w:tr w:rsidR="001659C0" w:rsidTr="001659C0">
        <w:trPr>
          <w:jc w:val="center"/>
        </w:trPr>
        <w:tc>
          <w:tcPr>
            <w:tcW w:w="3542" w:type="dxa"/>
          </w:tcPr>
          <w:p w:rsidR="001659C0" w:rsidRPr="00E45552" w:rsidRDefault="001659C0" w:rsidP="00FD0B67">
            <w:r w:rsidRPr="00E45552">
              <w:t>Sobradinho - BA</w:t>
            </w:r>
          </w:p>
        </w:tc>
        <w:tc>
          <w:tcPr>
            <w:tcW w:w="1563" w:type="dxa"/>
          </w:tcPr>
          <w:p w:rsidR="001659C0" w:rsidRPr="00E45552" w:rsidRDefault="001659C0" w:rsidP="00FD0B67">
            <w:r w:rsidRPr="00E45552">
              <w:t>2013</w:t>
            </w:r>
          </w:p>
        </w:tc>
        <w:tc>
          <w:tcPr>
            <w:tcW w:w="3083" w:type="dxa"/>
          </w:tcPr>
          <w:p w:rsidR="001659C0" w:rsidRPr="00E45552" w:rsidRDefault="001659C0" w:rsidP="00FD0B67">
            <w:r w:rsidRPr="00E45552">
              <w:t xml:space="preserve"> 48.000 </w:t>
            </w:r>
          </w:p>
        </w:tc>
      </w:tr>
      <w:tr w:rsidR="001659C0" w:rsidTr="001659C0">
        <w:trPr>
          <w:jc w:val="center"/>
        </w:trPr>
        <w:tc>
          <w:tcPr>
            <w:tcW w:w="3542" w:type="dxa"/>
          </w:tcPr>
          <w:p w:rsidR="001659C0" w:rsidRPr="00E45552" w:rsidRDefault="001659C0" w:rsidP="00FD0B67">
            <w:r w:rsidRPr="00E45552">
              <w:t>Trairi - CE</w:t>
            </w:r>
          </w:p>
        </w:tc>
        <w:tc>
          <w:tcPr>
            <w:tcW w:w="1563" w:type="dxa"/>
          </w:tcPr>
          <w:p w:rsidR="001659C0" w:rsidRPr="00E45552" w:rsidRDefault="001659C0" w:rsidP="00FD0B67">
            <w:r w:rsidRPr="00E45552">
              <w:t>2013</w:t>
            </w:r>
          </w:p>
        </w:tc>
        <w:tc>
          <w:tcPr>
            <w:tcW w:w="3083" w:type="dxa"/>
          </w:tcPr>
          <w:p w:rsidR="001659C0" w:rsidRPr="00E45552" w:rsidRDefault="001659C0" w:rsidP="00FD0B67">
            <w:r w:rsidRPr="00E45552">
              <w:t xml:space="preserve"> 55.392 </w:t>
            </w:r>
          </w:p>
        </w:tc>
      </w:tr>
      <w:tr w:rsidR="001659C0" w:rsidTr="001659C0">
        <w:trPr>
          <w:jc w:val="center"/>
        </w:trPr>
        <w:tc>
          <w:tcPr>
            <w:tcW w:w="3542" w:type="dxa"/>
          </w:tcPr>
          <w:p w:rsidR="001659C0" w:rsidRPr="00E45552" w:rsidRDefault="001659C0" w:rsidP="00FD0B67">
            <w:r w:rsidRPr="00E45552">
              <w:t>Tramandaí - RS</w:t>
            </w:r>
          </w:p>
        </w:tc>
        <w:tc>
          <w:tcPr>
            <w:tcW w:w="1563" w:type="dxa"/>
          </w:tcPr>
          <w:p w:rsidR="001659C0" w:rsidRPr="00E45552" w:rsidRDefault="001659C0" w:rsidP="00FD0B67">
            <w:r w:rsidRPr="00E45552">
              <w:t>2011</w:t>
            </w:r>
          </w:p>
        </w:tc>
        <w:tc>
          <w:tcPr>
            <w:tcW w:w="3083" w:type="dxa"/>
          </w:tcPr>
          <w:p w:rsidR="001659C0" w:rsidRPr="00E45552" w:rsidRDefault="001659C0" w:rsidP="00FD0B67">
            <w:r w:rsidRPr="00E45552">
              <w:t xml:space="preserve"> 70.000 </w:t>
            </w:r>
          </w:p>
        </w:tc>
      </w:tr>
      <w:tr w:rsidR="001659C0" w:rsidTr="001659C0">
        <w:trPr>
          <w:jc w:val="center"/>
        </w:trPr>
        <w:tc>
          <w:tcPr>
            <w:tcW w:w="3542" w:type="dxa"/>
          </w:tcPr>
          <w:p w:rsidR="001659C0" w:rsidRPr="00E45552" w:rsidRDefault="001659C0" w:rsidP="00FD0B67">
            <w:r w:rsidRPr="00E45552">
              <w:t>Tubarão - SC</w:t>
            </w:r>
          </w:p>
        </w:tc>
        <w:tc>
          <w:tcPr>
            <w:tcW w:w="1563" w:type="dxa"/>
          </w:tcPr>
          <w:p w:rsidR="001659C0" w:rsidRPr="00E45552" w:rsidRDefault="001659C0" w:rsidP="00FD0B67">
            <w:r w:rsidRPr="00E45552">
              <w:t>2014</w:t>
            </w:r>
          </w:p>
        </w:tc>
        <w:tc>
          <w:tcPr>
            <w:tcW w:w="3083" w:type="dxa"/>
          </w:tcPr>
          <w:p w:rsidR="001659C0" w:rsidRPr="00E45552" w:rsidRDefault="001659C0" w:rsidP="00FD0B67">
            <w:r w:rsidRPr="00E45552">
              <w:t xml:space="preserve"> 2.099,5 </w:t>
            </w:r>
          </w:p>
        </w:tc>
      </w:tr>
      <w:tr w:rsidR="001659C0" w:rsidTr="001659C0">
        <w:trPr>
          <w:jc w:val="center"/>
        </w:trPr>
        <w:tc>
          <w:tcPr>
            <w:tcW w:w="3542" w:type="dxa"/>
          </w:tcPr>
          <w:p w:rsidR="001659C0" w:rsidRPr="00E45552" w:rsidRDefault="001659C0" w:rsidP="00FD0B67">
            <w:proofErr w:type="spellStart"/>
            <w:r w:rsidRPr="00E45552">
              <w:t>Xangri-lá</w:t>
            </w:r>
            <w:proofErr w:type="spellEnd"/>
            <w:r w:rsidRPr="00E45552">
              <w:t xml:space="preserve"> - RS</w:t>
            </w:r>
          </w:p>
        </w:tc>
        <w:tc>
          <w:tcPr>
            <w:tcW w:w="1563" w:type="dxa"/>
          </w:tcPr>
          <w:p w:rsidR="001659C0" w:rsidRPr="00E45552" w:rsidRDefault="001659C0" w:rsidP="00FD0B67">
            <w:r w:rsidRPr="00E45552">
              <w:t>2014</w:t>
            </w:r>
          </w:p>
        </w:tc>
        <w:tc>
          <w:tcPr>
            <w:tcW w:w="3083" w:type="dxa"/>
          </w:tcPr>
          <w:p w:rsidR="001659C0" w:rsidRDefault="001659C0" w:rsidP="00FD0B67">
            <w:r w:rsidRPr="00E45552">
              <w:t xml:space="preserve"> 27.675 </w:t>
            </w:r>
          </w:p>
        </w:tc>
      </w:tr>
    </w:tbl>
    <w:p w:rsidR="00A25407" w:rsidRDefault="00A25407" w:rsidP="00A25407">
      <w:pPr>
        <w:pStyle w:val="BNDES"/>
        <w:jc w:val="center"/>
      </w:pPr>
      <w:r w:rsidRPr="00AB5CCC">
        <w:t>Fonte: Elaboração própria com base em dados da ANEEL.</w:t>
      </w:r>
    </w:p>
    <w:p w:rsidR="009823D9" w:rsidRDefault="009823D9" w:rsidP="009823D9">
      <w:pPr>
        <w:pStyle w:val="BNDES"/>
      </w:pPr>
    </w:p>
    <w:p w:rsidR="009823D9" w:rsidRDefault="009823D9" w:rsidP="009823D9">
      <w:pPr>
        <w:pStyle w:val="BNDES"/>
        <w:ind w:firstLine="709"/>
      </w:pPr>
      <w:r>
        <w:t xml:space="preserve">A tabela </w:t>
      </w:r>
      <w:r w:rsidR="00A73039">
        <w:t>a seguir</w:t>
      </w:r>
      <w:r>
        <w:t xml:space="preserve"> apresenta estatísticas descritivas sobre os municípios tratados em relação ao total de municípios </w:t>
      </w:r>
      <w:r w:rsidR="006020F3">
        <w:t>elegíveis</w:t>
      </w:r>
      <w:r w:rsidR="00A73039">
        <w:t xml:space="preserve"> como unidades de comparação</w:t>
      </w:r>
      <w:r w:rsidR="007B1591">
        <w:t xml:space="preserve"> (</w:t>
      </w:r>
      <w:proofErr w:type="spellStart"/>
      <w:r w:rsidR="007B1591" w:rsidRPr="007B1591">
        <w:rPr>
          <w:i/>
        </w:rPr>
        <w:t>donor</w:t>
      </w:r>
      <w:proofErr w:type="spellEnd"/>
      <w:r w:rsidR="007B1591" w:rsidRPr="007B1591">
        <w:rPr>
          <w:i/>
        </w:rPr>
        <w:t xml:space="preserve"> pool</w:t>
      </w:r>
      <w:r w:rsidR="007B1591">
        <w:t>)</w:t>
      </w:r>
      <w:r w:rsidR="00A73039">
        <w:t>,</w:t>
      </w:r>
      <w:r>
        <w:t xml:space="preserve"> considera</w:t>
      </w:r>
      <w:r w:rsidR="00A73039">
        <w:t>ndo-se</w:t>
      </w:r>
      <w:r>
        <w:t xml:space="preserve"> o ano imediatamente anterior aos primeiros tratamentos (2007). </w:t>
      </w:r>
      <w:r w:rsidR="006020F3">
        <w:t xml:space="preserve">Apresenta-se </w:t>
      </w:r>
      <w:r w:rsidR="007B1591">
        <w:t xml:space="preserve">a média e o desvio-padrão de 16 indicadores com o objetivo de apresentar um perfil dos dois grupos de municípios. </w:t>
      </w:r>
      <w:r>
        <w:t xml:space="preserve">Conforme mostra a tabela, os tratados estavam, em 2007, com uma renda anual média por habitante ligeiramente acima da média nacional. </w:t>
      </w:r>
      <w:r w:rsidR="005904A8">
        <w:t xml:space="preserve">Além disso, apresentam maior porte do que os </w:t>
      </w:r>
      <w:proofErr w:type="gramStart"/>
      <w:r w:rsidR="005904A8">
        <w:t>não-tratados</w:t>
      </w:r>
      <w:proofErr w:type="gramEnd"/>
      <w:r w:rsidR="005904A8">
        <w:t xml:space="preserve"> em população, número de </w:t>
      </w:r>
      <w:r w:rsidR="005904A8">
        <w:lastRenderedPageBreak/>
        <w:t>estabelecimentos, receitas totais, despesas com saúde e educação e extensão da rede de água</w:t>
      </w:r>
      <w:r>
        <w:t>.</w:t>
      </w:r>
      <w:r w:rsidR="005904A8">
        <w:t xml:space="preserve"> Já os potenciais controles apresentam vantagem em termos de PIB, receitas tributárias, menores homicídios per capita e extensão da rede de esgotos. Pelos dados apresentados, não é possível inferir diferenciais de níveis de desenvolvimento entre os dois grupos.</w:t>
      </w:r>
    </w:p>
    <w:p w:rsidR="00DD118A" w:rsidRDefault="00DD118A" w:rsidP="009823D9">
      <w:pPr>
        <w:pStyle w:val="BNDES"/>
        <w:ind w:firstLine="709"/>
      </w:pPr>
    </w:p>
    <w:p w:rsidR="009823D9" w:rsidRPr="001C4270" w:rsidRDefault="009823D9" w:rsidP="001C4270">
      <w:pPr>
        <w:pStyle w:val="BNDES"/>
        <w:jc w:val="center"/>
        <w:rPr>
          <w:b/>
        </w:rPr>
      </w:pPr>
      <w:r w:rsidRPr="0003489B">
        <w:rPr>
          <w:b/>
        </w:rPr>
        <w:t xml:space="preserve">Tabela </w:t>
      </w:r>
      <w:r w:rsidR="004066C8">
        <w:rPr>
          <w:b/>
        </w:rPr>
        <w:t>3</w:t>
      </w:r>
      <w:r w:rsidRPr="0003489B">
        <w:rPr>
          <w:b/>
        </w:rPr>
        <w:t>: Perfil das Unidades</w:t>
      </w:r>
      <w:r w:rsidR="00075958">
        <w:rPr>
          <w:b/>
        </w:rPr>
        <w:t xml:space="preserve"> (2007)</w:t>
      </w:r>
    </w:p>
    <w:tbl>
      <w:tblPr>
        <w:tblStyle w:val="Tabelacomgrade"/>
        <w:tblW w:w="0" w:type="auto"/>
        <w:tblInd w:w="108" w:type="dxa"/>
        <w:tblLook w:val="04A0" w:firstRow="1" w:lastRow="0" w:firstColumn="1" w:lastColumn="0" w:noHBand="0" w:noVBand="1"/>
      </w:tblPr>
      <w:tblGrid>
        <w:gridCol w:w="2516"/>
        <w:gridCol w:w="1836"/>
        <w:gridCol w:w="2016"/>
        <w:gridCol w:w="1836"/>
        <w:gridCol w:w="2002"/>
      </w:tblGrid>
      <w:tr w:rsidR="00DD118A" w:rsidRPr="00DD118A" w:rsidTr="00F5593C">
        <w:tc>
          <w:tcPr>
            <w:tcW w:w="2516" w:type="dxa"/>
            <w:vMerge w:val="restart"/>
            <w:vAlign w:val="bottom"/>
          </w:tcPr>
          <w:p w:rsidR="00DD118A" w:rsidRPr="00DD118A" w:rsidRDefault="00DD118A" w:rsidP="00DD118A">
            <w:pPr>
              <w:jc w:val="center"/>
              <w:rPr>
                <w:rFonts w:asciiTheme="minorHAnsi" w:hAnsiTheme="minorHAnsi" w:cstheme="minorHAnsi"/>
                <w:b/>
                <w:color w:val="000000"/>
              </w:rPr>
            </w:pPr>
            <w:r w:rsidRPr="00DD118A">
              <w:rPr>
                <w:rFonts w:asciiTheme="minorHAnsi" w:hAnsiTheme="minorHAnsi" w:cstheme="minorHAnsi"/>
                <w:b/>
                <w:color w:val="000000"/>
              </w:rPr>
              <w:t>Variável</w:t>
            </w:r>
          </w:p>
        </w:tc>
        <w:tc>
          <w:tcPr>
            <w:tcW w:w="3852" w:type="dxa"/>
            <w:gridSpan w:val="2"/>
            <w:vAlign w:val="bottom"/>
          </w:tcPr>
          <w:p w:rsidR="00DD118A" w:rsidRPr="001C4270" w:rsidRDefault="00DD118A" w:rsidP="00DD118A">
            <w:pPr>
              <w:jc w:val="center"/>
              <w:rPr>
                <w:rFonts w:asciiTheme="minorHAnsi" w:hAnsiTheme="minorHAnsi" w:cstheme="minorHAnsi"/>
                <w:b/>
                <w:i/>
                <w:color w:val="000000"/>
              </w:rPr>
            </w:pPr>
            <w:proofErr w:type="spellStart"/>
            <w:r w:rsidRPr="001C4270">
              <w:rPr>
                <w:rFonts w:asciiTheme="minorHAnsi" w:hAnsiTheme="minorHAnsi" w:cstheme="minorHAnsi"/>
                <w:b/>
                <w:i/>
                <w:color w:val="000000"/>
              </w:rPr>
              <w:t>Donor</w:t>
            </w:r>
            <w:proofErr w:type="spellEnd"/>
            <w:r w:rsidRPr="001C4270">
              <w:rPr>
                <w:rFonts w:asciiTheme="minorHAnsi" w:hAnsiTheme="minorHAnsi" w:cstheme="minorHAnsi"/>
                <w:b/>
                <w:i/>
                <w:color w:val="000000"/>
              </w:rPr>
              <w:t xml:space="preserve"> Pool</w:t>
            </w:r>
          </w:p>
        </w:tc>
        <w:tc>
          <w:tcPr>
            <w:tcW w:w="3838" w:type="dxa"/>
            <w:gridSpan w:val="2"/>
            <w:vAlign w:val="bottom"/>
          </w:tcPr>
          <w:p w:rsidR="00DD118A" w:rsidRPr="00DD118A" w:rsidRDefault="00DD118A" w:rsidP="00DD118A">
            <w:pPr>
              <w:jc w:val="center"/>
              <w:rPr>
                <w:rFonts w:asciiTheme="minorHAnsi" w:hAnsiTheme="minorHAnsi" w:cstheme="minorHAnsi"/>
                <w:b/>
                <w:color w:val="000000"/>
              </w:rPr>
            </w:pPr>
            <w:r w:rsidRPr="00DD118A">
              <w:rPr>
                <w:rFonts w:asciiTheme="minorHAnsi" w:hAnsiTheme="minorHAnsi" w:cstheme="minorHAnsi"/>
                <w:b/>
                <w:color w:val="000000"/>
              </w:rPr>
              <w:t>Tratados</w:t>
            </w:r>
          </w:p>
        </w:tc>
      </w:tr>
      <w:tr w:rsidR="00DD118A" w:rsidRPr="00DD118A" w:rsidTr="00F5593C">
        <w:tc>
          <w:tcPr>
            <w:tcW w:w="2516" w:type="dxa"/>
            <w:vMerge/>
            <w:vAlign w:val="bottom"/>
          </w:tcPr>
          <w:p w:rsidR="00DD118A" w:rsidRPr="00DD118A" w:rsidRDefault="00DD118A" w:rsidP="00DD118A">
            <w:pPr>
              <w:jc w:val="center"/>
              <w:rPr>
                <w:rFonts w:asciiTheme="minorHAnsi" w:hAnsiTheme="minorHAnsi" w:cstheme="minorHAnsi"/>
                <w:b/>
                <w:color w:val="000000"/>
              </w:rPr>
            </w:pPr>
          </w:p>
        </w:tc>
        <w:tc>
          <w:tcPr>
            <w:tcW w:w="1836" w:type="dxa"/>
            <w:vAlign w:val="bottom"/>
          </w:tcPr>
          <w:p w:rsidR="00DD118A" w:rsidRPr="00DD118A" w:rsidRDefault="00DD118A" w:rsidP="00DD118A">
            <w:pPr>
              <w:jc w:val="center"/>
              <w:rPr>
                <w:rFonts w:asciiTheme="minorHAnsi" w:hAnsiTheme="minorHAnsi" w:cstheme="minorHAnsi"/>
                <w:b/>
                <w:color w:val="000000"/>
              </w:rPr>
            </w:pPr>
            <w:r w:rsidRPr="00DD118A">
              <w:rPr>
                <w:rFonts w:asciiTheme="minorHAnsi" w:hAnsiTheme="minorHAnsi" w:cstheme="minorHAnsi"/>
                <w:b/>
                <w:color w:val="000000"/>
              </w:rPr>
              <w:t>Média</w:t>
            </w:r>
          </w:p>
        </w:tc>
        <w:tc>
          <w:tcPr>
            <w:tcW w:w="2016" w:type="dxa"/>
            <w:vAlign w:val="bottom"/>
          </w:tcPr>
          <w:p w:rsidR="00DD118A" w:rsidRPr="00DD118A" w:rsidRDefault="00DD118A" w:rsidP="00DD118A">
            <w:pPr>
              <w:jc w:val="center"/>
              <w:rPr>
                <w:rFonts w:asciiTheme="minorHAnsi" w:hAnsiTheme="minorHAnsi" w:cstheme="minorHAnsi"/>
                <w:b/>
                <w:color w:val="000000"/>
              </w:rPr>
            </w:pPr>
            <w:r w:rsidRPr="00DD118A">
              <w:rPr>
                <w:rFonts w:asciiTheme="minorHAnsi" w:hAnsiTheme="minorHAnsi" w:cstheme="minorHAnsi"/>
                <w:b/>
                <w:color w:val="000000"/>
              </w:rPr>
              <w:t>Desvio-Padrão</w:t>
            </w:r>
          </w:p>
        </w:tc>
        <w:tc>
          <w:tcPr>
            <w:tcW w:w="1836" w:type="dxa"/>
            <w:vAlign w:val="bottom"/>
          </w:tcPr>
          <w:p w:rsidR="00DD118A" w:rsidRPr="00DD118A" w:rsidRDefault="00DD118A" w:rsidP="00DD118A">
            <w:pPr>
              <w:jc w:val="center"/>
              <w:rPr>
                <w:rFonts w:asciiTheme="minorHAnsi" w:hAnsiTheme="minorHAnsi" w:cstheme="minorHAnsi"/>
                <w:b/>
                <w:color w:val="000000"/>
              </w:rPr>
            </w:pPr>
            <w:r w:rsidRPr="00DD118A">
              <w:rPr>
                <w:rFonts w:asciiTheme="minorHAnsi" w:hAnsiTheme="minorHAnsi" w:cstheme="minorHAnsi"/>
                <w:b/>
                <w:color w:val="000000"/>
              </w:rPr>
              <w:t>Média</w:t>
            </w:r>
          </w:p>
        </w:tc>
        <w:tc>
          <w:tcPr>
            <w:tcW w:w="2002" w:type="dxa"/>
            <w:vAlign w:val="bottom"/>
          </w:tcPr>
          <w:p w:rsidR="00DD118A" w:rsidRPr="00DD118A" w:rsidRDefault="00DD118A" w:rsidP="00DD118A">
            <w:pPr>
              <w:jc w:val="center"/>
              <w:rPr>
                <w:rFonts w:asciiTheme="minorHAnsi" w:hAnsiTheme="minorHAnsi" w:cstheme="minorHAnsi"/>
                <w:b/>
                <w:color w:val="000000"/>
              </w:rPr>
            </w:pPr>
            <w:r w:rsidRPr="00DD118A">
              <w:rPr>
                <w:rFonts w:asciiTheme="minorHAnsi" w:hAnsiTheme="minorHAnsi" w:cstheme="minorHAnsi"/>
                <w:b/>
                <w:color w:val="000000"/>
              </w:rPr>
              <w:t>Desvio-Padrão</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PIB (R$)</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488.272.016,86</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5.279.110.957,38</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449.717.972,97</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665.679.901,85</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 xml:space="preserve">PIB per Capita </w:t>
            </w:r>
            <w:r w:rsidRPr="00DD118A">
              <w:rPr>
                <w:rFonts w:asciiTheme="minorHAnsi" w:hAnsiTheme="minorHAnsi" w:cstheme="minorHAnsi"/>
                <w:color w:val="000000"/>
              </w:rPr>
              <w:t>(R$)</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9.194,31</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10.845,34</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9.760,24</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10.238,24</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Adm. Pública/PIB (%)</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34,04</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17,69</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32,17</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16,71</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Agropecuária/PIB (%)</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22,10</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15,29</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11,30</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8,72</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Indústria/PIB (%)</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13,52</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15,15</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23,02</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23,74</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Serviços/PIB (%)</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30,34</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12,55</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33,52</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15,89</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P</w:t>
            </w:r>
            <w:r w:rsidRPr="00DD118A">
              <w:rPr>
                <w:rFonts w:asciiTheme="minorHAnsi" w:hAnsiTheme="minorHAnsi" w:cstheme="minorHAnsi"/>
                <w:color w:val="000000"/>
              </w:rPr>
              <w:t>opulação</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32.522,25</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196.462,44</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49.570,16</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60.348,03</w:t>
            </w:r>
          </w:p>
        </w:tc>
      </w:tr>
      <w:tr w:rsidR="00DD118A" w:rsidTr="00F5593C">
        <w:tc>
          <w:tcPr>
            <w:tcW w:w="2516" w:type="dxa"/>
            <w:vAlign w:val="bottom"/>
          </w:tcPr>
          <w:p w:rsidR="00DD118A" w:rsidRPr="00DD118A" w:rsidRDefault="00DD118A" w:rsidP="00DD118A">
            <w:pPr>
              <w:rPr>
                <w:rFonts w:asciiTheme="minorHAnsi" w:hAnsiTheme="minorHAnsi" w:cstheme="minorHAnsi"/>
                <w:color w:val="000000"/>
              </w:rPr>
            </w:pPr>
            <w:r>
              <w:rPr>
                <w:rFonts w:asciiTheme="minorHAnsi" w:hAnsiTheme="minorHAnsi" w:cstheme="minorHAnsi"/>
                <w:color w:val="000000"/>
              </w:rPr>
              <w:t>N</w:t>
            </w:r>
            <w:r w:rsidRPr="00DD118A">
              <w:rPr>
                <w:rFonts w:asciiTheme="minorHAnsi" w:hAnsiTheme="minorHAnsi" w:cstheme="minorHAnsi"/>
                <w:color w:val="000000"/>
              </w:rPr>
              <w:t>.</w:t>
            </w:r>
            <w:r>
              <w:rPr>
                <w:rFonts w:asciiTheme="minorHAnsi" w:hAnsiTheme="minorHAnsi" w:cstheme="minorHAnsi"/>
                <w:color w:val="000000"/>
              </w:rPr>
              <w:t xml:space="preserve"> E</w:t>
            </w:r>
            <w:r w:rsidRPr="00DD118A">
              <w:rPr>
                <w:rFonts w:asciiTheme="minorHAnsi" w:hAnsiTheme="minorHAnsi" w:cstheme="minorHAnsi"/>
                <w:color w:val="000000"/>
              </w:rPr>
              <w:t>stabelecimentos</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460,69</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3.702,55</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555,22</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1.044,92</w:t>
            </w:r>
          </w:p>
        </w:tc>
      </w:tr>
      <w:tr w:rsidR="00DD118A" w:rsidTr="00F5593C">
        <w:tc>
          <w:tcPr>
            <w:tcW w:w="2516" w:type="dxa"/>
            <w:vAlign w:val="bottom"/>
          </w:tcPr>
          <w:p w:rsidR="00DD118A" w:rsidRPr="00DD118A" w:rsidRDefault="00DD118A" w:rsidP="00DD118A">
            <w:pPr>
              <w:rPr>
                <w:rFonts w:asciiTheme="minorHAnsi" w:hAnsiTheme="minorHAnsi" w:cstheme="minorHAnsi"/>
                <w:color w:val="000000"/>
              </w:rPr>
            </w:pPr>
            <w:r>
              <w:rPr>
                <w:rFonts w:asciiTheme="minorHAnsi" w:hAnsiTheme="minorHAnsi" w:cstheme="minorHAnsi"/>
                <w:color w:val="000000"/>
              </w:rPr>
              <w:t>N</w:t>
            </w:r>
            <w:r w:rsidRPr="00DD118A">
              <w:rPr>
                <w:rFonts w:asciiTheme="minorHAnsi" w:hAnsiTheme="minorHAnsi" w:cstheme="minorHAnsi"/>
                <w:color w:val="000000"/>
              </w:rPr>
              <w:t>.</w:t>
            </w:r>
            <w:r>
              <w:rPr>
                <w:rFonts w:asciiTheme="minorHAnsi" w:hAnsiTheme="minorHAnsi" w:cstheme="minorHAnsi"/>
                <w:color w:val="000000"/>
              </w:rPr>
              <w:t xml:space="preserve"> V</w:t>
            </w:r>
            <w:r w:rsidRPr="00DD118A">
              <w:rPr>
                <w:rFonts w:asciiTheme="minorHAnsi" w:hAnsiTheme="minorHAnsi" w:cstheme="minorHAnsi"/>
                <w:color w:val="000000"/>
              </w:rPr>
              <w:t>ínculos</w:t>
            </w:r>
            <w:r>
              <w:rPr>
                <w:rFonts w:asciiTheme="minorHAnsi" w:hAnsiTheme="minorHAnsi" w:cstheme="minorHAnsi"/>
                <w:color w:val="000000"/>
              </w:rPr>
              <w:t xml:space="preserve"> de </w:t>
            </w:r>
            <w:proofErr w:type="gramStart"/>
            <w:r>
              <w:rPr>
                <w:rFonts w:asciiTheme="minorHAnsi" w:hAnsiTheme="minorHAnsi" w:cstheme="minorHAnsi"/>
                <w:color w:val="000000"/>
              </w:rPr>
              <w:t>Emprego</w:t>
            </w:r>
            <w:proofErr w:type="gramEnd"/>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6.687,53</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71.966,34</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6.465,81</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11.050,27</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 xml:space="preserve">Receita Total </w:t>
            </w:r>
            <w:r w:rsidRPr="00DD118A">
              <w:rPr>
                <w:rFonts w:asciiTheme="minorHAnsi" w:hAnsiTheme="minorHAnsi" w:cstheme="minorHAnsi"/>
                <w:color w:val="000000"/>
              </w:rPr>
              <w:t>(R$)</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38.876.013,24</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331.122.457,73</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51.145.459,31</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61.111.215,44</w:t>
            </w:r>
          </w:p>
        </w:tc>
      </w:tr>
      <w:tr w:rsidR="00DD118A" w:rsidTr="00F5593C">
        <w:tc>
          <w:tcPr>
            <w:tcW w:w="2516" w:type="dxa"/>
            <w:vAlign w:val="bottom"/>
          </w:tcPr>
          <w:p w:rsidR="00DD118A" w:rsidRPr="00DD118A" w:rsidRDefault="00DD118A" w:rsidP="00DD118A">
            <w:pPr>
              <w:rPr>
                <w:rFonts w:asciiTheme="minorHAnsi" w:hAnsiTheme="minorHAnsi" w:cstheme="minorHAnsi"/>
                <w:color w:val="000000"/>
              </w:rPr>
            </w:pPr>
            <w:r w:rsidRPr="00DD118A">
              <w:rPr>
                <w:rFonts w:asciiTheme="minorHAnsi" w:hAnsiTheme="minorHAnsi" w:cstheme="minorHAnsi"/>
                <w:color w:val="000000"/>
              </w:rPr>
              <w:t>Receita Tributária</w:t>
            </w:r>
            <w:r>
              <w:rPr>
                <w:rFonts w:asciiTheme="minorHAnsi" w:hAnsiTheme="minorHAnsi" w:cstheme="minorHAnsi"/>
                <w:color w:val="000000"/>
              </w:rPr>
              <w:t xml:space="preserve"> </w:t>
            </w:r>
            <w:r w:rsidRPr="00DD118A">
              <w:rPr>
                <w:rFonts w:asciiTheme="minorHAnsi" w:hAnsiTheme="minorHAnsi" w:cstheme="minorHAnsi"/>
                <w:color w:val="000000"/>
              </w:rPr>
              <w:t>(R$)</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7.419.508,94</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138.466.444,76</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5.037.272,07</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7.530.259,74</w:t>
            </w:r>
          </w:p>
        </w:tc>
      </w:tr>
      <w:tr w:rsidR="00DD118A" w:rsidTr="00F5593C">
        <w:tc>
          <w:tcPr>
            <w:tcW w:w="2516" w:type="dxa"/>
            <w:vAlign w:val="bottom"/>
          </w:tcPr>
          <w:p w:rsidR="00DD118A" w:rsidRPr="00DD118A" w:rsidRDefault="00DD118A">
            <w:pPr>
              <w:rPr>
                <w:rFonts w:asciiTheme="minorHAnsi" w:hAnsiTheme="minorHAnsi" w:cstheme="minorHAnsi"/>
                <w:color w:val="000000"/>
              </w:rPr>
            </w:pPr>
            <w:r w:rsidRPr="00DD118A">
              <w:rPr>
                <w:rFonts w:asciiTheme="minorHAnsi" w:hAnsiTheme="minorHAnsi" w:cstheme="minorHAnsi"/>
                <w:color w:val="000000"/>
              </w:rPr>
              <w:t>Desp. Educação</w:t>
            </w:r>
            <w:r>
              <w:rPr>
                <w:rFonts w:asciiTheme="minorHAnsi" w:hAnsiTheme="minorHAnsi" w:cstheme="minorHAnsi"/>
                <w:color w:val="000000"/>
              </w:rPr>
              <w:t xml:space="preserve"> </w:t>
            </w:r>
            <w:r w:rsidRPr="00DD118A">
              <w:rPr>
                <w:rFonts w:asciiTheme="minorHAnsi" w:hAnsiTheme="minorHAnsi" w:cstheme="minorHAnsi"/>
                <w:color w:val="000000"/>
              </w:rPr>
              <w:t>(R$)</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9.571.826,20</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70.131.023,63</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14.224.404,77</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13.447.551,95</w:t>
            </w:r>
          </w:p>
        </w:tc>
      </w:tr>
      <w:tr w:rsidR="00DD118A" w:rsidTr="00F5593C">
        <w:tc>
          <w:tcPr>
            <w:tcW w:w="2516" w:type="dxa"/>
            <w:vAlign w:val="bottom"/>
          </w:tcPr>
          <w:p w:rsidR="00DD118A" w:rsidRPr="00DD118A" w:rsidRDefault="00DD118A">
            <w:pPr>
              <w:rPr>
                <w:rFonts w:asciiTheme="minorHAnsi" w:hAnsiTheme="minorHAnsi" w:cstheme="minorHAnsi"/>
                <w:color w:val="000000"/>
              </w:rPr>
            </w:pPr>
            <w:r w:rsidRPr="00DD118A">
              <w:rPr>
                <w:rFonts w:asciiTheme="minorHAnsi" w:hAnsiTheme="minorHAnsi" w:cstheme="minorHAnsi"/>
                <w:color w:val="000000"/>
              </w:rPr>
              <w:t>Desp. Saúde</w:t>
            </w:r>
            <w:r>
              <w:rPr>
                <w:rFonts w:asciiTheme="minorHAnsi" w:hAnsiTheme="minorHAnsi" w:cstheme="minorHAnsi"/>
                <w:color w:val="000000"/>
              </w:rPr>
              <w:t xml:space="preserve"> </w:t>
            </w:r>
            <w:r w:rsidRPr="00DD118A">
              <w:rPr>
                <w:rFonts w:asciiTheme="minorHAnsi" w:hAnsiTheme="minorHAnsi" w:cstheme="minorHAnsi"/>
                <w:color w:val="000000"/>
              </w:rPr>
              <w:t>(R$)</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8.318.443,56</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59.459.079,07</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10.252.666,07</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14.744.707,09</w:t>
            </w:r>
          </w:p>
        </w:tc>
      </w:tr>
      <w:tr w:rsidR="00DD118A" w:rsidTr="00F5593C">
        <w:tc>
          <w:tcPr>
            <w:tcW w:w="2516" w:type="dxa"/>
            <w:vAlign w:val="bottom"/>
          </w:tcPr>
          <w:p w:rsidR="00DD118A" w:rsidRPr="00DD118A" w:rsidRDefault="00DD118A" w:rsidP="00DD118A">
            <w:pPr>
              <w:rPr>
                <w:rFonts w:asciiTheme="minorHAnsi" w:hAnsiTheme="minorHAnsi" w:cstheme="minorHAnsi"/>
                <w:color w:val="000000"/>
              </w:rPr>
            </w:pPr>
            <w:r>
              <w:rPr>
                <w:rFonts w:asciiTheme="minorHAnsi" w:hAnsiTheme="minorHAnsi" w:cstheme="minorHAnsi"/>
                <w:color w:val="000000"/>
              </w:rPr>
              <w:t>Ó</w:t>
            </w:r>
            <w:r w:rsidRPr="00DD118A">
              <w:rPr>
                <w:rFonts w:asciiTheme="minorHAnsi" w:hAnsiTheme="minorHAnsi" w:cstheme="minorHAnsi"/>
                <w:color w:val="000000"/>
              </w:rPr>
              <w:t>bitos</w:t>
            </w:r>
            <w:r>
              <w:rPr>
                <w:rFonts w:asciiTheme="minorHAnsi" w:hAnsiTheme="minorHAnsi" w:cstheme="minorHAnsi"/>
                <w:color w:val="000000"/>
              </w:rPr>
              <w:t xml:space="preserve"> por H</w:t>
            </w:r>
            <w:r w:rsidRPr="00DD118A">
              <w:rPr>
                <w:rFonts w:asciiTheme="minorHAnsi" w:hAnsiTheme="minorHAnsi" w:cstheme="minorHAnsi"/>
                <w:color w:val="000000"/>
              </w:rPr>
              <w:t>omicídio</w:t>
            </w:r>
            <w:r>
              <w:rPr>
                <w:rFonts w:asciiTheme="minorHAnsi" w:hAnsiTheme="minorHAnsi" w:cstheme="minorHAnsi"/>
                <w:color w:val="000000"/>
              </w:rPr>
              <w:t>s por 100 mil habitantes</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12,89</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17,39</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16,06</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17,90</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Extensão da Rede de Água (km)</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99,45</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429,73</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137,74</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179,28</w:t>
            </w:r>
          </w:p>
        </w:tc>
      </w:tr>
      <w:tr w:rsidR="00DD118A" w:rsidTr="00F5593C">
        <w:tc>
          <w:tcPr>
            <w:tcW w:w="2516" w:type="dxa"/>
            <w:vAlign w:val="bottom"/>
          </w:tcPr>
          <w:p w:rsidR="00DD118A" w:rsidRPr="00DD118A" w:rsidRDefault="00DD118A" w:rsidP="00DD118A">
            <w:pPr>
              <w:rPr>
                <w:rFonts w:asciiTheme="minorHAnsi" w:hAnsiTheme="minorHAnsi" w:cstheme="minorHAnsi"/>
                <w:color w:val="000000"/>
              </w:rPr>
            </w:pPr>
            <w:r>
              <w:rPr>
                <w:rFonts w:asciiTheme="minorHAnsi" w:hAnsiTheme="minorHAnsi" w:cstheme="minorHAnsi"/>
                <w:color w:val="000000"/>
              </w:rPr>
              <w:t>Extensão da Rede de Esgotos (km)</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89,90</w:t>
            </w:r>
          </w:p>
        </w:tc>
        <w:tc>
          <w:tcPr>
            <w:tcW w:w="201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142,44</w:t>
            </w:r>
          </w:p>
        </w:tc>
        <w:tc>
          <w:tcPr>
            <w:tcW w:w="1836"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54,11</w:t>
            </w:r>
          </w:p>
        </w:tc>
        <w:tc>
          <w:tcPr>
            <w:tcW w:w="2002" w:type="dxa"/>
            <w:vAlign w:val="bottom"/>
          </w:tcPr>
          <w:p w:rsidR="00DD118A" w:rsidRPr="00DD118A" w:rsidRDefault="00DD118A">
            <w:pPr>
              <w:jc w:val="right"/>
              <w:rPr>
                <w:rFonts w:asciiTheme="minorHAnsi" w:hAnsiTheme="minorHAnsi" w:cstheme="minorHAnsi"/>
                <w:color w:val="000000"/>
              </w:rPr>
            </w:pPr>
            <w:r w:rsidRPr="00DD118A">
              <w:rPr>
                <w:rFonts w:asciiTheme="minorHAnsi" w:hAnsiTheme="minorHAnsi" w:cstheme="minorHAnsi"/>
                <w:color w:val="000000"/>
              </w:rPr>
              <w:t>90,08</w:t>
            </w:r>
          </w:p>
        </w:tc>
      </w:tr>
      <w:tr w:rsidR="00DD118A" w:rsidTr="00F5593C">
        <w:tc>
          <w:tcPr>
            <w:tcW w:w="2516" w:type="dxa"/>
            <w:vAlign w:val="bottom"/>
          </w:tcPr>
          <w:p w:rsidR="00DD118A" w:rsidRPr="00DD118A" w:rsidRDefault="00DD118A">
            <w:pPr>
              <w:rPr>
                <w:rFonts w:asciiTheme="minorHAnsi" w:hAnsiTheme="minorHAnsi" w:cstheme="minorHAnsi"/>
                <w:color w:val="000000"/>
              </w:rPr>
            </w:pPr>
            <w:r>
              <w:rPr>
                <w:rFonts w:asciiTheme="minorHAnsi" w:hAnsiTheme="minorHAnsi" w:cstheme="minorHAnsi"/>
                <w:color w:val="000000"/>
              </w:rPr>
              <w:t>Total de Municípios</w:t>
            </w:r>
          </w:p>
        </w:tc>
        <w:tc>
          <w:tcPr>
            <w:tcW w:w="1836" w:type="dxa"/>
            <w:vAlign w:val="bottom"/>
          </w:tcPr>
          <w:p w:rsidR="00DD118A" w:rsidRPr="00DD118A" w:rsidRDefault="00DD118A">
            <w:pPr>
              <w:jc w:val="right"/>
              <w:rPr>
                <w:rFonts w:asciiTheme="minorHAnsi" w:hAnsiTheme="minorHAnsi" w:cstheme="minorHAnsi"/>
                <w:color w:val="000000"/>
              </w:rPr>
            </w:pPr>
            <w:r>
              <w:rPr>
                <w:rFonts w:asciiTheme="minorHAnsi" w:hAnsiTheme="minorHAnsi" w:cstheme="minorHAnsi"/>
                <w:color w:val="000000"/>
              </w:rPr>
              <w:t>5.490</w:t>
            </w:r>
          </w:p>
        </w:tc>
        <w:tc>
          <w:tcPr>
            <w:tcW w:w="2016" w:type="dxa"/>
            <w:vAlign w:val="bottom"/>
          </w:tcPr>
          <w:p w:rsidR="00DD118A" w:rsidRPr="00DD118A" w:rsidRDefault="00DD118A">
            <w:pPr>
              <w:jc w:val="right"/>
              <w:rPr>
                <w:rFonts w:asciiTheme="minorHAnsi" w:hAnsiTheme="minorHAnsi" w:cstheme="minorHAnsi"/>
                <w:color w:val="000000"/>
              </w:rPr>
            </w:pPr>
          </w:p>
        </w:tc>
        <w:tc>
          <w:tcPr>
            <w:tcW w:w="1836" w:type="dxa"/>
            <w:vAlign w:val="bottom"/>
          </w:tcPr>
          <w:p w:rsidR="00DD118A" w:rsidRPr="00DD118A" w:rsidRDefault="00DD118A">
            <w:pPr>
              <w:jc w:val="right"/>
              <w:rPr>
                <w:rFonts w:asciiTheme="minorHAnsi" w:hAnsiTheme="minorHAnsi" w:cstheme="minorHAnsi"/>
                <w:color w:val="000000"/>
              </w:rPr>
            </w:pPr>
            <w:r>
              <w:rPr>
                <w:rFonts w:asciiTheme="minorHAnsi" w:hAnsiTheme="minorHAnsi" w:cstheme="minorHAnsi"/>
                <w:color w:val="000000"/>
              </w:rPr>
              <w:t>37</w:t>
            </w:r>
          </w:p>
        </w:tc>
        <w:tc>
          <w:tcPr>
            <w:tcW w:w="2002" w:type="dxa"/>
            <w:vAlign w:val="bottom"/>
          </w:tcPr>
          <w:p w:rsidR="00DD118A" w:rsidRPr="00DD118A" w:rsidRDefault="00DD118A">
            <w:pPr>
              <w:jc w:val="right"/>
              <w:rPr>
                <w:rFonts w:asciiTheme="minorHAnsi" w:hAnsiTheme="minorHAnsi" w:cstheme="minorHAnsi"/>
                <w:color w:val="000000"/>
              </w:rPr>
            </w:pPr>
          </w:p>
        </w:tc>
      </w:tr>
    </w:tbl>
    <w:p w:rsidR="00A95BEB" w:rsidRDefault="00A95BEB" w:rsidP="00A95BEB">
      <w:pPr>
        <w:pStyle w:val="BNDES"/>
        <w:jc w:val="center"/>
      </w:pPr>
      <w:r w:rsidRPr="00AB5CCC">
        <w:t>Fonte: Elabora</w:t>
      </w:r>
      <w:r>
        <w:t xml:space="preserve">ção própria com base em dados do IBGE, RAIS, </w:t>
      </w:r>
      <w:proofErr w:type="spellStart"/>
      <w:r>
        <w:t>Finbra</w:t>
      </w:r>
      <w:proofErr w:type="spellEnd"/>
      <w:r>
        <w:t>, SIM-DATASUS e SNIS</w:t>
      </w:r>
      <w:r w:rsidRPr="00AB5CCC">
        <w:t>.</w:t>
      </w:r>
    </w:p>
    <w:p w:rsidR="009823D9" w:rsidRDefault="009823D9" w:rsidP="005F5D32">
      <w:pPr>
        <w:pStyle w:val="BNDES"/>
        <w:ind w:firstLine="709"/>
        <w:rPr>
          <w:b/>
        </w:rPr>
      </w:pPr>
    </w:p>
    <w:p w:rsidR="009823D9" w:rsidRPr="005F5D32" w:rsidRDefault="009823D9" w:rsidP="009823D9">
      <w:pPr>
        <w:pStyle w:val="BNDES"/>
        <w:ind w:left="709"/>
        <w:rPr>
          <w:b/>
        </w:rPr>
      </w:pPr>
      <w:r>
        <w:rPr>
          <w:b/>
        </w:rPr>
        <w:t xml:space="preserve">4. Metodologia </w:t>
      </w:r>
    </w:p>
    <w:p w:rsidR="00D97D63" w:rsidRDefault="00D97D63" w:rsidP="00D97D63">
      <w:pPr>
        <w:pStyle w:val="BNDES"/>
      </w:pPr>
    </w:p>
    <w:p w:rsidR="001A6B8C" w:rsidRPr="0080557E" w:rsidRDefault="001A6B8C" w:rsidP="005F5D32">
      <w:pPr>
        <w:pStyle w:val="BNDES"/>
        <w:ind w:firstLine="709"/>
        <w:rPr>
          <w:i/>
        </w:rPr>
      </w:pPr>
      <w:r w:rsidRPr="0080557E">
        <w:rPr>
          <w:i/>
        </w:rPr>
        <w:t>4.1. Controle Sintético</w:t>
      </w:r>
    </w:p>
    <w:p w:rsidR="001A6B8C" w:rsidRDefault="001A6B8C" w:rsidP="005F5D32">
      <w:pPr>
        <w:pStyle w:val="BNDES"/>
        <w:ind w:firstLine="709"/>
      </w:pPr>
    </w:p>
    <w:p w:rsidR="00D97D63" w:rsidRDefault="0011421F" w:rsidP="005F5D32">
      <w:pPr>
        <w:pStyle w:val="BNDES"/>
        <w:ind w:firstLine="709"/>
      </w:pPr>
      <w:r>
        <w:t xml:space="preserve">A análise de impacto de intervenções públicas em nível de localidade, como, por exemplo, da construção de usinas eólicas sobre o desempenho econômico dos municípios </w:t>
      </w:r>
      <w:r w:rsidR="00BC4DE5">
        <w:t>contemplados</w:t>
      </w:r>
      <w:r>
        <w:t xml:space="preserve">, </w:t>
      </w:r>
      <w:r w:rsidR="00F55C9D">
        <w:t>traz</w:t>
      </w:r>
      <w:r>
        <w:t xml:space="preserve"> uma série de desafios de ordem empírica </w:t>
      </w:r>
      <w:r w:rsidR="00BC4DE5">
        <w:t>(ASSUNÇÃO ET AL, 2016)</w:t>
      </w:r>
      <w:r>
        <w:t xml:space="preserve">. Em primeiro lugar, </w:t>
      </w:r>
      <w:r w:rsidR="00D97D63">
        <w:t xml:space="preserve">é preciso que alguma técnica seja utilizada para construção de um cenário contrafactual. Ou seja, é necessário que se leve em consideração a mensuração da variável de interesse em um cenário hipotético no qual esses municípios não tenham sofrido intervenção. Dessa maneira, a medida do </w:t>
      </w:r>
      <w:r w:rsidR="00BC4DE5">
        <w:t>impacto será a diferença entre a variável de interesse, no caso, o</w:t>
      </w:r>
      <w:r w:rsidR="00D97D63">
        <w:t xml:space="preserve"> PIB per capita</w:t>
      </w:r>
      <w:r w:rsidR="00BC4DE5">
        <w:t>, observada</w:t>
      </w:r>
      <w:r w:rsidR="00D97D63">
        <w:t xml:space="preserve"> nos municípios beneficiados (tratados) e o PIB per capita do contrafactual após o tratamento.</w:t>
      </w:r>
    </w:p>
    <w:p w:rsidR="00BC4DE5" w:rsidRDefault="00BC4DE5" w:rsidP="005F5D32">
      <w:pPr>
        <w:pStyle w:val="BNDES"/>
        <w:ind w:firstLine="709"/>
      </w:pPr>
    </w:p>
    <w:p w:rsidR="00BC4DE5" w:rsidRDefault="00BC4DE5" w:rsidP="005F5D32">
      <w:pPr>
        <w:pStyle w:val="BNDES"/>
        <w:ind w:firstLine="709"/>
      </w:pPr>
      <w:r>
        <w:t xml:space="preserve">Em segundo lugar, a escolha de se construir obras de infraestrutura em localidades específicas é baseada em fatores políticos, econômicos e ambientais. Isto é, como a escolha dos municípios contemplados por usinas eólicas não é aleatória, espera-se que as localidades tratadas tenham características diferentes das </w:t>
      </w:r>
      <w:r w:rsidR="001A6B8C">
        <w:t>não tratadas</w:t>
      </w:r>
      <w:r>
        <w:t xml:space="preserve">. Dessa maneira, métodos empíricos baseados em simples comparações de médias entre o grupo de unidades afetadas pela intervenção e o grupo das </w:t>
      </w:r>
      <w:proofErr w:type="gramStart"/>
      <w:r>
        <w:t>não-afetadas</w:t>
      </w:r>
      <w:proofErr w:type="gramEnd"/>
      <w:r>
        <w:t xml:space="preserve"> lev</w:t>
      </w:r>
      <w:r w:rsidR="001A6B8C">
        <w:t>ariam a estimativas viesadas sobre supostos impactos.</w:t>
      </w:r>
    </w:p>
    <w:p w:rsidR="001A6B8C" w:rsidRDefault="001A6B8C" w:rsidP="005F5D32">
      <w:pPr>
        <w:pStyle w:val="BNDES"/>
        <w:ind w:firstLine="709"/>
      </w:pPr>
    </w:p>
    <w:p w:rsidR="001A6B8C" w:rsidRDefault="001A6B8C" w:rsidP="005F5D32">
      <w:pPr>
        <w:pStyle w:val="BNDES"/>
        <w:ind w:firstLine="709"/>
      </w:pPr>
      <w:r>
        <w:lastRenderedPageBreak/>
        <w:t xml:space="preserve">Terceiro, o número de unidades afetadas por esse tipo de intervenção, geralmente, é pequeno. Dessa maneira, </w:t>
      </w:r>
      <w:r w:rsidR="007B1591">
        <w:t xml:space="preserve">os resultados estimados por meio de </w:t>
      </w:r>
      <w:r>
        <w:t xml:space="preserve">métodos de análise de impacto baseados em pareamento e em diferenças-em-diferenças podem </w:t>
      </w:r>
      <w:r w:rsidR="007B1591">
        <w:t>ter problemas de inferência estatística</w:t>
      </w:r>
      <w:r>
        <w:t>.</w:t>
      </w:r>
    </w:p>
    <w:p w:rsidR="00D97D63" w:rsidRDefault="00D97D63" w:rsidP="00D97D63">
      <w:pPr>
        <w:pStyle w:val="BNDES"/>
      </w:pPr>
    </w:p>
    <w:p w:rsidR="00D97D63" w:rsidRDefault="00D97D63" w:rsidP="005F5D32">
      <w:pPr>
        <w:pStyle w:val="BNDES"/>
        <w:ind w:firstLine="709"/>
      </w:pPr>
      <w:r>
        <w:t>Nesse sentido, a metodologia de controle sintético foi originalmente concebida para estudos de caso, sendo apropriada para quando se tem poucos tratados, como é o caso em análise. Parte-se do pressuposto que uma combinação de unidades não tratadas compõe melhor contrafactual para a tratada do que qualquer outra individualmente. Para</w:t>
      </w:r>
      <w:r w:rsidR="002835FB">
        <w:t xml:space="preserve"> </w:t>
      </w:r>
      <w:r>
        <w:t>definir as ponderações aplicadas a cada combinação, o método se vale de características mensuráveis de todas as unidades disponíveis para a análise. O trabalho da metodologia de controle sintético é procurar simular, a partir de uma combinação de informações observadas de unidades não tratadas, a mesma trajetória prévia ao tratamento que se observou na unidade beneficiária, conforme foi desenvolvido por Abadie</w:t>
      </w:r>
      <w:r w:rsidR="00813400">
        <w:t xml:space="preserve"> </w:t>
      </w:r>
      <w:proofErr w:type="gramStart"/>
      <w:r w:rsidR="00813400">
        <w:t>et</w:t>
      </w:r>
      <w:proofErr w:type="gramEnd"/>
      <w:r w:rsidR="00813400">
        <w:t xml:space="preserve"> al</w:t>
      </w:r>
      <w:r>
        <w:t xml:space="preserve"> (2003, 2010, 2015).</w:t>
      </w:r>
    </w:p>
    <w:p w:rsidR="001A6B8C" w:rsidRDefault="001A6B8C" w:rsidP="005F5D32">
      <w:pPr>
        <w:pStyle w:val="BNDES"/>
        <w:ind w:firstLine="709"/>
      </w:pPr>
    </w:p>
    <w:p w:rsidR="0080557E" w:rsidRDefault="001A6B8C" w:rsidP="005F5D32">
      <w:pPr>
        <w:pStyle w:val="BNDES"/>
        <w:ind w:firstLine="709"/>
      </w:pPr>
      <w:r>
        <w:t xml:space="preserve">Supõe-se uma amostra de </w:t>
      </w:r>
      <m:oMath>
        <m:r>
          <w:rPr>
            <w:rFonts w:ascii="Cambria Math" w:hAnsi="Cambria Math"/>
          </w:rPr>
          <m:t>J+1</m:t>
        </m:r>
      </m:oMath>
      <w:r>
        <w:t xml:space="preserve"> unidades (por exemplo, municípios) indexadas por j. A unidade </w:t>
      </w:r>
      <m:oMath>
        <m:r>
          <w:rPr>
            <w:rFonts w:ascii="Cambria Math" w:hAnsi="Cambria Math"/>
          </w:rPr>
          <m:t>j=1</m:t>
        </m:r>
      </m:oMath>
      <w:r>
        <w:t xml:space="preserve"> é a unidade de interesse, isto é, a unidade tratada por uma intervenção. As demais unidades, de </w:t>
      </w:r>
      <m:oMath>
        <m:r>
          <w:rPr>
            <w:rFonts w:ascii="Cambria Math" w:hAnsi="Cambria Math"/>
          </w:rPr>
          <m:t>j=2</m:t>
        </m:r>
      </m:oMath>
      <w:r>
        <w:t xml:space="preserve"> a </w:t>
      </w:r>
      <m:oMath>
        <m:r>
          <w:rPr>
            <w:rFonts w:ascii="Cambria Math" w:hAnsi="Cambria Math"/>
          </w:rPr>
          <m:t>j=J+1</m:t>
        </m:r>
      </m:oMath>
      <w:r>
        <w:t xml:space="preserve"> constituem o chamado </w:t>
      </w:r>
      <w:proofErr w:type="spellStart"/>
      <w:r w:rsidRPr="001A6B8C">
        <w:rPr>
          <w:i/>
        </w:rPr>
        <w:t>donor</w:t>
      </w:r>
      <w:proofErr w:type="spellEnd"/>
      <w:r w:rsidRPr="001A6B8C">
        <w:rPr>
          <w:i/>
        </w:rPr>
        <w:t xml:space="preserve"> pool</w:t>
      </w:r>
      <w:r>
        <w:t xml:space="preserve">, isto é, o conjunto de unidades </w:t>
      </w:r>
      <w:r w:rsidR="0080557E">
        <w:t>não tratadas</w:t>
      </w:r>
      <w:r>
        <w:t xml:space="preserve"> pela intervenção e que servem como potenciais unidades de comparação com a unidade tratada. </w:t>
      </w:r>
    </w:p>
    <w:p w:rsidR="0080557E" w:rsidRDefault="0080557E" w:rsidP="005F5D32">
      <w:pPr>
        <w:pStyle w:val="BNDES"/>
        <w:ind w:firstLine="709"/>
      </w:pPr>
    </w:p>
    <w:p w:rsidR="001A6B8C" w:rsidRDefault="001A6B8C" w:rsidP="005F5D32">
      <w:pPr>
        <w:pStyle w:val="BNDES"/>
        <w:ind w:firstLine="709"/>
      </w:pPr>
      <w:r>
        <w:t xml:space="preserve">Pressupõe-se que a amostra é um painel balanceado, isto é, </w:t>
      </w:r>
      <w:r w:rsidR="0080557E">
        <w:t xml:space="preserve">que </w:t>
      </w:r>
      <w:r>
        <w:t>é composta por dados longitudinais e</w:t>
      </w:r>
      <w:r w:rsidR="0080557E">
        <w:t xml:space="preserve"> que todas as suas unidades são observadas no período de </w:t>
      </w:r>
      <m:oMath>
        <m:r>
          <w:rPr>
            <w:rFonts w:ascii="Cambria Math" w:hAnsi="Cambria Math"/>
          </w:rPr>
          <m:t>t=1</m:t>
        </m:r>
        <w:proofErr w:type="gramStart"/>
        <m:r>
          <w:rPr>
            <w:rFonts w:ascii="Cambria Math" w:hAnsi="Cambria Math"/>
          </w:rPr>
          <m:t>, …</m:t>
        </m:r>
        <w:proofErr w:type="gramEnd"/>
        <m:r>
          <w:rPr>
            <w:rFonts w:ascii="Cambria Math" w:hAnsi="Cambria Math"/>
          </w:rPr>
          <m:t>, T</m:t>
        </m:r>
      </m:oMath>
      <w:r w:rsidR="0080557E">
        <w:t>. A amostra inclui um número positivo de períodos pré-intervenção T</w:t>
      </w:r>
      <w:r w:rsidR="0080557E" w:rsidRPr="0080557E">
        <w:rPr>
          <w:vertAlign w:val="subscript"/>
        </w:rPr>
        <w:t>0</w:t>
      </w:r>
      <w:r w:rsidR="0080557E">
        <w:t>, assim como de períodos pós-intervenção T</w:t>
      </w:r>
      <w:r w:rsidR="0080557E" w:rsidRPr="0080557E">
        <w:rPr>
          <w:vertAlign w:val="subscript"/>
        </w:rPr>
        <w:t>1</w:t>
      </w:r>
      <w:r w:rsidR="0080557E">
        <w:t xml:space="preserve">, de modo que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80557E">
        <w:t xml:space="preserve">. A intervenção que será avaliada consiste na exposição da unidade </w:t>
      </w:r>
      <m:oMath>
        <m:r>
          <w:rPr>
            <w:rFonts w:ascii="Cambria Math" w:hAnsi="Cambria Math"/>
          </w:rPr>
          <m:t>j=1</m:t>
        </m:r>
      </m:oMath>
      <w:r w:rsidR="0080557E">
        <w:t xml:space="preserve"> ao tratamento durante os períodos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w:proofErr w:type="gramStart"/>
        <m:r>
          <w:rPr>
            <w:rFonts w:ascii="Cambria Math" w:hAnsi="Cambria Math"/>
          </w:rPr>
          <m:t>, …</m:t>
        </m:r>
        <w:proofErr w:type="gramEnd"/>
        <m:r>
          <w:rPr>
            <w:rFonts w:ascii="Cambria Math" w:hAnsi="Cambria Math"/>
          </w:rPr>
          <m:t>, T</m:t>
        </m:r>
      </m:oMath>
      <w:r w:rsidR="0080557E">
        <w:t xml:space="preserve">, considerando que essa intervenção não tem efeitos durante o período pré-tratamento  </w:t>
      </w:r>
      <m:oMath>
        <m:r>
          <w:rPr>
            <w:rFonts w:ascii="Cambria Math" w:hAnsi="Cambria Math"/>
          </w:rPr>
          <m:t>t=</m:t>
        </m:r>
        <m:sSub>
          <m:sSubPr>
            <m:ctrlPr>
              <w:rPr>
                <w:rFonts w:ascii="Cambria Math" w:hAnsi="Cambria Math"/>
                <w:i/>
              </w:rPr>
            </m:ctrlPr>
          </m:sSubPr>
          <m:e>
            <m:r>
              <w:rPr>
                <w:rFonts w:ascii="Cambria Math" w:hAnsi="Cambria Math"/>
              </w:rPr>
              <m:t>1, …, T</m:t>
            </m:r>
          </m:e>
          <m:sub>
            <m:r>
              <w:rPr>
                <w:rFonts w:ascii="Cambria Math" w:hAnsi="Cambria Math"/>
              </w:rPr>
              <m:t>0</m:t>
            </m:r>
          </m:sub>
        </m:sSub>
      </m:oMath>
      <w:r w:rsidR="00C965B0">
        <w:t>. Dessa maneira, o objetivo da análise de impacto nessa amostra é medir o efeito da intervenção sobre a unidade tratada em um indicador de interesse para o período pós-tratamento.</w:t>
      </w:r>
    </w:p>
    <w:p w:rsidR="00C965B0" w:rsidRDefault="00C965B0" w:rsidP="005F5D32">
      <w:pPr>
        <w:pStyle w:val="BNDES"/>
        <w:ind w:firstLine="709"/>
      </w:pPr>
    </w:p>
    <w:p w:rsidR="00C965B0" w:rsidRDefault="00C965B0" w:rsidP="005F5D32">
      <w:pPr>
        <w:pStyle w:val="BNDES"/>
        <w:ind w:firstLine="709"/>
      </w:pPr>
      <w:r>
        <w:t xml:space="preserve">Por hipótese, considera-se que as características pré-tratamento da unidade de interesse são </w:t>
      </w:r>
      <w:r w:rsidR="00FD3225">
        <w:t>mais bem</w:t>
      </w:r>
      <w:r>
        <w:t xml:space="preserve"> aproximadas por uma combinação das unidades não tratadas do que por qualquer uma dessas unidades não tratadas isoladamente. Dessa maneira, o controle sintético pode ser entendido como uma média ponderada das unidades do </w:t>
      </w:r>
      <w:proofErr w:type="spellStart"/>
      <w:r w:rsidRPr="00C965B0">
        <w:rPr>
          <w:i/>
        </w:rPr>
        <w:t>donor</w:t>
      </w:r>
      <w:proofErr w:type="spellEnd"/>
      <w:r w:rsidRPr="00C965B0">
        <w:rPr>
          <w:i/>
        </w:rPr>
        <w:t xml:space="preserve"> pool</w:t>
      </w:r>
      <w:r>
        <w:t xml:space="preserve"> que será comparado com a unidade tratada. O controle sintético é representado por um vetor </w:t>
      </w:r>
      <w:proofErr w:type="gramStart"/>
      <m:oMath>
        <m:r>
          <w:rPr>
            <w:rFonts w:ascii="Cambria Math" w:hAnsi="Cambria Math"/>
          </w:rPr>
          <m:t xml:space="preserve">( </m:t>
        </m:r>
        <w:proofErr w:type="gramEnd"/>
        <m:r>
          <w:rPr>
            <w:rFonts w:ascii="Cambria Math" w:hAnsi="Cambria Math"/>
          </w:rPr>
          <m:t>J X 1)</m:t>
        </m:r>
      </m:oMath>
      <w:r>
        <w:t xml:space="preserve"> de pesos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j+1</m:t>
            </m:r>
          </m:sub>
        </m:sSub>
        <m:r>
          <w:rPr>
            <w:rFonts w:ascii="Cambria Math" w:hAnsi="Cambria Math"/>
          </w:rPr>
          <m:t xml:space="preserve">) </m:t>
        </m:r>
      </m:oMath>
      <w:r w:rsidR="00294DD9">
        <w:t xml:space="preserve">, tal que </w:t>
      </w:r>
      <m:oMath>
        <m:r>
          <w:rPr>
            <w:rFonts w:ascii="Cambria Math" w:hAnsi="Cambria Math"/>
          </w:rPr>
          <m:t xml:space="preserve">0 ≤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≤1</m:t>
        </m:r>
      </m:oMath>
      <w:r w:rsidR="00294DD9">
        <w:t xml:space="preserve"> para </w:t>
      </w:r>
      <m:oMath>
        <m:r>
          <w:rPr>
            <w:rFonts w:ascii="Cambria Math" w:hAnsi="Cambria Math"/>
          </w:rPr>
          <m:t>j=2, …, J</m:t>
        </m:r>
      </m:oMath>
      <w:r w:rsidR="00294DD9">
        <w:t xml:space="preserve"> e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J+1</m:t>
            </m:r>
          </m:sub>
        </m:sSub>
        <m:r>
          <w:rPr>
            <w:rFonts w:ascii="Cambria Math" w:hAnsi="Cambria Math"/>
          </w:rPr>
          <m:t>=1.</m:t>
        </m:r>
      </m:oMath>
      <w:r w:rsidR="00294DD9">
        <w:t xml:space="preserve"> Dessa maneira, a escolha de qualquer valor particular de W é equivalente à escolha de um controle sintético.</w:t>
      </w:r>
    </w:p>
    <w:p w:rsidR="00294DD9" w:rsidRDefault="00294DD9" w:rsidP="005F5D32">
      <w:pPr>
        <w:pStyle w:val="BNDES"/>
        <w:ind w:firstLine="709"/>
      </w:pPr>
    </w:p>
    <w:p w:rsidR="001A6B8C" w:rsidRDefault="00294DD9" w:rsidP="005F5D32">
      <w:pPr>
        <w:pStyle w:val="BNDES"/>
        <w:ind w:firstLine="709"/>
      </w:pPr>
      <w:r>
        <w:t>Seja X</w:t>
      </w:r>
      <w:r w:rsidRPr="00294DD9">
        <w:rPr>
          <w:vertAlign w:val="subscript"/>
        </w:rPr>
        <w:t>1</w:t>
      </w:r>
      <w:r>
        <w:t xml:space="preserve"> um vetor </w:t>
      </w:r>
      <m:oMath>
        <m:r>
          <w:rPr>
            <w:rFonts w:ascii="Cambria Math" w:hAnsi="Cambria Math"/>
          </w:rPr>
          <m:t xml:space="preserve">(K X </m:t>
        </m:r>
        <w:proofErr w:type="gramStart"/>
        <m:r>
          <w:rPr>
            <w:rFonts w:ascii="Cambria Math" w:hAnsi="Cambria Math"/>
          </w:rPr>
          <m:t>1</m:t>
        </m:r>
        <w:proofErr w:type="gramEnd"/>
        <m:r>
          <w:rPr>
            <w:rFonts w:ascii="Cambria Math" w:hAnsi="Cambria Math"/>
          </w:rPr>
          <m:t>)</m:t>
        </m:r>
      </m:oMath>
      <w:r>
        <w:t xml:space="preserve"> contendo as características pré-tratamento da unidade tratada, as quais pretende-se aproximar o máximo possível. X</w:t>
      </w:r>
      <w:r w:rsidRPr="00294DD9">
        <w:rPr>
          <w:vertAlign w:val="subscript"/>
        </w:rPr>
        <w:t>0</w:t>
      </w:r>
      <w:r>
        <w:t xml:space="preserve">, por sua vez, é uma matriz </w:t>
      </w:r>
      <m:oMath>
        <m:r>
          <w:rPr>
            <w:rFonts w:ascii="Cambria Math" w:hAnsi="Cambria Math"/>
          </w:rPr>
          <m:t>(K X J)</m:t>
        </m:r>
      </m:oMath>
      <w:r>
        <w:t xml:space="preserve"> contendo os valores das mesmas variáveis para o </w:t>
      </w:r>
      <w:proofErr w:type="spellStart"/>
      <w:r w:rsidRPr="005D5199">
        <w:rPr>
          <w:i/>
        </w:rPr>
        <w:t>donor</w:t>
      </w:r>
      <w:proofErr w:type="spellEnd"/>
      <w:r w:rsidRPr="005D5199">
        <w:rPr>
          <w:i/>
        </w:rPr>
        <w:t xml:space="preserve"> pool</w:t>
      </w:r>
      <w:r>
        <w:t xml:space="preserve">. Observa-se que K equivale ao número de variáveis disponíveis para mensurar as características das unidades no período pré-tratamento, sendo preditoras da variável de interesse e não sendo afetadas pela intervenção nesse período. Nesse conjunto de variáveis, </w:t>
      </w:r>
      <w:proofErr w:type="gramStart"/>
      <w:r>
        <w:t>pode-se</w:t>
      </w:r>
      <w:proofErr w:type="gramEnd"/>
      <w:r>
        <w:t xml:space="preserve"> incluir os valores da própria variável de interesse </w:t>
      </w:r>
      <w:r w:rsidR="00A95BEB">
        <w:t>antes do tratamento</w:t>
      </w:r>
      <w:r>
        <w:t>.</w:t>
      </w:r>
    </w:p>
    <w:p w:rsidR="005D5199" w:rsidRDefault="005D5199" w:rsidP="005F5D32">
      <w:pPr>
        <w:pStyle w:val="BNDES"/>
        <w:ind w:firstLine="709"/>
      </w:pPr>
    </w:p>
    <w:p w:rsidR="001A6B8C" w:rsidRDefault="005D5199" w:rsidP="005F5D32">
      <w:pPr>
        <w:pStyle w:val="BNDES"/>
        <w:ind w:firstLine="709"/>
      </w:pPr>
      <w:r>
        <w:t xml:space="preserve">A diferença entre as características da unidade tratada e do controle sintético é dada pelo vetor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W</m:t>
        </m:r>
      </m:oMath>
      <w:r>
        <w:t xml:space="preserve">, sendo que o objetivo da metodologia aqui </w:t>
      </w:r>
      <w:r w:rsidR="00410D0A">
        <w:t>aplicada</w:t>
      </w:r>
      <w:r>
        <w:t xml:space="preserve"> é escolher o </w:t>
      </w:r>
      <w:r w:rsidR="00FD3225">
        <w:t>vetor de pesos</w:t>
      </w:r>
      <w:r>
        <w:t xml:space="preserve"> W</w:t>
      </w:r>
      <w:r w:rsidRPr="005D5199">
        <w:rPr>
          <w:vertAlign w:val="superscript"/>
        </w:rPr>
        <w:t>*</w:t>
      </w:r>
      <w:r>
        <w:t xml:space="preserve"> que minimiza essa distância. Esse valor é obtido da seguinte maneira. Para </w:t>
      </w:r>
      <m:oMath>
        <m:r>
          <w:rPr>
            <w:rFonts w:ascii="Cambria Math" w:hAnsi="Cambria Math"/>
          </w:rPr>
          <m:t>m=1</m:t>
        </m:r>
        <w:proofErr w:type="gramStart"/>
        <m:r>
          <w:rPr>
            <w:rFonts w:ascii="Cambria Math" w:hAnsi="Cambria Math"/>
          </w:rPr>
          <m:t>, …</m:t>
        </m:r>
        <w:proofErr w:type="gramEnd"/>
        <m:r>
          <w:rPr>
            <w:rFonts w:ascii="Cambria Math" w:hAnsi="Cambria Math"/>
          </w:rPr>
          <m:t>, K</m:t>
        </m:r>
      </m:oMath>
      <w:r>
        <w:t>, seja X</w:t>
      </w:r>
      <w:r w:rsidRPr="005D5199">
        <w:rPr>
          <w:vertAlign w:val="subscript"/>
        </w:rPr>
        <w:t>1m</w:t>
      </w:r>
      <w:r>
        <w:t xml:space="preserve"> o valor da variável m para a unidade tratada e X</w:t>
      </w:r>
      <w:r w:rsidRPr="005D5199">
        <w:rPr>
          <w:vertAlign w:val="subscript"/>
        </w:rPr>
        <w:t>0m</w:t>
      </w:r>
      <w:r>
        <w:t xml:space="preserve"> um vetor </w:t>
      </w:r>
      <m:oMath>
        <m:r>
          <w:rPr>
            <w:rFonts w:ascii="Cambria Math" w:hAnsi="Cambria Math"/>
          </w:rPr>
          <m:t>1 X J</m:t>
        </m:r>
      </m:oMath>
      <w:r>
        <w:t xml:space="preserve"> que contém os valores da variável m para as unidades do </w:t>
      </w:r>
      <w:proofErr w:type="spellStart"/>
      <w:r w:rsidRPr="005D5199">
        <w:rPr>
          <w:i/>
        </w:rPr>
        <w:t>donor</w:t>
      </w:r>
      <w:proofErr w:type="spellEnd"/>
      <w:r w:rsidRPr="005D5199">
        <w:rPr>
          <w:i/>
        </w:rPr>
        <w:t xml:space="preserve"> pool</w:t>
      </w:r>
      <w:r>
        <w:t>, deve-se escolher o W</w:t>
      </w:r>
      <w:r w:rsidRPr="005D5199">
        <w:rPr>
          <w:vertAlign w:val="superscript"/>
        </w:rPr>
        <w:t>*</w:t>
      </w:r>
      <w:r>
        <w:t xml:space="preserve"> que minimiza:</w:t>
      </w:r>
    </w:p>
    <w:p w:rsidR="005D5199" w:rsidRDefault="005D5199" w:rsidP="005F5D32">
      <w:pPr>
        <w:pStyle w:val="BNDES"/>
        <w:ind w:firstLine="709"/>
      </w:pPr>
    </w:p>
    <w:p w:rsidR="005D5199" w:rsidRPr="005D5199" w:rsidRDefault="006E69EC" w:rsidP="005F5D32">
      <w:pPr>
        <w:pStyle w:val="BNDES"/>
        <w:ind w:firstLine="709"/>
      </w:pPr>
      <m:oMathPara>
        <m:oMath>
          <m:sSub>
            <m:sSubPr>
              <m:ctrlPr>
                <w:rPr>
                  <w:rFonts w:ascii="Cambria Math" w:hAnsi="Cambria Math"/>
                  <w:i/>
                </w:rPr>
              </m:ctrlPr>
            </m:sSubPr>
            <m:e>
              <m:r>
                <w:rPr>
                  <w:rFonts w:ascii="Cambria Math" w:hAnsi="Cambria Math"/>
                </w:rPr>
                <m:t>min</m:t>
              </m:r>
            </m:e>
            <m:sub>
              <m:r>
                <w:rPr>
                  <w:rFonts w:ascii="Cambria Math" w:hAnsi="Cambria Math"/>
                </w:rPr>
                <m:t>w E W</m:t>
              </m:r>
            </m:sub>
          </m:sSub>
          <m:nary>
            <m:naryPr>
              <m:chr m:val="∑"/>
              <m:limLoc m:val="undOvr"/>
              <m:ctrlPr>
                <w:rPr>
                  <w:rFonts w:ascii="Cambria Math" w:hAnsi="Cambria Math"/>
                  <w:i/>
                </w:rPr>
              </m:ctrlPr>
            </m:naryPr>
            <m:sub>
              <m:r>
                <w:rPr>
                  <w:rFonts w:ascii="Cambria Math" w:hAnsi="Cambria Math"/>
                </w:rPr>
                <m:t>m=1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m:t>
                          </m:r>
                        </m:sub>
                      </m:sSub>
                      <m:r>
                        <w:rPr>
                          <w:rFonts w:ascii="Cambria Math" w:hAnsi="Cambria Math"/>
                        </w:rPr>
                        <m:t>W</m:t>
                      </m:r>
                    </m:e>
                  </m:d>
                </m:e>
                <m:sup>
                  <m:r>
                    <w:rPr>
                      <w:rFonts w:ascii="Cambria Math" w:hAnsi="Cambria Math"/>
                    </w:rPr>
                    <m:t>2</m:t>
                  </m:r>
                </m:sup>
              </m:sSup>
            </m:e>
          </m:nary>
        </m:oMath>
      </m:oMathPara>
    </w:p>
    <w:p w:rsidR="005D5199" w:rsidRDefault="005D5199" w:rsidP="005D5199">
      <w:pPr>
        <w:pStyle w:val="BNDES"/>
      </w:pPr>
    </w:p>
    <w:p w:rsidR="00813400" w:rsidRDefault="00813400" w:rsidP="005D5199">
      <w:pPr>
        <w:pStyle w:val="BNDES"/>
      </w:pPr>
      <w:r>
        <w:tab/>
        <w:t xml:space="preserve">Nessa equação, </w:t>
      </w:r>
      <w:proofErr w:type="spellStart"/>
      <w:r>
        <w:t>v</w:t>
      </w:r>
      <w:r w:rsidRPr="00813400">
        <w:rPr>
          <w:vertAlign w:val="subscript"/>
        </w:rPr>
        <w:t>m</w:t>
      </w:r>
      <w:proofErr w:type="spellEnd"/>
      <w:r>
        <w:t xml:space="preserve"> é um peso que reflete a importância relativa atribuída à variável m quando se mede a discrepância entre X</w:t>
      </w:r>
      <w:r w:rsidRPr="00813400">
        <w:rPr>
          <w:vertAlign w:val="subscript"/>
        </w:rPr>
        <w:t>1</w:t>
      </w:r>
      <w:r>
        <w:t xml:space="preserve"> e X</w:t>
      </w:r>
      <w:r w:rsidRPr="00813400">
        <w:rPr>
          <w:vertAlign w:val="subscript"/>
        </w:rPr>
        <w:t>0</w:t>
      </w:r>
      <w:r>
        <w:t>W.</w:t>
      </w:r>
    </w:p>
    <w:p w:rsidR="00813400" w:rsidRDefault="00813400" w:rsidP="005D5199">
      <w:pPr>
        <w:pStyle w:val="BNDES"/>
      </w:pPr>
    </w:p>
    <w:p w:rsidR="00813400" w:rsidRDefault="00813400" w:rsidP="005D5199">
      <w:pPr>
        <w:pStyle w:val="BNDES"/>
      </w:pPr>
      <w:r>
        <w:tab/>
        <w:t xml:space="preserve">Seja </w:t>
      </w:r>
      <w:proofErr w:type="spellStart"/>
      <w:r>
        <w:t>Y</w:t>
      </w:r>
      <w:r w:rsidRPr="00813400">
        <w:rPr>
          <w:vertAlign w:val="subscript"/>
        </w:rPr>
        <w:t>jt</w:t>
      </w:r>
      <w:proofErr w:type="spellEnd"/>
      <w:r>
        <w:t xml:space="preserve"> a variável de interesse da unidade j no tempo t. Y</w:t>
      </w:r>
      <w:r w:rsidRPr="00813400">
        <w:rPr>
          <w:vertAlign w:val="subscript"/>
        </w:rPr>
        <w:t>1</w:t>
      </w:r>
      <w:r>
        <w:t xml:space="preserve"> é um vetor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X </m:t>
        </m:r>
        <w:proofErr w:type="gramStart"/>
        <m:r>
          <w:rPr>
            <w:rFonts w:ascii="Cambria Math" w:hAnsi="Cambria Math"/>
          </w:rPr>
          <m:t>1</m:t>
        </m:r>
        <w:proofErr w:type="gramEnd"/>
        <m:r>
          <w:rPr>
            <w:rFonts w:ascii="Cambria Math" w:hAnsi="Cambria Math"/>
          </w:rPr>
          <m:t>)</m:t>
        </m:r>
      </m:oMath>
      <w:r>
        <w:t xml:space="preserve"> dos valores pós-intervenção da variável de interesse para a unidade tratada, de modo que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e>
          <m:sup>
            <m:r>
              <w:rPr>
                <w:rFonts w:ascii="Cambria Math" w:hAnsi="Cambria Math"/>
              </w:rPr>
              <m:t>'</m:t>
            </m:r>
          </m:sup>
        </m:sSup>
      </m:oMath>
      <w:r>
        <w:t>. Y</w:t>
      </w:r>
      <w:r w:rsidRPr="00813400">
        <w:rPr>
          <w:vertAlign w:val="subscript"/>
        </w:rPr>
        <w:t>0</w:t>
      </w:r>
      <w:r>
        <w:t xml:space="preserve"> é uma matriz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X J)</m:t>
        </m:r>
      </m:oMath>
      <w:r>
        <w:t xml:space="preserve"> em que a coluna j contém os valores pós-intervenção da variável de interess</w:t>
      </w:r>
      <w:r w:rsidR="001C4270">
        <w:t>e</w:t>
      </w:r>
      <w:r>
        <w:t xml:space="preserve"> para a unidade </w:t>
      </w:r>
      <m:oMath>
        <m:r>
          <w:rPr>
            <w:rFonts w:ascii="Cambria Math" w:hAnsi="Cambria Math"/>
          </w:rPr>
          <m:t>j+1</m:t>
        </m:r>
      </m:oMath>
      <w:r>
        <w:t xml:space="preserve">. Dessa maneira, a variável de interesse do controle sintético é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W</m:t>
            </m:r>
          </m:e>
          <m:sup>
            <m:r>
              <w:rPr>
                <w:rFonts w:ascii="Cambria Math" w:hAnsi="Cambria Math"/>
              </w:rPr>
              <m:t>*</m:t>
            </m:r>
          </m:sup>
        </m:sSup>
      </m:oMath>
      <w:r>
        <w:t>.</w:t>
      </w:r>
    </w:p>
    <w:p w:rsidR="00165692" w:rsidRDefault="00165692" w:rsidP="005D5199">
      <w:pPr>
        <w:pStyle w:val="BNDES"/>
      </w:pPr>
    </w:p>
    <w:p w:rsidR="00165692" w:rsidRDefault="00165692" w:rsidP="005D5199">
      <w:pPr>
        <w:pStyle w:val="BNDES"/>
      </w:pPr>
      <w:r>
        <w:tab/>
        <w:t>O estimador de controle sintético do impacto do tratamento é dado pela comparação entre os valores da variável de interesse para a unidade tratada e para a unidade de controle sintético no período p</w:t>
      </w:r>
      <w:r w:rsidR="00477FF3">
        <w:t>ós-tratamento:</w:t>
      </w:r>
    </w:p>
    <w:p w:rsidR="00165692" w:rsidRDefault="00165692" w:rsidP="005D5199">
      <w:pPr>
        <w:pStyle w:val="BNDES"/>
      </w:pPr>
    </w:p>
    <w:p w:rsidR="00165692" w:rsidRPr="005D5199" w:rsidRDefault="00165692" w:rsidP="005D5199">
      <w:pPr>
        <w:pStyle w:val="BNDES"/>
      </w:pPr>
      <m:oMathPara>
        <m:oMath>
          <m:r>
            <w:rPr>
              <w:rFonts w:ascii="Cambria Math" w:hAnsi="Cambria Math"/>
            </w:rPr>
            <m:t xml:space="preserve">δ=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oMath>
      </m:oMathPara>
    </w:p>
    <w:p w:rsidR="005D5199" w:rsidRDefault="00165692" w:rsidP="005F5D32">
      <w:pPr>
        <w:pStyle w:val="BNDES"/>
        <w:ind w:firstLine="709"/>
      </w:pPr>
      <m:oMathPara>
        <m:oMath>
          <m:r>
            <w:rPr>
              <w:rFonts w:ascii="Cambria Math" w:hAnsi="Cambria Math"/>
            </w:rPr>
            <m:t xml:space="preserve">δ= </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J+1</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jt</m:t>
                  </m:r>
                </m:sub>
              </m:sSub>
            </m:e>
          </m:nary>
        </m:oMath>
      </m:oMathPara>
    </w:p>
    <w:p w:rsidR="00165692" w:rsidRDefault="00165692" w:rsidP="005F5D32">
      <w:pPr>
        <w:pStyle w:val="BNDES"/>
        <w:ind w:firstLine="709"/>
      </w:pPr>
    </w:p>
    <w:p w:rsidR="00477FF3" w:rsidRDefault="00477FF3" w:rsidP="005F5D32">
      <w:pPr>
        <w:pStyle w:val="BNDES"/>
        <w:ind w:firstLine="709"/>
      </w:pPr>
      <w:r>
        <w:t>A consistência do estimador de controle sintético é maior quanto maior for o número de períodos pré-tratamento que estiver presente na base de dados (ABADIE ET AL, 2010). Segundo esse estudo, esse fator contribui por reduzir o papel de variáveis não observadas na determinação da trajetória pré-tratamento da variável de interesse.</w:t>
      </w:r>
    </w:p>
    <w:p w:rsidR="00477FF3" w:rsidRDefault="00477FF3" w:rsidP="005F5D32">
      <w:pPr>
        <w:pStyle w:val="BNDES"/>
        <w:ind w:firstLine="709"/>
      </w:pPr>
    </w:p>
    <w:p w:rsidR="00477FF3" w:rsidRDefault="00477FF3" w:rsidP="005F5D32">
      <w:pPr>
        <w:pStyle w:val="BNDES"/>
        <w:ind w:firstLine="709"/>
      </w:pPr>
      <w:r>
        <w:t>A maneira mais comum de mensurar</w:t>
      </w:r>
      <w:r w:rsidR="00EF3982">
        <w:t xml:space="preserve"> </w:t>
      </w:r>
      <w:r w:rsidR="00C2535C">
        <w:t>a qualidade do ajuste</w:t>
      </w:r>
      <w:r w:rsidR="00EF3982">
        <w:t xml:space="preserve"> por meio do método do controle sintético é </w:t>
      </w:r>
      <w:r w:rsidR="00C2535C">
        <w:t>pelo</w:t>
      </w:r>
      <w:r w:rsidR="00EF3982">
        <w:t xml:space="preserve"> erro quadrático médio pré-tratamento, ou </w:t>
      </w:r>
      <w:r w:rsidR="00EF3982" w:rsidRPr="00EF3982">
        <w:rPr>
          <w:i/>
        </w:rPr>
        <w:t xml:space="preserve">Root </w:t>
      </w:r>
      <w:proofErr w:type="spellStart"/>
      <w:r w:rsidR="00EF3982" w:rsidRPr="00EF3982">
        <w:rPr>
          <w:i/>
        </w:rPr>
        <w:t>Mean</w:t>
      </w:r>
      <w:proofErr w:type="spellEnd"/>
      <w:r w:rsidR="00EF3982" w:rsidRPr="00EF3982">
        <w:rPr>
          <w:i/>
        </w:rPr>
        <w:t xml:space="preserve"> </w:t>
      </w:r>
      <w:proofErr w:type="spellStart"/>
      <w:r w:rsidR="00EF3982" w:rsidRPr="00EF3982">
        <w:rPr>
          <w:i/>
        </w:rPr>
        <w:t>Squared</w:t>
      </w:r>
      <w:proofErr w:type="spellEnd"/>
      <w:r w:rsidR="00EF3982" w:rsidRPr="00EF3982">
        <w:rPr>
          <w:i/>
        </w:rPr>
        <w:t xml:space="preserve"> </w:t>
      </w:r>
      <w:proofErr w:type="spellStart"/>
      <w:r w:rsidR="00EF3982" w:rsidRPr="00EF3982">
        <w:rPr>
          <w:i/>
        </w:rPr>
        <w:t>Prediction</w:t>
      </w:r>
      <w:proofErr w:type="spellEnd"/>
      <w:r w:rsidR="00EF3982" w:rsidRPr="00EF3982">
        <w:rPr>
          <w:i/>
        </w:rPr>
        <w:t xml:space="preserve"> </w:t>
      </w:r>
      <w:proofErr w:type="spellStart"/>
      <w:r w:rsidR="00EF3982" w:rsidRPr="00EF3982">
        <w:rPr>
          <w:i/>
        </w:rPr>
        <w:t>Error</w:t>
      </w:r>
      <w:proofErr w:type="spellEnd"/>
      <w:r w:rsidR="00EF3982" w:rsidRPr="00EF3982">
        <w:rPr>
          <w:i/>
        </w:rPr>
        <w:t xml:space="preserve"> </w:t>
      </w:r>
      <w:r w:rsidR="00EF3982">
        <w:t>(</w:t>
      </w:r>
      <w:r w:rsidR="00EF3982" w:rsidRPr="00EF3982">
        <w:rPr>
          <w:i/>
        </w:rPr>
        <w:t>RMSPE</w:t>
      </w:r>
      <w:r w:rsidR="00EF3982">
        <w:t xml:space="preserve">). Esse indicador equivale à razão entre os desvios quadrados da trajetória da variável de interesse entre a unidade de referência (tratada ou placebo) e seu correspondente controle sintético antes do ponto de tratamento. Quanto </w:t>
      </w:r>
      <w:r w:rsidR="00C2535C">
        <w:t>menor</w:t>
      </w:r>
      <w:r w:rsidR="00EF3982">
        <w:t xml:space="preserve"> for esse valor, </w:t>
      </w:r>
      <w:r w:rsidR="00C2535C">
        <w:t>menor é a distância entre as trajetórias, e melhor é o ajuste</w:t>
      </w:r>
      <w:r w:rsidR="00EF3982">
        <w:t>.</w:t>
      </w:r>
    </w:p>
    <w:p w:rsidR="00EF3982" w:rsidRDefault="00EF3982" w:rsidP="005F5D32">
      <w:pPr>
        <w:pStyle w:val="BNDES"/>
        <w:ind w:firstLine="709"/>
      </w:pPr>
    </w:p>
    <w:p w:rsidR="00EF3982" w:rsidRPr="00EF3982" w:rsidRDefault="00EF3982" w:rsidP="005F5D32">
      <w:pPr>
        <w:pStyle w:val="BNDES"/>
        <w:ind w:firstLine="709"/>
      </w:pPr>
      <m:oMathPara>
        <m:oMath>
          <m:r>
            <w:rPr>
              <w:rFonts w:ascii="Cambria Math" w:hAnsi="Cambria Math"/>
            </w:rPr>
            <m:t xml:space="preserve">RMSPE=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t-</m:t>
                              </m:r>
                              <m:nary>
                                <m:naryPr>
                                  <m:chr m:val="∑"/>
                                  <m:limLoc m:val="undOvr"/>
                                  <m:ctrlPr>
                                    <w:rPr>
                                      <w:rFonts w:ascii="Cambria Math" w:hAnsi="Cambria Math"/>
                                      <w:i/>
                                    </w:rPr>
                                  </m:ctrlPr>
                                </m:naryPr>
                                <m:sub>
                                  <m:r>
                                    <w:rPr>
                                      <w:rFonts w:ascii="Cambria Math" w:hAnsi="Cambria Math"/>
                                    </w:rPr>
                                    <m:t>j=2</m:t>
                                  </m:r>
                                </m:sub>
                                <m:sup>
                                  <m:r>
                                    <w:rPr>
                                      <w:rFonts w:ascii="Cambria Math" w:hAnsi="Cambria Math"/>
                                    </w:rPr>
                                    <m:t>J+1</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jt</m:t>
                                      </m:r>
                                    </m:sub>
                                  </m:sSub>
                                </m:e>
                              </m:nary>
                            </m:e>
                          </m:d>
                        </m:e>
                      </m:nary>
                    </m:e>
                    <m:sup>
                      <m:r>
                        <w:rPr>
                          <w:rFonts w:ascii="Cambria Math" w:hAnsi="Cambria Math"/>
                        </w:rPr>
                        <m:t>2</m:t>
                      </m:r>
                    </m:sup>
                  </m:sSup>
                </m:e>
              </m:d>
            </m:e>
            <m:sup>
              <m:r>
                <w:rPr>
                  <w:rFonts w:ascii="Cambria Math" w:hAnsi="Cambria Math"/>
                </w:rPr>
                <m:t>1/2</m:t>
              </m:r>
            </m:sup>
          </m:sSup>
        </m:oMath>
      </m:oMathPara>
    </w:p>
    <w:p w:rsidR="00EF3982" w:rsidRDefault="00EF3982" w:rsidP="005F5D32">
      <w:pPr>
        <w:pStyle w:val="BNDES"/>
        <w:ind w:firstLine="709"/>
      </w:pPr>
    </w:p>
    <w:p w:rsidR="00427011" w:rsidRDefault="00427011" w:rsidP="005F5D32">
      <w:pPr>
        <w:pStyle w:val="BNDES"/>
        <w:ind w:firstLine="709"/>
      </w:pPr>
      <w:r>
        <w:t xml:space="preserve">Em caso de intervenções com mais de uma unidade tratada, o controle sintético deve ser aplicado para cada caso individual. Após isso, para se </w:t>
      </w:r>
      <w:proofErr w:type="gramStart"/>
      <w:r w:rsidR="003E41F0">
        <w:t>ob</w:t>
      </w:r>
      <w:r>
        <w:t>ter</w:t>
      </w:r>
      <w:proofErr w:type="gramEnd"/>
      <w:r>
        <w:t xml:space="preserve"> medidas do efeito da intervenção como um todo, as estimativas individuais devem ser compiladas (ASSUNÇÃO ET AL, 2016).</w:t>
      </w:r>
      <w:r w:rsidR="003E41F0">
        <w:t xml:space="preserve"> </w:t>
      </w:r>
      <w:r w:rsidR="00294B4E">
        <w:t xml:space="preserve">Ou seja, ao invés de se considerar uma única unidade tratada </w:t>
      </w:r>
      <m:oMath>
        <m:r>
          <w:rPr>
            <w:rFonts w:ascii="Cambria Math" w:hAnsi="Cambria Math"/>
          </w:rPr>
          <m:t>j=1</m:t>
        </m:r>
      </m:oMath>
      <w:r w:rsidR="00294B4E">
        <w:t>, c</w:t>
      </w:r>
      <w:r w:rsidR="003E41F0">
        <w:t xml:space="preserve">onsidera-se um conjunto de G unidades tratadas por uma intervenção, as quais são indexadas por </w:t>
      </w:r>
      <m:oMath>
        <m:r>
          <w:rPr>
            <w:rFonts w:ascii="Cambria Math" w:hAnsi="Cambria Math"/>
          </w:rPr>
          <m:t>g=1, 2</m:t>
        </m:r>
        <w:proofErr w:type="gramStart"/>
        <m:r>
          <w:rPr>
            <w:rFonts w:ascii="Cambria Math" w:hAnsi="Cambria Math"/>
          </w:rPr>
          <m:t>, …</m:t>
        </m:r>
        <w:proofErr w:type="gramEnd"/>
        <m:r>
          <w:rPr>
            <w:rFonts w:ascii="Cambria Math" w:hAnsi="Cambria Math"/>
          </w:rPr>
          <m:t>, G</m:t>
        </m:r>
      </m:oMath>
      <w:r w:rsidR="003E41F0">
        <w:t>. Seja T</w:t>
      </w:r>
      <w:r w:rsidR="003E41F0" w:rsidRPr="003E41F0">
        <w:rPr>
          <w:vertAlign w:val="subscript"/>
        </w:rPr>
        <w:t>0g</w:t>
      </w:r>
      <w:r w:rsidR="003E41F0">
        <w:t xml:space="preserve"> o ano em que houve o tratamento em cada unidade tratada. Para melhor comparar o tratamento em diferentes anos, esses são normalizados em </w:t>
      </w:r>
      <m:oMath>
        <m:r>
          <w:rPr>
            <w:rFonts w:ascii="Cambria Math" w:hAnsi="Cambria Math"/>
          </w:rPr>
          <m:t>τ=t-</m:t>
        </m:r>
        <m:sSub>
          <m:sSubPr>
            <m:ctrlPr>
              <w:rPr>
                <w:rFonts w:ascii="Cambria Math" w:hAnsi="Cambria Math"/>
                <w:i/>
              </w:rPr>
            </m:ctrlPr>
          </m:sSubPr>
          <m:e>
            <m:r>
              <w:rPr>
                <w:rFonts w:ascii="Cambria Math" w:hAnsi="Cambria Math"/>
              </w:rPr>
              <m:t>T</m:t>
            </m:r>
          </m:e>
          <m:sub>
            <m:r>
              <w:rPr>
                <w:rFonts w:ascii="Cambria Math" w:hAnsi="Cambria Math"/>
              </w:rPr>
              <m:t>0g</m:t>
            </m:r>
          </m:sub>
        </m:sSub>
      </m:oMath>
      <w:r w:rsidR="003E41F0">
        <w:t xml:space="preserve">, em que </w:t>
      </w:r>
      <m:oMath>
        <m:r>
          <w:rPr>
            <w:rFonts w:ascii="Cambria Math" w:hAnsi="Cambria Math"/>
          </w:rPr>
          <m:t>τ=0</m:t>
        </m:r>
      </m:oMath>
      <w:r w:rsidR="003E41F0">
        <w:t xml:space="preserve"> é o ano do tratamento de cada unidade em G.</w:t>
      </w:r>
    </w:p>
    <w:p w:rsidR="003E41F0" w:rsidRDefault="003E41F0" w:rsidP="005F5D32">
      <w:pPr>
        <w:pStyle w:val="BNDES"/>
        <w:ind w:firstLine="709"/>
      </w:pPr>
    </w:p>
    <w:p w:rsidR="003E41F0" w:rsidRDefault="003E41F0" w:rsidP="005F5D32">
      <w:pPr>
        <w:pStyle w:val="BNDES"/>
        <w:ind w:firstLine="709"/>
      </w:pPr>
      <w:r>
        <w:t xml:space="preserve">Após a normalização temporal, seja </w:t>
      </w:r>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jτg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jτg</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jτg</m:t>
            </m:r>
          </m:sub>
          <m:sup>
            <m:r>
              <w:rPr>
                <w:rFonts w:ascii="Cambria Math" w:hAnsi="Cambria Math"/>
              </w:rPr>
              <m:t>*</m:t>
            </m:r>
          </m:sup>
        </m:sSubSup>
      </m:oMath>
      <w:r w:rsidR="000B0EFF">
        <w:t>o efeito estimado da intervenção</w:t>
      </w:r>
      <w:r w:rsidR="00294B4E">
        <w:t xml:space="preserve"> na unidade</w:t>
      </w:r>
      <w:r w:rsidR="000B0EFF">
        <w:t xml:space="preserve"> </w:t>
      </w:r>
      <m:oMath>
        <m:r>
          <w:rPr>
            <w:rFonts w:ascii="Cambria Math" w:hAnsi="Cambria Math"/>
          </w:rPr>
          <m:t>g ∈ G</m:t>
        </m:r>
      </m:oMath>
      <w:r w:rsidR="00294B4E">
        <w:t>, pertencente ao conjunto J de unidades tratadas e não tratadas</w:t>
      </w:r>
      <w:r w:rsidR="000B0EFF">
        <w:t xml:space="preserve"> no período τ. Por exemplo, pode referir-se ao impacto da construção da usina eólica </w:t>
      </w:r>
      <w:r w:rsidR="00294B4E">
        <w:t xml:space="preserve">no município </w:t>
      </w:r>
      <w:r w:rsidR="000B0EFF">
        <w:t>g</w:t>
      </w:r>
      <w:r w:rsidR="001C4270">
        <w:t xml:space="preserve">, integrante </w:t>
      </w:r>
      <w:r w:rsidR="00294B4E">
        <w:t>do total J de municípios brasileiros</w:t>
      </w:r>
      <w:r w:rsidR="001C4270">
        <w:t>,</w:t>
      </w:r>
      <w:r w:rsidR="000B0EFF">
        <w:t xml:space="preserve"> no ano τ. Dessa maneira, os resultados das unidades tratadas são compilados para cada ponto no tempo de modo a se obter uma distribuição empírica. Portanto, o impacto médio dos G tratamentos </w:t>
      </w:r>
      <w:r w:rsidR="00294B4E">
        <w:t xml:space="preserve">em cada unidade g </w:t>
      </w:r>
      <w:r w:rsidR="000B0EFF">
        <w:t>será:</w:t>
      </w:r>
    </w:p>
    <w:p w:rsidR="000B0EFF" w:rsidRDefault="000B0EFF" w:rsidP="005F5D32">
      <w:pPr>
        <w:pStyle w:val="BNDES"/>
        <w:ind w:firstLine="709"/>
      </w:pPr>
    </w:p>
    <w:p w:rsidR="000B0EFF" w:rsidRDefault="006E69EC" w:rsidP="005F5D32">
      <w:pPr>
        <w:pStyle w:val="BNDES"/>
        <w:ind w:firstLine="709"/>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sSubSup>
                    <m:sSubSupPr>
                      <m:ctrlPr>
                        <w:rPr>
                          <w:rFonts w:ascii="Cambria Math" w:hAnsi="Cambria Math"/>
                          <w:i/>
                        </w:rPr>
                      </m:ctrlPr>
                    </m:sSubSupPr>
                    <m:e>
                      <m:r>
                        <w:rPr>
                          <w:rFonts w:ascii="Cambria Math" w:hAnsi="Cambria Math"/>
                        </w:rPr>
                        <m:t>δ</m:t>
                      </m:r>
                    </m:e>
                    <m:sub>
                      <m:r>
                        <w:rPr>
                          <w:rFonts w:ascii="Cambria Math" w:hAnsi="Cambria Math"/>
                        </w:rPr>
                        <m:t>g1τ</m:t>
                      </m:r>
                    </m:sub>
                    <m:sup>
                      <m:r>
                        <w:rPr>
                          <w:rFonts w:ascii="Cambria Math" w:hAnsi="Cambria Math"/>
                        </w:rPr>
                        <m:t>*</m:t>
                      </m:r>
                    </m:sup>
                  </m:sSubSup>
                </m:e>
              </m:nary>
            </m:num>
            <m:den>
              <m:r>
                <w:rPr>
                  <w:rFonts w:ascii="Cambria Math" w:hAnsi="Cambria Math"/>
                </w:rPr>
                <m:t>G</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g1τ</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g1τ</m:t>
                          </m:r>
                        </m:sub>
                        <m:sup>
                          <m:r>
                            <w:rPr>
                              <w:rFonts w:ascii="Cambria Math" w:hAnsi="Cambria Math"/>
                            </w:rPr>
                            <m:t>*</m:t>
                          </m:r>
                        </m:sup>
                      </m:sSubSup>
                    </m:e>
                  </m:d>
                </m:e>
              </m:nary>
            </m:num>
            <m:den>
              <m:r>
                <w:rPr>
                  <w:rFonts w:ascii="Cambria Math" w:hAnsi="Cambria Math"/>
                </w:rPr>
                <m:t>G</m:t>
              </m:r>
            </m:den>
          </m:f>
        </m:oMath>
      </m:oMathPara>
    </w:p>
    <w:p w:rsidR="0001229B" w:rsidRDefault="0001229B" w:rsidP="005F5D32">
      <w:pPr>
        <w:pStyle w:val="BNDES"/>
        <w:ind w:firstLine="709"/>
      </w:pPr>
    </w:p>
    <w:p w:rsidR="00AC270E" w:rsidRDefault="00AC270E" w:rsidP="005F5D32">
      <w:pPr>
        <w:pStyle w:val="BNDES"/>
        <w:ind w:firstLine="709"/>
      </w:pPr>
      <w:r>
        <w:t xml:space="preserve">Em caso de elevada heterogeneidade de efeitos entre as unidades tratadas, pode ser mais vantajoso utilizar a mediana em vez da média para compilar os resultados individuais, assim como os percentis </w:t>
      </w:r>
      <w:r w:rsidR="00294B4E">
        <w:t>0</w:t>
      </w:r>
      <w:r>
        <w:t>,25 e 0,75 para cada caso:</w:t>
      </w:r>
    </w:p>
    <w:p w:rsidR="00AC270E" w:rsidRDefault="00AC270E" w:rsidP="005F5D32">
      <w:pPr>
        <w:pStyle w:val="BNDES"/>
        <w:ind w:firstLine="709"/>
      </w:pPr>
    </w:p>
    <w:p w:rsidR="00AC270E" w:rsidRPr="00AC270E" w:rsidRDefault="00AC270E" w:rsidP="005F5D32">
      <w:pPr>
        <w:pStyle w:val="BNDES"/>
        <w:ind w:firstLine="709"/>
      </w:pPr>
      <m:oMathPara>
        <m:oMath>
          <m:r>
            <w:rPr>
              <w:rFonts w:ascii="Cambria Math" w:hAnsi="Cambria Math"/>
            </w:rPr>
            <m:t>Px</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τ</m:t>
                  </m:r>
                </m:sub>
              </m:sSub>
            </m:e>
          </m:d>
          <m:r>
            <w:rPr>
              <w:rFonts w:ascii="Cambria Math" w:hAnsi="Cambria Math"/>
            </w:rPr>
            <m:t>=Px(</m:t>
          </m:r>
          <m:sSubSup>
            <m:sSubSupPr>
              <m:ctrlPr>
                <w:rPr>
                  <w:rFonts w:ascii="Cambria Math" w:hAnsi="Cambria Math"/>
                  <w:i/>
                </w:rPr>
              </m:ctrlPr>
            </m:sSubSupPr>
            <m:e>
              <m:r>
                <w:rPr>
                  <w:rFonts w:ascii="Cambria Math" w:hAnsi="Cambria Math"/>
                </w:rPr>
                <m:t>δ</m:t>
              </m:r>
            </m:e>
            <m:sub>
              <m:r>
                <w:rPr>
                  <w:rFonts w:ascii="Cambria Math" w:hAnsi="Cambria Math"/>
                </w:rPr>
                <m:t>g1τ</m:t>
              </m:r>
            </m:sub>
            <m:sup>
              <m:r>
                <w:rPr>
                  <w:rFonts w:ascii="Cambria Math" w:hAnsi="Cambria Math"/>
                </w:rPr>
                <m:t>*</m:t>
              </m:r>
            </m:sup>
          </m:sSubSup>
          <m:r>
            <w:rPr>
              <w:rFonts w:ascii="Cambria Math" w:hAnsi="Cambria Math"/>
            </w:rPr>
            <m:t>)</m:t>
          </m:r>
        </m:oMath>
      </m:oMathPara>
    </w:p>
    <w:p w:rsidR="00AC270E" w:rsidRDefault="00AC270E" w:rsidP="005F5D32">
      <w:pPr>
        <w:pStyle w:val="BNDES"/>
        <w:ind w:firstLine="709"/>
      </w:pPr>
    </w:p>
    <w:p w:rsidR="00AC270E" w:rsidRDefault="00AC270E" w:rsidP="005F5D32">
      <w:pPr>
        <w:pStyle w:val="BNDES"/>
        <w:ind w:firstLine="709"/>
      </w:pPr>
      <w:r>
        <w:t xml:space="preserve">Nessa fórmula, </w:t>
      </w:r>
      <w:proofErr w:type="spellStart"/>
      <w:r>
        <w:t>Px</w:t>
      </w:r>
      <w:proofErr w:type="spellEnd"/>
      <w:r>
        <w:t xml:space="preserve"> equivale ao percentil escolhido do efeito para cada τ de tratamento.</w:t>
      </w:r>
    </w:p>
    <w:p w:rsidR="00AC270E" w:rsidRDefault="00AC270E" w:rsidP="005F5D32">
      <w:pPr>
        <w:pStyle w:val="BNDES"/>
        <w:ind w:firstLine="709"/>
      </w:pPr>
    </w:p>
    <w:p w:rsidR="00D321A4" w:rsidRDefault="00AC270E" w:rsidP="005F5D32">
      <w:pPr>
        <w:pStyle w:val="BNDES"/>
        <w:ind w:firstLine="709"/>
      </w:pPr>
      <w:r>
        <w:t>Observa-se que, nos casos em que a intervenção não foi aleatoriamente atribuída entre as unidades, dois problemas podem ameaçar as conclusões em termos de inferência a respeito dos efeitos individuais compilados. Em primeiro lugar, pode haver viés, isto é, a trajetória da variável de interesse de uma unidade tratada pode estar descolada do seu controle sintético desde antes da intervenção.</w:t>
      </w:r>
      <w:r w:rsidR="00D321A4">
        <w:t xml:space="preserve"> Em s</w:t>
      </w:r>
      <w:r w:rsidR="00AA3242">
        <w:t>egundo lugar, pode haver hetero</w:t>
      </w:r>
      <w:r w:rsidR="00D321A4">
        <w:t xml:space="preserve">cedasticidade de choques </w:t>
      </w:r>
      <w:r w:rsidR="00D321A4" w:rsidRPr="00D321A4">
        <w:t>idiossincráticos</w:t>
      </w:r>
      <w:r w:rsidR="00D321A4">
        <w:t xml:space="preserve">. Esse problema acontece quando </w:t>
      </w:r>
      <w:r w:rsidR="006E6AFF">
        <w:t>uma</w:t>
      </w:r>
      <w:r w:rsidR="00D321A4">
        <w:t xml:space="preserve"> unidade tratada recebe choques aleatórios sobre sua variável de interesse com uma variância diferente do seu controle sintético. Se os choques atingem a unidade tratada com maior variância do que o controle sintético, poderá haver superestimação do efeito do tratamento. Se os choques atingirem o controle sintético com maior variância do que a unidade tratada, pode haver subestimação do tratamento.</w:t>
      </w:r>
    </w:p>
    <w:p w:rsidR="00D321A4" w:rsidRDefault="00D321A4" w:rsidP="005F5D32">
      <w:pPr>
        <w:pStyle w:val="BNDES"/>
        <w:ind w:firstLine="709"/>
      </w:pPr>
    </w:p>
    <w:p w:rsidR="00AC270E" w:rsidRDefault="00D321A4" w:rsidP="005F5D32">
      <w:pPr>
        <w:pStyle w:val="BNDES"/>
        <w:ind w:firstLine="709"/>
      </w:pPr>
      <w:r>
        <w:t xml:space="preserve">Os dois problemas – viés e heterocedasticidade de choques – são detectados no exercício empírico por meio de um mau ajuste pré-tratamento da variável de interesse, e isso pode ser testado sob a forma de um elevado </w:t>
      </w:r>
      <w:r w:rsidRPr="00D321A4">
        <w:rPr>
          <w:i/>
        </w:rPr>
        <w:t>RMSPE</w:t>
      </w:r>
      <w:r>
        <w:t xml:space="preserve"> pré-tratamento. Por isso, uma forma simples de se controlar a influência desses casos na estimação do efeito compilado das intervenções é a eliminação das unidades tratadas com um nível de </w:t>
      </w:r>
      <w:r w:rsidRPr="006E6AFF">
        <w:rPr>
          <w:i/>
        </w:rPr>
        <w:t>RMSPE</w:t>
      </w:r>
      <w:r>
        <w:t xml:space="preserve"> pré-tratamento acima de um patamar escolhido.</w:t>
      </w:r>
    </w:p>
    <w:p w:rsidR="00D321A4" w:rsidRDefault="00D321A4" w:rsidP="005F5D32">
      <w:pPr>
        <w:pStyle w:val="BNDES"/>
        <w:ind w:firstLine="709"/>
      </w:pPr>
    </w:p>
    <w:p w:rsidR="00D321A4" w:rsidRPr="00D321A4" w:rsidRDefault="00D321A4" w:rsidP="005F5D32">
      <w:pPr>
        <w:pStyle w:val="BNDES"/>
        <w:ind w:firstLine="709"/>
        <w:rPr>
          <w:i/>
        </w:rPr>
      </w:pPr>
      <w:r w:rsidRPr="00D321A4">
        <w:rPr>
          <w:i/>
        </w:rPr>
        <w:t xml:space="preserve">4.2. </w:t>
      </w:r>
      <w:proofErr w:type="spellStart"/>
      <w:proofErr w:type="gramStart"/>
      <w:r w:rsidR="00867A7B">
        <w:rPr>
          <w:i/>
        </w:rPr>
        <w:t>A</w:t>
      </w:r>
      <w:r w:rsidRPr="00D321A4">
        <w:rPr>
          <w:i/>
        </w:rPr>
        <w:t>daLASSO</w:t>
      </w:r>
      <w:proofErr w:type="spellEnd"/>
      <w:proofErr w:type="gramEnd"/>
      <w:r w:rsidRPr="00D321A4">
        <w:rPr>
          <w:i/>
        </w:rPr>
        <w:t xml:space="preserve"> –</w:t>
      </w:r>
      <w:r w:rsidR="00C2535C">
        <w:rPr>
          <w:i/>
        </w:rPr>
        <w:t>Método de</w:t>
      </w:r>
      <w:r w:rsidRPr="00D321A4">
        <w:rPr>
          <w:i/>
        </w:rPr>
        <w:t xml:space="preserve"> Seleção</w:t>
      </w:r>
      <w:r w:rsidR="0048182A">
        <w:rPr>
          <w:i/>
        </w:rPr>
        <w:t xml:space="preserve"> </w:t>
      </w:r>
      <w:r w:rsidRPr="00D321A4">
        <w:rPr>
          <w:i/>
        </w:rPr>
        <w:t>de Covariadas</w:t>
      </w:r>
    </w:p>
    <w:p w:rsidR="00D321A4" w:rsidRDefault="00D321A4" w:rsidP="005F5D32">
      <w:pPr>
        <w:pStyle w:val="BNDES"/>
        <w:ind w:firstLine="709"/>
      </w:pPr>
    </w:p>
    <w:p w:rsidR="00D321A4" w:rsidRDefault="00D321A4" w:rsidP="005F5D32">
      <w:pPr>
        <w:pStyle w:val="BNDES"/>
        <w:ind w:firstLine="709"/>
      </w:pPr>
      <w:r>
        <w:t>Os modelos de alta dimensionalidade estão cada vez mais presentes na literatura, já que a inclusão de um grande número</w:t>
      </w:r>
      <w:r w:rsidR="00214EBC">
        <w:t xml:space="preserve"> de variáveis pode contribuir para ganhos de capacidade preditiva dos modelos (KONZEN, 2014). Porém, quando a dimensionalidade do modelo é grande em relação ao tamanho da amostra, os métodos tradicionais de regressão podem apresentar problemas. Primeiro, aumenta a dificuldade de tornar os modelos interpretáveis. Segundo, os modelos perdem robustez. Terceiro, há comprometimento da eficiência computacional. Quarto</w:t>
      </w:r>
      <w:proofErr w:type="gramStart"/>
      <w:r w:rsidR="00214EBC">
        <w:t>, há</w:t>
      </w:r>
      <w:proofErr w:type="gramEnd"/>
      <w:r w:rsidR="00214EBC">
        <w:t xml:space="preserve"> perda de eficiência em termos de inferência estatística. Quinto</w:t>
      </w:r>
      <w:proofErr w:type="gramStart"/>
      <w:r w:rsidR="00214EBC">
        <w:t>, há</w:t>
      </w:r>
      <w:proofErr w:type="gramEnd"/>
      <w:r w:rsidR="00214EBC">
        <w:t xml:space="preserve"> problemas com correlação espúria entre as covariadas do modelo, a qual pode ser elevada mesmo quando elas forem independentes e identicamente distribuídas.</w:t>
      </w:r>
    </w:p>
    <w:p w:rsidR="00214EBC" w:rsidRDefault="00214EBC" w:rsidP="005F5D32">
      <w:pPr>
        <w:pStyle w:val="BNDES"/>
        <w:ind w:firstLine="709"/>
      </w:pPr>
    </w:p>
    <w:p w:rsidR="00214EBC" w:rsidRDefault="00214EBC" w:rsidP="005F5D32">
      <w:pPr>
        <w:pStyle w:val="BNDES"/>
        <w:ind w:firstLine="709"/>
      </w:pPr>
      <w:r>
        <w:t>No caso de modelos de controle sintético, esses problemas tendem a ser mais graves, já que o método tem sua eficiência computacional muito sensível à extensão das bases de dados. Não obstante, nesses modelos a estimação do contrafactual é dependente do conjunto de covariadas presente na base de dados de análise. Por isso, há a necessidade de filtrar</w:t>
      </w:r>
      <w:r w:rsidR="0083293F">
        <w:t xml:space="preserve"> as variáveis mais importantes para explicar a trajetória da variável de interesse sobre a qual será calculado </w:t>
      </w:r>
      <w:r w:rsidR="00AA3242">
        <w:t>o</w:t>
      </w:r>
      <w:r w:rsidR="0083293F">
        <w:t xml:space="preserve"> efeito da intervenção realizada.</w:t>
      </w:r>
    </w:p>
    <w:p w:rsidR="0083293F" w:rsidRDefault="0083293F" w:rsidP="005F5D32">
      <w:pPr>
        <w:pStyle w:val="BNDES"/>
        <w:ind w:firstLine="709"/>
      </w:pPr>
    </w:p>
    <w:p w:rsidR="0083293F" w:rsidRDefault="0083293F" w:rsidP="005F5D32">
      <w:pPr>
        <w:pStyle w:val="BNDES"/>
        <w:ind w:firstLine="709"/>
      </w:pPr>
      <w:r>
        <w:t xml:space="preserve">Uma solução para problemas referentes à alta dimensionalidade dos modelos é a suposição de esparsidade do vetor de parâmetros. Isto é, a suposição de que muitos de seus componentes são iguais </w:t>
      </w:r>
      <w:proofErr w:type="gramStart"/>
      <w:r>
        <w:t>a</w:t>
      </w:r>
      <w:proofErr w:type="gramEnd"/>
      <w:r>
        <w:t xml:space="preserve"> zero. Essa hipótese pode produzir estimativas viesadas, mas contribui com a identificação das covariadas mais importantes, assim como com a obtenção de um modelo mais parcimonioso. Da mesma maneira, reduz a complexidade do modelo e o seu custo em termos computacionais.</w:t>
      </w:r>
    </w:p>
    <w:p w:rsidR="0083293F" w:rsidRDefault="0083293F" w:rsidP="005F5D32">
      <w:pPr>
        <w:pStyle w:val="BNDES"/>
        <w:ind w:firstLine="709"/>
      </w:pPr>
    </w:p>
    <w:p w:rsidR="0083293F" w:rsidRDefault="002511C7" w:rsidP="005F5D32">
      <w:pPr>
        <w:pStyle w:val="BNDES"/>
        <w:ind w:firstLine="709"/>
      </w:pPr>
      <w:r>
        <w:t>O LASSO (</w:t>
      </w:r>
      <w:proofErr w:type="spellStart"/>
      <w:r w:rsidRPr="002511C7">
        <w:rPr>
          <w:i/>
        </w:rPr>
        <w:t>Least</w:t>
      </w:r>
      <w:proofErr w:type="spellEnd"/>
      <w:r w:rsidRPr="002511C7">
        <w:rPr>
          <w:i/>
        </w:rPr>
        <w:t xml:space="preserve"> </w:t>
      </w:r>
      <w:proofErr w:type="spellStart"/>
      <w:r w:rsidRPr="002511C7">
        <w:rPr>
          <w:i/>
        </w:rPr>
        <w:t>Absolute</w:t>
      </w:r>
      <w:proofErr w:type="spellEnd"/>
      <w:r w:rsidRPr="002511C7">
        <w:rPr>
          <w:i/>
        </w:rPr>
        <w:t xml:space="preserve"> </w:t>
      </w:r>
      <w:proofErr w:type="spellStart"/>
      <w:r w:rsidRPr="002511C7">
        <w:rPr>
          <w:i/>
        </w:rPr>
        <w:t>Shrinkage</w:t>
      </w:r>
      <w:proofErr w:type="spellEnd"/>
      <w:r w:rsidRPr="002511C7">
        <w:rPr>
          <w:i/>
        </w:rPr>
        <w:t xml:space="preserve"> </w:t>
      </w:r>
      <w:proofErr w:type="spellStart"/>
      <w:r w:rsidRPr="002511C7">
        <w:rPr>
          <w:i/>
        </w:rPr>
        <w:t>and</w:t>
      </w:r>
      <w:proofErr w:type="spellEnd"/>
      <w:r w:rsidRPr="002511C7">
        <w:rPr>
          <w:i/>
        </w:rPr>
        <w:t xml:space="preserve"> </w:t>
      </w:r>
      <w:proofErr w:type="spellStart"/>
      <w:r w:rsidRPr="002511C7">
        <w:rPr>
          <w:i/>
        </w:rPr>
        <w:t>Selection</w:t>
      </w:r>
      <w:proofErr w:type="spellEnd"/>
      <w:r w:rsidRPr="002511C7">
        <w:rPr>
          <w:i/>
        </w:rPr>
        <w:t xml:space="preserve"> </w:t>
      </w:r>
      <w:proofErr w:type="spellStart"/>
      <w:r w:rsidRPr="002511C7">
        <w:rPr>
          <w:i/>
        </w:rPr>
        <w:t>Operator</w:t>
      </w:r>
      <w:proofErr w:type="spellEnd"/>
      <w:r>
        <w:t xml:space="preserve">) é um método de encolhimento do conjunto de coeficientes estimados de um modelo desenvolvido por </w:t>
      </w:r>
      <w:proofErr w:type="spellStart"/>
      <w:r>
        <w:t>Tibshirani</w:t>
      </w:r>
      <w:proofErr w:type="spellEnd"/>
      <w:r>
        <w:t xml:space="preserve"> (1996)</w:t>
      </w:r>
      <w:r w:rsidR="00D00394">
        <w:t>. Esse método consiste, simplificadamente, na introdução de uma penalização ao conjunto de norma L</w:t>
      </w:r>
      <w:r w:rsidR="00D00394" w:rsidRPr="00D00394">
        <w:rPr>
          <w:vertAlign w:val="subscript"/>
        </w:rPr>
        <w:t>1</w:t>
      </w:r>
      <w:r w:rsidR="00D00394">
        <w:t xml:space="preserve"> dos coeficientes, isto é, uma penalização na soma dos valores absolutos dos coeficientes. </w:t>
      </w:r>
      <w:r w:rsidR="00ED3EF6">
        <w:t xml:space="preserve">O seu objetivo é permitir a </w:t>
      </w:r>
      <w:r w:rsidR="00ED3EF6">
        <w:lastRenderedPageBreak/>
        <w:t xml:space="preserve">estimação de um modelo que produza previsões </w:t>
      </w:r>
      <w:r w:rsidR="000F706B">
        <w:t>c</w:t>
      </w:r>
      <w:r w:rsidR="00ED3EF6">
        <w:t xml:space="preserve">om pequena variância e que determine um conjunto de preditores que melhor explicam a variável de interesse. </w:t>
      </w:r>
      <w:r w:rsidR="00D00394">
        <w:t>A penalização</w:t>
      </w:r>
      <w:r w:rsidR="00ED3EF6">
        <w:t xml:space="preserve"> introduzida</w:t>
      </w:r>
      <w:r w:rsidR="00D00394">
        <w:t xml:space="preserve"> tende a zerar alguns dos coeficientes estimados, o que não apenas reduz a dimensionalidade do espaço paramétrico, como também seleciona as covariadas mais relevantes.</w:t>
      </w:r>
      <w:r w:rsidR="00ED3EF6">
        <w:t xml:space="preserve"> </w:t>
      </w:r>
    </w:p>
    <w:p w:rsidR="00D856B5" w:rsidRDefault="00D856B5" w:rsidP="005F5D32">
      <w:pPr>
        <w:pStyle w:val="BNDES"/>
        <w:ind w:firstLine="709"/>
      </w:pPr>
    </w:p>
    <w:p w:rsidR="00D856B5" w:rsidRDefault="00D856B5" w:rsidP="005F5D32">
      <w:pPr>
        <w:pStyle w:val="BNDES"/>
        <w:ind w:firstLine="709"/>
      </w:pPr>
      <w:r>
        <w:t xml:space="preserve">O LASSO pode ser </w:t>
      </w:r>
      <w:r w:rsidR="00ED3EF6">
        <w:t>entendido</w:t>
      </w:r>
      <w:r>
        <w:t xml:space="preserve"> como uma técnica de regularização. Isto é, considera-se uma função de erro do tipo </w:t>
      </w:r>
      <m:oMath>
        <m:r>
          <w:rPr>
            <w:rFonts w:ascii="Cambria Math" w:hAnsi="Cambria Math"/>
          </w:rPr>
          <m:t>E= medida de erro+ λ</m:t>
        </m:r>
        <m:r>
          <m:rPr>
            <m:sty m:val="p"/>
          </m:rPr>
          <w:rPr>
            <w:rFonts w:ascii="Cambria Math" w:hAnsi="Cambria Math"/>
          </w:rPr>
          <m:t>*</m:t>
        </m:r>
        <m:r>
          <w:rPr>
            <w:rFonts w:ascii="Cambria Math" w:hAnsi="Cambria Math"/>
          </w:rPr>
          <m:t>complexidade do modelo.</m:t>
        </m:r>
      </m:oMath>
      <w:r w:rsidR="00ED3EF6">
        <w:t xml:space="preserve"> No caso de uma regressão, a medida de erro equivale à soma dos quadrados dos resíduos estimados. O segundo termo representa a penalização dos modelos com maior complexidade e variância dos estimadores, sendo que λ representa a severidade dessa penalidade. Quanto maior for λ, mais simplificado será o modelo estimado, ainda que isso leve a um maior viés. Em termos formais, </w:t>
      </w:r>
      <w:proofErr w:type="gramStart"/>
      <w:r w:rsidR="00ED3EF6">
        <w:t>as estimativas LASSO</w:t>
      </w:r>
      <w:proofErr w:type="gramEnd"/>
      <w:r w:rsidR="00ED3EF6">
        <w:t xml:space="preserve"> são obtidas por meio da minimização dos quadrados dos resíduos sujeita a uma penalização de norma L</w:t>
      </w:r>
      <w:r w:rsidR="00ED3EF6" w:rsidRPr="00ED3EF6">
        <w:rPr>
          <w:vertAlign w:val="subscript"/>
        </w:rPr>
        <w:t>1</w:t>
      </w:r>
      <w:r w:rsidR="00ED3EF6">
        <w:t xml:space="preserve"> dos coeficientes:</w:t>
      </w:r>
    </w:p>
    <w:p w:rsidR="00E41AC6" w:rsidRDefault="00E41AC6" w:rsidP="005F5D32">
      <w:pPr>
        <w:pStyle w:val="BNDES"/>
        <w:ind w:firstLine="709"/>
      </w:pPr>
    </w:p>
    <w:p w:rsidR="00ED3EF6" w:rsidRPr="00E41AC6" w:rsidRDefault="006E69EC" w:rsidP="005F5D32">
      <w:pPr>
        <w:pStyle w:val="BNDES"/>
        <w:ind w:firstLine="709"/>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LASSO</m:t>
              </m:r>
            </m:sup>
          </m:sSup>
          <m:r>
            <w:rPr>
              <w:rFonts w:ascii="Cambria Math" w:hAnsi="Cambria Math"/>
            </w:rPr>
            <m:t>=</m:t>
          </m:r>
          <m:sSub>
            <m:sSubPr>
              <m:ctrlPr>
                <w:rPr>
                  <w:rFonts w:ascii="Cambria Math" w:hAnsi="Cambria Math"/>
                  <w:i/>
                </w:rPr>
              </m:ctrlPr>
            </m:sSubPr>
            <m:e>
              <m:r>
                <w:rPr>
                  <w:rFonts w:ascii="Cambria Math" w:hAnsi="Cambria Math"/>
                </w:rPr>
                <m:t>argmin</m:t>
              </m:r>
            </m:e>
            <m:sub>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ji</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e>
          </m:d>
        </m:oMath>
      </m:oMathPara>
    </w:p>
    <w:p w:rsidR="00E41AC6" w:rsidRDefault="00E41AC6" w:rsidP="005F5D32">
      <w:pPr>
        <w:pStyle w:val="BNDES"/>
        <w:ind w:firstLine="709"/>
      </w:pPr>
    </w:p>
    <w:p w:rsidR="001C765F" w:rsidRDefault="001C765F" w:rsidP="001C765F">
      <w:pPr>
        <w:pStyle w:val="BNDES"/>
        <w:ind w:firstLine="709"/>
      </w:pPr>
      <w:r>
        <w:t xml:space="preserve">Aqui, </w:t>
      </w:r>
      <m:oMath>
        <m:r>
          <w:rPr>
            <w:rFonts w:ascii="Cambria Math" w:hAnsi="Cambria Math"/>
          </w:rPr>
          <m:t>λ≥</m:t>
        </m:r>
        <w:proofErr w:type="gramStart"/>
        <m:r>
          <w:rPr>
            <w:rFonts w:ascii="Cambria Math" w:hAnsi="Cambria Math"/>
          </w:rPr>
          <m:t>0</m:t>
        </m:r>
      </m:oMath>
      <w:proofErr w:type="gramEnd"/>
      <w:r>
        <w:t xml:space="preserve"> é uma função </w:t>
      </w:r>
      <w:r w:rsidR="00C3332F">
        <w:t>de um</w:t>
      </w:r>
      <w:r>
        <w:t xml:space="preserve"> parâmetro de ajuste</w:t>
      </w:r>
      <w:r w:rsidR="00F748EF">
        <w:t xml:space="preserve"> t</w:t>
      </w:r>
      <w:r w:rsidR="00C3332F">
        <w:t xml:space="preserve">, de modo que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hAnsi="Cambria Math"/>
          </w:rPr>
          <m:t xml:space="preserve"> ≤t</m:t>
        </m:r>
      </m:oMath>
      <w:r>
        <w:t xml:space="preserve">. Quanto maior o valor de λ, maior será a penalidade imposta ao somatório dos coeficientes. Por outro lado, se </w:t>
      </w:r>
      <m:oMath>
        <m:r>
          <w:rPr>
            <w:rFonts w:ascii="Cambria Math" w:hAnsi="Cambria Math"/>
          </w:rPr>
          <m:t>λ=0</m:t>
        </m:r>
      </m:oMath>
      <w:r>
        <w:t>, as estimativas LASSO serão iguais às estimativas de MQO.</w:t>
      </w:r>
      <w:r w:rsidR="00F748EF">
        <w:t xml:space="preserve"> Esse parâmetro é escolhido por um procedimento de </w:t>
      </w:r>
      <w:r w:rsidR="00F748EF" w:rsidRPr="00F748EF">
        <w:rPr>
          <w:i/>
        </w:rPr>
        <w:t>K-</w:t>
      </w:r>
      <w:proofErr w:type="spellStart"/>
      <w:r w:rsidR="00F748EF" w:rsidRPr="00F748EF">
        <w:rPr>
          <w:i/>
        </w:rPr>
        <w:t>fold</w:t>
      </w:r>
      <w:proofErr w:type="spellEnd"/>
      <w:r w:rsidR="00F748EF" w:rsidRPr="00F748EF">
        <w:rPr>
          <w:i/>
        </w:rPr>
        <w:t xml:space="preserve"> </w:t>
      </w:r>
      <w:proofErr w:type="spellStart"/>
      <w:r w:rsidR="00F748EF" w:rsidRPr="00F748EF">
        <w:rPr>
          <w:i/>
        </w:rPr>
        <w:t>cross-validation</w:t>
      </w:r>
      <w:proofErr w:type="spellEnd"/>
      <w:r w:rsidR="00F748EF">
        <w:t xml:space="preserve">, no qual a amostra é particionada aleatoriamente em K subamostras de tamanhos iguais, e o modelo é iterativamente </w:t>
      </w:r>
      <w:proofErr w:type="gramStart"/>
      <w:r w:rsidR="00F748EF">
        <w:t>estimado</w:t>
      </w:r>
      <w:proofErr w:type="gramEnd"/>
      <w:r w:rsidR="00F748EF">
        <w:t xml:space="preserve"> eliminando-se uma subamostra. Assim, fazem-se previsões com base em cada estimação e compara-se com a subamostra removida, calculando-se o erro quadrático médio de previsão (EQMP) para avaliar a qualidade do ajuste naquela subamostra. Portanto, o λ ótimo deve minimizar o EQMP médio nas K subamostras.</w:t>
      </w:r>
    </w:p>
    <w:p w:rsidR="00A73882" w:rsidRDefault="00A73882" w:rsidP="001C765F">
      <w:pPr>
        <w:pStyle w:val="BNDES"/>
        <w:ind w:firstLine="709"/>
      </w:pPr>
    </w:p>
    <w:p w:rsidR="00A73882" w:rsidRDefault="00A73882" w:rsidP="00A73882">
      <w:pPr>
        <w:pStyle w:val="BNDES"/>
        <w:ind w:firstLine="709"/>
      </w:pPr>
      <w:r>
        <w:t>O LASSO apresenta menor variabilidade entre outras opções de modelos de redução de dimensionalidade (KONZEN, 2014). Além disso, por encolher alguns coeficientes para zero, destaca as covariadas mais relevantes para explicar uma variável de interesse. Por fim, é capaz de realizar a escolha das variáveis e a estimação dos coeficientes simultaneamente. Contudo, deve-se observar que nem sempre o LASSO é consistente na escolha de variáveis (ZHAO E YU, 2006). Isso significa que a solução esparsa – isto é, de dimensionalidade reduzida, com alguns coeficientes reduzidos a zero – pode não representar o modelo verdadeiro quando o tamanho da amostra tende ao infinito.</w:t>
      </w:r>
    </w:p>
    <w:p w:rsidR="00E41AC6" w:rsidRDefault="00E41AC6" w:rsidP="005F5D32">
      <w:pPr>
        <w:pStyle w:val="BNDES"/>
        <w:ind w:firstLine="709"/>
      </w:pPr>
    </w:p>
    <w:p w:rsidR="00867A7B" w:rsidRDefault="00867A7B" w:rsidP="005F5D32">
      <w:pPr>
        <w:pStyle w:val="BNDES"/>
        <w:ind w:firstLine="709"/>
      </w:pPr>
      <w:r>
        <w:t xml:space="preserve">Nesse sentido, o LASSO Adaptativo, ou </w:t>
      </w:r>
      <w:proofErr w:type="spellStart"/>
      <w:proofErr w:type="gramStart"/>
      <w:r>
        <w:t>adaLASSO</w:t>
      </w:r>
      <w:proofErr w:type="spellEnd"/>
      <w:proofErr w:type="gramEnd"/>
      <w:r>
        <w:t>, é um método que pretende dar consistência às estimativas LASSO por meio da atribuição de diferentes pesos para diferentes coeficientes</w:t>
      </w:r>
      <w:r w:rsidR="009865B6">
        <w:t xml:space="preserve"> (ZOU, 2006)</w:t>
      </w:r>
      <w:r>
        <w:t>. Ou seja:</w:t>
      </w:r>
    </w:p>
    <w:p w:rsidR="00867A7B" w:rsidRDefault="00867A7B" w:rsidP="005F5D32">
      <w:pPr>
        <w:pStyle w:val="BNDES"/>
        <w:ind w:firstLine="709"/>
      </w:pPr>
    </w:p>
    <w:p w:rsidR="00867A7B" w:rsidRPr="00867A7B" w:rsidRDefault="006E69EC" w:rsidP="005F5D32">
      <w:pPr>
        <w:pStyle w:val="BNDES"/>
        <w:ind w:firstLine="709"/>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adaLASSO</m:t>
              </m:r>
            </m:sup>
          </m:sSup>
          <m:r>
            <w:rPr>
              <w:rFonts w:ascii="Cambria Math" w:hAnsi="Cambria Math"/>
            </w:rPr>
            <m:t>=</m:t>
          </m:r>
          <m:sSub>
            <m:sSubPr>
              <m:ctrlPr>
                <w:rPr>
                  <w:rFonts w:ascii="Cambria Math" w:hAnsi="Cambria Math"/>
                  <w:i/>
                </w:rPr>
              </m:ctrlPr>
            </m:sSubPr>
            <m:e>
              <m:r>
                <w:rPr>
                  <w:rFonts w:ascii="Cambria Math" w:hAnsi="Cambria Math"/>
                </w:rPr>
                <m:t>argmin</m:t>
              </m:r>
            </m:e>
            <m:sub>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ji</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e>
          </m:d>
        </m:oMath>
      </m:oMathPara>
    </w:p>
    <w:p w:rsidR="00867A7B" w:rsidRPr="00867A7B" w:rsidRDefault="00867A7B" w:rsidP="005F5D32">
      <w:pPr>
        <w:pStyle w:val="BNDES"/>
        <w:ind w:firstLine="709"/>
      </w:pPr>
    </w:p>
    <w:p w:rsidR="00867A7B" w:rsidRDefault="006E69EC" w:rsidP="005F5D32">
      <w:pPr>
        <w:pStyle w:val="BNDES"/>
        <w:ind w:firstLine="709"/>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ridge</m:t>
                      </m:r>
                    </m:sup>
                  </m:sSubSup>
                </m:e>
              </m:d>
            </m:e>
            <m:sup>
              <m:r>
                <w:rPr>
                  <w:rFonts w:ascii="Cambria Math" w:hAnsi="Cambria Math"/>
                </w:rPr>
                <m:t>-τ</m:t>
              </m:r>
            </m:sup>
          </m:sSup>
          <m:r>
            <w:rPr>
              <w:rFonts w:ascii="Cambria Math" w:hAnsi="Cambria Math"/>
            </w:rPr>
            <m:t>,τ&gt;0</m:t>
          </m:r>
        </m:oMath>
      </m:oMathPara>
    </w:p>
    <w:p w:rsidR="00AC270E" w:rsidRDefault="00AC270E" w:rsidP="005F5D32">
      <w:pPr>
        <w:pStyle w:val="BNDES"/>
        <w:ind w:firstLine="709"/>
      </w:pPr>
    </w:p>
    <w:p w:rsidR="00AC270E" w:rsidRDefault="00867A7B" w:rsidP="005F5D32">
      <w:pPr>
        <w:pStyle w:val="BNDES"/>
        <w:ind w:firstLine="709"/>
      </w:pPr>
      <w:r>
        <w:t xml:space="preserve">Ou seja, </w:t>
      </w:r>
      <w:proofErr w:type="spellStart"/>
      <w:r>
        <w:t>w</w:t>
      </w:r>
      <w:r w:rsidRPr="00867A7B">
        <w:rPr>
          <w:vertAlign w:val="subscript"/>
        </w:rPr>
        <w:t>j</w:t>
      </w:r>
      <w:proofErr w:type="spellEnd"/>
      <w:r>
        <w:t xml:space="preserve"> é um vetor de pesos individuais para auxiliar a seleção das variáveis relevantes para o modelo. </w:t>
      </w:r>
      <w:r w:rsidR="009865B6">
        <w:t xml:space="preserve">Esse vetor é função de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ridge</m:t>
            </m:r>
          </m:sup>
        </m:sSubSup>
      </m:oMath>
      <w:r w:rsidR="009865B6">
        <w:t xml:space="preserve">, isto é, dos coeficientes estimados por meio de uma regressão que controla possíveis efeitos de multicolinearidade (regressão </w:t>
      </w:r>
      <w:proofErr w:type="spellStart"/>
      <w:r w:rsidR="009865B6" w:rsidRPr="009865B6">
        <w:rPr>
          <w:i/>
        </w:rPr>
        <w:t>ridge</w:t>
      </w:r>
      <w:proofErr w:type="spellEnd"/>
      <w:r w:rsidR="009865B6">
        <w:t xml:space="preserve">). </w:t>
      </w:r>
      <w:r>
        <w:t xml:space="preserve">Uma variável relevante </w:t>
      </w:r>
      <w:proofErr w:type="spellStart"/>
      <w:r>
        <w:t>x</w:t>
      </w:r>
      <w:r w:rsidRPr="00867A7B">
        <w:rPr>
          <w:vertAlign w:val="subscript"/>
        </w:rPr>
        <w:t>j</w:t>
      </w:r>
      <w:proofErr w:type="spellEnd"/>
      <w:r>
        <w:t xml:space="preserve"> terá um valor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ridge</m:t>
            </m:r>
          </m:sup>
        </m:sSubSup>
      </m:oMath>
      <w:r>
        <w:t xml:space="preserve">comparativamente elevado, o que reduz o peso </w:t>
      </w:r>
      <w:proofErr w:type="spellStart"/>
      <w:r>
        <w:t>w</w:t>
      </w:r>
      <w:r w:rsidRPr="00867A7B">
        <w:rPr>
          <w:vertAlign w:val="subscript"/>
        </w:rPr>
        <w:t>j</w:t>
      </w:r>
      <w:proofErr w:type="spellEnd"/>
      <w:r>
        <w:t xml:space="preserve"> atribuído ao seu coeficiente. Por outro lado, uma </w:t>
      </w:r>
      <w:r>
        <w:lastRenderedPageBreak/>
        <w:t xml:space="preserve">variável irrelevante </w:t>
      </w:r>
      <w:proofErr w:type="spellStart"/>
      <w:r>
        <w:t>x</w:t>
      </w:r>
      <w:r w:rsidRPr="00867A7B">
        <w:rPr>
          <w:vertAlign w:val="subscript"/>
        </w:rPr>
        <w:t>j</w:t>
      </w:r>
      <w:proofErr w:type="spellEnd"/>
      <w:r>
        <w:t xml:space="preserve"> terá um valor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ridge</m:t>
            </m:r>
          </m:sup>
        </m:sSubSup>
      </m:oMath>
      <w:r>
        <w:t xml:space="preserve">comparativamente baixo, o que aumenta o peso </w:t>
      </w:r>
      <w:proofErr w:type="spellStart"/>
      <w:r>
        <w:t>w</w:t>
      </w:r>
      <w:r w:rsidRPr="00867A7B">
        <w:rPr>
          <w:vertAlign w:val="subscript"/>
        </w:rPr>
        <w:t>j</w:t>
      </w:r>
      <w:proofErr w:type="spellEnd"/>
      <w:r>
        <w:t xml:space="preserve"> atribuído ao seu coeficiente. Assim, o modelo atribuirá maior penalização dos coeficientes das variáveis que aparentam ser pouco importantes para explicar a variável de interesse.</w:t>
      </w:r>
    </w:p>
    <w:p w:rsidR="009865B6" w:rsidRDefault="009865B6" w:rsidP="005F5D32">
      <w:pPr>
        <w:pStyle w:val="BNDES"/>
        <w:ind w:firstLine="709"/>
      </w:pPr>
    </w:p>
    <w:p w:rsidR="009865B6" w:rsidRDefault="009865B6" w:rsidP="005F5D32">
      <w:pPr>
        <w:pStyle w:val="BNDES"/>
        <w:ind w:firstLine="709"/>
      </w:pPr>
      <w:r>
        <w:t xml:space="preserve">Sob um conjunto de pesos </w:t>
      </w:r>
      <w:proofErr w:type="spellStart"/>
      <w:r>
        <w:t>w</w:t>
      </w:r>
      <w:r w:rsidRPr="009865B6">
        <w:rPr>
          <w:vertAlign w:val="subscript"/>
        </w:rPr>
        <w:t>j</w:t>
      </w:r>
      <w:proofErr w:type="spellEnd"/>
      <w:r>
        <w:t xml:space="preserve"> apropriados, o </w:t>
      </w:r>
      <w:proofErr w:type="spellStart"/>
      <w:proofErr w:type="gramStart"/>
      <w:r>
        <w:t>adaLASSO</w:t>
      </w:r>
      <w:proofErr w:type="spellEnd"/>
      <w:proofErr w:type="gramEnd"/>
      <w:r>
        <w:t xml:space="preserve"> possui propriedades ORACLE, isto é, é consistente na seleção de variáveis e apresenta normalidade assintótica. Ou seja, o método seleciona corretamente as variáveis relevantes quando o modelo aumenta. Além disso, as estimativas dos coeficientes não nulos seguem assintoticamente a mesma distribuição dos estimadores de MQO quando este for estimado apenas com as variáveis relevantes.</w:t>
      </w:r>
    </w:p>
    <w:p w:rsidR="00867A7B" w:rsidRDefault="00867A7B" w:rsidP="005F5D32">
      <w:pPr>
        <w:pStyle w:val="BNDES"/>
        <w:ind w:firstLine="709"/>
      </w:pPr>
    </w:p>
    <w:p w:rsidR="00BC3F8A" w:rsidRPr="005F5D32" w:rsidRDefault="00BA6436" w:rsidP="005F5D32">
      <w:pPr>
        <w:pStyle w:val="BNDES"/>
        <w:ind w:firstLine="709"/>
        <w:rPr>
          <w:b/>
        </w:rPr>
      </w:pPr>
      <w:r>
        <w:rPr>
          <w:b/>
        </w:rPr>
        <w:t>5</w:t>
      </w:r>
      <w:r w:rsidR="00BC3F8A" w:rsidRPr="005F5D32">
        <w:rPr>
          <w:b/>
        </w:rPr>
        <w:t>. Resultados</w:t>
      </w:r>
    </w:p>
    <w:p w:rsidR="00BC3F8A" w:rsidRDefault="00BC3F8A" w:rsidP="00BC3F8A">
      <w:pPr>
        <w:pStyle w:val="BNDES"/>
      </w:pPr>
    </w:p>
    <w:p w:rsidR="00BC3F8A" w:rsidRDefault="00BC3F8A" w:rsidP="005F5D32">
      <w:pPr>
        <w:pStyle w:val="BNDES"/>
        <w:ind w:firstLine="709"/>
      </w:pPr>
      <w:r>
        <w:t xml:space="preserve">O método do controle sintético foi aplicado individualmente para comparar cada município tratado com o seu contrafactual. </w:t>
      </w:r>
      <w:proofErr w:type="gramStart"/>
      <w:r w:rsidR="00575F5F">
        <w:t>Foram</w:t>
      </w:r>
      <w:proofErr w:type="gramEnd"/>
      <w:r w:rsidR="00575F5F">
        <w:t xml:space="preserve"> realizadas um total de 37 avaliações individuais. </w:t>
      </w:r>
      <w:r>
        <w:t>O intuito foi fazer uma análise agregada de todos os municípios brasileiros que tiveram usinas eólicas entrando em operação de 2008 a 2014 a partir de cada avaliação individual.</w:t>
      </w:r>
      <w:r w:rsidR="00F618BF">
        <w:t xml:space="preserve"> Para melhor capturar o efeito da construção das usinas, o controle sintético foi defasado em um ano para cada tratamento.</w:t>
      </w:r>
      <w:r>
        <w:t xml:space="preserve"> Para construir a trajetória do PIB per capita em cada cenário contrafactual, </w:t>
      </w:r>
      <w:r w:rsidR="00A76DD2">
        <w:t xml:space="preserve">a estimação </w:t>
      </w:r>
      <w:r w:rsidR="00575F5F">
        <w:t xml:space="preserve">por meio do método </w:t>
      </w:r>
      <w:proofErr w:type="spellStart"/>
      <w:proofErr w:type="gramStart"/>
      <w:r w:rsidR="00575F5F">
        <w:t>adaLASSO</w:t>
      </w:r>
      <w:proofErr w:type="spellEnd"/>
      <w:proofErr w:type="gramEnd"/>
      <w:r w:rsidR="00575F5F">
        <w:t xml:space="preserve"> de seleção de covariadas</w:t>
      </w:r>
      <w:r>
        <w:t xml:space="preserve"> considerou relevantes seis variáveis em nível do município que a explicam: a receita corrente líquida per capita</w:t>
      </w:r>
      <w:r w:rsidR="00D07DAD">
        <w:t xml:space="preserve"> (variável derivada</w:t>
      </w:r>
      <w:r w:rsidR="008013D9">
        <w:t xml:space="preserve"> a partir de dados do </w:t>
      </w:r>
      <w:proofErr w:type="spellStart"/>
      <w:r w:rsidR="008013D9">
        <w:t>FinBra</w:t>
      </w:r>
      <w:proofErr w:type="spellEnd"/>
      <w:r w:rsidR="008013D9">
        <w:t xml:space="preserve"> e do IBGE</w:t>
      </w:r>
      <w:r w:rsidR="00D07DAD">
        <w:t>)</w:t>
      </w:r>
      <w:r>
        <w:t>, o salário médio</w:t>
      </w:r>
      <w:r w:rsidR="00D07DAD">
        <w:t xml:space="preserve"> (RAIS)</w:t>
      </w:r>
      <w:r>
        <w:t>, a proporção da indústria no PIB</w:t>
      </w:r>
      <w:r w:rsidR="00D07DAD">
        <w:t xml:space="preserve"> (IBGE)</w:t>
      </w:r>
      <w:r>
        <w:t>, a despesa per capita em cultura</w:t>
      </w:r>
      <w:r w:rsidR="00D07DAD">
        <w:t xml:space="preserve"> (</w:t>
      </w:r>
      <w:r w:rsidR="008013D9">
        <w:t xml:space="preserve">variável derivada a partir de dados do </w:t>
      </w:r>
      <w:proofErr w:type="spellStart"/>
      <w:r w:rsidR="008013D9">
        <w:t>FinBra</w:t>
      </w:r>
      <w:proofErr w:type="spellEnd"/>
      <w:r w:rsidR="008013D9">
        <w:t xml:space="preserve"> e do IBGE</w:t>
      </w:r>
      <w:r w:rsidR="00D07DAD">
        <w:t>)</w:t>
      </w:r>
      <w:r>
        <w:t xml:space="preserve">, o PIB da agropecuária </w:t>
      </w:r>
      <w:r w:rsidR="00D07DAD">
        <w:t xml:space="preserve">(IBGE) </w:t>
      </w:r>
      <w:r>
        <w:t>e a proporção da administração pública no PIB</w:t>
      </w:r>
      <w:r w:rsidR="00D07DAD">
        <w:t xml:space="preserve"> (IBGE)</w:t>
      </w:r>
      <w:r>
        <w:t>.</w:t>
      </w:r>
      <w:r w:rsidR="005943FD">
        <w:t xml:space="preserve"> </w:t>
      </w:r>
    </w:p>
    <w:p w:rsidR="00BC3F8A" w:rsidRDefault="00BC3F8A" w:rsidP="00BC3F8A">
      <w:pPr>
        <w:pStyle w:val="BNDES"/>
      </w:pPr>
    </w:p>
    <w:p w:rsidR="00BC3F8A" w:rsidRDefault="00575F5F" w:rsidP="005F5D32">
      <w:pPr>
        <w:pStyle w:val="BNDES"/>
        <w:ind w:firstLine="709"/>
      </w:pPr>
      <w:r>
        <w:t>Para fins de compilação dos resultados individuais, f</w:t>
      </w:r>
      <w:r w:rsidR="00BC3F8A">
        <w:t xml:space="preserve">oram desconsiderados do trabalho três municípios: Guamaré (RN), Sobradinho (BA) e Parazinho (RN). Os dois primeiros apresentaram resultados discrepantes dos outros por razões alheias à produção de energia eólica. Guamaré sofreu sua a maior crise no ano de </w:t>
      </w:r>
      <w:proofErr w:type="gramStart"/>
      <w:r w:rsidR="00BC3F8A">
        <w:t>2011 por conta da queda dos preços do petróleo na região, setor</w:t>
      </w:r>
      <w:proofErr w:type="gramEnd"/>
      <w:r w:rsidR="00BC3F8A">
        <w:t xml:space="preserve"> ao qual sua economia é muito dependente. Sobradinho teve uma de suas maiores secas em 2013, a qual esvaziou seu reservatório hídrico e comprome</w:t>
      </w:r>
      <w:r w:rsidR="002835FB">
        <w:t>te</w:t>
      </w:r>
      <w:r w:rsidR="00BC3F8A">
        <w:t xml:space="preserve">u o fornecimento de energia advinda de sua usina hidrelétrica. Para o caso do município de Parazinho, houve problemas com o ajuste no </w:t>
      </w:r>
      <w:r w:rsidR="002835FB">
        <w:t>período</w:t>
      </w:r>
      <w:r w:rsidR="00BC3F8A">
        <w:t xml:space="preserve"> pré-tratamento no controle sintético, de modo não foi encontrado um contrafactual consistente para a verificação de impacto. </w:t>
      </w:r>
      <w:r w:rsidR="00F5593C">
        <w:t xml:space="preserve">Seu </w:t>
      </w:r>
      <w:r w:rsidR="00F5593C" w:rsidRPr="00F5593C">
        <w:rPr>
          <w:i/>
        </w:rPr>
        <w:t>RMSPE</w:t>
      </w:r>
      <w:r w:rsidR="00F5593C">
        <w:t xml:space="preserve"> pré-tratamento foi igual a </w:t>
      </w:r>
      <w:r w:rsidR="00F47686">
        <w:t>51,5</w:t>
      </w:r>
      <w:r w:rsidR="00F5593C">
        <w:t>, muito acima da média da amostra (5,</w:t>
      </w:r>
      <w:r w:rsidR="00F47686">
        <w:t>9</w:t>
      </w:r>
      <w:r w:rsidR="00F5593C">
        <w:t xml:space="preserve">). </w:t>
      </w:r>
      <w:r w:rsidR="00BC3F8A">
        <w:t>Restaram 34 casos para avaliação</w:t>
      </w:r>
      <w:r w:rsidR="00BC3F8A" w:rsidRPr="00A31E6D">
        <w:t>.</w:t>
      </w:r>
      <w:r w:rsidR="00A76DD2" w:rsidRPr="00A31E6D">
        <w:t xml:space="preserve"> Os resultados das avaliações individuais </w:t>
      </w:r>
      <w:proofErr w:type="gramStart"/>
      <w:r w:rsidR="00A76DD2" w:rsidRPr="00A31E6D">
        <w:t>encontram-se</w:t>
      </w:r>
      <w:proofErr w:type="gramEnd"/>
      <w:r w:rsidR="00A76DD2" w:rsidRPr="00A31E6D">
        <w:t xml:space="preserve"> em apêndice ao presente trabalho.</w:t>
      </w:r>
    </w:p>
    <w:p w:rsidR="00BC3F8A" w:rsidRDefault="00BC3F8A" w:rsidP="00BC3F8A">
      <w:pPr>
        <w:pStyle w:val="BNDES"/>
      </w:pPr>
    </w:p>
    <w:p w:rsidR="00BC3F8A" w:rsidRDefault="00BC3F8A" w:rsidP="005F5D32">
      <w:pPr>
        <w:pStyle w:val="BNDES"/>
        <w:ind w:firstLine="709"/>
      </w:pPr>
      <w:r>
        <w:t xml:space="preserve">A primeira análise feita com base nos resultados consistiu numa comparação da proporção de casos em que o PIB per capita dos </w:t>
      </w:r>
      <w:r w:rsidR="002835FB">
        <w:t>tratados</w:t>
      </w:r>
      <w:r>
        <w:t xml:space="preserve"> ficou acima dos valores </w:t>
      </w:r>
      <w:r w:rsidR="002835FB">
        <w:t>observados</w:t>
      </w:r>
      <w:r>
        <w:t xml:space="preserve"> para seus respectivos controles. </w:t>
      </w:r>
      <w:r w:rsidR="002835FB">
        <w:t>Intuitivamente</w:t>
      </w:r>
      <w:r>
        <w:t>, assumindo que o método não é viesado para a definição dos controles, deveríamos observar que, se a construção das usinas eólicas não tiver nenhum impacto sobre as localidades, essa proporção deveria circular no entorno de 50% ao longo do tempo – tal qual ocorre com a proporção de caras após n lançamentos de uma moeda não viciada.</w:t>
      </w:r>
    </w:p>
    <w:p w:rsidR="00BC3F8A" w:rsidRDefault="00BC3F8A" w:rsidP="00BC3F8A">
      <w:pPr>
        <w:pStyle w:val="BNDES"/>
      </w:pPr>
    </w:p>
    <w:p w:rsidR="00C3332F" w:rsidRDefault="00BC3F8A" w:rsidP="00C3332F">
      <w:pPr>
        <w:pStyle w:val="BNDES"/>
        <w:ind w:firstLine="709"/>
      </w:pPr>
      <w:r>
        <w:t xml:space="preserve">A tabela </w:t>
      </w:r>
      <w:r w:rsidR="00A01799">
        <w:t>a seguir</w:t>
      </w:r>
      <w:r>
        <w:t xml:space="preserve"> mostra as estatísticas descritivas dos </w:t>
      </w:r>
      <w:r w:rsidR="002835FB">
        <w:t>municípios</w:t>
      </w:r>
      <w:r>
        <w:t xml:space="preserve"> tratados e a proporção de casos positivos por ano de referência, em que t é o ano de tratamento para cada caso</w:t>
      </w:r>
      <w:r>
        <w:rPr>
          <w:rStyle w:val="Refdenotaderodap"/>
        </w:rPr>
        <w:footnoteReference w:id="5"/>
      </w:r>
      <w:r>
        <w:t xml:space="preserve">. </w:t>
      </w:r>
      <w:r w:rsidR="00A01799">
        <w:t>Para julgar se esses valores são estatisticamente significantes, um intervalo de confiança foi construído com base numa distribuição de Bernoulli, assumindo um parâmetro p de 50%. Dessa maneira, a hipótese nula assume que em cada momento do tempo há 50% de chance de um município tratado estar melhor que seu controle. Caso a proporção observada fique acima do limite superior dos intervalos de confiança, há evidência de que a proporção de comparações positivas é estatisticamente superior à de comparações negativas.</w:t>
      </w:r>
      <w:r w:rsidR="00C3332F">
        <w:t xml:space="preserve"> De acordo com a tabela, é possível observar o descolamento da proporção de efeitos positivos em relação ao </w:t>
      </w:r>
      <w:r w:rsidR="00C3332F">
        <w:lastRenderedPageBreak/>
        <w:t xml:space="preserve">intervalo de confiança a partir de </w:t>
      </w:r>
      <w:proofErr w:type="gramStart"/>
      <w:r w:rsidR="00C3332F">
        <w:t>2</w:t>
      </w:r>
      <w:proofErr w:type="gramEnd"/>
      <w:r w:rsidR="00C3332F">
        <w:t xml:space="preserve"> anos após o tratamento, nova evidência favorável ao impacto positivo das usinas sobre as economias locais.</w:t>
      </w:r>
    </w:p>
    <w:p w:rsidR="00BC3F8A" w:rsidRDefault="00BC3F8A" w:rsidP="00BC3F8A">
      <w:pPr>
        <w:pStyle w:val="BNDES"/>
      </w:pPr>
    </w:p>
    <w:p w:rsidR="00BC3F8A" w:rsidRPr="0003489B" w:rsidRDefault="00BC3F8A" w:rsidP="0003489B">
      <w:pPr>
        <w:pStyle w:val="BNDES"/>
        <w:jc w:val="center"/>
        <w:rPr>
          <w:b/>
        </w:rPr>
      </w:pPr>
      <w:r w:rsidRPr="0003489B">
        <w:rPr>
          <w:b/>
        </w:rPr>
        <w:t xml:space="preserve">Tabela </w:t>
      </w:r>
      <w:r w:rsidR="004066C8">
        <w:rPr>
          <w:b/>
        </w:rPr>
        <w:t>4</w:t>
      </w:r>
      <w:r w:rsidR="00923BCD">
        <w:rPr>
          <w:b/>
        </w:rPr>
        <w:t xml:space="preserve">: </w:t>
      </w:r>
      <w:r w:rsidR="00575F5F">
        <w:rPr>
          <w:b/>
        </w:rPr>
        <w:t>Proporção de Efeitos Positivos</w:t>
      </w:r>
      <w:r w:rsidR="00923BCD">
        <w:rPr>
          <w:b/>
        </w:rPr>
        <w:t xml:space="preserve"> </w:t>
      </w:r>
      <w:r w:rsidR="00C3332F">
        <w:rPr>
          <w:b/>
        </w:rPr>
        <w:t xml:space="preserve">e Intervalo de Confiança </w:t>
      </w:r>
      <w:r w:rsidR="00923BCD">
        <w:rPr>
          <w:b/>
        </w:rPr>
        <w:t>por Ano de Referência</w:t>
      </w:r>
    </w:p>
    <w:tbl>
      <w:tblPr>
        <w:tblStyle w:val="Tabelacomgrade"/>
        <w:tblW w:w="0" w:type="auto"/>
        <w:jc w:val="center"/>
        <w:tblLook w:val="04A0" w:firstRow="1" w:lastRow="0" w:firstColumn="1" w:lastColumn="0" w:noHBand="0" w:noVBand="1"/>
      </w:tblPr>
      <w:tblGrid>
        <w:gridCol w:w="929"/>
        <w:gridCol w:w="1123"/>
        <w:gridCol w:w="1216"/>
        <w:gridCol w:w="1296"/>
        <w:gridCol w:w="1316"/>
        <w:gridCol w:w="1383"/>
        <w:gridCol w:w="1009"/>
      </w:tblGrid>
      <w:tr w:rsidR="00575F5F" w:rsidRPr="00575F5F" w:rsidTr="00575F5F">
        <w:trPr>
          <w:jc w:val="center"/>
        </w:trPr>
        <w:tc>
          <w:tcPr>
            <w:tcW w:w="929" w:type="dxa"/>
            <w:vAlign w:val="bottom"/>
          </w:tcPr>
          <w:p w:rsidR="00575F5F" w:rsidRPr="00575F5F" w:rsidRDefault="00575F5F" w:rsidP="00575F5F">
            <w:pPr>
              <w:jc w:val="center"/>
              <w:rPr>
                <w:rFonts w:asciiTheme="minorHAnsi" w:hAnsiTheme="minorHAnsi" w:cstheme="minorHAnsi"/>
                <w:b/>
                <w:color w:val="000000"/>
              </w:rPr>
            </w:pPr>
            <w:r w:rsidRPr="00575F5F">
              <w:rPr>
                <w:rFonts w:asciiTheme="minorHAnsi" w:hAnsiTheme="minorHAnsi" w:cstheme="minorHAnsi"/>
                <w:b/>
                <w:color w:val="000000"/>
              </w:rPr>
              <w:t>Ano</w:t>
            </w:r>
          </w:p>
        </w:tc>
        <w:tc>
          <w:tcPr>
            <w:tcW w:w="1123" w:type="dxa"/>
            <w:vAlign w:val="bottom"/>
          </w:tcPr>
          <w:p w:rsidR="00575F5F" w:rsidRPr="00575F5F" w:rsidRDefault="00575F5F" w:rsidP="00575F5F">
            <w:pPr>
              <w:jc w:val="center"/>
              <w:rPr>
                <w:rFonts w:asciiTheme="minorHAnsi" w:hAnsiTheme="minorHAnsi" w:cstheme="minorHAnsi"/>
                <w:b/>
                <w:color w:val="000000"/>
              </w:rPr>
            </w:pPr>
            <w:r w:rsidRPr="00575F5F">
              <w:rPr>
                <w:rFonts w:asciiTheme="minorHAnsi" w:hAnsiTheme="minorHAnsi" w:cstheme="minorHAnsi"/>
                <w:b/>
                <w:color w:val="000000"/>
              </w:rPr>
              <w:t>N. de Casos Positivos</w:t>
            </w:r>
          </w:p>
        </w:tc>
        <w:tc>
          <w:tcPr>
            <w:tcW w:w="1216" w:type="dxa"/>
            <w:vAlign w:val="bottom"/>
          </w:tcPr>
          <w:p w:rsidR="00575F5F" w:rsidRPr="00575F5F" w:rsidRDefault="00575F5F" w:rsidP="00575F5F">
            <w:pPr>
              <w:jc w:val="center"/>
              <w:rPr>
                <w:rFonts w:asciiTheme="minorHAnsi" w:hAnsiTheme="minorHAnsi" w:cstheme="minorHAnsi"/>
                <w:b/>
                <w:color w:val="000000"/>
              </w:rPr>
            </w:pPr>
            <w:r w:rsidRPr="00575F5F">
              <w:rPr>
                <w:rFonts w:asciiTheme="minorHAnsi" w:hAnsiTheme="minorHAnsi" w:cstheme="minorHAnsi"/>
                <w:b/>
                <w:color w:val="000000"/>
              </w:rPr>
              <w:t>N. de Casos Negativos</w:t>
            </w:r>
          </w:p>
        </w:tc>
        <w:tc>
          <w:tcPr>
            <w:tcW w:w="1296" w:type="dxa"/>
            <w:vAlign w:val="bottom"/>
          </w:tcPr>
          <w:p w:rsidR="00575F5F" w:rsidRPr="00575F5F" w:rsidRDefault="00575F5F" w:rsidP="00575F5F">
            <w:pPr>
              <w:jc w:val="center"/>
              <w:rPr>
                <w:rFonts w:asciiTheme="minorHAnsi" w:hAnsiTheme="minorHAnsi" w:cstheme="minorHAnsi"/>
                <w:b/>
                <w:color w:val="000000"/>
              </w:rPr>
            </w:pPr>
            <w:r w:rsidRPr="00575F5F">
              <w:rPr>
                <w:rFonts w:asciiTheme="minorHAnsi" w:hAnsiTheme="minorHAnsi" w:cstheme="minorHAnsi"/>
                <w:b/>
                <w:color w:val="000000"/>
              </w:rPr>
              <w:t>Proporção de Casos Positivos</w:t>
            </w:r>
          </w:p>
        </w:tc>
        <w:tc>
          <w:tcPr>
            <w:tcW w:w="1316" w:type="dxa"/>
            <w:vAlign w:val="bottom"/>
          </w:tcPr>
          <w:p w:rsidR="00575F5F" w:rsidRPr="00575F5F" w:rsidRDefault="00575F5F" w:rsidP="00575F5F">
            <w:pPr>
              <w:jc w:val="center"/>
              <w:rPr>
                <w:rFonts w:asciiTheme="minorHAnsi" w:hAnsiTheme="minorHAnsi" w:cstheme="minorHAnsi"/>
                <w:b/>
                <w:color w:val="000000"/>
                <w:szCs w:val="22"/>
              </w:rPr>
            </w:pPr>
            <w:r w:rsidRPr="00575F5F">
              <w:rPr>
                <w:rFonts w:asciiTheme="minorHAnsi" w:hAnsiTheme="minorHAnsi" w:cstheme="minorHAnsi"/>
                <w:b/>
                <w:color w:val="000000"/>
                <w:szCs w:val="22"/>
              </w:rPr>
              <w:t>Limite Inferior</w:t>
            </w:r>
          </w:p>
        </w:tc>
        <w:tc>
          <w:tcPr>
            <w:tcW w:w="1383" w:type="dxa"/>
            <w:vAlign w:val="bottom"/>
          </w:tcPr>
          <w:p w:rsidR="00575F5F" w:rsidRPr="00575F5F" w:rsidRDefault="00575F5F" w:rsidP="00575F5F">
            <w:pPr>
              <w:jc w:val="center"/>
              <w:rPr>
                <w:rFonts w:asciiTheme="minorHAnsi" w:hAnsiTheme="minorHAnsi" w:cstheme="minorHAnsi"/>
                <w:b/>
                <w:color w:val="000000"/>
                <w:szCs w:val="22"/>
              </w:rPr>
            </w:pPr>
            <w:r w:rsidRPr="00575F5F">
              <w:rPr>
                <w:rFonts w:asciiTheme="minorHAnsi" w:hAnsiTheme="minorHAnsi" w:cstheme="minorHAnsi"/>
                <w:b/>
                <w:color w:val="000000"/>
                <w:szCs w:val="22"/>
              </w:rPr>
              <w:t>Limite Superior</w:t>
            </w:r>
          </w:p>
        </w:tc>
        <w:tc>
          <w:tcPr>
            <w:tcW w:w="1009" w:type="dxa"/>
            <w:vAlign w:val="bottom"/>
          </w:tcPr>
          <w:p w:rsidR="00575F5F" w:rsidRPr="00575F5F" w:rsidRDefault="00575F5F" w:rsidP="00575F5F">
            <w:pPr>
              <w:jc w:val="center"/>
              <w:rPr>
                <w:rFonts w:asciiTheme="minorHAnsi" w:hAnsiTheme="minorHAnsi" w:cstheme="minorHAnsi"/>
                <w:b/>
                <w:color w:val="000000"/>
                <w:szCs w:val="22"/>
              </w:rPr>
            </w:pPr>
            <w:r w:rsidRPr="00575F5F">
              <w:rPr>
                <w:rFonts w:asciiTheme="minorHAnsi" w:hAnsiTheme="minorHAnsi" w:cstheme="minorHAnsi"/>
                <w:b/>
                <w:color w:val="000000"/>
                <w:szCs w:val="22"/>
              </w:rPr>
              <w:t>p</w:t>
            </w:r>
          </w:p>
        </w:tc>
      </w:tr>
      <w:tr w:rsidR="00575F5F" w:rsidRPr="00491C8B" w:rsidTr="00575F5F">
        <w:trPr>
          <w:jc w:val="center"/>
        </w:trPr>
        <w:tc>
          <w:tcPr>
            <w:tcW w:w="929" w:type="dxa"/>
            <w:vAlign w:val="bottom"/>
          </w:tcPr>
          <w:p w:rsidR="00575F5F" w:rsidRPr="00491C8B" w:rsidRDefault="00575F5F" w:rsidP="00491C8B">
            <w:pPr>
              <w:jc w:val="center"/>
              <w:rPr>
                <w:rFonts w:asciiTheme="minorHAnsi" w:hAnsiTheme="minorHAnsi" w:cstheme="minorHAnsi"/>
                <w:color w:val="000000"/>
              </w:rPr>
            </w:pPr>
            <w:r>
              <w:rPr>
                <w:rFonts w:asciiTheme="minorHAnsi" w:hAnsiTheme="minorHAnsi" w:cstheme="minorHAnsi"/>
                <w:color w:val="000000"/>
              </w:rPr>
              <w:t>t</w:t>
            </w:r>
          </w:p>
        </w:tc>
        <w:tc>
          <w:tcPr>
            <w:tcW w:w="1123"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18</w:t>
            </w:r>
          </w:p>
        </w:tc>
        <w:tc>
          <w:tcPr>
            <w:tcW w:w="1216"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16</w:t>
            </w:r>
          </w:p>
        </w:tc>
        <w:tc>
          <w:tcPr>
            <w:tcW w:w="1296"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0,5</w:t>
            </w:r>
            <w:r>
              <w:rPr>
                <w:rFonts w:asciiTheme="minorHAnsi" w:hAnsiTheme="minorHAnsi" w:cstheme="minorHAnsi"/>
                <w:color w:val="000000"/>
              </w:rPr>
              <w:t>3</w:t>
            </w:r>
          </w:p>
        </w:tc>
        <w:tc>
          <w:tcPr>
            <w:tcW w:w="1316"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0,34</w:t>
            </w:r>
          </w:p>
        </w:tc>
        <w:tc>
          <w:tcPr>
            <w:tcW w:w="1383"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0,66</w:t>
            </w:r>
          </w:p>
        </w:tc>
        <w:tc>
          <w:tcPr>
            <w:tcW w:w="1009"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0,5</w:t>
            </w:r>
          </w:p>
        </w:tc>
      </w:tr>
      <w:tr w:rsidR="00575F5F" w:rsidRPr="00491C8B" w:rsidTr="00575F5F">
        <w:trPr>
          <w:jc w:val="center"/>
        </w:trPr>
        <w:tc>
          <w:tcPr>
            <w:tcW w:w="929" w:type="dxa"/>
            <w:vAlign w:val="bottom"/>
          </w:tcPr>
          <w:p w:rsidR="00575F5F" w:rsidRPr="00491C8B" w:rsidRDefault="00575F5F" w:rsidP="00491C8B">
            <w:pPr>
              <w:jc w:val="center"/>
              <w:rPr>
                <w:rFonts w:asciiTheme="minorHAnsi" w:hAnsiTheme="minorHAnsi" w:cstheme="minorHAnsi"/>
                <w:color w:val="000000"/>
              </w:rPr>
            </w:pPr>
            <w:r w:rsidRPr="00491C8B">
              <w:rPr>
                <w:rFonts w:asciiTheme="minorHAnsi" w:hAnsiTheme="minorHAnsi" w:cstheme="minorHAnsi"/>
                <w:color w:val="000000"/>
              </w:rPr>
              <w:t>t+1</w:t>
            </w:r>
          </w:p>
        </w:tc>
        <w:tc>
          <w:tcPr>
            <w:tcW w:w="1123"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22</w:t>
            </w:r>
          </w:p>
        </w:tc>
        <w:tc>
          <w:tcPr>
            <w:tcW w:w="1216"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12</w:t>
            </w:r>
          </w:p>
        </w:tc>
        <w:tc>
          <w:tcPr>
            <w:tcW w:w="1296"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0,6</w:t>
            </w:r>
            <w:r>
              <w:rPr>
                <w:rFonts w:asciiTheme="minorHAnsi" w:hAnsiTheme="minorHAnsi" w:cstheme="minorHAnsi"/>
                <w:color w:val="000000"/>
              </w:rPr>
              <w:t>5</w:t>
            </w:r>
          </w:p>
        </w:tc>
        <w:tc>
          <w:tcPr>
            <w:tcW w:w="1316"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0,34</w:t>
            </w:r>
          </w:p>
        </w:tc>
        <w:tc>
          <w:tcPr>
            <w:tcW w:w="1383"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0,66</w:t>
            </w:r>
          </w:p>
        </w:tc>
        <w:tc>
          <w:tcPr>
            <w:tcW w:w="1009"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0,5</w:t>
            </w:r>
          </w:p>
        </w:tc>
      </w:tr>
      <w:tr w:rsidR="00575F5F" w:rsidRPr="00491C8B" w:rsidTr="00575F5F">
        <w:trPr>
          <w:jc w:val="center"/>
        </w:trPr>
        <w:tc>
          <w:tcPr>
            <w:tcW w:w="929" w:type="dxa"/>
            <w:vAlign w:val="bottom"/>
          </w:tcPr>
          <w:p w:rsidR="00575F5F" w:rsidRPr="00491C8B" w:rsidRDefault="00575F5F" w:rsidP="00491C8B">
            <w:pPr>
              <w:jc w:val="center"/>
              <w:rPr>
                <w:rFonts w:asciiTheme="minorHAnsi" w:hAnsiTheme="minorHAnsi" w:cstheme="minorHAnsi"/>
                <w:color w:val="000000"/>
              </w:rPr>
            </w:pPr>
            <w:r w:rsidRPr="00491C8B">
              <w:rPr>
                <w:rFonts w:asciiTheme="minorHAnsi" w:hAnsiTheme="minorHAnsi" w:cstheme="minorHAnsi"/>
                <w:color w:val="000000"/>
              </w:rPr>
              <w:t>t+2</w:t>
            </w:r>
          </w:p>
        </w:tc>
        <w:tc>
          <w:tcPr>
            <w:tcW w:w="1123"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26</w:t>
            </w:r>
          </w:p>
        </w:tc>
        <w:tc>
          <w:tcPr>
            <w:tcW w:w="1216" w:type="dxa"/>
            <w:vAlign w:val="bottom"/>
          </w:tcPr>
          <w:p w:rsidR="00575F5F" w:rsidRPr="00491C8B" w:rsidRDefault="00575F5F" w:rsidP="00575F5F">
            <w:pPr>
              <w:jc w:val="center"/>
              <w:rPr>
                <w:rFonts w:asciiTheme="minorHAnsi" w:hAnsiTheme="minorHAnsi" w:cstheme="minorHAnsi"/>
                <w:color w:val="000000"/>
              </w:rPr>
            </w:pPr>
            <w:proofErr w:type="gramStart"/>
            <w:r w:rsidRPr="00491C8B">
              <w:rPr>
                <w:rFonts w:asciiTheme="minorHAnsi" w:hAnsiTheme="minorHAnsi" w:cstheme="minorHAnsi"/>
                <w:color w:val="000000"/>
              </w:rPr>
              <w:t>8</w:t>
            </w:r>
            <w:proofErr w:type="gramEnd"/>
          </w:p>
        </w:tc>
        <w:tc>
          <w:tcPr>
            <w:tcW w:w="1296"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0,76</w:t>
            </w:r>
          </w:p>
        </w:tc>
        <w:tc>
          <w:tcPr>
            <w:tcW w:w="1316"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0,34</w:t>
            </w:r>
          </w:p>
        </w:tc>
        <w:tc>
          <w:tcPr>
            <w:tcW w:w="1383"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0,66</w:t>
            </w:r>
          </w:p>
        </w:tc>
        <w:tc>
          <w:tcPr>
            <w:tcW w:w="1009"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0,5</w:t>
            </w:r>
          </w:p>
        </w:tc>
      </w:tr>
      <w:tr w:rsidR="00575F5F" w:rsidRPr="00491C8B" w:rsidTr="00575F5F">
        <w:trPr>
          <w:jc w:val="center"/>
        </w:trPr>
        <w:tc>
          <w:tcPr>
            <w:tcW w:w="929" w:type="dxa"/>
            <w:vAlign w:val="bottom"/>
          </w:tcPr>
          <w:p w:rsidR="00575F5F" w:rsidRPr="00491C8B" w:rsidRDefault="00575F5F" w:rsidP="00491C8B">
            <w:pPr>
              <w:jc w:val="center"/>
              <w:rPr>
                <w:rFonts w:asciiTheme="minorHAnsi" w:hAnsiTheme="minorHAnsi" w:cstheme="minorHAnsi"/>
                <w:color w:val="000000"/>
              </w:rPr>
            </w:pPr>
            <w:r w:rsidRPr="00491C8B">
              <w:rPr>
                <w:rFonts w:asciiTheme="minorHAnsi" w:hAnsiTheme="minorHAnsi" w:cstheme="minorHAnsi"/>
                <w:color w:val="000000"/>
              </w:rPr>
              <w:t>t+3</w:t>
            </w:r>
          </w:p>
        </w:tc>
        <w:tc>
          <w:tcPr>
            <w:tcW w:w="1123"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17</w:t>
            </w:r>
          </w:p>
        </w:tc>
        <w:tc>
          <w:tcPr>
            <w:tcW w:w="1216" w:type="dxa"/>
            <w:vAlign w:val="bottom"/>
          </w:tcPr>
          <w:p w:rsidR="00575F5F" w:rsidRPr="00491C8B" w:rsidRDefault="00575F5F" w:rsidP="00575F5F">
            <w:pPr>
              <w:jc w:val="center"/>
              <w:rPr>
                <w:rFonts w:asciiTheme="minorHAnsi" w:hAnsiTheme="minorHAnsi" w:cstheme="minorHAnsi"/>
                <w:color w:val="000000"/>
              </w:rPr>
            </w:pPr>
            <w:proofErr w:type="gramStart"/>
            <w:r w:rsidRPr="00491C8B">
              <w:rPr>
                <w:rFonts w:asciiTheme="minorHAnsi" w:hAnsiTheme="minorHAnsi" w:cstheme="minorHAnsi"/>
                <w:color w:val="000000"/>
              </w:rPr>
              <w:t>7</w:t>
            </w:r>
            <w:proofErr w:type="gramEnd"/>
          </w:p>
        </w:tc>
        <w:tc>
          <w:tcPr>
            <w:tcW w:w="1296" w:type="dxa"/>
            <w:vAlign w:val="bottom"/>
          </w:tcPr>
          <w:p w:rsidR="00575F5F" w:rsidRPr="00491C8B" w:rsidRDefault="00575F5F" w:rsidP="00575F5F">
            <w:pPr>
              <w:jc w:val="center"/>
              <w:rPr>
                <w:rFonts w:asciiTheme="minorHAnsi" w:hAnsiTheme="minorHAnsi" w:cstheme="minorHAnsi"/>
                <w:color w:val="000000"/>
              </w:rPr>
            </w:pPr>
            <w:r w:rsidRPr="00491C8B">
              <w:rPr>
                <w:rFonts w:asciiTheme="minorHAnsi" w:hAnsiTheme="minorHAnsi" w:cstheme="minorHAnsi"/>
                <w:color w:val="000000"/>
              </w:rPr>
              <w:t>0,7</w:t>
            </w:r>
            <w:r>
              <w:rPr>
                <w:rFonts w:asciiTheme="minorHAnsi" w:hAnsiTheme="minorHAnsi" w:cstheme="minorHAnsi"/>
                <w:color w:val="000000"/>
              </w:rPr>
              <w:t>1</w:t>
            </w:r>
          </w:p>
        </w:tc>
        <w:tc>
          <w:tcPr>
            <w:tcW w:w="1316"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0,31</w:t>
            </w:r>
          </w:p>
        </w:tc>
        <w:tc>
          <w:tcPr>
            <w:tcW w:w="1383"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0,69</w:t>
            </w:r>
          </w:p>
        </w:tc>
        <w:tc>
          <w:tcPr>
            <w:tcW w:w="1009" w:type="dxa"/>
            <w:vAlign w:val="bottom"/>
          </w:tcPr>
          <w:p w:rsidR="00575F5F" w:rsidRPr="00575F5F" w:rsidRDefault="00575F5F">
            <w:pPr>
              <w:jc w:val="right"/>
              <w:rPr>
                <w:rFonts w:asciiTheme="minorHAnsi" w:hAnsiTheme="minorHAnsi" w:cstheme="minorHAnsi"/>
                <w:color w:val="000000"/>
                <w:szCs w:val="22"/>
              </w:rPr>
            </w:pPr>
            <w:r w:rsidRPr="00575F5F">
              <w:rPr>
                <w:rFonts w:asciiTheme="minorHAnsi" w:hAnsiTheme="minorHAnsi" w:cstheme="minorHAnsi"/>
                <w:color w:val="000000"/>
                <w:szCs w:val="22"/>
              </w:rPr>
              <w:t>0,5</w:t>
            </w:r>
          </w:p>
        </w:tc>
      </w:tr>
    </w:tbl>
    <w:p w:rsidR="001419EA" w:rsidRDefault="001419EA" w:rsidP="001419EA">
      <w:pPr>
        <w:pStyle w:val="BNDES"/>
        <w:jc w:val="center"/>
      </w:pPr>
      <w:r>
        <w:t>Fonte: elaboração própria.</w:t>
      </w:r>
    </w:p>
    <w:p w:rsidR="00491C8B" w:rsidRDefault="00491C8B" w:rsidP="00BC3F8A">
      <w:pPr>
        <w:pStyle w:val="BNDES"/>
      </w:pPr>
    </w:p>
    <w:p w:rsidR="00923BCD" w:rsidRDefault="00BC3F8A" w:rsidP="004D442E">
      <w:pPr>
        <w:pStyle w:val="BNDES"/>
        <w:ind w:firstLine="709"/>
      </w:pPr>
      <w:r>
        <w:t>Outra análise levou em consideração a magnitude dos impactos estimados</w:t>
      </w:r>
      <w:r w:rsidR="00F5593C">
        <w:t>, mensurados como a diferença percentual entre a trajetória de cada tratado e seu respectivo controle sintético</w:t>
      </w:r>
      <w:r>
        <w:t xml:space="preserve">. </w:t>
      </w:r>
      <w:r w:rsidR="00575F5F">
        <w:t xml:space="preserve">Os resultados individuais foram normalizados, de modo que o ano de tratamento para todos os casos foi alinhado em t, e os demais anos de análise seguiram a sua referência. Para cada ano de análise, os resultados individuais foram compilados, sendo calculadas algumas estatísticas. Devido à heterogeneidade dos resultados individuais, </w:t>
      </w:r>
      <w:r w:rsidR="00923BCD">
        <w:t xml:space="preserve">observados pelos elevados desvios-padrão, </w:t>
      </w:r>
      <w:r w:rsidR="00575F5F">
        <w:t xml:space="preserve">optou-se por observar primeiramente as medianas, assim como os percentis 0,25 e 0,75 da distribuição. Esse procedimento já havia sido adotado por Assunção </w:t>
      </w:r>
      <w:proofErr w:type="gramStart"/>
      <w:r w:rsidR="00575F5F">
        <w:t>et</w:t>
      </w:r>
      <w:proofErr w:type="gramEnd"/>
      <w:r w:rsidR="00575F5F">
        <w:t xml:space="preserve"> al (2016), </w:t>
      </w:r>
      <w:r w:rsidR="00923BCD">
        <w:t>os quais também depararam-se com resultados individuais heterogêneos sobre os efeitos municipais de obras de usinas hidrelétricas. Os resultados encontrados estão representados na tabela a seguir.</w:t>
      </w:r>
    </w:p>
    <w:p w:rsidR="00923BCD" w:rsidRDefault="00923BCD" w:rsidP="004D442E">
      <w:pPr>
        <w:pStyle w:val="BNDES"/>
        <w:ind w:firstLine="709"/>
      </w:pPr>
    </w:p>
    <w:p w:rsidR="00923BCD" w:rsidRPr="0003489B" w:rsidRDefault="00923BCD" w:rsidP="00923BCD">
      <w:pPr>
        <w:pStyle w:val="BNDES"/>
        <w:jc w:val="center"/>
        <w:rPr>
          <w:b/>
        </w:rPr>
      </w:pPr>
      <w:r w:rsidRPr="0003489B">
        <w:rPr>
          <w:b/>
        </w:rPr>
        <w:t xml:space="preserve">Tabela </w:t>
      </w:r>
      <w:r w:rsidR="004066C8">
        <w:rPr>
          <w:b/>
        </w:rPr>
        <w:t>5</w:t>
      </w:r>
      <w:r>
        <w:rPr>
          <w:b/>
        </w:rPr>
        <w:t>: Resultados Compilados por Ano de Referência</w:t>
      </w:r>
      <w:r w:rsidR="00F5593C">
        <w:rPr>
          <w:b/>
        </w:rPr>
        <w:t xml:space="preserve"> (%)</w:t>
      </w:r>
    </w:p>
    <w:tbl>
      <w:tblPr>
        <w:tblStyle w:val="Tabelacomgrade"/>
        <w:tblW w:w="0" w:type="auto"/>
        <w:jc w:val="center"/>
        <w:tblLook w:val="04A0" w:firstRow="1" w:lastRow="0" w:firstColumn="1" w:lastColumn="0" w:noHBand="0" w:noVBand="1"/>
      </w:tblPr>
      <w:tblGrid>
        <w:gridCol w:w="750"/>
        <w:gridCol w:w="950"/>
        <w:gridCol w:w="876"/>
        <w:gridCol w:w="1010"/>
        <w:gridCol w:w="1176"/>
        <w:gridCol w:w="950"/>
        <w:gridCol w:w="1110"/>
        <w:gridCol w:w="1150"/>
      </w:tblGrid>
      <w:tr w:rsidR="00923BCD" w:rsidRPr="00923BCD" w:rsidTr="00923BCD">
        <w:trPr>
          <w:jc w:val="center"/>
        </w:trPr>
        <w:tc>
          <w:tcPr>
            <w:tcW w:w="750"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Ano</w:t>
            </w:r>
          </w:p>
        </w:tc>
        <w:tc>
          <w:tcPr>
            <w:tcW w:w="950"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Média</w:t>
            </w:r>
          </w:p>
        </w:tc>
        <w:tc>
          <w:tcPr>
            <w:tcW w:w="876"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DP</w:t>
            </w:r>
          </w:p>
        </w:tc>
        <w:tc>
          <w:tcPr>
            <w:tcW w:w="1010"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P. 0,25</w:t>
            </w:r>
          </w:p>
        </w:tc>
        <w:tc>
          <w:tcPr>
            <w:tcW w:w="1176"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Mediana</w:t>
            </w:r>
          </w:p>
        </w:tc>
        <w:tc>
          <w:tcPr>
            <w:tcW w:w="950"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P</w:t>
            </w:r>
            <w:r>
              <w:rPr>
                <w:rFonts w:asciiTheme="minorHAnsi" w:hAnsiTheme="minorHAnsi" w:cstheme="minorHAnsi"/>
                <w:b/>
                <w:color w:val="000000"/>
                <w:szCs w:val="22"/>
              </w:rPr>
              <w:t>.</w:t>
            </w:r>
            <w:r w:rsidRPr="00923BCD">
              <w:rPr>
                <w:rFonts w:asciiTheme="minorHAnsi" w:hAnsiTheme="minorHAnsi" w:cstheme="minorHAnsi"/>
                <w:b/>
                <w:color w:val="000000"/>
                <w:szCs w:val="22"/>
              </w:rPr>
              <w:t xml:space="preserve"> 0,75</w:t>
            </w:r>
          </w:p>
        </w:tc>
        <w:tc>
          <w:tcPr>
            <w:tcW w:w="1110"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Mínimo</w:t>
            </w:r>
          </w:p>
        </w:tc>
        <w:tc>
          <w:tcPr>
            <w:tcW w:w="1150" w:type="dxa"/>
            <w:vAlign w:val="bottom"/>
          </w:tcPr>
          <w:p w:rsidR="00923BCD" w:rsidRPr="00923BCD" w:rsidRDefault="00923BCD" w:rsidP="00923BCD">
            <w:pPr>
              <w:jc w:val="center"/>
              <w:rPr>
                <w:rFonts w:asciiTheme="minorHAnsi" w:hAnsiTheme="minorHAnsi" w:cstheme="minorHAnsi"/>
                <w:b/>
                <w:color w:val="000000"/>
                <w:szCs w:val="22"/>
              </w:rPr>
            </w:pPr>
            <w:r w:rsidRPr="00923BCD">
              <w:rPr>
                <w:rFonts w:asciiTheme="minorHAnsi" w:hAnsiTheme="minorHAnsi" w:cstheme="minorHAnsi"/>
                <w:b/>
                <w:color w:val="000000"/>
                <w:szCs w:val="22"/>
              </w:rPr>
              <w:t>Máximo</w:t>
            </w:r>
          </w:p>
        </w:tc>
      </w:tr>
      <w:tr w:rsidR="002F0870" w:rsidTr="001C4270">
        <w:trPr>
          <w:jc w:val="center"/>
        </w:trPr>
        <w:tc>
          <w:tcPr>
            <w:tcW w:w="750" w:type="dxa"/>
          </w:tcPr>
          <w:p w:rsidR="002F0870" w:rsidRPr="007A1202" w:rsidRDefault="002F0870" w:rsidP="001C4270">
            <w:proofErr w:type="gramStart"/>
            <w:r w:rsidRPr="007A1202">
              <w:t>t-3</w:t>
            </w:r>
            <w:proofErr w:type="gramEnd"/>
          </w:p>
        </w:tc>
        <w:tc>
          <w:tcPr>
            <w:tcW w:w="950" w:type="dxa"/>
          </w:tcPr>
          <w:p w:rsidR="002F0870" w:rsidRPr="007A1202" w:rsidRDefault="002F0870" w:rsidP="002F0870">
            <w:pPr>
              <w:jc w:val="right"/>
            </w:pPr>
            <w:r w:rsidRPr="007A1202">
              <w:t>-0,13</w:t>
            </w:r>
          </w:p>
        </w:tc>
        <w:tc>
          <w:tcPr>
            <w:tcW w:w="876" w:type="dxa"/>
          </w:tcPr>
          <w:p w:rsidR="002F0870" w:rsidRPr="007A1202" w:rsidRDefault="002F0870" w:rsidP="002F0870">
            <w:pPr>
              <w:jc w:val="right"/>
            </w:pPr>
            <w:r w:rsidRPr="007A1202">
              <w:t>4,22</w:t>
            </w:r>
          </w:p>
        </w:tc>
        <w:tc>
          <w:tcPr>
            <w:tcW w:w="1010" w:type="dxa"/>
          </w:tcPr>
          <w:p w:rsidR="002F0870" w:rsidRPr="007A1202" w:rsidRDefault="002F0870" w:rsidP="002F0870">
            <w:pPr>
              <w:jc w:val="right"/>
            </w:pPr>
            <w:r w:rsidRPr="007A1202">
              <w:t>-2,34</w:t>
            </w:r>
          </w:p>
        </w:tc>
        <w:tc>
          <w:tcPr>
            <w:tcW w:w="1176" w:type="dxa"/>
          </w:tcPr>
          <w:p w:rsidR="002F0870" w:rsidRPr="007A1202" w:rsidRDefault="002F0870" w:rsidP="002F0870">
            <w:pPr>
              <w:jc w:val="right"/>
            </w:pPr>
            <w:r w:rsidRPr="007A1202">
              <w:t>0,00</w:t>
            </w:r>
          </w:p>
        </w:tc>
        <w:tc>
          <w:tcPr>
            <w:tcW w:w="950" w:type="dxa"/>
          </w:tcPr>
          <w:p w:rsidR="002F0870" w:rsidRPr="007A1202" w:rsidRDefault="002F0870" w:rsidP="002F0870">
            <w:pPr>
              <w:jc w:val="right"/>
            </w:pPr>
            <w:r w:rsidRPr="007A1202">
              <w:t>1,71</w:t>
            </w:r>
          </w:p>
        </w:tc>
        <w:tc>
          <w:tcPr>
            <w:tcW w:w="1110" w:type="dxa"/>
          </w:tcPr>
          <w:p w:rsidR="002F0870" w:rsidRPr="007A1202" w:rsidRDefault="002F0870" w:rsidP="002F0870">
            <w:pPr>
              <w:jc w:val="right"/>
            </w:pPr>
            <w:r w:rsidRPr="007A1202">
              <w:t>-9,71</w:t>
            </w:r>
          </w:p>
        </w:tc>
        <w:tc>
          <w:tcPr>
            <w:tcW w:w="1150" w:type="dxa"/>
          </w:tcPr>
          <w:p w:rsidR="002F0870" w:rsidRPr="007A1202" w:rsidRDefault="002F0870" w:rsidP="002F0870">
            <w:pPr>
              <w:jc w:val="right"/>
            </w:pPr>
            <w:r w:rsidRPr="007A1202">
              <w:t>13,54</w:t>
            </w:r>
          </w:p>
        </w:tc>
      </w:tr>
      <w:tr w:rsidR="002F0870" w:rsidTr="001C4270">
        <w:trPr>
          <w:jc w:val="center"/>
        </w:trPr>
        <w:tc>
          <w:tcPr>
            <w:tcW w:w="750" w:type="dxa"/>
          </w:tcPr>
          <w:p w:rsidR="002F0870" w:rsidRPr="007A1202" w:rsidRDefault="002F0870" w:rsidP="001C4270">
            <w:proofErr w:type="gramStart"/>
            <w:r w:rsidRPr="007A1202">
              <w:t>t-2</w:t>
            </w:r>
            <w:proofErr w:type="gramEnd"/>
          </w:p>
        </w:tc>
        <w:tc>
          <w:tcPr>
            <w:tcW w:w="950" w:type="dxa"/>
          </w:tcPr>
          <w:p w:rsidR="002F0870" w:rsidRPr="007A1202" w:rsidRDefault="002F0870" w:rsidP="002F0870">
            <w:pPr>
              <w:jc w:val="right"/>
            </w:pPr>
            <w:r w:rsidRPr="007A1202">
              <w:t>-0,64</w:t>
            </w:r>
          </w:p>
        </w:tc>
        <w:tc>
          <w:tcPr>
            <w:tcW w:w="876" w:type="dxa"/>
          </w:tcPr>
          <w:p w:rsidR="002F0870" w:rsidRPr="007A1202" w:rsidRDefault="002F0870" w:rsidP="002F0870">
            <w:pPr>
              <w:jc w:val="right"/>
            </w:pPr>
            <w:r w:rsidRPr="007A1202">
              <w:t>5,49</w:t>
            </w:r>
          </w:p>
        </w:tc>
        <w:tc>
          <w:tcPr>
            <w:tcW w:w="1010" w:type="dxa"/>
          </w:tcPr>
          <w:p w:rsidR="002F0870" w:rsidRPr="007A1202" w:rsidRDefault="002F0870" w:rsidP="002F0870">
            <w:pPr>
              <w:jc w:val="right"/>
            </w:pPr>
            <w:r w:rsidRPr="007A1202">
              <w:t>-2,59</w:t>
            </w:r>
          </w:p>
        </w:tc>
        <w:tc>
          <w:tcPr>
            <w:tcW w:w="1176" w:type="dxa"/>
          </w:tcPr>
          <w:p w:rsidR="002F0870" w:rsidRPr="007A1202" w:rsidRDefault="002F0870" w:rsidP="002F0870">
            <w:pPr>
              <w:jc w:val="right"/>
            </w:pPr>
            <w:r w:rsidRPr="007A1202">
              <w:t>0,00</w:t>
            </w:r>
          </w:p>
        </w:tc>
        <w:tc>
          <w:tcPr>
            <w:tcW w:w="950" w:type="dxa"/>
          </w:tcPr>
          <w:p w:rsidR="002F0870" w:rsidRPr="007A1202" w:rsidRDefault="002F0870" w:rsidP="002F0870">
            <w:pPr>
              <w:jc w:val="right"/>
            </w:pPr>
            <w:r w:rsidRPr="007A1202">
              <w:t>2,15</w:t>
            </w:r>
          </w:p>
        </w:tc>
        <w:tc>
          <w:tcPr>
            <w:tcW w:w="1110" w:type="dxa"/>
          </w:tcPr>
          <w:p w:rsidR="002F0870" w:rsidRPr="007A1202" w:rsidRDefault="002F0870" w:rsidP="002F0870">
            <w:pPr>
              <w:jc w:val="right"/>
            </w:pPr>
            <w:r w:rsidRPr="007A1202">
              <w:t>-16,84</w:t>
            </w:r>
          </w:p>
        </w:tc>
        <w:tc>
          <w:tcPr>
            <w:tcW w:w="1150" w:type="dxa"/>
          </w:tcPr>
          <w:p w:rsidR="002F0870" w:rsidRDefault="002F0870" w:rsidP="002F0870">
            <w:pPr>
              <w:jc w:val="right"/>
            </w:pPr>
            <w:r w:rsidRPr="007A1202">
              <w:t>10,23</w:t>
            </w:r>
          </w:p>
        </w:tc>
      </w:tr>
      <w:tr w:rsidR="00923BCD" w:rsidTr="00923BCD">
        <w:trPr>
          <w:jc w:val="center"/>
        </w:trPr>
        <w:tc>
          <w:tcPr>
            <w:tcW w:w="750" w:type="dxa"/>
            <w:vAlign w:val="bottom"/>
          </w:tcPr>
          <w:p w:rsidR="00923BCD" w:rsidRPr="00923BCD" w:rsidRDefault="00923BCD">
            <w:pPr>
              <w:rPr>
                <w:rFonts w:asciiTheme="minorHAnsi" w:hAnsiTheme="minorHAnsi" w:cstheme="minorHAnsi"/>
                <w:color w:val="000000"/>
                <w:szCs w:val="22"/>
              </w:rPr>
            </w:pPr>
            <w:proofErr w:type="gramStart"/>
            <w:r w:rsidRPr="00923BCD">
              <w:rPr>
                <w:rFonts w:asciiTheme="minorHAnsi" w:hAnsiTheme="minorHAnsi" w:cstheme="minorHAnsi"/>
                <w:color w:val="000000"/>
                <w:szCs w:val="22"/>
              </w:rPr>
              <w:t>t-1</w:t>
            </w:r>
            <w:proofErr w:type="gramEnd"/>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-1,87</w:t>
            </w:r>
          </w:p>
        </w:tc>
        <w:tc>
          <w:tcPr>
            <w:tcW w:w="8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6,96</w:t>
            </w:r>
          </w:p>
        </w:tc>
        <w:tc>
          <w:tcPr>
            <w:tcW w:w="10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-3,61</w:t>
            </w:r>
          </w:p>
        </w:tc>
        <w:tc>
          <w:tcPr>
            <w:tcW w:w="11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-0,81</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0,00</w:t>
            </w:r>
          </w:p>
        </w:tc>
        <w:tc>
          <w:tcPr>
            <w:tcW w:w="11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-28,12</w:t>
            </w:r>
          </w:p>
        </w:tc>
        <w:tc>
          <w:tcPr>
            <w:tcW w:w="11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16,33</w:t>
            </w:r>
          </w:p>
        </w:tc>
      </w:tr>
      <w:tr w:rsidR="00923BCD" w:rsidTr="00923BCD">
        <w:trPr>
          <w:jc w:val="center"/>
        </w:trPr>
        <w:tc>
          <w:tcPr>
            <w:tcW w:w="750" w:type="dxa"/>
            <w:vAlign w:val="bottom"/>
          </w:tcPr>
          <w:p w:rsidR="00923BCD" w:rsidRPr="00923BCD" w:rsidRDefault="00923BCD">
            <w:pPr>
              <w:rPr>
                <w:rFonts w:asciiTheme="minorHAnsi" w:hAnsiTheme="minorHAnsi" w:cstheme="minorHAnsi"/>
                <w:color w:val="000000"/>
                <w:szCs w:val="22"/>
              </w:rPr>
            </w:pPr>
            <w:r w:rsidRPr="00923BCD">
              <w:rPr>
                <w:rFonts w:asciiTheme="minorHAnsi" w:hAnsiTheme="minorHAnsi" w:cstheme="minorHAnsi"/>
                <w:color w:val="000000"/>
                <w:szCs w:val="22"/>
              </w:rPr>
              <w:t>t</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1,80</w:t>
            </w:r>
          </w:p>
        </w:tc>
        <w:tc>
          <w:tcPr>
            <w:tcW w:w="8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8,72</w:t>
            </w:r>
          </w:p>
        </w:tc>
        <w:tc>
          <w:tcPr>
            <w:tcW w:w="10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-3,86</w:t>
            </w:r>
          </w:p>
        </w:tc>
        <w:tc>
          <w:tcPr>
            <w:tcW w:w="11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0,86</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5,55</w:t>
            </w:r>
          </w:p>
        </w:tc>
        <w:tc>
          <w:tcPr>
            <w:tcW w:w="11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-16,16</w:t>
            </w:r>
          </w:p>
        </w:tc>
        <w:tc>
          <w:tcPr>
            <w:tcW w:w="11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26,08</w:t>
            </w:r>
          </w:p>
        </w:tc>
      </w:tr>
      <w:tr w:rsidR="00923BCD" w:rsidTr="00923BCD">
        <w:trPr>
          <w:jc w:val="center"/>
        </w:trPr>
        <w:tc>
          <w:tcPr>
            <w:tcW w:w="750" w:type="dxa"/>
            <w:vAlign w:val="bottom"/>
          </w:tcPr>
          <w:p w:rsidR="00923BCD" w:rsidRPr="00923BCD" w:rsidRDefault="00923BCD">
            <w:pPr>
              <w:rPr>
                <w:rFonts w:asciiTheme="minorHAnsi" w:hAnsiTheme="minorHAnsi" w:cstheme="minorHAnsi"/>
                <w:color w:val="000000"/>
                <w:szCs w:val="22"/>
              </w:rPr>
            </w:pPr>
            <w:r w:rsidRPr="00923BCD">
              <w:rPr>
                <w:rFonts w:asciiTheme="minorHAnsi" w:hAnsiTheme="minorHAnsi" w:cstheme="minorHAnsi"/>
                <w:color w:val="000000"/>
                <w:szCs w:val="22"/>
              </w:rPr>
              <w:t>t+1</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9,82</w:t>
            </w:r>
          </w:p>
        </w:tc>
        <w:tc>
          <w:tcPr>
            <w:tcW w:w="8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24,39</w:t>
            </w:r>
          </w:p>
        </w:tc>
        <w:tc>
          <w:tcPr>
            <w:tcW w:w="10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-3,73</w:t>
            </w:r>
          </w:p>
        </w:tc>
        <w:tc>
          <w:tcPr>
            <w:tcW w:w="11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7,13</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15,05</w:t>
            </w:r>
          </w:p>
        </w:tc>
        <w:tc>
          <w:tcPr>
            <w:tcW w:w="11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-30,42</w:t>
            </w:r>
          </w:p>
        </w:tc>
        <w:tc>
          <w:tcPr>
            <w:tcW w:w="11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122,18</w:t>
            </w:r>
          </w:p>
        </w:tc>
      </w:tr>
      <w:tr w:rsidR="00923BCD" w:rsidTr="00923BCD">
        <w:trPr>
          <w:jc w:val="center"/>
        </w:trPr>
        <w:tc>
          <w:tcPr>
            <w:tcW w:w="750" w:type="dxa"/>
            <w:vAlign w:val="bottom"/>
          </w:tcPr>
          <w:p w:rsidR="00923BCD" w:rsidRPr="00923BCD" w:rsidRDefault="00923BCD">
            <w:pPr>
              <w:rPr>
                <w:rFonts w:asciiTheme="minorHAnsi" w:hAnsiTheme="minorHAnsi" w:cstheme="minorHAnsi"/>
                <w:color w:val="000000"/>
                <w:szCs w:val="22"/>
              </w:rPr>
            </w:pPr>
            <w:r w:rsidRPr="00923BCD">
              <w:rPr>
                <w:rFonts w:asciiTheme="minorHAnsi" w:hAnsiTheme="minorHAnsi" w:cstheme="minorHAnsi"/>
                <w:color w:val="000000"/>
                <w:szCs w:val="22"/>
              </w:rPr>
              <w:t>t+2</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23,49</w:t>
            </w:r>
          </w:p>
        </w:tc>
        <w:tc>
          <w:tcPr>
            <w:tcW w:w="8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61,01</w:t>
            </w:r>
          </w:p>
        </w:tc>
        <w:tc>
          <w:tcPr>
            <w:tcW w:w="10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1,68</w:t>
            </w:r>
          </w:p>
        </w:tc>
        <w:tc>
          <w:tcPr>
            <w:tcW w:w="11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9,37</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16,22</w:t>
            </w:r>
          </w:p>
        </w:tc>
        <w:tc>
          <w:tcPr>
            <w:tcW w:w="11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-25,19</w:t>
            </w:r>
          </w:p>
        </w:tc>
        <w:tc>
          <w:tcPr>
            <w:tcW w:w="11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338,07</w:t>
            </w:r>
          </w:p>
        </w:tc>
      </w:tr>
      <w:tr w:rsidR="00923BCD" w:rsidTr="00923BCD">
        <w:trPr>
          <w:jc w:val="center"/>
        </w:trPr>
        <w:tc>
          <w:tcPr>
            <w:tcW w:w="750" w:type="dxa"/>
            <w:vAlign w:val="bottom"/>
          </w:tcPr>
          <w:p w:rsidR="00923BCD" w:rsidRPr="00923BCD" w:rsidRDefault="00923BCD">
            <w:pPr>
              <w:rPr>
                <w:rFonts w:asciiTheme="minorHAnsi" w:hAnsiTheme="minorHAnsi" w:cstheme="minorHAnsi"/>
                <w:color w:val="000000"/>
                <w:szCs w:val="22"/>
              </w:rPr>
            </w:pPr>
            <w:r w:rsidRPr="00923BCD">
              <w:rPr>
                <w:rFonts w:asciiTheme="minorHAnsi" w:hAnsiTheme="minorHAnsi" w:cstheme="minorHAnsi"/>
                <w:color w:val="000000"/>
                <w:szCs w:val="22"/>
              </w:rPr>
              <w:t>t+3</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9,33</w:t>
            </w:r>
          </w:p>
        </w:tc>
        <w:tc>
          <w:tcPr>
            <w:tcW w:w="8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23,66</w:t>
            </w:r>
          </w:p>
        </w:tc>
        <w:tc>
          <w:tcPr>
            <w:tcW w:w="10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-0,47</w:t>
            </w:r>
          </w:p>
        </w:tc>
        <w:tc>
          <w:tcPr>
            <w:tcW w:w="1176"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7,42</w:t>
            </w:r>
          </w:p>
        </w:tc>
        <w:tc>
          <w:tcPr>
            <w:tcW w:w="9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13,39</w:t>
            </w:r>
          </w:p>
        </w:tc>
        <w:tc>
          <w:tcPr>
            <w:tcW w:w="111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-27,32</w:t>
            </w:r>
          </w:p>
        </w:tc>
        <w:tc>
          <w:tcPr>
            <w:tcW w:w="1150" w:type="dxa"/>
            <w:vAlign w:val="bottom"/>
          </w:tcPr>
          <w:p w:rsidR="00923BCD" w:rsidRPr="00923BCD" w:rsidRDefault="00923BCD">
            <w:pPr>
              <w:jc w:val="right"/>
              <w:rPr>
                <w:rFonts w:asciiTheme="minorHAnsi" w:hAnsiTheme="minorHAnsi" w:cstheme="minorHAnsi"/>
                <w:color w:val="000000"/>
                <w:szCs w:val="22"/>
              </w:rPr>
            </w:pPr>
            <w:r w:rsidRPr="00923BCD">
              <w:rPr>
                <w:rFonts w:asciiTheme="minorHAnsi" w:hAnsiTheme="minorHAnsi" w:cstheme="minorHAnsi"/>
                <w:color w:val="000000"/>
                <w:szCs w:val="22"/>
              </w:rPr>
              <w:t>80,40</w:t>
            </w:r>
          </w:p>
        </w:tc>
      </w:tr>
    </w:tbl>
    <w:p w:rsidR="001419EA" w:rsidRDefault="00575F5F" w:rsidP="001419EA">
      <w:pPr>
        <w:pStyle w:val="BNDES"/>
        <w:jc w:val="center"/>
      </w:pPr>
      <w:r>
        <w:t xml:space="preserve"> </w:t>
      </w:r>
      <w:r w:rsidR="001419EA">
        <w:t>Fonte: elaboração própria.</w:t>
      </w:r>
    </w:p>
    <w:p w:rsidR="00923BCD" w:rsidRDefault="00923BCD" w:rsidP="004D442E">
      <w:pPr>
        <w:pStyle w:val="BNDES"/>
        <w:ind w:firstLine="709"/>
      </w:pPr>
    </w:p>
    <w:p w:rsidR="00BC3F8A" w:rsidRDefault="00BC3F8A" w:rsidP="004D442E">
      <w:pPr>
        <w:pStyle w:val="BNDES"/>
        <w:ind w:firstLine="709"/>
      </w:pPr>
      <w:r>
        <w:t xml:space="preserve">Construiu-se um gráfico que desenha o comportamento do efeito percentual das diferenças da variável PIB per capita entre tratados e controles ao </w:t>
      </w:r>
      <w:r w:rsidR="002835FB">
        <w:t>longo</w:t>
      </w:r>
      <w:r>
        <w:t xml:space="preserve"> do tempo. A linha azul central mostra o efeito mediano entre todos os municípios tratados. As linhas secundárias abaixo e acima da mediana indicam os efeitos no primeiro e terceiro quartis, respectivamente. Observa-se que, em geral, há efeito </w:t>
      </w:r>
      <w:r w:rsidR="00C3332F">
        <w:t xml:space="preserve">mediano </w:t>
      </w:r>
      <w:r>
        <w:t xml:space="preserve">positivo no período pós-tratamento dos municípios </w:t>
      </w:r>
      <w:proofErr w:type="gramStart"/>
      <w:r>
        <w:t>sob análise</w:t>
      </w:r>
      <w:proofErr w:type="gramEnd"/>
      <w:r>
        <w:t>, de 7,1% no primeiro ano, 9,4% no segundo ano e 7,4% no terceiro ano.</w:t>
      </w:r>
    </w:p>
    <w:p w:rsidR="008712DC" w:rsidRDefault="008712DC" w:rsidP="004D442E">
      <w:pPr>
        <w:pStyle w:val="BNDES"/>
        <w:ind w:firstLine="709"/>
      </w:pPr>
    </w:p>
    <w:p w:rsidR="008712DC" w:rsidRDefault="008712DC" w:rsidP="004D442E">
      <w:pPr>
        <w:pStyle w:val="BNDES"/>
        <w:ind w:firstLine="709"/>
      </w:pPr>
    </w:p>
    <w:p w:rsidR="008712DC" w:rsidRDefault="008712DC" w:rsidP="004D442E">
      <w:pPr>
        <w:pStyle w:val="BNDES"/>
        <w:ind w:firstLine="709"/>
      </w:pPr>
    </w:p>
    <w:p w:rsidR="008712DC" w:rsidRDefault="008712DC" w:rsidP="004D442E">
      <w:pPr>
        <w:pStyle w:val="BNDES"/>
        <w:ind w:firstLine="709"/>
      </w:pPr>
    </w:p>
    <w:p w:rsidR="008712DC" w:rsidRDefault="008712DC" w:rsidP="004D442E">
      <w:pPr>
        <w:pStyle w:val="BNDES"/>
        <w:ind w:firstLine="709"/>
      </w:pPr>
    </w:p>
    <w:p w:rsidR="008712DC" w:rsidRDefault="008712DC" w:rsidP="004D442E">
      <w:pPr>
        <w:pStyle w:val="BNDES"/>
        <w:ind w:firstLine="709"/>
      </w:pPr>
    </w:p>
    <w:p w:rsidR="004066C8" w:rsidRDefault="004066C8" w:rsidP="004D442E">
      <w:pPr>
        <w:pStyle w:val="BNDES"/>
        <w:ind w:firstLine="709"/>
      </w:pPr>
    </w:p>
    <w:p w:rsidR="004066C8" w:rsidRDefault="004066C8" w:rsidP="004D442E">
      <w:pPr>
        <w:pStyle w:val="BNDES"/>
        <w:ind w:firstLine="709"/>
      </w:pPr>
    </w:p>
    <w:p w:rsidR="008712DC" w:rsidRDefault="008712DC" w:rsidP="004D442E">
      <w:pPr>
        <w:pStyle w:val="BNDES"/>
        <w:ind w:firstLine="709"/>
      </w:pPr>
    </w:p>
    <w:p w:rsidR="008712DC" w:rsidRDefault="008712DC" w:rsidP="004D442E">
      <w:pPr>
        <w:pStyle w:val="BNDES"/>
        <w:ind w:firstLine="709"/>
      </w:pPr>
    </w:p>
    <w:p w:rsidR="00BC3F8A" w:rsidRPr="00D96642" w:rsidRDefault="00BC3F8A" w:rsidP="00D96642">
      <w:pPr>
        <w:pStyle w:val="BNDES"/>
        <w:jc w:val="center"/>
        <w:rPr>
          <w:b/>
        </w:rPr>
      </w:pPr>
      <w:r w:rsidRPr="00D96642">
        <w:rPr>
          <w:b/>
        </w:rPr>
        <w:lastRenderedPageBreak/>
        <w:t>Gráfico</w:t>
      </w:r>
      <w:r w:rsidR="001419EA">
        <w:rPr>
          <w:b/>
        </w:rPr>
        <w:t xml:space="preserve"> </w:t>
      </w:r>
      <w:proofErr w:type="gramStart"/>
      <w:r w:rsidR="00835D02">
        <w:rPr>
          <w:b/>
        </w:rPr>
        <w:t>3</w:t>
      </w:r>
      <w:proofErr w:type="gramEnd"/>
      <w:r w:rsidRPr="00D96642">
        <w:rPr>
          <w:b/>
        </w:rPr>
        <w:t>: Diferenças Percentuais de cada Unidade Tratada em Relação ao seu Controle Sintético</w:t>
      </w:r>
    </w:p>
    <w:p w:rsidR="00D96642" w:rsidRDefault="00CD417A" w:rsidP="00BC3F8A">
      <w:pPr>
        <w:pStyle w:val="BNDES"/>
      </w:pPr>
      <w:r>
        <w:rPr>
          <w:noProof/>
        </w:rPr>
        <w:drawing>
          <wp:anchor distT="0" distB="0" distL="114300" distR="114300" simplePos="0" relativeHeight="251703296" behindDoc="0" locked="0" layoutInCell="1" allowOverlap="1" wp14:anchorId="44058BE0" wp14:editId="23D3FADA">
            <wp:simplePos x="0" y="0"/>
            <wp:positionH relativeFrom="column">
              <wp:posOffset>326390</wp:posOffset>
            </wp:positionH>
            <wp:positionV relativeFrom="paragraph">
              <wp:posOffset>133350</wp:posOffset>
            </wp:positionV>
            <wp:extent cx="5778000" cy="36468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000" cy="364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642" w:rsidRDefault="00D96642" w:rsidP="00BC3F8A">
      <w:pPr>
        <w:pStyle w:val="BNDES"/>
      </w:pPr>
    </w:p>
    <w:p w:rsidR="00BC3F8A" w:rsidRDefault="00BC3F8A"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BC3F8A">
      <w:pPr>
        <w:pStyle w:val="BNDES"/>
      </w:pPr>
    </w:p>
    <w:p w:rsidR="00D96642" w:rsidRDefault="00D96642" w:rsidP="00D96642">
      <w:pPr>
        <w:pStyle w:val="BNDES"/>
        <w:jc w:val="center"/>
      </w:pPr>
      <w:r>
        <w:t>Fonte: elaboração própria.</w:t>
      </w:r>
    </w:p>
    <w:p w:rsidR="00D96642" w:rsidRDefault="00D96642" w:rsidP="00BC3F8A">
      <w:pPr>
        <w:pStyle w:val="BNDES"/>
      </w:pPr>
    </w:p>
    <w:p w:rsidR="00BC3F8A" w:rsidRDefault="00BC3F8A" w:rsidP="004D442E">
      <w:pPr>
        <w:pStyle w:val="BNDES"/>
        <w:ind w:firstLine="709"/>
      </w:pPr>
      <w:r>
        <w:t xml:space="preserve">A fim de obter a avaliação de acordo com o potencial econômico do município tratado em relação ao investimento recebido, foi criada uma variável de dose do tratamento. Essa variável equivale à razão entre o total de potência outorgada do parque eólico, em megawatts (MW) e o PIB per capita do município. A dose foi calculada com o valor de potência outorgada fixado no período em que as primeiras usinas estavam em construção e o indicador foi normalizado </w:t>
      </w:r>
      <w:r w:rsidR="00B61AF8">
        <w:t xml:space="preserve">pela sua média </w:t>
      </w:r>
      <w:r>
        <w:t>de modo a permitir uma medida mais intuitiva de comparação.</w:t>
      </w:r>
    </w:p>
    <w:p w:rsidR="00BC3F8A" w:rsidRDefault="00BC3F8A" w:rsidP="00BC3F8A">
      <w:pPr>
        <w:pStyle w:val="BNDES"/>
      </w:pPr>
    </w:p>
    <w:p w:rsidR="00BC3F8A" w:rsidRDefault="00BC3F8A" w:rsidP="004D442E">
      <w:pPr>
        <w:pStyle w:val="BNDES"/>
        <w:ind w:firstLine="709"/>
      </w:pPr>
      <w:r>
        <w:t xml:space="preserve">Com base no valor mediano desse indicador de dose, </w:t>
      </w:r>
      <w:r w:rsidR="000B5768">
        <w:t xml:space="preserve">equivalente a </w:t>
      </w:r>
      <w:r w:rsidR="00A01799">
        <w:t xml:space="preserve">-0,35, ou aproximadamente </w:t>
      </w:r>
      <w:r w:rsidR="000B5768">
        <w:t xml:space="preserve">29.025 MW/R$ per capita, </w:t>
      </w:r>
      <w:r>
        <w:t>a amostra foi separada em dois grupos: dose baixa e dose alta. O gráfico abaixo relaciona a dose com o impacto mediano sobre o PIB per capita. Observa-se que o gráfico destaca efeito positivo maior em doses mais altas do que em doses baixas, com destaque para o segundo ano desde a construção da usina.</w:t>
      </w:r>
    </w:p>
    <w:p w:rsidR="000B5768" w:rsidRDefault="000B5768" w:rsidP="004D442E">
      <w:pPr>
        <w:pStyle w:val="BNDES"/>
        <w:ind w:firstLine="709"/>
      </w:pPr>
    </w:p>
    <w:p w:rsidR="00D96642" w:rsidRDefault="000B5768" w:rsidP="000B5768">
      <w:pPr>
        <w:pStyle w:val="BNDES"/>
        <w:jc w:val="center"/>
      </w:pPr>
      <w:r w:rsidRPr="0003489B">
        <w:rPr>
          <w:b/>
        </w:rPr>
        <w:t xml:space="preserve">Tabela </w:t>
      </w:r>
      <w:r w:rsidR="004066C8">
        <w:rPr>
          <w:b/>
        </w:rPr>
        <w:t>6</w:t>
      </w:r>
      <w:r>
        <w:rPr>
          <w:b/>
        </w:rPr>
        <w:t>: Resultados Compilados por Dose de Tratamento</w:t>
      </w:r>
      <w:r w:rsidR="00B61AF8">
        <w:rPr>
          <w:b/>
        </w:rPr>
        <w:t xml:space="preserve"> (%)</w:t>
      </w:r>
    </w:p>
    <w:tbl>
      <w:tblPr>
        <w:tblStyle w:val="Tabelacomgrade"/>
        <w:tblW w:w="0" w:type="auto"/>
        <w:jc w:val="center"/>
        <w:tblLook w:val="04A0" w:firstRow="1" w:lastRow="0" w:firstColumn="1" w:lastColumn="0" w:noHBand="0" w:noVBand="1"/>
      </w:tblPr>
      <w:tblGrid>
        <w:gridCol w:w="1009"/>
        <w:gridCol w:w="1303"/>
        <w:gridCol w:w="1450"/>
      </w:tblGrid>
      <w:tr w:rsidR="000B5768" w:rsidRPr="000B5768" w:rsidTr="000B5768">
        <w:trPr>
          <w:jc w:val="center"/>
        </w:trPr>
        <w:tc>
          <w:tcPr>
            <w:tcW w:w="1009" w:type="dxa"/>
            <w:vAlign w:val="bottom"/>
          </w:tcPr>
          <w:p w:rsidR="000B5768" w:rsidRPr="000B5768" w:rsidRDefault="000B5768" w:rsidP="000B5768">
            <w:pPr>
              <w:jc w:val="center"/>
              <w:rPr>
                <w:rFonts w:asciiTheme="minorHAnsi" w:hAnsiTheme="minorHAnsi" w:cstheme="minorHAnsi"/>
                <w:b/>
                <w:color w:val="000000"/>
                <w:szCs w:val="22"/>
              </w:rPr>
            </w:pPr>
            <w:r w:rsidRPr="000B5768">
              <w:rPr>
                <w:rFonts w:asciiTheme="minorHAnsi" w:hAnsiTheme="minorHAnsi" w:cstheme="minorHAnsi"/>
                <w:b/>
                <w:color w:val="000000"/>
                <w:szCs w:val="22"/>
              </w:rPr>
              <w:t>Ano</w:t>
            </w:r>
          </w:p>
        </w:tc>
        <w:tc>
          <w:tcPr>
            <w:tcW w:w="1303" w:type="dxa"/>
            <w:vAlign w:val="bottom"/>
          </w:tcPr>
          <w:p w:rsidR="000B5768" w:rsidRPr="000B5768" w:rsidRDefault="000B5768" w:rsidP="000B5768">
            <w:pPr>
              <w:jc w:val="center"/>
              <w:rPr>
                <w:rFonts w:asciiTheme="minorHAnsi" w:hAnsiTheme="minorHAnsi" w:cstheme="minorHAnsi"/>
                <w:b/>
                <w:color w:val="000000"/>
                <w:szCs w:val="22"/>
              </w:rPr>
            </w:pPr>
            <w:r w:rsidRPr="000B5768">
              <w:rPr>
                <w:rFonts w:asciiTheme="minorHAnsi" w:hAnsiTheme="minorHAnsi" w:cstheme="minorHAnsi"/>
                <w:b/>
                <w:color w:val="000000"/>
                <w:szCs w:val="22"/>
              </w:rPr>
              <w:t>Dose Alta</w:t>
            </w:r>
          </w:p>
        </w:tc>
        <w:tc>
          <w:tcPr>
            <w:tcW w:w="1450" w:type="dxa"/>
            <w:vAlign w:val="bottom"/>
          </w:tcPr>
          <w:p w:rsidR="000B5768" w:rsidRPr="000B5768" w:rsidRDefault="000B5768" w:rsidP="000B5768">
            <w:pPr>
              <w:jc w:val="center"/>
              <w:rPr>
                <w:rFonts w:asciiTheme="minorHAnsi" w:hAnsiTheme="minorHAnsi" w:cstheme="minorHAnsi"/>
                <w:b/>
                <w:color w:val="000000"/>
                <w:szCs w:val="22"/>
              </w:rPr>
            </w:pPr>
            <w:r w:rsidRPr="000B5768">
              <w:rPr>
                <w:rFonts w:asciiTheme="minorHAnsi" w:hAnsiTheme="minorHAnsi" w:cstheme="minorHAnsi"/>
                <w:b/>
                <w:color w:val="000000"/>
                <w:szCs w:val="22"/>
              </w:rPr>
              <w:t>Dose Baixa</w:t>
            </w:r>
          </w:p>
        </w:tc>
      </w:tr>
      <w:tr w:rsidR="002F0870" w:rsidTr="001C4270">
        <w:trPr>
          <w:jc w:val="center"/>
        </w:trPr>
        <w:tc>
          <w:tcPr>
            <w:tcW w:w="1009" w:type="dxa"/>
          </w:tcPr>
          <w:p w:rsidR="002F0870" w:rsidRPr="00435AB1" w:rsidRDefault="002F0870" w:rsidP="001C4270">
            <w:proofErr w:type="gramStart"/>
            <w:r w:rsidRPr="00435AB1">
              <w:t>t-3</w:t>
            </w:r>
            <w:proofErr w:type="gramEnd"/>
          </w:p>
        </w:tc>
        <w:tc>
          <w:tcPr>
            <w:tcW w:w="1303" w:type="dxa"/>
          </w:tcPr>
          <w:p w:rsidR="002F0870" w:rsidRPr="00435AB1" w:rsidRDefault="002F0870" w:rsidP="002F0870">
            <w:pPr>
              <w:jc w:val="right"/>
            </w:pPr>
            <w:r w:rsidRPr="00435AB1">
              <w:t>0</w:t>
            </w:r>
            <w:r>
              <w:t>,00</w:t>
            </w:r>
          </w:p>
        </w:tc>
        <w:tc>
          <w:tcPr>
            <w:tcW w:w="1450" w:type="dxa"/>
          </w:tcPr>
          <w:p w:rsidR="002F0870" w:rsidRPr="00435AB1" w:rsidRDefault="002F0870" w:rsidP="002F0870">
            <w:pPr>
              <w:jc w:val="right"/>
            </w:pPr>
            <w:r w:rsidRPr="00435AB1">
              <w:t>0</w:t>
            </w:r>
            <w:r>
              <w:t>,00</w:t>
            </w:r>
          </w:p>
        </w:tc>
      </w:tr>
      <w:tr w:rsidR="002F0870" w:rsidTr="001C4270">
        <w:trPr>
          <w:jc w:val="center"/>
        </w:trPr>
        <w:tc>
          <w:tcPr>
            <w:tcW w:w="1009" w:type="dxa"/>
          </w:tcPr>
          <w:p w:rsidR="002F0870" w:rsidRPr="00435AB1" w:rsidRDefault="002F0870" w:rsidP="001C4270">
            <w:proofErr w:type="gramStart"/>
            <w:r w:rsidRPr="00435AB1">
              <w:t>t-2</w:t>
            </w:r>
            <w:proofErr w:type="gramEnd"/>
          </w:p>
        </w:tc>
        <w:tc>
          <w:tcPr>
            <w:tcW w:w="1303" w:type="dxa"/>
          </w:tcPr>
          <w:p w:rsidR="002F0870" w:rsidRPr="00435AB1" w:rsidRDefault="002F0870" w:rsidP="002F0870">
            <w:pPr>
              <w:jc w:val="right"/>
            </w:pPr>
            <w:r w:rsidRPr="00435AB1">
              <w:t>1,83</w:t>
            </w:r>
          </w:p>
        </w:tc>
        <w:tc>
          <w:tcPr>
            <w:tcW w:w="1450" w:type="dxa"/>
          </w:tcPr>
          <w:p w:rsidR="002F0870" w:rsidRDefault="002F0870" w:rsidP="002F0870">
            <w:pPr>
              <w:jc w:val="right"/>
            </w:pPr>
            <w:r w:rsidRPr="00435AB1">
              <w:t>0</w:t>
            </w:r>
            <w:r>
              <w:t>,00</w:t>
            </w:r>
          </w:p>
        </w:tc>
      </w:tr>
      <w:tr w:rsidR="000B5768" w:rsidTr="000B5768">
        <w:trPr>
          <w:jc w:val="center"/>
        </w:trPr>
        <w:tc>
          <w:tcPr>
            <w:tcW w:w="1009" w:type="dxa"/>
            <w:vAlign w:val="bottom"/>
          </w:tcPr>
          <w:p w:rsidR="000B5768" w:rsidRPr="000B5768" w:rsidRDefault="000B5768">
            <w:pPr>
              <w:rPr>
                <w:rFonts w:asciiTheme="minorHAnsi" w:hAnsiTheme="minorHAnsi" w:cstheme="minorHAnsi"/>
                <w:color w:val="000000"/>
                <w:szCs w:val="22"/>
              </w:rPr>
            </w:pPr>
            <w:proofErr w:type="gramStart"/>
            <w:r w:rsidRPr="000B5768">
              <w:rPr>
                <w:rFonts w:asciiTheme="minorHAnsi" w:hAnsiTheme="minorHAnsi" w:cstheme="minorHAnsi"/>
                <w:color w:val="000000"/>
                <w:szCs w:val="22"/>
              </w:rPr>
              <w:t>t-1</w:t>
            </w:r>
            <w:proofErr w:type="gramEnd"/>
          </w:p>
        </w:tc>
        <w:tc>
          <w:tcPr>
            <w:tcW w:w="1303"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-2,86</w:t>
            </w:r>
          </w:p>
        </w:tc>
        <w:tc>
          <w:tcPr>
            <w:tcW w:w="1450"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0</w:t>
            </w:r>
            <w:r>
              <w:rPr>
                <w:rFonts w:asciiTheme="minorHAnsi" w:hAnsiTheme="minorHAnsi" w:cstheme="minorHAnsi"/>
                <w:color w:val="000000"/>
                <w:szCs w:val="22"/>
              </w:rPr>
              <w:t>,00</w:t>
            </w:r>
          </w:p>
        </w:tc>
      </w:tr>
      <w:tr w:rsidR="000B5768" w:rsidTr="000B5768">
        <w:trPr>
          <w:jc w:val="center"/>
        </w:trPr>
        <w:tc>
          <w:tcPr>
            <w:tcW w:w="1009" w:type="dxa"/>
            <w:vAlign w:val="bottom"/>
          </w:tcPr>
          <w:p w:rsidR="000B5768" w:rsidRPr="000B5768" w:rsidRDefault="002F0870">
            <w:pPr>
              <w:rPr>
                <w:rFonts w:asciiTheme="minorHAnsi" w:hAnsiTheme="minorHAnsi" w:cstheme="minorHAnsi"/>
                <w:color w:val="000000"/>
                <w:szCs w:val="22"/>
              </w:rPr>
            </w:pPr>
            <w:r>
              <w:rPr>
                <w:rFonts w:asciiTheme="minorHAnsi" w:hAnsiTheme="minorHAnsi" w:cstheme="minorHAnsi"/>
                <w:color w:val="000000"/>
                <w:szCs w:val="22"/>
              </w:rPr>
              <w:t>t</w:t>
            </w:r>
          </w:p>
        </w:tc>
        <w:tc>
          <w:tcPr>
            <w:tcW w:w="1303"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1,84</w:t>
            </w:r>
          </w:p>
        </w:tc>
        <w:tc>
          <w:tcPr>
            <w:tcW w:w="1450"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0,78</w:t>
            </w:r>
          </w:p>
        </w:tc>
      </w:tr>
      <w:tr w:rsidR="000B5768" w:rsidTr="000B5768">
        <w:trPr>
          <w:jc w:val="center"/>
        </w:trPr>
        <w:tc>
          <w:tcPr>
            <w:tcW w:w="1009" w:type="dxa"/>
            <w:vAlign w:val="bottom"/>
          </w:tcPr>
          <w:p w:rsidR="000B5768" w:rsidRPr="000B5768" w:rsidRDefault="000B5768">
            <w:pPr>
              <w:rPr>
                <w:rFonts w:asciiTheme="minorHAnsi" w:hAnsiTheme="minorHAnsi" w:cstheme="minorHAnsi"/>
                <w:color w:val="000000"/>
                <w:szCs w:val="22"/>
              </w:rPr>
            </w:pPr>
            <w:r w:rsidRPr="000B5768">
              <w:rPr>
                <w:rFonts w:asciiTheme="minorHAnsi" w:hAnsiTheme="minorHAnsi" w:cstheme="minorHAnsi"/>
                <w:color w:val="000000"/>
                <w:szCs w:val="22"/>
              </w:rPr>
              <w:t>t+1</w:t>
            </w:r>
          </w:p>
        </w:tc>
        <w:tc>
          <w:tcPr>
            <w:tcW w:w="1303"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11,87</w:t>
            </w:r>
          </w:p>
        </w:tc>
        <w:tc>
          <w:tcPr>
            <w:tcW w:w="1450"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0,48</w:t>
            </w:r>
          </w:p>
        </w:tc>
      </w:tr>
      <w:tr w:rsidR="000B5768" w:rsidTr="000B5768">
        <w:trPr>
          <w:jc w:val="center"/>
        </w:trPr>
        <w:tc>
          <w:tcPr>
            <w:tcW w:w="1009" w:type="dxa"/>
            <w:vAlign w:val="bottom"/>
          </w:tcPr>
          <w:p w:rsidR="000B5768" w:rsidRPr="000B5768" w:rsidRDefault="000B5768">
            <w:pPr>
              <w:rPr>
                <w:rFonts w:asciiTheme="minorHAnsi" w:hAnsiTheme="minorHAnsi" w:cstheme="minorHAnsi"/>
                <w:color w:val="000000"/>
                <w:szCs w:val="22"/>
              </w:rPr>
            </w:pPr>
            <w:r w:rsidRPr="000B5768">
              <w:rPr>
                <w:rFonts w:asciiTheme="minorHAnsi" w:hAnsiTheme="minorHAnsi" w:cstheme="minorHAnsi"/>
                <w:color w:val="000000"/>
                <w:szCs w:val="22"/>
              </w:rPr>
              <w:t>t+2</w:t>
            </w:r>
          </w:p>
        </w:tc>
        <w:tc>
          <w:tcPr>
            <w:tcW w:w="1303"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13,64</w:t>
            </w:r>
          </w:p>
        </w:tc>
        <w:tc>
          <w:tcPr>
            <w:tcW w:w="1450"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8,09</w:t>
            </w:r>
          </w:p>
        </w:tc>
      </w:tr>
      <w:tr w:rsidR="000B5768" w:rsidTr="000B5768">
        <w:trPr>
          <w:jc w:val="center"/>
        </w:trPr>
        <w:tc>
          <w:tcPr>
            <w:tcW w:w="1009" w:type="dxa"/>
            <w:vAlign w:val="bottom"/>
          </w:tcPr>
          <w:p w:rsidR="000B5768" w:rsidRPr="000B5768" w:rsidRDefault="000B5768">
            <w:pPr>
              <w:rPr>
                <w:rFonts w:asciiTheme="minorHAnsi" w:hAnsiTheme="minorHAnsi" w:cstheme="minorHAnsi"/>
                <w:color w:val="000000"/>
                <w:szCs w:val="22"/>
              </w:rPr>
            </w:pPr>
            <w:r w:rsidRPr="000B5768">
              <w:rPr>
                <w:rFonts w:asciiTheme="minorHAnsi" w:hAnsiTheme="minorHAnsi" w:cstheme="minorHAnsi"/>
                <w:color w:val="000000"/>
                <w:szCs w:val="22"/>
              </w:rPr>
              <w:t>t+3</w:t>
            </w:r>
          </w:p>
        </w:tc>
        <w:tc>
          <w:tcPr>
            <w:tcW w:w="1303"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8,81</w:t>
            </w:r>
          </w:p>
        </w:tc>
        <w:tc>
          <w:tcPr>
            <w:tcW w:w="1450" w:type="dxa"/>
            <w:vAlign w:val="bottom"/>
          </w:tcPr>
          <w:p w:rsidR="000B5768" w:rsidRPr="000B5768" w:rsidRDefault="000B5768">
            <w:pPr>
              <w:jc w:val="right"/>
              <w:rPr>
                <w:rFonts w:asciiTheme="minorHAnsi" w:hAnsiTheme="minorHAnsi" w:cstheme="minorHAnsi"/>
                <w:color w:val="000000"/>
                <w:szCs w:val="22"/>
              </w:rPr>
            </w:pPr>
            <w:r w:rsidRPr="000B5768">
              <w:rPr>
                <w:rFonts w:asciiTheme="minorHAnsi" w:hAnsiTheme="minorHAnsi" w:cstheme="minorHAnsi"/>
                <w:color w:val="000000"/>
                <w:szCs w:val="22"/>
              </w:rPr>
              <w:t>5,56</w:t>
            </w:r>
          </w:p>
        </w:tc>
      </w:tr>
    </w:tbl>
    <w:p w:rsidR="001419EA" w:rsidRDefault="001419EA" w:rsidP="001419EA">
      <w:pPr>
        <w:pStyle w:val="BNDES"/>
        <w:jc w:val="center"/>
      </w:pPr>
      <w:r>
        <w:t>Fonte: elaboração própria.</w:t>
      </w:r>
    </w:p>
    <w:p w:rsidR="00CD417A" w:rsidRDefault="00CD417A" w:rsidP="00D96642">
      <w:pPr>
        <w:pStyle w:val="BNDES"/>
        <w:jc w:val="center"/>
        <w:rPr>
          <w:b/>
        </w:rPr>
      </w:pPr>
    </w:p>
    <w:p w:rsidR="008712DC" w:rsidRDefault="008712DC" w:rsidP="004D442E">
      <w:pPr>
        <w:pStyle w:val="BNDES"/>
        <w:ind w:firstLine="709"/>
        <w:rPr>
          <w:b/>
        </w:rPr>
      </w:pPr>
    </w:p>
    <w:p w:rsidR="008712DC" w:rsidRDefault="008712DC" w:rsidP="004D442E">
      <w:pPr>
        <w:pStyle w:val="BNDES"/>
        <w:ind w:firstLine="709"/>
        <w:rPr>
          <w:b/>
        </w:rPr>
      </w:pPr>
    </w:p>
    <w:p w:rsidR="008712DC" w:rsidRDefault="008712DC" w:rsidP="004D442E">
      <w:pPr>
        <w:pStyle w:val="BNDES"/>
        <w:ind w:firstLine="709"/>
        <w:rPr>
          <w:b/>
        </w:rPr>
      </w:pPr>
    </w:p>
    <w:p w:rsidR="00BC3F8A" w:rsidRPr="004D442E" w:rsidRDefault="00BA6436" w:rsidP="004D442E">
      <w:pPr>
        <w:pStyle w:val="BNDES"/>
        <w:ind w:firstLine="709"/>
        <w:rPr>
          <w:b/>
        </w:rPr>
      </w:pPr>
      <w:r>
        <w:rPr>
          <w:b/>
        </w:rPr>
        <w:lastRenderedPageBreak/>
        <w:t>6</w:t>
      </w:r>
      <w:r w:rsidR="00BC3F8A" w:rsidRPr="004D442E">
        <w:rPr>
          <w:b/>
        </w:rPr>
        <w:t>. Conclusão</w:t>
      </w:r>
    </w:p>
    <w:p w:rsidR="005053B9" w:rsidRDefault="005053B9" w:rsidP="004D442E">
      <w:pPr>
        <w:pStyle w:val="BNDES"/>
        <w:ind w:firstLine="709"/>
      </w:pPr>
    </w:p>
    <w:p w:rsidR="00BC3F8A" w:rsidRDefault="00BA6436" w:rsidP="004D442E">
      <w:pPr>
        <w:pStyle w:val="BNDES"/>
        <w:ind w:firstLine="709"/>
      </w:pPr>
      <w:r>
        <w:t>O presente artigo procurou fazer uma</w:t>
      </w:r>
      <w:r w:rsidR="00601EF1">
        <w:t xml:space="preserve"> análise de impacto da </w:t>
      </w:r>
      <w:r>
        <w:t xml:space="preserve">política de </w:t>
      </w:r>
      <w:r w:rsidR="00601EF1">
        <w:t xml:space="preserve">construção de usinas eólicas sobre o PIB per capita dos municípios beneficiados. Para isso, foi realizada uma avaliação individual baseada em controle sintético para os municípios que receberam sua primeira usina eólica no período de 2008 a 2014. Após isso, os resultados individuais foram compilados. </w:t>
      </w:r>
      <w:r w:rsidR="00BC3F8A">
        <w:t xml:space="preserve">Com base nos 34 casos aqui avaliados, foi possível observar impacto positivo dos parques eólicos sobre o PIB per capita dos municípios afetados, ainda que haja expressiva variabilidade. Os exercícios de avaliação concordaram em relação ao crescimento do efeito e aos anos em que se apresentou maior impacto positivo. Os efeitos, com mediana estimada entre 7,1% e 9,4%, foram mais claros para municípios relativamente mais pobres ou que receberam parques maiores e entre 2 a 3 anos após </w:t>
      </w:r>
      <w:r w:rsidR="00C3332F">
        <w:t>o início da</w:t>
      </w:r>
      <w:r w:rsidR="00BC3F8A">
        <w:t xml:space="preserve"> construção.</w:t>
      </w:r>
    </w:p>
    <w:p w:rsidR="00601EF1" w:rsidRDefault="00601EF1" w:rsidP="004D442E">
      <w:pPr>
        <w:pStyle w:val="BNDES"/>
        <w:ind w:firstLine="709"/>
      </w:pPr>
    </w:p>
    <w:p w:rsidR="00601EF1" w:rsidRDefault="00601EF1" w:rsidP="004D442E">
      <w:pPr>
        <w:pStyle w:val="BNDES"/>
        <w:ind w:firstLine="709"/>
      </w:pPr>
      <w:r>
        <w:t>A metodologia aqui adotada é inovadora em relação às avaliações dos impactos locais das obras de usinas eólicas no Brasil</w:t>
      </w:r>
      <w:r w:rsidR="00FD0B67">
        <w:rPr>
          <w:rStyle w:val="Refdenotaderodap"/>
        </w:rPr>
        <w:footnoteReference w:id="6"/>
      </w:r>
      <w:r>
        <w:t xml:space="preserve">. </w:t>
      </w:r>
      <w:r w:rsidR="00C3332F">
        <w:t xml:space="preserve">Para controlar a dimensionalidade do modelo empírico, foi adotada a metodologia de seleção de covariadas denominada </w:t>
      </w:r>
      <w:proofErr w:type="spellStart"/>
      <w:proofErr w:type="gramStart"/>
      <w:r w:rsidR="00C3332F">
        <w:t>adaLASSO</w:t>
      </w:r>
      <w:proofErr w:type="spellEnd"/>
      <w:proofErr w:type="gramEnd"/>
      <w:r w:rsidR="00C3332F">
        <w:t xml:space="preserve">. Esse procedimento visa identificar e selecionar as variáveis mais importantes para explicar cada indicador de interesse escolhido. </w:t>
      </w:r>
      <w:r>
        <w:t xml:space="preserve">A estimação </w:t>
      </w:r>
      <w:r w:rsidR="004A1B2C">
        <w:t>dos efeitos locais foi realizada por meio da metodologia de controle sintético. Esse método</w:t>
      </w:r>
      <w:r>
        <w:t xml:space="preserve"> não apenas é mais consistente para avaliações com micronumerosidade de unidades tratadas, como também, ao contrário da literatura levantada, permitiu observar que os efeitos são diferentes ao longo do tempo após a construção e em função da dose de tratamento. Os resultados verificados, tanto em termos de efeitos como em termos de sua heterogeneidade entre as unidades avaliadas, são semelhantes àqueles observados por Assunção </w:t>
      </w:r>
      <w:proofErr w:type="gramStart"/>
      <w:r>
        <w:t>et</w:t>
      </w:r>
      <w:proofErr w:type="gramEnd"/>
      <w:r>
        <w:t xml:space="preserve"> al (2016), em um estudo sobre efeitos locais da construção de usinas </w:t>
      </w:r>
      <w:r w:rsidR="00112D42">
        <w:t>hidrelétricas</w:t>
      </w:r>
      <w:r>
        <w:t xml:space="preserve">. Esse trabalho também observou que os efeitos locais das obras tendem a sumir no 5º ano após a construção. Essa </w:t>
      </w:r>
      <w:r w:rsidR="008078D3">
        <w:t>constatação não pôde ser observada no presente trabalho devido à indisponibilidade de dados, principalmente devido ao fato de que as usinas eólicas são de construção relativamente mais recente, a partir de 2014. Todavia, há motivos para que as usinas eólicas tenham efeitos locais mais duradouros que as usinas hidrelétricas, já que não implicam necessariamente na perda de terras que poderiam ser utilizadas na produção agropecuária.</w:t>
      </w:r>
    </w:p>
    <w:p w:rsidR="00BA6436" w:rsidRDefault="00BA6436" w:rsidP="004D442E">
      <w:pPr>
        <w:pStyle w:val="BNDES"/>
        <w:ind w:firstLine="709"/>
      </w:pPr>
    </w:p>
    <w:p w:rsidR="00BC3F8A" w:rsidRDefault="00BC3F8A" w:rsidP="004D442E">
      <w:pPr>
        <w:pStyle w:val="BNDES"/>
        <w:ind w:firstLine="709"/>
      </w:pPr>
      <w:r>
        <w:t xml:space="preserve">É importante destacar que, de acordo com os dados da ANEEL, o </w:t>
      </w:r>
      <w:r w:rsidR="002835FB">
        <w:t>período</w:t>
      </w:r>
      <w:r>
        <w:t xml:space="preserve"> de maior crescimento de usinas eólicas entrando em operação no Brasil foi a partir de 2014. O presente estudo investiga parques eólicos instalados até 2014, ou seja, conta com uma base de dados pequena e um curto período para análise. Não obstante, há municípios que só foram analisados apenas um ano após o tratamento por falta de dados na base municipal.</w:t>
      </w:r>
    </w:p>
    <w:p w:rsidR="00BC3F8A" w:rsidRDefault="00BC3F8A" w:rsidP="00BC3F8A">
      <w:pPr>
        <w:pStyle w:val="BNDES"/>
      </w:pPr>
    </w:p>
    <w:p w:rsidR="00BC3F8A" w:rsidRDefault="00BC3F8A" w:rsidP="004D442E">
      <w:pPr>
        <w:pStyle w:val="BNDES"/>
        <w:ind w:firstLine="709"/>
      </w:pPr>
      <w:r>
        <w:t>Portanto, há uma potencial agenda de estudos futuros sobre a avaliação das eólicas sobre os municípios beneficiados. Espera-se que essa agenda seja cada vez mais consistente e mostre maiores evidências de impacto, por haver maior dosagem de investimento nos municípios e também por conter um banco de dados com maior quantidade de tratados.</w:t>
      </w:r>
    </w:p>
    <w:p w:rsidR="00AD5A1D" w:rsidRDefault="00AD5A1D" w:rsidP="004D442E">
      <w:pPr>
        <w:pStyle w:val="BNDES"/>
        <w:ind w:firstLine="709"/>
      </w:pPr>
    </w:p>
    <w:p w:rsidR="00BC3F8A" w:rsidRPr="004D442E" w:rsidRDefault="00BA6436" w:rsidP="004D442E">
      <w:pPr>
        <w:pStyle w:val="BNDES"/>
        <w:ind w:firstLine="709"/>
        <w:rPr>
          <w:b/>
        </w:rPr>
      </w:pPr>
      <w:r>
        <w:rPr>
          <w:b/>
        </w:rPr>
        <w:t>7</w:t>
      </w:r>
      <w:r w:rsidR="00BC3F8A" w:rsidRPr="004D442E">
        <w:rPr>
          <w:b/>
        </w:rPr>
        <w:t>. Referências Bibliográficas</w:t>
      </w:r>
    </w:p>
    <w:p w:rsidR="00BC3F8A" w:rsidRDefault="00BC3F8A" w:rsidP="00BC3F8A">
      <w:pPr>
        <w:pStyle w:val="BNDES"/>
      </w:pPr>
    </w:p>
    <w:p w:rsidR="00BC3F8A" w:rsidRDefault="00BC3F8A" w:rsidP="00BC3F8A">
      <w:pPr>
        <w:pStyle w:val="BNDES"/>
      </w:pPr>
      <w:proofErr w:type="spellStart"/>
      <w:proofErr w:type="gramStart"/>
      <w:r>
        <w:t>ABEE</w:t>
      </w:r>
      <w:r w:rsidR="00F2705E">
        <w:t>ólica</w:t>
      </w:r>
      <w:proofErr w:type="spellEnd"/>
      <w:proofErr w:type="gramEnd"/>
      <w:r>
        <w:t xml:space="preserve"> - Associação Brasileira de Energia Eólica</w:t>
      </w:r>
      <w:r w:rsidR="00F2705E">
        <w:t xml:space="preserve">. </w:t>
      </w:r>
      <w:r w:rsidR="00F2705E" w:rsidRPr="00F2705E">
        <w:rPr>
          <w:i/>
        </w:rPr>
        <w:t>Dados Mensais</w:t>
      </w:r>
      <w:r w:rsidR="00F2705E">
        <w:t>. Fevereiro de 2018.</w:t>
      </w:r>
    </w:p>
    <w:p w:rsidR="00BC3F8A" w:rsidRDefault="00BC3F8A" w:rsidP="00BC3F8A">
      <w:pPr>
        <w:pStyle w:val="BNDES"/>
      </w:pPr>
      <w:r>
        <w:t>ANEEL - Agência Nacional de Energia Elétrica</w:t>
      </w:r>
    </w:p>
    <w:p w:rsidR="00BC3F8A" w:rsidRDefault="00BC3F8A" w:rsidP="00BC3F8A">
      <w:pPr>
        <w:pStyle w:val="BNDES"/>
      </w:pPr>
      <w:r>
        <w:lastRenderedPageBreak/>
        <w:t xml:space="preserve">ABADIE, A., &amp; GARDEAZABAL, J. The </w:t>
      </w:r>
      <w:proofErr w:type="spellStart"/>
      <w:r>
        <w:t>economic</w:t>
      </w:r>
      <w:proofErr w:type="spellEnd"/>
      <w:r>
        <w:t xml:space="preserve"> </w:t>
      </w:r>
      <w:proofErr w:type="spellStart"/>
      <w:r>
        <w:t>costs</w:t>
      </w:r>
      <w:proofErr w:type="spellEnd"/>
      <w:r>
        <w:t xml:space="preserve"> </w:t>
      </w:r>
      <w:proofErr w:type="spellStart"/>
      <w:r>
        <w:t>of</w:t>
      </w:r>
      <w:proofErr w:type="spellEnd"/>
      <w:r>
        <w:t xml:space="preserve"> </w:t>
      </w:r>
      <w:proofErr w:type="spellStart"/>
      <w:r>
        <w:t>conflict</w:t>
      </w:r>
      <w:proofErr w:type="spellEnd"/>
      <w:r>
        <w:t xml:space="preserve">: </w:t>
      </w:r>
      <w:proofErr w:type="gramStart"/>
      <w:r>
        <w:t>A case</w:t>
      </w:r>
      <w:proofErr w:type="gramEnd"/>
      <w:r>
        <w:t xml:space="preserve"> </w:t>
      </w:r>
      <w:proofErr w:type="spellStart"/>
      <w:r>
        <w:t>study</w:t>
      </w:r>
      <w:proofErr w:type="spellEnd"/>
      <w:r>
        <w:t xml:space="preserve"> </w:t>
      </w:r>
      <w:proofErr w:type="spellStart"/>
      <w:r>
        <w:t>of</w:t>
      </w:r>
      <w:proofErr w:type="spellEnd"/>
      <w:r>
        <w:t xml:space="preserve"> </w:t>
      </w:r>
      <w:proofErr w:type="spellStart"/>
      <w:r>
        <w:t>the</w:t>
      </w:r>
      <w:proofErr w:type="spellEnd"/>
      <w:r>
        <w:t xml:space="preserve"> </w:t>
      </w:r>
      <w:proofErr w:type="spellStart"/>
      <w:r>
        <w:t>Basque</w:t>
      </w:r>
      <w:proofErr w:type="spellEnd"/>
      <w:r>
        <w:t xml:space="preserve"> Country. </w:t>
      </w:r>
      <w:r w:rsidRPr="00BD47FC">
        <w:rPr>
          <w:i/>
        </w:rPr>
        <w:t xml:space="preserve">The American </w:t>
      </w:r>
      <w:proofErr w:type="spellStart"/>
      <w:r w:rsidRPr="00BD47FC">
        <w:rPr>
          <w:i/>
        </w:rPr>
        <w:t>Economic</w:t>
      </w:r>
      <w:proofErr w:type="spellEnd"/>
      <w:r w:rsidR="00BA784F" w:rsidRPr="00BD47FC">
        <w:rPr>
          <w:i/>
        </w:rPr>
        <w:t xml:space="preserve"> </w:t>
      </w:r>
      <w:proofErr w:type="spellStart"/>
      <w:r w:rsidRPr="00BD47FC">
        <w:rPr>
          <w:i/>
        </w:rPr>
        <w:t>Review</w:t>
      </w:r>
      <w:proofErr w:type="spellEnd"/>
      <w:r>
        <w:t>, 93(1), 113-132, 2003.</w:t>
      </w:r>
    </w:p>
    <w:p w:rsidR="00BC3F8A" w:rsidRDefault="00BC3F8A" w:rsidP="00BC3F8A">
      <w:pPr>
        <w:pStyle w:val="BNDES"/>
      </w:pPr>
      <w:r>
        <w:t xml:space="preserve">ABADIE, A., DIAMOND, A., &amp; HAINMUELLER, J. </w:t>
      </w:r>
      <w:proofErr w:type="spellStart"/>
      <w:r>
        <w:t>Synthetic</w:t>
      </w:r>
      <w:proofErr w:type="spellEnd"/>
      <w:r>
        <w:t xml:space="preserve"> </w:t>
      </w:r>
      <w:proofErr w:type="spellStart"/>
      <w:r>
        <w:t>control</w:t>
      </w:r>
      <w:proofErr w:type="spellEnd"/>
      <w:r>
        <w:t xml:space="preserve"> </w:t>
      </w:r>
      <w:proofErr w:type="spellStart"/>
      <w:r>
        <w:t>methods</w:t>
      </w:r>
      <w:proofErr w:type="spellEnd"/>
      <w:r>
        <w:t xml:space="preserve"> for </w:t>
      </w:r>
      <w:proofErr w:type="spellStart"/>
      <w:r>
        <w:t>comparative</w:t>
      </w:r>
      <w:proofErr w:type="spellEnd"/>
      <w:r>
        <w:t xml:space="preserve"> case </w:t>
      </w:r>
      <w:proofErr w:type="spellStart"/>
      <w:r>
        <w:t>studies</w:t>
      </w:r>
      <w:proofErr w:type="spellEnd"/>
      <w:r>
        <w:t xml:space="preserve">: </w:t>
      </w:r>
      <w:proofErr w:type="spellStart"/>
      <w:r>
        <w:t>Estimating</w:t>
      </w:r>
      <w:proofErr w:type="spellEnd"/>
      <w:r>
        <w:t xml:space="preserve"> </w:t>
      </w:r>
      <w:proofErr w:type="spellStart"/>
      <w:r>
        <w:t>the</w:t>
      </w:r>
      <w:proofErr w:type="spellEnd"/>
      <w:r w:rsidR="00BA784F">
        <w:t xml:space="preserve"> </w:t>
      </w:r>
      <w:proofErr w:type="spellStart"/>
      <w:r>
        <w:t>e</w:t>
      </w:r>
      <w:r w:rsidR="002835FB">
        <w:t>ff</w:t>
      </w:r>
      <w:r>
        <w:t>ect</w:t>
      </w:r>
      <w:proofErr w:type="spellEnd"/>
      <w:r>
        <w:t xml:space="preserve"> </w:t>
      </w:r>
      <w:proofErr w:type="spellStart"/>
      <w:r>
        <w:t>of</w:t>
      </w:r>
      <w:proofErr w:type="spellEnd"/>
      <w:r>
        <w:t xml:space="preserve"> </w:t>
      </w:r>
      <w:proofErr w:type="spellStart"/>
      <w:r>
        <w:t>California</w:t>
      </w:r>
      <w:r w:rsidR="002835FB">
        <w:t>’</w:t>
      </w:r>
      <w:r>
        <w:t>s</w:t>
      </w:r>
      <w:proofErr w:type="spellEnd"/>
      <w:r>
        <w:t xml:space="preserve"> </w:t>
      </w:r>
      <w:proofErr w:type="spellStart"/>
      <w:r>
        <w:t>tobacco</w:t>
      </w:r>
      <w:proofErr w:type="spellEnd"/>
      <w:r>
        <w:t xml:space="preserve"> </w:t>
      </w:r>
      <w:proofErr w:type="spellStart"/>
      <w:r>
        <w:t>control</w:t>
      </w:r>
      <w:proofErr w:type="spellEnd"/>
      <w:r>
        <w:t xml:space="preserve"> </w:t>
      </w:r>
      <w:proofErr w:type="spellStart"/>
      <w:r>
        <w:t>program</w:t>
      </w:r>
      <w:proofErr w:type="spellEnd"/>
      <w:r>
        <w:t xml:space="preserve">. </w:t>
      </w:r>
      <w:proofErr w:type="spellStart"/>
      <w:r w:rsidRPr="00BD47FC">
        <w:rPr>
          <w:i/>
        </w:rPr>
        <w:t>Journal</w:t>
      </w:r>
      <w:proofErr w:type="spellEnd"/>
      <w:r w:rsidRPr="00BD47FC">
        <w:rPr>
          <w:i/>
        </w:rPr>
        <w:t xml:space="preserve"> </w:t>
      </w:r>
      <w:proofErr w:type="spellStart"/>
      <w:r w:rsidRPr="00BD47FC">
        <w:rPr>
          <w:i/>
        </w:rPr>
        <w:t>of</w:t>
      </w:r>
      <w:proofErr w:type="spellEnd"/>
      <w:r w:rsidRPr="00BD47FC">
        <w:rPr>
          <w:i/>
        </w:rPr>
        <w:t xml:space="preserve"> </w:t>
      </w:r>
      <w:proofErr w:type="spellStart"/>
      <w:r w:rsidRPr="00BD47FC">
        <w:rPr>
          <w:i/>
        </w:rPr>
        <w:t>the</w:t>
      </w:r>
      <w:proofErr w:type="spellEnd"/>
      <w:r w:rsidRPr="00BD47FC">
        <w:rPr>
          <w:i/>
        </w:rPr>
        <w:t xml:space="preserve"> American </w:t>
      </w:r>
      <w:proofErr w:type="spellStart"/>
      <w:r w:rsidRPr="00BD47FC">
        <w:rPr>
          <w:i/>
        </w:rPr>
        <w:t>Statistical</w:t>
      </w:r>
      <w:proofErr w:type="spellEnd"/>
      <w:r w:rsidRPr="00BD47FC">
        <w:rPr>
          <w:i/>
        </w:rPr>
        <w:t xml:space="preserve"> </w:t>
      </w:r>
      <w:proofErr w:type="spellStart"/>
      <w:r w:rsidRPr="00BD47FC">
        <w:rPr>
          <w:i/>
        </w:rPr>
        <w:t>Association</w:t>
      </w:r>
      <w:proofErr w:type="spellEnd"/>
      <w:r>
        <w:t>, 105(490), 493-505, 2010.</w:t>
      </w:r>
    </w:p>
    <w:p w:rsidR="00653CD6" w:rsidRDefault="00653CD6" w:rsidP="00653CD6">
      <w:pPr>
        <w:pStyle w:val="BNDES"/>
      </w:pPr>
      <w:r>
        <w:t xml:space="preserve">ABADIE, A., DIAMOND, A., &amp; HAINMUELLER, J. </w:t>
      </w:r>
      <w:proofErr w:type="spellStart"/>
      <w:r>
        <w:t>Synth</w:t>
      </w:r>
      <w:proofErr w:type="spellEnd"/>
      <w:r>
        <w:t xml:space="preserve">: </w:t>
      </w:r>
      <w:proofErr w:type="spellStart"/>
      <w:r>
        <w:t>An</w:t>
      </w:r>
      <w:proofErr w:type="spellEnd"/>
      <w:r>
        <w:t xml:space="preserve"> R </w:t>
      </w:r>
      <w:proofErr w:type="spellStart"/>
      <w:r>
        <w:t>Package</w:t>
      </w:r>
      <w:proofErr w:type="spellEnd"/>
      <w:r>
        <w:t xml:space="preserve"> for </w:t>
      </w:r>
      <w:proofErr w:type="spellStart"/>
      <w:r>
        <w:t>Synthetic</w:t>
      </w:r>
      <w:proofErr w:type="spellEnd"/>
      <w:r>
        <w:t xml:space="preserve"> </w:t>
      </w:r>
      <w:proofErr w:type="spellStart"/>
      <w:r>
        <w:t>Control</w:t>
      </w:r>
      <w:proofErr w:type="spellEnd"/>
      <w:r>
        <w:t xml:space="preserve"> </w:t>
      </w:r>
      <w:proofErr w:type="spellStart"/>
      <w:r>
        <w:t>Methods</w:t>
      </w:r>
      <w:proofErr w:type="spellEnd"/>
      <w:r>
        <w:t xml:space="preserve"> in </w:t>
      </w:r>
      <w:proofErr w:type="spellStart"/>
      <w:r>
        <w:t>Comparative</w:t>
      </w:r>
      <w:proofErr w:type="spellEnd"/>
      <w:r>
        <w:t xml:space="preserve"> Case </w:t>
      </w:r>
      <w:proofErr w:type="spellStart"/>
      <w:r>
        <w:t>Studies</w:t>
      </w:r>
      <w:proofErr w:type="spellEnd"/>
      <w:r>
        <w:t xml:space="preserve">. </w:t>
      </w:r>
      <w:proofErr w:type="spellStart"/>
      <w:r w:rsidRPr="00653CD6">
        <w:rPr>
          <w:i/>
        </w:rPr>
        <w:t>Journal</w:t>
      </w:r>
      <w:proofErr w:type="spellEnd"/>
      <w:r w:rsidRPr="00653CD6">
        <w:rPr>
          <w:i/>
        </w:rPr>
        <w:t xml:space="preserve"> </w:t>
      </w:r>
      <w:proofErr w:type="spellStart"/>
      <w:r w:rsidRPr="00653CD6">
        <w:rPr>
          <w:i/>
        </w:rPr>
        <w:t>of</w:t>
      </w:r>
      <w:proofErr w:type="spellEnd"/>
      <w:r w:rsidRPr="00653CD6">
        <w:rPr>
          <w:i/>
        </w:rPr>
        <w:t xml:space="preserve"> </w:t>
      </w:r>
      <w:proofErr w:type="spellStart"/>
      <w:r w:rsidRPr="00653CD6">
        <w:rPr>
          <w:i/>
        </w:rPr>
        <w:t>Statistical</w:t>
      </w:r>
      <w:proofErr w:type="spellEnd"/>
      <w:r w:rsidRPr="00653CD6">
        <w:rPr>
          <w:i/>
        </w:rPr>
        <w:t xml:space="preserve"> Software</w:t>
      </w:r>
      <w:r>
        <w:t xml:space="preserve">, </w:t>
      </w:r>
      <w:r w:rsidR="00FC3605">
        <w:t xml:space="preserve">v. </w:t>
      </w:r>
      <w:r>
        <w:t>42</w:t>
      </w:r>
      <w:r w:rsidR="00FC3605">
        <w:t xml:space="preserve">, n. </w:t>
      </w:r>
      <w:r>
        <w:t>13, jun. 2011.</w:t>
      </w:r>
    </w:p>
    <w:p w:rsidR="00BC3F8A" w:rsidRDefault="00BC3F8A" w:rsidP="00BC3F8A">
      <w:pPr>
        <w:pStyle w:val="BNDES"/>
      </w:pPr>
      <w:r>
        <w:t xml:space="preserve">ABADIE, A., DIAMOND, A., &amp; HAINMUELLER, J. </w:t>
      </w:r>
      <w:proofErr w:type="spellStart"/>
      <w:r>
        <w:t>Comparative</w:t>
      </w:r>
      <w:proofErr w:type="spellEnd"/>
      <w:r>
        <w:t xml:space="preserve"> </w:t>
      </w:r>
      <w:proofErr w:type="spellStart"/>
      <w:r>
        <w:t>politics</w:t>
      </w:r>
      <w:proofErr w:type="spellEnd"/>
      <w:r>
        <w:t xml:space="preserve"> </w:t>
      </w:r>
      <w:proofErr w:type="spellStart"/>
      <w:r>
        <w:t>and</w:t>
      </w:r>
      <w:proofErr w:type="spellEnd"/>
      <w:r>
        <w:t xml:space="preserve"> </w:t>
      </w:r>
      <w:proofErr w:type="spellStart"/>
      <w:r>
        <w:t>the</w:t>
      </w:r>
      <w:proofErr w:type="spellEnd"/>
      <w:r>
        <w:t xml:space="preserve"> </w:t>
      </w:r>
      <w:proofErr w:type="spellStart"/>
      <w:r>
        <w:t>synthetic</w:t>
      </w:r>
      <w:proofErr w:type="spellEnd"/>
      <w:r>
        <w:t xml:space="preserve"> </w:t>
      </w:r>
      <w:proofErr w:type="spellStart"/>
      <w:r>
        <w:t>control</w:t>
      </w:r>
      <w:proofErr w:type="spellEnd"/>
      <w:r>
        <w:t xml:space="preserve"> </w:t>
      </w:r>
      <w:proofErr w:type="spellStart"/>
      <w:r>
        <w:t>method</w:t>
      </w:r>
      <w:proofErr w:type="spellEnd"/>
      <w:r>
        <w:t xml:space="preserve">. </w:t>
      </w:r>
      <w:r w:rsidRPr="00BD47FC">
        <w:rPr>
          <w:i/>
        </w:rPr>
        <w:t xml:space="preserve">American </w:t>
      </w:r>
      <w:proofErr w:type="spellStart"/>
      <w:r w:rsidRPr="00BD47FC">
        <w:rPr>
          <w:i/>
        </w:rPr>
        <w:t>Journal</w:t>
      </w:r>
      <w:proofErr w:type="spellEnd"/>
      <w:r w:rsidRPr="00BD47FC">
        <w:rPr>
          <w:i/>
        </w:rPr>
        <w:t xml:space="preserve"> </w:t>
      </w:r>
      <w:proofErr w:type="spellStart"/>
      <w:r w:rsidRPr="00BD47FC">
        <w:rPr>
          <w:i/>
        </w:rPr>
        <w:t>of</w:t>
      </w:r>
      <w:proofErr w:type="spellEnd"/>
      <w:r w:rsidR="00BA784F" w:rsidRPr="00BD47FC">
        <w:rPr>
          <w:i/>
        </w:rPr>
        <w:t xml:space="preserve"> </w:t>
      </w:r>
      <w:proofErr w:type="spellStart"/>
      <w:r w:rsidRPr="00BD47FC">
        <w:rPr>
          <w:i/>
        </w:rPr>
        <w:t>Political</w:t>
      </w:r>
      <w:proofErr w:type="spellEnd"/>
      <w:r w:rsidRPr="00BD47FC">
        <w:rPr>
          <w:i/>
        </w:rPr>
        <w:t xml:space="preserve"> Science</w:t>
      </w:r>
      <w:r>
        <w:t>, 59(2), 495-510, 2015.</w:t>
      </w:r>
    </w:p>
    <w:p w:rsidR="00FD0B67" w:rsidRDefault="00FD0B67" w:rsidP="00BC3F8A">
      <w:pPr>
        <w:pStyle w:val="BNDES"/>
      </w:pPr>
      <w:r w:rsidRPr="00FD6372">
        <w:t>ALBUQUERQUE</w:t>
      </w:r>
      <w:r>
        <w:t>, B.;</w:t>
      </w:r>
      <w:r w:rsidRPr="00FD6372">
        <w:t xml:space="preserve"> BUCHBINDER</w:t>
      </w:r>
      <w:r>
        <w:t>, F.;</w:t>
      </w:r>
      <w:r w:rsidRPr="00FD6372">
        <w:t xml:space="preserve"> GRIMALDI</w:t>
      </w:r>
      <w:r>
        <w:t xml:space="preserve">, </w:t>
      </w:r>
      <w:proofErr w:type="gramStart"/>
      <w:r>
        <w:t>D.</w:t>
      </w:r>
      <w:proofErr w:type="gramEnd"/>
      <w:r>
        <w:t>;</w:t>
      </w:r>
      <w:r w:rsidRPr="00FD6372">
        <w:t xml:space="preserve"> MARTINI,</w:t>
      </w:r>
      <w:r>
        <w:t xml:space="preserve"> R.;</w:t>
      </w:r>
      <w:r w:rsidRPr="00FD6372">
        <w:t xml:space="preserve"> PEREIRA,</w:t>
      </w:r>
      <w:r>
        <w:t xml:space="preserve"> J. P.;</w:t>
      </w:r>
      <w:r w:rsidRPr="00FD6372">
        <w:t xml:space="preserve"> PINTO</w:t>
      </w:r>
      <w:r>
        <w:t>, A.;</w:t>
      </w:r>
      <w:r w:rsidRPr="00FD6372">
        <w:t xml:space="preserve"> TORTORELLI,</w:t>
      </w:r>
      <w:r>
        <w:t xml:space="preserve"> M.</w:t>
      </w:r>
      <w:r w:rsidRPr="00FD6372">
        <w:t xml:space="preserve"> </w:t>
      </w:r>
      <w:r w:rsidRPr="00FD6372">
        <w:rPr>
          <w:i/>
        </w:rPr>
        <w:t xml:space="preserve">Uma solução automatizada para avaliações quantitativas de impacto: primeiros resultados do </w:t>
      </w:r>
      <w:proofErr w:type="spellStart"/>
      <w:proofErr w:type="gramStart"/>
      <w:r w:rsidRPr="00FD6372">
        <w:rPr>
          <w:i/>
        </w:rPr>
        <w:t>MARVIm</w:t>
      </w:r>
      <w:proofErr w:type="spellEnd"/>
      <w:proofErr w:type="gramEnd"/>
      <w:r w:rsidRPr="00FD6372">
        <w:t xml:space="preserve">. </w:t>
      </w:r>
      <w:r>
        <w:t>2017.</w:t>
      </w:r>
    </w:p>
    <w:p w:rsidR="00BC3F8A" w:rsidRDefault="00BC3F8A" w:rsidP="00BC3F8A">
      <w:pPr>
        <w:pStyle w:val="BNDES"/>
      </w:pPr>
      <w:r>
        <w:t>AMARANTE, O</w:t>
      </w:r>
      <w:proofErr w:type="gramStart"/>
      <w:r>
        <w:t>.;</w:t>
      </w:r>
      <w:proofErr w:type="gramEnd"/>
      <w:r>
        <w:t xml:space="preserve"> ZACK, M.; SÁ, A. </w:t>
      </w:r>
      <w:r w:rsidRPr="00BD47FC">
        <w:rPr>
          <w:i/>
        </w:rPr>
        <w:t>Atlas do Potencial Eólico Brasileiro</w:t>
      </w:r>
      <w:r>
        <w:t>. 2001.</w:t>
      </w:r>
    </w:p>
    <w:p w:rsidR="00BC03F8" w:rsidRDefault="00BC03F8" w:rsidP="00BC3F8A">
      <w:pPr>
        <w:pStyle w:val="BNDES"/>
      </w:pPr>
      <w:r>
        <w:t>ASSUNÇÃO, J</w:t>
      </w:r>
      <w:proofErr w:type="gramStart"/>
      <w:r>
        <w:t>.;</w:t>
      </w:r>
      <w:proofErr w:type="gramEnd"/>
      <w:r>
        <w:t xml:space="preserve"> COSTA, F.; SZERMAN, D. </w:t>
      </w:r>
      <w:r w:rsidRPr="00BC03F8">
        <w:rPr>
          <w:i/>
        </w:rPr>
        <w:t xml:space="preserve">Local </w:t>
      </w:r>
      <w:proofErr w:type="spellStart"/>
      <w:r w:rsidRPr="00BC03F8">
        <w:rPr>
          <w:i/>
        </w:rPr>
        <w:t>Socioeconomic</w:t>
      </w:r>
      <w:proofErr w:type="spellEnd"/>
      <w:r w:rsidRPr="00BC03F8">
        <w:rPr>
          <w:i/>
        </w:rPr>
        <w:t xml:space="preserve"> </w:t>
      </w:r>
      <w:proofErr w:type="spellStart"/>
      <w:r w:rsidRPr="00BC03F8">
        <w:rPr>
          <w:i/>
        </w:rPr>
        <w:t>Impacts</w:t>
      </w:r>
      <w:proofErr w:type="spellEnd"/>
      <w:r w:rsidRPr="00BC03F8">
        <w:rPr>
          <w:i/>
        </w:rPr>
        <w:t xml:space="preserve"> </w:t>
      </w:r>
      <w:proofErr w:type="spellStart"/>
      <w:r w:rsidRPr="00BC03F8">
        <w:rPr>
          <w:i/>
        </w:rPr>
        <w:t>of</w:t>
      </w:r>
      <w:proofErr w:type="spellEnd"/>
      <w:r w:rsidRPr="00BC03F8">
        <w:rPr>
          <w:i/>
        </w:rPr>
        <w:t xml:space="preserve"> </w:t>
      </w:r>
      <w:proofErr w:type="spellStart"/>
      <w:r w:rsidRPr="00BC03F8">
        <w:rPr>
          <w:i/>
        </w:rPr>
        <w:t>Brazilian</w:t>
      </w:r>
      <w:proofErr w:type="spellEnd"/>
      <w:r w:rsidRPr="00BC03F8">
        <w:rPr>
          <w:i/>
        </w:rPr>
        <w:t xml:space="preserve"> </w:t>
      </w:r>
      <w:proofErr w:type="spellStart"/>
      <w:r w:rsidRPr="00BC03F8">
        <w:rPr>
          <w:i/>
        </w:rPr>
        <w:t>Hydroelectric</w:t>
      </w:r>
      <w:proofErr w:type="spellEnd"/>
      <w:r w:rsidRPr="00BC03F8">
        <w:rPr>
          <w:i/>
        </w:rPr>
        <w:t xml:space="preserve"> Power </w:t>
      </w:r>
      <w:proofErr w:type="spellStart"/>
      <w:r w:rsidRPr="00BC03F8">
        <w:rPr>
          <w:i/>
        </w:rPr>
        <w:t>Plants</w:t>
      </w:r>
      <w:proofErr w:type="spellEnd"/>
      <w:r>
        <w:t>. 2016.</w:t>
      </w:r>
    </w:p>
    <w:p w:rsidR="00BC3F8A" w:rsidRDefault="00BC3F8A" w:rsidP="00BC3F8A">
      <w:pPr>
        <w:pStyle w:val="BNDES"/>
      </w:pPr>
      <w:r>
        <w:t>COSTA, R. C.; PRATES, C. P. T.</w:t>
      </w:r>
      <w:r w:rsidR="002835FB">
        <w:t xml:space="preserve"> </w:t>
      </w:r>
      <w:r>
        <w:t>O</w:t>
      </w:r>
      <w:r w:rsidR="002835FB">
        <w:t xml:space="preserve"> </w:t>
      </w:r>
      <w:r>
        <w:t>Papel das Fontes Renováveis de Energia no Desenvolvimento do Setor Energético e Barreiras</w:t>
      </w:r>
      <w:r w:rsidR="00BA784F">
        <w:t xml:space="preserve"> </w:t>
      </w:r>
      <w:r>
        <w:t xml:space="preserve">à sua Penetração no Mercado. </w:t>
      </w:r>
      <w:r w:rsidRPr="00BD47FC">
        <w:rPr>
          <w:i/>
        </w:rPr>
        <w:t>BNDES Setorial</w:t>
      </w:r>
      <w:r>
        <w:t>, n. 21, p. 5-30, mar. 2005.</w:t>
      </w:r>
    </w:p>
    <w:p w:rsidR="00BC3F8A" w:rsidRDefault="00BC3F8A" w:rsidP="00BC3F8A">
      <w:pPr>
        <w:pStyle w:val="BNDES"/>
      </w:pPr>
      <w:r>
        <w:t xml:space="preserve">COSTA, </w:t>
      </w:r>
      <w:r w:rsidR="004A1B2C">
        <w:t xml:space="preserve">R.; </w:t>
      </w:r>
      <w:r>
        <w:t>CASOTTI</w:t>
      </w:r>
      <w:r w:rsidR="004A1B2C">
        <w:t>, B.;</w:t>
      </w:r>
      <w:r>
        <w:t xml:space="preserve"> AZEVEDO</w:t>
      </w:r>
      <w:r w:rsidR="004A1B2C">
        <w:t>, R.</w:t>
      </w:r>
      <w:r>
        <w:t xml:space="preserve"> Um</w:t>
      </w:r>
      <w:r w:rsidR="002835FB">
        <w:t xml:space="preserve"> </w:t>
      </w:r>
      <w:r>
        <w:t xml:space="preserve">Panorama da Indústria de Bens de Capital Relacionados à Energia Eólica - </w:t>
      </w:r>
      <w:r w:rsidRPr="00BD47FC">
        <w:rPr>
          <w:i/>
        </w:rPr>
        <w:t>BNDES Setorial</w:t>
      </w:r>
      <w:r>
        <w:t>,</w:t>
      </w:r>
      <w:r w:rsidR="00BA784F">
        <w:t xml:space="preserve"> </w:t>
      </w:r>
      <w:r>
        <w:t>2009.</w:t>
      </w:r>
    </w:p>
    <w:p w:rsidR="00021E57" w:rsidRDefault="00021E57" w:rsidP="00021E57">
      <w:pPr>
        <w:pStyle w:val="BNDES"/>
      </w:pPr>
      <w:r w:rsidRPr="00FD6372">
        <w:t>GRIMALDI</w:t>
      </w:r>
      <w:r>
        <w:t xml:space="preserve">, </w:t>
      </w:r>
      <w:proofErr w:type="gramStart"/>
      <w:r>
        <w:t>D.</w:t>
      </w:r>
      <w:proofErr w:type="gramEnd"/>
      <w:r>
        <w:t>;</w:t>
      </w:r>
      <w:r w:rsidRPr="00FD6372">
        <w:t xml:space="preserve"> MARTINI,</w:t>
      </w:r>
      <w:r>
        <w:t xml:space="preserve"> R.; </w:t>
      </w:r>
      <w:r w:rsidRPr="00FD6372">
        <w:t>PEREIRA,</w:t>
      </w:r>
      <w:r>
        <w:t xml:space="preserve"> J. P.;</w:t>
      </w:r>
      <w:r w:rsidRPr="00FD6372">
        <w:t xml:space="preserve"> </w:t>
      </w:r>
      <w:r>
        <w:t xml:space="preserve">JORDÃO, M.; </w:t>
      </w:r>
      <w:r w:rsidRPr="00FD6372">
        <w:t>TORTORELLI,</w:t>
      </w:r>
      <w:r>
        <w:t xml:space="preserve"> M.</w:t>
      </w:r>
      <w:r w:rsidRPr="00FD6372">
        <w:t xml:space="preserve"> </w:t>
      </w:r>
      <w:r w:rsidRPr="00FD6372">
        <w:rPr>
          <w:i/>
        </w:rPr>
        <w:t>Uma solução automatizada para avaliações de impacto</w:t>
      </w:r>
      <w:r>
        <w:rPr>
          <w:i/>
        </w:rPr>
        <w:t xml:space="preserve"> em estudos de caso</w:t>
      </w:r>
      <w:r w:rsidRPr="00FD6372">
        <w:rPr>
          <w:i/>
        </w:rPr>
        <w:t xml:space="preserve">: </w:t>
      </w:r>
      <w:r>
        <w:rPr>
          <w:i/>
        </w:rPr>
        <w:t>o</w:t>
      </w:r>
      <w:r w:rsidRPr="00FD6372">
        <w:rPr>
          <w:i/>
        </w:rPr>
        <w:t xml:space="preserve"> </w:t>
      </w:r>
      <w:proofErr w:type="spellStart"/>
      <w:proofErr w:type="gramStart"/>
      <w:r w:rsidRPr="00FD6372">
        <w:rPr>
          <w:i/>
        </w:rPr>
        <w:t>MARVIm</w:t>
      </w:r>
      <w:proofErr w:type="spellEnd"/>
      <w:proofErr w:type="gramEnd"/>
      <w:r>
        <w:rPr>
          <w:i/>
        </w:rPr>
        <w:t xml:space="preserve"> Módulo de Controle Sintético</w:t>
      </w:r>
      <w:r w:rsidRPr="00FD6372">
        <w:t>.</w:t>
      </w:r>
      <w:r w:rsidR="008A3851">
        <w:t xml:space="preserve"> </w:t>
      </w:r>
      <w:r>
        <w:t>2018</w:t>
      </w:r>
      <w:r w:rsidR="008A3851">
        <w:t>, no prelo</w:t>
      </w:r>
      <w:r>
        <w:t>.</w:t>
      </w:r>
    </w:p>
    <w:p w:rsidR="00214EBC" w:rsidRDefault="00214EBC" w:rsidP="00BC3F8A">
      <w:pPr>
        <w:pStyle w:val="BNDES"/>
      </w:pPr>
      <w:r w:rsidRPr="00214EBC">
        <w:t xml:space="preserve">KONZEN, E. </w:t>
      </w:r>
      <w:r w:rsidRPr="00214EBC">
        <w:rPr>
          <w:i/>
        </w:rPr>
        <w:t xml:space="preserve">Penalizações tipo Lasso na seleção de </w:t>
      </w:r>
      <w:proofErr w:type="spellStart"/>
      <w:r w:rsidRPr="00214EBC">
        <w:rPr>
          <w:i/>
        </w:rPr>
        <w:t>covariáveis</w:t>
      </w:r>
      <w:proofErr w:type="spellEnd"/>
      <w:r w:rsidRPr="00214EBC">
        <w:rPr>
          <w:i/>
        </w:rPr>
        <w:t xml:space="preserve"> em séries temporais</w:t>
      </w:r>
      <w:r w:rsidRPr="00214EBC">
        <w:t xml:space="preserve">. </w:t>
      </w:r>
      <w:r>
        <w:t xml:space="preserve">Dissertação de </w:t>
      </w:r>
      <w:r w:rsidRPr="00214EBC">
        <w:t>Mestr</w:t>
      </w:r>
      <w:r>
        <w:t>ado</w:t>
      </w:r>
      <w:r w:rsidRPr="00214EBC">
        <w:t xml:space="preserve"> em Economia. </w:t>
      </w:r>
      <w:r>
        <w:t>Universidade Federal do Rio Grande do Sul</w:t>
      </w:r>
      <w:r w:rsidRPr="00214EBC">
        <w:t>, Faculdade de Ciências Econômicas.</w:t>
      </w:r>
      <w:r>
        <w:t xml:space="preserve"> 2014</w:t>
      </w:r>
      <w:r w:rsidRPr="00214EBC">
        <w:t xml:space="preserve">. </w:t>
      </w:r>
    </w:p>
    <w:p w:rsidR="00BC3F8A" w:rsidRDefault="00BC3F8A" w:rsidP="00BC3F8A">
      <w:pPr>
        <w:pStyle w:val="BNDES"/>
      </w:pPr>
      <w:r>
        <w:t xml:space="preserve">LAGE, E. S.; PROCESSI, L. D. Panorama do Setor de Energia Eólica. </w:t>
      </w:r>
      <w:r w:rsidRPr="00BD47FC">
        <w:rPr>
          <w:i/>
        </w:rPr>
        <w:t>Revista do BNDES</w:t>
      </w:r>
      <w:r>
        <w:t>, v. 39, junho, 2013.</w:t>
      </w:r>
    </w:p>
    <w:p w:rsidR="00BC3F8A" w:rsidRDefault="00BC3F8A" w:rsidP="00BC3F8A">
      <w:pPr>
        <w:pStyle w:val="BNDES"/>
      </w:pPr>
      <w:r>
        <w:t xml:space="preserve">RESENDE, B. C. M. </w:t>
      </w:r>
      <w:r w:rsidRPr="00BD47FC">
        <w:rPr>
          <w:i/>
        </w:rPr>
        <w:t>O Efeito da Implantação de Usinas Eólicas sobre o Preço dos Alugueis</w:t>
      </w:r>
      <w:r w:rsidR="00BD47FC">
        <w:t>.</w:t>
      </w:r>
      <w:r>
        <w:t xml:space="preserve"> Pontifícia Universidade Católica do</w:t>
      </w:r>
      <w:r w:rsidR="00BA784F">
        <w:t xml:space="preserve"> </w:t>
      </w:r>
      <w:r>
        <w:t>Rio de Janeiro, Departamento de Economia, Monografia de Final de Curso. 2015.</w:t>
      </w:r>
    </w:p>
    <w:p w:rsidR="00BC3F8A" w:rsidRDefault="00BC3F8A" w:rsidP="00BC3F8A">
      <w:pPr>
        <w:pStyle w:val="BNDES"/>
      </w:pPr>
      <w:r>
        <w:t>RINTZEL, L. T.; ALVES, T. W</w:t>
      </w:r>
      <w:proofErr w:type="gramStart"/>
      <w:r>
        <w:t>.;</w:t>
      </w:r>
      <w:proofErr w:type="gramEnd"/>
      <w:r>
        <w:t xml:space="preserve"> MASSUQUETTI, A. </w:t>
      </w:r>
      <w:r w:rsidRPr="00BD47FC">
        <w:rPr>
          <w:i/>
        </w:rPr>
        <w:t>Análise d</w:t>
      </w:r>
      <w:r w:rsidR="00BD47FC" w:rsidRPr="00BD47FC">
        <w:rPr>
          <w:i/>
        </w:rPr>
        <w:t>o</w:t>
      </w:r>
      <w:r w:rsidRPr="00BD47FC">
        <w:rPr>
          <w:i/>
        </w:rPr>
        <w:t>s Impactos Econômicos Decorrentes da Instalação dos Parques</w:t>
      </w:r>
      <w:r w:rsidR="00BA784F" w:rsidRPr="00BD47FC">
        <w:rPr>
          <w:i/>
        </w:rPr>
        <w:t xml:space="preserve"> </w:t>
      </w:r>
      <w:r w:rsidRPr="00BD47FC">
        <w:rPr>
          <w:i/>
        </w:rPr>
        <w:t>Eólicos nos Municípios da Região S</w:t>
      </w:r>
      <w:r w:rsidR="00BD47FC" w:rsidRPr="00BD47FC">
        <w:rPr>
          <w:i/>
        </w:rPr>
        <w:t>u</w:t>
      </w:r>
      <w:r w:rsidRPr="00BD47FC">
        <w:rPr>
          <w:i/>
        </w:rPr>
        <w:t>l do Brasil</w:t>
      </w:r>
      <w:r>
        <w:t>. Anais do XX Encontro de Economia da Região Sul. 2017.</w:t>
      </w:r>
    </w:p>
    <w:p w:rsidR="00BC3F8A" w:rsidRDefault="00BC3F8A" w:rsidP="00BC3F8A">
      <w:pPr>
        <w:pStyle w:val="BNDES"/>
      </w:pPr>
      <w:r>
        <w:t xml:space="preserve">RODRIGUES, T. P.; GONÇALVES, S. L.; CHAGAS, A. L. S. </w:t>
      </w:r>
      <w:r w:rsidRPr="00BD47FC">
        <w:rPr>
          <w:i/>
        </w:rPr>
        <w:t>Usinas Eólicas e o Mercado de Trabalho nos Municípios do Nordeste</w:t>
      </w:r>
      <w:r w:rsidR="00BA784F" w:rsidRPr="00BD47FC">
        <w:rPr>
          <w:i/>
        </w:rPr>
        <w:t xml:space="preserve"> </w:t>
      </w:r>
      <w:r w:rsidRPr="00BD47FC">
        <w:rPr>
          <w:i/>
        </w:rPr>
        <w:t>Brasileiro</w:t>
      </w:r>
      <w:r>
        <w:t>. 2016.</w:t>
      </w:r>
    </w:p>
    <w:p w:rsidR="00214EBC" w:rsidRDefault="00214EBC" w:rsidP="00214EBC">
      <w:pPr>
        <w:pStyle w:val="BNDES"/>
      </w:pPr>
      <w:r>
        <w:t xml:space="preserve">SIMAS, M. S. </w:t>
      </w:r>
      <w:r w:rsidRPr="00BD47FC">
        <w:rPr>
          <w:i/>
        </w:rPr>
        <w:t>Energia Eólica e Desenvolvimento Sustentável no Brasil: Estimativa da Geração de Empregos por meio de uma matriz Insumo-Produto Ampliada</w:t>
      </w:r>
      <w:r>
        <w:t>. Dissertação apresentada ao Programa de Pós-Graduação em Energia da Universidade de São Paulo para a obtenção do título de Mestre em Ciências. 2012.</w:t>
      </w:r>
    </w:p>
    <w:p w:rsidR="00214EBC" w:rsidRDefault="00214EBC" w:rsidP="00214EBC">
      <w:pPr>
        <w:pStyle w:val="BNDES"/>
      </w:pPr>
      <w:r>
        <w:t xml:space="preserve">TIBSHIRANI, R. </w:t>
      </w:r>
      <w:proofErr w:type="spellStart"/>
      <w:r>
        <w:t>Regression</w:t>
      </w:r>
      <w:proofErr w:type="spellEnd"/>
      <w:r>
        <w:t xml:space="preserve"> </w:t>
      </w:r>
      <w:proofErr w:type="spellStart"/>
      <w:r>
        <w:t>shrinkage</w:t>
      </w:r>
      <w:proofErr w:type="spellEnd"/>
      <w:r>
        <w:t xml:space="preserve"> </w:t>
      </w:r>
      <w:proofErr w:type="spellStart"/>
      <w:r>
        <w:t>and</w:t>
      </w:r>
      <w:proofErr w:type="spellEnd"/>
      <w:r>
        <w:t xml:space="preserve"> </w:t>
      </w:r>
      <w:proofErr w:type="spellStart"/>
      <w:r>
        <w:t>selection</w:t>
      </w:r>
      <w:proofErr w:type="spellEnd"/>
      <w:r>
        <w:t xml:space="preserve"> via </w:t>
      </w:r>
      <w:proofErr w:type="spellStart"/>
      <w:r>
        <w:t>the</w:t>
      </w:r>
      <w:proofErr w:type="spellEnd"/>
      <w:r>
        <w:t xml:space="preserve"> lasso. </w:t>
      </w:r>
      <w:proofErr w:type="spellStart"/>
      <w:r w:rsidRPr="00214EBC">
        <w:rPr>
          <w:i/>
        </w:rPr>
        <w:t>Journal</w:t>
      </w:r>
      <w:proofErr w:type="spellEnd"/>
      <w:r w:rsidRPr="00214EBC">
        <w:rPr>
          <w:i/>
        </w:rPr>
        <w:t xml:space="preserve"> </w:t>
      </w:r>
      <w:proofErr w:type="spellStart"/>
      <w:r w:rsidRPr="00214EBC">
        <w:rPr>
          <w:i/>
        </w:rPr>
        <w:t>of</w:t>
      </w:r>
      <w:proofErr w:type="spellEnd"/>
      <w:r w:rsidRPr="00214EBC">
        <w:rPr>
          <w:i/>
        </w:rPr>
        <w:t xml:space="preserve"> </w:t>
      </w:r>
      <w:proofErr w:type="spellStart"/>
      <w:r w:rsidRPr="00214EBC">
        <w:rPr>
          <w:i/>
        </w:rPr>
        <w:t>the</w:t>
      </w:r>
      <w:proofErr w:type="spellEnd"/>
      <w:r w:rsidRPr="00214EBC">
        <w:rPr>
          <w:i/>
        </w:rPr>
        <w:t xml:space="preserve"> Royal </w:t>
      </w:r>
      <w:proofErr w:type="spellStart"/>
      <w:r w:rsidRPr="00214EBC">
        <w:rPr>
          <w:i/>
        </w:rPr>
        <w:t>Statistical</w:t>
      </w:r>
      <w:proofErr w:type="spellEnd"/>
      <w:r w:rsidRPr="00214EBC">
        <w:rPr>
          <w:i/>
        </w:rPr>
        <w:t xml:space="preserve"> </w:t>
      </w:r>
      <w:proofErr w:type="spellStart"/>
      <w:r w:rsidRPr="00214EBC">
        <w:rPr>
          <w:i/>
        </w:rPr>
        <w:t>Society</w:t>
      </w:r>
      <w:proofErr w:type="spellEnd"/>
      <w:r>
        <w:t>. Series B (</w:t>
      </w:r>
      <w:proofErr w:type="spellStart"/>
      <w:r>
        <w:t>Methodological</w:t>
      </w:r>
      <w:proofErr w:type="spellEnd"/>
      <w:r>
        <w:t>), v. 58, 267-288, 1996.</w:t>
      </w:r>
    </w:p>
    <w:p w:rsidR="00A73882" w:rsidRDefault="00A73882" w:rsidP="00214EBC">
      <w:pPr>
        <w:pStyle w:val="BNDES"/>
      </w:pPr>
      <w:r w:rsidRPr="00A73882">
        <w:t>ZHAO, P.</w:t>
      </w:r>
      <w:r>
        <w:t>;</w:t>
      </w:r>
      <w:r w:rsidRPr="00A73882">
        <w:t xml:space="preserve"> YU, B. </w:t>
      </w:r>
      <w:proofErr w:type="spellStart"/>
      <w:r w:rsidRPr="00A73882">
        <w:t>On</w:t>
      </w:r>
      <w:proofErr w:type="spellEnd"/>
      <w:r w:rsidRPr="00A73882">
        <w:t xml:space="preserve"> </w:t>
      </w:r>
      <w:proofErr w:type="spellStart"/>
      <w:r w:rsidRPr="00A73882">
        <w:t>model</w:t>
      </w:r>
      <w:proofErr w:type="spellEnd"/>
      <w:r w:rsidRPr="00A73882">
        <w:t xml:space="preserve"> </w:t>
      </w:r>
      <w:proofErr w:type="spellStart"/>
      <w:r w:rsidRPr="00A73882">
        <w:t>selection</w:t>
      </w:r>
      <w:proofErr w:type="spellEnd"/>
      <w:r w:rsidRPr="00A73882">
        <w:t xml:space="preserve"> </w:t>
      </w:r>
      <w:proofErr w:type="spellStart"/>
      <w:r w:rsidRPr="00A73882">
        <w:t>consistency</w:t>
      </w:r>
      <w:proofErr w:type="spellEnd"/>
      <w:r w:rsidRPr="00A73882">
        <w:t xml:space="preserve"> </w:t>
      </w:r>
      <w:proofErr w:type="spellStart"/>
      <w:r w:rsidRPr="00A73882">
        <w:t>of</w:t>
      </w:r>
      <w:proofErr w:type="spellEnd"/>
      <w:r w:rsidRPr="00A73882">
        <w:t xml:space="preserve"> Lasso. </w:t>
      </w:r>
      <w:r w:rsidRPr="00867A7B">
        <w:rPr>
          <w:i/>
        </w:rPr>
        <w:t xml:space="preserve">The </w:t>
      </w:r>
      <w:proofErr w:type="spellStart"/>
      <w:r w:rsidRPr="00867A7B">
        <w:rPr>
          <w:i/>
        </w:rPr>
        <w:t>Journal</w:t>
      </w:r>
      <w:proofErr w:type="spellEnd"/>
      <w:r w:rsidRPr="00867A7B">
        <w:rPr>
          <w:i/>
        </w:rPr>
        <w:t xml:space="preserve"> </w:t>
      </w:r>
      <w:proofErr w:type="spellStart"/>
      <w:r w:rsidRPr="00867A7B">
        <w:rPr>
          <w:i/>
        </w:rPr>
        <w:t>of</w:t>
      </w:r>
      <w:proofErr w:type="spellEnd"/>
      <w:r w:rsidRPr="00867A7B">
        <w:rPr>
          <w:i/>
        </w:rPr>
        <w:t xml:space="preserve"> </w:t>
      </w:r>
      <w:proofErr w:type="spellStart"/>
      <w:r w:rsidRPr="00867A7B">
        <w:rPr>
          <w:i/>
        </w:rPr>
        <w:t>Machine</w:t>
      </w:r>
      <w:proofErr w:type="spellEnd"/>
      <w:r w:rsidRPr="00867A7B">
        <w:rPr>
          <w:i/>
        </w:rPr>
        <w:t xml:space="preserve"> Learning </w:t>
      </w:r>
      <w:proofErr w:type="spellStart"/>
      <w:r w:rsidRPr="00867A7B">
        <w:rPr>
          <w:i/>
        </w:rPr>
        <w:t>Research</w:t>
      </w:r>
      <w:proofErr w:type="spellEnd"/>
      <w:r w:rsidRPr="00A73882">
        <w:t>, v. 7, 2541-2563, 2016.</w:t>
      </w:r>
    </w:p>
    <w:p w:rsidR="00214EBC" w:rsidRDefault="00214EBC" w:rsidP="00214EBC">
      <w:pPr>
        <w:pStyle w:val="BNDES"/>
      </w:pPr>
      <w:r>
        <w:t xml:space="preserve">ZOU, H. </w:t>
      </w:r>
      <w:r w:rsidRPr="00214EBC">
        <w:rPr>
          <w:i/>
        </w:rPr>
        <w:t xml:space="preserve">The </w:t>
      </w:r>
      <w:proofErr w:type="spellStart"/>
      <w:r w:rsidRPr="00214EBC">
        <w:rPr>
          <w:i/>
        </w:rPr>
        <w:t>adaptive</w:t>
      </w:r>
      <w:proofErr w:type="spellEnd"/>
      <w:r w:rsidRPr="00214EBC">
        <w:rPr>
          <w:i/>
        </w:rPr>
        <w:t xml:space="preserve"> lasso </w:t>
      </w:r>
      <w:proofErr w:type="spellStart"/>
      <w:r w:rsidRPr="00214EBC">
        <w:rPr>
          <w:i/>
        </w:rPr>
        <w:t>and</w:t>
      </w:r>
      <w:proofErr w:type="spellEnd"/>
      <w:r w:rsidRPr="00214EBC">
        <w:rPr>
          <w:i/>
        </w:rPr>
        <w:t xml:space="preserve"> its </w:t>
      </w:r>
      <w:proofErr w:type="spellStart"/>
      <w:proofErr w:type="gramStart"/>
      <w:r w:rsidRPr="00214EBC">
        <w:rPr>
          <w:i/>
        </w:rPr>
        <w:t>oracle</w:t>
      </w:r>
      <w:proofErr w:type="spellEnd"/>
      <w:proofErr w:type="gramEnd"/>
      <w:r w:rsidRPr="00214EBC">
        <w:rPr>
          <w:i/>
        </w:rPr>
        <w:t xml:space="preserve"> </w:t>
      </w:r>
      <w:proofErr w:type="spellStart"/>
      <w:r w:rsidRPr="00214EBC">
        <w:rPr>
          <w:i/>
        </w:rPr>
        <w:t>properties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the</w:t>
      </w:r>
      <w:proofErr w:type="spellEnd"/>
      <w:r>
        <w:t xml:space="preserve"> American </w:t>
      </w:r>
      <w:proofErr w:type="spellStart"/>
      <w:r>
        <w:t>Statistical</w:t>
      </w:r>
      <w:proofErr w:type="spellEnd"/>
      <w:r>
        <w:t xml:space="preserve"> </w:t>
      </w:r>
      <w:proofErr w:type="spellStart"/>
      <w:r>
        <w:t>Association</w:t>
      </w:r>
      <w:proofErr w:type="spellEnd"/>
      <w:r>
        <w:t>, v. 101,1418-1429, 2006.</w:t>
      </w:r>
    </w:p>
    <w:p w:rsidR="004066C8" w:rsidRDefault="004066C8" w:rsidP="00214EBC">
      <w:pPr>
        <w:pStyle w:val="BNDES"/>
      </w:pPr>
    </w:p>
    <w:p w:rsidR="004066C8" w:rsidRDefault="004066C8" w:rsidP="00214EBC">
      <w:pPr>
        <w:pStyle w:val="BNDES"/>
      </w:pPr>
    </w:p>
    <w:p w:rsidR="004066C8" w:rsidRDefault="004066C8" w:rsidP="00214EBC">
      <w:pPr>
        <w:pStyle w:val="BNDES"/>
      </w:pPr>
    </w:p>
    <w:p w:rsidR="004066C8" w:rsidRDefault="004066C8" w:rsidP="00214EBC">
      <w:pPr>
        <w:pStyle w:val="BNDES"/>
      </w:pPr>
    </w:p>
    <w:p w:rsidR="004066C8" w:rsidRDefault="004066C8" w:rsidP="00214EBC">
      <w:pPr>
        <w:pStyle w:val="BNDES"/>
      </w:pPr>
    </w:p>
    <w:p w:rsidR="004066C8" w:rsidRDefault="004066C8" w:rsidP="00214EBC">
      <w:pPr>
        <w:pStyle w:val="BNDES"/>
      </w:pPr>
    </w:p>
    <w:p w:rsidR="008712DC" w:rsidRDefault="008712DC" w:rsidP="00214EBC">
      <w:pPr>
        <w:pStyle w:val="BNDES"/>
      </w:pPr>
    </w:p>
    <w:p w:rsidR="005943FD" w:rsidRPr="00464A85" w:rsidRDefault="005943FD" w:rsidP="00214EBC">
      <w:pPr>
        <w:pStyle w:val="BNDES"/>
        <w:rPr>
          <w:b/>
        </w:rPr>
      </w:pPr>
      <w:r w:rsidRPr="00464A85">
        <w:rPr>
          <w:b/>
        </w:rPr>
        <w:lastRenderedPageBreak/>
        <w:tab/>
        <w:t>Apêndice: Resultados das Estimações Individuais de Controle Sintético</w:t>
      </w:r>
    </w:p>
    <w:p w:rsidR="00464A85" w:rsidRDefault="00464A85" w:rsidP="00214EBC">
      <w:pPr>
        <w:pStyle w:val="BNDES"/>
      </w:pPr>
    </w:p>
    <w:p w:rsidR="005943FD" w:rsidRPr="00464A85" w:rsidRDefault="00464A85" w:rsidP="00464A85">
      <w:pPr>
        <w:pStyle w:val="BNDES"/>
        <w:jc w:val="center"/>
        <w:rPr>
          <w:b/>
        </w:rPr>
      </w:pPr>
      <w:r w:rsidRPr="00464A85">
        <w:rPr>
          <w:b/>
        </w:rPr>
        <w:t xml:space="preserve">Tabela </w:t>
      </w:r>
      <w:r w:rsidR="004066C8">
        <w:rPr>
          <w:b/>
        </w:rPr>
        <w:t>7</w:t>
      </w:r>
      <w:r w:rsidRPr="00464A85">
        <w:rPr>
          <w:b/>
        </w:rPr>
        <w:t>: Resultados das Estimações Individuais de Controle Sintético</w:t>
      </w:r>
      <w:r w:rsidR="00B61AF8">
        <w:rPr>
          <w:b/>
        </w:rPr>
        <w:t xml:space="preserve"> (%)</w:t>
      </w:r>
    </w:p>
    <w:tbl>
      <w:tblPr>
        <w:tblStyle w:val="Tabelacomgrade"/>
        <w:tblW w:w="10421" w:type="dxa"/>
        <w:tblLook w:val="04A0" w:firstRow="1" w:lastRow="0" w:firstColumn="1" w:lastColumn="0" w:noHBand="0" w:noVBand="1"/>
      </w:tblPr>
      <w:tblGrid>
        <w:gridCol w:w="3489"/>
        <w:gridCol w:w="956"/>
        <w:gridCol w:w="956"/>
        <w:gridCol w:w="996"/>
        <w:gridCol w:w="956"/>
        <w:gridCol w:w="996"/>
        <w:gridCol w:w="996"/>
        <w:gridCol w:w="1076"/>
      </w:tblGrid>
      <w:tr w:rsidR="005943FD" w:rsidRPr="00464A85" w:rsidTr="00464A85">
        <w:tc>
          <w:tcPr>
            <w:tcW w:w="3489" w:type="dxa"/>
          </w:tcPr>
          <w:p w:rsidR="005943FD" w:rsidRPr="00464A85" w:rsidRDefault="005943FD" w:rsidP="00464A85">
            <w:pPr>
              <w:jc w:val="center"/>
              <w:rPr>
                <w:b/>
              </w:rPr>
            </w:pPr>
            <w:r w:rsidRPr="00464A85">
              <w:rPr>
                <w:b/>
              </w:rPr>
              <w:t>Município</w:t>
            </w:r>
          </w:p>
        </w:tc>
        <w:tc>
          <w:tcPr>
            <w:tcW w:w="956" w:type="dxa"/>
          </w:tcPr>
          <w:p w:rsidR="005943FD" w:rsidRPr="00464A85" w:rsidRDefault="005943FD" w:rsidP="00464A85">
            <w:pPr>
              <w:jc w:val="center"/>
              <w:rPr>
                <w:b/>
              </w:rPr>
            </w:pPr>
            <w:proofErr w:type="gramStart"/>
            <w:r w:rsidRPr="00464A85">
              <w:rPr>
                <w:b/>
              </w:rPr>
              <w:t>t-3</w:t>
            </w:r>
            <w:proofErr w:type="gramEnd"/>
          </w:p>
        </w:tc>
        <w:tc>
          <w:tcPr>
            <w:tcW w:w="956" w:type="dxa"/>
          </w:tcPr>
          <w:p w:rsidR="005943FD" w:rsidRPr="00464A85" w:rsidRDefault="005943FD" w:rsidP="00464A85">
            <w:pPr>
              <w:jc w:val="center"/>
              <w:rPr>
                <w:b/>
              </w:rPr>
            </w:pPr>
            <w:proofErr w:type="gramStart"/>
            <w:r w:rsidRPr="00464A85">
              <w:rPr>
                <w:b/>
              </w:rPr>
              <w:t>t-2</w:t>
            </w:r>
            <w:proofErr w:type="gramEnd"/>
          </w:p>
        </w:tc>
        <w:tc>
          <w:tcPr>
            <w:tcW w:w="996" w:type="dxa"/>
          </w:tcPr>
          <w:p w:rsidR="005943FD" w:rsidRPr="00464A85" w:rsidRDefault="005943FD" w:rsidP="00464A85">
            <w:pPr>
              <w:jc w:val="center"/>
              <w:rPr>
                <w:b/>
              </w:rPr>
            </w:pPr>
            <w:proofErr w:type="gramStart"/>
            <w:r w:rsidRPr="00464A85">
              <w:rPr>
                <w:b/>
              </w:rPr>
              <w:t>t-1</w:t>
            </w:r>
            <w:proofErr w:type="gramEnd"/>
          </w:p>
        </w:tc>
        <w:tc>
          <w:tcPr>
            <w:tcW w:w="956" w:type="dxa"/>
          </w:tcPr>
          <w:p w:rsidR="005943FD" w:rsidRPr="00464A85" w:rsidRDefault="005943FD" w:rsidP="00464A85">
            <w:pPr>
              <w:jc w:val="center"/>
              <w:rPr>
                <w:b/>
              </w:rPr>
            </w:pPr>
            <w:r w:rsidRPr="00464A85">
              <w:rPr>
                <w:b/>
              </w:rPr>
              <w:t>t</w:t>
            </w:r>
          </w:p>
        </w:tc>
        <w:tc>
          <w:tcPr>
            <w:tcW w:w="996" w:type="dxa"/>
          </w:tcPr>
          <w:p w:rsidR="005943FD" w:rsidRPr="00464A85" w:rsidRDefault="005943FD" w:rsidP="00464A85">
            <w:pPr>
              <w:jc w:val="center"/>
              <w:rPr>
                <w:b/>
              </w:rPr>
            </w:pPr>
            <w:r w:rsidRPr="00464A85">
              <w:rPr>
                <w:b/>
              </w:rPr>
              <w:t>t+1</w:t>
            </w:r>
          </w:p>
        </w:tc>
        <w:tc>
          <w:tcPr>
            <w:tcW w:w="996" w:type="dxa"/>
          </w:tcPr>
          <w:p w:rsidR="005943FD" w:rsidRPr="00464A85" w:rsidRDefault="005943FD" w:rsidP="00464A85">
            <w:pPr>
              <w:jc w:val="center"/>
              <w:rPr>
                <w:b/>
              </w:rPr>
            </w:pPr>
            <w:r w:rsidRPr="00464A85">
              <w:rPr>
                <w:b/>
              </w:rPr>
              <w:t>t+2</w:t>
            </w:r>
          </w:p>
        </w:tc>
        <w:tc>
          <w:tcPr>
            <w:tcW w:w="1076" w:type="dxa"/>
          </w:tcPr>
          <w:p w:rsidR="005943FD" w:rsidRPr="00464A85" w:rsidRDefault="005943FD" w:rsidP="00464A85">
            <w:pPr>
              <w:jc w:val="center"/>
              <w:rPr>
                <w:b/>
              </w:rPr>
            </w:pPr>
            <w:r w:rsidRPr="00464A85">
              <w:rPr>
                <w:b/>
              </w:rPr>
              <w:t>t+3</w:t>
            </w:r>
          </w:p>
        </w:tc>
      </w:tr>
      <w:tr w:rsidR="005943FD" w:rsidTr="00464A85">
        <w:tc>
          <w:tcPr>
            <w:tcW w:w="3489" w:type="dxa"/>
          </w:tcPr>
          <w:p w:rsidR="005943FD" w:rsidRPr="0091009E" w:rsidRDefault="005943FD" w:rsidP="001C4270">
            <w:r w:rsidRPr="0091009E">
              <w:t>Acaraú - CE</w:t>
            </w:r>
          </w:p>
        </w:tc>
        <w:tc>
          <w:tcPr>
            <w:tcW w:w="956" w:type="dxa"/>
          </w:tcPr>
          <w:p w:rsidR="005943FD" w:rsidRPr="0091009E" w:rsidRDefault="005943FD" w:rsidP="00464A85">
            <w:pPr>
              <w:jc w:val="right"/>
            </w:pPr>
            <w:r w:rsidRPr="0091009E">
              <w:t>0</w:t>
            </w:r>
            <w:r w:rsidR="00464A85">
              <w:t>,00</w:t>
            </w:r>
          </w:p>
        </w:tc>
        <w:tc>
          <w:tcPr>
            <w:tcW w:w="956" w:type="dxa"/>
          </w:tcPr>
          <w:p w:rsidR="005943FD" w:rsidRPr="0091009E" w:rsidRDefault="005943FD" w:rsidP="00464A85">
            <w:pPr>
              <w:jc w:val="right"/>
            </w:pPr>
            <w:r w:rsidRPr="0091009E">
              <w:t>0</w:t>
            </w:r>
            <w:r w:rsidR="00464A85">
              <w:t>,00</w:t>
            </w:r>
          </w:p>
        </w:tc>
        <w:tc>
          <w:tcPr>
            <w:tcW w:w="996" w:type="dxa"/>
          </w:tcPr>
          <w:p w:rsidR="005943FD" w:rsidRPr="0091009E" w:rsidRDefault="00464A85" w:rsidP="00464A85">
            <w:pPr>
              <w:jc w:val="right"/>
            </w:pPr>
            <w:r w:rsidRPr="0091009E">
              <w:t>0</w:t>
            </w:r>
            <w:r>
              <w:t>,00</w:t>
            </w:r>
          </w:p>
        </w:tc>
        <w:tc>
          <w:tcPr>
            <w:tcW w:w="956" w:type="dxa"/>
          </w:tcPr>
          <w:p w:rsidR="005943FD" w:rsidRPr="0091009E" w:rsidRDefault="005943FD" w:rsidP="00464A85">
            <w:pPr>
              <w:jc w:val="right"/>
            </w:pPr>
            <w:r w:rsidRPr="0091009E">
              <w:t>-2,8</w:t>
            </w:r>
            <w:r w:rsidR="00464A85">
              <w:t>0</w:t>
            </w:r>
          </w:p>
        </w:tc>
        <w:tc>
          <w:tcPr>
            <w:tcW w:w="996" w:type="dxa"/>
          </w:tcPr>
          <w:p w:rsidR="005943FD" w:rsidRPr="0091009E" w:rsidRDefault="005943FD" w:rsidP="00464A85">
            <w:pPr>
              <w:jc w:val="right"/>
            </w:pPr>
            <w:r w:rsidRPr="0091009E">
              <w:t>6,53</w:t>
            </w:r>
          </w:p>
        </w:tc>
        <w:tc>
          <w:tcPr>
            <w:tcW w:w="996" w:type="dxa"/>
          </w:tcPr>
          <w:p w:rsidR="005943FD" w:rsidRPr="0091009E" w:rsidRDefault="005943FD" w:rsidP="00464A85">
            <w:pPr>
              <w:jc w:val="right"/>
            </w:pPr>
            <w:r w:rsidRPr="0091009E">
              <w:t>9,41</w:t>
            </w:r>
          </w:p>
        </w:tc>
        <w:tc>
          <w:tcPr>
            <w:tcW w:w="1076" w:type="dxa"/>
          </w:tcPr>
          <w:p w:rsidR="005943FD" w:rsidRPr="0091009E" w:rsidRDefault="005943FD" w:rsidP="00464A85">
            <w:pPr>
              <w:jc w:val="right"/>
            </w:pPr>
            <w:r w:rsidRPr="0091009E">
              <w:t>5,62</w:t>
            </w:r>
          </w:p>
        </w:tc>
      </w:tr>
      <w:tr w:rsidR="005943FD" w:rsidTr="00464A85">
        <w:tc>
          <w:tcPr>
            <w:tcW w:w="3489" w:type="dxa"/>
          </w:tcPr>
          <w:p w:rsidR="005943FD" w:rsidRPr="0091009E" w:rsidRDefault="005943FD" w:rsidP="001C4270">
            <w:r w:rsidRPr="0091009E">
              <w:t>Amontada - CE</w:t>
            </w:r>
          </w:p>
        </w:tc>
        <w:tc>
          <w:tcPr>
            <w:tcW w:w="956" w:type="dxa"/>
          </w:tcPr>
          <w:p w:rsidR="005943FD" w:rsidRPr="0091009E" w:rsidRDefault="005943FD" w:rsidP="00464A85">
            <w:pPr>
              <w:jc w:val="right"/>
            </w:pPr>
            <w:r w:rsidRPr="0091009E">
              <w:t>5,53</w:t>
            </w:r>
          </w:p>
        </w:tc>
        <w:tc>
          <w:tcPr>
            <w:tcW w:w="956" w:type="dxa"/>
          </w:tcPr>
          <w:p w:rsidR="005943FD" w:rsidRPr="0091009E" w:rsidRDefault="005943FD" w:rsidP="00464A85">
            <w:pPr>
              <w:jc w:val="right"/>
            </w:pPr>
            <w:r w:rsidRPr="0091009E">
              <w:t>-2,33</w:t>
            </w:r>
          </w:p>
        </w:tc>
        <w:tc>
          <w:tcPr>
            <w:tcW w:w="996" w:type="dxa"/>
          </w:tcPr>
          <w:p w:rsidR="005943FD" w:rsidRPr="0091009E" w:rsidRDefault="005943FD" w:rsidP="00464A85">
            <w:pPr>
              <w:jc w:val="right"/>
            </w:pPr>
            <w:r w:rsidRPr="0091009E">
              <w:t>-3,55</w:t>
            </w:r>
          </w:p>
        </w:tc>
        <w:tc>
          <w:tcPr>
            <w:tcW w:w="956" w:type="dxa"/>
          </w:tcPr>
          <w:p w:rsidR="005943FD" w:rsidRPr="0091009E" w:rsidRDefault="005943FD" w:rsidP="00464A85">
            <w:pPr>
              <w:jc w:val="right"/>
            </w:pPr>
            <w:r w:rsidRPr="0091009E">
              <w:t>1,84</w:t>
            </w:r>
          </w:p>
        </w:tc>
        <w:tc>
          <w:tcPr>
            <w:tcW w:w="996" w:type="dxa"/>
          </w:tcPr>
          <w:p w:rsidR="005943FD" w:rsidRPr="0091009E" w:rsidRDefault="005943FD" w:rsidP="00464A85">
            <w:pPr>
              <w:jc w:val="right"/>
            </w:pPr>
            <w:r w:rsidRPr="0091009E">
              <w:t>-4,1</w:t>
            </w:r>
            <w:r w:rsidR="00464A85">
              <w:t>0</w:t>
            </w:r>
          </w:p>
        </w:tc>
        <w:tc>
          <w:tcPr>
            <w:tcW w:w="996" w:type="dxa"/>
          </w:tcPr>
          <w:p w:rsidR="005943FD" w:rsidRPr="0091009E" w:rsidRDefault="005943FD" w:rsidP="00464A85">
            <w:pPr>
              <w:jc w:val="right"/>
            </w:pPr>
            <w:r w:rsidRPr="0091009E">
              <w:t>2,23</w:t>
            </w:r>
          </w:p>
        </w:tc>
        <w:tc>
          <w:tcPr>
            <w:tcW w:w="1076" w:type="dxa"/>
          </w:tcPr>
          <w:p w:rsidR="005943FD" w:rsidRPr="0091009E" w:rsidRDefault="005943FD" w:rsidP="00464A85">
            <w:pPr>
              <w:jc w:val="right"/>
            </w:pPr>
            <w:r w:rsidRPr="0091009E">
              <w:t>7,91</w:t>
            </w:r>
          </w:p>
        </w:tc>
      </w:tr>
      <w:tr w:rsidR="005943FD" w:rsidTr="00464A85">
        <w:tc>
          <w:tcPr>
            <w:tcW w:w="3489" w:type="dxa"/>
          </w:tcPr>
          <w:p w:rsidR="005943FD" w:rsidRPr="0091009E" w:rsidRDefault="005943FD" w:rsidP="001C4270">
            <w:r w:rsidRPr="0091009E">
              <w:t>Aracati - CE</w:t>
            </w:r>
          </w:p>
        </w:tc>
        <w:tc>
          <w:tcPr>
            <w:tcW w:w="956" w:type="dxa"/>
          </w:tcPr>
          <w:p w:rsidR="005943FD" w:rsidRPr="0091009E" w:rsidRDefault="005943FD" w:rsidP="00464A85">
            <w:pPr>
              <w:jc w:val="right"/>
            </w:pPr>
            <w:r w:rsidRPr="0091009E">
              <w:t>3,69</w:t>
            </w:r>
          </w:p>
        </w:tc>
        <w:tc>
          <w:tcPr>
            <w:tcW w:w="956" w:type="dxa"/>
          </w:tcPr>
          <w:p w:rsidR="005943FD" w:rsidRPr="0091009E" w:rsidRDefault="005943FD" w:rsidP="00464A85">
            <w:pPr>
              <w:jc w:val="right"/>
            </w:pPr>
            <w:r w:rsidRPr="0091009E">
              <w:t>-3,59</w:t>
            </w:r>
          </w:p>
        </w:tc>
        <w:tc>
          <w:tcPr>
            <w:tcW w:w="996" w:type="dxa"/>
          </w:tcPr>
          <w:p w:rsidR="005943FD" w:rsidRPr="0091009E" w:rsidRDefault="005943FD" w:rsidP="00464A85">
            <w:pPr>
              <w:jc w:val="right"/>
            </w:pPr>
            <w:r w:rsidRPr="0091009E">
              <w:t>-1,23</w:t>
            </w:r>
          </w:p>
        </w:tc>
        <w:tc>
          <w:tcPr>
            <w:tcW w:w="956" w:type="dxa"/>
          </w:tcPr>
          <w:p w:rsidR="005943FD" w:rsidRPr="0091009E" w:rsidRDefault="005943FD" w:rsidP="00464A85">
            <w:pPr>
              <w:jc w:val="right"/>
            </w:pPr>
            <w:r w:rsidRPr="0091009E">
              <w:t>-9</w:t>
            </w:r>
            <w:r w:rsidR="00464A85">
              <w:t>,00</w:t>
            </w:r>
          </w:p>
        </w:tc>
        <w:tc>
          <w:tcPr>
            <w:tcW w:w="996" w:type="dxa"/>
          </w:tcPr>
          <w:p w:rsidR="005943FD" w:rsidRPr="0091009E" w:rsidRDefault="005943FD" w:rsidP="00464A85">
            <w:pPr>
              <w:jc w:val="right"/>
            </w:pPr>
            <w:r w:rsidRPr="0091009E">
              <w:t>-8,48</w:t>
            </w:r>
          </w:p>
        </w:tc>
        <w:tc>
          <w:tcPr>
            <w:tcW w:w="996" w:type="dxa"/>
          </w:tcPr>
          <w:p w:rsidR="005943FD" w:rsidRPr="0091009E" w:rsidRDefault="005943FD" w:rsidP="00464A85">
            <w:pPr>
              <w:jc w:val="right"/>
            </w:pPr>
            <w:r w:rsidRPr="0091009E">
              <w:t>-7,22</w:t>
            </w:r>
          </w:p>
        </w:tc>
        <w:tc>
          <w:tcPr>
            <w:tcW w:w="1076" w:type="dxa"/>
          </w:tcPr>
          <w:p w:rsidR="005943FD" w:rsidRPr="0091009E" w:rsidRDefault="005943FD" w:rsidP="00464A85">
            <w:pPr>
              <w:jc w:val="right"/>
            </w:pPr>
            <w:r w:rsidRPr="0091009E">
              <w:t>-0,34</w:t>
            </w:r>
          </w:p>
        </w:tc>
      </w:tr>
      <w:tr w:rsidR="005943FD" w:rsidTr="00464A85">
        <w:tc>
          <w:tcPr>
            <w:tcW w:w="3489" w:type="dxa"/>
          </w:tcPr>
          <w:p w:rsidR="005943FD" w:rsidRPr="0091009E" w:rsidRDefault="005943FD" w:rsidP="001C4270">
            <w:r w:rsidRPr="0091009E">
              <w:t>Areia Branca - RN</w:t>
            </w:r>
          </w:p>
        </w:tc>
        <w:tc>
          <w:tcPr>
            <w:tcW w:w="956" w:type="dxa"/>
          </w:tcPr>
          <w:p w:rsidR="005943FD" w:rsidRPr="0091009E" w:rsidRDefault="005943FD" w:rsidP="00464A85">
            <w:pPr>
              <w:jc w:val="right"/>
            </w:pPr>
            <w:r w:rsidRPr="0091009E">
              <w:t>-6,79</w:t>
            </w:r>
          </w:p>
        </w:tc>
        <w:tc>
          <w:tcPr>
            <w:tcW w:w="956" w:type="dxa"/>
          </w:tcPr>
          <w:p w:rsidR="005943FD" w:rsidRPr="0091009E" w:rsidRDefault="005943FD" w:rsidP="00464A85">
            <w:pPr>
              <w:jc w:val="right"/>
            </w:pPr>
            <w:r w:rsidRPr="0091009E">
              <w:t>-13,14</w:t>
            </w:r>
          </w:p>
        </w:tc>
        <w:tc>
          <w:tcPr>
            <w:tcW w:w="996" w:type="dxa"/>
          </w:tcPr>
          <w:p w:rsidR="005943FD" w:rsidRPr="0091009E" w:rsidRDefault="005943FD" w:rsidP="00464A85">
            <w:pPr>
              <w:jc w:val="right"/>
            </w:pPr>
            <w:r w:rsidRPr="0091009E">
              <w:t>-16,43</w:t>
            </w:r>
          </w:p>
        </w:tc>
        <w:tc>
          <w:tcPr>
            <w:tcW w:w="956" w:type="dxa"/>
          </w:tcPr>
          <w:p w:rsidR="005943FD" w:rsidRPr="0091009E" w:rsidRDefault="005943FD" w:rsidP="00464A85">
            <w:pPr>
              <w:jc w:val="right"/>
            </w:pPr>
            <w:r w:rsidRPr="0091009E">
              <w:t>-16,16</w:t>
            </w:r>
          </w:p>
        </w:tc>
        <w:tc>
          <w:tcPr>
            <w:tcW w:w="996" w:type="dxa"/>
          </w:tcPr>
          <w:p w:rsidR="005943FD" w:rsidRPr="0091009E" w:rsidRDefault="005943FD" w:rsidP="00464A85">
            <w:pPr>
              <w:jc w:val="right"/>
            </w:pPr>
            <w:r w:rsidRPr="0091009E">
              <w:t>-6,46</w:t>
            </w:r>
          </w:p>
        </w:tc>
        <w:tc>
          <w:tcPr>
            <w:tcW w:w="996" w:type="dxa"/>
          </w:tcPr>
          <w:p w:rsidR="005943FD" w:rsidRPr="0091009E" w:rsidRDefault="005943FD" w:rsidP="00464A85">
            <w:pPr>
              <w:jc w:val="right"/>
            </w:pPr>
            <w:r w:rsidRPr="0091009E">
              <w:t>-17,61</w:t>
            </w:r>
          </w:p>
        </w:tc>
        <w:tc>
          <w:tcPr>
            <w:tcW w:w="1076" w:type="dxa"/>
          </w:tcPr>
          <w:p w:rsidR="005943FD" w:rsidRPr="0091009E" w:rsidRDefault="005943FD" w:rsidP="00464A85">
            <w:pPr>
              <w:jc w:val="right"/>
            </w:pPr>
            <w:r w:rsidRPr="0091009E">
              <w:t>-27,32</w:t>
            </w:r>
          </w:p>
        </w:tc>
      </w:tr>
      <w:tr w:rsidR="00464A85" w:rsidTr="00464A85">
        <w:tc>
          <w:tcPr>
            <w:tcW w:w="3489" w:type="dxa"/>
          </w:tcPr>
          <w:p w:rsidR="00464A85" w:rsidRPr="0091009E" w:rsidRDefault="00464A85" w:rsidP="001C4270">
            <w:r w:rsidRPr="0091009E">
              <w:t>Barra dos Coqueiros - SE</w:t>
            </w:r>
          </w:p>
        </w:tc>
        <w:tc>
          <w:tcPr>
            <w:tcW w:w="956" w:type="dxa"/>
          </w:tcPr>
          <w:p w:rsidR="00464A85" w:rsidRPr="0091009E" w:rsidRDefault="00464A85" w:rsidP="00464A85">
            <w:pPr>
              <w:jc w:val="right"/>
            </w:pPr>
            <w:r w:rsidRPr="0091009E">
              <w:t>0</w:t>
            </w:r>
            <w:r>
              <w:t>,00</w:t>
            </w:r>
          </w:p>
        </w:tc>
        <w:tc>
          <w:tcPr>
            <w:tcW w:w="956" w:type="dxa"/>
          </w:tcPr>
          <w:p w:rsidR="00464A85" w:rsidRDefault="00464A85" w:rsidP="00464A85">
            <w:pPr>
              <w:jc w:val="right"/>
            </w:pPr>
            <w:r w:rsidRPr="001D2801">
              <w:t>0,00</w:t>
            </w:r>
          </w:p>
        </w:tc>
        <w:tc>
          <w:tcPr>
            <w:tcW w:w="996" w:type="dxa"/>
          </w:tcPr>
          <w:p w:rsidR="00464A85" w:rsidRDefault="00464A85" w:rsidP="00464A85">
            <w:pPr>
              <w:jc w:val="right"/>
            </w:pPr>
            <w:r w:rsidRPr="001D2801">
              <w:t>0,00</w:t>
            </w:r>
          </w:p>
        </w:tc>
        <w:tc>
          <w:tcPr>
            <w:tcW w:w="956" w:type="dxa"/>
          </w:tcPr>
          <w:p w:rsidR="00464A85" w:rsidRPr="0091009E" w:rsidRDefault="00464A85" w:rsidP="00464A85">
            <w:pPr>
              <w:jc w:val="right"/>
            </w:pPr>
            <w:r w:rsidRPr="0091009E">
              <w:t>-8,72</w:t>
            </w:r>
          </w:p>
        </w:tc>
        <w:tc>
          <w:tcPr>
            <w:tcW w:w="996" w:type="dxa"/>
          </w:tcPr>
          <w:p w:rsidR="00464A85" w:rsidRPr="0091009E" w:rsidRDefault="00464A85" w:rsidP="00464A85">
            <w:pPr>
              <w:jc w:val="right"/>
            </w:pPr>
            <w:r w:rsidRPr="0091009E">
              <w:t>-11,44</w:t>
            </w:r>
          </w:p>
        </w:tc>
        <w:tc>
          <w:tcPr>
            <w:tcW w:w="996" w:type="dxa"/>
          </w:tcPr>
          <w:p w:rsidR="00464A85" w:rsidRPr="0091009E" w:rsidRDefault="00464A85" w:rsidP="00464A85">
            <w:pPr>
              <w:jc w:val="right"/>
            </w:pPr>
            <w:r w:rsidRPr="0091009E">
              <w:t>-9,8</w:t>
            </w:r>
            <w:r>
              <w:t>0</w:t>
            </w:r>
          </w:p>
        </w:tc>
        <w:tc>
          <w:tcPr>
            <w:tcW w:w="1076" w:type="dxa"/>
          </w:tcPr>
          <w:p w:rsidR="00464A85" w:rsidRPr="0091009E" w:rsidRDefault="00464A85" w:rsidP="00464A85">
            <w:pPr>
              <w:jc w:val="right"/>
            </w:pPr>
            <w:r w:rsidRPr="0091009E">
              <w:t>-19,97</w:t>
            </w:r>
          </w:p>
        </w:tc>
      </w:tr>
      <w:tr w:rsidR="00464A85" w:rsidTr="00464A85">
        <w:tc>
          <w:tcPr>
            <w:tcW w:w="3489" w:type="dxa"/>
          </w:tcPr>
          <w:p w:rsidR="00464A85" w:rsidRPr="0091009E" w:rsidRDefault="00464A85" w:rsidP="001C4270">
            <w:r w:rsidRPr="0091009E">
              <w:t>Beberibe - CE</w:t>
            </w:r>
          </w:p>
        </w:tc>
        <w:tc>
          <w:tcPr>
            <w:tcW w:w="956" w:type="dxa"/>
          </w:tcPr>
          <w:p w:rsidR="00464A85" w:rsidRDefault="00464A85" w:rsidP="00464A85">
            <w:pPr>
              <w:jc w:val="right"/>
            </w:pPr>
            <w:r w:rsidRPr="004F4F00">
              <w:t>0,00</w:t>
            </w:r>
          </w:p>
        </w:tc>
        <w:tc>
          <w:tcPr>
            <w:tcW w:w="956" w:type="dxa"/>
          </w:tcPr>
          <w:p w:rsidR="00464A85" w:rsidRDefault="00464A85" w:rsidP="00464A85">
            <w:pPr>
              <w:jc w:val="right"/>
            </w:pPr>
            <w:r w:rsidRPr="001D2801">
              <w:t>0,00</w:t>
            </w:r>
          </w:p>
        </w:tc>
        <w:tc>
          <w:tcPr>
            <w:tcW w:w="996" w:type="dxa"/>
          </w:tcPr>
          <w:p w:rsidR="00464A85" w:rsidRDefault="00464A85" w:rsidP="00464A85">
            <w:pPr>
              <w:jc w:val="right"/>
            </w:pPr>
            <w:r w:rsidRPr="001D2801">
              <w:t>0,00</w:t>
            </w:r>
          </w:p>
        </w:tc>
        <w:tc>
          <w:tcPr>
            <w:tcW w:w="956" w:type="dxa"/>
          </w:tcPr>
          <w:p w:rsidR="00464A85" w:rsidRPr="0091009E" w:rsidRDefault="00464A85" w:rsidP="00464A85">
            <w:pPr>
              <w:jc w:val="right"/>
            </w:pPr>
            <w:r w:rsidRPr="0091009E">
              <w:t>-0,15</w:t>
            </w:r>
          </w:p>
        </w:tc>
        <w:tc>
          <w:tcPr>
            <w:tcW w:w="996" w:type="dxa"/>
          </w:tcPr>
          <w:p w:rsidR="00464A85" w:rsidRPr="0091009E" w:rsidRDefault="00464A85" w:rsidP="00464A85">
            <w:pPr>
              <w:jc w:val="right"/>
            </w:pPr>
            <w:r w:rsidRPr="0091009E">
              <w:t>18,24</w:t>
            </w:r>
          </w:p>
        </w:tc>
        <w:tc>
          <w:tcPr>
            <w:tcW w:w="996" w:type="dxa"/>
          </w:tcPr>
          <w:p w:rsidR="00464A85" w:rsidRPr="0091009E" w:rsidRDefault="00464A85" w:rsidP="00464A85">
            <w:pPr>
              <w:jc w:val="right"/>
            </w:pPr>
            <w:r w:rsidRPr="0091009E">
              <w:t>16,71</w:t>
            </w:r>
          </w:p>
        </w:tc>
        <w:tc>
          <w:tcPr>
            <w:tcW w:w="1076" w:type="dxa"/>
          </w:tcPr>
          <w:p w:rsidR="00464A85" w:rsidRPr="0091009E" w:rsidRDefault="00464A85" w:rsidP="00464A85">
            <w:pPr>
              <w:jc w:val="right"/>
            </w:pPr>
            <w:r w:rsidRPr="0091009E">
              <w:t>15,68</w:t>
            </w:r>
          </w:p>
        </w:tc>
      </w:tr>
      <w:tr w:rsidR="00464A85" w:rsidTr="00464A85">
        <w:tc>
          <w:tcPr>
            <w:tcW w:w="3489" w:type="dxa"/>
          </w:tcPr>
          <w:p w:rsidR="00464A85" w:rsidRPr="0091009E" w:rsidRDefault="00464A85" w:rsidP="001C4270">
            <w:r w:rsidRPr="0091009E">
              <w:t>Boituva - SP</w:t>
            </w:r>
          </w:p>
        </w:tc>
        <w:tc>
          <w:tcPr>
            <w:tcW w:w="956" w:type="dxa"/>
          </w:tcPr>
          <w:p w:rsidR="00464A85" w:rsidRDefault="00464A85" w:rsidP="00464A85">
            <w:pPr>
              <w:jc w:val="right"/>
            </w:pPr>
            <w:r w:rsidRPr="004F4F00">
              <w:t>0,00</w:t>
            </w:r>
          </w:p>
        </w:tc>
        <w:tc>
          <w:tcPr>
            <w:tcW w:w="956" w:type="dxa"/>
          </w:tcPr>
          <w:p w:rsidR="00464A85" w:rsidRDefault="00464A85" w:rsidP="00464A85">
            <w:pPr>
              <w:jc w:val="right"/>
            </w:pPr>
            <w:r w:rsidRPr="001D2801">
              <w:t>0,00</w:t>
            </w:r>
          </w:p>
        </w:tc>
        <w:tc>
          <w:tcPr>
            <w:tcW w:w="996" w:type="dxa"/>
          </w:tcPr>
          <w:p w:rsidR="00464A85" w:rsidRDefault="00464A85" w:rsidP="00464A85">
            <w:pPr>
              <w:jc w:val="right"/>
            </w:pPr>
            <w:r w:rsidRPr="001D2801">
              <w:t>0,00</w:t>
            </w:r>
          </w:p>
        </w:tc>
        <w:tc>
          <w:tcPr>
            <w:tcW w:w="956" w:type="dxa"/>
          </w:tcPr>
          <w:p w:rsidR="00464A85" w:rsidRPr="0091009E" w:rsidRDefault="00464A85" w:rsidP="00464A85">
            <w:pPr>
              <w:jc w:val="right"/>
            </w:pPr>
            <w:r w:rsidRPr="0091009E">
              <w:t>0,78</w:t>
            </w:r>
          </w:p>
        </w:tc>
        <w:tc>
          <w:tcPr>
            <w:tcW w:w="996" w:type="dxa"/>
          </w:tcPr>
          <w:p w:rsidR="00464A85" w:rsidRPr="0091009E" w:rsidRDefault="00464A85" w:rsidP="00464A85">
            <w:pPr>
              <w:jc w:val="right"/>
            </w:pPr>
            <w:r w:rsidRPr="0091009E">
              <w:t>9,34</w:t>
            </w:r>
          </w:p>
        </w:tc>
        <w:tc>
          <w:tcPr>
            <w:tcW w:w="996" w:type="dxa"/>
          </w:tcPr>
          <w:p w:rsidR="00464A85" w:rsidRPr="0091009E" w:rsidRDefault="00464A85" w:rsidP="00464A85">
            <w:pPr>
              <w:jc w:val="right"/>
            </w:pPr>
            <w:r w:rsidRPr="0091009E">
              <w:t>12,94</w:t>
            </w:r>
          </w:p>
        </w:tc>
        <w:tc>
          <w:tcPr>
            <w:tcW w:w="1076" w:type="dxa"/>
          </w:tcPr>
          <w:p w:rsidR="00464A85" w:rsidRPr="0091009E" w:rsidRDefault="00464A85" w:rsidP="00464A85">
            <w:pPr>
              <w:jc w:val="right"/>
            </w:pPr>
            <w:r w:rsidRPr="0091009E">
              <w:t>18,79</w:t>
            </w:r>
          </w:p>
        </w:tc>
      </w:tr>
      <w:tr w:rsidR="005943FD" w:rsidTr="00464A85">
        <w:tc>
          <w:tcPr>
            <w:tcW w:w="3489" w:type="dxa"/>
          </w:tcPr>
          <w:p w:rsidR="005943FD" w:rsidRPr="0091009E" w:rsidRDefault="005943FD" w:rsidP="001C4270">
            <w:r w:rsidRPr="0091009E">
              <w:t>Brotas de Macaúbas - BA</w:t>
            </w:r>
          </w:p>
        </w:tc>
        <w:tc>
          <w:tcPr>
            <w:tcW w:w="956" w:type="dxa"/>
          </w:tcPr>
          <w:p w:rsidR="005943FD" w:rsidRPr="0091009E" w:rsidRDefault="005943FD" w:rsidP="00464A85">
            <w:pPr>
              <w:jc w:val="right"/>
            </w:pPr>
            <w:r w:rsidRPr="0091009E">
              <w:t>-4,11</w:t>
            </w:r>
          </w:p>
        </w:tc>
        <w:tc>
          <w:tcPr>
            <w:tcW w:w="956" w:type="dxa"/>
          </w:tcPr>
          <w:p w:rsidR="005943FD" w:rsidRPr="0091009E" w:rsidRDefault="005943FD" w:rsidP="00464A85">
            <w:pPr>
              <w:jc w:val="right"/>
            </w:pPr>
            <w:r w:rsidRPr="0091009E">
              <w:t>9,12</w:t>
            </w:r>
          </w:p>
        </w:tc>
        <w:tc>
          <w:tcPr>
            <w:tcW w:w="996" w:type="dxa"/>
          </w:tcPr>
          <w:p w:rsidR="005943FD" w:rsidRPr="0091009E" w:rsidRDefault="005943FD" w:rsidP="00464A85">
            <w:pPr>
              <w:jc w:val="right"/>
            </w:pPr>
            <w:r w:rsidRPr="0091009E">
              <w:t>-4,5</w:t>
            </w:r>
            <w:r w:rsidR="00464A85">
              <w:t>0</w:t>
            </w:r>
          </w:p>
        </w:tc>
        <w:tc>
          <w:tcPr>
            <w:tcW w:w="956" w:type="dxa"/>
          </w:tcPr>
          <w:p w:rsidR="005943FD" w:rsidRPr="0091009E" w:rsidRDefault="005943FD" w:rsidP="00464A85">
            <w:pPr>
              <w:jc w:val="right"/>
            </w:pPr>
            <w:r w:rsidRPr="0091009E">
              <w:t>-1,39</w:t>
            </w:r>
          </w:p>
        </w:tc>
        <w:tc>
          <w:tcPr>
            <w:tcW w:w="996" w:type="dxa"/>
          </w:tcPr>
          <w:p w:rsidR="005943FD" w:rsidRPr="0091009E" w:rsidRDefault="005943FD" w:rsidP="00464A85">
            <w:pPr>
              <w:jc w:val="right"/>
            </w:pPr>
            <w:r w:rsidRPr="0091009E">
              <w:t>6,52</w:t>
            </w:r>
          </w:p>
        </w:tc>
        <w:tc>
          <w:tcPr>
            <w:tcW w:w="996" w:type="dxa"/>
          </w:tcPr>
          <w:p w:rsidR="005943FD" w:rsidRPr="0091009E" w:rsidRDefault="005943FD" w:rsidP="00464A85">
            <w:pPr>
              <w:jc w:val="right"/>
            </w:pPr>
            <w:r w:rsidRPr="0091009E">
              <w:t>-6,88</w:t>
            </w:r>
          </w:p>
        </w:tc>
        <w:tc>
          <w:tcPr>
            <w:tcW w:w="1076" w:type="dxa"/>
          </w:tcPr>
          <w:p w:rsidR="005943FD" w:rsidRPr="0091009E" w:rsidRDefault="005943FD" w:rsidP="00464A85">
            <w:pPr>
              <w:jc w:val="right"/>
            </w:pPr>
            <w:r w:rsidRPr="0091009E">
              <w:t>-8,31</w:t>
            </w:r>
          </w:p>
        </w:tc>
      </w:tr>
      <w:tr w:rsidR="005943FD" w:rsidTr="00464A85">
        <w:tc>
          <w:tcPr>
            <w:tcW w:w="3489" w:type="dxa"/>
          </w:tcPr>
          <w:p w:rsidR="005943FD" w:rsidRPr="0091009E" w:rsidRDefault="005943FD" w:rsidP="001C4270">
            <w:r w:rsidRPr="0091009E">
              <w:t>Cabo de Santo Agostinho - PE</w:t>
            </w:r>
          </w:p>
        </w:tc>
        <w:tc>
          <w:tcPr>
            <w:tcW w:w="956" w:type="dxa"/>
          </w:tcPr>
          <w:p w:rsidR="005943FD" w:rsidRPr="0091009E" w:rsidRDefault="005943FD" w:rsidP="00464A85">
            <w:pPr>
              <w:jc w:val="right"/>
            </w:pPr>
            <w:r w:rsidRPr="0091009E">
              <w:t>0,08</w:t>
            </w:r>
          </w:p>
        </w:tc>
        <w:tc>
          <w:tcPr>
            <w:tcW w:w="956" w:type="dxa"/>
          </w:tcPr>
          <w:p w:rsidR="005943FD" w:rsidRPr="0091009E" w:rsidRDefault="005943FD" w:rsidP="00464A85">
            <w:pPr>
              <w:jc w:val="right"/>
            </w:pPr>
            <w:r w:rsidRPr="0091009E">
              <w:t>0,42</w:t>
            </w:r>
          </w:p>
        </w:tc>
        <w:tc>
          <w:tcPr>
            <w:tcW w:w="996" w:type="dxa"/>
          </w:tcPr>
          <w:p w:rsidR="005943FD" w:rsidRPr="0091009E" w:rsidRDefault="005943FD" w:rsidP="00464A85">
            <w:pPr>
              <w:jc w:val="right"/>
            </w:pPr>
            <w:r w:rsidRPr="0091009E">
              <w:t>0,02</w:t>
            </w:r>
          </w:p>
        </w:tc>
        <w:tc>
          <w:tcPr>
            <w:tcW w:w="956" w:type="dxa"/>
          </w:tcPr>
          <w:p w:rsidR="005943FD" w:rsidRPr="0091009E" w:rsidRDefault="005943FD" w:rsidP="00464A85">
            <w:pPr>
              <w:jc w:val="right"/>
            </w:pPr>
            <w:r w:rsidRPr="0091009E">
              <w:t>-5,63</w:t>
            </w:r>
          </w:p>
        </w:tc>
        <w:tc>
          <w:tcPr>
            <w:tcW w:w="996" w:type="dxa"/>
          </w:tcPr>
          <w:p w:rsidR="005943FD" w:rsidRPr="0091009E" w:rsidRDefault="005943FD" w:rsidP="00464A85">
            <w:pPr>
              <w:jc w:val="right"/>
            </w:pPr>
            <w:r w:rsidRPr="0091009E">
              <w:t>-0,78</w:t>
            </w:r>
          </w:p>
        </w:tc>
        <w:tc>
          <w:tcPr>
            <w:tcW w:w="996" w:type="dxa"/>
          </w:tcPr>
          <w:p w:rsidR="005943FD" w:rsidRPr="0091009E" w:rsidRDefault="005943FD" w:rsidP="00464A85">
            <w:pPr>
              <w:jc w:val="right"/>
            </w:pPr>
            <w:r w:rsidRPr="0091009E">
              <w:t>12,82</w:t>
            </w:r>
          </w:p>
        </w:tc>
        <w:tc>
          <w:tcPr>
            <w:tcW w:w="1076" w:type="dxa"/>
          </w:tcPr>
          <w:p w:rsidR="005943FD" w:rsidRPr="0091009E" w:rsidRDefault="005943FD" w:rsidP="00464A85">
            <w:pPr>
              <w:jc w:val="right"/>
            </w:pPr>
            <w:r w:rsidRPr="0091009E">
              <w:t>11,03</w:t>
            </w:r>
          </w:p>
        </w:tc>
      </w:tr>
      <w:tr w:rsidR="005943FD" w:rsidTr="00464A85">
        <w:tc>
          <w:tcPr>
            <w:tcW w:w="3489" w:type="dxa"/>
          </w:tcPr>
          <w:p w:rsidR="005943FD" w:rsidRPr="0091009E" w:rsidRDefault="005943FD" w:rsidP="001C4270">
            <w:r w:rsidRPr="0091009E">
              <w:t>Caetité - BA</w:t>
            </w:r>
          </w:p>
        </w:tc>
        <w:tc>
          <w:tcPr>
            <w:tcW w:w="956" w:type="dxa"/>
          </w:tcPr>
          <w:p w:rsidR="005943FD" w:rsidRPr="0091009E" w:rsidRDefault="005943FD" w:rsidP="00464A85">
            <w:pPr>
              <w:jc w:val="right"/>
            </w:pPr>
            <w:r w:rsidRPr="0091009E">
              <w:t>-0,65</w:t>
            </w:r>
          </w:p>
        </w:tc>
        <w:tc>
          <w:tcPr>
            <w:tcW w:w="956" w:type="dxa"/>
          </w:tcPr>
          <w:p w:rsidR="005943FD" w:rsidRPr="0091009E" w:rsidRDefault="005943FD" w:rsidP="00464A85">
            <w:pPr>
              <w:jc w:val="right"/>
            </w:pPr>
            <w:r w:rsidRPr="0091009E">
              <w:t>1,92</w:t>
            </w:r>
          </w:p>
        </w:tc>
        <w:tc>
          <w:tcPr>
            <w:tcW w:w="996" w:type="dxa"/>
          </w:tcPr>
          <w:p w:rsidR="005943FD" w:rsidRPr="0091009E" w:rsidRDefault="005943FD" w:rsidP="00464A85">
            <w:pPr>
              <w:jc w:val="right"/>
            </w:pPr>
            <w:r w:rsidRPr="0091009E">
              <w:t>-0,49</w:t>
            </w:r>
          </w:p>
        </w:tc>
        <w:tc>
          <w:tcPr>
            <w:tcW w:w="956" w:type="dxa"/>
          </w:tcPr>
          <w:p w:rsidR="005943FD" w:rsidRPr="0091009E" w:rsidRDefault="005943FD" w:rsidP="00464A85">
            <w:pPr>
              <w:jc w:val="right"/>
            </w:pPr>
            <w:r w:rsidRPr="0091009E">
              <w:t>-1,7</w:t>
            </w:r>
            <w:r w:rsidR="00464A85">
              <w:t>0</w:t>
            </w:r>
          </w:p>
        </w:tc>
        <w:tc>
          <w:tcPr>
            <w:tcW w:w="996" w:type="dxa"/>
          </w:tcPr>
          <w:p w:rsidR="005943FD" w:rsidRPr="0091009E" w:rsidRDefault="005943FD" w:rsidP="00464A85">
            <w:pPr>
              <w:jc w:val="right"/>
            </w:pPr>
            <w:r w:rsidRPr="0091009E">
              <w:t>32,01</w:t>
            </w:r>
          </w:p>
        </w:tc>
        <w:tc>
          <w:tcPr>
            <w:tcW w:w="996" w:type="dxa"/>
          </w:tcPr>
          <w:p w:rsidR="005943FD" w:rsidRPr="0091009E" w:rsidRDefault="005943FD" w:rsidP="00464A85">
            <w:pPr>
              <w:jc w:val="right"/>
            </w:pPr>
            <w:r w:rsidRPr="0091009E">
              <w:t>44,68</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Camocim - CE</w:t>
            </w:r>
          </w:p>
        </w:tc>
        <w:tc>
          <w:tcPr>
            <w:tcW w:w="956" w:type="dxa"/>
          </w:tcPr>
          <w:p w:rsidR="005943FD" w:rsidRPr="0091009E" w:rsidRDefault="005943FD" w:rsidP="00464A85">
            <w:pPr>
              <w:jc w:val="right"/>
            </w:pPr>
            <w:r w:rsidRPr="0091009E">
              <w:t>4,99</w:t>
            </w:r>
          </w:p>
        </w:tc>
        <w:tc>
          <w:tcPr>
            <w:tcW w:w="956" w:type="dxa"/>
          </w:tcPr>
          <w:p w:rsidR="005943FD" w:rsidRPr="0091009E" w:rsidRDefault="005943FD" w:rsidP="00464A85">
            <w:pPr>
              <w:jc w:val="right"/>
            </w:pPr>
            <w:r w:rsidRPr="0091009E">
              <w:t>-5,25</w:t>
            </w:r>
          </w:p>
        </w:tc>
        <w:tc>
          <w:tcPr>
            <w:tcW w:w="996" w:type="dxa"/>
          </w:tcPr>
          <w:p w:rsidR="005943FD" w:rsidRPr="0091009E" w:rsidRDefault="005943FD" w:rsidP="00464A85">
            <w:pPr>
              <w:jc w:val="right"/>
            </w:pPr>
            <w:r w:rsidRPr="0091009E">
              <w:t>-8,54</w:t>
            </w:r>
          </w:p>
        </w:tc>
        <w:tc>
          <w:tcPr>
            <w:tcW w:w="956" w:type="dxa"/>
          </w:tcPr>
          <w:p w:rsidR="005943FD" w:rsidRPr="0091009E" w:rsidRDefault="005943FD" w:rsidP="00464A85">
            <w:pPr>
              <w:jc w:val="right"/>
            </w:pPr>
            <w:r w:rsidRPr="0091009E">
              <w:t>-4,21</w:t>
            </w:r>
          </w:p>
        </w:tc>
        <w:tc>
          <w:tcPr>
            <w:tcW w:w="996" w:type="dxa"/>
          </w:tcPr>
          <w:p w:rsidR="005943FD" w:rsidRPr="0091009E" w:rsidRDefault="005943FD" w:rsidP="00464A85">
            <w:pPr>
              <w:jc w:val="right"/>
            </w:pPr>
            <w:r w:rsidRPr="0091009E">
              <w:t>-4,76</w:t>
            </w:r>
          </w:p>
        </w:tc>
        <w:tc>
          <w:tcPr>
            <w:tcW w:w="996" w:type="dxa"/>
          </w:tcPr>
          <w:p w:rsidR="005943FD" w:rsidRPr="0091009E" w:rsidRDefault="005943FD" w:rsidP="00464A85">
            <w:pPr>
              <w:jc w:val="right"/>
            </w:pPr>
            <w:r w:rsidRPr="0091009E">
              <w:t>5,56</w:t>
            </w:r>
          </w:p>
        </w:tc>
        <w:tc>
          <w:tcPr>
            <w:tcW w:w="1076" w:type="dxa"/>
          </w:tcPr>
          <w:p w:rsidR="005943FD" w:rsidRPr="0091009E" w:rsidRDefault="005943FD" w:rsidP="00464A85">
            <w:pPr>
              <w:jc w:val="right"/>
            </w:pPr>
            <w:r w:rsidRPr="0091009E">
              <w:t>-1,11</w:t>
            </w:r>
          </w:p>
        </w:tc>
      </w:tr>
      <w:tr w:rsidR="005943FD" w:rsidTr="00464A85">
        <w:tc>
          <w:tcPr>
            <w:tcW w:w="3489" w:type="dxa"/>
          </w:tcPr>
          <w:p w:rsidR="005943FD" w:rsidRPr="0091009E" w:rsidRDefault="005943FD" w:rsidP="001C4270">
            <w:r w:rsidRPr="0091009E">
              <w:t>Cururupu - MA</w:t>
            </w:r>
          </w:p>
        </w:tc>
        <w:tc>
          <w:tcPr>
            <w:tcW w:w="956" w:type="dxa"/>
          </w:tcPr>
          <w:p w:rsidR="005943FD" w:rsidRPr="0091009E" w:rsidRDefault="005943FD" w:rsidP="00464A85">
            <w:pPr>
              <w:jc w:val="right"/>
            </w:pPr>
            <w:r w:rsidRPr="0091009E">
              <w:t>-3,65</w:t>
            </w:r>
          </w:p>
        </w:tc>
        <w:tc>
          <w:tcPr>
            <w:tcW w:w="956" w:type="dxa"/>
          </w:tcPr>
          <w:p w:rsidR="005943FD" w:rsidRPr="0091009E" w:rsidRDefault="005943FD" w:rsidP="00464A85">
            <w:pPr>
              <w:jc w:val="right"/>
            </w:pPr>
            <w:r w:rsidRPr="0091009E">
              <w:t>-2,34</w:t>
            </w:r>
          </w:p>
        </w:tc>
        <w:tc>
          <w:tcPr>
            <w:tcW w:w="996" w:type="dxa"/>
          </w:tcPr>
          <w:p w:rsidR="005943FD" w:rsidRPr="0091009E" w:rsidRDefault="005943FD" w:rsidP="00464A85">
            <w:pPr>
              <w:jc w:val="right"/>
            </w:pPr>
            <w:r w:rsidRPr="0091009E">
              <w:t>-1,35</w:t>
            </w:r>
          </w:p>
        </w:tc>
        <w:tc>
          <w:tcPr>
            <w:tcW w:w="956" w:type="dxa"/>
          </w:tcPr>
          <w:p w:rsidR="005943FD" w:rsidRPr="0091009E" w:rsidRDefault="005943FD" w:rsidP="00464A85">
            <w:pPr>
              <w:jc w:val="right"/>
            </w:pPr>
            <w:r w:rsidRPr="0091009E">
              <w:t>2,97</w:t>
            </w:r>
          </w:p>
        </w:tc>
        <w:tc>
          <w:tcPr>
            <w:tcW w:w="996" w:type="dxa"/>
          </w:tcPr>
          <w:p w:rsidR="005943FD" w:rsidRPr="0091009E" w:rsidRDefault="005943FD" w:rsidP="00464A85">
            <w:pPr>
              <w:jc w:val="right"/>
            </w:pPr>
            <w:r w:rsidRPr="0091009E">
              <w:t>-2,6</w:t>
            </w:r>
            <w:r w:rsidR="00464A85">
              <w:t>0</w:t>
            </w:r>
          </w:p>
        </w:tc>
        <w:tc>
          <w:tcPr>
            <w:tcW w:w="996" w:type="dxa"/>
          </w:tcPr>
          <w:p w:rsidR="005943FD" w:rsidRPr="0091009E" w:rsidRDefault="005943FD" w:rsidP="00464A85">
            <w:pPr>
              <w:jc w:val="right"/>
            </w:pPr>
            <w:r w:rsidRPr="0091009E">
              <w:t>9,32</w:t>
            </w:r>
          </w:p>
        </w:tc>
        <w:tc>
          <w:tcPr>
            <w:tcW w:w="1076" w:type="dxa"/>
          </w:tcPr>
          <w:p w:rsidR="005943FD" w:rsidRPr="0091009E" w:rsidRDefault="005943FD" w:rsidP="00464A85">
            <w:pPr>
              <w:jc w:val="right"/>
            </w:pPr>
            <w:r w:rsidRPr="0091009E">
              <w:t>7,73</w:t>
            </w:r>
          </w:p>
        </w:tc>
      </w:tr>
      <w:tr w:rsidR="005943FD" w:rsidTr="00464A85">
        <w:tc>
          <w:tcPr>
            <w:tcW w:w="3489" w:type="dxa"/>
          </w:tcPr>
          <w:p w:rsidR="005943FD" w:rsidRPr="0091009E" w:rsidRDefault="005943FD" w:rsidP="001C4270">
            <w:r w:rsidRPr="0091009E">
              <w:t>Galinhos - RN</w:t>
            </w:r>
          </w:p>
        </w:tc>
        <w:tc>
          <w:tcPr>
            <w:tcW w:w="956" w:type="dxa"/>
          </w:tcPr>
          <w:p w:rsidR="005943FD" w:rsidRPr="0091009E" w:rsidRDefault="005943FD" w:rsidP="00464A85">
            <w:pPr>
              <w:jc w:val="right"/>
            </w:pPr>
            <w:r w:rsidRPr="0091009E">
              <w:t>13,54</w:t>
            </w:r>
          </w:p>
        </w:tc>
        <w:tc>
          <w:tcPr>
            <w:tcW w:w="956" w:type="dxa"/>
          </w:tcPr>
          <w:p w:rsidR="005943FD" w:rsidRPr="0091009E" w:rsidRDefault="005943FD" w:rsidP="00464A85">
            <w:pPr>
              <w:jc w:val="right"/>
            </w:pPr>
            <w:r w:rsidRPr="0091009E">
              <w:t>-16,84</w:t>
            </w:r>
          </w:p>
        </w:tc>
        <w:tc>
          <w:tcPr>
            <w:tcW w:w="996" w:type="dxa"/>
          </w:tcPr>
          <w:p w:rsidR="005943FD" w:rsidRPr="0091009E" w:rsidRDefault="005943FD" w:rsidP="00464A85">
            <w:pPr>
              <w:jc w:val="right"/>
            </w:pPr>
            <w:r w:rsidRPr="0091009E">
              <w:t>-28,12</w:t>
            </w:r>
          </w:p>
        </w:tc>
        <w:tc>
          <w:tcPr>
            <w:tcW w:w="956" w:type="dxa"/>
          </w:tcPr>
          <w:p w:rsidR="005943FD" w:rsidRPr="0091009E" w:rsidRDefault="005943FD" w:rsidP="00464A85">
            <w:pPr>
              <w:jc w:val="right"/>
            </w:pPr>
            <w:r w:rsidRPr="0091009E">
              <w:t>-9,57</w:t>
            </w:r>
          </w:p>
        </w:tc>
        <w:tc>
          <w:tcPr>
            <w:tcW w:w="996" w:type="dxa"/>
          </w:tcPr>
          <w:p w:rsidR="005943FD" w:rsidRPr="0091009E" w:rsidRDefault="005943FD" w:rsidP="00464A85">
            <w:pPr>
              <w:jc w:val="right"/>
            </w:pPr>
            <w:r w:rsidRPr="0091009E">
              <w:t>-30,42</w:t>
            </w:r>
          </w:p>
        </w:tc>
        <w:tc>
          <w:tcPr>
            <w:tcW w:w="996" w:type="dxa"/>
          </w:tcPr>
          <w:p w:rsidR="005943FD" w:rsidRPr="0091009E" w:rsidRDefault="005943FD" w:rsidP="00464A85">
            <w:pPr>
              <w:jc w:val="right"/>
            </w:pPr>
            <w:r w:rsidRPr="0091009E">
              <w:t>-10,95</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Gravatá - PE</w:t>
            </w:r>
          </w:p>
        </w:tc>
        <w:tc>
          <w:tcPr>
            <w:tcW w:w="956" w:type="dxa"/>
          </w:tcPr>
          <w:p w:rsidR="005943FD" w:rsidRPr="0091009E" w:rsidRDefault="005943FD" w:rsidP="00464A85">
            <w:pPr>
              <w:jc w:val="right"/>
            </w:pPr>
            <w:r w:rsidRPr="0091009E">
              <w:t>-2,28</w:t>
            </w:r>
          </w:p>
        </w:tc>
        <w:tc>
          <w:tcPr>
            <w:tcW w:w="956" w:type="dxa"/>
          </w:tcPr>
          <w:p w:rsidR="005943FD" w:rsidRPr="0091009E" w:rsidRDefault="005943FD" w:rsidP="00464A85">
            <w:pPr>
              <w:jc w:val="right"/>
            </w:pPr>
            <w:r w:rsidRPr="0091009E">
              <w:t>-2,17</w:t>
            </w:r>
          </w:p>
        </w:tc>
        <w:tc>
          <w:tcPr>
            <w:tcW w:w="996" w:type="dxa"/>
          </w:tcPr>
          <w:p w:rsidR="005943FD" w:rsidRPr="0091009E" w:rsidRDefault="005943FD" w:rsidP="00464A85">
            <w:pPr>
              <w:jc w:val="right"/>
            </w:pPr>
            <w:r w:rsidRPr="0091009E">
              <w:t>-1,45</w:t>
            </w:r>
          </w:p>
        </w:tc>
        <w:tc>
          <w:tcPr>
            <w:tcW w:w="956" w:type="dxa"/>
          </w:tcPr>
          <w:p w:rsidR="005943FD" w:rsidRPr="0091009E" w:rsidRDefault="005943FD" w:rsidP="00464A85">
            <w:pPr>
              <w:jc w:val="right"/>
            </w:pPr>
            <w:r w:rsidRPr="0091009E">
              <w:t>3,05</w:t>
            </w:r>
          </w:p>
        </w:tc>
        <w:tc>
          <w:tcPr>
            <w:tcW w:w="996" w:type="dxa"/>
          </w:tcPr>
          <w:p w:rsidR="005943FD" w:rsidRPr="0091009E" w:rsidRDefault="005943FD" w:rsidP="00464A85">
            <w:pPr>
              <w:jc w:val="right"/>
            </w:pPr>
            <w:r w:rsidRPr="0091009E">
              <w:t>8,97</w:t>
            </w:r>
          </w:p>
        </w:tc>
        <w:tc>
          <w:tcPr>
            <w:tcW w:w="996" w:type="dxa"/>
          </w:tcPr>
          <w:p w:rsidR="005943FD" w:rsidRPr="0091009E" w:rsidRDefault="005943FD" w:rsidP="00464A85">
            <w:pPr>
              <w:jc w:val="right"/>
            </w:pPr>
            <w:r w:rsidRPr="0091009E">
              <w:t>13,98</w:t>
            </w:r>
          </w:p>
        </w:tc>
        <w:tc>
          <w:tcPr>
            <w:tcW w:w="1076" w:type="dxa"/>
          </w:tcPr>
          <w:p w:rsidR="005943FD" w:rsidRPr="0091009E" w:rsidRDefault="005943FD" w:rsidP="00464A85">
            <w:pPr>
              <w:jc w:val="right"/>
            </w:pPr>
            <w:r w:rsidRPr="0091009E">
              <w:t>5,63</w:t>
            </w:r>
          </w:p>
        </w:tc>
      </w:tr>
      <w:tr w:rsidR="005943FD" w:rsidTr="00464A85">
        <w:tc>
          <w:tcPr>
            <w:tcW w:w="3489" w:type="dxa"/>
          </w:tcPr>
          <w:p w:rsidR="005943FD" w:rsidRPr="0091009E" w:rsidRDefault="005943FD" w:rsidP="001C4270">
            <w:r w:rsidRPr="0091009E">
              <w:t>Guamaré - RN</w:t>
            </w:r>
          </w:p>
        </w:tc>
        <w:tc>
          <w:tcPr>
            <w:tcW w:w="956" w:type="dxa"/>
          </w:tcPr>
          <w:p w:rsidR="005943FD" w:rsidRPr="0091009E" w:rsidRDefault="005943FD" w:rsidP="00464A85">
            <w:pPr>
              <w:jc w:val="right"/>
            </w:pPr>
            <w:r w:rsidRPr="0091009E">
              <w:t>1,86</w:t>
            </w:r>
          </w:p>
        </w:tc>
        <w:tc>
          <w:tcPr>
            <w:tcW w:w="956" w:type="dxa"/>
          </w:tcPr>
          <w:p w:rsidR="005943FD" w:rsidRPr="0091009E" w:rsidRDefault="005943FD" w:rsidP="00464A85">
            <w:pPr>
              <w:jc w:val="right"/>
            </w:pPr>
            <w:r w:rsidRPr="0091009E">
              <w:t>3,77</w:t>
            </w:r>
          </w:p>
        </w:tc>
        <w:tc>
          <w:tcPr>
            <w:tcW w:w="996" w:type="dxa"/>
          </w:tcPr>
          <w:p w:rsidR="005943FD" w:rsidRPr="0091009E" w:rsidRDefault="005943FD" w:rsidP="00464A85">
            <w:pPr>
              <w:jc w:val="right"/>
            </w:pPr>
            <w:r w:rsidRPr="0091009E">
              <w:t>17,28</w:t>
            </w:r>
          </w:p>
        </w:tc>
        <w:tc>
          <w:tcPr>
            <w:tcW w:w="956" w:type="dxa"/>
          </w:tcPr>
          <w:p w:rsidR="005943FD" w:rsidRPr="0091009E" w:rsidRDefault="005943FD" w:rsidP="00464A85">
            <w:pPr>
              <w:jc w:val="right"/>
            </w:pPr>
            <w:r w:rsidRPr="0091009E">
              <w:t>20,73</w:t>
            </w:r>
          </w:p>
        </w:tc>
        <w:tc>
          <w:tcPr>
            <w:tcW w:w="996" w:type="dxa"/>
          </w:tcPr>
          <w:p w:rsidR="005943FD" w:rsidRPr="0091009E" w:rsidRDefault="005943FD" w:rsidP="00464A85">
            <w:pPr>
              <w:jc w:val="right"/>
            </w:pPr>
            <w:r w:rsidRPr="0091009E">
              <w:t>35,54</w:t>
            </w:r>
          </w:p>
        </w:tc>
        <w:tc>
          <w:tcPr>
            <w:tcW w:w="996" w:type="dxa"/>
          </w:tcPr>
          <w:p w:rsidR="005943FD" w:rsidRPr="0091009E" w:rsidRDefault="005943FD" w:rsidP="00464A85">
            <w:pPr>
              <w:jc w:val="right"/>
            </w:pPr>
            <w:r w:rsidRPr="0091009E">
              <w:t>-58,11</w:t>
            </w:r>
          </w:p>
        </w:tc>
        <w:tc>
          <w:tcPr>
            <w:tcW w:w="1076" w:type="dxa"/>
          </w:tcPr>
          <w:p w:rsidR="005943FD" w:rsidRPr="0091009E" w:rsidRDefault="005943FD" w:rsidP="00464A85">
            <w:pPr>
              <w:jc w:val="right"/>
            </w:pPr>
            <w:r w:rsidRPr="0091009E">
              <w:t>-102,57</w:t>
            </w:r>
          </w:p>
        </w:tc>
      </w:tr>
      <w:tr w:rsidR="005943FD" w:rsidTr="00464A85">
        <w:tc>
          <w:tcPr>
            <w:tcW w:w="3489" w:type="dxa"/>
          </w:tcPr>
          <w:p w:rsidR="005943FD" w:rsidRPr="0091009E" w:rsidRDefault="005943FD" w:rsidP="001C4270">
            <w:r w:rsidRPr="0091009E">
              <w:t>Guanambi - BA</w:t>
            </w:r>
          </w:p>
        </w:tc>
        <w:tc>
          <w:tcPr>
            <w:tcW w:w="956" w:type="dxa"/>
          </w:tcPr>
          <w:p w:rsidR="005943FD" w:rsidRPr="0091009E" w:rsidRDefault="005943FD" w:rsidP="00464A85">
            <w:pPr>
              <w:jc w:val="right"/>
            </w:pPr>
            <w:r w:rsidRPr="0091009E">
              <w:t>-2,45</w:t>
            </w:r>
          </w:p>
        </w:tc>
        <w:tc>
          <w:tcPr>
            <w:tcW w:w="956" w:type="dxa"/>
          </w:tcPr>
          <w:p w:rsidR="005943FD" w:rsidRPr="0091009E" w:rsidRDefault="005943FD" w:rsidP="00464A85">
            <w:pPr>
              <w:jc w:val="right"/>
            </w:pPr>
            <w:r w:rsidRPr="0091009E">
              <w:t>2,28</w:t>
            </w:r>
          </w:p>
        </w:tc>
        <w:tc>
          <w:tcPr>
            <w:tcW w:w="996" w:type="dxa"/>
          </w:tcPr>
          <w:p w:rsidR="005943FD" w:rsidRPr="0091009E" w:rsidRDefault="005943FD" w:rsidP="00464A85">
            <w:pPr>
              <w:jc w:val="right"/>
            </w:pPr>
            <w:r w:rsidRPr="0091009E">
              <w:t>3,54</w:t>
            </w:r>
          </w:p>
        </w:tc>
        <w:tc>
          <w:tcPr>
            <w:tcW w:w="956" w:type="dxa"/>
          </w:tcPr>
          <w:p w:rsidR="005943FD" w:rsidRPr="0091009E" w:rsidRDefault="005943FD" w:rsidP="00464A85">
            <w:pPr>
              <w:jc w:val="right"/>
            </w:pPr>
            <w:r w:rsidRPr="0091009E">
              <w:t>4,55</w:t>
            </w:r>
          </w:p>
        </w:tc>
        <w:tc>
          <w:tcPr>
            <w:tcW w:w="996" w:type="dxa"/>
          </w:tcPr>
          <w:p w:rsidR="005943FD" w:rsidRPr="0091009E" w:rsidRDefault="005943FD" w:rsidP="00464A85">
            <w:pPr>
              <w:jc w:val="right"/>
            </w:pPr>
            <w:r w:rsidRPr="0091009E">
              <w:t>8,39</w:t>
            </w:r>
          </w:p>
        </w:tc>
        <w:tc>
          <w:tcPr>
            <w:tcW w:w="996" w:type="dxa"/>
          </w:tcPr>
          <w:p w:rsidR="005943FD" w:rsidRPr="0091009E" w:rsidRDefault="005943FD" w:rsidP="00464A85">
            <w:pPr>
              <w:jc w:val="right"/>
            </w:pPr>
            <w:r w:rsidRPr="0091009E">
              <w:t>13,64</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Igaporã - BA</w:t>
            </w:r>
          </w:p>
        </w:tc>
        <w:tc>
          <w:tcPr>
            <w:tcW w:w="956" w:type="dxa"/>
          </w:tcPr>
          <w:p w:rsidR="005943FD" w:rsidRPr="0091009E" w:rsidRDefault="005943FD" w:rsidP="00464A85">
            <w:pPr>
              <w:jc w:val="right"/>
            </w:pPr>
            <w:r w:rsidRPr="0091009E">
              <w:t>1,57</w:t>
            </w:r>
          </w:p>
        </w:tc>
        <w:tc>
          <w:tcPr>
            <w:tcW w:w="956" w:type="dxa"/>
          </w:tcPr>
          <w:p w:rsidR="005943FD" w:rsidRPr="0091009E" w:rsidRDefault="005943FD" w:rsidP="00464A85">
            <w:pPr>
              <w:jc w:val="right"/>
            </w:pPr>
            <w:r w:rsidRPr="0091009E">
              <w:t>3,97</w:t>
            </w:r>
          </w:p>
        </w:tc>
        <w:tc>
          <w:tcPr>
            <w:tcW w:w="996" w:type="dxa"/>
          </w:tcPr>
          <w:p w:rsidR="005943FD" w:rsidRPr="0091009E" w:rsidRDefault="005943FD" w:rsidP="00464A85">
            <w:pPr>
              <w:jc w:val="right"/>
            </w:pPr>
            <w:r w:rsidRPr="0091009E">
              <w:t>8,55</w:t>
            </w:r>
          </w:p>
        </w:tc>
        <w:tc>
          <w:tcPr>
            <w:tcW w:w="956" w:type="dxa"/>
          </w:tcPr>
          <w:p w:rsidR="005943FD" w:rsidRPr="0091009E" w:rsidRDefault="005943FD" w:rsidP="00464A85">
            <w:pPr>
              <w:jc w:val="right"/>
            </w:pPr>
            <w:r w:rsidRPr="0091009E">
              <w:t>6,85</w:t>
            </w:r>
          </w:p>
        </w:tc>
        <w:tc>
          <w:tcPr>
            <w:tcW w:w="996" w:type="dxa"/>
          </w:tcPr>
          <w:p w:rsidR="005943FD" w:rsidRPr="0091009E" w:rsidRDefault="005943FD" w:rsidP="00464A85">
            <w:pPr>
              <w:jc w:val="right"/>
            </w:pPr>
            <w:r w:rsidRPr="0091009E">
              <w:t>122,18</w:t>
            </w:r>
          </w:p>
        </w:tc>
        <w:tc>
          <w:tcPr>
            <w:tcW w:w="996" w:type="dxa"/>
          </w:tcPr>
          <w:p w:rsidR="005943FD" w:rsidRPr="0091009E" w:rsidRDefault="005943FD" w:rsidP="00464A85">
            <w:pPr>
              <w:jc w:val="right"/>
            </w:pPr>
            <w:r w:rsidRPr="0091009E">
              <w:t>84,1</w:t>
            </w:r>
            <w:r w:rsidR="00464A85">
              <w:t>0</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Itarema - CE</w:t>
            </w:r>
          </w:p>
        </w:tc>
        <w:tc>
          <w:tcPr>
            <w:tcW w:w="956" w:type="dxa"/>
          </w:tcPr>
          <w:p w:rsidR="005943FD" w:rsidRPr="0091009E" w:rsidRDefault="005943FD" w:rsidP="00464A85">
            <w:pPr>
              <w:jc w:val="right"/>
            </w:pPr>
            <w:r w:rsidRPr="0091009E">
              <w:t>4,37</w:t>
            </w:r>
          </w:p>
        </w:tc>
        <w:tc>
          <w:tcPr>
            <w:tcW w:w="956" w:type="dxa"/>
          </w:tcPr>
          <w:p w:rsidR="005943FD" w:rsidRPr="0091009E" w:rsidRDefault="005943FD" w:rsidP="00464A85">
            <w:pPr>
              <w:jc w:val="right"/>
            </w:pPr>
            <w:r w:rsidRPr="0091009E">
              <w:t>2,81</w:t>
            </w:r>
          </w:p>
        </w:tc>
        <w:tc>
          <w:tcPr>
            <w:tcW w:w="996" w:type="dxa"/>
          </w:tcPr>
          <w:p w:rsidR="005943FD" w:rsidRPr="0091009E" w:rsidRDefault="005943FD" w:rsidP="00464A85">
            <w:pPr>
              <w:jc w:val="right"/>
            </w:pPr>
            <w:r w:rsidRPr="0091009E">
              <w:t>-4,63</w:t>
            </w:r>
          </w:p>
        </w:tc>
        <w:tc>
          <w:tcPr>
            <w:tcW w:w="956" w:type="dxa"/>
          </w:tcPr>
          <w:p w:rsidR="005943FD" w:rsidRPr="0091009E" w:rsidRDefault="005943FD" w:rsidP="00464A85">
            <w:pPr>
              <w:jc w:val="right"/>
            </w:pPr>
            <w:r w:rsidRPr="0091009E">
              <w:t>24,47</w:t>
            </w:r>
          </w:p>
        </w:tc>
        <w:tc>
          <w:tcPr>
            <w:tcW w:w="996" w:type="dxa"/>
          </w:tcPr>
          <w:p w:rsidR="005943FD" w:rsidRPr="0091009E" w:rsidRDefault="005943FD" w:rsidP="00464A85">
            <w:pPr>
              <w:jc w:val="right"/>
            </w:pPr>
            <w:r w:rsidRPr="0091009E">
              <w:t>29,05</w:t>
            </w:r>
          </w:p>
        </w:tc>
        <w:tc>
          <w:tcPr>
            <w:tcW w:w="996" w:type="dxa"/>
          </w:tcPr>
          <w:p w:rsidR="005943FD" w:rsidRPr="0091009E" w:rsidRDefault="005943FD" w:rsidP="00464A85">
            <w:pPr>
              <w:jc w:val="right"/>
            </w:pPr>
            <w:r w:rsidRPr="0091009E">
              <w:t>26,93</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Iturama - MG</w:t>
            </w:r>
          </w:p>
        </w:tc>
        <w:tc>
          <w:tcPr>
            <w:tcW w:w="956" w:type="dxa"/>
          </w:tcPr>
          <w:p w:rsidR="005943FD" w:rsidRPr="0091009E" w:rsidRDefault="005943FD" w:rsidP="00464A85">
            <w:pPr>
              <w:jc w:val="right"/>
            </w:pPr>
            <w:r w:rsidRPr="0091009E">
              <w:t>-7,8</w:t>
            </w:r>
          </w:p>
        </w:tc>
        <w:tc>
          <w:tcPr>
            <w:tcW w:w="956" w:type="dxa"/>
          </w:tcPr>
          <w:p w:rsidR="005943FD" w:rsidRPr="0091009E" w:rsidRDefault="005943FD" w:rsidP="00464A85">
            <w:pPr>
              <w:jc w:val="right"/>
            </w:pPr>
            <w:r w:rsidRPr="0091009E">
              <w:t>-11,1</w:t>
            </w:r>
          </w:p>
        </w:tc>
        <w:tc>
          <w:tcPr>
            <w:tcW w:w="996" w:type="dxa"/>
          </w:tcPr>
          <w:p w:rsidR="005943FD" w:rsidRPr="0091009E" w:rsidRDefault="005943FD" w:rsidP="00464A85">
            <w:pPr>
              <w:jc w:val="right"/>
            </w:pPr>
            <w:r w:rsidRPr="0091009E">
              <w:t>-6,62</w:t>
            </w:r>
          </w:p>
        </w:tc>
        <w:tc>
          <w:tcPr>
            <w:tcW w:w="956" w:type="dxa"/>
          </w:tcPr>
          <w:p w:rsidR="005943FD" w:rsidRPr="0091009E" w:rsidRDefault="005943FD" w:rsidP="00464A85">
            <w:pPr>
              <w:jc w:val="right"/>
            </w:pPr>
            <w:r w:rsidRPr="0091009E">
              <w:t>11,46</w:t>
            </w:r>
          </w:p>
        </w:tc>
        <w:tc>
          <w:tcPr>
            <w:tcW w:w="996" w:type="dxa"/>
          </w:tcPr>
          <w:p w:rsidR="005943FD" w:rsidRPr="0091009E" w:rsidRDefault="005943FD" w:rsidP="00464A85">
            <w:pPr>
              <w:jc w:val="right"/>
            </w:pPr>
            <w:r w:rsidRPr="0091009E">
              <w:t>25,97</w:t>
            </w:r>
          </w:p>
        </w:tc>
        <w:tc>
          <w:tcPr>
            <w:tcW w:w="996" w:type="dxa"/>
          </w:tcPr>
          <w:p w:rsidR="005943FD" w:rsidRPr="0091009E" w:rsidRDefault="005943FD" w:rsidP="00464A85">
            <w:pPr>
              <w:jc w:val="right"/>
            </w:pPr>
            <w:r w:rsidRPr="0091009E">
              <w:t>22,34</w:t>
            </w:r>
          </w:p>
        </w:tc>
        <w:tc>
          <w:tcPr>
            <w:tcW w:w="1076" w:type="dxa"/>
          </w:tcPr>
          <w:p w:rsidR="005943FD" w:rsidRPr="0091009E" w:rsidRDefault="005943FD" w:rsidP="00464A85">
            <w:pPr>
              <w:jc w:val="right"/>
            </w:pPr>
            <w:r w:rsidRPr="0091009E">
              <w:t>-0,87</w:t>
            </w:r>
          </w:p>
        </w:tc>
      </w:tr>
      <w:tr w:rsidR="005943FD" w:rsidTr="00464A85">
        <w:tc>
          <w:tcPr>
            <w:tcW w:w="3489" w:type="dxa"/>
          </w:tcPr>
          <w:p w:rsidR="005943FD" w:rsidRPr="0091009E" w:rsidRDefault="005943FD" w:rsidP="001C4270">
            <w:r w:rsidRPr="0091009E">
              <w:t>João Câmara - RN</w:t>
            </w:r>
          </w:p>
        </w:tc>
        <w:tc>
          <w:tcPr>
            <w:tcW w:w="956" w:type="dxa"/>
          </w:tcPr>
          <w:p w:rsidR="005943FD" w:rsidRPr="0091009E" w:rsidRDefault="005943FD" w:rsidP="00464A85">
            <w:pPr>
              <w:jc w:val="right"/>
            </w:pPr>
            <w:r w:rsidRPr="0091009E">
              <w:t>-4,55</w:t>
            </w:r>
          </w:p>
        </w:tc>
        <w:tc>
          <w:tcPr>
            <w:tcW w:w="956" w:type="dxa"/>
          </w:tcPr>
          <w:p w:rsidR="005943FD" w:rsidRPr="0091009E" w:rsidRDefault="005943FD" w:rsidP="00464A85">
            <w:pPr>
              <w:jc w:val="right"/>
            </w:pPr>
            <w:r w:rsidRPr="0091009E">
              <w:t>2,8</w:t>
            </w:r>
            <w:r w:rsidR="00464A85">
              <w:t>0</w:t>
            </w:r>
          </w:p>
        </w:tc>
        <w:tc>
          <w:tcPr>
            <w:tcW w:w="996" w:type="dxa"/>
          </w:tcPr>
          <w:p w:rsidR="005943FD" w:rsidRPr="0091009E" w:rsidRDefault="005943FD" w:rsidP="00464A85">
            <w:pPr>
              <w:jc w:val="right"/>
            </w:pPr>
            <w:r w:rsidRPr="0091009E">
              <w:t>2,32</w:t>
            </w:r>
          </w:p>
        </w:tc>
        <w:tc>
          <w:tcPr>
            <w:tcW w:w="956" w:type="dxa"/>
          </w:tcPr>
          <w:p w:rsidR="005943FD" w:rsidRPr="0091009E" w:rsidRDefault="005943FD" w:rsidP="00464A85">
            <w:pPr>
              <w:jc w:val="right"/>
            </w:pPr>
            <w:r w:rsidRPr="0091009E">
              <w:t>4,3</w:t>
            </w:r>
            <w:r w:rsidR="00464A85">
              <w:t>0</w:t>
            </w:r>
          </w:p>
        </w:tc>
        <w:tc>
          <w:tcPr>
            <w:tcW w:w="996" w:type="dxa"/>
          </w:tcPr>
          <w:p w:rsidR="005943FD" w:rsidRPr="0091009E" w:rsidRDefault="005943FD" w:rsidP="00464A85">
            <w:pPr>
              <w:jc w:val="right"/>
            </w:pPr>
            <w:r w:rsidRPr="0091009E">
              <w:t>33,29</w:t>
            </w:r>
          </w:p>
        </w:tc>
        <w:tc>
          <w:tcPr>
            <w:tcW w:w="996" w:type="dxa"/>
          </w:tcPr>
          <w:p w:rsidR="005943FD" w:rsidRPr="0091009E" w:rsidRDefault="005943FD" w:rsidP="00464A85">
            <w:pPr>
              <w:jc w:val="right"/>
            </w:pPr>
            <w:r w:rsidRPr="0091009E">
              <w:t>73,93</w:t>
            </w:r>
          </w:p>
        </w:tc>
        <w:tc>
          <w:tcPr>
            <w:tcW w:w="1076" w:type="dxa"/>
          </w:tcPr>
          <w:p w:rsidR="005943FD" w:rsidRPr="0091009E" w:rsidRDefault="005943FD" w:rsidP="00464A85">
            <w:pPr>
              <w:jc w:val="right"/>
            </w:pPr>
            <w:r w:rsidRPr="0091009E">
              <w:t>71</w:t>
            </w:r>
            <w:r w:rsidR="00464A85">
              <w:t>,00</w:t>
            </w:r>
          </w:p>
        </w:tc>
      </w:tr>
      <w:tr w:rsidR="00464A85" w:rsidTr="00464A85">
        <w:tc>
          <w:tcPr>
            <w:tcW w:w="3489" w:type="dxa"/>
          </w:tcPr>
          <w:p w:rsidR="00464A85" w:rsidRPr="0091009E" w:rsidRDefault="00464A85" w:rsidP="001C4270">
            <w:r w:rsidRPr="0091009E">
              <w:t>Macaparana - PE</w:t>
            </w:r>
          </w:p>
        </w:tc>
        <w:tc>
          <w:tcPr>
            <w:tcW w:w="956" w:type="dxa"/>
          </w:tcPr>
          <w:p w:rsidR="00464A85" w:rsidRDefault="00464A85" w:rsidP="00464A85">
            <w:pPr>
              <w:jc w:val="right"/>
            </w:pPr>
            <w:r w:rsidRPr="00FD11A9">
              <w:t>0,00</w:t>
            </w:r>
          </w:p>
        </w:tc>
        <w:tc>
          <w:tcPr>
            <w:tcW w:w="956" w:type="dxa"/>
          </w:tcPr>
          <w:p w:rsidR="00464A85" w:rsidRDefault="00464A85" w:rsidP="00464A85">
            <w:pPr>
              <w:jc w:val="right"/>
            </w:pPr>
            <w:r w:rsidRPr="00FD11A9">
              <w:t>0,00</w:t>
            </w:r>
          </w:p>
        </w:tc>
        <w:tc>
          <w:tcPr>
            <w:tcW w:w="996" w:type="dxa"/>
          </w:tcPr>
          <w:p w:rsidR="00464A85" w:rsidRDefault="00464A85" w:rsidP="00464A85">
            <w:pPr>
              <w:jc w:val="right"/>
            </w:pPr>
            <w:r w:rsidRPr="00FD11A9">
              <w:t>0,00</w:t>
            </w:r>
          </w:p>
        </w:tc>
        <w:tc>
          <w:tcPr>
            <w:tcW w:w="956" w:type="dxa"/>
          </w:tcPr>
          <w:p w:rsidR="00464A85" w:rsidRPr="0091009E" w:rsidRDefault="00464A85" w:rsidP="00464A85">
            <w:pPr>
              <w:jc w:val="right"/>
            </w:pPr>
            <w:r w:rsidRPr="0091009E">
              <w:t>0,93</w:t>
            </w:r>
          </w:p>
        </w:tc>
        <w:tc>
          <w:tcPr>
            <w:tcW w:w="996" w:type="dxa"/>
          </w:tcPr>
          <w:p w:rsidR="00464A85" w:rsidRPr="0091009E" w:rsidRDefault="00464A85" w:rsidP="00464A85">
            <w:pPr>
              <w:jc w:val="right"/>
            </w:pPr>
            <w:r w:rsidRPr="0091009E">
              <w:t>0,48</w:t>
            </w:r>
          </w:p>
        </w:tc>
        <w:tc>
          <w:tcPr>
            <w:tcW w:w="996" w:type="dxa"/>
          </w:tcPr>
          <w:p w:rsidR="00464A85" w:rsidRPr="0091009E" w:rsidRDefault="00464A85" w:rsidP="00464A85">
            <w:pPr>
              <w:jc w:val="right"/>
            </w:pPr>
            <w:r w:rsidRPr="0091009E">
              <w:t>-4,62</w:t>
            </w:r>
          </w:p>
        </w:tc>
        <w:tc>
          <w:tcPr>
            <w:tcW w:w="1076" w:type="dxa"/>
          </w:tcPr>
          <w:p w:rsidR="00464A85" w:rsidRPr="0091009E" w:rsidRDefault="00464A85" w:rsidP="00464A85">
            <w:pPr>
              <w:jc w:val="right"/>
            </w:pPr>
            <w:r w:rsidRPr="0091009E">
              <w:t>3,3</w:t>
            </w:r>
            <w:r>
              <w:t>0</w:t>
            </w:r>
          </w:p>
        </w:tc>
      </w:tr>
      <w:tr w:rsidR="005943FD" w:rsidTr="00464A85">
        <w:tc>
          <w:tcPr>
            <w:tcW w:w="3489" w:type="dxa"/>
          </w:tcPr>
          <w:p w:rsidR="005943FD" w:rsidRPr="0091009E" w:rsidRDefault="005943FD" w:rsidP="001C4270">
            <w:r w:rsidRPr="0091009E">
              <w:t>Palmares do Sul - RS</w:t>
            </w:r>
          </w:p>
        </w:tc>
        <w:tc>
          <w:tcPr>
            <w:tcW w:w="956" w:type="dxa"/>
          </w:tcPr>
          <w:p w:rsidR="005943FD" w:rsidRPr="0091009E" w:rsidRDefault="005943FD" w:rsidP="00464A85">
            <w:pPr>
              <w:jc w:val="right"/>
            </w:pPr>
            <w:r w:rsidRPr="0091009E">
              <w:t>-0,31</w:t>
            </w:r>
          </w:p>
        </w:tc>
        <w:tc>
          <w:tcPr>
            <w:tcW w:w="956" w:type="dxa"/>
          </w:tcPr>
          <w:p w:rsidR="005943FD" w:rsidRPr="0091009E" w:rsidRDefault="005943FD" w:rsidP="00464A85">
            <w:pPr>
              <w:jc w:val="right"/>
            </w:pPr>
            <w:r w:rsidRPr="0091009E">
              <w:t>-2,92</w:t>
            </w:r>
          </w:p>
        </w:tc>
        <w:tc>
          <w:tcPr>
            <w:tcW w:w="996" w:type="dxa"/>
          </w:tcPr>
          <w:p w:rsidR="005943FD" w:rsidRPr="0091009E" w:rsidRDefault="005943FD" w:rsidP="00464A85">
            <w:pPr>
              <w:jc w:val="right"/>
            </w:pPr>
            <w:r w:rsidRPr="0091009E">
              <w:t>-0,25</w:t>
            </w:r>
          </w:p>
        </w:tc>
        <w:tc>
          <w:tcPr>
            <w:tcW w:w="956" w:type="dxa"/>
          </w:tcPr>
          <w:p w:rsidR="005943FD" w:rsidRPr="0091009E" w:rsidRDefault="005943FD" w:rsidP="00464A85">
            <w:pPr>
              <w:jc w:val="right"/>
            </w:pPr>
            <w:r w:rsidRPr="0091009E">
              <w:t>-4,51</w:t>
            </w:r>
          </w:p>
        </w:tc>
        <w:tc>
          <w:tcPr>
            <w:tcW w:w="996" w:type="dxa"/>
          </w:tcPr>
          <w:p w:rsidR="005943FD" w:rsidRPr="0091009E" w:rsidRDefault="005943FD" w:rsidP="00464A85">
            <w:pPr>
              <w:jc w:val="right"/>
            </w:pPr>
            <w:r w:rsidRPr="0091009E">
              <w:t>-7,49</w:t>
            </w:r>
          </w:p>
        </w:tc>
        <w:tc>
          <w:tcPr>
            <w:tcW w:w="996" w:type="dxa"/>
          </w:tcPr>
          <w:p w:rsidR="005943FD" w:rsidRPr="0091009E" w:rsidRDefault="005943FD" w:rsidP="00464A85">
            <w:pPr>
              <w:jc w:val="right"/>
            </w:pPr>
            <w:r w:rsidRPr="0091009E">
              <w:t>-25,19</w:t>
            </w:r>
          </w:p>
        </w:tc>
        <w:tc>
          <w:tcPr>
            <w:tcW w:w="1076" w:type="dxa"/>
          </w:tcPr>
          <w:p w:rsidR="005943FD" w:rsidRPr="0091009E" w:rsidRDefault="005943FD" w:rsidP="00464A85">
            <w:pPr>
              <w:jc w:val="right"/>
            </w:pPr>
            <w:r w:rsidRPr="0091009E">
              <w:t>-20,35</w:t>
            </w:r>
          </w:p>
        </w:tc>
      </w:tr>
      <w:tr w:rsidR="005943FD" w:rsidTr="00464A85">
        <w:tc>
          <w:tcPr>
            <w:tcW w:w="3489" w:type="dxa"/>
          </w:tcPr>
          <w:p w:rsidR="005943FD" w:rsidRPr="0091009E" w:rsidRDefault="005943FD" w:rsidP="001C4270">
            <w:r w:rsidRPr="0091009E">
              <w:t>Paracuru - CE</w:t>
            </w:r>
          </w:p>
        </w:tc>
        <w:tc>
          <w:tcPr>
            <w:tcW w:w="956" w:type="dxa"/>
          </w:tcPr>
          <w:p w:rsidR="005943FD" w:rsidRPr="0091009E" w:rsidRDefault="005943FD" w:rsidP="00464A85">
            <w:pPr>
              <w:jc w:val="right"/>
            </w:pPr>
            <w:r w:rsidRPr="0091009E">
              <w:t>-3,23</w:t>
            </w:r>
          </w:p>
        </w:tc>
        <w:tc>
          <w:tcPr>
            <w:tcW w:w="956" w:type="dxa"/>
          </w:tcPr>
          <w:p w:rsidR="005943FD" w:rsidRPr="0091009E" w:rsidRDefault="005943FD" w:rsidP="00464A85">
            <w:pPr>
              <w:jc w:val="right"/>
            </w:pPr>
            <w:r w:rsidRPr="0091009E">
              <w:t>2,22</w:t>
            </w:r>
          </w:p>
        </w:tc>
        <w:tc>
          <w:tcPr>
            <w:tcW w:w="996" w:type="dxa"/>
          </w:tcPr>
          <w:p w:rsidR="005943FD" w:rsidRPr="0091009E" w:rsidRDefault="005943FD" w:rsidP="00464A85">
            <w:pPr>
              <w:jc w:val="right"/>
            </w:pPr>
            <w:r w:rsidRPr="0091009E">
              <w:t>-1,31</w:t>
            </w:r>
          </w:p>
        </w:tc>
        <w:tc>
          <w:tcPr>
            <w:tcW w:w="956" w:type="dxa"/>
          </w:tcPr>
          <w:p w:rsidR="005943FD" w:rsidRPr="0091009E" w:rsidRDefault="005943FD" w:rsidP="00464A85">
            <w:pPr>
              <w:jc w:val="right"/>
            </w:pPr>
            <w:r w:rsidRPr="0091009E">
              <w:t>4,93</w:t>
            </w:r>
          </w:p>
        </w:tc>
        <w:tc>
          <w:tcPr>
            <w:tcW w:w="996" w:type="dxa"/>
          </w:tcPr>
          <w:p w:rsidR="005943FD" w:rsidRPr="0091009E" w:rsidRDefault="005943FD" w:rsidP="00464A85">
            <w:pPr>
              <w:jc w:val="right"/>
            </w:pPr>
            <w:r w:rsidRPr="0091009E">
              <w:t>22,77</w:t>
            </w:r>
          </w:p>
        </w:tc>
        <w:tc>
          <w:tcPr>
            <w:tcW w:w="996" w:type="dxa"/>
          </w:tcPr>
          <w:p w:rsidR="005943FD" w:rsidRPr="0091009E" w:rsidRDefault="005943FD" w:rsidP="00464A85">
            <w:pPr>
              <w:jc w:val="right"/>
            </w:pPr>
            <w:r w:rsidRPr="0091009E">
              <w:t>4,09</w:t>
            </w:r>
          </w:p>
        </w:tc>
        <w:tc>
          <w:tcPr>
            <w:tcW w:w="1076" w:type="dxa"/>
          </w:tcPr>
          <w:p w:rsidR="005943FD" w:rsidRPr="0091009E" w:rsidRDefault="005943FD" w:rsidP="00464A85">
            <w:pPr>
              <w:jc w:val="right"/>
            </w:pPr>
            <w:r w:rsidRPr="0091009E">
              <w:t>7,11</w:t>
            </w:r>
          </w:p>
        </w:tc>
      </w:tr>
      <w:tr w:rsidR="005943FD" w:rsidTr="00464A85">
        <w:tc>
          <w:tcPr>
            <w:tcW w:w="3489" w:type="dxa"/>
          </w:tcPr>
          <w:p w:rsidR="005943FD" w:rsidRPr="0091009E" w:rsidRDefault="005943FD" w:rsidP="001C4270">
            <w:r w:rsidRPr="0091009E">
              <w:t>Parazinho - RN</w:t>
            </w:r>
          </w:p>
        </w:tc>
        <w:tc>
          <w:tcPr>
            <w:tcW w:w="956" w:type="dxa"/>
          </w:tcPr>
          <w:p w:rsidR="005943FD" w:rsidRPr="0091009E" w:rsidRDefault="005943FD" w:rsidP="00464A85">
            <w:pPr>
              <w:jc w:val="right"/>
            </w:pPr>
            <w:r w:rsidRPr="0091009E">
              <w:t>-75,69</w:t>
            </w:r>
          </w:p>
        </w:tc>
        <w:tc>
          <w:tcPr>
            <w:tcW w:w="956" w:type="dxa"/>
          </w:tcPr>
          <w:p w:rsidR="005943FD" w:rsidRPr="0091009E" w:rsidRDefault="005943FD" w:rsidP="00464A85">
            <w:pPr>
              <w:jc w:val="right"/>
            </w:pPr>
            <w:r w:rsidRPr="0091009E">
              <w:t>-32,54</w:t>
            </w:r>
          </w:p>
        </w:tc>
        <w:tc>
          <w:tcPr>
            <w:tcW w:w="996" w:type="dxa"/>
          </w:tcPr>
          <w:p w:rsidR="005943FD" w:rsidRPr="0091009E" w:rsidRDefault="005943FD" w:rsidP="00464A85">
            <w:pPr>
              <w:jc w:val="right"/>
            </w:pPr>
            <w:r w:rsidRPr="0091009E">
              <w:t>114,68</w:t>
            </w:r>
          </w:p>
        </w:tc>
        <w:tc>
          <w:tcPr>
            <w:tcW w:w="956" w:type="dxa"/>
          </w:tcPr>
          <w:p w:rsidR="005943FD" w:rsidRPr="0091009E" w:rsidRDefault="005943FD" w:rsidP="00464A85">
            <w:pPr>
              <w:jc w:val="right"/>
            </w:pPr>
            <w:r w:rsidRPr="0091009E">
              <w:t>30,32</w:t>
            </w:r>
          </w:p>
        </w:tc>
        <w:tc>
          <w:tcPr>
            <w:tcW w:w="996" w:type="dxa"/>
          </w:tcPr>
          <w:p w:rsidR="005943FD" w:rsidRPr="0091009E" w:rsidRDefault="005943FD" w:rsidP="00464A85">
            <w:pPr>
              <w:jc w:val="right"/>
            </w:pPr>
            <w:r w:rsidRPr="0091009E">
              <w:t>70,51</w:t>
            </w:r>
          </w:p>
        </w:tc>
        <w:tc>
          <w:tcPr>
            <w:tcW w:w="996" w:type="dxa"/>
          </w:tcPr>
          <w:p w:rsidR="005943FD" w:rsidRPr="0091009E" w:rsidRDefault="005943FD" w:rsidP="00464A85">
            <w:pPr>
              <w:jc w:val="right"/>
            </w:pPr>
            <w:r w:rsidRPr="0091009E">
              <w:t>45,84</w:t>
            </w:r>
          </w:p>
        </w:tc>
        <w:tc>
          <w:tcPr>
            <w:tcW w:w="1076" w:type="dxa"/>
          </w:tcPr>
          <w:p w:rsidR="005943FD" w:rsidRPr="0091009E" w:rsidRDefault="005943FD" w:rsidP="00464A85">
            <w:pPr>
              <w:jc w:val="right"/>
            </w:pPr>
            <w:r w:rsidRPr="0091009E">
              <w:t>#N/D</w:t>
            </w:r>
          </w:p>
        </w:tc>
      </w:tr>
      <w:tr w:rsidR="00464A85" w:rsidTr="00464A85">
        <w:tc>
          <w:tcPr>
            <w:tcW w:w="3489" w:type="dxa"/>
          </w:tcPr>
          <w:p w:rsidR="00464A85" w:rsidRPr="0091009E" w:rsidRDefault="00464A85" w:rsidP="001C4270">
            <w:r w:rsidRPr="0091009E">
              <w:t>Parnaíba - PI</w:t>
            </w:r>
          </w:p>
        </w:tc>
        <w:tc>
          <w:tcPr>
            <w:tcW w:w="956" w:type="dxa"/>
          </w:tcPr>
          <w:p w:rsidR="00464A85" w:rsidRDefault="00464A85" w:rsidP="00464A85">
            <w:pPr>
              <w:jc w:val="right"/>
            </w:pPr>
            <w:r w:rsidRPr="00410271">
              <w:t>0,00</w:t>
            </w:r>
          </w:p>
        </w:tc>
        <w:tc>
          <w:tcPr>
            <w:tcW w:w="956" w:type="dxa"/>
          </w:tcPr>
          <w:p w:rsidR="00464A85" w:rsidRDefault="00464A85" w:rsidP="00464A85">
            <w:pPr>
              <w:jc w:val="right"/>
            </w:pPr>
            <w:r w:rsidRPr="00410271">
              <w:t>0,00</w:t>
            </w:r>
          </w:p>
        </w:tc>
        <w:tc>
          <w:tcPr>
            <w:tcW w:w="996" w:type="dxa"/>
          </w:tcPr>
          <w:p w:rsidR="00464A85" w:rsidRDefault="00464A85" w:rsidP="00464A85">
            <w:pPr>
              <w:jc w:val="right"/>
            </w:pPr>
            <w:r w:rsidRPr="00410271">
              <w:t>0,00</w:t>
            </w:r>
          </w:p>
        </w:tc>
        <w:tc>
          <w:tcPr>
            <w:tcW w:w="956" w:type="dxa"/>
          </w:tcPr>
          <w:p w:rsidR="00464A85" w:rsidRPr="0091009E" w:rsidRDefault="00464A85" w:rsidP="00464A85">
            <w:pPr>
              <w:jc w:val="right"/>
            </w:pPr>
            <w:r w:rsidRPr="0091009E">
              <w:t>-5,65</w:t>
            </w:r>
          </w:p>
        </w:tc>
        <w:tc>
          <w:tcPr>
            <w:tcW w:w="996" w:type="dxa"/>
          </w:tcPr>
          <w:p w:rsidR="00464A85" w:rsidRPr="0091009E" w:rsidRDefault="00464A85" w:rsidP="00464A85">
            <w:pPr>
              <w:jc w:val="right"/>
            </w:pPr>
            <w:r w:rsidRPr="0091009E">
              <w:t>-6,72</w:t>
            </w:r>
          </w:p>
        </w:tc>
        <w:tc>
          <w:tcPr>
            <w:tcW w:w="996" w:type="dxa"/>
          </w:tcPr>
          <w:p w:rsidR="00464A85" w:rsidRPr="0091009E" w:rsidRDefault="00464A85" w:rsidP="00464A85">
            <w:pPr>
              <w:jc w:val="right"/>
            </w:pPr>
            <w:r w:rsidRPr="0091009E">
              <w:t>-0,47</w:t>
            </w:r>
          </w:p>
        </w:tc>
        <w:tc>
          <w:tcPr>
            <w:tcW w:w="1076" w:type="dxa"/>
          </w:tcPr>
          <w:p w:rsidR="00464A85" w:rsidRPr="0091009E" w:rsidRDefault="00464A85" w:rsidP="00464A85">
            <w:pPr>
              <w:jc w:val="right"/>
            </w:pPr>
            <w:r w:rsidRPr="0091009E">
              <w:t>5,56</w:t>
            </w:r>
          </w:p>
        </w:tc>
      </w:tr>
      <w:tr w:rsidR="005943FD" w:rsidTr="00464A85">
        <w:tc>
          <w:tcPr>
            <w:tcW w:w="3489" w:type="dxa"/>
          </w:tcPr>
          <w:p w:rsidR="005943FD" w:rsidRPr="0091009E" w:rsidRDefault="005943FD" w:rsidP="001C4270">
            <w:r w:rsidRPr="0091009E">
              <w:t>Pedra Grande - RN</w:t>
            </w:r>
          </w:p>
        </w:tc>
        <w:tc>
          <w:tcPr>
            <w:tcW w:w="956" w:type="dxa"/>
          </w:tcPr>
          <w:p w:rsidR="005943FD" w:rsidRPr="0091009E" w:rsidRDefault="005943FD" w:rsidP="00464A85">
            <w:pPr>
              <w:jc w:val="right"/>
            </w:pPr>
            <w:r w:rsidRPr="0091009E">
              <w:t>2,49</w:t>
            </w:r>
          </w:p>
        </w:tc>
        <w:tc>
          <w:tcPr>
            <w:tcW w:w="956" w:type="dxa"/>
          </w:tcPr>
          <w:p w:rsidR="005943FD" w:rsidRPr="0091009E" w:rsidRDefault="005943FD" w:rsidP="00464A85">
            <w:pPr>
              <w:jc w:val="right"/>
            </w:pPr>
            <w:r w:rsidRPr="0091009E">
              <w:t>10,23</w:t>
            </w:r>
          </w:p>
        </w:tc>
        <w:tc>
          <w:tcPr>
            <w:tcW w:w="996" w:type="dxa"/>
          </w:tcPr>
          <w:p w:rsidR="005943FD" w:rsidRPr="0091009E" w:rsidRDefault="005943FD" w:rsidP="00464A85">
            <w:pPr>
              <w:jc w:val="right"/>
            </w:pPr>
            <w:r w:rsidRPr="0091009E">
              <w:t>16,33</w:t>
            </w:r>
          </w:p>
        </w:tc>
        <w:tc>
          <w:tcPr>
            <w:tcW w:w="956" w:type="dxa"/>
          </w:tcPr>
          <w:p w:rsidR="005943FD" w:rsidRPr="0091009E" w:rsidRDefault="005943FD" w:rsidP="00464A85">
            <w:pPr>
              <w:jc w:val="right"/>
            </w:pPr>
            <w:r w:rsidRPr="0091009E">
              <w:t>26,08</w:t>
            </w:r>
          </w:p>
        </w:tc>
        <w:tc>
          <w:tcPr>
            <w:tcW w:w="996" w:type="dxa"/>
          </w:tcPr>
          <w:p w:rsidR="005943FD" w:rsidRPr="0091009E" w:rsidRDefault="005943FD" w:rsidP="00464A85">
            <w:pPr>
              <w:jc w:val="right"/>
            </w:pPr>
            <w:r w:rsidRPr="0091009E">
              <w:t>13,13</w:t>
            </w:r>
          </w:p>
        </w:tc>
        <w:tc>
          <w:tcPr>
            <w:tcW w:w="996" w:type="dxa"/>
          </w:tcPr>
          <w:p w:rsidR="005943FD" w:rsidRPr="0091009E" w:rsidRDefault="005943FD" w:rsidP="00464A85">
            <w:pPr>
              <w:jc w:val="right"/>
            </w:pPr>
            <w:r w:rsidRPr="0091009E">
              <w:t>338,07</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Pelotas - RS</w:t>
            </w:r>
          </w:p>
        </w:tc>
        <w:tc>
          <w:tcPr>
            <w:tcW w:w="956" w:type="dxa"/>
          </w:tcPr>
          <w:p w:rsidR="005943FD" w:rsidRPr="0091009E" w:rsidRDefault="005943FD" w:rsidP="00464A85">
            <w:pPr>
              <w:jc w:val="right"/>
            </w:pPr>
            <w:r w:rsidRPr="0091009E">
              <w:t>-0,66</w:t>
            </w:r>
          </w:p>
        </w:tc>
        <w:tc>
          <w:tcPr>
            <w:tcW w:w="956" w:type="dxa"/>
          </w:tcPr>
          <w:p w:rsidR="005943FD" w:rsidRPr="0091009E" w:rsidRDefault="005943FD" w:rsidP="00464A85">
            <w:pPr>
              <w:jc w:val="right"/>
            </w:pPr>
            <w:r w:rsidRPr="0091009E">
              <w:t>4,77</w:t>
            </w:r>
          </w:p>
        </w:tc>
        <w:tc>
          <w:tcPr>
            <w:tcW w:w="996" w:type="dxa"/>
          </w:tcPr>
          <w:p w:rsidR="005943FD" w:rsidRPr="0091009E" w:rsidRDefault="005943FD" w:rsidP="00464A85">
            <w:pPr>
              <w:jc w:val="right"/>
            </w:pPr>
            <w:r w:rsidRPr="0091009E">
              <w:t>2,68</w:t>
            </w:r>
          </w:p>
        </w:tc>
        <w:tc>
          <w:tcPr>
            <w:tcW w:w="956" w:type="dxa"/>
          </w:tcPr>
          <w:p w:rsidR="005943FD" w:rsidRPr="0091009E" w:rsidRDefault="005943FD" w:rsidP="00464A85">
            <w:pPr>
              <w:jc w:val="right"/>
            </w:pPr>
            <w:r w:rsidRPr="0091009E">
              <w:t>-5,68</w:t>
            </w:r>
          </w:p>
        </w:tc>
        <w:tc>
          <w:tcPr>
            <w:tcW w:w="996" w:type="dxa"/>
          </w:tcPr>
          <w:p w:rsidR="005943FD" w:rsidRPr="0091009E" w:rsidRDefault="005943FD" w:rsidP="00464A85">
            <w:pPr>
              <w:jc w:val="right"/>
            </w:pPr>
            <w:r w:rsidRPr="0091009E">
              <w:t>-2,57</w:t>
            </w:r>
          </w:p>
        </w:tc>
        <w:tc>
          <w:tcPr>
            <w:tcW w:w="996" w:type="dxa"/>
          </w:tcPr>
          <w:p w:rsidR="005943FD" w:rsidRPr="0091009E" w:rsidRDefault="005943FD" w:rsidP="00464A85">
            <w:pPr>
              <w:jc w:val="right"/>
            </w:pPr>
            <w:r w:rsidRPr="0091009E">
              <w:t>1,5</w:t>
            </w:r>
            <w:r w:rsidR="00464A85">
              <w:t>0</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Pombos - PE</w:t>
            </w:r>
          </w:p>
        </w:tc>
        <w:tc>
          <w:tcPr>
            <w:tcW w:w="956" w:type="dxa"/>
          </w:tcPr>
          <w:p w:rsidR="005943FD" w:rsidRPr="0091009E" w:rsidRDefault="005943FD" w:rsidP="00464A85">
            <w:pPr>
              <w:jc w:val="right"/>
            </w:pPr>
            <w:r w:rsidRPr="0091009E">
              <w:t>4,25</w:t>
            </w:r>
          </w:p>
        </w:tc>
        <w:tc>
          <w:tcPr>
            <w:tcW w:w="956" w:type="dxa"/>
          </w:tcPr>
          <w:p w:rsidR="005943FD" w:rsidRPr="0091009E" w:rsidRDefault="005943FD" w:rsidP="00464A85">
            <w:pPr>
              <w:jc w:val="right"/>
            </w:pPr>
            <w:r w:rsidRPr="0091009E">
              <w:t>1,19</w:t>
            </w:r>
          </w:p>
        </w:tc>
        <w:tc>
          <w:tcPr>
            <w:tcW w:w="996" w:type="dxa"/>
          </w:tcPr>
          <w:p w:rsidR="005943FD" w:rsidRPr="0091009E" w:rsidRDefault="005943FD" w:rsidP="00464A85">
            <w:pPr>
              <w:jc w:val="right"/>
            </w:pPr>
            <w:r w:rsidRPr="0091009E">
              <w:t>-1,13</w:t>
            </w:r>
          </w:p>
        </w:tc>
        <w:tc>
          <w:tcPr>
            <w:tcW w:w="956" w:type="dxa"/>
          </w:tcPr>
          <w:p w:rsidR="005943FD" w:rsidRPr="0091009E" w:rsidRDefault="005943FD" w:rsidP="00464A85">
            <w:pPr>
              <w:jc w:val="right"/>
            </w:pPr>
            <w:r w:rsidRPr="0091009E">
              <w:t>9,58</w:t>
            </w:r>
          </w:p>
        </w:tc>
        <w:tc>
          <w:tcPr>
            <w:tcW w:w="996" w:type="dxa"/>
          </w:tcPr>
          <w:p w:rsidR="005943FD" w:rsidRPr="0091009E" w:rsidRDefault="005943FD" w:rsidP="00464A85">
            <w:pPr>
              <w:jc w:val="right"/>
            </w:pPr>
            <w:r w:rsidRPr="0091009E">
              <w:t>7,73</w:t>
            </w:r>
          </w:p>
        </w:tc>
        <w:tc>
          <w:tcPr>
            <w:tcW w:w="996" w:type="dxa"/>
          </w:tcPr>
          <w:p w:rsidR="005943FD" w:rsidRPr="0091009E" w:rsidRDefault="005943FD" w:rsidP="00464A85">
            <w:pPr>
              <w:jc w:val="right"/>
            </w:pPr>
            <w:r w:rsidRPr="0091009E">
              <w:t>12,32</w:t>
            </w:r>
          </w:p>
        </w:tc>
        <w:tc>
          <w:tcPr>
            <w:tcW w:w="1076" w:type="dxa"/>
          </w:tcPr>
          <w:p w:rsidR="005943FD" w:rsidRPr="0091009E" w:rsidRDefault="005943FD" w:rsidP="00464A85">
            <w:pPr>
              <w:jc w:val="right"/>
            </w:pPr>
            <w:r w:rsidRPr="0091009E">
              <w:t>8,68</w:t>
            </w:r>
          </w:p>
        </w:tc>
      </w:tr>
      <w:tr w:rsidR="005943FD" w:rsidTr="00464A85">
        <w:tc>
          <w:tcPr>
            <w:tcW w:w="3489" w:type="dxa"/>
          </w:tcPr>
          <w:p w:rsidR="005943FD" w:rsidRPr="0091009E" w:rsidRDefault="005943FD" w:rsidP="001C4270">
            <w:proofErr w:type="gramStart"/>
            <w:r w:rsidRPr="0091009E">
              <w:t>Sant'Ana</w:t>
            </w:r>
            <w:proofErr w:type="gramEnd"/>
            <w:r w:rsidRPr="0091009E">
              <w:t xml:space="preserve"> do Livramento - RS</w:t>
            </w:r>
          </w:p>
        </w:tc>
        <w:tc>
          <w:tcPr>
            <w:tcW w:w="956" w:type="dxa"/>
          </w:tcPr>
          <w:p w:rsidR="005943FD" w:rsidRPr="0091009E" w:rsidRDefault="005943FD" w:rsidP="00464A85">
            <w:pPr>
              <w:jc w:val="right"/>
            </w:pPr>
            <w:r w:rsidRPr="0091009E">
              <w:t>-0,16</w:t>
            </w:r>
          </w:p>
        </w:tc>
        <w:tc>
          <w:tcPr>
            <w:tcW w:w="956" w:type="dxa"/>
          </w:tcPr>
          <w:p w:rsidR="005943FD" w:rsidRPr="0091009E" w:rsidRDefault="005943FD" w:rsidP="00464A85">
            <w:pPr>
              <w:jc w:val="right"/>
            </w:pPr>
            <w:r w:rsidRPr="0091009E">
              <w:t>5,17</w:t>
            </w:r>
          </w:p>
        </w:tc>
        <w:tc>
          <w:tcPr>
            <w:tcW w:w="996" w:type="dxa"/>
          </w:tcPr>
          <w:p w:rsidR="005943FD" w:rsidRPr="0091009E" w:rsidRDefault="005943FD" w:rsidP="00464A85">
            <w:pPr>
              <w:jc w:val="right"/>
            </w:pPr>
            <w:r w:rsidRPr="0091009E">
              <w:t>-2,87</w:t>
            </w:r>
          </w:p>
        </w:tc>
        <w:tc>
          <w:tcPr>
            <w:tcW w:w="956" w:type="dxa"/>
          </w:tcPr>
          <w:p w:rsidR="005943FD" w:rsidRPr="0091009E" w:rsidRDefault="005943FD" w:rsidP="00464A85">
            <w:pPr>
              <w:jc w:val="right"/>
            </w:pPr>
            <w:r w:rsidRPr="0091009E">
              <w:t>9,86</w:t>
            </w:r>
          </w:p>
        </w:tc>
        <w:tc>
          <w:tcPr>
            <w:tcW w:w="996" w:type="dxa"/>
          </w:tcPr>
          <w:p w:rsidR="005943FD" w:rsidRPr="0091009E" w:rsidRDefault="005943FD" w:rsidP="00464A85">
            <w:pPr>
              <w:jc w:val="right"/>
            </w:pPr>
            <w:r w:rsidRPr="0091009E">
              <w:t>11,87</w:t>
            </w:r>
          </w:p>
        </w:tc>
        <w:tc>
          <w:tcPr>
            <w:tcW w:w="996" w:type="dxa"/>
          </w:tcPr>
          <w:p w:rsidR="005943FD" w:rsidRPr="0091009E" w:rsidRDefault="005943FD" w:rsidP="00464A85">
            <w:pPr>
              <w:jc w:val="right"/>
            </w:pPr>
            <w:r w:rsidRPr="0091009E">
              <w:t>9,32</w:t>
            </w:r>
          </w:p>
        </w:tc>
        <w:tc>
          <w:tcPr>
            <w:tcW w:w="1076" w:type="dxa"/>
          </w:tcPr>
          <w:p w:rsidR="005943FD" w:rsidRPr="0091009E" w:rsidRDefault="005943FD" w:rsidP="00464A85">
            <w:pPr>
              <w:jc w:val="right"/>
            </w:pPr>
            <w:r w:rsidRPr="0091009E">
              <w:t>8,81</w:t>
            </w:r>
          </w:p>
        </w:tc>
      </w:tr>
      <w:tr w:rsidR="005943FD" w:rsidTr="00464A85">
        <w:tc>
          <w:tcPr>
            <w:tcW w:w="3489" w:type="dxa"/>
          </w:tcPr>
          <w:p w:rsidR="005943FD" w:rsidRPr="0091009E" w:rsidRDefault="005943FD" w:rsidP="001C4270">
            <w:r w:rsidRPr="0091009E">
              <w:t>São Francisco de Itabapoana - RJ</w:t>
            </w:r>
          </w:p>
        </w:tc>
        <w:tc>
          <w:tcPr>
            <w:tcW w:w="956" w:type="dxa"/>
          </w:tcPr>
          <w:p w:rsidR="005943FD" w:rsidRPr="0091009E" w:rsidRDefault="005943FD" w:rsidP="00464A85">
            <w:pPr>
              <w:jc w:val="right"/>
            </w:pPr>
            <w:r w:rsidRPr="0091009E">
              <w:t>2,1</w:t>
            </w:r>
            <w:r w:rsidR="00464A85">
              <w:t>0</w:t>
            </w:r>
          </w:p>
        </w:tc>
        <w:tc>
          <w:tcPr>
            <w:tcW w:w="956" w:type="dxa"/>
          </w:tcPr>
          <w:p w:rsidR="005943FD" w:rsidRPr="0091009E" w:rsidRDefault="005943FD" w:rsidP="00464A85">
            <w:pPr>
              <w:jc w:val="right"/>
            </w:pPr>
            <w:r w:rsidRPr="0091009E">
              <w:t>-3,59</w:t>
            </w:r>
          </w:p>
        </w:tc>
        <w:tc>
          <w:tcPr>
            <w:tcW w:w="996" w:type="dxa"/>
          </w:tcPr>
          <w:p w:rsidR="005943FD" w:rsidRPr="0091009E" w:rsidRDefault="005943FD" w:rsidP="00464A85">
            <w:pPr>
              <w:jc w:val="right"/>
            </w:pPr>
            <w:r w:rsidRPr="0091009E">
              <w:t>2,54</w:t>
            </w:r>
          </w:p>
        </w:tc>
        <w:tc>
          <w:tcPr>
            <w:tcW w:w="956" w:type="dxa"/>
          </w:tcPr>
          <w:p w:rsidR="005943FD" w:rsidRPr="0091009E" w:rsidRDefault="005943FD" w:rsidP="00464A85">
            <w:pPr>
              <w:jc w:val="right"/>
            </w:pPr>
            <w:r w:rsidRPr="0091009E">
              <w:t>12,05</w:t>
            </w:r>
          </w:p>
        </w:tc>
        <w:tc>
          <w:tcPr>
            <w:tcW w:w="996" w:type="dxa"/>
          </w:tcPr>
          <w:p w:rsidR="005943FD" w:rsidRPr="0091009E" w:rsidRDefault="005943FD" w:rsidP="00464A85">
            <w:pPr>
              <w:jc w:val="right"/>
            </w:pPr>
            <w:r w:rsidRPr="0091009E">
              <w:t>10,85</w:t>
            </w:r>
          </w:p>
        </w:tc>
        <w:tc>
          <w:tcPr>
            <w:tcW w:w="996" w:type="dxa"/>
          </w:tcPr>
          <w:p w:rsidR="005943FD" w:rsidRPr="0091009E" w:rsidRDefault="005943FD" w:rsidP="00464A85">
            <w:pPr>
              <w:jc w:val="right"/>
            </w:pPr>
            <w:r w:rsidRPr="0091009E">
              <w:t>8,09</w:t>
            </w:r>
          </w:p>
        </w:tc>
        <w:tc>
          <w:tcPr>
            <w:tcW w:w="1076" w:type="dxa"/>
          </w:tcPr>
          <w:p w:rsidR="005943FD" w:rsidRPr="0091009E" w:rsidRDefault="005943FD" w:rsidP="00464A85">
            <w:pPr>
              <w:jc w:val="right"/>
            </w:pPr>
            <w:r w:rsidRPr="0091009E">
              <w:t>80,4</w:t>
            </w:r>
            <w:r w:rsidR="00464A85">
              <w:t>0</w:t>
            </w:r>
          </w:p>
        </w:tc>
      </w:tr>
      <w:tr w:rsidR="005943FD" w:rsidTr="00464A85">
        <w:tc>
          <w:tcPr>
            <w:tcW w:w="3489" w:type="dxa"/>
          </w:tcPr>
          <w:p w:rsidR="005943FD" w:rsidRPr="0091009E" w:rsidRDefault="005943FD" w:rsidP="001C4270">
            <w:r w:rsidRPr="0091009E">
              <w:t>São Miguel do Gostoso - RN</w:t>
            </w:r>
          </w:p>
        </w:tc>
        <w:tc>
          <w:tcPr>
            <w:tcW w:w="956" w:type="dxa"/>
          </w:tcPr>
          <w:p w:rsidR="005943FD" w:rsidRPr="0091009E" w:rsidRDefault="005943FD" w:rsidP="00464A85">
            <w:pPr>
              <w:jc w:val="right"/>
            </w:pPr>
            <w:r w:rsidRPr="0091009E">
              <w:t>-0,77</w:t>
            </w:r>
          </w:p>
        </w:tc>
        <w:tc>
          <w:tcPr>
            <w:tcW w:w="956" w:type="dxa"/>
          </w:tcPr>
          <w:p w:rsidR="005943FD" w:rsidRPr="0091009E" w:rsidRDefault="005943FD" w:rsidP="00464A85">
            <w:pPr>
              <w:jc w:val="right"/>
            </w:pPr>
            <w:r w:rsidRPr="0091009E">
              <w:t>1,74</w:t>
            </w:r>
          </w:p>
        </w:tc>
        <w:tc>
          <w:tcPr>
            <w:tcW w:w="996" w:type="dxa"/>
          </w:tcPr>
          <w:p w:rsidR="005943FD" w:rsidRPr="0091009E" w:rsidRDefault="005943FD" w:rsidP="00464A85">
            <w:pPr>
              <w:jc w:val="right"/>
            </w:pPr>
            <w:r w:rsidRPr="0091009E">
              <w:t>-2,86</w:t>
            </w:r>
          </w:p>
        </w:tc>
        <w:tc>
          <w:tcPr>
            <w:tcW w:w="956" w:type="dxa"/>
          </w:tcPr>
          <w:p w:rsidR="005943FD" w:rsidRPr="0091009E" w:rsidRDefault="005943FD" w:rsidP="00464A85">
            <w:pPr>
              <w:jc w:val="right"/>
            </w:pPr>
            <w:r w:rsidRPr="0091009E">
              <w:t>-1,27</w:t>
            </w:r>
          </w:p>
        </w:tc>
        <w:tc>
          <w:tcPr>
            <w:tcW w:w="996" w:type="dxa"/>
          </w:tcPr>
          <w:p w:rsidR="005943FD" w:rsidRPr="0091009E" w:rsidRDefault="005943FD" w:rsidP="00464A85">
            <w:pPr>
              <w:jc w:val="right"/>
            </w:pPr>
            <w:r w:rsidRPr="0091009E">
              <w:t>15,35</w:t>
            </w:r>
          </w:p>
        </w:tc>
        <w:tc>
          <w:tcPr>
            <w:tcW w:w="996" w:type="dxa"/>
          </w:tcPr>
          <w:p w:rsidR="005943FD" w:rsidRPr="0091009E" w:rsidRDefault="005943FD" w:rsidP="00464A85">
            <w:pPr>
              <w:jc w:val="right"/>
            </w:pPr>
            <w:r w:rsidRPr="0091009E">
              <w:t>84,36</w:t>
            </w:r>
          </w:p>
        </w:tc>
        <w:tc>
          <w:tcPr>
            <w:tcW w:w="1076" w:type="dxa"/>
          </w:tcPr>
          <w:p w:rsidR="005943FD" w:rsidRPr="0091009E" w:rsidRDefault="005943FD" w:rsidP="00464A85">
            <w:pPr>
              <w:jc w:val="right"/>
            </w:pPr>
            <w:r w:rsidRPr="0091009E">
              <w:t>#N/D</w:t>
            </w:r>
          </w:p>
        </w:tc>
      </w:tr>
      <w:tr w:rsidR="005943FD" w:rsidTr="00464A85">
        <w:tc>
          <w:tcPr>
            <w:tcW w:w="3489" w:type="dxa"/>
          </w:tcPr>
          <w:p w:rsidR="005943FD" w:rsidRPr="0091009E" w:rsidRDefault="005943FD" w:rsidP="001C4270">
            <w:r w:rsidRPr="0091009E">
              <w:t>Sento Sé - BA</w:t>
            </w:r>
          </w:p>
        </w:tc>
        <w:tc>
          <w:tcPr>
            <w:tcW w:w="956" w:type="dxa"/>
          </w:tcPr>
          <w:p w:rsidR="005943FD" w:rsidRPr="0091009E" w:rsidRDefault="005943FD" w:rsidP="00464A85">
            <w:pPr>
              <w:jc w:val="right"/>
            </w:pPr>
            <w:r w:rsidRPr="0091009E">
              <w:t>0,57</w:t>
            </w:r>
          </w:p>
        </w:tc>
        <w:tc>
          <w:tcPr>
            <w:tcW w:w="956" w:type="dxa"/>
          </w:tcPr>
          <w:p w:rsidR="005943FD" w:rsidRPr="0091009E" w:rsidRDefault="005943FD" w:rsidP="00464A85">
            <w:pPr>
              <w:jc w:val="right"/>
            </w:pPr>
            <w:r w:rsidRPr="0091009E">
              <w:t>1,83</w:t>
            </w:r>
          </w:p>
        </w:tc>
        <w:tc>
          <w:tcPr>
            <w:tcW w:w="996" w:type="dxa"/>
          </w:tcPr>
          <w:p w:rsidR="005943FD" w:rsidRPr="0091009E" w:rsidRDefault="005943FD" w:rsidP="00464A85">
            <w:pPr>
              <w:jc w:val="right"/>
            </w:pPr>
            <w:r w:rsidRPr="0091009E">
              <w:t>-7,56</w:t>
            </w:r>
          </w:p>
        </w:tc>
        <w:tc>
          <w:tcPr>
            <w:tcW w:w="956" w:type="dxa"/>
          </w:tcPr>
          <w:p w:rsidR="005943FD" w:rsidRPr="0091009E" w:rsidRDefault="005943FD" w:rsidP="00464A85">
            <w:pPr>
              <w:jc w:val="right"/>
            </w:pPr>
            <w:r w:rsidRPr="0091009E">
              <w:t>-0,08</w:t>
            </w:r>
          </w:p>
        </w:tc>
        <w:tc>
          <w:tcPr>
            <w:tcW w:w="996" w:type="dxa"/>
          </w:tcPr>
          <w:p w:rsidR="005943FD" w:rsidRPr="0091009E" w:rsidRDefault="005943FD" w:rsidP="00464A85">
            <w:pPr>
              <w:jc w:val="right"/>
            </w:pPr>
            <w:r w:rsidRPr="0091009E">
              <w:t>-12,1</w:t>
            </w:r>
            <w:r w:rsidR="00464A85">
              <w:t>0</w:t>
            </w:r>
          </w:p>
        </w:tc>
        <w:tc>
          <w:tcPr>
            <w:tcW w:w="996" w:type="dxa"/>
          </w:tcPr>
          <w:p w:rsidR="005943FD" w:rsidRPr="0091009E" w:rsidRDefault="005943FD" w:rsidP="00464A85">
            <w:pPr>
              <w:jc w:val="right"/>
            </w:pPr>
            <w:r w:rsidRPr="0091009E">
              <w:t>14,73</w:t>
            </w:r>
          </w:p>
        </w:tc>
        <w:tc>
          <w:tcPr>
            <w:tcW w:w="1076" w:type="dxa"/>
          </w:tcPr>
          <w:p w:rsidR="005943FD" w:rsidRPr="0091009E" w:rsidRDefault="005943FD" w:rsidP="00464A85">
            <w:pPr>
              <w:jc w:val="right"/>
            </w:pPr>
            <w:r w:rsidRPr="0091009E">
              <w:t>12,63</w:t>
            </w:r>
          </w:p>
        </w:tc>
      </w:tr>
      <w:tr w:rsidR="005943FD" w:rsidTr="00464A85">
        <w:tc>
          <w:tcPr>
            <w:tcW w:w="3489" w:type="dxa"/>
          </w:tcPr>
          <w:p w:rsidR="005943FD" w:rsidRPr="0091009E" w:rsidRDefault="005943FD" w:rsidP="001C4270">
            <w:r w:rsidRPr="0091009E">
              <w:t>Sobradinho - BA</w:t>
            </w:r>
          </w:p>
        </w:tc>
        <w:tc>
          <w:tcPr>
            <w:tcW w:w="956" w:type="dxa"/>
          </w:tcPr>
          <w:p w:rsidR="005943FD" w:rsidRPr="0091009E" w:rsidRDefault="005943FD" w:rsidP="00464A85">
            <w:pPr>
              <w:jc w:val="right"/>
            </w:pPr>
            <w:r w:rsidRPr="0091009E">
              <w:t>-5,68</w:t>
            </w:r>
          </w:p>
        </w:tc>
        <w:tc>
          <w:tcPr>
            <w:tcW w:w="956" w:type="dxa"/>
          </w:tcPr>
          <w:p w:rsidR="005943FD" w:rsidRPr="0091009E" w:rsidRDefault="005943FD" w:rsidP="00464A85">
            <w:pPr>
              <w:jc w:val="right"/>
            </w:pPr>
            <w:r w:rsidRPr="0091009E">
              <w:t>2,51</w:t>
            </w:r>
          </w:p>
        </w:tc>
        <w:tc>
          <w:tcPr>
            <w:tcW w:w="996" w:type="dxa"/>
          </w:tcPr>
          <w:p w:rsidR="005943FD" w:rsidRPr="0091009E" w:rsidRDefault="005943FD" w:rsidP="00464A85">
            <w:pPr>
              <w:jc w:val="right"/>
            </w:pPr>
            <w:r w:rsidRPr="0091009E">
              <w:t>-1,37</w:t>
            </w:r>
          </w:p>
        </w:tc>
        <w:tc>
          <w:tcPr>
            <w:tcW w:w="956" w:type="dxa"/>
          </w:tcPr>
          <w:p w:rsidR="005943FD" w:rsidRPr="0091009E" w:rsidRDefault="005943FD" w:rsidP="00464A85">
            <w:pPr>
              <w:jc w:val="right"/>
            </w:pPr>
            <w:r w:rsidRPr="0091009E">
              <w:t>-0,79</w:t>
            </w:r>
          </w:p>
        </w:tc>
        <w:tc>
          <w:tcPr>
            <w:tcW w:w="996" w:type="dxa"/>
          </w:tcPr>
          <w:p w:rsidR="005943FD" w:rsidRPr="0091009E" w:rsidRDefault="005943FD" w:rsidP="00464A85">
            <w:pPr>
              <w:jc w:val="right"/>
            </w:pPr>
            <w:r w:rsidRPr="0091009E">
              <w:t>-3,77</w:t>
            </w:r>
          </w:p>
        </w:tc>
        <w:tc>
          <w:tcPr>
            <w:tcW w:w="996" w:type="dxa"/>
          </w:tcPr>
          <w:p w:rsidR="005943FD" w:rsidRPr="0091009E" w:rsidRDefault="005943FD" w:rsidP="00464A85">
            <w:pPr>
              <w:jc w:val="right"/>
            </w:pPr>
            <w:r w:rsidRPr="0091009E">
              <w:t>-27,25</w:t>
            </w:r>
          </w:p>
        </w:tc>
        <w:tc>
          <w:tcPr>
            <w:tcW w:w="1076" w:type="dxa"/>
          </w:tcPr>
          <w:p w:rsidR="005943FD" w:rsidRPr="0091009E" w:rsidRDefault="005943FD" w:rsidP="00464A85">
            <w:pPr>
              <w:jc w:val="right"/>
            </w:pPr>
            <w:r w:rsidRPr="0091009E">
              <w:t>-24,22</w:t>
            </w:r>
          </w:p>
        </w:tc>
      </w:tr>
      <w:tr w:rsidR="005943FD" w:rsidTr="00464A85">
        <w:tc>
          <w:tcPr>
            <w:tcW w:w="3489" w:type="dxa"/>
          </w:tcPr>
          <w:p w:rsidR="005943FD" w:rsidRPr="0091009E" w:rsidRDefault="005943FD" w:rsidP="001C4270">
            <w:r w:rsidRPr="0091009E">
              <w:t>Trairi - CE</w:t>
            </w:r>
          </w:p>
        </w:tc>
        <w:tc>
          <w:tcPr>
            <w:tcW w:w="956" w:type="dxa"/>
          </w:tcPr>
          <w:p w:rsidR="005943FD" w:rsidRPr="0091009E" w:rsidRDefault="005943FD" w:rsidP="00464A85">
            <w:pPr>
              <w:jc w:val="right"/>
            </w:pPr>
            <w:r w:rsidRPr="0091009E">
              <w:t>-9,71</w:t>
            </w:r>
          </w:p>
        </w:tc>
        <w:tc>
          <w:tcPr>
            <w:tcW w:w="956" w:type="dxa"/>
          </w:tcPr>
          <w:p w:rsidR="005943FD" w:rsidRPr="0091009E" w:rsidRDefault="005943FD" w:rsidP="00464A85">
            <w:pPr>
              <w:jc w:val="right"/>
            </w:pPr>
            <w:r w:rsidRPr="0091009E">
              <w:t>-7,33</w:t>
            </w:r>
          </w:p>
        </w:tc>
        <w:tc>
          <w:tcPr>
            <w:tcW w:w="996" w:type="dxa"/>
          </w:tcPr>
          <w:p w:rsidR="005943FD" w:rsidRPr="0091009E" w:rsidRDefault="005943FD" w:rsidP="00464A85">
            <w:pPr>
              <w:jc w:val="right"/>
            </w:pPr>
            <w:r w:rsidRPr="0091009E">
              <w:t>-3,63</w:t>
            </w:r>
          </w:p>
        </w:tc>
        <w:tc>
          <w:tcPr>
            <w:tcW w:w="956" w:type="dxa"/>
          </w:tcPr>
          <w:p w:rsidR="005943FD" w:rsidRPr="0091009E" w:rsidRDefault="005943FD" w:rsidP="00464A85">
            <w:pPr>
              <w:jc w:val="right"/>
            </w:pPr>
            <w:r w:rsidRPr="0091009E">
              <w:t>5,75</w:t>
            </w:r>
          </w:p>
        </w:tc>
        <w:tc>
          <w:tcPr>
            <w:tcW w:w="996" w:type="dxa"/>
          </w:tcPr>
          <w:p w:rsidR="005943FD" w:rsidRPr="0091009E" w:rsidRDefault="005943FD" w:rsidP="00464A85">
            <w:pPr>
              <w:jc w:val="right"/>
            </w:pPr>
            <w:r w:rsidRPr="0091009E">
              <w:t>26,84</w:t>
            </w:r>
          </w:p>
        </w:tc>
        <w:tc>
          <w:tcPr>
            <w:tcW w:w="996" w:type="dxa"/>
          </w:tcPr>
          <w:p w:rsidR="005943FD" w:rsidRPr="0091009E" w:rsidRDefault="005943FD" w:rsidP="00464A85">
            <w:pPr>
              <w:jc w:val="right"/>
            </w:pPr>
            <w:r w:rsidRPr="0091009E">
              <w:t>34,02</w:t>
            </w:r>
          </w:p>
        </w:tc>
        <w:tc>
          <w:tcPr>
            <w:tcW w:w="1076" w:type="dxa"/>
          </w:tcPr>
          <w:p w:rsidR="005943FD" w:rsidRPr="0091009E" w:rsidRDefault="005943FD" w:rsidP="00464A85">
            <w:pPr>
              <w:jc w:val="right"/>
            </w:pPr>
            <w:r w:rsidRPr="0091009E">
              <w:t>16,1</w:t>
            </w:r>
            <w:r w:rsidR="00464A85">
              <w:t>0</w:t>
            </w:r>
          </w:p>
        </w:tc>
      </w:tr>
      <w:tr w:rsidR="005943FD" w:rsidTr="00464A85">
        <w:tc>
          <w:tcPr>
            <w:tcW w:w="3489" w:type="dxa"/>
          </w:tcPr>
          <w:p w:rsidR="005943FD" w:rsidRPr="0091009E" w:rsidRDefault="005943FD" w:rsidP="001C4270">
            <w:r w:rsidRPr="0091009E">
              <w:t>Tramandaí - RS</w:t>
            </w:r>
          </w:p>
        </w:tc>
        <w:tc>
          <w:tcPr>
            <w:tcW w:w="956" w:type="dxa"/>
          </w:tcPr>
          <w:p w:rsidR="005943FD" w:rsidRPr="0091009E" w:rsidRDefault="005943FD" w:rsidP="00464A85">
            <w:pPr>
              <w:jc w:val="right"/>
            </w:pPr>
            <w:r w:rsidRPr="0091009E">
              <w:t>1,76</w:t>
            </w:r>
          </w:p>
        </w:tc>
        <w:tc>
          <w:tcPr>
            <w:tcW w:w="956" w:type="dxa"/>
          </w:tcPr>
          <w:p w:rsidR="005943FD" w:rsidRPr="0091009E" w:rsidRDefault="005943FD" w:rsidP="00464A85">
            <w:pPr>
              <w:jc w:val="right"/>
            </w:pPr>
            <w:r w:rsidRPr="0091009E">
              <w:t>1,15</w:t>
            </w:r>
          </w:p>
        </w:tc>
        <w:tc>
          <w:tcPr>
            <w:tcW w:w="996" w:type="dxa"/>
          </w:tcPr>
          <w:p w:rsidR="005943FD" w:rsidRPr="0091009E" w:rsidRDefault="005943FD" w:rsidP="00464A85">
            <w:pPr>
              <w:jc w:val="right"/>
            </w:pPr>
            <w:r w:rsidRPr="0091009E">
              <w:t>-4,06</w:t>
            </w:r>
          </w:p>
        </w:tc>
        <w:tc>
          <w:tcPr>
            <w:tcW w:w="956" w:type="dxa"/>
          </w:tcPr>
          <w:p w:rsidR="005943FD" w:rsidRPr="0091009E" w:rsidRDefault="005943FD" w:rsidP="00464A85">
            <w:pPr>
              <w:jc w:val="right"/>
            </w:pPr>
            <w:r w:rsidRPr="0091009E">
              <w:t>7,07</w:t>
            </w:r>
          </w:p>
        </w:tc>
        <w:tc>
          <w:tcPr>
            <w:tcW w:w="996" w:type="dxa"/>
          </w:tcPr>
          <w:p w:rsidR="005943FD" w:rsidRPr="0091009E" w:rsidRDefault="005943FD" w:rsidP="00464A85">
            <w:pPr>
              <w:jc w:val="right"/>
            </w:pPr>
            <w:r w:rsidRPr="0091009E">
              <w:t>3,82</w:t>
            </w:r>
          </w:p>
        </w:tc>
        <w:tc>
          <w:tcPr>
            <w:tcW w:w="996" w:type="dxa"/>
          </w:tcPr>
          <w:p w:rsidR="005943FD" w:rsidRPr="0091009E" w:rsidRDefault="005943FD" w:rsidP="00464A85">
            <w:pPr>
              <w:jc w:val="right"/>
            </w:pPr>
            <w:r w:rsidRPr="0091009E">
              <w:t>7,1</w:t>
            </w:r>
            <w:r w:rsidR="00464A85">
              <w:t>0</w:t>
            </w:r>
          </w:p>
        </w:tc>
        <w:tc>
          <w:tcPr>
            <w:tcW w:w="1076" w:type="dxa"/>
          </w:tcPr>
          <w:p w:rsidR="005943FD" w:rsidRPr="0091009E" w:rsidRDefault="005943FD" w:rsidP="00464A85">
            <w:pPr>
              <w:jc w:val="right"/>
            </w:pPr>
            <w:r w:rsidRPr="0091009E">
              <w:t>16,29</w:t>
            </w:r>
          </w:p>
        </w:tc>
      </w:tr>
      <w:tr w:rsidR="00464A85" w:rsidTr="00464A85">
        <w:tc>
          <w:tcPr>
            <w:tcW w:w="3489" w:type="dxa"/>
          </w:tcPr>
          <w:p w:rsidR="00464A85" w:rsidRPr="0091009E" w:rsidRDefault="00464A85" w:rsidP="001C4270">
            <w:r w:rsidRPr="0091009E">
              <w:t>Tubarão - SC</w:t>
            </w:r>
          </w:p>
        </w:tc>
        <w:tc>
          <w:tcPr>
            <w:tcW w:w="956" w:type="dxa"/>
          </w:tcPr>
          <w:p w:rsidR="00464A85" w:rsidRDefault="00464A85" w:rsidP="00464A85">
            <w:pPr>
              <w:jc w:val="right"/>
            </w:pPr>
            <w:r w:rsidRPr="00F63EC0">
              <w:t>0,00</w:t>
            </w:r>
          </w:p>
        </w:tc>
        <w:tc>
          <w:tcPr>
            <w:tcW w:w="956" w:type="dxa"/>
          </w:tcPr>
          <w:p w:rsidR="00464A85" w:rsidRDefault="00464A85" w:rsidP="00464A85">
            <w:pPr>
              <w:jc w:val="right"/>
            </w:pPr>
            <w:r w:rsidRPr="00F63EC0">
              <w:t>0,00</w:t>
            </w:r>
          </w:p>
        </w:tc>
        <w:tc>
          <w:tcPr>
            <w:tcW w:w="996" w:type="dxa"/>
          </w:tcPr>
          <w:p w:rsidR="00464A85" w:rsidRDefault="00464A85" w:rsidP="00464A85">
            <w:pPr>
              <w:jc w:val="right"/>
            </w:pPr>
            <w:r w:rsidRPr="00F63EC0">
              <w:t>0,00</w:t>
            </w:r>
          </w:p>
        </w:tc>
        <w:tc>
          <w:tcPr>
            <w:tcW w:w="956" w:type="dxa"/>
          </w:tcPr>
          <w:p w:rsidR="00464A85" w:rsidRPr="0091009E" w:rsidRDefault="00464A85" w:rsidP="00464A85">
            <w:pPr>
              <w:jc w:val="right"/>
            </w:pPr>
            <w:r w:rsidRPr="0091009E">
              <w:t>1,36</w:t>
            </w:r>
          </w:p>
        </w:tc>
        <w:tc>
          <w:tcPr>
            <w:tcW w:w="996" w:type="dxa"/>
          </w:tcPr>
          <w:p w:rsidR="00464A85" w:rsidRPr="0091009E" w:rsidRDefault="00464A85" w:rsidP="00464A85">
            <w:pPr>
              <w:jc w:val="right"/>
            </w:pPr>
            <w:r w:rsidRPr="0091009E">
              <w:t>14,15</w:t>
            </w:r>
          </w:p>
        </w:tc>
        <w:tc>
          <w:tcPr>
            <w:tcW w:w="996" w:type="dxa"/>
          </w:tcPr>
          <w:p w:rsidR="00464A85" w:rsidRPr="0091009E" w:rsidRDefault="00464A85" w:rsidP="00464A85">
            <w:pPr>
              <w:jc w:val="right"/>
            </w:pPr>
            <w:r w:rsidRPr="0091009E">
              <w:t>6,64</w:t>
            </w:r>
          </w:p>
        </w:tc>
        <w:tc>
          <w:tcPr>
            <w:tcW w:w="1076" w:type="dxa"/>
          </w:tcPr>
          <w:p w:rsidR="00464A85" w:rsidRPr="0091009E" w:rsidRDefault="00464A85" w:rsidP="00464A85">
            <w:pPr>
              <w:jc w:val="right"/>
            </w:pPr>
            <w:r w:rsidRPr="0091009E">
              <w:t>#N/D</w:t>
            </w:r>
          </w:p>
        </w:tc>
      </w:tr>
      <w:tr w:rsidR="005943FD" w:rsidTr="00464A85">
        <w:tc>
          <w:tcPr>
            <w:tcW w:w="3489" w:type="dxa"/>
          </w:tcPr>
          <w:p w:rsidR="005943FD" w:rsidRPr="0091009E" w:rsidRDefault="005943FD" w:rsidP="001C4270">
            <w:proofErr w:type="spellStart"/>
            <w:r w:rsidRPr="0091009E">
              <w:t>Xangri-lá</w:t>
            </w:r>
            <w:proofErr w:type="spellEnd"/>
            <w:r w:rsidRPr="0091009E">
              <w:t xml:space="preserve"> - RS</w:t>
            </w:r>
          </w:p>
        </w:tc>
        <w:tc>
          <w:tcPr>
            <w:tcW w:w="956" w:type="dxa"/>
          </w:tcPr>
          <w:p w:rsidR="005943FD" w:rsidRPr="0091009E" w:rsidRDefault="005943FD" w:rsidP="00464A85">
            <w:pPr>
              <w:jc w:val="right"/>
            </w:pPr>
            <w:r w:rsidRPr="0091009E">
              <w:t>-2,36</w:t>
            </w:r>
          </w:p>
        </w:tc>
        <w:tc>
          <w:tcPr>
            <w:tcW w:w="956" w:type="dxa"/>
          </w:tcPr>
          <w:p w:rsidR="005943FD" w:rsidRPr="0091009E" w:rsidRDefault="005943FD" w:rsidP="00464A85">
            <w:pPr>
              <w:jc w:val="right"/>
            </w:pPr>
            <w:r w:rsidRPr="0091009E">
              <w:t>-2,67</w:t>
            </w:r>
          </w:p>
        </w:tc>
        <w:tc>
          <w:tcPr>
            <w:tcW w:w="996" w:type="dxa"/>
          </w:tcPr>
          <w:p w:rsidR="005943FD" w:rsidRPr="0091009E" w:rsidRDefault="005943FD" w:rsidP="00464A85">
            <w:pPr>
              <w:jc w:val="right"/>
            </w:pPr>
            <w:r w:rsidRPr="0091009E">
              <w:t>1,04</w:t>
            </w:r>
          </w:p>
        </w:tc>
        <w:tc>
          <w:tcPr>
            <w:tcW w:w="956" w:type="dxa"/>
          </w:tcPr>
          <w:p w:rsidR="005943FD" w:rsidRPr="0091009E" w:rsidRDefault="005943FD" w:rsidP="00464A85">
            <w:pPr>
              <w:jc w:val="right"/>
            </w:pPr>
            <w:r w:rsidRPr="0091009E">
              <w:t>-0,01</w:t>
            </w:r>
          </w:p>
        </w:tc>
        <w:tc>
          <w:tcPr>
            <w:tcW w:w="996" w:type="dxa"/>
          </w:tcPr>
          <w:p w:rsidR="005943FD" w:rsidRPr="0091009E" w:rsidRDefault="005943FD" w:rsidP="00464A85">
            <w:pPr>
              <w:jc w:val="right"/>
            </w:pPr>
            <w:r w:rsidRPr="0091009E">
              <w:t>4,42</w:t>
            </w:r>
          </w:p>
        </w:tc>
        <w:tc>
          <w:tcPr>
            <w:tcW w:w="996" w:type="dxa"/>
          </w:tcPr>
          <w:p w:rsidR="005943FD" w:rsidRPr="0091009E" w:rsidRDefault="005943FD" w:rsidP="00464A85">
            <w:pPr>
              <w:jc w:val="right"/>
            </w:pPr>
            <w:r w:rsidRPr="0091009E">
              <w:t>12,67</w:t>
            </w:r>
          </w:p>
        </w:tc>
        <w:tc>
          <w:tcPr>
            <w:tcW w:w="1076" w:type="dxa"/>
          </w:tcPr>
          <w:p w:rsidR="005943FD" w:rsidRDefault="005943FD" w:rsidP="00464A85">
            <w:pPr>
              <w:jc w:val="right"/>
            </w:pPr>
            <w:r w:rsidRPr="0091009E">
              <w:t>#N/D</w:t>
            </w:r>
          </w:p>
        </w:tc>
      </w:tr>
    </w:tbl>
    <w:p w:rsidR="005943FD" w:rsidRDefault="00464A85" w:rsidP="00464A85">
      <w:pPr>
        <w:pStyle w:val="BNDES"/>
        <w:jc w:val="center"/>
      </w:pPr>
      <w:r>
        <w:t>Fonte: Elaboração própria.</w:t>
      </w:r>
    </w:p>
    <w:sectPr w:rsidR="005943FD" w:rsidSect="00ED2D49">
      <w:footerReference w:type="default" r:id="rId12"/>
      <w:pgSz w:w="11907" w:h="16840" w:code="9"/>
      <w:pgMar w:top="1134" w:right="851" w:bottom="1134" w:left="851" w:header="709" w:footer="709" w:gutter="0"/>
      <w:cols w:space="708"/>
      <w:docGrid w:linePitch="360" w:charSpace="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9EC" w:rsidRDefault="006E69EC" w:rsidP="00BC3F8A">
      <w:r>
        <w:separator/>
      </w:r>
    </w:p>
  </w:endnote>
  <w:endnote w:type="continuationSeparator" w:id="0">
    <w:p w:rsidR="006E69EC" w:rsidRDefault="006E69EC" w:rsidP="00BC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859273"/>
      <w:docPartObj>
        <w:docPartGallery w:val="Page Numbers (Bottom of Page)"/>
        <w:docPartUnique/>
      </w:docPartObj>
    </w:sdtPr>
    <w:sdtEndPr/>
    <w:sdtContent>
      <w:p w:rsidR="00835D02" w:rsidRDefault="00835D02">
        <w:pPr>
          <w:pStyle w:val="Rodap"/>
          <w:jc w:val="right"/>
        </w:pPr>
        <w:r>
          <w:fldChar w:fldCharType="begin"/>
        </w:r>
        <w:r>
          <w:instrText>PAGE   \* MERGEFORMAT</w:instrText>
        </w:r>
        <w:r>
          <w:fldChar w:fldCharType="separate"/>
        </w:r>
        <w:r w:rsidR="00915B29">
          <w:rPr>
            <w:noProof/>
          </w:rPr>
          <w:t>1</w:t>
        </w:r>
        <w:r>
          <w:fldChar w:fldCharType="end"/>
        </w:r>
      </w:p>
    </w:sdtContent>
  </w:sdt>
  <w:p w:rsidR="00835D02" w:rsidRDefault="00835D0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9EC" w:rsidRDefault="006E69EC" w:rsidP="00BC3F8A">
      <w:r>
        <w:separator/>
      </w:r>
    </w:p>
  </w:footnote>
  <w:footnote w:type="continuationSeparator" w:id="0">
    <w:p w:rsidR="006E69EC" w:rsidRDefault="006E69EC" w:rsidP="00BC3F8A">
      <w:r>
        <w:continuationSeparator/>
      </w:r>
    </w:p>
  </w:footnote>
  <w:footnote w:id="1">
    <w:p w:rsidR="00835D02" w:rsidRDefault="00835D02" w:rsidP="003B7E75">
      <w:pPr>
        <w:pStyle w:val="Textodenotaderodap"/>
      </w:pPr>
      <w:r>
        <w:rPr>
          <w:rStyle w:val="Refdenotaderodap"/>
        </w:rPr>
        <w:footnoteRef/>
      </w:r>
      <w:r>
        <w:t xml:space="preserve"> Economista do BNDES. M</w:t>
      </w:r>
      <w:r w:rsidRPr="000A25B0">
        <w:t xml:space="preserve">estre em Economia </w:t>
      </w:r>
      <w:r>
        <w:t>pelo CEDEPLAR/UFMG.</w:t>
      </w:r>
    </w:p>
  </w:footnote>
  <w:footnote w:id="2">
    <w:p w:rsidR="00835D02" w:rsidRDefault="00835D02" w:rsidP="009034E0">
      <w:pPr>
        <w:pStyle w:val="Textodenotaderodap"/>
      </w:pPr>
      <w:r>
        <w:rPr>
          <w:rStyle w:val="Refdenotaderodap"/>
        </w:rPr>
        <w:footnoteRef/>
      </w:r>
      <w:r>
        <w:t xml:space="preserve"> Estagiária do BNDES. Graduanda em Estatística na UFF.</w:t>
      </w:r>
    </w:p>
  </w:footnote>
  <w:footnote w:id="3">
    <w:p w:rsidR="00835D02" w:rsidRDefault="00835D02">
      <w:pPr>
        <w:pStyle w:val="Textodenotaderodap"/>
      </w:pPr>
      <w:r>
        <w:rPr>
          <w:rStyle w:val="Refdenotaderodap"/>
        </w:rPr>
        <w:footnoteRef/>
      </w:r>
      <w:r>
        <w:t xml:space="preserve"> Economista do BNDES. Mestre em Economia pela FEA/USP.</w:t>
      </w:r>
    </w:p>
  </w:footnote>
  <w:footnote w:id="4">
    <w:p w:rsidR="00835D02" w:rsidRDefault="00835D02" w:rsidP="00F2705E">
      <w:pPr>
        <w:pStyle w:val="Textodenotaderodap"/>
      </w:pPr>
      <w:r>
        <w:rPr>
          <w:rStyle w:val="Refdenotaderodap"/>
        </w:rPr>
        <w:footnoteRef/>
      </w:r>
      <w:r>
        <w:t xml:space="preserve"> Ver, por exemplo, </w:t>
      </w:r>
      <w:r w:rsidRPr="00653CD6">
        <w:t xml:space="preserve">Abadie e </w:t>
      </w:r>
      <w:proofErr w:type="spellStart"/>
      <w:r w:rsidRPr="00653CD6">
        <w:t>Gardeazabal</w:t>
      </w:r>
      <w:proofErr w:type="spellEnd"/>
      <w:r w:rsidRPr="00653CD6">
        <w:t xml:space="preserve"> (2003)</w:t>
      </w:r>
      <w:r>
        <w:t xml:space="preserve"> e Abadie </w:t>
      </w:r>
      <w:proofErr w:type="gramStart"/>
      <w:r>
        <w:t>et</w:t>
      </w:r>
      <w:proofErr w:type="gramEnd"/>
      <w:r>
        <w:t xml:space="preserve"> al (2010, 2011, 2015).</w:t>
      </w:r>
    </w:p>
  </w:footnote>
  <w:footnote w:id="5">
    <w:p w:rsidR="00835D02" w:rsidRDefault="00835D02">
      <w:pPr>
        <w:pStyle w:val="Textodenotaderodap"/>
      </w:pPr>
      <w:r>
        <w:rPr>
          <w:rStyle w:val="Refdenotaderodap"/>
        </w:rPr>
        <w:footnoteRef/>
      </w:r>
      <w:r>
        <w:t xml:space="preserve"> </w:t>
      </w:r>
      <w:r w:rsidRPr="00BC3F8A">
        <w:t>O Ano “t” equivale ao ano de construção do parque eólico, sendo “t+1” o ano em que ele entrou em operação.</w:t>
      </w:r>
    </w:p>
  </w:footnote>
  <w:footnote w:id="6">
    <w:p w:rsidR="00835D02" w:rsidRDefault="00835D02" w:rsidP="00FD0B67">
      <w:pPr>
        <w:pStyle w:val="Textodenotaderodap"/>
        <w:jc w:val="both"/>
      </w:pPr>
      <w:r>
        <w:rPr>
          <w:rStyle w:val="Refdenotaderodap"/>
        </w:rPr>
        <w:footnoteRef/>
      </w:r>
      <w:r>
        <w:t xml:space="preserve"> Esse trabalho integra uma iniciativa mais ampla, desenvolvida pelo Departamento de Avaliação e Promoção da Efetividade (DEAPE), da Área de Planejamento Estratégico (AP) do Banco Nacional de Desenvolvimento Econômico e Social (BNDES), com o objetivo de dar escala a suas atividades de monitoramento e avaliação.  O produto dessa iniciativa é a construção do</w:t>
      </w:r>
      <w:r w:rsidRPr="00FD0B67">
        <w:t xml:space="preserve"> Modelo Automatizado em R para Verificação de Impacto (</w:t>
      </w:r>
      <w:proofErr w:type="spellStart"/>
      <w:proofErr w:type="gramStart"/>
      <w:r w:rsidRPr="00FD0B67">
        <w:t>MARVIm</w:t>
      </w:r>
      <w:proofErr w:type="spellEnd"/>
      <w:proofErr w:type="gramEnd"/>
      <w:r w:rsidRPr="00FD0B67">
        <w:t xml:space="preserve">), uma metodologia de avaliação de </w:t>
      </w:r>
      <w:r>
        <w:t>e</w:t>
      </w:r>
      <w:r w:rsidRPr="00FD0B67">
        <w:t xml:space="preserve">feitos de intervenções públicas de maneira automatizada. Para isso, combina uma série de scripts e funções em </w:t>
      </w:r>
      <w:r>
        <w:t xml:space="preserve">linguagem </w:t>
      </w:r>
      <w:r w:rsidRPr="00FD0B67">
        <w:t xml:space="preserve">R que automatizam </w:t>
      </w:r>
      <w:r>
        <w:t xml:space="preserve">exercícios de </w:t>
      </w:r>
      <w:r w:rsidRPr="00FD0B67">
        <w:t>avaliaç</w:t>
      </w:r>
      <w:r>
        <w:t>ão</w:t>
      </w:r>
      <w:r w:rsidRPr="00FD0B67">
        <w:t xml:space="preserve"> </w:t>
      </w:r>
      <w:r>
        <w:t>quantitativa de impacto</w:t>
      </w:r>
      <w:r w:rsidRPr="00FD0B67">
        <w:t>.</w:t>
      </w:r>
      <w:r>
        <w:t xml:space="preserve"> O primeiro módulo do </w:t>
      </w:r>
      <w:proofErr w:type="spellStart"/>
      <w:proofErr w:type="gramStart"/>
      <w:r>
        <w:t>MARVIm</w:t>
      </w:r>
      <w:proofErr w:type="spellEnd"/>
      <w:proofErr w:type="gramEnd"/>
      <w:r>
        <w:t xml:space="preserve"> </w:t>
      </w:r>
      <w:r w:rsidRPr="00FD0B67">
        <w:t>foi voltado para métodos baseados em pareamento e diferenças-em-diferenças</w:t>
      </w:r>
      <w:r>
        <w:t xml:space="preserve"> (ALBUQUERQUE ET AL, 2017), e o segundo, para avaliações baseadas em controle sintético (GRIMALDI ET AL, 2018 , no prelo).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65448"/>
    <w:multiLevelType w:val="hybridMultilevel"/>
    <w:tmpl w:val="986AB9A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lickAndTypeStyle w:val="BNDES"/>
  <w:drawingGridHorizontalSpacing w:val="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CEE"/>
    <w:rsid w:val="000015F7"/>
    <w:rsid w:val="0001229B"/>
    <w:rsid w:val="00021E57"/>
    <w:rsid w:val="00033D83"/>
    <w:rsid w:val="0003489B"/>
    <w:rsid w:val="00075958"/>
    <w:rsid w:val="000B0EFF"/>
    <w:rsid w:val="000B5768"/>
    <w:rsid w:val="000E30C5"/>
    <w:rsid w:val="000F6885"/>
    <w:rsid w:val="000F706B"/>
    <w:rsid w:val="001119B5"/>
    <w:rsid w:val="00112D42"/>
    <w:rsid w:val="0011421F"/>
    <w:rsid w:val="00114A6A"/>
    <w:rsid w:val="00121E6B"/>
    <w:rsid w:val="00127A6D"/>
    <w:rsid w:val="001419EA"/>
    <w:rsid w:val="001645B8"/>
    <w:rsid w:val="00165692"/>
    <w:rsid w:val="001659C0"/>
    <w:rsid w:val="001A6B8C"/>
    <w:rsid w:val="001B170B"/>
    <w:rsid w:val="001B49B4"/>
    <w:rsid w:val="001C1D5E"/>
    <w:rsid w:val="001C4270"/>
    <w:rsid w:val="001C765F"/>
    <w:rsid w:val="001C7D53"/>
    <w:rsid w:val="001E3668"/>
    <w:rsid w:val="001F5320"/>
    <w:rsid w:val="00214EBC"/>
    <w:rsid w:val="00221D13"/>
    <w:rsid w:val="00233016"/>
    <w:rsid w:val="002511C7"/>
    <w:rsid w:val="00251C9A"/>
    <w:rsid w:val="00270812"/>
    <w:rsid w:val="002835FB"/>
    <w:rsid w:val="00284F89"/>
    <w:rsid w:val="00294B4E"/>
    <w:rsid w:val="00294DD9"/>
    <w:rsid w:val="00296C59"/>
    <w:rsid w:val="002C680F"/>
    <w:rsid w:val="002D2694"/>
    <w:rsid w:val="002F0870"/>
    <w:rsid w:val="003218E0"/>
    <w:rsid w:val="00344011"/>
    <w:rsid w:val="003504FB"/>
    <w:rsid w:val="003542D4"/>
    <w:rsid w:val="00355624"/>
    <w:rsid w:val="0036629A"/>
    <w:rsid w:val="00374550"/>
    <w:rsid w:val="003747C8"/>
    <w:rsid w:val="00374C95"/>
    <w:rsid w:val="00393CAE"/>
    <w:rsid w:val="003B7E75"/>
    <w:rsid w:val="003D2EC2"/>
    <w:rsid w:val="003E41F0"/>
    <w:rsid w:val="003F4AFF"/>
    <w:rsid w:val="004066C8"/>
    <w:rsid w:val="00410D0A"/>
    <w:rsid w:val="00415165"/>
    <w:rsid w:val="0041742F"/>
    <w:rsid w:val="00427011"/>
    <w:rsid w:val="00431CEE"/>
    <w:rsid w:val="0043400B"/>
    <w:rsid w:val="00463B22"/>
    <w:rsid w:val="00464A85"/>
    <w:rsid w:val="00473D51"/>
    <w:rsid w:val="00477FF3"/>
    <w:rsid w:val="00480DB7"/>
    <w:rsid w:val="0048182A"/>
    <w:rsid w:val="00491C8B"/>
    <w:rsid w:val="00493045"/>
    <w:rsid w:val="004A1B2C"/>
    <w:rsid w:val="004A1B44"/>
    <w:rsid w:val="004D442E"/>
    <w:rsid w:val="004E2C88"/>
    <w:rsid w:val="004E75CC"/>
    <w:rsid w:val="004F2B50"/>
    <w:rsid w:val="004F3DB4"/>
    <w:rsid w:val="005053B9"/>
    <w:rsid w:val="005174C2"/>
    <w:rsid w:val="0055530F"/>
    <w:rsid w:val="00556118"/>
    <w:rsid w:val="00563CEA"/>
    <w:rsid w:val="00575F5F"/>
    <w:rsid w:val="00584D0E"/>
    <w:rsid w:val="0058598B"/>
    <w:rsid w:val="005904A8"/>
    <w:rsid w:val="005943FD"/>
    <w:rsid w:val="00594E13"/>
    <w:rsid w:val="005D5199"/>
    <w:rsid w:val="005F5D32"/>
    <w:rsid w:val="00601EF1"/>
    <w:rsid w:val="006020F3"/>
    <w:rsid w:val="006148FD"/>
    <w:rsid w:val="00622083"/>
    <w:rsid w:val="00641999"/>
    <w:rsid w:val="00653CD6"/>
    <w:rsid w:val="00654649"/>
    <w:rsid w:val="00677030"/>
    <w:rsid w:val="00680ECC"/>
    <w:rsid w:val="006815D0"/>
    <w:rsid w:val="006B0FCC"/>
    <w:rsid w:val="006B377C"/>
    <w:rsid w:val="006E35FD"/>
    <w:rsid w:val="006E4C92"/>
    <w:rsid w:val="006E69EC"/>
    <w:rsid w:val="006E6AFF"/>
    <w:rsid w:val="00725C8B"/>
    <w:rsid w:val="0077397E"/>
    <w:rsid w:val="0078281C"/>
    <w:rsid w:val="00785AE3"/>
    <w:rsid w:val="00790ABF"/>
    <w:rsid w:val="007A203D"/>
    <w:rsid w:val="007B1591"/>
    <w:rsid w:val="007B19CC"/>
    <w:rsid w:val="007F416F"/>
    <w:rsid w:val="008013D9"/>
    <w:rsid w:val="0080557E"/>
    <w:rsid w:val="008078D3"/>
    <w:rsid w:val="00813400"/>
    <w:rsid w:val="00826409"/>
    <w:rsid w:val="0083293F"/>
    <w:rsid w:val="008347C2"/>
    <w:rsid w:val="00835D02"/>
    <w:rsid w:val="00840B15"/>
    <w:rsid w:val="00867A7B"/>
    <w:rsid w:val="008712DC"/>
    <w:rsid w:val="008A3851"/>
    <w:rsid w:val="008A710F"/>
    <w:rsid w:val="008B241F"/>
    <w:rsid w:val="008E58B1"/>
    <w:rsid w:val="00902355"/>
    <w:rsid w:val="009034E0"/>
    <w:rsid w:val="00903546"/>
    <w:rsid w:val="00915B29"/>
    <w:rsid w:val="009208EF"/>
    <w:rsid w:val="00923BCD"/>
    <w:rsid w:val="00940150"/>
    <w:rsid w:val="00945741"/>
    <w:rsid w:val="0095704C"/>
    <w:rsid w:val="009823D9"/>
    <w:rsid w:val="00984ED6"/>
    <w:rsid w:val="009865B6"/>
    <w:rsid w:val="009E6616"/>
    <w:rsid w:val="00A01799"/>
    <w:rsid w:val="00A056AA"/>
    <w:rsid w:val="00A13B43"/>
    <w:rsid w:val="00A25407"/>
    <w:rsid w:val="00A31E6D"/>
    <w:rsid w:val="00A549FA"/>
    <w:rsid w:val="00A73039"/>
    <w:rsid w:val="00A73882"/>
    <w:rsid w:val="00A76DD2"/>
    <w:rsid w:val="00A82A5F"/>
    <w:rsid w:val="00A95BEB"/>
    <w:rsid w:val="00A9762F"/>
    <w:rsid w:val="00AA0D66"/>
    <w:rsid w:val="00AA3242"/>
    <w:rsid w:val="00AA34C9"/>
    <w:rsid w:val="00AB5CCC"/>
    <w:rsid w:val="00AC24E5"/>
    <w:rsid w:val="00AC270E"/>
    <w:rsid w:val="00AD5A1D"/>
    <w:rsid w:val="00B05DC5"/>
    <w:rsid w:val="00B27836"/>
    <w:rsid w:val="00B32BB6"/>
    <w:rsid w:val="00B47281"/>
    <w:rsid w:val="00B51684"/>
    <w:rsid w:val="00B61AF8"/>
    <w:rsid w:val="00B65417"/>
    <w:rsid w:val="00B7476F"/>
    <w:rsid w:val="00BA3BA0"/>
    <w:rsid w:val="00BA409B"/>
    <w:rsid w:val="00BA6436"/>
    <w:rsid w:val="00BA784F"/>
    <w:rsid w:val="00BB249C"/>
    <w:rsid w:val="00BB3ECC"/>
    <w:rsid w:val="00BC03F8"/>
    <w:rsid w:val="00BC3F8A"/>
    <w:rsid w:val="00BC4DE5"/>
    <w:rsid w:val="00BC5122"/>
    <w:rsid w:val="00BC7164"/>
    <w:rsid w:val="00BD47FC"/>
    <w:rsid w:val="00BE0769"/>
    <w:rsid w:val="00BE480B"/>
    <w:rsid w:val="00BF7768"/>
    <w:rsid w:val="00C03400"/>
    <w:rsid w:val="00C2535C"/>
    <w:rsid w:val="00C3332F"/>
    <w:rsid w:val="00C36460"/>
    <w:rsid w:val="00C431CA"/>
    <w:rsid w:val="00C60F10"/>
    <w:rsid w:val="00C748BE"/>
    <w:rsid w:val="00C965B0"/>
    <w:rsid w:val="00CB1780"/>
    <w:rsid w:val="00CD417A"/>
    <w:rsid w:val="00D00394"/>
    <w:rsid w:val="00D07DAD"/>
    <w:rsid w:val="00D12B40"/>
    <w:rsid w:val="00D27D75"/>
    <w:rsid w:val="00D321A4"/>
    <w:rsid w:val="00D35F0C"/>
    <w:rsid w:val="00D46F62"/>
    <w:rsid w:val="00D57BEC"/>
    <w:rsid w:val="00D856B5"/>
    <w:rsid w:val="00D8770A"/>
    <w:rsid w:val="00D927A1"/>
    <w:rsid w:val="00D92A0D"/>
    <w:rsid w:val="00D96642"/>
    <w:rsid w:val="00D97D63"/>
    <w:rsid w:val="00DC07A1"/>
    <w:rsid w:val="00DD118A"/>
    <w:rsid w:val="00DE45F1"/>
    <w:rsid w:val="00E12D72"/>
    <w:rsid w:val="00E20C04"/>
    <w:rsid w:val="00E25468"/>
    <w:rsid w:val="00E41AC6"/>
    <w:rsid w:val="00E70FCC"/>
    <w:rsid w:val="00EA68CD"/>
    <w:rsid w:val="00EB03D8"/>
    <w:rsid w:val="00EB7C2F"/>
    <w:rsid w:val="00EC1EE2"/>
    <w:rsid w:val="00EC66D2"/>
    <w:rsid w:val="00ED182E"/>
    <w:rsid w:val="00ED2D49"/>
    <w:rsid w:val="00ED3EF6"/>
    <w:rsid w:val="00ED4954"/>
    <w:rsid w:val="00EF2855"/>
    <w:rsid w:val="00EF3982"/>
    <w:rsid w:val="00F00260"/>
    <w:rsid w:val="00F2705E"/>
    <w:rsid w:val="00F47686"/>
    <w:rsid w:val="00F5593C"/>
    <w:rsid w:val="00F55C9D"/>
    <w:rsid w:val="00F618BF"/>
    <w:rsid w:val="00F62586"/>
    <w:rsid w:val="00F6652F"/>
    <w:rsid w:val="00F748EF"/>
    <w:rsid w:val="00F77957"/>
    <w:rsid w:val="00F9171D"/>
    <w:rsid w:val="00FA2555"/>
    <w:rsid w:val="00FC3605"/>
    <w:rsid w:val="00FD0B67"/>
    <w:rsid w:val="00FD3225"/>
    <w:rsid w:val="00FD6372"/>
    <w:rsid w:val="00FE7BB4"/>
    <w:rsid w:val="00FF170B"/>
    <w:rsid w:val="00FF7B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A6D"/>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NDES">
    <w:name w:val="BNDES"/>
    <w:basedOn w:val="Normal"/>
    <w:rsid w:val="0043400B"/>
    <w:pPr>
      <w:jc w:val="both"/>
    </w:pPr>
  </w:style>
  <w:style w:type="paragraph" w:styleId="Textodenotaderodap">
    <w:name w:val="footnote text"/>
    <w:basedOn w:val="Normal"/>
    <w:link w:val="TextodenotaderodapChar"/>
    <w:uiPriority w:val="99"/>
    <w:semiHidden/>
    <w:unhideWhenUsed/>
    <w:rsid w:val="00BC3F8A"/>
    <w:rPr>
      <w:sz w:val="20"/>
      <w:szCs w:val="20"/>
    </w:rPr>
  </w:style>
  <w:style w:type="character" w:customStyle="1" w:styleId="TextodenotaderodapChar">
    <w:name w:val="Texto de nota de rodapé Char"/>
    <w:basedOn w:val="Fontepargpadro"/>
    <w:link w:val="Textodenotaderodap"/>
    <w:uiPriority w:val="99"/>
    <w:semiHidden/>
    <w:rsid w:val="00BC3F8A"/>
  </w:style>
  <w:style w:type="character" w:styleId="Refdenotaderodap">
    <w:name w:val="footnote reference"/>
    <w:basedOn w:val="Fontepargpadro"/>
    <w:uiPriority w:val="99"/>
    <w:semiHidden/>
    <w:unhideWhenUsed/>
    <w:rsid w:val="00BC3F8A"/>
    <w:rPr>
      <w:vertAlign w:val="superscript"/>
    </w:rPr>
  </w:style>
  <w:style w:type="table" w:styleId="Tabelacomgrade">
    <w:name w:val="Table Grid"/>
    <w:basedOn w:val="Tabelanormal"/>
    <w:uiPriority w:val="59"/>
    <w:rsid w:val="0049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46F62"/>
    <w:pPr>
      <w:tabs>
        <w:tab w:val="center" w:pos="4252"/>
        <w:tab w:val="right" w:pos="8504"/>
      </w:tabs>
    </w:pPr>
  </w:style>
  <w:style w:type="character" w:customStyle="1" w:styleId="CabealhoChar">
    <w:name w:val="Cabeçalho Char"/>
    <w:basedOn w:val="Fontepargpadro"/>
    <w:link w:val="Cabealho"/>
    <w:uiPriority w:val="99"/>
    <w:rsid w:val="00D46F62"/>
    <w:rPr>
      <w:sz w:val="24"/>
      <w:szCs w:val="24"/>
    </w:rPr>
  </w:style>
  <w:style w:type="paragraph" w:styleId="Rodap">
    <w:name w:val="footer"/>
    <w:basedOn w:val="Normal"/>
    <w:link w:val="RodapChar"/>
    <w:uiPriority w:val="99"/>
    <w:unhideWhenUsed/>
    <w:rsid w:val="00D46F62"/>
    <w:pPr>
      <w:tabs>
        <w:tab w:val="center" w:pos="4252"/>
        <w:tab w:val="right" w:pos="8504"/>
      </w:tabs>
    </w:pPr>
  </w:style>
  <w:style w:type="character" w:customStyle="1" w:styleId="RodapChar">
    <w:name w:val="Rodapé Char"/>
    <w:basedOn w:val="Fontepargpadro"/>
    <w:link w:val="Rodap"/>
    <w:uiPriority w:val="99"/>
    <w:rsid w:val="00D46F62"/>
    <w:rPr>
      <w:sz w:val="24"/>
      <w:szCs w:val="24"/>
    </w:rPr>
  </w:style>
  <w:style w:type="character" w:styleId="TextodoEspaoReservado">
    <w:name w:val="Placeholder Text"/>
    <w:basedOn w:val="Fontepargpadro"/>
    <w:uiPriority w:val="99"/>
    <w:semiHidden/>
    <w:rsid w:val="001A6B8C"/>
    <w:rPr>
      <w:color w:val="808080"/>
    </w:rPr>
  </w:style>
  <w:style w:type="paragraph" w:styleId="Textodebalo">
    <w:name w:val="Balloon Text"/>
    <w:basedOn w:val="Normal"/>
    <w:link w:val="TextodebaloChar"/>
    <w:uiPriority w:val="99"/>
    <w:semiHidden/>
    <w:unhideWhenUsed/>
    <w:rsid w:val="001A6B8C"/>
    <w:rPr>
      <w:rFonts w:ascii="Tahoma" w:hAnsi="Tahoma" w:cs="Tahoma"/>
      <w:sz w:val="16"/>
      <w:szCs w:val="16"/>
    </w:rPr>
  </w:style>
  <w:style w:type="character" w:customStyle="1" w:styleId="TextodebaloChar">
    <w:name w:val="Texto de balão Char"/>
    <w:basedOn w:val="Fontepargpadro"/>
    <w:link w:val="Textodebalo"/>
    <w:uiPriority w:val="99"/>
    <w:semiHidden/>
    <w:rsid w:val="001A6B8C"/>
    <w:rPr>
      <w:rFonts w:ascii="Tahoma" w:hAnsi="Tahoma" w:cs="Tahoma"/>
      <w:sz w:val="16"/>
      <w:szCs w:val="16"/>
    </w:rPr>
  </w:style>
  <w:style w:type="character" w:styleId="Hyperlink">
    <w:name w:val="Hyperlink"/>
    <w:basedOn w:val="Fontepargpadro"/>
    <w:uiPriority w:val="99"/>
    <w:unhideWhenUsed/>
    <w:rsid w:val="00FD63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A6D"/>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NDES">
    <w:name w:val="BNDES"/>
    <w:basedOn w:val="Normal"/>
    <w:rsid w:val="0043400B"/>
    <w:pPr>
      <w:jc w:val="both"/>
    </w:pPr>
  </w:style>
  <w:style w:type="paragraph" w:styleId="Textodenotaderodap">
    <w:name w:val="footnote text"/>
    <w:basedOn w:val="Normal"/>
    <w:link w:val="TextodenotaderodapChar"/>
    <w:uiPriority w:val="99"/>
    <w:semiHidden/>
    <w:unhideWhenUsed/>
    <w:rsid w:val="00BC3F8A"/>
    <w:rPr>
      <w:sz w:val="20"/>
      <w:szCs w:val="20"/>
    </w:rPr>
  </w:style>
  <w:style w:type="character" w:customStyle="1" w:styleId="TextodenotaderodapChar">
    <w:name w:val="Texto de nota de rodapé Char"/>
    <w:basedOn w:val="Fontepargpadro"/>
    <w:link w:val="Textodenotaderodap"/>
    <w:uiPriority w:val="99"/>
    <w:semiHidden/>
    <w:rsid w:val="00BC3F8A"/>
  </w:style>
  <w:style w:type="character" w:styleId="Refdenotaderodap">
    <w:name w:val="footnote reference"/>
    <w:basedOn w:val="Fontepargpadro"/>
    <w:uiPriority w:val="99"/>
    <w:semiHidden/>
    <w:unhideWhenUsed/>
    <w:rsid w:val="00BC3F8A"/>
    <w:rPr>
      <w:vertAlign w:val="superscript"/>
    </w:rPr>
  </w:style>
  <w:style w:type="table" w:styleId="Tabelacomgrade">
    <w:name w:val="Table Grid"/>
    <w:basedOn w:val="Tabelanormal"/>
    <w:uiPriority w:val="59"/>
    <w:rsid w:val="0049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46F62"/>
    <w:pPr>
      <w:tabs>
        <w:tab w:val="center" w:pos="4252"/>
        <w:tab w:val="right" w:pos="8504"/>
      </w:tabs>
    </w:pPr>
  </w:style>
  <w:style w:type="character" w:customStyle="1" w:styleId="CabealhoChar">
    <w:name w:val="Cabeçalho Char"/>
    <w:basedOn w:val="Fontepargpadro"/>
    <w:link w:val="Cabealho"/>
    <w:uiPriority w:val="99"/>
    <w:rsid w:val="00D46F62"/>
    <w:rPr>
      <w:sz w:val="24"/>
      <w:szCs w:val="24"/>
    </w:rPr>
  </w:style>
  <w:style w:type="paragraph" w:styleId="Rodap">
    <w:name w:val="footer"/>
    <w:basedOn w:val="Normal"/>
    <w:link w:val="RodapChar"/>
    <w:uiPriority w:val="99"/>
    <w:unhideWhenUsed/>
    <w:rsid w:val="00D46F62"/>
    <w:pPr>
      <w:tabs>
        <w:tab w:val="center" w:pos="4252"/>
        <w:tab w:val="right" w:pos="8504"/>
      </w:tabs>
    </w:pPr>
  </w:style>
  <w:style w:type="character" w:customStyle="1" w:styleId="RodapChar">
    <w:name w:val="Rodapé Char"/>
    <w:basedOn w:val="Fontepargpadro"/>
    <w:link w:val="Rodap"/>
    <w:uiPriority w:val="99"/>
    <w:rsid w:val="00D46F62"/>
    <w:rPr>
      <w:sz w:val="24"/>
      <w:szCs w:val="24"/>
    </w:rPr>
  </w:style>
  <w:style w:type="character" w:styleId="TextodoEspaoReservado">
    <w:name w:val="Placeholder Text"/>
    <w:basedOn w:val="Fontepargpadro"/>
    <w:uiPriority w:val="99"/>
    <w:semiHidden/>
    <w:rsid w:val="001A6B8C"/>
    <w:rPr>
      <w:color w:val="808080"/>
    </w:rPr>
  </w:style>
  <w:style w:type="paragraph" w:styleId="Textodebalo">
    <w:name w:val="Balloon Text"/>
    <w:basedOn w:val="Normal"/>
    <w:link w:val="TextodebaloChar"/>
    <w:uiPriority w:val="99"/>
    <w:semiHidden/>
    <w:unhideWhenUsed/>
    <w:rsid w:val="001A6B8C"/>
    <w:rPr>
      <w:rFonts w:ascii="Tahoma" w:hAnsi="Tahoma" w:cs="Tahoma"/>
      <w:sz w:val="16"/>
      <w:szCs w:val="16"/>
    </w:rPr>
  </w:style>
  <w:style w:type="character" w:customStyle="1" w:styleId="TextodebaloChar">
    <w:name w:val="Texto de balão Char"/>
    <w:basedOn w:val="Fontepargpadro"/>
    <w:link w:val="Textodebalo"/>
    <w:uiPriority w:val="99"/>
    <w:semiHidden/>
    <w:rsid w:val="001A6B8C"/>
    <w:rPr>
      <w:rFonts w:ascii="Tahoma" w:hAnsi="Tahoma" w:cs="Tahoma"/>
      <w:sz w:val="16"/>
      <w:szCs w:val="16"/>
    </w:rPr>
  </w:style>
  <w:style w:type="character" w:styleId="Hyperlink">
    <w:name w:val="Hyperlink"/>
    <w:basedOn w:val="Fontepargpadro"/>
    <w:uiPriority w:val="99"/>
    <w:unhideWhenUsed/>
    <w:rsid w:val="00FD63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3379">
      <w:bodyDiv w:val="1"/>
      <w:marLeft w:val="0"/>
      <w:marRight w:val="0"/>
      <w:marTop w:val="0"/>
      <w:marBottom w:val="0"/>
      <w:divBdr>
        <w:top w:val="none" w:sz="0" w:space="0" w:color="auto"/>
        <w:left w:val="none" w:sz="0" w:space="0" w:color="auto"/>
        <w:bottom w:val="none" w:sz="0" w:space="0" w:color="auto"/>
        <w:right w:val="none" w:sz="0" w:space="0" w:color="auto"/>
      </w:divBdr>
    </w:div>
    <w:div w:id="631593700">
      <w:bodyDiv w:val="1"/>
      <w:marLeft w:val="0"/>
      <w:marRight w:val="0"/>
      <w:marTop w:val="0"/>
      <w:marBottom w:val="0"/>
      <w:divBdr>
        <w:top w:val="none" w:sz="0" w:space="0" w:color="auto"/>
        <w:left w:val="none" w:sz="0" w:space="0" w:color="auto"/>
        <w:bottom w:val="none" w:sz="0" w:space="0" w:color="auto"/>
        <w:right w:val="none" w:sz="0" w:space="0" w:color="auto"/>
      </w:divBdr>
    </w:div>
    <w:div w:id="827402670">
      <w:bodyDiv w:val="1"/>
      <w:marLeft w:val="0"/>
      <w:marRight w:val="0"/>
      <w:marTop w:val="0"/>
      <w:marBottom w:val="0"/>
      <w:divBdr>
        <w:top w:val="none" w:sz="0" w:space="0" w:color="auto"/>
        <w:left w:val="none" w:sz="0" w:space="0" w:color="auto"/>
        <w:bottom w:val="none" w:sz="0" w:space="0" w:color="auto"/>
        <w:right w:val="none" w:sz="0" w:space="0" w:color="auto"/>
      </w:divBdr>
    </w:div>
    <w:div w:id="168736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004DE-5013-4C59-B75C-0C84CC66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1</Pages>
  <Words>9572</Words>
  <Characters>51693</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BNDES</Company>
  <LinksUpToDate>false</LinksUpToDate>
  <CharactersWithSpaces>61143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Agostini Martini</dc:creator>
  <cp:keywords/>
  <dc:description/>
  <cp:lastModifiedBy>Ricardo Agostini Martini</cp:lastModifiedBy>
  <cp:revision>110</cp:revision>
  <cp:lastPrinted>2018-07-13T15:12:00Z</cp:lastPrinted>
  <dcterms:created xsi:type="dcterms:W3CDTF">2018-06-07T16:02:00Z</dcterms:created>
  <dcterms:modified xsi:type="dcterms:W3CDTF">2018-07-13T15:34:00Z</dcterms:modified>
</cp:coreProperties>
</file>