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theme/themeOverride2.xml" ContentType="application/vnd.openxmlformats-officedocument.themeOverride+xml"/>
  <Override PartName="/word/charts/chart6.xml" ContentType="application/vnd.openxmlformats-officedocument.drawingml.chart+xml"/>
  <Override PartName="/word/theme/themeOverride3.xml" ContentType="application/vnd.openxmlformats-officedocument.themeOverride+xml"/>
  <Override PartName="/word/charts/chart7.xml" ContentType="application/vnd.openxmlformats-officedocument.drawingml.chart+xml"/>
  <Override PartName="/word/theme/themeOverride4.xml" ContentType="application/vnd.openxmlformats-officedocument.themeOverride+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C143A" w14:textId="02BB0F28" w:rsidR="00545FF6" w:rsidRPr="00207E15" w:rsidRDefault="003D69FE" w:rsidP="00046E46">
      <w:pPr>
        <w:ind w:firstLine="0"/>
        <w:jc w:val="center"/>
        <w:rPr>
          <w:b/>
        </w:rPr>
      </w:pPr>
      <w:r>
        <w:rPr>
          <w:b/>
        </w:rPr>
        <w:t>CRESCIMENTO ECONÔMICO, EXPORTAÇÕES E EMISSÕES DE GEE NA REGIÃO SUDESTE: UMA ANÁLISE DE COI</w:t>
      </w:r>
      <w:r w:rsidR="0025160E">
        <w:rPr>
          <w:b/>
        </w:rPr>
        <w:t>N</w:t>
      </w:r>
      <w:r>
        <w:rPr>
          <w:b/>
        </w:rPr>
        <w:t>TEGRAÇÃO EM PAINEL</w:t>
      </w:r>
    </w:p>
    <w:p w14:paraId="69B0B97A" w14:textId="77777777" w:rsidR="00545FF6" w:rsidRPr="00207E15" w:rsidRDefault="00545FF6" w:rsidP="00545FF6">
      <w:pPr>
        <w:jc w:val="center"/>
        <w:rPr>
          <w:b/>
        </w:rPr>
      </w:pPr>
    </w:p>
    <w:p w14:paraId="0A088549" w14:textId="77777777" w:rsidR="00791A11" w:rsidRDefault="00791A11" w:rsidP="00791A11">
      <w:pPr>
        <w:jc w:val="right"/>
      </w:pPr>
      <w:r>
        <w:t>Luiz Gustavo Fernandes Sereno</w:t>
      </w:r>
      <w:r>
        <w:rPr>
          <w:rStyle w:val="Refdenotaderodap"/>
        </w:rPr>
        <w:footnoteReference w:id="1"/>
      </w:r>
    </w:p>
    <w:p w14:paraId="03EE02F0" w14:textId="77777777" w:rsidR="00791A11" w:rsidRDefault="00791A11" w:rsidP="00791A11">
      <w:pPr>
        <w:jc w:val="right"/>
      </w:pPr>
      <w:r>
        <w:t>Marcelo Silva Simões</w:t>
      </w:r>
      <w:r>
        <w:rPr>
          <w:rStyle w:val="Refdenotaderodap"/>
        </w:rPr>
        <w:footnoteReference w:id="2"/>
      </w:r>
    </w:p>
    <w:p w14:paraId="5CF35441" w14:textId="77777777" w:rsidR="00791A11" w:rsidRDefault="00791A11" w:rsidP="00791A11">
      <w:pPr>
        <w:jc w:val="right"/>
      </w:pPr>
      <w:r>
        <w:t>Daniel Caixeta Andrade</w:t>
      </w:r>
      <w:r>
        <w:rPr>
          <w:rStyle w:val="Refdenotaderodap"/>
        </w:rPr>
        <w:footnoteReference w:id="3"/>
      </w:r>
    </w:p>
    <w:p w14:paraId="10751352" w14:textId="77777777" w:rsidR="00340BF7" w:rsidRDefault="00340BF7" w:rsidP="00340BF7"/>
    <w:p w14:paraId="7672FD4A" w14:textId="77777777" w:rsidR="00340BF7" w:rsidRPr="00CA4FFA" w:rsidRDefault="00340BF7" w:rsidP="00340BF7">
      <w:pPr>
        <w:ind w:right="221" w:firstLine="0"/>
        <w:jc w:val="center"/>
        <w:rPr>
          <w:b/>
          <w:sz w:val="22"/>
        </w:rPr>
      </w:pPr>
      <w:r w:rsidRPr="00CA4FFA">
        <w:rPr>
          <w:b/>
          <w:sz w:val="22"/>
        </w:rPr>
        <w:t>RESUMO</w:t>
      </w:r>
    </w:p>
    <w:p w14:paraId="346BEB2E" w14:textId="4B4A17CF" w:rsidR="00340BF7" w:rsidRDefault="00340BF7" w:rsidP="00340BF7">
      <w:pPr>
        <w:ind w:right="221" w:firstLine="0"/>
        <w:rPr>
          <w:szCs w:val="24"/>
        </w:rPr>
      </w:pPr>
      <w:r>
        <w:rPr>
          <w:szCs w:val="24"/>
        </w:rPr>
        <w:t>Há um recorrente debate na literatura sobre a relação entre crescimento econômico e degradação ambiental, comumente referido como a hipótese do “U” invertido (</w:t>
      </w:r>
      <w:r w:rsidRPr="00CA4FFA">
        <w:rPr>
          <w:szCs w:val="24"/>
        </w:rPr>
        <w:t>C</w:t>
      </w:r>
      <w:r>
        <w:rPr>
          <w:szCs w:val="24"/>
        </w:rPr>
        <w:t>urva de Kuznets Ambiental – C</w:t>
      </w:r>
      <w:r w:rsidRPr="00CA4FFA">
        <w:rPr>
          <w:szCs w:val="24"/>
        </w:rPr>
        <w:t>KA</w:t>
      </w:r>
      <w:r>
        <w:rPr>
          <w:szCs w:val="24"/>
        </w:rPr>
        <w:t>).</w:t>
      </w:r>
      <w:r w:rsidRPr="00CA4FFA">
        <w:rPr>
          <w:szCs w:val="24"/>
        </w:rPr>
        <w:t xml:space="preserve"> Este artigo </w:t>
      </w:r>
      <w:r w:rsidR="00B033DD">
        <w:rPr>
          <w:szCs w:val="24"/>
        </w:rPr>
        <w:t>busca entender a dinâmica das emissões de Gases de Efeito Estufa (GEE) na região sudeste brasileira</w:t>
      </w:r>
      <w:r w:rsidR="003A3AFB">
        <w:rPr>
          <w:szCs w:val="24"/>
        </w:rPr>
        <w:t xml:space="preserve"> e sua relação com o crescimento econômico</w:t>
      </w:r>
      <w:r w:rsidR="00B033DD">
        <w:rPr>
          <w:szCs w:val="24"/>
        </w:rPr>
        <w:t xml:space="preserve">. Para tanto, </w:t>
      </w:r>
      <w:r>
        <w:rPr>
          <w:szCs w:val="24"/>
        </w:rPr>
        <w:t>procura evidências da</w:t>
      </w:r>
      <w:r w:rsidR="00D3606F">
        <w:rPr>
          <w:szCs w:val="24"/>
        </w:rPr>
        <w:t xml:space="preserve"> existência da</w:t>
      </w:r>
      <w:r>
        <w:rPr>
          <w:szCs w:val="24"/>
        </w:rPr>
        <w:t xml:space="preserve"> CKA para </w:t>
      </w:r>
      <w:r w:rsidR="003052AA">
        <w:rPr>
          <w:szCs w:val="24"/>
        </w:rPr>
        <w:t xml:space="preserve">os estados da </w:t>
      </w:r>
      <w:r>
        <w:rPr>
          <w:szCs w:val="24"/>
        </w:rPr>
        <w:t>região entre os anos 2002-</w:t>
      </w:r>
      <w:r w:rsidR="00105AA7">
        <w:rPr>
          <w:szCs w:val="24"/>
        </w:rPr>
        <w:t>2015 por meio</w:t>
      </w:r>
      <w:r w:rsidR="003A3AFB">
        <w:rPr>
          <w:szCs w:val="24"/>
        </w:rPr>
        <w:t xml:space="preserve"> de </w:t>
      </w:r>
      <w:r w:rsidR="00D3606F">
        <w:rPr>
          <w:szCs w:val="24"/>
        </w:rPr>
        <w:t xml:space="preserve">estimações de </w:t>
      </w:r>
      <w:proofErr w:type="spellStart"/>
      <w:r w:rsidR="00D3606F">
        <w:rPr>
          <w:szCs w:val="24"/>
        </w:rPr>
        <w:t>cointegração</w:t>
      </w:r>
      <w:proofErr w:type="spellEnd"/>
      <w:r w:rsidR="00D3606F">
        <w:rPr>
          <w:szCs w:val="24"/>
        </w:rPr>
        <w:t xml:space="preserve"> em painel via FMOLS e DOLS</w:t>
      </w:r>
      <w:r>
        <w:rPr>
          <w:szCs w:val="24"/>
        </w:rPr>
        <w:t xml:space="preserve">. Os modelos econométricos relacionaram as emissões de GEE </w:t>
      </w:r>
      <w:r>
        <w:rPr>
          <w:i/>
          <w:iCs/>
          <w:szCs w:val="24"/>
        </w:rPr>
        <w:t>p</w:t>
      </w:r>
      <w:r w:rsidRPr="00CA4FFA">
        <w:rPr>
          <w:i/>
          <w:szCs w:val="24"/>
        </w:rPr>
        <w:t xml:space="preserve">er capita </w:t>
      </w:r>
      <w:r w:rsidRPr="00CA4FFA">
        <w:rPr>
          <w:szCs w:val="24"/>
        </w:rPr>
        <w:t xml:space="preserve">em função de variáveis de </w:t>
      </w:r>
      <w:r w:rsidR="00105AA7">
        <w:rPr>
          <w:szCs w:val="24"/>
        </w:rPr>
        <w:t xml:space="preserve">PIB </w:t>
      </w:r>
      <w:r w:rsidR="00A9681A" w:rsidRPr="003A3AFB">
        <w:rPr>
          <w:i/>
          <w:szCs w:val="24"/>
        </w:rPr>
        <w:t>per capita</w:t>
      </w:r>
      <w:r>
        <w:rPr>
          <w:szCs w:val="24"/>
        </w:rPr>
        <w:t>, densidade populacional,</w:t>
      </w:r>
      <w:r w:rsidRPr="00CA4FFA">
        <w:rPr>
          <w:szCs w:val="24"/>
        </w:rPr>
        <w:t xml:space="preserve"> indicadores de exportações</w:t>
      </w:r>
      <w:r>
        <w:rPr>
          <w:szCs w:val="24"/>
        </w:rPr>
        <w:t xml:space="preserve"> e renda externa.</w:t>
      </w:r>
      <w:r w:rsidRPr="00CA4FFA">
        <w:rPr>
          <w:szCs w:val="24"/>
        </w:rPr>
        <w:t xml:space="preserve"> </w:t>
      </w:r>
      <w:r>
        <w:rPr>
          <w:szCs w:val="24"/>
        </w:rPr>
        <w:t>Os resultados</w:t>
      </w:r>
      <w:r w:rsidR="00791A11">
        <w:rPr>
          <w:szCs w:val="24"/>
        </w:rPr>
        <w:t xml:space="preserve"> </w:t>
      </w:r>
      <w:r w:rsidR="003A3AFB">
        <w:rPr>
          <w:szCs w:val="24"/>
        </w:rPr>
        <w:t xml:space="preserve">finais </w:t>
      </w:r>
      <w:r>
        <w:rPr>
          <w:szCs w:val="24"/>
        </w:rPr>
        <w:t>levam a uma CKA de “U” e em que a intensidade tecnológica das exportações e a demanda externa são centrais para o</w:t>
      </w:r>
      <w:r w:rsidR="00D81278">
        <w:rPr>
          <w:szCs w:val="24"/>
        </w:rPr>
        <w:t xml:space="preserve"> entendimento da emissão de GEE, bem como reafirma a necessidade de políticas regionais especificas para </w:t>
      </w:r>
      <w:r w:rsidR="004C31B0">
        <w:rPr>
          <w:szCs w:val="24"/>
        </w:rPr>
        <w:t>o</w:t>
      </w:r>
      <w:r w:rsidR="00D81278">
        <w:rPr>
          <w:szCs w:val="24"/>
        </w:rPr>
        <w:t xml:space="preserve"> êxito nas metas de redução de GEE.</w:t>
      </w:r>
    </w:p>
    <w:p w14:paraId="2B2A21BF" w14:textId="77777777" w:rsidR="00340BF7" w:rsidRDefault="00340BF7" w:rsidP="00340BF7">
      <w:pPr>
        <w:ind w:firstLine="0"/>
      </w:pPr>
    </w:p>
    <w:p w14:paraId="0A5D74A8" w14:textId="1392D778" w:rsidR="00340BF7" w:rsidRDefault="00340BF7" w:rsidP="00340BF7">
      <w:pPr>
        <w:ind w:firstLine="0"/>
      </w:pPr>
      <w:r>
        <w:t xml:space="preserve">Palavras chaves: Curva de Kuznets Ambiental, </w:t>
      </w:r>
      <w:r w:rsidR="004F7F49">
        <w:t>Intensidade Tecnológica</w:t>
      </w:r>
      <w:r>
        <w:t xml:space="preserve">, </w:t>
      </w:r>
      <w:r w:rsidR="003B2588">
        <w:t>Especificidades Regionais</w:t>
      </w:r>
      <w:r>
        <w:t>, Sudeste</w:t>
      </w:r>
      <w:r w:rsidR="000A38AA">
        <w:t xml:space="preserve"> Brasileiro</w:t>
      </w:r>
      <w:r>
        <w:t>.</w:t>
      </w:r>
    </w:p>
    <w:p w14:paraId="44FE82B6" w14:textId="77777777" w:rsidR="00340BF7" w:rsidRDefault="00340BF7" w:rsidP="00340BF7">
      <w:pPr>
        <w:ind w:right="221" w:firstLine="0"/>
      </w:pPr>
    </w:p>
    <w:p w14:paraId="72E94679" w14:textId="77777777" w:rsidR="00340BF7" w:rsidRPr="003A30A5" w:rsidRDefault="00340BF7" w:rsidP="00340BF7">
      <w:pPr>
        <w:ind w:right="221" w:firstLine="0"/>
        <w:jc w:val="center"/>
        <w:rPr>
          <w:b/>
          <w:sz w:val="22"/>
          <w:lang w:val="en-US"/>
        </w:rPr>
      </w:pPr>
      <w:r w:rsidRPr="003A30A5">
        <w:rPr>
          <w:b/>
          <w:sz w:val="22"/>
          <w:lang w:val="en-US"/>
        </w:rPr>
        <w:t>ABSTRACT</w:t>
      </w:r>
    </w:p>
    <w:p w14:paraId="7A417F4C" w14:textId="22114347" w:rsidR="00340BF7" w:rsidRPr="002D2467" w:rsidRDefault="00340BF7" w:rsidP="00340BF7">
      <w:pPr>
        <w:ind w:right="221" w:firstLine="0"/>
        <w:rPr>
          <w:szCs w:val="24"/>
          <w:lang w:val="en-US"/>
        </w:rPr>
      </w:pPr>
      <w:r w:rsidRPr="002D2467">
        <w:rPr>
          <w:szCs w:val="24"/>
          <w:lang w:val="en-US"/>
        </w:rPr>
        <w:t xml:space="preserve">There is a recurrent debate in the literature about the relationship between economic growth and environmental degradation, commonly referred to as the inverted "U" hypothesis (Environmental Kuznets Curve – </w:t>
      </w:r>
      <w:r w:rsidR="005E0DD0">
        <w:rPr>
          <w:szCs w:val="24"/>
          <w:lang w:val="en-US"/>
        </w:rPr>
        <w:t>EKC</w:t>
      </w:r>
      <w:r w:rsidRPr="002D2467">
        <w:rPr>
          <w:szCs w:val="24"/>
          <w:lang w:val="en-US"/>
        </w:rPr>
        <w:t xml:space="preserve">). This paper seeks </w:t>
      </w:r>
      <w:r w:rsidR="00A666F2">
        <w:rPr>
          <w:szCs w:val="24"/>
          <w:lang w:val="en-US"/>
        </w:rPr>
        <w:t>to understand the dynamics of Gre</w:t>
      </w:r>
      <w:r w:rsidR="002C58C1">
        <w:rPr>
          <w:szCs w:val="24"/>
          <w:lang w:val="en-US"/>
        </w:rPr>
        <w:t>e</w:t>
      </w:r>
      <w:r w:rsidR="00A666F2">
        <w:rPr>
          <w:szCs w:val="24"/>
          <w:lang w:val="en-US"/>
        </w:rPr>
        <w:t xml:space="preserve">nhouse Gas </w:t>
      </w:r>
      <w:r w:rsidR="002C58C1">
        <w:rPr>
          <w:szCs w:val="24"/>
          <w:lang w:val="en-US"/>
        </w:rPr>
        <w:t>emissions</w:t>
      </w:r>
      <w:r w:rsidR="00A666F2">
        <w:rPr>
          <w:szCs w:val="24"/>
          <w:lang w:val="en-US"/>
        </w:rPr>
        <w:t xml:space="preserve"> (GHG)</w:t>
      </w:r>
      <w:r w:rsidR="002C58C1">
        <w:rPr>
          <w:szCs w:val="24"/>
          <w:lang w:val="en-US"/>
        </w:rPr>
        <w:t xml:space="preserve"> in the Southeast region of Brazil and its relationship with economic growth. </w:t>
      </w:r>
      <w:r w:rsidR="002E4EFB">
        <w:rPr>
          <w:szCs w:val="24"/>
          <w:lang w:val="en-US"/>
        </w:rPr>
        <w:t xml:space="preserve">To do so, search </w:t>
      </w:r>
      <w:r w:rsidRPr="002D2467">
        <w:rPr>
          <w:szCs w:val="24"/>
          <w:lang w:val="en-US"/>
        </w:rPr>
        <w:t xml:space="preserve">evidence </w:t>
      </w:r>
      <w:r w:rsidR="002E4EFB">
        <w:rPr>
          <w:szCs w:val="24"/>
          <w:lang w:val="en-US"/>
        </w:rPr>
        <w:t xml:space="preserve">of the existence of the EKC for the states of the region between the years 2002-2015 by panel </w:t>
      </w:r>
      <w:proofErr w:type="spellStart"/>
      <w:r w:rsidR="002E4EFB">
        <w:rPr>
          <w:szCs w:val="24"/>
          <w:lang w:val="en-US"/>
        </w:rPr>
        <w:t>coitegration</w:t>
      </w:r>
      <w:proofErr w:type="spellEnd"/>
      <w:r w:rsidR="002E4EFB">
        <w:rPr>
          <w:szCs w:val="24"/>
          <w:lang w:val="en-US"/>
        </w:rPr>
        <w:t xml:space="preserve"> estimations via FMOLS and DOLS methods.</w:t>
      </w:r>
      <w:r w:rsidR="00E77B73">
        <w:rPr>
          <w:szCs w:val="24"/>
          <w:lang w:val="en-US"/>
        </w:rPr>
        <w:t xml:space="preserve"> </w:t>
      </w:r>
      <w:r w:rsidRPr="002D2467">
        <w:rPr>
          <w:szCs w:val="24"/>
          <w:lang w:val="en-US"/>
        </w:rPr>
        <w:t xml:space="preserve">The econometric models used correlated GHG emissions per capita according to variables of </w:t>
      </w:r>
      <w:r w:rsidR="00E77B73">
        <w:rPr>
          <w:szCs w:val="24"/>
          <w:lang w:val="en-US"/>
        </w:rPr>
        <w:t xml:space="preserve">GDP </w:t>
      </w:r>
      <w:r w:rsidR="00E77B73">
        <w:rPr>
          <w:i/>
          <w:szCs w:val="24"/>
          <w:lang w:val="en-US"/>
        </w:rPr>
        <w:t>per capita</w:t>
      </w:r>
      <w:r w:rsidRPr="002D2467">
        <w:rPr>
          <w:szCs w:val="24"/>
          <w:lang w:val="en-US"/>
        </w:rPr>
        <w:t xml:space="preserve">, population density, export indicators and external income. The results lead to a "U" </w:t>
      </w:r>
      <w:r w:rsidR="00CE1DFF">
        <w:rPr>
          <w:szCs w:val="24"/>
          <w:lang w:val="en-US"/>
        </w:rPr>
        <w:t>EKC</w:t>
      </w:r>
      <w:r w:rsidRPr="002D2467">
        <w:rPr>
          <w:szCs w:val="24"/>
          <w:lang w:val="en-US"/>
        </w:rPr>
        <w:t xml:space="preserve"> </w:t>
      </w:r>
      <w:r w:rsidR="00787B7B">
        <w:rPr>
          <w:szCs w:val="24"/>
          <w:lang w:val="en-US"/>
        </w:rPr>
        <w:t xml:space="preserve">in </w:t>
      </w:r>
      <w:proofErr w:type="spellStart"/>
      <w:r w:rsidR="00787B7B">
        <w:rPr>
          <w:szCs w:val="24"/>
          <w:lang w:val="en-US"/>
        </w:rPr>
        <w:t>wich</w:t>
      </w:r>
      <w:proofErr w:type="spellEnd"/>
      <w:r w:rsidRPr="002D2467">
        <w:rPr>
          <w:szCs w:val="24"/>
          <w:lang w:val="en-US"/>
        </w:rPr>
        <w:t xml:space="preserve"> the technological intensity of exports and </w:t>
      </w:r>
      <w:r w:rsidR="00787B7B">
        <w:rPr>
          <w:szCs w:val="24"/>
          <w:lang w:val="en-US"/>
        </w:rPr>
        <w:t xml:space="preserve">the </w:t>
      </w:r>
      <w:r w:rsidRPr="002D2467">
        <w:rPr>
          <w:szCs w:val="24"/>
          <w:lang w:val="en-US"/>
        </w:rPr>
        <w:t>external demand are central to the</w:t>
      </w:r>
      <w:r w:rsidR="00787B7B">
        <w:rPr>
          <w:szCs w:val="24"/>
          <w:lang w:val="en-US"/>
        </w:rPr>
        <w:t xml:space="preserve"> understanding of GHG emissions as well as reaffirming the need for specific regional policies for the success of the GHG reduction targets.</w:t>
      </w:r>
    </w:p>
    <w:p w14:paraId="3DBD83D1" w14:textId="77777777" w:rsidR="00340BF7" w:rsidRPr="002D2467" w:rsidRDefault="00340BF7" w:rsidP="00340BF7">
      <w:pPr>
        <w:ind w:firstLine="0"/>
        <w:rPr>
          <w:lang w:val="en-US"/>
        </w:rPr>
      </w:pPr>
    </w:p>
    <w:p w14:paraId="2A76B07C" w14:textId="4C53F41A" w:rsidR="00340BF7" w:rsidRDefault="00340BF7" w:rsidP="00340BF7">
      <w:pPr>
        <w:ind w:firstLine="0"/>
        <w:rPr>
          <w:lang w:val="en-US"/>
        </w:rPr>
      </w:pPr>
      <w:r w:rsidRPr="002D2467">
        <w:rPr>
          <w:lang w:val="en-US"/>
        </w:rPr>
        <w:t xml:space="preserve">Keywords: Environmental Kuznets Curve, </w:t>
      </w:r>
      <w:r w:rsidR="000A38AA" w:rsidRPr="000A38AA">
        <w:rPr>
          <w:lang w:val="en-US"/>
        </w:rPr>
        <w:t>Technological Intensity</w:t>
      </w:r>
      <w:r w:rsidRPr="002D2467">
        <w:rPr>
          <w:lang w:val="en-US"/>
        </w:rPr>
        <w:t xml:space="preserve">, </w:t>
      </w:r>
      <w:r w:rsidR="000A38AA" w:rsidRPr="002D2467">
        <w:rPr>
          <w:lang w:val="en-US"/>
        </w:rPr>
        <w:t>Regional Specificities</w:t>
      </w:r>
      <w:r w:rsidRPr="002D2467">
        <w:rPr>
          <w:lang w:val="en-US"/>
        </w:rPr>
        <w:t xml:space="preserve">, </w:t>
      </w:r>
      <w:r w:rsidR="000A38AA">
        <w:rPr>
          <w:lang w:val="en-US"/>
        </w:rPr>
        <w:t xml:space="preserve">Brazilian </w:t>
      </w:r>
      <w:r w:rsidRPr="002D2467">
        <w:rPr>
          <w:lang w:val="en-US"/>
        </w:rPr>
        <w:t>Southeast.</w:t>
      </w:r>
    </w:p>
    <w:p w14:paraId="265D4A6F" w14:textId="77777777" w:rsidR="00340BF7" w:rsidRDefault="00340BF7" w:rsidP="00340BF7">
      <w:pPr>
        <w:ind w:firstLine="0"/>
        <w:rPr>
          <w:lang w:val="en-US"/>
        </w:rPr>
      </w:pPr>
    </w:p>
    <w:p w14:paraId="63FD3F71" w14:textId="57795AAF" w:rsidR="00340BF7" w:rsidRPr="009B570A" w:rsidRDefault="00340BF7" w:rsidP="00340BF7">
      <w:pPr>
        <w:ind w:firstLine="0"/>
      </w:pPr>
      <w:r w:rsidRPr="009B570A">
        <w:t xml:space="preserve">JEL </w:t>
      </w:r>
      <w:proofErr w:type="spellStart"/>
      <w:r w:rsidRPr="009B570A">
        <w:t>classificat</w:t>
      </w:r>
      <w:bookmarkStart w:id="0" w:name="_GoBack"/>
      <w:bookmarkEnd w:id="0"/>
      <w:r w:rsidRPr="009B570A">
        <w:t>ion</w:t>
      </w:r>
      <w:proofErr w:type="spellEnd"/>
      <w:r w:rsidRPr="009B570A">
        <w:t xml:space="preserve">: Q56, </w:t>
      </w:r>
      <w:r w:rsidR="00B12C57">
        <w:t xml:space="preserve">Q54, </w:t>
      </w:r>
      <w:r w:rsidRPr="009B570A">
        <w:t>Q53</w:t>
      </w:r>
    </w:p>
    <w:p w14:paraId="572C9493" w14:textId="18E74676" w:rsidR="00791A11" w:rsidRPr="00154C58" w:rsidRDefault="00791A11" w:rsidP="00154C58">
      <w:pPr>
        <w:ind w:firstLine="0"/>
      </w:pPr>
      <w:r w:rsidRPr="00154C58">
        <w:t xml:space="preserve">Área ANPEC: </w:t>
      </w:r>
      <w:r w:rsidR="00154C58" w:rsidRPr="00154C58">
        <w:t>Área 11 -</w:t>
      </w:r>
      <w:r w:rsidR="00154C58">
        <w:t xml:space="preserve"> </w:t>
      </w:r>
      <w:r w:rsidR="00154C58" w:rsidRPr="00154C58">
        <w:t>Economia Agrícola e do Meio Ambiente </w:t>
      </w:r>
    </w:p>
    <w:p w14:paraId="0577B7F5" w14:textId="77777777" w:rsidR="00340BF7" w:rsidRPr="00154C58" w:rsidRDefault="00340BF7" w:rsidP="00340BF7">
      <w:pPr>
        <w:spacing w:after="160" w:line="259" w:lineRule="auto"/>
        <w:ind w:firstLine="0"/>
        <w:jc w:val="left"/>
      </w:pPr>
      <w:r w:rsidRPr="00154C58">
        <w:br w:type="page"/>
      </w:r>
    </w:p>
    <w:p w14:paraId="14AA8FF4" w14:textId="2F3A4C39" w:rsidR="00545FF6" w:rsidRPr="00397411" w:rsidRDefault="00CE4DDF" w:rsidP="00202D22">
      <w:pPr>
        <w:pStyle w:val="Ttulo1"/>
        <w:numPr>
          <w:ilvl w:val="0"/>
          <w:numId w:val="8"/>
        </w:numPr>
      </w:pPr>
      <w:r w:rsidRPr="00397411">
        <w:lastRenderedPageBreak/>
        <w:t>INTRODUÇÃO</w:t>
      </w:r>
    </w:p>
    <w:p w14:paraId="34652F95" w14:textId="77777777" w:rsidR="00FB79D8" w:rsidRDefault="00FE4C40" w:rsidP="00CA4FFA">
      <w:r w:rsidRPr="00EF1DB6">
        <w:t>Desde a década de 1970 a problemática ambiental tem se tornado cada vez mais discutida nos meios acadêmicos, empresariais e políticos. O aumento do interesse pela temática foi devido, principalmente, a fatores como o aumento sem precedentes da poluição no meio ambiente, derivado do crescimento econômico da Era de Ouro do capitalismo (do pós II Guerra até a Crise do Petróleo de 1973), do crescente temor gerado pela possibilidade de escassez</w:t>
      </w:r>
      <w:r w:rsidR="004D243B" w:rsidRPr="00CA4FFA">
        <w:t xml:space="preserve"> </w:t>
      </w:r>
      <w:r w:rsidRPr="00EF1DB6">
        <w:t>de</w:t>
      </w:r>
      <w:r w:rsidR="004D243B" w:rsidRPr="00CA4FFA">
        <w:t xml:space="preserve"> </w:t>
      </w:r>
      <w:r w:rsidRPr="00EF1DB6">
        <w:t>recursos</w:t>
      </w:r>
      <w:r w:rsidR="004D243B" w:rsidRPr="00CA4FFA">
        <w:t xml:space="preserve"> </w:t>
      </w:r>
      <w:r w:rsidRPr="00EF1DB6">
        <w:t>naturais</w:t>
      </w:r>
      <w:r w:rsidR="004D243B" w:rsidRPr="00CA4FFA">
        <w:t xml:space="preserve"> </w:t>
      </w:r>
      <w:r w:rsidRPr="00EF1DB6">
        <w:t>importantes,</w:t>
      </w:r>
      <w:r w:rsidR="004D243B" w:rsidRPr="00CA4FFA">
        <w:t xml:space="preserve"> </w:t>
      </w:r>
      <w:r w:rsidRPr="00EF1DB6">
        <w:t>uma</w:t>
      </w:r>
      <w:r w:rsidR="004D243B" w:rsidRPr="00CA4FFA">
        <w:t xml:space="preserve"> </w:t>
      </w:r>
      <w:r w:rsidRPr="00EF1DB6">
        <w:t>vez</w:t>
      </w:r>
      <w:r w:rsidR="004D243B" w:rsidRPr="00CA4FFA">
        <w:t xml:space="preserve"> </w:t>
      </w:r>
      <w:r w:rsidRPr="00EF1DB6">
        <w:t>que</w:t>
      </w:r>
      <w:r w:rsidR="004D243B" w:rsidRPr="00CA4FFA">
        <w:t xml:space="preserve"> </w:t>
      </w:r>
      <w:r w:rsidRPr="00EF1DB6">
        <w:t>se</w:t>
      </w:r>
      <w:r w:rsidR="004D243B" w:rsidRPr="00CA4FFA">
        <w:t xml:space="preserve"> </w:t>
      </w:r>
      <w:r w:rsidRPr="00EF1DB6">
        <w:t>vivia</w:t>
      </w:r>
      <w:r w:rsidR="004D243B" w:rsidRPr="00CA4FFA">
        <w:t xml:space="preserve"> </w:t>
      </w:r>
      <w:r w:rsidRPr="00EF1DB6">
        <w:t>em</w:t>
      </w:r>
      <w:r w:rsidR="004D243B" w:rsidRPr="00CA4FFA">
        <w:t xml:space="preserve"> </w:t>
      </w:r>
      <w:r w:rsidRPr="00EF1DB6">
        <w:t>plena</w:t>
      </w:r>
      <w:r w:rsidR="004D243B" w:rsidRPr="00CA4FFA">
        <w:t xml:space="preserve"> </w:t>
      </w:r>
      <w:r w:rsidRPr="00EF1DB6">
        <w:t>Crise</w:t>
      </w:r>
      <w:r w:rsidR="004D243B" w:rsidRPr="00CA4FFA">
        <w:t xml:space="preserve"> </w:t>
      </w:r>
      <w:r w:rsidRPr="00EF1DB6">
        <w:t>do</w:t>
      </w:r>
      <w:r w:rsidR="004D243B" w:rsidRPr="00CA4FFA">
        <w:t xml:space="preserve"> </w:t>
      </w:r>
      <w:r w:rsidRPr="00EF1DB6">
        <w:t>Petróleo</w:t>
      </w:r>
      <w:r w:rsidR="007F79C1">
        <w:t xml:space="preserve"> </w:t>
      </w:r>
      <w:r w:rsidRPr="00EF1DB6">
        <w:t xml:space="preserve">(1973), e a publicação do relatório </w:t>
      </w:r>
      <w:proofErr w:type="spellStart"/>
      <w:r w:rsidRPr="007F79C1">
        <w:rPr>
          <w:i/>
        </w:rPr>
        <w:t>Limits</w:t>
      </w:r>
      <w:proofErr w:type="spellEnd"/>
      <w:r w:rsidRPr="007F79C1">
        <w:rPr>
          <w:i/>
        </w:rPr>
        <w:t xml:space="preserve"> </w:t>
      </w:r>
      <w:proofErr w:type="spellStart"/>
      <w:r w:rsidRPr="007F79C1">
        <w:rPr>
          <w:i/>
        </w:rPr>
        <w:t>to</w:t>
      </w:r>
      <w:proofErr w:type="spellEnd"/>
      <w:r w:rsidRPr="007F79C1">
        <w:rPr>
          <w:i/>
        </w:rPr>
        <w:t xml:space="preserve"> </w:t>
      </w:r>
      <w:proofErr w:type="spellStart"/>
      <w:r w:rsidRPr="007F79C1">
        <w:rPr>
          <w:i/>
        </w:rPr>
        <w:t>Growth</w:t>
      </w:r>
      <w:proofErr w:type="spellEnd"/>
      <w:r w:rsidR="004D243B" w:rsidRPr="00CA4FFA">
        <w:t xml:space="preserve"> </w:t>
      </w:r>
      <w:r w:rsidRPr="00EF1DB6">
        <w:t xml:space="preserve">(MEADOWS </w:t>
      </w:r>
      <w:r w:rsidR="004D243B" w:rsidRPr="00CA4FFA">
        <w:t>et al</w:t>
      </w:r>
      <w:r w:rsidRPr="00EF1DB6">
        <w:t>., 1972)</w:t>
      </w:r>
      <w:r w:rsidR="004D243B" w:rsidRPr="00CA4FFA">
        <w:t xml:space="preserve">, </w:t>
      </w:r>
      <w:r w:rsidRPr="00EF1DB6">
        <w:t xml:space="preserve">o qual aponta para um cenário de catástrofe ambiental caso se disseminassem e generalizassem por todo o mundo os mesmos padrões de consumo dos países ricos (NØRGÅRD </w:t>
      </w:r>
      <w:r w:rsidRPr="007F79C1">
        <w:rPr>
          <w:i/>
        </w:rPr>
        <w:t>et al</w:t>
      </w:r>
      <w:r w:rsidR="004D243B" w:rsidRPr="00CA4FFA">
        <w:t>.</w:t>
      </w:r>
      <w:r w:rsidRPr="00EF1DB6">
        <w:t>, 2010).</w:t>
      </w:r>
    </w:p>
    <w:p w14:paraId="28DF4158" w14:textId="260D75FB" w:rsidR="003815A2" w:rsidRDefault="00E74EC6" w:rsidP="00CA4FFA">
      <w:r>
        <w:t>D</w:t>
      </w:r>
      <w:r w:rsidR="00FE4C40" w:rsidRPr="00EF1DB6">
        <w:t xml:space="preserve">entre os estudiosos da relação meio ambiente </w:t>
      </w:r>
      <w:r w:rsidR="007F79C1">
        <w:rPr>
          <w:i/>
        </w:rPr>
        <w:t>vs</w:t>
      </w:r>
      <w:r w:rsidR="007F79C1">
        <w:t>.</w:t>
      </w:r>
      <w:r w:rsidR="004D243B" w:rsidRPr="00CA4FFA">
        <w:t xml:space="preserve"> </w:t>
      </w:r>
      <w:r w:rsidR="00FE4C40" w:rsidRPr="00EF1DB6">
        <w:t xml:space="preserve">crescimento econômico, </w:t>
      </w:r>
      <w:r w:rsidR="000215C2">
        <w:t>encontra-se</w:t>
      </w:r>
      <w:r w:rsidR="00FE4C40" w:rsidRPr="00EF1DB6">
        <w:t xml:space="preserve"> a chamada escola da Economia Ambiental Neoclássica, que busca mostrar que o próprio funcionamento do sistema econômico</w:t>
      </w:r>
      <w:r w:rsidR="006F0134">
        <w:t xml:space="preserve"> seria capaz de se adequar a </w:t>
      </w:r>
      <w:r w:rsidR="007F79C1">
        <w:t>novos padrões de produção e consumo,</w:t>
      </w:r>
      <w:r w:rsidR="00FE4C40" w:rsidRPr="00EF1DB6">
        <w:t xml:space="preserve"> cria</w:t>
      </w:r>
      <w:r w:rsidR="007F79C1">
        <w:t>ndo</w:t>
      </w:r>
      <w:r w:rsidR="00FE4C40" w:rsidRPr="00EF1DB6">
        <w:t xml:space="preserve"> alternativas ambientalmente sustentáve</w:t>
      </w:r>
      <w:r w:rsidR="007F79C1">
        <w:t>is</w:t>
      </w:r>
      <w:r w:rsidR="00FE4C40" w:rsidRPr="00EF1DB6">
        <w:t xml:space="preserve">. </w:t>
      </w:r>
      <w:r>
        <w:t>N</w:t>
      </w:r>
      <w:r w:rsidR="00FE4C40" w:rsidRPr="00EF1DB6">
        <w:t xml:space="preserve">este âmbito, </w:t>
      </w:r>
      <w:proofErr w:type="spellStart"/>
      <w:r w:rsidR="00FE4C40" w:rsidRPr="00EF1DB6">
        <w:t>Grossman</w:t>
      </w:r>
      <w:proofErr w:type="spellEnd"/>
      <w:r w:rsidR="00FE4C40" w:rsidRPr="00EF1DB6">
        <w:t xml:space="preserve"> e Krueger (1991, 1995) mostraram que, segundo um conjunto de indicadores de poluição, o crescimento econômico engendra uma primeira fase de deterioração ambiental, seguida por uma fase </w:t>
      </w:r>
      <w:r w:rsidR="000C1F64">
        <w:t>de atenuação na degradação.</w:t>
      </w:r>
      <w:r w:rsidR="00FE4C40" w:rsidRPr="00EF1DB6">
        <w:t xml:space="preserve"> Esta forma de </w:t>
      </w:r>
      <w:r w:rsidR="007146FC">
        <w:t xml:space="preserve">relacionar a degradação ambiental e </w:t>
      </w:r>
      <w:r w:rsidR="0027686D">
        <w:t xml:space="preserve">o </w:t>
      </w:r>
      <w:r w:rsidR="007146FC">
        <w:t>crescimento econômico</w:t>
      </w:r>
      <w:r w:rsidR="007146FC" w:rsidRPr="00EF1DB6">
        <w:t xml:space="preserve"> </w:t>
      </w:r>
      <w:r w:rsidR="00FE4C40" w:rsidRPr="00EF1DB6">
        <w:t xml:space="preserve">foi </w:t>
      </w:r>
      <w:r w:rsidR="00A240FF">
        <w:t>denominada</w:t>
      </w:r>
      <w:r w:rsidR="00FE4C40" w:rsidRPr="00EF1DB6">
        <w:t xml:space="preserve"> de Curva de Kuznets Ambiental (CKA) que apresenta o formato de “U”</w:t>
      </w:r>
      <w:r w:rsidR="00847417">
        <w:t xml:space="preserve"> invertido</w:t>
      </w:r>
      <w:r w:rsidR="00FE4C40" w:rsidRPr="00EF1DB6">
        <w:t>.</w:t>
      </w:r>
    </w:p>
    <w:p w14:paraId="17DA9B1F" w14:textId="29695C42" w:rsidR="003F5395" w:rsidRDefault="00FE4C40" w:rsidP="00CA4FFA">
      <w:r w:rsidRPr="0019788E">
        <w:t xml:space="preserve">A partir deste estudo, vários autores procuraram relacionar variáveis como emissão de gases poluentes, desmatamento, biodiversidade, sustentabilidade, condições sanitárias </w:t>
      </w:r>
      <w:r w:rsidR="00A003E6">
        <w:t>etc., com níveis de renda, seja</w:t>
      </w:r>
      <w:r w:rsidRPr="0019788E">
        <w:t xml:space="preserve"> corroborando ou rejeitando a hipótese da curva</w:t>
      </w:r>
      <w:r w:rsidRPr="00EF1DB6">
        <w:t>.</w:t>
      </w:r>
      <w:r w:rsidR="00647837">
        <w:t xml:space="preserve"> </w:t>
      </w:r>
      <w:r w:rsidR="0022296F">
        <w:t>Dentre estes</w:t>
      </w:r>
      <w:r w:rsidR="0019788E">
        <w:t>, c</w:t>
      </w:r>
      <w:r w:rsidR="00A32D70">
        <w:t>onsiderável parcela da</w:t>
      </w:r>
      <w:r w:rsidR="00FF570C">
        <w:t xml:space="preserve"> literatura empírica da CKA trata</w:t>
      </w:r>
      <w:r w:rsidR="00F102F9">
        <w:t xml:space="preserve"> </w:t>
      </w:r>
      <w:r w:rsidR="00FF570C">
        <w:t>das emissões de dióxido de carbono (CO</w:t>
      </w:r>
      <w:r w:rsidR="00FF570C">
        <w:rPr>
          <w:vertAlign w:val="subscript"/>
        </w:rPr>
        <w:t>2</w:t>
      </w:r>
      <w:r w:rsidR="00C253DE">
        <w:t>)</w:t>
      </w:r>
      <w:r w:rsidR="00531AEE">
        <w:t>, também conhecido como gás carbônico. Tal fato se justifica</w:t>
      </w:r>
      <w:r w:rsidR="00C253DE">
        <w:t xml:space="preserve"> pela sua </w:t>
      </w:r>
      <w:r w:rsidR="008A7F93">
        <w:t>atuação como Gás de Efeito Estufa (GEE) e, consequentemente,</w:t>
      </w:r>
      <w:r w:rsidR="00A90F39">
        <w:t xml:space="preserve"> sua</w:t>
      </w:r>
      <w:r w:rsidR="008A7F93">
        <w:t xml:space="preserve"> </w:t>
      </w:r>
      <w:r w:rsidR="00C253DE">
        <w:t xml:space="preserve">importância no equilíbrio </w:t>
      </w:r>
      <w:r w:rsidR="008A7F93">
        <w:t>energético terrestre.</w:t>
      </w:r>
    </w:p>
    <w:p w14:paraId="387DB90C" w14:textId="788F7B33" w:rsidR="003F3B56" w:rsidRPr="0088703F" w:rsidRDefault="00194B8C" w:rsidP="00CA4FFA">
      <w:r>
        <w:t xml:space="preserve">O Brasil se insere </w:t>
      </w:r>
      <w:r w:rsidR="00744FCC">
        <w:t>internacionalmente</w:t>
      </w:r>
      <w:r>
        <w:t xml:space="preserve"> no debate acerca da redução do nível de emissões de GEE </w:t>
      </w:r>
      <w:r w:rsidRPr="0088703F">
        <w:t>como assinante do Acordo de Paris (2015)</w:t>
      </w:r>
      <w:r w:rsidR="00BF5BF3" w:rsidRPr="0088703F">
        <w:t xml:space="preserve"> </w:t>
      </w:r>
      <w:r w:rsidRPr="0088703F">
        <w:t xml:space="preserve">com metas </w:t>
      </w:r>
      <w:r w:rsidR="00BF5BF3" w:rsidRPr="0088703F">
        <w:t>precisamente</w:t>
      </w:r>
      <w:r w:rsidRPr="0088703F">
        <w:t xml:space="preserve"> estabelecidas (BRASIL, 2015). </w:t>
      </w:r>
      <w:r w:rsidR="008444CC" w:rsidRPr="0088703F">
        <w:t xml:space="preserve">No entanto, enquanto as emissões totais brasileiras apresentaram trajetória </w:t>
      </w:r>
      <w:r w:rsidR="00FF2DD0" w:rsidRPr="0088703F">
        <w:t xml:space="preserve">de queda </w:t>
      </w:r>
      <w:r w:rsidR="008444CC" w:rsidRPr="0088703F">
        <w:t>a partir dos anos 2000,</w:t>
      </w:r>
      <w:r w:rsidR="006A3A49" w:rsidRPr="0088703F">
        <w:t xml:space="preserve"> as </w:t>
      </w:r>
      <w:r w:rsidR="00DD4486" w:rsidRPr="0088703F">
        <w:t xml:space="preserve">emissões </w:t>
      </w:r>
      <w:r w:rsidR="006A3A49" w:rsidRPr="0088703F">
        <w:t>relativas</w:t>
      </w:r>
      <w:r w:rsidR="000B3536" w:rsidRPr="0088703F">
        <w:t xml:space="preserve"> </w:t>
      </w:r>
      <w:r w:rsidR="006A3A49" w:rsidRPr="0088703F">
        <w:t>d</w:t>
      </w:r>
      <w:r w:rsidR="008444CC" w:rsidRPr="0088703F">
        <w:t xml:space="preserve">a região </w:t>
      </w:r>
      <w:r w:rsidR="002439B1" w:rsidRPr="0088703F">
        <w:t>Sudeste</w:t>
      </w:r>
      <w:r w:rsidR="005D6F8F" w:rsidRPr="0088703F">
        <w:t xml:space="preserve"> (SE)</w:t>
      </w:r>
      <w:r w:rsidR="002439B1" w:rsidRPr="0088703F">
        <w:t xml:space="preserve"> </w:t>
      </w:r>
      <w:r w:rsidR="00E059A7" w:rsidRPr="0088703F">
        <w:t>experimentaram</w:t>
      </w:r>
      <w:r w:rsidR="006D74B4" w:rsidRPr="0088703F">
        <w:t xml:space="preserve"> crescimento</w:t>
      </w:r>
      <w:r w:rsidR="003A41BB" w:rsidRPr="0088703F">
        <w:t xml:space="preserve"> vertiginoso</w:t>
      </w:r>
      <w:r w:rsidR="00E74EC6" w:rsidRPr="0088703F">
        <w:t xml:space="preserve"> (SEEG, 2017)</w:t>
      </w:r>
      <w:r w:rsidR="007470A4" w:rsidRPr="0088703F">
        <w:t xml:space="preserve">. </w:t>
      </w:r>
      <w:r w:rsidR="00464E08" w:rsidRPr="0088703F">
        <w:t xml:space="preserve">Dado que o SE se apresenta como a região mais relevante em termos </w:t>
      </w:r>
      <w:r w:rsidR="009D5606" w:rsidRPr="0088703F">
        <w:t>de renda e população do país, faz-se</w:t>
      </w:r>
      <w:r w:rsidR="00FB7367" w:rsidRPr="0088703F">
        <w:t xml:space="preserve"> </w:t>
      </w:r>
      <w:r w:rsidR="009D5606" w:rsidRPr="0088703F">
        <w:t>necessário</w:t>
      </w:r>
      <w:r w:rsidR="00B20F3E" w:rsidRPr="0088703F">
        <w:t xml:space="preserve"> examinar </w:t>
      </w:r>
      <w:r w:rsidR="002E6932" w:rsidRPr="0088703F">
        <w:t>o impacto d</w:t>
      </w:r>
      <w:r w:rsidR="00B20F3E" w:rsidRPr="0088703F">
        <w:t xml:space="preserve">as </w:t>
      </w:r>
      <w:r w:rsidR="00A54C7A" w:rsidRPr="0088703F">
        <w:t xml:space="preserve">especificidades regionais </w:t>
      </w:r>
      <w:r w:rsidR="002E6932" w:rsidRPr="0088703F">
        <w:t>sobre as</w:t>
      </w:r>
      <w:r w:rsidR="00CC6ED4" w:rsidRPr="0088703F">
        <w:t xml:space="preserve"> emissões para</w:t>
      </w:r>
      <w:r w:rsidR="00434F4D" w:rsidRPr="0088703F">
        <w:t xml:space="preserve"> auxiliar a</w:t>
      </w:r>
      <w:r w:rsidR="00CC6ED4" w:rsidRPr="0088703F">
        <w:t xml:space="preserve"> elaboração de políticas públicas efetivas consoantes com as metas</w:t>
      </w:r>
      <w:r w:rsidR="00101638" w:rsidRPr="0088703F">
        <w:t xml:space="preserve"> de redução</w:t>
      </w:r>
      <w:r w:rsidR="00CC6ED4" w:rsidRPr="0088703F">
        <w:t xml:space="preserve"> brasileiras.</w:t>
      </w:r>
    </w:p>
    <w:p w14:paraId="4A30D175" w14:textId="375C5A42" w:rsidR="003C188E" w:rsidRDefault="009E2DFA" w:rsidP="006428B1">
      <w:r w:rsidRPr="0088703F">
        <w:t>O</w:t>
      </w:r>
      <w:r w:rsidR="003C188E" w:rsidRPr="0088703F">
        <w:t xml:space="preserve"> objetivo central do trabalho </w:t>
      </w:r>
      <w:r w:rsidR="00317F94" w:rsidRPr="0088703F">
        <w:t xml:space="preserve">é de entender a dinâmica das emissões de </w:t>
      </w:r>
      <w:r w:rsidR="00A4467A" w:rsidRPr="0088703F">
        <w:t xml:space="preserve">GEE </w:t>
      </w:r>
      <w:r w:rsidR="00317F94" w:rsidRPr="0088703F">
        <w:t>na região Sudeste</w:t>
      </w:r>
      <w:r w:rsidR="00317F94">
        <w:t xml:space="preserve"> brasileira</w:t>
      </w:r>
      <w:r w:rsidR="006F0134">
        <w:t>, composta pelos estados de</w:t>
      </w:r>
      <w:r w:rsidR="00E718DA">
        <w:t xml:space="preserve"> Minas Gerais, Espírito Santo</w:t>
      </w:r>
      <w:r w:rsidR="007427AD">
        <w:t>,</w:t>
      </w:r>
      <w:r w:rsidR="003E1710" w:rsidRPr="003E1710">
        <w:t xml:space="preserve"> </w:t>
      </w:r>
      <w:r w:rsidR="003E1710">
        <w:t>Rio de Janeiro e São Paulo</w:t>
      </w:r>
      <w:r w:rsidR="007427AD">
        <w:t xml:space="preserve"> entre os anos de 2002 e 2015</w:t>
      </w:r>
      <w:r w:rsidR="00EC0F91">
        <w:t xml:space="preserve">. </w:t>
      </w:r>
      <w:r w:rsidR="00EA0935">
        <w:t>Dessa forma</w:t>
      </w:r>
      <w:r w:rsidR="005F1935">
        <w:t>,</w:t>
      </w:r>
      <w:r w:rsidR="00A02B9D">
        <w:t xml:space="preserve"> </w:t>
      </w:r>
      <w:r w:rsidR="00A24C1D">
        <w:t xml:space="preserve">pretende-se </w:t>
      </w:r>
      <w:r w:rsidR="00454A83">
        <w:t xml:space="preserve">testar </w:t>
      </w:r>
      <w:r w:rsidR="0077025A">
        <w:t xml:space="preserve">a existência </w:t>
      </w:r>
      <w:r w:rsidR="00EA0935">
        <w:t>de uma</w:t>
      </w:r>
      <w:r w:rsidR="00567766">
        <w:t xml:space="preserve"> </w:t>
      </w:r>
      <w:r w:rsidR="00454A83">
        <w:t>CKA para as emissões de GEE da região.</w:t>
      </w:r>
      <w:r w:rsidR="00567766">
        <w:t xml:space="preserve"> Adicionalmente,</w:t>
      </w:r>
      <w:r w:rsidR="00454A83">
        <w:t xml:space="preserve"> </w:t>
      </w:r>
      <w:r w:rsidR="00A02B9D">
        <w:t>o trabalho</w:t>
      </w:r>
      <w:r w:rsidR="00E718DA">
        <w:t xml:space="preserve"> </w:t>
      </w:r>
      <w:r w:rsidR="001D308E">
        <w:t>pretende</w:t>
      </w:r>
      <w:r w:rsidR="007F79C1">
        <w:t xml:space="preserve"> </w:t>
      </w:r>
      <w:r w:rsidR="005A1123">
        <w:t>contribuir com a literatura sobre a CKA</w:t>
      </w:r>
      <w:r w:rsidR="00FF769C">
        <w:t xml:space="preserve"> </w:t>
      </w:r>
      <w:r w:rsidR="00E718DA">
        <w:t xml:space="preserve">ao </w:t>
      </w:r>
      <w:r w:rsidR="00236C26">
        <w:t>acrescentar</w:t>
      </w:r>
      <w:r w:rsidR="00E718DA">
        <w:t xml:space="preserve"> à análise </w:t>
      </w:r>
      <w:r w:rsidR="00FF769C">
        <w:t>variáveis de mensuração da renda externa</w:t>
      </w:r>
      <w:r w:rsidR="00621BF5">
        <w:t xml:space="preserve"> e</w:t>
      </w:r>
      <w:r w:rsidR="00437707">
        <w:t xml:space="preserve"> da intensidade tecnológica das exportações</w:t>
      </w:r>
      <w:r w:rsidR="00A95755">
        <w:t>.</w:t>
      </w:r>
    </w:p>
    <w:p w14:paraId="32508922" w14:textId="068A7215" w:rsidR="00E076AB" w:rsidRDefault="003D61DD" w:rsidP="00FE6BAB">
      <w:r>
        <w:t>O</w:t>
      </w:r>
      <w:r w:rsidR="00E72B65">
        <w:t xml:space="preserve"> trabalho se estrutura em </w:t>
      </w:r>
      <w:r w:rsidR="009F7ECC">
        <w:t>cinco</w:t>
      </w:r>
      <w:r w:rsidR="003C0BCF">
        <w:t xml:space="preserve"> </w:t>
      </w:r>
      <w:r w:rsidR="00EB0B05">
        <w:t xml:space="preserve">seções além </w:t>
      </w:r>
      <w:r w:rsidR="000A4396">
        <w:t>desta introdução</w:t>
      </w:r>
      <w:r w:rsidR="00EB0B05">
        <w:t xml:space="preserve">. Na segunda seção </w:t>
      </w:r>
      <w:r w:rsidR="00CB4516">
        <w:t>são apresentadas e sumariamente discutidas as referências teóricas e empí</w:t>
      </w:r>
      <w:r>
        <w:t xml:space="preserve">ricas acerca da CKA. </w:t>
      </w:r>
      <w:r w:rsidR="00CA410F">
        <w:t xml:space="preserve">A terceira seção contempla </w:t>
      </w:r>
      <w:r w:rsidR="00212707">
        <w:t xml:space="preserve">uma análise descritiva da região Sudeste por estado sobre os dados de emissões de GEE por setor de atividade, crescimento econômico e intensidade tecnológica da pauta exportadora. </w:t>
      </w:r>
      <w:r>
        <w:t xml:space="preserve">A seguir, a </w:t>
      </w:r>
      <w:r w:rsidR="00CA410F">
        <w:t>quarta</w:t>
      </w:r>
      <w:r>
        <w:t xml:space="preserve"> seção </w:t>
      </w:r>
      <w:r w:rsidR="00AD051E">
        <w:t xml:space="preserve">aborda o modelo econométrico a ser estimado, bem como as variáveis </w:t>
      </w:r>
      <w:r w:rsidR="008146FA">
        <w:t>consideradas e as fontes</w:t>
      </w:r>
      <w:r w:rsidR="00212707">
        <w:t xml:space="preserve"> dos dados</w:t>
      </w:r>
      <w:r w:rsidR="00AD051E">
        <w:t xml:space="preserve">. Na </w:t>
      </w:r>
      <w:r w:rsidR="00CA410F">
        <w:t>quinta</w:t>
      </w:r>
      <w:r w:rsidR="00F94CC3">
        <w:t xml:space="preserve"> </w:t>
      </w:r>
      <w:r w:rsidR="00AD051E">
        <w:t xml:space="preserve">seção estão </w:t>
      </w:r>
      <w:r w:rsidR="009E2DFA">
        <w:t xml:space="preserve">descritos </w:t>
      </w:r>
      <w:r w:rsidR="00AD051E">
        <w:t>os testes econ</w:t>
      </w:r>
      <w:r w:rsidR="007B43A9">
        <w:t xml:space="preserve">ométricos, </w:t>
      </w:r>
      <w:r w:rsidR="009E2DFA">
        <w:t xml:space="preserve">os </w:t>
      </w:r>
      <w:r w:rsidR="00841266">
        <w:t>resultados</w:t>
      </w:r>
      <w:r w:rsidR="007B43A9">
        <w:t xml:space="preserve"> das estimações</w:t>
      </w:r>
      <w:r w:rsidR="00841266">
        <w:t xml:space="preserve"> e </w:t>
      </w:r>
      <w:r w:rsidR="00551BA8">
        <w:t xml:space="preserve">a </w:t>
      </w:r>
      <w:r w:rsidR="00841266">
        <w:t xml:space="preserve">inferência sobre os modelos. </w:t>
      </w:r>
      <w:r w:rsidR="00E718DA">
        <w:t xml:space="preserve">Por fim, </w:t>
      </w:r>
      <w:r w:rsidR="002736CF">
        <w:t>na ú</w:t>
      </w:r>
      <w:r w:rsidR="00DB0ECA">
        <w:t>l</w:t>
      </w:r>
      <w:r w:rsidR="002736CF">
        <w:t xml:space="preserve">tima seção </w:t>
      </w:r>
      <w:r w:rsidR="00841266">
        <w:t xml:space="preserve">estão sintetizadas as principais </w:t>
      </w:r>
      <w:r w:rsidR="003C188E">
        <w:t>reflexões realizadas no trabalho.</w:t>
      </w:r>
    </w:p>
    <w:p w14:paraId="56A9A13C" w14:textId="4127033E" w:rsidR="00FE6BAB" w:rsidRDefault="00FE6BAB" w:rsidP="00FE6BAB"/>
    <w:p w14:paraId="1379569D" w14:textId="67DC77BD" w:rsidR="00397411" w:rsidRPr="00397411" w:rsidRDefault="00397411" w:rsidP="00202D22">
      <w:pPr>
        <w:pStyle w:val="Ttulo1"/>
        <w:numPr>
          <w:ilvl w:val="0"/>
          <w:numId w:val="8"/>
        </w:numPr>
      </w:pPr>
      <w:r w:rsidRPr="00397411">
        <w:t>REFERENCIAL TEÓRICO E EMPÍRICO</w:t>
      </w:r>
    </w:p>
    <w:p w14:paraId="4F616FE6" w14:textId="61A4C2D3" w:rsidR="00CC771B" w:rsidRDefault="00397411" w:rsidP="00397411">
      <w:r>
        <w:t>No</w:t>
      </w:r>
      <w:r w:rsidRPr="00042EEB">
        <w:t xml:space="preserve"> ano de 1972, o </w:t>
      </w:r>
      <w:r w:rsidRPr="00CA4FFA">
        <w:rPr>
          <w:i/>
        </w:rPr>
        <w:t xml:space="preserve">Massachusetts </w:t>
      </w:r>
      <w:proofErr w:type="spellStart"/>
      <w:r w:rsidRPr="00CA4FFA">
        <w:rPr>
          <w:i/>
        </w:rPr>
        <w:t>Institute</w:t>
      </w:r>
      <w:proofErr w:type="spellEnd"/>
      <w:r w:rsidRPr="00CA4FFA">
        <w:rPr>
          <w:i/>
        </w:rPr>
        <w:t xml:space="preserve"> </w:t>
      </w:r>
      <w:proofErr w:type="spellStart"/>
      <w:r w:rsidRPr="00CA4FFA">
        <w:rPr>
          <w:i/>
        </w:rPr>
        <w:t>of</w:t>
      </w:r>
      <w:proofErr w:type="spellEnd"/>
      <w:r w:rsidRPr="00CA4FFA">
        <w:rPr>
          <w:i/>
        </w:rPr>
        <w:t xml:space="preserve"> Technology</w:t>
      </w:r>
      <w:r w:rsidRPr="00042EEB">
        <w:t xml:space="preserve"> </w:t>
      </w:r>
      <w:r w:rsidR="00CC771B">
        <w:t>publicou</w:t>
      </w:r>
      <w:r w:rsidRPr="00042EEB">
        <w:t xml:space="preserve">, </w:t>
      </w:r>
      <w:r w:rsidR="000403BE">
        <w:t>encomendado</w:t>
      </w:r>
      <w:r w:rsidRPr="00042EEB">
        <w:t xml:space="preserve"> pelo Clube de Roma, o </w:t>
      </w:r>
      <w:r w:rsidR="000403BE">
        <w:t>relatório</w:t>
      </w:r>
      <w:r w:rsidRPr="00042EEB">
        <w:t xml:space="preserve"> </w:t>
      </w:r>
      <w:proofErr w:type="spellStart"/>
      <w:r w:rsidRPr="00CA4FFA">
        <w:rPr>
          <w:i/>
        </w:rPr>
        <w:t>Limits</w:t>
      </w:r>
      <w:proofErr w:type="spellEnd"/>
      <w:r w:rsidRPr="00CA4FFA">
        <w:rPr>
          <w:i/>
        </w:rPr>
        <w:t xml:space="preserve"> </w:t>
      </w:r>
      <w:proofErr w:type="spellStart"/>
      <w:r w:rsidRPr="00CA4FFA">
        <w:rPr>
          <w:i/>
        </w:rPr>
        <w:t>to</w:t>
      </w:r>
      <w:proofErr w:type="spellEnd"/>
      <w:r w:rsidRPr="00CA4FFA">
        <w:rPr>
          <w:i/>
        </w:rPr>
        <w:t xml:space="preserve"> </w:t>
      </w:r>
      <w:proofErr w:type="spellStart"/>
      <w:r w:rsidRPr="00CA4FFA">
        <w:rPr>
          <w:i/>
        </w:rPr>
        <w:t>Growth</w:t>
      </w:r>
      <w:proofErr w:type="spellEnd"/>
      <w:r>
        <w:rPr>
          <w:i/>
        </w:rPr>
        <w:t xml:space="preserve"> </w:t>
      </w:r>
      <w:r>
        <w:t>(MEADOWS et al., 1972)</w:t>
      </w:r>
      <w:r w:rsidR="000403BE">
        <w:t>. O estudo</w:t>
      </w:r>
      <w:r w:rsidRPr="00042EEB">
        <w:t xml:space="preserve"> </w:t>
      </w:r>
      <w:r w:rsidR="000403BE">
        <w:t>apresentava</w:t>
      </w:r>
      <w:r w:rsidRPr="00042EEB">
        <w:t xml:space="preserve"> projeções pessimistas sobre a capacidade d</w:t>
      </w:r>
      <w:r w:rsidR="009E2DFA">
        <w:t xml:space="preserve">e </w:t>
      </w:r>
      <w:r w:rsidR="00D11757">
        <w:t xml:space="preserve">a </w:t>
      </w:r>
      <w:r w:rsidRPr="00042EEB">
        <w:t>biosfera suportar o estilo de desenvolvimento</w:t>
      </w:r>
      <w:r>
        <w:t xml:space="preserve"> </w:t>
      </w:r>
      <w:r w:rsidRPr="00042EEB">
        <w:t xml:space="preserve">econômico que vinha sendo praticado até então. Previa-se que já no século XXI seriam ultrapassados os limites biofísicos impostos pelo meio ambiente, o que </w:t>
      </w:r>
      <w:r w:rsidR="009E2DFA">
        <w:t xml:space="preserve">teria </w:t>
      </w:r>
      <w:r w:rsidRPr="00042EEB">
        <w:t>o potencial de levar a uma grande desorganização social e econômica em nível mundial</w:t>
      </w:r>
      <w:r w:rsidR="00D11757">
        <w:t xml:space="preserve"> (MEADOWS et al., 1972)</w:t>
      </w:r>
      <w:r w:rsidRPr="00042EEB">
        <w:t xml:space="preserve">. </w:t>
      </w:r>
    </w:p>
    <w:p w14:paraId="5A96E183" w14:textId="249EBFE2" w:rsidR="00357DDA" w:rsidRPr="004879C2" w:rsidRDefault="00397411" w:rsidP="00772AAA">
      <w:r w:rsidRPr="004879C2">
        <w:t xml:space="preserve">A partir destas </w:t>
      </w:r>
      <w:r w:rsidR="000403BE" w:rsidRPr="004879C2">
        <w:t>estimativas</w:t>
      </w:r>
      <w:r w:rsidRPr="004879C2">
        <w:t xml:space="preserve">, </w:t>
      </w:r>
      <w:r w:rsidR="007132F6" w:rsidRPr="004879C2">
        <w:t xml:space="preserve">a principal conclusão do estudo é </w:t>
      </w:r>
      <w:r w:rsidR="00996980" w:rsidRPr="004879C2">
        <w:t xml:space="preserve">de </w:t>
      </w:r>
      <w:r w:rsidR="007132F6" w:rsidRPr="004879C2">
        <w:t xml:space="preserve">que seria necessário alcançar um estado global de equilíbrio </w:t>
      </w:r>
      <w:r w:rsidR="00060882" w:rsidRPr="004879C2">
        <w:t>de forma</w:t>
      </w:r>
      <w:r w:rsidR="007132F6" w:rsidRPr="004879C2">
        <w:t xml:space="preserve"> </w:t>
      </w:r>
      <w:r w:rsidR="00996980" w:rsidRPr="004879C2">
        <w:t>a</w:t>
      </w:r>
      <w:r w:rsidR="007132F6" w:rsidRPr="004879C2">
        <w:t xml:space="preserve"> evitar</w:t>
      </w:r>
      <w:r w:rsidRPr="004879C2">
        <w:t xml:space="preserve"> </w:t>
      </w:r>
      <w:r w:rsidR="00996980" w:rsidRPr="004879C2">
        <w:t xml:space="preserve">o desfecho catastrófico previsto com </w:t>
      </w:r>
      <w:r w:rsidRPr="004879C2">
        <w:t>a</w:t>
      </w:r>
      <w:r w:rsidR="008B5E86" w:rsidRPr="004879C2">
        <w:t xml:space="preserve"> continuidade da</w:t>
      </w:r>
      <w:r w:rsidRPr="004879C2">
        <w:t xml:space="preserve"> voraz </w:t>
      </w:r>
      <w:r w:rsidRPr="004879C2">
        <w:lastRenderedPageBreak/>
        <w:t>depleção ambienta</w:t>
      </w:r>
      <w:r w:rsidR="008B5E86" w:rsidRPr="004879C2">
        <w:t>l causada pelo avanço da</w:t>
      </w:r>
      <w:r w:rsidR="007132F6" w:rsidRPr="004879C2">
        <w:t xml:space="preserve"> industrialização.</w:t>
      </w:r>
      <w:r w:rsidRPr="004879C2">
        <w:t xml:space="preserve"> </w:t>
      </w:r>
      <w:r w:rsidR="00357DDA" w:rsidRPr="004879C2">
        <w:t>Dentre as medidas defendidas para</w:t>
      </w:r>
      <w:r w:rsidR="008B5E86" w:rsidRPr="004879C2">
        <w:t xml:space="preserve"> atingir o estado de </w:t>
      </w:r>
      <w:proofErr w:type="spellStart"/>
      <w:r w:rsidR="008B5E86" w:rsidRPr="004879C2">
        <w:t>equilibrio</w:t>
      </w:r>
      <w:proofErr w:type="spellEnd"/>
      <w:r w:rsidR="00357DDA" w:rsidRPr="004879C2">
        <w:t xml:space="preserve"> destacam-se a necessidade de </w:t>
      </w:r>
      <w:r w:rsidR="00772AAA" w:rsidRPr="004879C2">
        <w:t>estabilizar</w:t>
      </w:r>
      <w:r w:rsidR="00357DDA" w:rsidRPr="004879C2">
        <w:t xml:space="preserve"> as taxas de crescimento populacional</w:t>
      </w:r>
      <w:r w:rsidR="008062EB" w:rsidRPr="004879C2">
        <w:t xml:space="preserve"> e</w:t>
      </w:r>
      <w:r w:rsidR="00772AAA" w:rsidRPr="004879C2">
        <w:t xml:space="preserve"> de reduzir drasticamente a utilização de recursos não renováveis e a poluição da</w:t>
      </w:r>
      <w:r w:rsidR="008062EB" w:rsidRPr="004879C2">
        <w:t>s</w:t>
      </w:r>
      <w:r w:rsidR="00772AAA" w:rsidRPr="004879C2">
        <w:t xml:space="preserve"> </w:t>
      </w:r>
      <w:r w:rsidR="008062EB" w:rsidRPr="004879C2">
        <w:t>produ</w:t>
      </w:r>
      <w:r w:rsidR="00032DB1" w:rsidRPr="004879C2">
        <w:t>ç</w:t>
      </w:r>
      <w:r w:rsidR="008062EB" w:rsidRPr="004879C2">
        <w:t>ões</w:t>
      </w:r>
      <w:r w:rsidR="00772AAA" w:rsidRPr="004879C2">
        <w:t xml:space="preserve"> industrial e agrícola (MEADOWS et al., 1972).</w:t>
      </w:r>
    </w:p>
    <w:p w14:paraId="43967D86" w14:textId="604D7121" w:rsidR="00397411" w:rsidRDefault="00B36110" w:rsidP="00397411">
      <w:pPr>
        <w:rPr>
          <w:rFonts w:eastAsia="Monospace" w:cs="Times New Roman"/>
          <w:color w:val="000000"/>
          <w:szCs w:val="24"/>
          <w:lang w:eastAsia="zh-CN"/>
        </w:rPr>
      </w:pPr>
      <w:r w:rsidRPr="004879C2">
        <w:rPr>
          <w:rFonts w:eastAsia="Monospace" w:cs="Times New Roman"/>
          <w:color w:val="000000"/>
          <w:szCs w:val="24"/>
        </w:rPr>
        <w:t>A</w:t>
      </w:r>
      <w:r w:rsidR="00397411" w:rsidRPr="004879C2">
        <w:rPr>
          <w:rFonts w:eastAsia="Monospace" w:cs="Times New Roman"/>
          <w:color w:val="000000"/>
          <w:szCs w:val="24"/>
        </w:rPr>
        <w:t xml:space="preserve"> Conferência de Estocolmo em 1972, na qual o estudo foi apresentado, assumiu notoriedade</w:t>
      </w:r>
      <w:r w:rsidR="00397411">
        <w:rPr>
          <w:rFonts w:eastAsia="Monospace" w:cs="Times New Roman"/>
          <w:color w:val="000000"/>
          <w:szCs w:val="24"/>
        </w:rPr>
        <w:t xml:space="preserve"> global,</w:t>
      </w:r>
      <w:r w:rsidR="00397411" w:rsidRPr="00566A80">
        <w:rPr>
          <w:rFonts w:eastAsia="Monospace" w:cs="Times New Roman"/>
          <w:color w:val="000000"/>
          <w:szCs w:val="24"/>
        </w:rPr>
        <w:t xml:space="preserve"> </w:t>
      </w:r>
      <w:r w:rsidR="00397411">
        <w:rPr>
          <w:rFonts w:eastAsia="Monospace" w:cs="Times New Roman"/>
          <w:color w:val="000000"/>
          <w:szCs w:val="24"/>
        </w:rPr>
        <w:t>definindo</w:t>
      </w:r>
      <w:r w:rsidR="00397411" w:rsidRPr="00566A80">
        <w:rPr>
          <w:rFonts w:eastAsia="Monospace" w:cs="Times New Roman"/>
          <w:color w:val="000000"/>
          <w:szCs w:val="24"/>
        </w:rPr>
        <w:t xml:space="preserve"> o norte </w:t>
      </w:r>
      <w:r w:rsidR="00397411">
        <w:rPr>
          <w:rFonts w:eastAsia="Monospace" w:cs="Times New Roman"/>
          <w:color w:val="000000"/>
          <w:szCs w:val="24"/>
        </w:rPr>
        <w:t>da compreensão em</w:t>
      </w:r>
      <w:r w:rsidR="00397411" w:rsidRPr="00566A80">
        <w:rPr>
          <w:rFonts w:eastAsia="Monospace" w:cs="Times New Roman"/>
          <w:color w:val="000000"/>
          <w:szCs w:val="24"/>
        </w:rPr>
        <w:t xml:space="preserve"> torno do meio ambiente</w:t>
      </w:r>
      <w:r w:rsidR="004E410B">
        <w:rPr>
          <w:rFonts w:eastAsia="Monospace" w:cs="Times New Roman"/>
          <w:color w:val="000000"/>
          <w:szCs w:val="24"/>
        </w:rPr>
        <w:t xml:space="preserve"> a partir de então</w:t>
      </w:r>
      <w:r w:rsidR="00397411">
        <w:rPr>
          <w:rFonts w:eastAsia="Monospace" w:cs="Times New Roman"/>
          <w:color w:val="000000"/>
          <w:szCs w:val="24"/>
        </w:rPr>
        <w:t xml:space="preserve">. </w:t>
      </w:r>
      <w:r w:rsidR="005D0EFF">
        <w:rPr>
          <w:rFonts w:eastAsia="Monospace" w:cs="Times New Roman"/>
          <w:color w:val="000000"/>
          <w:szCs w:val="24"/>
        </w:rPr>
        <w:t>Dentre seus</w:t>
      </w:r>
      <w:r w:rsidR="00397411">
        <w:rPr>
          <w:rFonts w:eastAsia="Monospace" w:cs="Times New Roman"/>
          <w:color w:val="000000"/>
          <w:szCs w:val="24"/>
        </w:rPr>
        <w:t xml:space="preserve"> desdobramentos</w:t>
      </w:r>
      <w:r w:rsidR="005D0EFF">
        <w:rPr>
          <w:rFonts w:eastAsia="Monospace" w:cs="Times New Roman"/>
          <w:color w:val="000000"/>
          <w:szCs w:val="24"/>
        </w:rPr>
        <w:t>, encontra-se</w:t>
      </w:r>
      <w:r w:rsidR="00397411">
        <w:rPr>
          <w:rFonts w:eastAsia="Monospace" w:cs="Times New Roman"/>
          <w:color w:val="000000"/>
          <w:szCs w:val="24"/>
        </w:rPr>
        <w:t xml:space="preserve"> a</w:t>
      </w:r>
      <w:r w:rsidR="00397411" w:rsidRPr="00566A80">
        <w:rPr>
          <w:rFonts w:eastAsia="Monospace" w:cs="Times New Roman"/>
          <w:color w:val="000000"/>
          <w:szCs w:val="24"/>
        </w:rPr>
        <w:t xml:space="preserve"> criação de importantes organismos internacionais como o </w:t>
      </w:r>
      <w:r w:rsidR="00397411">
        <w:rPr>
          <w:lang w:eastAsia="zh-CN"/>
        </w:rPr>
        <w:t>Programa das Nações Unidas para o Meio Ambiente (UNEP)</w:t>
      </w:r>
      <w:r w:rsidR="00397411" w:rsidRPr="00566A80">
        <w:rPr>
          <w:rFonts w:eastAsia="Monospace" w:cs="Times New Roman"/>
          <w:color w:val="000000"/>
          <w:szCs w:val="24"/>
          <w:lang w:eastAsia="zh-CN"/>
        </w:rPr>
        <w:t xml:space="preserve">. </w:t>
      </w:r>
      <w:r w:rsidR="00397411">
        <w:rPr>
          <w:rFonts w:eastAsia="Monospace" w:cs="Times New Roman"/>
          <w:color w:val="000000"/>
          <w:szCs w:val="24"/>
          <w:lang w:eastAsia="zh-CN"/>
        </w:rPr>
        <w:t>No</w:t>
      </w:r>
      <w:r w:rsidR="00397411" w:rsidRPr="00566A80">
        <w:rPr>
          <w:rFonts w:eastAsia="Monospace" w:cs="Times New Roman"/>
          <w:color w:val="000000"/>
          <w:szCs w:val="24"/>
          <w:lang w:eastAsia="zh-CN"/>
        </w:rPr>
        <w:t xml:space="preserve"> contexto da década de 1980</w:t>
      </w:r>
      <w:r w:rsidR="00397411">
        <w:rPr>
          <w:rFonts w:eastAsia="Monospace" w:cs="Times New Roman"/>
          <w:color w:val="000000"/>
          <w:szCs w:val="24"/>
          <w:lang w:eastAsia="zh-CN"/>
        </w:rPr>
        <w:t>,</w:t>
      </w:r>
      <w:r w:rsidR="00397411" w:rsidRPr="00566A80">
        <w:rPr>
          <w:rFonts w:eastAsia="Monospace" w:cs="Times New Roman"/>
          <w:color w:val="000000"/>
          <w:szCs w:val="24"/>
          <w:lang w:eastAsia="zh-CN"/>
        </w:rPr>
        <w:t xml:space="preserve"> </w:t>
      </w:r>
      <w:r w:rsidR="00397411">
        <w:rPr>
          <w:rFonts w:eastAsia="Monospace" w:cs="Times New Roman"/>
          <w:color w:val="000000"/>
          <w:szCs w:val="24"/>
          <w:lang w:eastAsia="zh-CN"/>
        </w:rPr>
        <w:t xml:space="preserve">o UNEP foi </w:t>
      </w:r>
      <w:r>
        <w:rPr>
          <w:rFonts w:eastAsia="Monospace" w:cs="Times New Roman"/>
          <w:color w:val="000000"/>
          <w:szCs w:val="24"/>
          <w:lang w:eastAsia="zh-CN"/>
        </w:rPr>
        <w:t xml:space="preserve">importante </w:t>
      </w:r>
      <w:r w:rsidR="00397411">
        <w:rPr>
          <w:rFonts w:eastAsia="Monospace" w:cs="Times New Roman"/>
          <w:color w:val="000000"/>
          <w:szCs w:val="24"/>
          <w:lang w:eastAsia="zh-CN"/>
        </w:rPr>
        <w:t xml:space="preserve">para </w:t>
      </w:r>
      <w:r w:rsidR="00397411" w:rsidRPr="00566A80">
        <w:rPr>
          <w:rFonts w:eastAsia="Monospace" w:cs="Times New Roman"/>
          <w:color w:val="000000"/>
          <w:szCs w:val="24"/>
          <w:lang w:eastAsia="zh-CN"/>
        </w:rPr>
        <w:t>avanços significativos</w:t>
      </w:r>
      <w:r w:rsidR="00397411">
        <w:rPr>
          <w:rFonts w:eastAsia="Monospace" w:cs="Times New Roman"/>
          <w:color w:val="000000"/>
          <w:szCs w:val="24"/>
          <w:lang w:eastAsia="zh-CN"/>
        </w:rPr>
        <w:t xml:space="preserve"> no debate mundial sobre a preservação ambiental</w:t>
      </w:r>
      <w:r w:rsidR="00397411" w:rsidRPr="00566A80">
        <w:rPr>
          <w:rFonts w:eastAsia="Monospace" w:cs="Times New Roman"/>
          <w:color w:val="000000"/>
          <w:szCs w:val="24"/>
          <w:lang w:eastAsia="zh-CN"/>
        </w:rPr>
        <w:t xml:space="preserve"> com a criação do Painel Intergovernamental para Mudanças Climáticas (IPCC) em 1988</w:t>
      </w:r>
      <w:r w:rsidR="00397411">
        <w:rPr>
          <w:rFonts w:eastAsia="Monospace" w:cs="Times New Roman"/>
          <w:color w:val="000000"/>
          <w:szCs w:val="24"/>
          <w:lang w:eastAsia="zh-CN"/>
        </w:rPr>
        <w:t xml:space="preserve"> </w:t>
      </w:r>
      <w:r w:rsidR="00397411" w:rsidRPr="00566A80">
        <w:rPr>
          <w:rFonts w:eastAsia="Monospace" w:cs="Times New Roman"/>
          <w:color w:val="000000"/>
          <w:szCs w:val="24"/>
          <w:lang w:eastAsia="zh-CN"/>
        </w:rPr>
        <w:t>(JACOBI, 2005</w:t>
      </w:r>
      <w:r w:rsidR="00397411">
        <w:rPr>
          <w:rFonts w:eastAsia="Monospace" w:cs="Times New Roman"/>
          <w:color w:val="000000"/>
          <w:szCs w:val="24"/>
          <w:lang w:eastAsia="zh-CN"/>
        </w:rPr>
        <w:t>).</w:t>
      </w:r>
    </w:p>
    <w:p w14:paraId="7F5A466E" w14:textId="2349FC35" w:rsidR="00397411" w:rsidRPr="00A3466A" w:rsidRDefault="00397411" w:rsidP="00397411">
      <w:pPr>
        <w:rPr>
          <w:rFonts w:eastAsia="Monospace" w:cs="Times New Roman"/>
          <w:color w:val="000000"/>
          <w:szCs w:val="24"/>
          <w:lang w:eastAsia="zh-CN"/>
        </w:rPr>
      </w:pPr>
      <w:r>
        <w:t>O IPCC, desde sua criação, assume a posição de principal órgão para o tratamento das questões climáticas</w:t>
      </w:r>
      <w:r w:rsidR="00B36110">
        <w:t>,</w:t>
      </w:r>
      <w:r>
        <w:t xml:space="preserve"> lançando relatórios de análise desde 1990, amplamente reconhecidos e sustentados pela comunidade científica mundial. A atuação do IPCC se dá no sentido de investigar</w:t>
      </w:r>
      <w:r w:rsidRPr="00AB5D87">
        <w:rPr>
          <w:rFonts w:eastAsia="Monospace" w:cs="Times New Roman"/>
          <w:color w:val="000000"/>
          <w:szCs w:val="24"/>
          <w:lang w:eastAsia="zh-CN"/>
        </w:rPr>
        <w:t xml:space="preserve"> os aspectos científicos do sistema climático e da mudança no clima; a vulnerabilidade do sistema socioeconômico frente às mudanças climáticas e</w:t>
      </w:r>
      <w:r>
        <w:rPr>
          <w:rFonts w:eastAsia="Monospace" w:cs="Times New Roman"/>
          <w:color w:val="000000"/>
          <w:szCs w:val="24"/>
          <w:lang w:eastAsia="zh-CN"/>
        </w:rPr>
        <w:t xml:space="preserve"> </w:t>
      </w:r>
      <w:r w:rsidRPr="00AB5D87">
        <w:rPr>
          <w:rFonts w:eastAsia="Monospace" w:cs="Times New Roman"/>
          <w:color w:val="000000"/>
          <w:szCs w:val="24"/>
          <w:lang w:eastAsia="zh-CN"/>
        </w:rPr>
        <w:t>as opções para limitar ou evitar as emissões de GEE</w:t>
      </w:r>
      <w:r w:rsidR="0000542D">
        <w:rPr>
          <w:rFonts w:eastAsia="Monospace" w:cs="Times New Roman"/>
          <w:color w:val="000000"/>
          <w:szCs w:val="24"/>
          <w:lang w:eastAsia="zh-CN"/>
        </w:rPr>
        <w:t xml:space="preserve"> (IPCC, 2014).</w:t>
      </w:r>
    </w:p>
    <w:p w14:paraId="30C7C372" w14:textId="77777777" w:rsidR="005700F8" w:rsidRPr="00A23BEF" w:rsidRDefault="00397411" w:rsidP="00397411">
      <w:r>
        <w:t>Dada a considerável difusão do tema de sustentabilidade ambiental, torn</w:t>
      </w:r>
      <w:r w:rsidR="00CB69A5">
        <w:t>ou</w:t>
      </w:r>
      <w:r>
        <w:t>-se inv</w:t>
      </w:r>
      <w:r w:rsidR="00F16A91">
        <w:t>iável sua rejeição por parte da</w:t>
      </w:r>
      <w:r>
        <w:t xml:space="preserve"> </w:t>
      </w:r>
      <w:r w:rsidR="00B36110">
        <w:t>teoria</w:t>
      </w:r>
      <w:r>
        <w:t xml:space="preserve"> econômica predominante. Sendo assim, a</w:t>
      </w:r>
      <w:r w:rsidRPr="00042EEB">
        <w:t xml:space="preserve"> sustentabilidade ambiental </w:t>
      </w:r>
      <w:r>
        <w:t xml:space="preserve">passa a ser incorporada </w:t>
      </w:r>
      <w:r w:rsidRPr="00042EEB">
        <w:t>como variável de interesse nos modelos econômicos</w:t>
      </w:r>
      <w:r>
        <w:t xml:space="preserve"> resultando em discussões </w:t>
      </w:r>
      <w:r w:rsidRPr="00A23BEF">
        <w:t>teóricas e análises empíricas. Destaca-se neste bojo a adaptação do modelo de Kuznets (1955)</w:t>
      </w:r>
      <w:r w:rsidR="00F16A91" w:rsidRPr="00A23BEF">
        <w:t xml:space="preserve"> que originalmente versava</w:t>
      </w:r>
      <w:r w:rsidRPr="00A23BEF">
        <w:t xml:space="preserve"> sobre </w:t>
      </w:r>
      <w:r w:rsidR="00F16A91" w:rsidRPr="00A23BEF">
        <w:t>a relação entre</w:t>
      </w:r>
      <w:r w:rsidRPr="00A23BEF">
        <w:t xml:space="preserve"> renda </w:t>
      </w:r>
      <w:r w:rsidRPr="00A23BEF">
        <w:rPr>
          <w:i/>
        </w:rPr>
        <w:t xml:space="preserve">per </w:t>
      </w:r>
      <w:r w:rsidR="00F16A91" w:rsidRPr="00A23BEF">
        <w:rPr>
          <w:i/>
        </w:rPr>
        <w:t>capita</w:t>
      </w:r>
      <w:r w:rsidRPr="00A23BEF">
        <w:t xml:space="preserve"> </w:t>
      </w:r>
      <w:r w:rsidR="00F16A91" w:rsidRPr="00A23BEF">
        <w:t>e</w:t>
      </w:r>
      <w:r w:rsidRPr="00A23BEF">
        <w:t xml:space="preserve"> desigualdade social para a discussão </w:t>
      </w:r>
      <w:r w:rsidR="00BE17C0" w:rsidRPr="00A23BEF">
        <w:t>ambiental acerca dos efeitos d</w:t>
      </w:r>
      <w:r w:rsidRPr="00A23BEF">
        <w:t xml:space="preserve">o crescimento econômico </w:t>
      </w:r>
      <w:r w:rsidR="00C04579" w:rsidRPr="00A23BEF">
        <w:t>quanto a</w:t>
      </w:r>
      <w:r w:rsidRPr="00A23BEF">
        <w:t xml:space="preserve"> degradação ambiental</w:t>
      </w:r>
      <w:r w:rsidR="00CF5493" w:rsidRPr="00A23BEF">
        <w:t>.</w:t>
      </w:r>
    </w:p>
    <w:p w14:paraId="34E52661" w14:textId="254F61C8" w:rsidR="00397411" w:rsidRPr="00042EEB" w:rsidRDefault="00EA5C7A" w:rsidP="00397411">
      <w:r w:rsidRPr="00A23BEF">
        <w:t>Kuznets (</w:t>
      </w:r>
      <w:r w:rsidR="00397411" w:rsidRPr="00A23BEF">
        <w:t xml:space="preserve">1955) </w:t>
      </w:r>
      <w:r w:rsidR="00980F6D">
        <w:t>demonstra</w:t>
      </w:r>
      <w:r w:rsidR="00397411" w:rsidRPr="00A23BEF">
        <w:t xml:space="preserve"> que, em um primeiro momento, aumentos da renda </w:t>
      </w:r>
      <w:r w:rsidR="00397411" w:rsidRPr="00A23BEF">
        <w:rPr>
          <w:i/>
        </w:rPr>
        <w:t xml:space="preserve">per capita </w:t>
      </w:r>
      <w:r w:rsidR="00397411" w:rsidRPr="00A23BEF">
        <w:t xml:space="preserve">em um país em desenvolvimento, de estrutura predominantemente agrária e população </w:t>
      </w:r>
      <w:r w:rsidRPr="00A23BEF">
        <w:t>majoritariamente</w:t>
      </w:r>
      <w:r w:rsidR="00397411" w:rsidRPr="00A23BEF">
        <w:t xml:space="preserve"> residente nas zonas rurais, tendem a aumentar a concentração de renda.</w:t>
      </w:r>
      <w:r w:rsidR="005700F8">
        <w:t xml:space="preserve"> </w:t>
      </w:r>
      <w:r w:rsidR="00CD63AD">
        <w:t xml:space="preserve">Contudo, com o decorrer do desenvolvimento econômico </w:t>
      </w:r>
      <w:r w:rsidR="00654B6A">
        <w:t xml:space="preserve">verificou-se </w:t>
      </w:r>
      <w:r w:rsidR="00CD63AD">
        <w:t xml:space="preserve">que a </w:t>
      </w:r>
      <w:r w:rsidR="00CD63AD" w:rsidRPr="00042EEB">
        <w:t xml:space="preserve">desigualdade de renda </w:t>
      </w:r>
      <w:r w:rsidR="00925F42">
        <w:t>tende a se reduzir</w:t>
      </w:r>
      <w:r w:rsidR="00CD63AD">
        <w:t xml:space="preserve"> a partir de determinado patamar de renda</w:t>
      </w:r>
      <w:r w:rsidR="00925F42">
        <w:t>.</w:t>
      </w:r>
      <w:r w:rsidR="00327CF2">
        <w:t xml:space="preserve"> </w:t>
      </w:r>
      <w:r w:rsidR="00CB4203">
        <w:t>Em linhas gerais</w:t>
      </w:r>
      <w:r w:rsidR="00B36110">
        <w:t xml:space="preserve">, </w:t>
      </w:r>
      <w:r w:rsidR="00327CF2">
        <w:t xml:space="preserve">o autor </w:t>
      </w:r>
      <w:r w:rsidR="00A23BEF">
        <w:t>relaciona</w:t>
      </w:r>
      <w:r w:rsidR="00925F42">
        <w:t xml:space="preserve"> tal redução </w:t>
      </w:r>
      <w:r w:rsidR="00A23BEF">
        <w:t>com</w:t>
      </w:r>
      <w:r w:rsidR="005700F8">
        <w:t xml:space="preserve"> </w:t>
      </w:r>
      <w:r w:rsidR="00397411" w:rsidRPr="00042EEB">
        <w:t xml:space="preserve">a migração da população para as cidades, o processo de industrialização e a </w:t>
      </w:r>
      <w:r w:rsidR="00B36110">
        <w:t>consolidação</w:t>
      </w:r>
      <w:r w:rsidR="00B36110" w:rsidRPr="00042EEB">
        <w:t xml:space="preserve"> </w:t>
      </w:r>
      <w:r w:rsidR="00397411" w:rsidRPr="00042EEB">
        <w:t>de sociedades democráticas com instituições mais fortes</w:t>
      </w:r>
      <w:r w:rsidR="00925F42">
        <w:t xml:space="preserve">. </w:t>
      </w:r>
      <w:r w:rsidR="00CB4203">
        <w:t>Resumidamente</w:t>
      </w:r>
      <w:r w:rsidR="00441648">
        <w:t xml:space="preserve">, </w:t>
      </w:r>
      <w:r w:rsidR="00397411" w:rsidRPr="00042EEB">
        <w:t xml:space="preserve">a partir </w:t>
      </w:r>
      <w:r w:rsidR="00327CF2">
        <w:t>de determinado momento o</w:t>
      </w:r>
      <w:r w:rsidR="00397411" w:rsidRPr="00042EEB">
        <w:t xml:space="preserve"> </w:t>
      </w:r>
      <w:r w:rsidR="00782A45">
        <w:t xml:space="preserve">próprio </w:t>
      </w:r>
      <w:r w:rsidR="00397411" w:rsidRPr="00042EEB">
        <w:t xml:space="preserve">crescimento econômico propiciaria condições para </w:t>
      </w:r>
      <w:r w:rsidR="00B36110">
        <w:t xml:space="preserve">que </w:t>
      </w:r>
      <w:r w:rsidR="00397411" w:rsidRPr="00042EEB">
        <w:t xml:space="preserve">uma maior parcela da sociedade </w:t>
      </w:r>
      <w:r w:rsidR="00072177">
        <w:t>pudesse se apropriar</w:t>
      </w:r>
      <w:r w:rsidR="00494F19">
        <w:t xml:space="preserve"> da elevação</w:t>
      </w:r>
      <w:r w:rsidR="00397411" w:rsidRPr="00042EEB">
        <w:t xml:space="preserve"> da renda gerada</w:t>
      </w:r>
      <w:r w:rsidR="00494F19">
        <w:t>.</w:t>
      </w:r>
      <w:r w:rsidR="00397411" w:rsidRPr="00042EEB">
        <w:t xml:space="preserve"> Seria formada, portanto, uma curva em formato de “U” invertido </w:t>
      </w:r>
      <w:r w:rsidR="0075139C">
        <w:t>na relação entre</w:t>
      </w:r>
      <w:r w:rsidR="00472029">
        <w:t xml:space="preserve"> PIB </w:t>
      </w:r>
      <w:r w:rsidR="00472029">
        <w:rPr>
          <w:i/>
        </w:rPr>
        <w:t xml:space="preserve">per capita </w:t>
      </w:r>
      <w:r w:rsidR="00B06F63">
        <w:t>e</w:t>
      </w:r>
      <w:r w:rsidR="00397411" w:rsidRPr="00042EEB">
        <w:t xml:space="preserve"> desigualdade de renda</w:t>
      </w:r>
      <w:r w:rsidR="0075139C">
        <w:rPr>
          <w:i/>
        </w:rPr>
        <w:t>.</w:t>
      </w:r>
    </w:p>
    <w:p w14:paraId="55FE2AB5" w14:textId="71B5876B" w:rsidR="00397411" w:rsidRDefault="00397411" w:rsidP="00397411">
      <w:proofErr w:type="spellStart"/>
      <w:r w:rsidRPr="00042EEB">
        <w:t>Grossman</w:t>
      </w:r>
      <w:proofErr w:type="spellEnd"/>
      <w:r w:rsidRPr="00042EEB">
        <w:t xml:space="preserve"> e Krueger (1991, 1995) </w:t>
      </w:r>
      <w:r w:rsidR="00346401">
        <w:t>aplicaram</w:t>
      </w:r>
      <w:r w:rsidRPr="00042EEB">
        <w:t xml:space="preserve"> os termos dessa </w:t>
      </w:r>
      <w:r w:rsidR="00494F19">
        <w:t>relação</w:t>
      </w:r>
      <w:r w:rsidR="00494F19" w:rsidRPr="00042EEB">
        <w:t xml:space="preserve"> </w:t>
      </w:r>
      <w:r w:rsidRPr="00042EEB">
        <w:t xml:space="preserve">entre crescimento econômico e desigualdade de renda para </w:t>
      </w:r>
      <w:r w:rsidR="00346401">
        <w:t>a</w:t>
      </w:r>
      <w:r w:rsidRPr="00042EEB">
        <w:t xml:space="preserve"> degradação ambiental. </w:t>
      </w:r>
      <w:r w:rsidR="002929A2">
        <w:t>Os</w:t>
      </w:r>
      <w:r w:rsidRPr="00042EEB">
        <w:t xml:space="preserve"> autores </w:t>
      </w:r>
      <w:r w:rsidR="001F2733">
        <w:t>encontraram</w:t>
      </w:r>
      <w:r w:rsidR="00454AF5">
        <w:t>,</w:t>
      </w:r>
      <w:r w:rsidRPr="00042EEB">
        <w:t xml:space="preserve"> por meio de estudos empíricos</w:t>
      </w:r>
      <w:r w:rsidR="00454AF5">
        <w:t>,</w:t>
      </w:r>
      <w:r w:rsidRPr="00042EEB">
        <w:t xml:space="preserve"> </w:t>
      </w:r>
      <w:r w:rsidR="001F2733">
        <w:t xml:space="preserve">evidências de </w:t>
      </w:r>
      <w:r w:rsidRPr="00042EEB">
        <w:t xml:space="preserve">que </w:t>
      </w:r>
      <w:r w:rsidR="00454AF5">
        <w:t xml:space="preserve">a relação entre degradação ambiental e crescimento econômico </w:t>
      </w:r>
      <w:r w:rsidR="00802905">
        <w:t>igualmente</w:t>
      </w:r>
      <w:r w:rsidRPr="00042EEB">
        <w:t xml:space="preserve"> </w:t>
      </w:r>
      <w:r w:rsidR="00454AF5">
        <w:t>se divide</w:t>
      </w:r>
      <w:r w:rsidRPr="00042EEB">
        <w:t xml:space="preserve"> em duas fases. </w:t>
      </w:r>
      <w:r w:rsidR="005A6F2C">
        <w:t>A primeira</w:t>
      </w:r>
      <w:r w:rsidRPr="00042EEB">
        <w:t xml:space="preserve">, em que as nações são pouco desenvolvidas, </w:t>
      </w:r>
      <w:r w:rsidR="005A6F2C">
        <w:t xml:space="preserve">caracteriza-se por uma </w:t>
      </w:r>
      <w:r w:rsidR="00B34799">
        <w:t>população</w:t>
      </w:r>
      <w:r w:rsidRPr="00042EEB">
        <w:t xml:space="preserve"> predo</w:t>
      </w:r>
      <w:r w:rsidR="005C0F10">
        <w:t>minantemente residente no campo e</w:t>
      </w:r>
      <w:r w:rsidRPr="00042EEB">
        <w:t xml:space="preserve"> elevada dependência do setor primário</w:t>
      </w:r>
      <w:r w:rsidR="005C0F10">
        <w:t>. A</w:t>
      </w:r>
      <w:r w:rsidRPr="00042EEB">
        <w:t xml:space="preserve"> prioridade é </w:t>
      </w:r>
      <w:r w:rsidR="00B34799">
        <w:t>a industrialização e</w:t>
      </w:r>
      <w:r w:rsidRPr="00042EEB">
        <w:t xml:space="preserve"> </w:t>
      </w:r>
      <w:r w:rsidR="005C0F10">
        <w:t>inserção</w:t>
      </w:r>
      <w:r w:rsidRPr="00042EEB">
        <w:t xml:space="preserve"> no comércio internacional</w:t>
      </w:r>
      <w:r w:rsidR="00B34799">
        <w:t>, de modo a</w:t>
      </w:r>
      <w:r w:rsidRPr="00042EEB">
        <w:t xml:space="preserve"> resolver os problemas de pobreza da população. </w:t>
      </w:r>
      <w:r w:rsidR="005C0F10">
        <w:t>Nesta fase</w:t>
      </w:r>
      <w:r w:rsidR="00F956A5">
        <w:t xml:space="preserve"> de intenso crescimento econômico </w:t>
      </w:r>
      <w:r w:rsidR="003122B1">
        <w:t>e aumento da degradação ambiental</w:t>
      </w:r>
      <w:r w:rsidR="005C0F10">
        <w:t xml:space="preserve"> destaca-se o fator Escala, considerando que q</w:t>
      </w:r>
      <w:r>
        <w:t xml:space="preserve">uanto maior a escala de uma economia, uma maior quantidade de </w:t>
      </w:r>
      <w:r w:rsidR="00FE2D80">
        <w:t>recursos</w:t>
      </w:r>
      <w:r>
        <w:t xml:space="preserve"> </w:t>
      </w:r>
      <w:r w:rsidR="006679E7">
        <w:t>é utilizada</w:t>
      </w:r>
      <w:r>
        <w:t xml:space="preserve"> nos processos</w:t>
      </w:r>
      <w:r w:rsidR="00AC1E96">
        <w:t xml:space="preserve"> produtivos</w:t>
      </w:r>
      <w:r>
        <w:t xml:space="preserve"> e, portant</w:t>
      </w:r>
      <w:r w:rsidR="005C0F10">
        <w:t xml:space="preserve">o, maior a emissão de resíduos </w:t>
      </w:r>
      <w:r>
        <w:t>(MUELLER, 2004).</w:t>
      </w:r>
      <w:r w:rsidR="005C0F10">
        <w:t xml:space="preserve"> </w:t>
      </w:r>
    </w:p>
    <w:p w14:paraId="12B948EF" w14:textId="36745764" w:rsidR="00397411" w:rsidRPr="00042EEB" w:rsidRDefault="00397411" w:rsidP="00397411">
      <w:r w:rsidRPr="00042EEB">
        <w:t xml:space="preserve">Com o êxodo rural, maior nível de renda </w:t>
      </w:r>
      <w:r w:rsidRPr="00042EEB">
        <w:rPr>
          <w:i/>
        </w:rPr>
        <w:t>per capita</w:t>
      </w:r>
      <w:r>
        <w:t xml:space="preserve"> e</w:t>
      </w:r>
      <w:r w:rsidRPr="00042EEB">
        <w:t xml:space="preserve"> estrutura econômica mais industrializada, </w:t>
      </w:r>
      <w:r w:rsidR="00647A96">
        <w:t>verifica-se</w:t>
      </w:r>
      <w:r>
        <w:t xml:space="preserve"> uma tendência de aumento da participação </w:t>
      </w:r>
      <w:r w:rsidR="0057232C">
        <w:t>no PIB</w:t>
      </w:r>
      <w:r>
        <w:t xml:space="preserve"> do setor de serviços. Visto que literatura costuma considerar o setor de serviços como menos intensivo em energia e materiais que o primeiro e segundo </w:t>
      </w:r>
      <w:r w:rsidR="005C0F10">
        <w:t>setores</w:t>
      </w:r>
      <w:r>
        <w:t xml:space="preserve">, espera-se uma diminuição da degradação. Dessa forma, o Fator Composição é o primeiro fator que explica a trajetória de queda na degradação ambiental na segunda fase do desenvolvimento </w:t>
      </w:r>
      <w:r w:rsidR="00494F19">
        <w:t>econômico</w:t>
      </w:r>
      <w:r>
        <w:t xml:space="preserve">. </w:t>
      </w:r>
      <w:r w:rsidR="0057232C">
        <w:t>O segundo</w:t>
      </w:r>
      <w:r>
        <w:t xml:space="preserve"> fator importante para explicar a segunda fase do processo é o de Mudança Tecnológica. </w:t>
      </w:r>
      <w:r w:rsidR="00237819">
        <w:t>Aqui se pressupõe que a</w:t>
      </w:r>
      <w:r>
        <w:t xml:space="preserve"> maior disponibilidade de recursos para o progresso tecnológico, com o avançar do desenvolvimento, possibilita o surgimento de novas tecnologias mais limpas a substituir as tecnologias obsoletas e mais intensivas em energia e matéria </w:t>
      </w:r>
      <w:sdt>
        <w:sdtPr>
          <w:id w:val="686405207"/>
          <w:citation/>
        </w:sdtPr>
        <w:sdtEndPr/>
        <w:sdtContent>
          <w:r>
            <w:fldChar w:fldCharType="begin"/>
          </w:r>
          <w:r>
            <w:instrText xml:space="preserve"> CITATION MUE04 \l 1046 </w:instrText>
          </w:r>
          <w:r>
            <w:fldChar w:fldCharType="separate"/>
          </w:r>
          <w:r>
            <w:rPr>
              <w:noProof/>
            </w:rPr>
            <w:t>(MUELLER, 2004)</w:t>
          </w:r>
          <w:r>
            <w:fldChar w:fldCharType="end"/>
          </w:r>
        </w:sdtContent>
      </w:sdt>
      <w:r>
        <w:t>.</w:t>
      </w:r>
    </w:p>
    <w:p w14:paraId="692FB0DE" w14:textId="162EC090" w:rsidR="00397411" w:rsidRDefault="00397411" w:rsidP="00397411">
      <w:r w:rsidRPr="00042EEB">
        <w:t xml:space="preserve">No âmbito da CKA, </w:t>
      </w:r>
      <w:r w:rsidR="00E00F1A">
        <w:t xml:space="preserve">o papel do </w:t>
      </w:r>
      <w:r w:rsidR="00494F19">
        <w:t xml:space="preserve">Estado </w:t>
      </w:r>
      <w:r w:rsidR="005C0C5D">
        <w:t>se faz presente em ambas as fases. N</w:t>
      </w:r>
      <w:r w:rsidRPr="00042EEB">
        <w:t xml:space="preserve">a fase </w:t>
      </w:r>
      <w:r w:rsidRPr="00E078D4">
        <w:t>ascendente,</w:t>
      </w:r>
      <w:r w:rsidR="005C0C5D" w:rsidRPr="00E078D4">
        <w:t xml:space="preserve"> o governo</w:t>
      </w:r>
      <w:r w:rsidRPr="00E078D4">
        <w:t xml:space="preserve"> </w:t>
      </w:r>
      <w:r w:rsidR="006952DE" w:rsidRPr="00E078D4">
        <w:t>emprega</w:t>
      </w:r>
      <w:r w:rsidRPr="00E078D4">
        <w:t xml:space="preserve"> ações e políticas em favor do crescimento que gera</w:t>
      </w:r>
      <w:r w:rsidR="00E83BA4" w:rsidRPr="00E078D4">
        <w:t xml:space="preserve">m aumento da </w:t>
      </w:r>
      <w:r w:rsidR="0012004D" w:rsidRPr="00E078D4">
        <w:t>deterioração</w:t>
      </w:r>
      <w:r w:rsidR="00E83BA4" w:rsidRPr="00E078D4">
        <w:t xml:space="preserve"> ambiental. A</w:t>
      </w:r>
      <w:r w:rsidRPr="00E078D4">
        <w:t xml:space="preserve">o chegar a um </w:t>
      </w:r>
      <w:r w:rsidR="00494F19">
        <w:t>nível</w:t>
      </w:r>
      <w:r w:rsidRPr="00E078D4">
        <w:t xml:space="preserve"> maior </w:t>
      </w:r>
      <w:r w:rsidR="00494F19">
        <w:t xml:space="preserve">de </w:t>
      </w:r>
      <w:r w:rsidRPr="00E078D4">
        <w:t xml:space="preserve">desenvolvimento, </w:t>
      </w:r>
      <w:r w:rsidR="00E83BA4" w:rsidRPr="00E078D4">
        <w:t xml:space="preserve">contudo, a maturidade da população implica maiores exigências na proteção ambiental e o </w:t>
      </w:r>
      <w:r w:rsidR="00494F19">
        <w:t>E</w:t>
      </w:r>
      <w:r w:rsidR="00494F19" w:rsidRPr="00E078D4">
        <w:t xml:space="preserve">stado </w:t>
      </w:r>
      <w:r w:rsidR="00E83BA4" w:rsidRPr="00E078D4">
        <w:t>tende a</w:t>
      </w:r>
      <w:r w:rsidR="00E83BA4">
        <w:t xml:space="preserve"> implementar p</w:t>
      </w:r>
      <w:r w:rsidRPr="00042EEB">
        <w:t xml:space="preserve">olíticas para melhorar a qualidade do </w:t>
      </w:r>
      <w:r w:rsidRPr="00042EEB">
        <w:lastRenderedPageBreak/>
        <w:t>meio ambiente e proteger os recursos naturais</w:t>
      </w:r>
      <w:r w:rsidR="007103C5">
        <w:t xml:space="preserve"> </w:t>
      </w:r>
      <w:sdt>
        <w:sdtPr>
          <w:id w:val="2015026732"/>
          <w:citation/>
        </w:sdtPr>
        <w:sdtEndPr/>
        <w:sdtContent>
          <w:r w:rsidR="007103C5">
            <w:fldChar w:fldCharType="begin"/>
          </w:r>
          <w:r w:rsidR="007103C5">
            <w:instrText xml:space="preserve"> CITATION MUE04 \l 1046 </w:instrText>
          </w:r>
          <w:r w:rsidR="007103C5">
            <w:fldChar w:fldCharType="separate"/>
          </w:r>
          <w:r w:rsidR="007103C5">
            <w:rPr>
              <w:noProof/>
            </w:rPr>
            <w:t>(MUELLER, 2004)</w:t>
          </w:r>
          <w:r w:rsidR="007103C5">
            <w:fldChar w:fldCharType="end"/>
          </w:r>
        </w:sdtContent>
      </w:sdt>
      <w:r w:rsidR="007103C5">
        <w:t>.</w:t>
      </w:r>
      <w:r w:rsidRPr="00042EEB">
        <w:t xml:space="preserve"> Nesta perspectiva, portanto, </w:t>
      </w:r>
      <w:r>
        <w:t>a “solução</w:t>
      </w:r>
      <w:r w:rsidRPr="00042EEB">
        <w:t xml:space="preserve">” para a crescente degradação do meio ambiente seria o próprio desenvolvimento econômico e </w:t>
      </w:r>
      <w:r w:rsidR="0012173F">
        <w:t xml:space="preserve">o </w:t>
      </w:r>
      <w:r w:rsidRPr="00042EEB">
        <w:t>consequente enriquecimento da população, ou seja, a sustentabilidade ambiental é inerente ao próprio sistema capitalista, fruto do livre funcionamento das forças de mercado, hierarquização de preferências, e demanda mercadológica e política por bens e serviços mais “limpos”.</w:t>
      </w:r>
    </w:p>
    <w:p w14:paraId="65A12FC1" w14:textId="7003A2B9" w:rsidR="00397411" w:rsidRDefault="00AB4CCC" w:rsidP="00397411">
      <w:r>
        <w:t>Há</w:t>
      </w:r>
      <w:r w:rsidR="00397411">
        <w:t xml:space="preserve"> que se considerar</w:t>
      </w:r>
      <w:r>
        <w:t>, ainda,</w:t>
      </w:r>
      <w:r w:rsidR="00397411">
        <w:t xml:space="preserve"> as críticas que a literatura da Economia Ecológica registra acerca da hipótese do “U” invertido, sobretudo considerando que “h</w:t>
      </w:r>
      <w:r w:rsidR="00397411" w:rsidRPr="00875FFE">
        <w:t xml:space="preserve">á sérias razões, entretanto, para </w:t>
      </w:r>
      <w:r w:rsidR="00397411">
        <w:t xml:space="preserve">não aceitar essa visão otimista” </w:t>
      </w:r>
      <w:sdt>
        <w:sdtPr>
          <w:id w:val="-1720275779"/>
          <w:citation/>
        </w:sdtPr>
        <w:sdtEndPr/>
        <w:sdtContent>
          <w:r w:rsidR="00397411">
            <w:fldChar w:fldCharType="begin"/>
          </w:r>
          <w:r w:rsidR="00397411">
            <w:instrText xml:space="preserve">CITATION MUE04 \p 25 \l 1046 </w:instrText>
          </w:r>
          <w:r w:rsidR="00397411">
            <w:fldChar w:fldCharType="separate"/>
          </w:r>
          <w:r w:rsidR="00397411">
            <w:rPr>
              <w:noProof/>
            </w:rPr>
            <w:t>(MUELLER, 2004, p. 25)</w:t>
          </w:r>
          <w:r w:rsidR="00397411">
            <w:fldChar w:fldCharType="end"/>
          </w:r>
        </w:sdtContent>
      </w:sdt>
      <w:r w:rsidR="00397411">
        <w:t xml:space="preserve">. Mueller (2004) </w:t>
      </w:r>
      <w:r>
        <w:t>argumenta</w:t>
      </w:r>
      <w:r w:rsidR="00397411">
        <w:t xml:space="preserve"> que a hipótese se aplica normalmente apenas a alguns poluentes que em geral são de curto prazo e de impacto geograficamente reduzido. </w:t>
      </w:r>
      <w:r w:rsidR="00A551C5">
        <w:t xml:space="preserve">Assim, </w:t>
      </w:r>
      <w:r w:rsidR="00397411">
        <w:t xml:space="preserve">a redução de um poluente específico em determinada região não significa, necessariamente, redução do seu impacto global. </w:t>
      </w:r>
      <w:r w:rsidR="002552AE">
        <w:t>Lembrando</w:t>
      </w:r>
      <w:r w:rsidR="00397411">
        <w:t xml:space="preserve">, ainda, que </w:t>
      </w:r>
      <w:r w:rsidR="002552AE">
        <w:t>a</w:t>
      </w:r>
      <w:r w:rsidR="00397411">
        <w:t xml:space="preserve"> redução pode estar </w:t>
      </w:r>
      <w:r w:rsidR="002552AE">
        <w:t>associada</w:t>
      </w:r>
      <w:r w:rsidR="00397411">
        <w:t xml:space="preserve"> ao crescimento em outra região.</w:t>
      </w:r>
    </w:p>
    <w:p w14:paraId="73B1E9A9" w14:textId="0177D210" w:rsidR="00397411" w:rsidRDefault="00397411" w:rsidP="00397411">
      <w:r>
        <w:t xml:space="preserve">Ademais, de acordo com Mueller, “os estudos empíricos da </w:t>
      </w:r>
      <w:r w:rsidR="00556DDB">
        <w:t>CKA</w:t>
      </w:r>
      <w:r>
        <w:t xml:space="preserve"> geralmente consideram poluentes altamente visíveis e que tendem a provocar crescentes reações de desagrado e protesto nas populações atingidas” (MUELLER, 2004, p. 25). Por fim, o autor ressalta que – em dimensões globais e considerando o histórico de emissões antrópicas – os efeitos dos gases acumulados na atmosfera superam em muito os efeitos locais.</w:t>
      </w:r>
    </w:p>
    <w:p w14:paraId="0B5DDD7A" w14:textId="77777777" w:rsidR="00397411" w:rsidRDefault="00397411" w:rsidP="00397411">
      <w:r>
        <w:t xml:space="preserve">Além da prévia revisão teórica, faz-se premente </w:t>
      </w:r>
      <w:r w:rsidRPr="00EF1DB6">
        <w:t xml:space="preserve">a imersão na revisão de trabalhos que estimam empiricamente tal hipótese. A este respeito, a literatura sobre a CKA é bem trabalhada e rica em diversidade de aplicações empíricas via regressões econométricas. </w:t>
      </w:r>
      <w:r>
        <w:t>O</w:t>
      </w:r>
      <w:r w:rsidRPr="00EF1DB6">
        <w:t xml:space="preserve"> quadro 1</w:t>
      </w:r>
      <w:r>
        <w:t xml:space="preserve"> apresenta</w:t>
      </w:r>
      <w:r w:rsidRPr="00EF1DB6">
        <w:t xml:space="preserve"> uma relação de trabalho</w:t>
      </w:r>
      <w:r>
        <w:t>s</w:t>
      </w:r>
      <w:r w:rsidRPr="00EF1DB6">
        <w:t xml:space="preserve"> que corroboram ou não a tese da CKA, para diversos períodos de tempo, </w:t>
      </w:r>
      <w:r>
        <w:t xml:space="preserve">regiões, </w:t>
      </w:r>
      <w:r w:rsidRPr="00EF1DB6">
        <w:t>variáveis dependentes, métodos econométricos de estimação e resultados finais.</w:t>
      </w:r>
    </w:p>
    <w:p w14:paraId="2B064625" w14:textId="77777777" w:rsidR="00397411" w:rsidRDefault="00397411" w:rsidP="00397411"/>
    <w:p w14:paraId="2ABDD574" w14:textId="77777777" w:rsidR="00397411" w:rsidRPr="00CA4FFA" w:rsidRDefault="00397411" w:rsidP="00397411">
      <w:pPr>
        <w:pStyle w:val="titulofigura"/>
      </w:pPr>
      <w:r w:rsidRPr="00CA4FFA">
        <w:t>Quadro 1: Resumo de revisão bibliográfica sobre a CKA</w:t>
      </w:r>
    </w:p>
    <w:tbl>
      <w:tblPr>
        <w:tblStyle w:val="Tabelacomgrade"/>
        <w:tblW w:w="1034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34"/>
        <w:gridCol w:w="1843"/>
        <w:gridCol w:w="992"/>
        <w:gridCol w:w="1701"/>
        <w:gridCol w:w="1134"/>
        <w:gridCol w:w="3544"/>
      </w:tblGrid>
      <w:tr w:rsidR="00397411" w:rsidRPr="009C54F7" w14:paraId="1C7F3108" w14:textId="77777777" w:rsidTr="009E51D9">
        <w:trPr>
          <w:tblHeader/>
        </w:trPr>
        <w:tc>
          <w:tcPr>
            <w:tcW w:w="1134" w:type="dxa"/>
          </w:tcPr>
          <w:p w14:paraId="4FB29F14" w14:textId="77777777" w:rsidR="00397411" w:rsidRPr="00CA4FFA" w:rsidRDefault="00397411" w:rsidP="00590C55">
            <w:pPr>
              <w:ind w:firstLine="0"/>
              <w:jc w:val="center"/>
              <w:rPr>
                <w:b/>
                <w:sz w:val="20"/>
              </w:rPr>
            </w:pPr>
            <w:r w:rsidRPr="00CA4FFA">
              <w:rPr>
                <w:b/>
                <w:sz w:val="20"/>
              </w:rPr>
              <w:t>Autores</w:t>
            </w:r>
          </w:p>
        </w:tc>
        <w:tc>
          <w:tcPr>
            <w:tcW w:w="1843" w:type="dxa"/>
          </w:tcPr>
          <w:p w14:paraId="128D973D" w14:textId="77777777" w:rsidR="00397411" w:rsidRPr="00CA4FFA" w:rsidRDefault="00397411" w:rsidP="00590C55">
            <w:pPr>
              <w:ind w:firstLine="0"/>
              <w:jc w:val="center"/>
              <w:rPr>
                <w:b/>
                <w:sz w:val="20"/>
              </w:rPr>
            </w:pPr>
            <w:r w:rsidRPr="00CA4FFA">
              <w:rPr>
                <w:b/>
                <w:sz w:val="20"/>
              </w:rPr>
              <w:t>Região</w:t>
            </w:r>
          </w:p>
        </w:tc>
        <w:tc>
          <w:tcPr>
            <w:tcW w:w="992" w:type="dxa"/>
          </w:tcPr>
          <w:p w14:paraId="5CEFB1E3" w14:textId="77777777" w:rsidR="00397411" w:rsidRPr="00CA4FFA" w:rsidRDefault="00397411" w:rsidP="00590C55">
            <w:pPr>
              <w:ind w:firstLine="0"/>
              <w:jc w:val="center"/>
              <w:rPr>
                <w:b/>
                <w:sz w:val="20"/>
              </w:rPr>
            </w:pPr>
            <w:r w:rsidRPr="00CA4FFA">
              <w:rPr>
                <w:b/>
                <w:sz w:val="20"/>
              </w:rPr>
              <w:t>Período</w:t>
            </w:r>
          </w:p>
        </w:tc>
        <w:tc>
          <w:tcPr>
            <w:tcW w:w="1701" w:type="dxa"/>
          </w:tcPr>
          <w:p w14:paraId="72882A2D" w14:textId="77777777" w:rsidR="00397411" w:rsidRPr="00CA4FFA" w:rsidRDefault="00397411" w:rsidP="00590C55">
            <w:pPr>
              <w:ind w:firstLine="0"/>
              <w:jc w:val="center"/>
              <w:rPr>
                <w:b/>
                <w:sz w:val="20"/>
              </w:rPr>
            </w:pPr>
            <w:r w:rsidRPr="00CA4FFA">
              <w:rPr>
                <w:b/>
                <w:sz w:val="20"/>
              </w:rPr>
              <w:t>Variável dependente</w:t>
            </w:r>
          </w:p>
        </w:tc>
        <w:tc>
          <w:tcPr>
            <w:tcW w:w="1134" w:type="dxa"/>
          </w:tcPr>
          <w:p w14:paraId="6CC702F2" w14:textId="77777777" w:rsidR="00397411" w:rsidRPr="00CA4FFA" w:rsidRDefault="00397411" w:rsidP="00590C55">
            <w:pPr>
              <w:ind w:firstLine="0"/>
              <w:jc w:val="center"/>
              <w:rPr>
                <w:b/>
                <w:sz w:val="20"/>
              </w:rPr>
            </w:pPr>
            <w:r w:rsidRPr="00CA4FFA">
              <w:rPr>
                <w:b/>
                <w:sz w:val="20"/>
              </w:rPr>
              <w:t>Tipos de dados</w:t>
            </w:r>
          </w:p>
        </w:tc>
        <w:tc>
          <w:tcPr>
            <w:tcW w:w="3544" w:type="dxa"/>
          </w:tcPr>
          <w:p w14:paraId="29C8EED5" w14:textId="77777777" w:rsidR="00397411" w:rsidRPr="00CA4FFA" w:rsidRDefault="00397411" w:rsidP="00590C55">
            <w:pPr>
              <w:ind w:firstLine="0"/>
              <w:jc w:val="center"/>
              <w:rPr>
                <w:b/>
                <w:sz w:val="20"/>
              </w:rPr>
            </w:pPr>
            <w:r w:rsidRPr="00CA4FFA">
              <w:rPr>
                <w:b/>
                <w:sz w:val="20"/>
              </w:rPr>
              <w:t>Conclusões</w:t>
            </w:r>
          </w:p>
        </w:tc>
      </w:tr>
      <w:tr w:rsidR="00397411" w:rsidRPr="00074E10" w14:paraId="1598DD5A" w14:textId="77777777" w:rsidTr="009E51D9">
        <w:tc>
          <w:tcPr>
            <w:tcW w:w="1134" w:type="dxa"/>
          </w:tcPr>
          <w:p w14:paraId="5688B69A" w14:textId="77777777" w:rsidR="00397411" w:rsidRPr="00CA4FFA" w:rsidRDefault="00397411" w:rsidP="001C2377">
            <w:pPr>
              <w:pStyle w:val="TABELAs"/>
            </w:pPr>
            <w:proofErr w:type="spellStart"/>
            <w:r>
              <w:t>Grossman</w:t>
            </w:r>
            <w:proofErr w:type="spellEnd"/>
            <w:r>
              <w:t xml:space="preserve"> e Krueger (1991)</w:t>
            </w:r>
          </w:p>
        </w:tc>
        <w:tc>
          <w:tcPr>
            <w:tcW w:w="1843" w:type="dxa"/>
          </w:tcPr>
          <w:p w14:paraId="55D222B6" w14:textId="77777777" w:rsidR="00397411" w:rsidRPr="00CA4FFA" w:rsidRDefault="00397411" w:rsidP="001C2377">
            <w:pPr>
              <w:pStyle w:val="TABELAs"/>
            </w:pPr>
            <w:r w:rsidRPr="00074E10">
              <w:t>Até 52 cidades em até 32 países</w:t>
            </w:r>
          </w:p>
        </w:tc>
        <w:tc>
          <w:tcPr>
            <w:tcW w:w="992" w:type="dxa"/>
          </w:tcPr>
          <w:p w14:paraId="798A881D" w14:textId="77777777" w:rsidR="00397411" w:rsidRPr="00CA4FFA" w:rsidRDefault="00397411" w:rsidP="001C2377">
            <w:pPr>
              <w:pStyle w:val="TABELAs"/>
            </w:pPr>
            <w:r w:rsidRPr="00074E10">
              <w:t xml:space="preserve">1977, </w:t>
            </w:r>
            <w:r>
              <w:t>1982, 1988</w:t>
            </w:r>
          </w:p>
        </w:tc>
        <w:tc>
          <w:tcPr>
            <w:tcW w:w="1701" w:type="dxa"/>
          </w:tcPr>
          <w:p w14:paraId="5294C53B" w14:textId="79C9ED81" w:rsidR="00397411" w:rsidRPr="00CA4FFA" w:rsidRDefault="00397411" w:rsidP="005622C0">
            <w:pPr>
              <w:pStyle w:val="TABELAs"/>
            </w:pPr>
            <w:r w:rsidRPr="00074E10">
              <w:t>Concentração de SO</w:t>
            </w:r>
            <w:r w:rsidRPr="00CA4FFA">
              <w:rPr>
                <w:vertAlign w:val="subscript"/>
              </w:rPr>
              <w:t>2</w:t>
            </w:r>
            <w:r w:rsidRPr="00CA4FFA">
              <w:t xml:space="preserve"> </w:t>
            </w:r>
            <w:r w:rsidRPr="00074E10">
              <w:t>e SPM</w:t>
            </w:r>
            <w:r w:rsidR="00A2068A">
              <w:t>*</w:t>
            </w:r>
          </w:p>
        </w:tc>
        <w:tc>
          <w:tcPr>
            <w:tcW w:w="1134" w:type="dxa"/>
          </w:tcPr>
          <w:p w14:paraId="305F5CA6" w14:textId="77777777" w:rsidR="00397411" w:rsidRPr="00CA4FFA" w:rsidRDefault="00397411" w:rsidP="001C2377">
            <w:pPr>
              <w:pStyle w:val="TABELAs"/>
            </w:pPr>
            <w:r w:rsidRPr="00CA4FFA">
              <w:t>Painel de dados</w:t>
            </w:r>
          </w:p>
        </w:tc>
        <w:tc>
          <w:tcPr>
            <w:tcW w:w="3544" w:type="dxa"/>
          </w:tcPr>
          <w:p w14:paraId="55721B94" w14:textId="77777777" w:rsidR="00397411" w:rsidRPr="00CA4FFA" w:rsidRDefault="00397411" w:rsidP="001C2377">
            <w:pPr>
              <w:pStyle w:val="TABELAs"/>
            </w:pPr>
            <w:r w:rsidRPr="00074E10">
              <w:t xml:space="preserve">Crescimento econômico </w:t>
            </w:r>
            <w:r>
              <w:t>em níveis médios de renda melhoraria a qualidade  ambiental, enquanto crescimento em altos níveis de renda seria prejudicial.</w:t>
            </w:r>
          </w:p>
        </w:tc>
      </w:tr>
      <w:tr w:rsidR="00397411" w:rsidRPr="00074E10" w14:paraId="1ECE1C6B" w14:textId="77777777" w:rsidTr="009E51D9">
        <w:tc>
          <w:tcPr>
            <w:tcW w:w="1134" w:type="dxa"/>
          </w:tcPr>
          <w:p w14:paraId="24707E58" w14:textId="77777777" w:rsidR="00397411" w:rsidRPr="003A1474" w:rsidRDefault="00397411" w:rsidP="001C2377">
            <w:pPr>
              <w:pStyle w:val="TABELAs"/>
              <w:rPr>
                <w:i/>
                <w:iCs/>
              </w:rPr>
            </w:pPr>
            <w:r w:rsidRPr="003A1474">
              <w:t xml:space="preserve">Arraes </w:t>
            </w:r>
            <w:r w:rsidRPr="003A1474">
              <w:rPr>
                <w:i/>
                <w:iCs/>
              </w:rPr>
              <w:t>et</w:t>
            </w:r>
          </w:p>
          <w:p w14:paraId="0AABB5BC" w14:textId="77777777" w:rsidR="00397411" w:rsidRPr="003A1474" w:rsidRDefault="00397411" w:rsidP="001C2377">
            <w:pPr>
              <w:pStyle w:val="TABELAs"/>
            </w:pPr>
            <w:r w:rsidRPr="003A1474">
              <w:rPr>
                <w:i/>
                <w:iCs/>
              </w:rPr>
              <w:t xml:space="preserve">al. </w:t>
            </w:r>
            <w:r w:rsidRPr="003A1474">
              <w:t>(2006)</w:t>
            </w:r>
          </w:p>
        </w:tc>
        <w:tc>
          <w:tcPr>
            <w:tcW w:w="1843" w:type="dxa"/>
          </w:tcPr>
          <w:p w14:paraId="7867B6E0" w14:textId="77777777" w:rsidR="00397411" w:rsidRPr="003A1474" w:rsidRDefault="00397411" w:rsidP="001C2377">
            <w:pPr>
              <w:pStyle w:val="TABELAs"/>
            </w:pPr>
            <w:r w:rsidRPr="003A1474">
              <w:t>Países do mundo (não define a quantidade)</w:t>
            </w:r>
          </w:p>
        </w:tc>
        <w:tc>
          <w:tcPr>
            <w:tcW w:w="992" w:type="dxa"/>
          </w:tcPr>
          <w:p w14:paraId="3DDF9773" w14:textId="77777777" w:rsidR="00397411" w:rsidRPr="003A1474" w:rsidRDefault="00397411" w:rsidP="001C2377">
            <w:pPr>
              <w:pStyle w:val="TABELAs"/>
            </w:pPr>
            <w:r w:rsidRPr="003A1474">
              <w:t>1980,</w:t>
            </w:r>
          </w:p>
          <w:p w14:paraId="45C1FC28" w14:textId="77777777" w:rsidR="00397411" w:rsidRPr="003A1474" w:rsidRDefault="00397411" w:rsidP="001C2377">
            <w:pPr>
              <w:pStyle w:val="TABELAs"/>
            </w:pPr>
            <w:r w:rsidRPr="003A1474">
              <w:t>1985,</w:t>
            </w:r>
          </w:p>
          <w:p w14:paraId="3DF35B28" w14:textId="77777777" w:rsidR="00397411" w:rsidRPr="003A1474" w:rsidRDefault="00397411" w:rsidP="001C2377">
            <w:pPr>
              <w:pStyle w:val="TABELAs"/>
            </w:pPr>
            <w:r w:rsidRPr="003A1474">
              <w:t>1990,</w:t>
            </w:r>
          </w:p>
          <w:p w14:paraId="3BFCD217" w14:textId="77777777" w:rsidR="00397411" w:rsidRPr="003A1474" w:rsidRDefault="00397411" w:rsidP="001C2377">
            <w:pPr>
              <w:pStyle w:val="TABELAs"/>
            </w:pPr>
            <w:r w:rsidRPr="003A1474">
              <w:t>1995,</w:t>
            </w:r>
          </w:p>
          <w:p w14:paraId="6D149DE9" w14:textId="77777777" w:rsidR="00397411" w:rsidRPr="003A1474" w:rsidRDefault="00397411" w:rsidP="001C2377">
            <w:pPr>
              <w:pStyle w:val="TABELAs"/>
            </w:pPr>
            <w:r w:rsidRPr="003A1474">
              <w:t>2000</w:t>
            </w:r>
          </w:p>
        </w:tc>
        <w:tc>
          <w:tcPr>
            <w:tcW w:w="1701" w:type="dxa"/>
          </w:tcPr>
          <w:p w14:paraId="4AFAE084" w14:textId="2A3FE2CF" w:rsidR="00397411" w:rsidRPr="003A1474" w:rsidRDefault="00397411" w:rsidP="005B05BF">
            <w:pPr>
              <w:pStyle w:val="TABELAs"/>
            </w:pPr>
            <w:r w:rsidRPr="003A1474">
              <w:t>Emissões de CO</w:t>
            </w:r>
            <w:r w:rsidRPr="003A1474">
              <w:rPr>
                <w:vertAlign w:val="subscript"/>
              </w:rPr>
              <w:t>2</w:t>
            </w:r>
            <w:r w:rsidRPr="003A1474">
              <w:t xml:space="preserve"> e indicadores de desenvolvimento</w:t>
            </w:r>
            <w:r w:rsidR="005B05BF">
              <w:t xml:space="preserve"> sustentável</w:t>
            </w:r>
          </w:p>
        </w:tc>
        <w:tc>
          <w:tcPr>
            <w:tcW w:w="1134" w:type="dxa"/>
          </w:tcPr>
          <w:p w14:paraId="1583FEF3" w14:textId="77777777" w:rsidR="00397411" w:rsidRPr="003A1474" w:rsidRDefault="00397411" w:rsidP="001C2377">
            <w:pPr>
              <w:pStyle w:val="TABELAs"/>
            </w:pPr>
            <w:r w:rsidRPr="003A1474">
              <w:t>Painel de dados</w:t>
            </w:r>
          </w:p>
        </w:tc>
        <w:tc>
          <w:tcPr>
            <w:tcW w:w="3544" w:type="dxa"/>
          </w:tcPr>
          <w:p w14:paraId="03D85F56" w14:textId="2CB72B17" w:rsidR="00397411" w:rsidRPr="003A1474" w:rsidRDefault="005B05BF" w:rsidP="005B05BF">
            <w:pPr>
              <w:pStyle w:val="TABELAs"/>
            </w:pPr>
            <w:r>
              <w:t>A equação que tem como</w:t>
            </w:r>
            <w:r w:rsidR="00397411" w:rsidRPr="003A1474">
              <w:t xml:space="preserve"> variável de</w:t>
            </w:r>
            <w:r>
              <w:t>pendente as</w:t>
            </w:r>
            <w:r w:rsidR="00397411" w:rsidRPr="003A1474">
              <w:t xml:space="preserve"> emissões de CO</w:t>
            </w:r>
            <w:r w:rsidR="00397411" w:rsidRPr="003A1474">
              <w:rPr>
                <w:vertAlign w:val="subscript"/>
              </w:rPr>
              <w:t>2</w:t>
            </w:r>
            <w:r w:rsidR="00397411" w:rsidRPr="003A1474">
              <w:t xml:space="preserve"> apresentou a forma de “U” invertido.</w:t>
            </w:r>
          </w:p>
        </w:tc>
      </w:tr>
      <w:tr w:rsidR="00397411" w:rsidRPr="00074E10" w14:paraId="5D022279" w14:textId="77777777" w:rsidTr="009E51D9">
        <w:tc>
          <w:tcPr>
            <w:tcW w:w="1134" w:type="dxa"/>
          </w:tcPr>
          <w:p w14:paraId="6424F4DC" w14:textId="77777777" w:rsidR="00397411" w:rsidRPr="003A1474" w:rsidRDefault="00397411" w:rsidP="001C2377">
            <w:pPr>
              <w:pStyle w:val="TABELAs"/>
            </w:pPr>
            <w:r w:rsidRPr="003A1474">
              <w:t>Pires (2017)</w:t>
            </w:r>
          </w:p>
        </w:tc>
        <w:tc>
          <w:tcPr>
            <w:tcW w:w="1843" w:type="dxa"/>
          </w:tcPr>
          <w:p w14:paraId="78D27A67" w14:textId="77777777" w:rsidR="00397411" w:rsidRPr="003A1474" w:rsidRDefault="00397411" w:rsidP="001C2377">
            <w:pPr>
              <w:pStyle w:val="TABELAs"/>
            </w:pPr>
            <w:r w:rsidRPr="003A1474">
              <w:t>Brasil</w:t>
            </w:r>
          </w:p>
        </w:tc>
        <w:tc>
          <w:tcPr>
            <w:tcW w:w="992" w:type="dxa"/>
          </w:tcPr>
          <w:p w14:paraId="3DAEC37E" w14:textId="77777777" w:rsidR="00397411" w:rsidRPr="003A1474" w:rsidRDefault="00397411" w:rsidP="001C2377">
            <w:pPr>
              <w:pStyle w:val="TABELAs"/>
            </w:pPr>
            <w:r w:rsidRPr="003A1474">
              <w:t>1970-2011</w:t>
            </w:r>
          </w:p>
        </w:tc>
        <w:tc>
          <w:tcPr>
            <w:tcW w:w="1701" w:type="dxa"/>
          </w:tcPr>
          <w:p w14:paraId="748E9F33" w14:textId="77777777" w:rsidR="00397411" w:rsidRPr="003A1474" w:rsidRDefault="00397411" w:rsidP="001C2377">
            <w:pPr>
              <w:pStyle w:val="TABELAs"/>
            </w:pPr>
            <w:r w:rsidRPr="003A1474">
              <w:t>Emissões de CO</w:t>
            </w:r>
            <w:r w:rsidRPr="003A1474">
              <w:rPr>
                <w:vertAlign w:val="subscript"/>
              </w:rPr>
              <w:t>2</w:t>
            </w:r>
            <w:r w:rsidRPr="003A1474">
              <w:t xml:space="preserve"> </w:t>
            </w:r>
            <w:r w:rsidRPr="003A1474">
              <w:rPr>
                <w:i/>
                <w:iCs/>
              </w:rPr>
              <w:t>per capita</w:t>
            </w:r>
          </w:p>
        </w:tc>
        <w:tc>
          <w:tcPr>
            <w:tcW w:w="1134" w:type="dxa"/>
          </w:tcPr>
          <w:p w14:paraId="1E7E4CFC" w14:textId="77777777" w:rsidR="00397411" w:rsidRPr="003A1474" w:rsidRDefault="00397411" w:rsidP="001C2377">
            <w:pPr>
              <w:pStyle w:val="TABELAs"/>
            </w:pPr>
            <w:r w:rsidRPr="003A1474">
              <w:t>Séries temporais</w:t>
            </w:r>
          </w:p>
        </w:tc>
        <w:tc>
          <w:tcPr>
            <w:tcW w:w="3544" w:type="dxa"/>
          </w:tcPr>
          <w:p w14:paraId="6E5C10EC" w14:textId="4D6113EB" w:rsidR="00397411" w:rsidRPr="003A1474" w:rsidRDefault="00397411" w:rsidP="00D022C0">
            <w:pPr>
              <w:pStyle w:val="TABELAs"/>
            </w:pPr>
            <w:r w:rsidRPr="003A1474">
              <w:t xml:space="preserve">Não </w:t>
            </w:r>
            <w:r w:rsidR="00D022C0">
              <w:t>foram</w:t>
            </w:r>
            <w:r w:rsidR="00D022C0" w:rsidRPr="003A1474">
              <w:t xml:space="preserve"> </w:t>
            </w:r>
            <w:r w:rsidR="00D022C0">
              <w:t>encontradas</w:t>
            </w:r>
            <w:r w:rsidR="00D022C0" w:rsidRPr="003A1474">
              <w:t xml:space="preserve"> </w:t>
            </w:r>
            <w:r w:rsidRPr="003A1474">
              <w:t>evidências substantivas para a CKA em forma de “U” invertido, mas sim o formato em “N”.</w:t>
            </w:r>
          </w:p>
        </w:tc>
      </w:tr>
      <w:tr w:rsidR="00397411" w:rsidRPr="00074E10" w14:paraId="2916292B" w14:textId="77777777" w:rsidTr="009E51D9">
        <w:tc>
          <w:tcPr>
            <w:tcW w:w="1134" w:type="dxa"/>
          </w:tcPr>
          <w:p w14:paraId="35F155CC" w14:textId="77777777" w:rsidR="00397411" w:rsidRPr="003A1474" w:rsidRDefault="00397411" w:rsidP="001C2377">
            <w:pPr>
              <w:pStyle w:val="TABELAs"/>
            </w:pPr>
            <w:r w:rsidRPr="003A1474">
              <w:t>Lucena (2005)</w:t>
            </w:r>
          </w:p>
        </w:tc>
        <w:tc>
          <w:tcPr>
            <w:tcW w:w="1843" w:type="dxa"/>
          </w:tcPr>
          <w:p w14:paraId="067544C9" w14:textId="77777777" w:rsidR="00397411" w:rsidRPr="003A1474" w:rsidRDefault="00397411" w:rsidP="001C2377">
            <w:pPr>
              <w:pStyle w:val="TABELAs"/>
            </w:pPr>
            <w:r w:rsidRPr="003A1474">
              <w:t>Brasil</w:t>
            </w:r>
          </w:p>
        </w:tc>
        <w:tc>
          <w:tcPr>
            <w:tcW w:w="992" w:type="dxa"/>
          </w:tcPr>
          <w:p w14:paraId="5BDC860B" w14:textId="77777777" w:rsidR="00397411" w:rsidRPr="003A1474" w:rsidRDefault="00397411" w:rsidP="001C2377">
            <w:pPr>
              <w:pStyle w:val="TABELAs"/>
            </w:pPr>
            <w:r w:rsidRPr="003A1474">
              <w:t>1970-2003</w:t>
            </w:r>
          </w:p>
        </w:tc>
        <w:tc>
          <w:tcPr>
            <w:tcW w:w="1701" w:type="dxa"/>
          </w:tcPr>
          <w:p w14:paraId="360F4896" w14:textId="77777777" w:rsidR="00397411" w:rsidRPr="003A1474" w:rsidRDefault="00397411" w:rsidP="001C2377">
            <w:pPr>
              <w:pStyle w:val="TABELAs"/>
            </w:pPr>
            <w:r w:rsidRPr="003A1474">
              <w:t>Emissões de CO</w:t>
            </w:r>
            <w:r w:rsidRPr="003A1474">
              <w:rPr>
                <w:vertAlign w:val="subscript"/>
              </w:rPr>
              <w:t>2</w:t>
            </w:r>
            <w:r w:rsidRPr="003A1474">
              <w:t xml:space="preserve"> </w:t>
            </w:r>
            <w:r w:rsidRPr="003A1474">
              <w:rPr>
                <w:i/>
                <w:iCs/>
              </w:rPr>
              <w:t>per capita</w:t>
            </w:r>
          </w:p>
        </w:tc>
        <w:tc>
          <w:tcPr>
            <w:tcW w:w="1134" w:type="dxa"/>
          </w:tcPr>
          <w:p w14:paraId="03606E40" w14:textId="77777777" w:rsidR="00397411" w:rsidRPr="003A1474" w:rsidRDefault="00397411" w:rsidP="001C2377">
            <w:pPr>
              <w:pStyle w:val="TABELAs"/>
            </w:pPr>
            <w:r w:rsidRPr="003A1474">
              <w:t>Séries temporais</w:t>
            </w:r>
          </w:p>
        </w:tc>
        <w:tc>
          <w:tcPr>
            <w:tcW w:w="3544" w:type="dxa"/>
          </w:tcPr>
          <w:p w14:paraId="257232DE" w14:textId="77777777" w:rsidR="00397411" w:rsidRPr="003A1474" w:rsidRDefault="00397411" w:rsidP="001C2377">
            <w:pPr>
              <w:pStyle w:val="TABELAs"/>
            </w:pPr>
            <w:r w:rsidRPr="003A1474">
              <w:t>Não foram encontradas evidências de uma CKA no caso das emissões de CO</w:t>
            </w:r>
            <w:r w:rsidRPr="003A1474">
              <w:rPr>
                <w:sz w:val="13"/>
                <w:szCs w:val="13"/>
              </w:rPr>
              <w:t xml:space="preserve">2 </w:t>
            </w:r>
            <w:r w:rsidRPr="003A1474">
              <w:rPr>
                <w:i/>
                <w:iCs/>
              </w:rPr>
              <w:t>per capita</w:t>
            </w:r>
            <w:r w:rsidRPr="003A1474">
              <w:t>.</w:t>
            </w:r>
          </w:p>
        </w:tc>
      </w:tr>
      <w:tr w:rsidR="00397411" w:rsidRPr="00074E10" w14:paraId="2F275946" w14:textId="77777777" w:rsidTr="009E51D9">
        <w:trPr>
          <w:cantSplit/>
        </w:trPr>
        <w:tc>
          <w:tcPr>
            <w:tcW w:w="1134" w:type="dxa"/>
          </w:tcPr>
          <w:p w14:paraId="52362B24" w14:textId="77777777" w:rsidR="00397411" w:rsidRPr="003A1474" w:rsidRDefault="00397411" w:rsidP="001C2377">
            <w:pPr>
              <w:pStyle w:val="TABELAs"/>
            </w:pPr>
            <w:proofErr w:type="spellStart"/>
            <w:r w:rsidRPr="003A1474">
              <w:t>Catalán</w:t>
            </w:r>
            <w:proofErr w:type="spellEnd"/>
          </w:p>
          <w:p w14:paraId="0321D9BA" w14:textId="2A04090C" w:rsidR="00397411" w:rsidRPr="003A1474" w:rsidRDefault="00397411" w:rsidP="001C2377">
            <w:pPr>
              <w:pStyle w:val="TABELAs"/>
            </w:pPr>
            <w:r w:rsidRPr="003A1474">
              <w:t>(2014)</w:t>
            </w:r>
          </w:p>
        </w:tc>
        <w:tc>
          <w:tcPr>
            <w:tcW w:w="1843" w:type="dxa"/>
          </w:tcPr>
          <w:p w14:paraId="44AA5949" w14:textId="77777777" w:rsidR="00397411" w:rsidRPr="003A1474" w:rsidRDefault="00397411" w:rsidP="001C2377">
            <w:pPr>
              <w:pStyle w:val="TABELAs"/>
            </w:pPr>
            <w:r w:rsidRPr="003A1474">
              <w:t>144 países</w:t>
            </w:r>
          </w:p>
        </w:tc>
        <w:tc>
          <w:tcPr>
            <w:tcW w:w="992" w:type="dxa"/>
          </w:tcPr>
          <w:p w14:paraId="56301F82" w14:textId="77777777" w:rsidR="00397411" w:rsidRPr="003A1474" w:rsidRDefault="00397411" w:rsidP="001C2377">
            <w:pPr>
              <w:pStyle w:val="TABELAs"/>
            </w:pPr>
            <w:r w:rsidRPr="003A1474">
              <w:t>1990- 2010</w:t>
            </w:r>
          </w:p>
        </w:tc>
        <w:tc>
          <w:tcPr>
            <w:tcW w:w="1701" w:type="dxa"/>
          </w:tcPr>
          <w:p w14:paraId="0F35B4D7" w14:textId="77777777" w:rsidR="00397411" w:rsidRPr="003A1474" w:rsidRDefault="00397411" w:rsidP="001C2377">
            <w:pPr>
              <w:pStyle w:val="TABELAs"/>
            </w:pPr>
            <w:r w:rsidRPr="003A1474">
              <w:t>Emissões de CO</w:t>
            </w:r>
            <w:r w:rsidRPr="003A1474">
              <w:rPr>
                <w:vertAlign w:val="subscript"/>
              </w:rPr>
              <w:t>2</w:t>
            </w:r>
            <w:r w:rsidRPr="003A1474">
              <w:t xml:space="preserve"> </w:t>
            </w:r>
            <w:r w:rsidRPr="003A1474">
              <w:rPr>
                <w:i/>
                <w:iCs/>
              </w:rPr>
              <w:t>per capita</w:t>
            </w:r>
          </w:p>
        </w:tc>
        <w:tc>
          <w:tcPr>
            <w:tcW w:w="1134" w:type="dxa"/>
          </w:tcPr>
          <w:p w14:paraId="1A676430" w14:textId="77777777" w:rsidR="00397411" w:rsidRPr="003A1474" w:rsidRDefault="00397411" w:rsidP="001C2377">
            <w:pPr>
              <w:pStyle w:val="TABELAs"/>
            </w:pPr>
            <w:r w:rsidRPr="003A1474">
              <w:t>Painel de dados</w:t>
            </w:r>
          </w:p>
        </w:tc>
        <w:tc>
          <w:tcPr>
            <w:tcW w:w="3544" w:type="dxa"/>
          </w:tcPr>
          <w:p w14:paraId="0B7B553D" w14:textId="77777777" w:rsidR="00397411" w:rsidRPr="003A1474" w:rsidRDefault="00397411" w:rsidP="001C2377">
            <w:pPr>
              <w:pStyle w:val="TABELAs"/>
            </w:pPr>
            <w:r w:rsidRPr="003A1474">
              <w:t>Encontradas evidências de</w:t>
            </w:r>
          </w:p>
          <w:p w14:paraId="1581C9CC" w14:textId="77777777" w:rsidR="00397411" w:rsidRPr="003A1474" w:rsidRDefault="00397411" w:rsidP="001C2377">
            <w:pPr>
              <w:pStyle w:val="TABELAs"/>
            </w:pPr>
            <w:r w:rsidRPr="003A1474">
              <w:t>CKA em forma de “N”.</w:t>
            </w:r>
          </w:p>
        </w:tc>
      </w:tr>
      <w:tr w:rsidR="00397411" w:rsidRPr="00074E10" w14:paraId="0F746488" w14:textId="77777777" w:rsidTr="009E51D9">
        <w:tc>
          <w:tcPr>
            <w:tcW w:w="1134" w:type="dxa"/>
          </w:tcPr>
          <w:p w14:paraId="139894D2" w14:textId="77777777" w:rsidR="00397411" w:rsidRPr="003A1474" w:rsidRDefault="00397411" w:rsidP="001C2377">
            <w:pPr>
              <w:pStyle w:val="TABELAs"/>
            </w:pPr>
            <w:r w:rsidRPr="003A1474">
              <w:t>Carvalho e Almeida (2010)</w:t>
            </w:r>
          </w:p>
        </w:tc>
        <w:tc>
          <w:tcPr>
            <w:tcW w:w="1843" w:type="dxa"/>
          </w:tcPr>
          <w:p w14:paraId="5F91ED37" w14:textId="77777777" w:rsidR="00397411" w:rsidRPr="003A1474" w:rsidRDefault="00397411" w:rsidP="001C2377">
            <w:pPr>
              <w:pStyle w:val="TABELAs"/>
            </w:pPr>
            <w:r w:rsidRPr="003A1474">
              <w:t>187 países</w:t>
            </w:r>
          </w:p>
        </w:tc>
        <w:tc>
          <w:tcPr>
            <w:tcW w:w="992" w:type="dxa"/>
          </w:tcPr>
          <w:p w14:paraId="7C464845" w14:textId="77777777" w:rsidR="00397411" w:rsidRPr="003A1474" w:rsidRDefault="00397411" w:rsidP="001C2377">
            <w:pPr>
              <w:pStyle w:val="TABELAs"/>
            </w:pPr>
            <w:r w:rsidRPr="003A1474">
              <w:t>2004</w:t>
            </w:r>
          </w:p>
        </w:tc>
        <w:tc>
          <w:tcPr>
            <w:tcW w:w="1701" w:type="dxa"/>
          </w:tcPr>
          <w:p w14:paraId="2F4F717C" w14:textId="77777777" w:rsidR="00397411" w:rsidRPr="003A1474" w:rsidRDefault="00397411" w:rsidP="001C2377">
            <w:pPr>
              <w:pStyle w:val="TABELAs"/>
            </w:pPr>
            <w:r w:rsidRPr="003A1474">
              <w:t>Emissões de CO</w:t>
            </w:r>
            <w:r w:rsidRPr="003A1474">
              <w:rPr>
                <w:vertAlign w:val="subscript"/>
              </w:rPr>
              <w:t>2</w:t>
            </w:r>
            <w:r w:rsidRPr="003A1474">
              <w:t xml:space="preserve"> </w:t>
            </w:r>
            <w:r w:rsidRPr="003A1474">
              <w:rPr>
                <w:i/>
                <w:iCs/>
              </w:rPr>
              <w:t>per capita</w:t>
            </w:r>
          </w:p>
        </w:tc>
        <w:tc>
          <w:tcPr>
            <w:tcW w:w="1134" w:type="dxa"/>
          </w:tcPr>
          <w:p w14:paraId="15C1639D" w14:textId="77777777" w:rsidR="00397411" w:rsidRPr="003A1474" w:rsidRDefault="00397411" w:rsidP="001C2377">
            <w:pPr>
              <w:pStyle w:val="TABELAs"/>
            </w:pPr>
            <w:r w:rsidRPr="003A1474">
              <w:rPr>
                <w:i/>
                <w:iCs/>
              </w:rPr>
              <w:t>Cross-</w:t>
            </w:r>
            <w:proofErr w:type="spellStart"/>
            <w:r w:rsidRPr="003A1474">
              <w:rPr>
                <w:i/>
                <w:iCs/>
              </w:rPr>
              <w:t>section</w:t>
            </w:r>
            <w:proofErr w:type="spellEnd"/>
            <w:r w:rsidRPr="003A1474">
              <w:rPr>
                <w:i/>
                <w:iCs/>
              </w:rPr>
              <w:t xml:space="preserve"> </w:t>
            </w:r>
            <w:r w:rsidRPr="003A1474">
              <w:t>com análise espacial</w:t>
            </w:r>
          </w:p>
        </w:tc>
        <w:tc>
          <w:tcPr>
            <w:tcW w:w="3544" w:type="dxa"/>
          </w:tcPr>
          <w:p w14:paraId="37172F0A" w14:textId="77777777" w:rsidR="00397411" w:rsidRPr="003A1474" w:rsidRDefault="00397411" w:rsidP="001C2377">
            <w:pPr>
              <w:pStyle w:val="TABELAs"/>
            </w:pPr>
            <w:r w:rsidRPr="003A1474">
              <w:t xml:space="preserve">A introdução do termo cúbico do PIB </w:t>
            </w:r>
            <w:r w:rsidRPr="003A1474">
              <w:rPr>
                <w:i/>
                <w:iCs/>
              </w:rPr>
              <w:t xml:space="preserve">per capita </w:t>
            </w:r>
            <w:r w:rsidRPr="003A1474">
              <w:t>torna a curva em formato de “N”.</w:t>
            </w:r>
          </w:p>
        </w:tc>
      </w:tr>
      <w:tr w:rsidR="00397411" w:rsidRPr="00074E10" w14:paraId="5F0F9ABF" w14:textId="77777777" w:rsidTr="009E51D9">
        <w:tc>
          <w:tcPr>
            <w:tcW w:w="1134" w:type="dxa"/>
          </w:tcPr>
          <w:p w14:paraId="7F417D55" w14:textId="77777777" w:rsidR="00397411" w:rsidRPr="003A1474" w:rsidRDefault="00397411" w:rsidP="001C2377">
            <w:pPr>
              <w:pStyle w:val="TABELAs"/>
            </w:pPr>
            <w:r w:rsidRPr="003A1474">
              <w:t>Cunha</w:t>
            </w:r>
          </w:p>
          <w:p w14:paraId="0E723479" w14:textId="77777777" w:rsidR="00397411" w:rsidRPr="003A1474" w:rsidRDefault="00397411" w:rsidP="001C2377">
            <w:pPr>
              <w:pStyle w:val="TABELAs"/>
            </w:pPr>
            <w:r w:rsidRPr="003A1474">
              <w:t>(2008)</w:t>
            </w:r>
          </w:p>
        </w:tc>
        <w:tc>
          <w:tcPr>
            <w:tcW w:w="1843" w:type="dxa"/>
          </w:tcPr>
          <w:p w14:paraId="4E53AC8B" w14:textId="77777777" w:rsidR="00397411" w:rsidRPr="003A1474" w:rsidRDefault="00397411" w:rsidP="001C2377">
            <w:pPr>
              <w:pStyle w:val="TABELAs"/>
            </w:pPr>
            <w:r w:rsidRPr="003A1474">
              <w:t>Brasil</w:t>
            </w:r>
          </w:p>
        </w:tc>
        <w:tc>
          <w:tcPr>
            <w:tcW w:w="992" w:type="dxa"/>
          </w:tcPr>
          <w:p w14:paraId="7B0F3F3D" w14:textId="77777777" w:rsidR="00397411" w:rsidRPr="003A1474" w:rsidRDefault="00397411" w:rsidP="001C2377">
            <w:pPr>
              <w:pStyle w:val="TABELAs"/>
            </w:pPr>
            <w:r w:rsidRPr="003A1474">
              <w:t>1980-2004</w:t>
            </w:r>
          </w:p>
        </w:tc>
        <w:tc>
          <w:tcPr>
            <w:tcW w:w="1701" w:type="dxa"/>
          </w:tcPr>
          <w:p w14:paraId="12F9F2D6" w14:textId="77777777" w:rsidR="00397411" w:rsidRPr="003A1474" w:rsidRDefault="00397411" w:rsidP="001C2377">
            <w:pPr>
              <w:pStyle w:val="TABELAs"/>
            </w:pPr>
            <w:r w:rsidRPr="003A1474">
              <w:t>Emissões de CO</w:t>
            </w:r>
            <w:r w:rsidRPr="003A1474">
              <w:rPr>
                <w:vertAlign w:val="subscript"/>
              </w:rPr>
              <w:t>2</w:t>
            </w:r>
            <w:r w:rsidRPr="003A1474">
              <w:t xml:space="preserve"> </w:t>
            </w:r>
            <w:r w:rsidRPr="003A1474">
              <w:rPr>
                <w:i/>
                <w:iCs/>
              </w:rPr>
              <w:t>per capita</w:t>
            </w:r>
          </w:p>
        </w:tc>
        <w:tc>
          <w:tcPr>
            <w:tcW w:w="1134" w:type="dxa"/>
          </w:tcPr>
          <w:p w14:paraId="19E5AFF8" w14:textId="77777777" w:rsidR="00397411" w:rsidRPr="003A1474" w:rsidRDefault="00397411" w:rsidP="001C2377">
            <w:pPr>
              <w:pStyle w:val="TABELAs"/>
            </w:pPr>
            <w:r w:rsidRPr="003A1474">
              <w:t>Séries temporais</w:t>
            </w:r>
          </w:p>
        </w:tc>
        <w:tc>
          <w:tcPr>
            <w:tcW w:w="3544" w:type="dxa"/>
          </w:tcPr>
          <w:p w14:paraId="1B9C87BA" w14:textId="77777777" w:rsidR="00397411" w:rsidRPr="003A1474" w:rsidRDefault="00397411" w:rsidP="001C2377">
            <w:pPr>
              <w:pStyle w:val="TABELAs"/>
            </w:pPr>
            <w:r w:rsidRPr="003A1474">
              <w:t>Encontrou CKA em formato de “U” invertido, mas com a parte descendente da curva apenas para níveis de renda muito elevados.</w:t>
            </w:r>
          </w:p>
        </w:tc>
      </w:tr>
      <w:tr w:rsidR="00397411" w:rsidRPr="00074E10" w14:paraId="2F673BC6" w14:textId="77777777" w:rsidTr="009E51D9">
        <w:tc>
          <w:tcPr>
            <w:tcW w:w="1134" w:type="dxa"/>
          </w:tcPr>
          <w:p w14:paraId="74B089B8" w14:textId="77777777" w:rsidR="00397411" w:rsidRPr="003A1474" w:rsidRDefault="00397411" w:rsidP="001C2377">
            <w:pPr>
              <w:pStyle w:val="TABELAs"/>
            </w:pPr>
            <w:r w:rsidRPr="003A1474">
              <w:t xml:space="preserve">Dos Santos </w:t>
            </w:r>
            <w:r w:rsidRPr="003A1474">
              <w:rPr>
                <w:i/>
                <w:iCs/>
              </w:rPr>
              <w:t xml:space="preserve">et al. </w:t>
            </w:r>
            <w:r w:rsidRPr="003A1474">
              <w:t>(2008)</w:t>
            </w:r>
          </w:p>
        </w:tc>
        <w:tc>
          <w:tcPr>
            <w:tcW w:w="1843" w:type="dxa"/>
          </w:tcPr>
          <w:p w14:paraId="33A04D1C" w14:textId="77777777" w:rsidR="00397411" w:rsidRPr="003A1474" w:rsidRDefault="00397411" w:rsidP="001C2377">
            <w:pPr>
              <w:pStyle w:val="TABELAs"/>
            </w:pPr>
            <w:r w:rsidRPr="003A1474">
              <w:t>792 municípios da</w:t>
            </w:r>
          </w:p>
          <w:p w14:paraId="48890621" w14:textId="1FBDDA94" w:rsidR="00397411" w:rsidRPr="003A1474" w:rsidRDefault="001C680B" w:rsidP="001C680B">
            <w:pPr>
              <w:pStyle w:val="TABELAs"/>
            </w:pPr>
            <w:r>
              <w:t>Amazônia Legal</w:t>
            </w:r>
            <w:r w:rsidR="00397411" w:rsidRPr="003A1474">
              <w:t xml:space="preserve"> no</w:t>
            </w:r>
            <w:r>
              <w:t xml:space="preserve"> </w:t>
            </w:r>
            <w:r w:rsidR="00397411" w:rsidRPr="003A1474">
              <w:t>Brasil</w:t>
            </w:r>
          </w:p>
        </w:tc>
        <w:tc>
          <w:tcPr>
            <w:tcW w:w="992" w:type="dxa"/>
          </w:tcPr>
          <w:p w14:paraId="4BBD001F" w14:textId="77777777" w:rsidR="00397411" w:rsidRPr="003A1474" w:rsidRDefault="00397411" w:rsidP="001C2377">
            <w:pPr>
              <w:pStyle w:val="TABELAs"/>
            </w:pPr>
            <w:r w:rsidRPr="003A1474">
              <w:t>2000-2004</w:t>
            </w:r>
          </w:p>
        </w:tc>
        <w:tc>
          <w:tcPr>
            <w:tcW w:w="1701" w:type="dxa"/>
          </w:tcPr>
          <w:p w14:paraId="2CBA80D3" w14:textId="77777777" w:rsidR="00397411" w:rsidRPr="003A1474" w:rsidRDefault="00397411" w:rsidP="001C2377">
            <w:pPr>
              <w:pStyle w:val="TABELAs"/>
            </w:pPr>
            <w:r w:rsidRPr="003A1474">
              <w:t>Área desmatada</w:t>
            </w:r>
          </w:p>
        </w:tc>
        <w:tc>
          <w:tcPr>
            <w:tcW w:w="1134" w:type="dxa"/>
          </w:tcPr>
          <w:p w14:paraId="09ECF725" w14:textId="77777777" w:rsidR="00397411" w:rsidRPr="003A1474" w:rsidRDefault="00397411" w:rsidP="001C2377">
            <w:pPr>
              <w:pStyle w:val="TABELAs"/>
            </w:pPr>
            <w:r w:rsidRPr="003A1474">
              <w:t>Painel de dados</w:t>
            </w:r>
          </w:p>
        </w:tc>
        <w:tc>
          <w:tcPr>
            <w:tcW w:w="3544" w:type="dxa"/>
          </w:tcPr>
          <w:p w14:paraId="62D20DC5" w14:textId="09289EDA" w:rsidR="00397411" w:rsidRPr="003A1474" w:rsidRDefault="00397411" w:rsidP="00D022C0">
            <w:pPr>
              <w:pStyle w:val="TABELAs"/>
            </w:pPr>
            <w:r w:rsidRPr="003A1474">
              <w:t xml:space="preserve">Há evidências para curvas ambientais com formato quadrático, aceitando-se assim as </w:t>
            </w:r>
            <w:r w:rsidR="00D022C0">
              <w:t>CKA</w:t>
            </w:r>
            <w:r w:rsidR="00D022C0" w:rsidRPr="003A1474">
              <w:t xml:space="preserve"> </w:t>
            </w:r>
            <w:r w:rsidRPr="003A1474">
              <w:t>originais, porém com modelos pouco representativos.</w:t>
            </w:r>
          </w:p>
        </w:tc>
      </w:tr>
      <w:tr w:rsidR="00397411" w:rsidRPr="00074E10" w14:paraId="39EB6E47" w14:textId="77777777" w:rsidTr="009E51D9">
        <w:tc>
          <w:tcPr>
            <w:tcW w:w="1134" w:type="dxa"/>
          </w:tcPr>
          <w:p w14:paraId="266CE26A" w14:textId="77777777" w:rsidR="00397411" w:rsidRPr="003A1474" w:rsidRDefault="00397411" w:rsidP="001C2377">
            <w:pPr>
              <w:pStyle w:val="TABELAs"/>
            </w:pPr>
            <w:proofErr w:type="spellStart"/>
            <w:r w:rsidRPr="003A1474">
              <w:lastRenderedPageBreak/>
              <w:t>Panayotou</w:t>
            </w:r>
            <w:proofErr w:type="spellEnd"/>
          </w:p>
          <w:p w14:paraId="3A36BAEC" w14:textId="77777777" w:rsidR="00397411" w:rsidRPr="003A1474" w:rsidRDefault="00397411" w:rsidP="001C2377">
            <w:pPr>
              <w:pStyle w:val="TABELAs"/>
            </w:pPr>
            <w:r w:rsidRPr="003A1474">
              <w:t>(1993)</w:t>
            </w:r>
          </w:p>
        </w:tc>
        <w:tc>
          <w:tcPr>
            <w:tcW w:w="1843" w:type="dxa"/>
          </w:tcPr>
          <w:p w14:paraId="60ADD556" w14:textId="77777777" w:rsidR="00397411" w:rsidRPr="003A1474" w:rsidRDefault="00397411" w:rsidP="001C2377">
            <w:pPr>
              <w:pStyle w:val="TABELAs"/>
            </w:pPr>
            <w:r w:rsidRPr="003A1474">
              <w:t>68 países na amostra de desflorestamento e 54 na amostra de poluição</w:t>
            </w:r>
          </w:p>
        </w:tc>
        <w:tc>
          <w:tcPr>
            <w:tcW w:w="992" w:type="dxa"/>
          </w:tcPr>
          <w:p w14:paraId="07DE29C6" w14:textId="77777777" w:rsidR="00397411" w:rsidRPr="003A1474" w:rsidRDefault="00397411" w:rsidP="001C2377">
            <w:pPr>
              <w:pStyle w:val="TABELAs"/>
            </w:pPr>
            <w:r w:rsidRPr="003A1474">
              <w:t>1987-1988</w:t>
            </w:r>
          </w:p>
        </w:tc>
        <w:tc>
          <w:tcPr>
            <w:tcW w:w="1701" w:type="dxa"/>
          </w:tcPr>
          <w:p w14:paraId="70F54920" w14:textId="5280C9D4" w:rsidR="00397411" w:rsidRPr="003A1474" w:rsidRDefault="00397411" w:rsidP="005622C0">
            <w:pPr>
              <w:pStyle w:val="TABELAs"/>
            </w:pPr>
            <w:r w:rsidRPr="003A1474">
              <w:t>Emissões de SO</w:t>
            </w:r>
            <w:r w:rsidRPr="003A1474">
              <w:rPr>
                <w:sz w:val="13"/>
                <w:szCs w:val="13"/>
              </w:rPr>
              <w:t>2</w:t>
            </w:r>
            <w:r w:rsidRPr="003A1474">
              <w:t xml:space="preserve">, </w:t>
            </w:r>
            <w:proofErr w:type="spellStart"/>
            <w:r w:rsidRPr="005622C0">
              <w:t>NO</w:t>
            </w:r>
            <w:r w:rsidR="00837969" w:rsidRPr="005622C0">
              <w:t>x</w:t>
            </w:r>
            <w:proofErr w:type="spellEnd"/>
            <w:r w:rsidR="005622C0">
              <w:t xml:space="preserve">, </w:t>
            </w:r>
            <w:r w:rsidRPr="005622C0">
              <w:t>SPM</w:t>
            </w:r>
            <w:r w:rsidR="00A2068A">
              <w:t>*</w:t>
            </w:r>
            <w:r w:rsidRPr="003A1474">
              <w:t xml:space="preserve"> e desflorestamento</w:t>
            </w:r>
          </w:p>
        </w:tc>
        <w:tc>
          <w:tcPr>
            <w:tcW w:w="1134" w:type="dxa"/>
          </w:tcPr>
          <w:p w14:paraId="0D03334F" w14:textId="77777777" w:rsidR="00397411" w:rsidRPr="003A1474" w:rsidRDefault="00397411" w:rsidP="001C2377">
            <w:pPr>
              <w:pStyle w:val="TABELAs"/>
              <w:rPr>
                <w:i/>
              </w:rPr>
            </w:pPr>
            <w:r w:rsidRPr="003A1474">
              <w:rPr>
                <w:i/>
              </w:rPr>
              <w:t>Cross-</w:t>
            </w:r>
            <w:proofErr w:type="spellStart"/>
            <w:r w:rsidRPr="003A1474">
              <w:rPr>
                <w:i/>
              </w:rPr>
              <w:t>section</w:t>
            </w:r>
            <w:proofErr w:type="spellEnd"/>
          </w:p>
        </w:tc>
        <w:tc>
          <w:tcPr>
            <w:tcW w:w="3544" w:type="dxa"/>
          </w:tcPr>
          <w:p w14:paraId="4ED419B7" w14:textId="77777777" w:rsidR="00397411" w:rsidRPr="003A1474" w:rsidRDefault="00397411" w:rsidP="001C2377">
            <w:pPr>
              <w:pStyle w:val="TABELAs"/>
            </w:pPr>
            <w:r w:rsidRPr="003A1474">
              <w:t>Todas as curvas estimadas apresentam a forma de “U” invertido.</w:t>
            </w:r>
          </w:p>
        </w:tc>
      </w:tr>
      <w:tr w:rsidR="00397411" w:rsidRPr="00074E10" w14:paraId="53D3BFF0" w14:textId="77777777" w:rsidTr="009E51D9">
        <w:tc>
          <w:tcPr>
            <w:tcW w:w="1134" w:type="dxa"/>
          </w:tcPr>
          <w:p w14:paraId="17F269BF" w14:textId="77777777" w:rsidR="00397411" w:rsidRPr="003A1474" w:rsidRDefault="00397411" w:rsidP="001C2377">
            <w:pPr>
              <w:pStyle w:val="TABELAs"/>
            </w:pPr>
            <w:r w:rsidRPr="003A1474">
              <w:t xml:space="preserve">Stern e </w:t>
            </w:r>
            <w:proofErr w:type="spellStart"/>
            <w:r w:rsidRPr="003A1474">
              <w:t>Commom</w:t>
            </w:r>
            <w:proofErr w:type="spellEnd"/>
          </w:p>
          <w:p w14:paraId="49CF7098" w14:textId="77777777" w:rsidR="00397411" w:rsidRPr="003A1474" w:rsidRDefault="00397411" w:rsidP="001C2377">
            <w:pPr>
              <w:pStyle w:val="TABELAs"/>
            </w:pPr>
            <w:r w:rsidRPr="003A1474">
              <w:t>(2001)</w:t>
            </w:r>
          </w:p>
        </w:tc>
        <w:tc>
          <w:tcPr>
            <w:tcW w:w="1843" w:type="dxa"/>
          </w:tcPr>
          <w:p w14:paraId="361F5781" w14:textId="77777777" w:rsidR="00397411" w:rsidRPr="003A1474" w:rsidRDefault="00397411" w:rsidP="001C2377">
            <w:pPr>
              <w:pStyle w:val="TABELAs"/>
            </w:pPr>
            <w:r w:rsidRPr="003A1474">
              <w:t>74 países, separados em pertencentes à</w:t>
            </w:r>
          </w:p>
          <w:p w14:paraId="6B6CB2FF" w14:textId="77777777" w:rsidR="00397411" w:rsidRPr="003A1474" w:rsidRDefault="00397411" w:rsidP="001C2377">
            <w:pPr>
              <w:pStyle w:val="TABELAs"/>
            </w:pPr>
            <w:r w:rsidRPr="003A1474">
              <w:t>OCDE, não- OCDE e todos.</w:t>
            </w:r>
          </w:p>
        </w:tc>
        <w:tc>
          <w:tcPr>
            <w:tcW w:w="992" w:type="dxa"/>
          </w:tcPr>
          <w:p w14:paraId="441BD740" w14:textId="77777777" w:rsidR="00397411" w:rsidRPr="003A1474" w:rsidRDefault="00397411" w:rsidP="001C2377">
            <w:pPr>
              <w:pStyle w:val="TABELAs"/>
            </w:pPr>
            <w:r w:rsidRPr="003A1474">
              <w:t>1960-1990</w:t>
            </w:r>
          </w:p>
        </w:tc>
        <w:tc>
          <w:tcPr>
            <w:tcW w:w="1701" w:type="dxa"/>
          </w:tcPr>
          <w:p w14:paraId="7B1D7A67" w14:textId="065152E3" w:rsidR="00397411" w:rsidRPr="00897DA3" w:rsidRDefault="00397411" w:rsidP="005622C0">
            <w:pPr>
              <w:pStyle w:val="TABELAs"/>
            </w:pPr>
            <w:r w:rsidRPr="003A1474">
              <w:t>Emissões de SO</w:t>
            </w:r>
            <w:r w:rsidRPr="003A1474">
              <w:rPr>
                <w:vertAlign w:val="subscript"/>
              </w:rPr>
              <w:t>2</w:t>
            </w:r>
          </w:p>
        </w:tc>
        <w:tc>
          <w:tcPr>
            <w:tcW w:w="1134" w:type="dxa"/>
          </w:tcPr>
          <w:p w14:paraId="34EDBE8D" w14:textId="77777777" w:rsidR="00397411" w:rsidRPr="003A1474" w:rsidRDefault="00397411" w:rsidP="001C2377">
            <w:pPr>
              <w:pStyle w:val="TABELAs"/>
            </w:pPr>
            <w:r w:rsidRPr="003A1474">
              <w:t>Painel de dados</w:t>
            </w:r>
          </w:p>
        </w:tc>
        <w:tc>
          <w:tcPr>
            <w:tcW w:w="3544" w:type="dxa"/>
          </w:tcPr>
          <w:p w14:paraId="1FB3E7E3" w14:textId="77777777" w:rsidR="00397411" w:rsidRPr="003A1474" w:rsidRDefault="00397411" w:rsidP="001C2377">
            <w:pPr>
              <w:pStyle w:val="TABELAs"/>
            </w:pPr>
            <w:r w:rsidRPr="003A1474">
              <w:t>A estimativa da CKA somente utilizando países da OCDE leva a um ponto de inflexão a um nível de renda muito menor do que quando estimada com todos os países disponíveis na amostra.</w:t>
            </w:r>
          </w:p>
        </w:tc>
      </w:tr>
    </w:tbl>
    <w:p w14:paraId="7D195A49" w14:textId="05CE5580" w:rsidR="00A2068A" w:rsidRDefault="00A2068A" w:rsidP="00A2068A">
      <w:pPr>
        <w:pStyle w:val="FONTE0"/>
        <w:rPr>
          <w:rStyle w:val="fonteChar"/>
          <w:rFonts w:ascii="Times New Roman" w:eastAsiaTheme="minorHAnsi" w:hAnsi="Times New Roman" w:cstheme="minorBidi"/>
          <w:color w:val="auto"/>
          <w:szCs w:val="20"/>
          <w:lang w:eastAsia="en-US"/>
        </w:rPr>
      </w:pPr>
      <w:r w:rsidRPr="00A2068A">
        <w:t>*</w:t>
      </w:r>
      <w:r w:rsidRPr="00A2068A">
        <w:rPr>
          <w:rStyle w:val="fonteChar"/>
          <w:rFonts w:ascii="Times New Roman" w:eastAsiaTheme="minorHAnsi" w:hAnsi="Times New Roman" w:cstheme="minorBidi"/>
          <w:color w:val="auto"/>
          <w:szCs w:val="20"/>
          <w:lang w:eastAsia="en-US"/>
        </w:rPr>
        <w:t>Material</w:t>
      </w:r>
      <w:r>
        <w:rPr>
          <w:rStyle w:val="fonteChar"/>
          <w:rFonts w:ascii="Times New Roman" w:eastAsiaTheme="minorHAnsi" w:hAnsi="Times New Roman" w:cstheme="minorBidi"/>
          <w:color w:val="auto"/>
          <w:szCs w:val="20"/>
          <w:lang w:eastAsia="en-US"/>
        </w:rPr>
        <w:t xml:space="preserve"> </w:t>
      </w:r>
      <w:r w:rsidRPr="00A2068A">
        <w:rPr>
          <w:rStyle w:val="fonteChar"/>
          <w:rFonts w:ascii="Times New Roman" w:eastAsiaTheme="minorHAnsi" w:hAnsi="Times New Roman" w:cstheme="minorBidi"/>
          <w:color w:val="auto"/>
          <w:szCs w:val="20"/>
          <w:lang w:eastAsia="en-US"/>
        </w:rPr>
        <w:t>Particulado Suspenso no Ar</w:t>
      </w:r>
    </w:p>
    <w:p w14:paraId="7D77372C" w14:textId="65CFB0B1" w:rsidR="00397411" w:rsidRPr="00CA4FFA" w:rsidRDefault="00C72EBB" w:rsidP="00397411">
      <w:pPr>
        <w:pStyle w:val="FONTE0"/>
      </w:pPr>
      <w:r>
        <w:t>FONTE</w:t>
      </w:r>
      <w:r w:rsidR="00397411" w:rsidRPr="00CA4FFA">
        <w:t xml:space="preserve">: </w:t>
      </w:r>
      <w:r w:rsidR="00C75956">
        <w:t>E</w:t>
      </w:r>
      <w:r w:rsidR="00397411" w:rsidRPr="00CA4FFA">
        <w:t>laboração própria.</w:t>
      </w:r>
    </w:p>
    <w:p w14:paraId="01D451EA" w14:textId="77777777" w:rsidR="00D51FD8" w:rsidRDefault="00D51FD8" w:rsidP="00397411"/>
    <w:p w14:paraId="659BF0C7" w14:textId="30E5FAD4" w:rsidR="00397411" w:rsidRDefault="00BC2D6E" w:rsidP="00397411">
      <w:r>
        <w:t>Observa-se que</w:t>
      </w:r>
      <w:r w:rsidR="00397411" w:rsidRPr="009A1E68">
        <w:t xml:space="preserve"> a literatura é rica na produção de trabalhos </w:t>
      </w:r>
      <w:r w:rsidR="00397411">
        <w:t>em</w:t>
      </w:r>
      <w:r w:rsidR="00397411" w:rsidRPr="009A1E68">
        <w:t xml:space="preserve"> níveis nacional </w:t>
      </w:r>
      <w:r w:rsidR="00397411">
        <w:t>e</w:t>
      </w:r>
      <w:r w:rsidR="00397411" w:rsidRPr="009A1E68">
        <w:t xml:space="preserve"> internacional. Predominam as análises que utilizam métodos de painel de dados, para emissões de poluentes gasosos. Foram selecionados como referência trabalhos que abordam como variável dependente a emissão de </w:t>
      </w:r>
      <w:r w:rsidR="00D022C0">
        <w:t>CO</w:t>
      </w:r>
      <w:r w:rsidR="00D022C0" w:rsidRPr="00E71A0B">
        <w:rPr>
          <w:vertAlign w:val="subscript"/>
        </w:rPr>
        <w:t>2</w:t>
      </w:r>
      <w:r w:rsidR="00397411" w:rsidRPr="009A1E68">
        <w:t xml:space="preserve"> </w:t>
      </w:r>
      <w:r w:rsidR="00397411" w:rsidRPr="009A1E68">
        <w:rPr>
          <w:i/>
        </w:rPr>
        <w:t>per capita</w:t>
      </w:r>
      <w:r w:rsidR="00397411" w:rsidRPr="009A1E68">
        <w:t>, tendo em vista que este é o regressando no presente trabalho. Por fim, a maioria dos trabalho</w:t>
      </w:r>
      <w:r w:rsidR="00397411">
        <w:t>s</w:t>
      </w:r>
      <w:r w:rsidR="00397411" w:rsidRPr="009A1E68">
        <w:t xml:space="preserve"> encontra </w:t>
      </w:r>
      <w:r w:rsidR="00397411">
        <w:t>evidências para uma CKA. Sua forma, porém, é encontrada tant</w:t>
      </w:r>
      <w:r w:rsidR="00397411" w:rsidRPr="009A1E68">
        <w:t>o em “U” invertido quando em “N”.</w:t>
      </w:r>
    </w:p>
    <w:p w14:paraId="22D5D3DC" w14:textId="5AA87A48" w:rsidR="003E5EC1" w:rsidRDefault="003E5EC1" w:rsidP="00397411"/>
    <w:p w14:paraId="33ADEB3C" w14:textId="77777777" w:rsidR="003E5EC1" w:rsidRPr="00B356CF" w:rsidRDefault="003E5EC1" w:rsidP="003E5EC1">
      <w:pPr>
        <w:pStyle w:val="Ttulo1"/>
        <w:numPr>
          <w:ilvl w:val="0"/>
          <w:numId w:val="8"/>
        </w:numPr>
      </w:pPr>
      <w:r w:rsidRPr="00B356CF">
        <w:t>ANÁLISE DESCRITIVA</w:t>
      </w:r>
    </w:p>
    <w:p w14:paraId="7E7E0338" w14:textId="3EC782FD" w:rsidR="003E5EC1" w:rsidRDefault="003E5EC1" w:rsidP="003E5EC1">
      <w:r w:rsidRPr="00B356CF">
        <w:t xml:space="preserve">O Brasil obteve avanços expressivos na redução das emissões de GEE no século XXI. Contudo, Euler (2016) aponta que, em que pese o progresso que alçou o país à posição de um dos líderes mundiais na redução das emissões de GEE, não existe ainda um consenso sobre as ferramentas de redução das emissões bem como falta interação com outros instrumentos e incentivos macroeconômicos. La </w:t>
      </w:r>
      <w:proofErr w:type="spellStart"/>
      <w:r w:rsidRPr="00B356CF">
        <w:t>Rovere</w:t>
      </w:r>
      <w:proofErr w:type="spellEnd"/>
      <w:sdt>
        <w:sdtPr>
          <w:id w:val="-337009785"/>
          <w:citation/>
        </w:sdtPr>
        <w:sdtEndPr/>
        <w:sdtContent>
          <w:r w:rsidRPr="00B356CF">
            <w:fldChar w:fldCharType="begin"/>
          </w:r>
          <w:r w:rsidRPr="00B356CF">
            <w:instrText xml:space="preserve">CITATION LAR16 \n  \t  \l 1046 </w:instrText>
          </w:r>
          <w:r w:rsidRPr="00B356CF">
            <w:fldChar w:fldCharType="separate"/>
          </w:r>
          <w:r w:rsidRPr="00B356CF">
            <w:t xml:space="preserve"> (2016)</w:t>
          </w:r>
          <w:r w:rsidRPr="00B356CF">
            <w:fldChar w:fldCharType="end"/>
          </w:r>
        </w:sdtContent>
      </w:sdt>
      <w:r w:rsidRPr="00B356CF">
        <w:t xml:space="preserve"> destaca que o país possui condições para se desenvolver por meio da implementação de uma infraestrutura de baixo carbono</w:t>
      </w:r>
      <w:r w:rsidR="001E30F8">
        <w:t xml:space="preserve"> pela</w:t>
      </w:r>
      <w:r w:rsidRPr="00B356CF">
        <w:t xml:space="preserve"> </w:t>
      </w:r>
      <w:r w:rsidR="001E30F8">
        <w:t>abundância de recursos naturais, ainda assim</w:t>
      </w:r>
      <w:r w:rsidR="00FF3040">
        <w:t>,</w:t>
      </w:r>
      <w:r w:rsidR="001E30F8">
        <w:t xml:space="preserve"> </w:t>
      </w:r>
      <w:r w:rsidRPr="00B356CF">
        <w:t>salienta a disponibilidade de recursos financeiros como imprescindível para a transição para uma economia de baixo carbono.</w:t>
      </w:r>
    </w:p>
    <w:p w14:paraId="7151A4CB" w14:textId="77777777" w:rsidR="00162459" w:rsidRDefault="003E5EC1" w:rsidP="003E5EC1">
      <w:r w:rsidRPr="00B356CF">
        <w:t xml:space="preserve">Políticas institucionais que visem à redução nas emissões de GEE, como as sugeridas por Euler (2016) e La </w:t>
      </w:r>
      <w:proofErr w:type="spellStart"/>
      <w:r w:rsidRPr="00B356CF">
        <w:t>Rovere</w:t>
      </w:r>
      <w:proofErr w:type="spellEnd"/>
      <w:r w:rsidRPr="00B356CF">
        <w:t xml:space="preserve"> (2016), carecem de substancial análise econométrica. Contudo, para a construção eficaz de um modelo econométrico e correta interpretação das estimações, faz-se necessário analisar o comportamento dos principais dados da base utilizada ao longo do tempo, comparando os valores para cada estado da região. </w:t>
      </w:r>
      <w:r w:rsidR="00512DEC">
        <w:t xml:space="preserve">O SE brasileiro </w:t>
      </w:r>
      <w:r w:rsidR="00587B2F">
        <w:t xml:space="preserve">se apresenta como a principal região política brasileira tanto em termos de renda quanto de população. </w:t>
      </w:r>
      <w:r w:rsidR="00623289">
        <w:t>Em 2002 o PIB da região representava</w:t>
      </w:r>
      <w:r w:rsidR="00FB4ACE">
        <w:t xml:space="preserve"> </w:t>
      </w:r>
      <w:r w:rsidR="00623289" w:rsidRPr="00623289">
        <w:t>57,38%</w:t>
      </w:r>
      <w:r w:rsidR="00623289">
        <w:t xml:space="preserve"> do PIB total do Brasil, </w:t>
      </w:r>
      <w:r w:rsidR="00B43BB3">
        <w:t>em 2015 o produto da região ainda correspondia a mais da metade do PIB nacional com participação de</w:t>
      </w:r>
      <w:r w:rsidR="00623289">
        <w:t xml:space="preserve"> </w:t>
      </w:r>
      <w:r w:rsidR="00623289" w:rsidRPr="00623289">
        <w:t>54,02%</w:t>
      </w:r>
      <w:r w:rsidR="00A260D8">
        <w:t>.</w:t>
      </w:r>
      <w:r w:rsidR="00B43BB3">
        <w:t xml:space="preserve"> </w:t>
      </w:r>
      <w:r w:rsidR="00FB4ACE">
        <w:t>Em termos de população os resultados são semelhantes, no ano de 2002 42,63% da população total brasileira residia no SE, ao passo que em 2015 a população da região correspondia a 41,95% do total.</w:t>
      </w:r>
    </w:p>
    <w:p w14:paraId="5B4EF7B1" w14:textId="206582A5" w:rsidR="00FB4ACE" w:rsidRDefault="00B43BB3" w:rsidP="003E5EC1">
      <w:r>
        <w:t xml:space="preserve"> </w:t>
      </w:r>
    </w:p>
    <w:p w14:paraId="72EB66C6" w14:textId="77777777" w:rsidR="00834899" w:rsidRDefault="00834899" w:rsidP="00834899">
      <w:pPr>
        <w:sectPr w:rsidR="00834899" w:rsidSect="005635DF">
          <w:headerReference w:type="default" r:id="rId8"/>
          <w:pgSz w:w="11906" w:h="16838"/>
          <w:pgMar w:top="1134" w:right="851" w:bottom="1134" w:left="851" w:header="709" w:footer="709" w:gutter="0"/>
          <w:cols w:space="708"/>
          <w:titlePg/>
          <w:docGrid w:linePitch="360"/>
        </w:sectPr>
      </w:pPr>
    </w:p>
    <w:p w14:paraId="547672F4" w14:textId="1A23D26C" w:rsidR="00834899" w:rsidRPr="00B356CF" w:rsidRDefault="00834899" w:rsidP="00834899">
      <w:pPr>
        <w:pStyle w:val="titulofigura"/>
      </w:pPr>
      <w:r w:rsidRPr="00B356CF">
        <w:lastRenderedPageBreak/>
        <w:t>GRÁFICO 1.a – Emissões Brasileiras</w:t>
      </w:r>
      <w:r w:rsidR="00245D02">
        <w:t xml:space="preserve"> </w:t>
      </w:r>
      <w:r w:rsidR="009D5A9D">
        <w:t xml:space="preserve">- </w:t>
      </w:r>
      <w:r w:rsidR="00245D02">
        <w:t>eixo esquerdo</w:t>
      </w:r>
      <w:r w:rsidR="009D5A9D">
        <w:t>- (CO</w:t>
      </w:r>
      <w:r w:rsidR="009D5A9D">
        <w:rPr>
          <w:vertAlign w:val="subscript"/>
        </w:rPr>
        <w:t>2</w:t>
      </w:r>
      <w:r w:rsidR="009D5A9D">
        <w:t>e)</w:t>
      </w:r>
      <w:r w:rsidRPr="00B356CF">
        <w:t xml:space="preserve"> e participação por região</w:t>
      </w:r>
    </w:p>
    <w:p w14:paraId="5F24E20A" w14:textId="77777777" w:rsidR="00834899" w:rsidRPr="00B356CF" w:rsidRDefault="00834899" w:rsidP="00CE0252">
      <w:pPr>
        <w:pStyle w:val="titulofigura"/>
        <w:spacing w:after="40"/>
      </w:pPr>
      <w:r w:rsidRPr="00B356CF">
        <w:rPr>
          <w:noProof/>
          <w:lang w:eastAsia="pt-BR"/>
        </w:rPr>
        <w:drawing>
          <wp:inline distT="0" distB="0" distL="0" distR="0" wp14:anchorId="237B89E8" wp14:editId="272E336A">
            <wp:extent cx="3204000" cy="1962150"/>
            <wp:effectExtent l="0" t="0" r="1587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008CF3" w14:textId="6BA52B15" w:rsidR="00834899" w:rsidRPr="00B356CF" w:rsidRDefault="00834899" w:rsidP="00834899">
      <w:pPr>
        <w:pStyle w:val="titulofigura"/>
      </w:pPr>
      <w:r w:rsidRPr="00B356CF">
        <w:lastRenderedPageBreak/>
        <w:t>GRÁFICO 1.b – Emissões do Sudeste</w:t>
      </w:r>
      <w:r w:rsidR="00245D02">
        <w:t xml:space="preserve"> </w:t>
      </w:r>
      <w:r w:rsidR="003F1DD8" w:rsidRPr="00B356CF">
        <w:t>Brasileiras</w:t>
      </w:r>
      <w:r w:rsidR="003F1DD8">
        <w:t xml:space="preserve"> (eixo esquerdo, CO</w:t>
      </w:r>
      <w:r w:rsidR="003F1DD8">
        <w:rPr>
          <w:vertAlign w:val="subscript"/>
        </w:rPr>
        <w:t>2</w:t>
      </w:r>
      <w:r w:rsidR="003F1DD8">
        <w:t>e)</w:t>
      </w:r>
      <w:r w:rsidRPr="00B356CF">
        <w:t xml:space="preserve"> e participação por estado</w:t>
      </w:r>
    </w:p>
    <w:p w14:paraId="212C0EA9" w14:textId="77777777" w:rsidR="00834899" w:rsidRDefault="00834899" w:rsidP="00CE0252">
      <w:pPr>
        <w:pStyle w:val="titulofigura"/>
        <w:spacing w:after="40"/>
      </w:pPr>
      <w:r w:rsidRPr="00B356CF">
        <w:rPr>
          <w:noProof/>
          <w:lang w:eastAsia="pt-BR"/>
        </w:rPr>
        <w:drawing>
          <wp:inline distT="0" distB="0" distL="0" distR="0" wp14:anchorId="50A29437" wp14:editId="1548944F">
            <wp:extent cx="3204000" cy="1962000"/>
            <wp:effectExtent l="0" t="0" r="15875" b="63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94977C" w14:textId="77777777" w:rsidR="00162459" w:rsidRDefault="00162459" w:rsidP="00EA58D8">
      <w:pPr>
        <w:pStyle w:val="FONTE0"/>
        <w:sectPr w:rsidR="00162459" w:rsidSect="009D5A9D">
          <w:type w:val="continuous"/>
          <w:pgSz w:w="11906" w:h="16838"/>
          <w:pgMar w:top="1134" w:right="851" w:bottom="1134" w:left="851" w:header="709" w:footer="709" w:gutter="0"/>
          <w:cols w:num="2" w:space="2"/>
          <w:titlePg/>
          <w:docGrid w:linePitch="360"/>
        </w:sectPr>
      </w:pPr>
    </w:p>
    <w:p w14:paraId="2719B50D" w14:textId="10573DD8" w:rsidR="003E5EC1" w:rsidRDefault="00C72EBB" w:rsidP="00EA58D8">
      <w:pPr>
        <w:pStyle w:val="FONTE0"/>
      </w:pPr>
      <w:r>
        <w:lastRenderedPageBreak/>
        <w:t>FONTE</w:t>
      </w:r>
      <w:r w:rsidR="00926DE0">
        <w:t>: Elaboração própria a partir de dados do OC (2017)</w:t>
      </w:r>
    </w:p>
    <w:p w14:paraId="01AA5F6B" w14:textId="46954D3B" w:rsidR="007126D6" w:rsidRDefault="0033386A" w:rsidP="007126D6">
      <w:r>
        <w:lastRenderedPageBreak/>
        <w:t>No que diz respeito às emissões de GEE, a participação da região</w:t>
      </w:r>
      <w:r w:rsidR="00C00CD7">
        <w:t xml:space="preserve"> SE</w:t>
      </w:r>
      <w:r>
        <w:t xml:space="preserve"> nas emissões totais brasileiras dobrou no período: saltou de 11,93% em 2002 para 24,05% no ano de 2015(Gráfico 1.a). </w:t>
      </w:r>
      <w:r w:rsidR="00AA2D6D">
        <w:t>No</w:t>
      </w:r>
      <w:r w:rsidR="007126D6" w:rsidRPr="00B356CF">
        <w:t xml:space="preserve"> Gráfico 1.a, </w:t>
      </w:r>
      <w:r w:rsidR="00442C24">
        <w:t xml:space="preserve">é possível perceber </w:t>
      </w:r>
      <w:r w:rsidR="007126D6" w:rsidRPr="00B356CF">
        <w:t xml:space="preserve">a queda </w:t>
      </w:r>
      <w:r w:rsidR="00AA2D6D">
        <w:t>das emissões de GEE a nível nacional</w:t>
      </w:r>
      <w:r w:rsidR="00442C24">
        <w:t>, em que se destaca</w:t>
      </w:r>
      <w:r w:rsidR="007126D6" w:rsidRPr="00B356CF">
        <w:t xml:space="preserve"> a relativa estabilidade </w:t>
      </w:r>
      <w:r w:rsidR="00B36F71">
        <w:t>das emissões totais</w:t>
      </w:r>
      <w:r w:rsidR="007126D6" w:rsidRPr="00B356CF">
        <w:t xml:space="preserve"> a partir de 2009</w:t>
      </w:r>
      <w:r w:rsidR="00F00BAD">
        <w:t>, período no qual o SE assume</w:t>
      </w:r>
      <w:r w:rsidR="007126D6" w:rsidRPr="00B356CF">
        <w:t xml:space="preserve"> participações</w:t>
      </w:r>
      <w:r w:rsidR="007126D6">
        <w:t xml:space="preserve"> relativas</w:t>
      </w:r>
      <w:r w:rsidR="007126D6" w:rsidRPr="00B356CF">
        <w:t xml:space="preserve"> </w:t>
      </w:r>
      <w:r w:rsidR="00F00BAD">
        <w:t>notoriamente superiores às iniciais</w:t>
      </w:r>
      <w:r w:rsidR="007126D6" w:rsidRPr="00B356CF">
        <w:t xml:space="preserve">. </w:t>
      </w:r>
      <w:r w:rsidR="007126D6">
        <w:t xml:space="preserve">Ao mesmo tempo há uma </w:t>
      </w:r>
      <w:r w:rsidR="007126D6" w:rsidRPr="00B356CF">
        <w:t>queda na participação</w:t>
      </w:r>
      <w:r w:rsidR="007126D6">
        <w:t xml:space="preserve"> relativa nas emissões</w:t>
      </w:r>
      <w:r w:rsidR="007126D6" w:rsidRPr="00B356CF">
        <w:t xml:space="preserve"> das regiões Norte</w:t>
      </w:r>
      <w:r w:rsidR="00F00BAD">
        <w:t xml:space="preserve"> (N)</w:t>
      </w:r>
      <w:r w:rsidR="007126D6" w:rsidRPr="00B356CF">
        <w:t xml:space="preserve"> e Centro-Oeste</w:t>
      </w:r>
      <w:r w:rsidR="00F00BAD">
        <w:t xml:space="preserve"> (CO)</w:t>
      </w:r>
      <w:r w:rsidR="007126D6" w:rsidRPr="00B356CF">
        <w:t xml:space="preserve">. </w:t>
      </w:r>
      <w:r w:rsidR="004A63D9">
        <w:t>Entre 2002 e 2015</w:t>
      </w:r>
      <w:r w:rsidR="00440E2A">
        <w:t xml:space="preserve">, </w:t>
      </w:r>
      <w:r w:rsidR="004A63D9">
        <w:t xml:space="preserve">enquanto o Brasil reduziu suas emissões anuais em 22,25% o SE cresceu suas emissões de GEE em </w:t>
      </w:r>
      <w:r w:rsidR="00063F92">
        <w:t>44,25</w:t>
      </w:r>
      <w:r w:rsidR="005519A0">
        <w:t xml:space="preserve">% (OC, 2017). </w:t>
      </w:r>
      <w:r w:rsidR="007126D6" w:rsidRPr="00B356CF">
        <w:t xml:space="preserve">Tal informação pode ser </w:t>
      </w:r>
      <w:r w:rsidR="00C342AB">
        <w:t>corroborada</w:t>
      </w:r>
      <w:r w:rsidR="007126D6" w:rsidRPr="00B356CF">
        <w:t xml:space="preserve"> </w:t>
      </w:r>
      <w:r w:rsidR="00C342AB">
        <w:t>pelo crescimento das emissões totais da região</w:t>
      </w:r>
      <w:r w:rsidR="007126D6" w:rsidRPr="00B356CF">
        <w:t xml:space="preserve"> (Gráfico 1.b) em oposição à redução ocorrida em nível nacional. Além disso, verifica-se que o arranjo de emissões relativas entre os estados continuou muito próxima à inicial, com a liderança do</w:t>
      </w:r>
      <w:r w:rsidR="007126D6">
        <w:t xml:space="preserve"> estado de MG em todos os anos.</w:t>
      </w:r>
      <w:r w:rsidR="00067DEC">
        <w:t xml:space="preserve"> </w:t>
      </w:r>
    </w:p>
    <w:p w14:paraId="61A31772" w14:textId="4DF93B46" w:rsidR="00046A04" w:rsidRDefault="00046A04" w:rsidP="007126D6">
      <w:r>
        <w:t xml:space="preserve">Em tempo, considerando as emissões totais do período, </w:t>
      </w:r>
      <w:r w:rsidR="006621EA">
        <w:t>as emissões dos setores de Energia, Processos Industriais e Resíduos do SE representaram mais da metade das emissões totais brasileiras (Tabela 1).</w:t>
      </w:r>
      <w:r w:rsidR="00067DEC">
        <w:t xml:space="preserve"> Ainda que no principal setor de emissões do Brasil, Mudanças no Uso da Terra, as emissões do SE tenham correspondido a 17,93% do total, a região foi responsável por um quarto das emissões totais de GEE brasileiras. </w:t>
      </w:r>
      <w:r w:rsidR="007416FD">
        <w:t>O valor é alarmante ao observar que no início da série as emissões da região correspondiam a pouco mais de um oitavo das emissões totais.</w:t>
      </w:r>
    </w:p>
    <w:p w14:paraId="4B0E5B1A" w14:textId="0948F142" w:rsidR="00046A04" w:rsidRDefault="00046A04" w:rsidP="007126D6"/>
    <w:p w14:paraId="249532E2" w14:textId="0504765A" w:rsidR="00046A04" w:rsidRDefault="00046A04" w:rsidP="00046A04">
      <w:pPr>
        <w:pStyle w:val="titulofigura"/>
      </w:pPr>
      <w:r>
        <w:t xml:space="preserve">Tabela 1 – </w:t>
      </w:r>
      <w:r w:rsidR="00715D87">
        <w:t>Emissões totais de GEE do Brasil e</w:t>
      </w:r>
      <w:r>
        <w:t xml:space="preserve"> do Sudeste e Emissões Relativas </w:t>
      </w:r>
      <w:r w:rsidR="00715D87">
        <w:t xml:space="preserve">de </w:t>
      </w:r>
      <w:proofErr w:type="spellStart"/>
      <w:r w:rsidR="00715D87">
        <w:t>GEE</w:t>
      </w:r>
      <w:r>
        <w:t>do</w:t>
      </w:r>
      <w:proofErr w:type="spellEnd"/>
      <w:r>
        <w:t xml:space="preserve"> Sudeste entre 2002 e 2015 (1000 toneladas</w:t>
      </w:r>
      <w:r w:rsidR="002C7158">
        <w:t xml:space="preserve"> de CO</w:t>
      </w:r>
      <w:r w:rsidR="002C7158">
        <w:rPr>
          <w:vertAlign w:val="subscript"/>
        </w:rPr>
        <w:t>2</w:t>
      </w:r>
      <w:r w:rsidR="002C7158">
        <w:t>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2548"/>
        <w:gridCol w:w="2549"/>
        <w:gridCol w:w="2549"/>
      </w:tblGrid>
      <w:tr w:rsidR="00046A04" w:rsidRPr="00C95F9A" w14:paraId="4FF4895D" w14:textId="77777777" w:rsidTr="00BA00A3">
        <w:tc>
          <w:tcPr>
            <w:tcW w:w="2548" w:type="dxa"/>
            <w:tcBorders>
              <w:top w:val="single" w:sz="4" w:space="0" w:color="auto"/>
              <w:bottom w:val="single" w:sz="4" w:space="0" w:color="auto"/>
            </w:tcBorders>
            <w:vAlign w:val="bottom"/>
          </w:tcPr>
          <w:p w14:paraId="0ACDC88B" w14:textId="77777777" w:rsidR="00046A04" w:rsidRPr="00C95F9A" w:rsidRDefault="00046A04" w:rsidP="00BA00A3">
            <w:pPr>
              <w:pStyle w:val="TABELAs"/>
              <w:rPr>
                <w:b/>
              </w:rPr>
            </w:pPr>
            <w:r w:rsidRPr="00C95F9A">
              <w:rPr>
                <w:b/>
              </w:rPr>
              <w:t>Setor de Emissão</w:t>
            </w:r>
          </w:p>
        </w:tc>
        <w:tc>
          <w:tcPr>
            <w:tcW w:w="2548" w:type="dxa"/>
            <w:tcBorders>
              <w:top w:val="single" w:sz="4" w:space="0" w:color="auto"/>
              <w:bottom w:val="single" w:sz="4" w:space="0" w:color="auto"/>
            </w:tcBorders>
            <w:vAlign w:val="bottom"/>
          </w:tcPr>
          <w:p w14:paraId="13933811" w14:textId="77777777" w:rsidR="00046A04" w:rsidRPr="00C95F9A" w:rsidRDefault="00046A04" w:rsidP="00BA00A3">
            <w:pPr>
              <w:pStyle w:val="TABELAs"/>
              <w:rPr>
                <w:b/>
              </w:rPr>
            </w:pPr>
            <w:r w:rsidRPr="00C95F9A">
              <w:rPr>
                <w:b/>
              </w:rPr>
              <w:t>Emissões totais BR</w:t>
            </w:r>
          </w:p>
        </w:tc>
        <w:tc>
          <w:tcPr>
            <w:tcW w:w="2549" w:type="dxa"/>
            <w:tcBorders>
              <w:top w:val="single" w:sz="4" w:space="0" w:color="auto"/>
              <w:bottom w:val="single" w:sz="4" w:space="0" w:color="auto"/>
            </w:tcBorders>
            <w:vAlign w:val="bottom"/>
          </w:tcPr>
          <w:p w14:paraId="11DAA72A" w14:textId="77777777" w:rsidR="00046A04" w:rsidRPr="00C95F9A" w:rsidRDefault="00046A04" w:rsidP="00BA00A3">
            <w:pPr>
              <w:pStyle w:val="TABELAs"/>
              <w:rPr>
                <w:b/>
              </w:rPr>
            </w:pPr>
            <w:r w:rsidRPr="00C95F9A">
              <w:rPr>
                <w:b/>
              </w:rPr>
              <w:t>Emissões totais BR</w:t>
            </w:r>
          </w:p>
        </w:tc>
        <w:tc>
          <w:tcPr>
            <w:tcW w:w="2549" w:type="dxa"/>
            <w:tcBorders>
              <w:top w:val="single" w:sz="4" w:space="0" w:color="auto"/>
              <w:bottom w:val="single" w:sz="4" w:space="0" w:color="auto"/>
            </w:tcBorders>
            <w:vAlign w:val="bottom"/>
          </w:tcPr>
          <w:p w14:paraId="0C4BB893" w14:textId="77777777" w:rsidR="00046A04" w:rsidRPr="00C95F9A" w:rsidRDefault="00046A04" w:rsidP="00BA00A3">
            <w:pPr>
              <w:pStyle w:val="TABELAs"/>
              <w:rPr>
                <w:b/>
              </w:rPr>
            </w:pPr>
            <w:r w:rsidRPr="00C95F9A">
              <w:rPr>
                <w:b/>
              </w:rPr>
              <w:t>Emissões Relativas SE</w:t>
            </w:r>
          </w:p>
        </w:tc>
      </w:tr>
      <w:tr w:rsidR="00046A04" w14:paraId="6667ADEA" w14:textId="77777777" w:rsidTr="00BA00A3">
        <w:tc>
          <w:tcPr>
            <w:tcW w:w="2548" w:type="dxa"/>
            <w:tcBorders>
              <w:top w:val="single" w:sz="4" w:space="0" w:color="auto"/>
            </w:tcBorders>
            <w:vAlign w:val="bottom"/>
          </w:tcPr>
          <w:p w14:paraId="734683D5" w14:textId="77777777" w:rsidR="00046A04" w:rsidRPr="00C95F9A" w:rsidRDefault="00046A04" w:rsidP="00BA00A3">
            <w:pPr>
              <w:pStyle w:val="TABELAs"/>
            </w:pPr>
            <w:r w:rsidRPr="00C95F9A">
              <w:t>Energia</w:t>
            </w:r>
          </w:p>
        </w:tc>
        <w:tc>
          <w:tcPr>
            <w:tcW w:w="2548" w:type="dxa"/>
            <w:tcBorders>
              <w:top w:val="single" w:sz="4" w:space="0" w:color="auto"/>
            </w:tcBorders>
            <w:vAlign w:val="bottom"/>
          </w:tcPr>
          <w:p w14:paraId="733C746B" w14:textId="77777777" w:rsidR="00046A04" w:rsidRPr="00C95F9A" w:rsidRDefault="00046A04" w:rsidP="00BA00A3">
            <w:pPr>
              <w:pStyle w:val="TABELAs"/>
            </w:pPr>
            <w:r w:rsidRPr="00C95F9A">
              <w:t>4.406</w:t>
            </w:r>
          </w:p>
        </w:tc>
        <w:tc>
          <w:tcPr>
            <w:tcW w:w="2549" w:type="dxa"/>
            <w:tcBorders>
              <w:top w:val="single" w:sz="4" w:space="0" w:color="auto"/>
            </w:tcBorders>
            <w:vAlign w:val="bottom"/>
          </w:tcPr>
          <w:p w14:paraId="714B1864" w14:textId="77777777" w:rsidR="00046A04" w:rsidRPr="00C95F9A" w:rsidRDefault="00046A04" w:rsidP="00BA00A3">
            <w:pPr>
              <w:pStyle w:val="TABELAs"/>
            </w:pPr>
            <w:r w:rsidRPr="00C95F9A">
              <w:t>2.376</w:t>
            </w:r>
          </w:p>
        </w:tc>
        <w:tc>
          <w:tcPr>
            <w:tcW w:w="2549" w:type="dxa"/>
            <w:tcBorders>
              <w:top w:val="single" w:sz="4" w:space="0" w:color="auto"/>
            </w:tcBorders>
            <w:vAlign w:val="bottom"/>
          </w:tcPr>
          <w:p w14:paraId="68F3A757" w14:textId="77777777" w:rsidR="00046A04" w:rsidRPr="00C95F9A" w:rsidRDefault="00046A04" w:rsidP="00BA00A3">
            <w:pPr>
              <w:pStyle w:val="TABELAs"/>
            </w:pPr>
            <w:r w:rsidRPr="00C95F9A">
              <w:t>53,94%</w:t>
            </w:r>
          </w:p>
        </w:tc>
      </w:tr>
      <w:tr w:rsidR="00046A04" w14:paraId="43185140" w14:textId="77777777" w:rsidTr="00BA00A3">
        <w:tc>
          <w:tcPr>
            <w:tcW w:w="2548" w:type="dxa"/>
            <w:vAlign w:val="bottom"/>
          </w:tcPr>
          <w:p w14:paraId="3287C6C5" w14:textId="77777777" w:rsidR="00046A04" w:rsidRPr="00C95F9A" w:rsidRDefault="00046A04" w:rsidP="00BA00A3">
            <w:pPr>
              <w:pStyle w:val="TABELAs"/>
            </w:pPr>
            <w:r w:rsidRPr="00C95F9A">
              <w:t>Processos Industriais</w:t>
            </w:r>
          </w:p>
        </w:tc>
        <w:tc>
          <w:tcPr>
            <w:tcW w:w="2548" w:type="dxa"/>
            <w:vAlign w:val="bottom"/>
          </w:tcPr>
          <w:p w14:paraId="1DE14876" w14:textId="77777777" w:rsidR="00046A04" w:rsidRPr="00C95F9A" w:rsidRDefault="00046A04" w:rsidP="00BA00A3">
            <w:pPr>
              <w:pStyle w:val="TABELAs"/>
            </w:pPr>
            <w:r w:rsidRPr="00C95F9A">
              <w:t>880</w:t>
            </w:r>
          </w:p>
        </w:tc>
        <w:tc>
          <w:tcPr>
            <w:tcW w:w="2549" w:type="dxa"/>
            <w:vAlign w:val="bottom"/>
          </w:tcPr>
          <w:p w14:paraId="66A5A8FD" w14:textId="77777777" w:rsidR="00046A04" w:rsidRPr="00C95F9A" w:rsidRDefault="00046A04" w:rsidP="00BA00A3">
            <w:pPr>
              <w:pStyle w:val="TABELAs"/>
            </w:pPr>
            <w:r w:rsidRPr="00C95F9A">
              <w:t>473</w:t>
            </w:r>
          </w:p>
        </w:tc>
        <w:tc>
          <w:tcPr>
            <w:tcW w:w="2549" w:type="dxa"/>
            <w:vAlign w:val="bottom"/>
          </w:tcPr>
          <w:p w14:paraId="7C50CEBE" w14:textId="77777777" w:rsidR="00046A04" w:rsidRPr="00C95F9A" w:rsidRDefault="00046A04" w:rsidP="00BA00A3">
            <w:pPr>
              <w:pStyle w:val="TABELAs"/>
            </w:pPr>
            <w:r w:rsidRPr="00C95F9A">
              <w:t>53,68%</w:t>
            </w:r>
          </w:p>
        </w:tc>
      </w:tr>
      <w:tr w:rsidR="00046A04" w14:paraId="1882A2EA" w14:textId="77777777" w:rsidTr="00BA00A3">
        <w:tc>
          <w:tcPr>
            <w:tcW w:w="2548" w:type="dxa"/>
            <w:vAlign w:val="bottom"/>
          </w:tcPr>
          <w:p w14:paraId="16F1D267" w14:textId="77777777" w:rsidR="00046A04" w:rsidRPr="00C95F9A" w:rsidRDefault="00046A04" w:rsidP="00BA00A3">
            <w:pPr>
              <w:pStyle w:val="TABELAs"/>
            </w:pPr>
            <w:r w:rsidRPr="00C95F9A">
              <w:t>Resíduos</w:t>
            </w:r>
          </w:p>
        </w:tc>
        <w:tc>
          <w:tcPr>
            <w:tcW w:w="2548" w:type="dxa"/>
            <w:vAlign w:val="bottom"/>
          </w:tcPr>
          <w:p w14:paraId="56217E33" w14:textId="77777777" w:rsidR="00046A04" w:rsidRPr="00C95F9A" w:rsidRDefault="00046A04" w:rsidP="00BA00A3">
            <w:pPr>
              <w:pStyle w:val="TABELAs"/>
            </w:pPr>
            <w:r w:rsidRPr="00C95F9A">
              <w:t>179</w:t>
            </w:r>
          </w:p>
        </w:tc>
        <w:tc>
          <w:tcPr>
            <w:tcW w:w="2549" w:type="dxa"/>
            <w:vAlign w:val="bottom"/>
          </w:tcPr>
          <w:p w14:paraId="5DF360FD" w14:textId="77777777" w:rsidR="00046A04" w:rsidRPr="00C95F9A" w:rsidRDefault="00046A04" w:rsidP="00BA00A3">
            <w:pPr>
              <w:pStyle w:val="TABELAs"/>
            </w:pPr>
            <w:r w:rsidRPr="00C95F9A">
              <w:t>111</w:t>
            </w:r>
          </w:p>
        </w:tc>
        <w:tc>
          <w:tcPr>
            <w:tcW w:w="2549" w:type="dxa"/>
            <w:vAlign w:val="bottom"/>
          </w:tcPr>
          <w:p w14:paraId="5CDCAA6B" w14:textId="77777777" w:rsidR="00046A04" w:rsidRPr="00C95F9A" w:rsidRDefault="00046A04" w:rsidP="00BA00A3">
            <w:pPr>
              <w:pStyle w:val="TABELAs"/>
            </w:pPr>
            <w:r w:rsidRPr="00C95F9A">
              <w:t>62,19%</w:t>
            </w:r>
          </w:p>
        </w:tc>
      </w:tr>
      <w:tr w:rsidR="00046A04" w14:paraId="5F61D3BE" w14:textId="77777777" w:rsidTr="00BA00A3">
        <w:tc>
          <w:tcPr>
            <w:tcW w:w="2548" w:type="dxa"/>
            <w:vAlign w:val="bottom"/>
          </w:tcPr>
          <w:p w14:paraId="66B0AEE4" w14:textId="77777777" w:rsidR="00046A04" w:rsidRPr="00C95F9A" w:rsidRDefault="00046A04" w:rsidP="00BA00A3">
            <w:pPr>
              <w:pStyle w:val="TABELAs"/>
            </w:pPr>
            <w:r w:rsidRPr="00C95F9A">
              <w:t>Mudanças no Uso da Terra</w:t>
            </w:r>
          </w:p>
        </w:tc>
        <w:tc>
          <w:tcPr>
            <w:tcW w:w="2548" w:type="dxa"/>
            <w:vAlign w:val="bottom"/>
          </w:tcPr>
          <w:p w14:paraId="23325066" w14:textId="77777777" w:rsidR="00046A04" w:rsidRPr="00C95F9A" w:rsidRDefault="00046A04" w:rsidP="00BA00A3">
            <w:pPr>
              <w:pStyle w:val="TABELAs"/>
            </w:pPr>
            <w:r w:rsidRPr="00C95F9A">
              <w:t>21.090</w:t>
            </w:r>
          </w:p>
        </w:tc>
        <w:tc>
          <w:tcPr>
            <w:tcW w:w="2549" w:type="dxa"/>
            <w:vAlign w:val="bottom"/>
          </w:tcPr>
          <w:p w14:paraId="5C431E49" w14:textId="77777777" w:rsidR="00046A04" w:rsidRPr="00C95F9A" w:rsidRDefault="00046A04" w:rsidP="00BA00A3">
            <w:pPr>
              <w:pStyle w:val="TABELAs"/>
            </w:pPr>
            <w:r w:rsidRPr="00C95F9A">
              <w:t>3.781</w:t>
            </w:r>
          </w:p>
        </w:tc>
        <w:tc>
          <w:tcPr>
            <w:tcW w:w="2549" w:type="dxa"/>
            <w:vAlign w:val="bottom"/>
          </w:tcPr>
          <w:p w14:paraId="15EDD06E" w14:textId="77777777" w:rsidR="00046A04" w:rsidRPr="00C95F9A" w:rsidRDefault="00046A04" w:rsidP="00BA00A3">
            <w:pPr>
              <w:pStyle w:val="TABELAs"/>
            </w:pPr>
            <w:r w:rsidRPr="00C95F9A">
              <w:t>17,93%</w:t>
            </w:r>
          </w:p>
        </w:tc>
      </w:tr>
      <w:tr w:rsidR="00046A04" w14:paraId="25D14357" w14:textId="77777777" w:rsidTr="00BA00A3">
        <w:tc>
          <w:tcPr>
            <w:tcW w:w="2548" w:type="dxa"/>
            <w:vAlign w:val="bottom"/>
          </w:tcPr>
          <w:p w14:paraId="4704FA50" w14:textId="77777777" w:rsidR="00046A04" w:rsidRPr="00C95F9A" w:rsidRDefault="00046A04" w:rsidP="00BA00A3">
            <w:pPr>
              <w:pStyle w:val="TABELAs"/>
            </w:pPr>
            <w:r w:rsidRPr="00C95F9A">
              <w:t>Agropecuária</w:t>
            </w:r>
          </w:p>
        </w:tc>
        <w:tc>
          <w:tcPr>
            <w:tcW w:w="2548" w:type="dxa"/>
            <w:vAlign w:val="bottom"/>
          </w:tcPr>
          <w:p w14:paraId="2503A42F" w14:textId="77777777" w:rsidR="00046A04" w:rsidRPr="00C95F9A" w:rsidRDefault="00046A04" w:rsidP="00BA00A3">
            <w:pPr>
              <w:pStyle w:val="TABELAs"/>
            </w:pPr>
            <w:r w:rsidRPr="00C95F9A">
              <w:t>2.179</w:t>
            </w:r>
          </w:p>
        </w:tc>
        <w:tc>
          <w:tcPr>
            <w:tcW w:w="2549" w:type="dxa"/>
            <w:vAlign w:val="bottom"/>
          </w:tcPr>
          <w:p w14:paraId="17BE5FBD" w14:textId="77777777" w:rsidR="00046A04" w:rsidRPr="00C95F9A" w:rsidRDefault="00046A04" w:rsidP="00BA00A3">
            <w:pPr>
              <w:pStyle w:val="TABELAs"/>
            </w:pPr>
            <w:r w:rsidRPr="00C95F9A">
              <w:t>551</w:t>
            </w:r>
          </w:p>
        </w:tc>
        <w:tc>
          <w:tcPr>
            <w:tcW w:w="2549" w:type="dxa"/>
            <w:vAlign w:val="bottom"/>
          </w:tcPr>
          <w:p w14:paraId="7D6BA621" w14:textId="77777777" w:rsidR="00046A04" w:rsidRPr="00C95F9A" w:rsidRDefault="00046A04" w:rsidP="00BA00A3">
            <w:pPr>
              <w:pStyle w:val="TABELAs"/>
            </w:pPr>
            <w:r w:rsidRPr="00C95F9A">
              <w:t>25,28%</w:t>
            </w:r>
          </w:p>
        </w:tc>
      </w:tr>
      <w:tr w:rsidR="00046A04" w14:paraId="04F10FAF" w14:textId="77777777" w:rsidTr="00BA00A3">
        <w:tc>
          <w:tcPr>
            <w:tcW w:w="2548" w:type="dxa"/>
            <w:tcBorders>
              <w:bottom w:val="single" w:sz="4" w:space="0" w:color="auto"/>
            </w:tcBorders>
            <w:vAlign w:val="bottom"/>
          </w:tcPr>
          <w:p w14:paraId="6811241D" w14:textId="77777777" w:rsidR="00046A04" w:rsidRPr="00476039" w:rsidRDefault="00046A04" w:rsidP="00BA00A3">
            <w:pPr>
              <w:pStyle w:val="TABELAs"/>
              <w:rPr>
                <w:b/>
              </w:rPr>
            </w:pPr>
            <w:r w:rsidRPr="00476039">
              <w:rPr>
                <w:b/>
              </w:rPr>
              <w:t>Total</w:t>
            </w:r>
          </w:p>
        </w:tc>
        <w:tc>
          <w:tcPr>
            <w:tcW w:w="2548" w:type="dxa"/>
            <w:tcBorders>
              <w:bottom w:val="single" w:sz="4" w:space="0" w:color="auto"/>
            </w:tcBorders>
            <w:vAlign w:val="bottom"/>
          </w:tcPr>
          <w:p w14:paraId="74A35F9F" w14:textId="77777777" w:rsidR="00046A04" w:rsidRPr="00476039" w:rsidRDefault="00046A04" w:rsidP="00BA00A3">
            <w:pPr>
              <w:pStyle w:val="TABELAs"/>
              <w:rPr>
                <w:b/>
              </w:rPr>
            </w:pPr>
            <w:r w:rsidRPr="00476039">
              <w:rPr>
                <w:b/>
              </w:rPr>
              <w:t>28.734</w:t>
            </w:r>
          </w:p>
        </w:tc>
        <w:tc>
          <w:tcPr>
            <w:tcW w:w="2549" w:type="dxa"/>
            <w:tcBorders>
              <w:bottom w:val="single" w:sz="4" w:space="0" w:color="auto"/>
            </w:tcBorders>
            <w:vAlign w:val="bottom"/>
          </w:tcPr>
          <w:p w14:paraId="3A9856F7" w14:textId="77777777" w:rsidR="00046A04" w:rsidRPr="00476039" w:rsidRDefault="00046A04" w:rsidP="00BA00A3">
            <w:pPr>
              <w:pStyle w:val="TABELAs"/>
              <w:rPr>
                <w:b/>
              </w:rPr>
            </w:pPr>
            <w:r w:rsidRPr="00476039">
              <w:rPr>
                <w:b/>
              </w:rPr>
              <w:t>7.292</w:t>
            </w:r>
          </w:p>
        </w:tc>
        <w:tc>
          <w:tcPr>
            <w:tcW w:w="2549" w:type="dxa"/>
            <w:tcBorders>
              <w:bottom w:val="single" w:sz="4" w:space="0" w:color="auto"/>
            </w:tcBorders>
            <w:vAlign w:val="bottom"/>
          </w:tcPr>
          <w:p w14:paraId="014D137B" w14:textId="77777777" w:rsidR="00046A04" w:rsidRPr="00476039" w:rsidRDefault="00046A04" w:rsidP="00BA00A3">
            <w:pPr>
              <w:pStyle w:val="TABELAs"/>
              <w:rPr>
                <w:b/>
              </w:rPr>
            </w:pPr>
            <w:r w:rsidRPr="00476039">
              <w:rPr>
                <w:b/>
              </w:rPr>
              <w:t>25,38%</w:t>
            </w:r>
          </w:p>
        </w:tc>
      </w:tr>
    </w:tbl>
    <w:p w14:paraId="30959D28" w14:textId="0BCFB5B1" w:rsidR="004B1F09" w:rsidRDefault="00C72EBB" w:rsidP="004B1F09">
      <w:pPr>
        <w:pStyle w:val="FONTE0"/>
      </w:pPr>
      <w:r>
        <w:t>FONTE</w:t>
      </w:r>
      <w:r w:rsidR="004B1F09">
        <w:t>: Elaboração própria a partir de dados do OC (2017)</w:t>
      </w:r>
    </w:p>
    <w:p w14:paraId="2EF35051" w14:textId="77777777" w:rsidR="00046A04" w:rsidRDefault="00046A04" w:rsidP="00046A04"/>
    <w:p w14:paraId="038BA2A8" w14:textId="77777777" w:rsidR="002D48E6" w:rsidRPr="00B356CF" w:rsidRDefault="002D48E6" w:rsidP="002D48E6">
      <w:r w:rsidRPr="00B356CF">
        <w:t>No segundo conjunto de gráficos tem-se a composição das emissões segundo as atividades econômicas geradoras</w:t>
      </w:r>
      <w:r w:rsidRPr="005879A2">
        <w:rPr>
          <w:vertAlign w:val="superscript"/>
        </w:rPr>
        <w:footnoteReference w:id="4"/>
      </w:r>
      <w:r w:rsidRPr="00B356CF">
        <w:t xml:space="preserve">.Para a região sudeste (Gráfico 2.a) se destacam as emissões dos setores de Mudanças no </w:t>
      </w:r>
      <w:r>
        <w:t>U</w:t>
      </w:r>
      <w:r w:rsidRPr="00B356CF">
        <w:t xml:space="preserve">so da </w:t>
      </w:r>
      <w:r>
        <w:t>T</w:t>
      </w:r>
      <w:r w:rsidRPr="00B356CF">
        <w:t>erra e de Energia</w:t>
      </w:r>
      <w:r>
        <w:t xml:space="preserve"> que aumentaram 25,63% e 87,34% contra redução de 42,21% e aumento de 67,16% para o Brasil, respectivamente, entre 2002 e 2015.O setor de Mudanças no Uso da Terra</w:t>
      </w:r>
      <w:r w:rsidRPr="00B356CF">
        <w:t xml:space="preserve"> apresenta forte predominância entre os anos de 2003 e 2009, </w:t>
      </w:r>
      <w:r>
        <w:t>reduzindo seus valores percentuais e absolutos a partir de 2010</w:t>
      </w:r>
      <w:r w:rsidRPr="00B356CF">
        <w:t xml:space="preserve">. Esse comportamento é potencialmente explicado pelo </w:t>
      </w:r>
      <w:r w:rsidRPr="00E71A0B">
        <w:rPr>
          <w:i/>
        </w:rPr>
        <w:t>boom</w:t>
      </w:r>
      <w:r w:rsidRPr="00B356CF">
        <w:t xml:space="preserve"> das commodities (2004 – 2009)</w:t>
      </w:r>
      <w:r>
        <w:t>,</w:t>
      </w:r>
      <w:r w:rsidRPr="00B356CF">
        <w:t xml:space="preserve"> considerando que o setor tem relação direta com a expansão da atividade agrícola</w:t>
      </w:r>
      <w:r w:rsidRPr="00B356CF">
        <w:footnoteReference w:id="5"/>
      </w:r>
      <w:r w:rsidRPr="00B356CF">
        <w:t>, ainda que o setor de agropecuária apresente emissões diretas inicialmente modestas. Já as emissões do setor de Energia demonstram tendência de crescimento em todo o período, indicando expansão da utilização de energia de origem fóssil, possivelmente relacionado a intensificação das atividades industriais que utilizam deste recurso</w:t>
      </w:r>
      <w:r w:rsidRPr="00877D33">
        <w:rPr>
          <w:vertAlign w:val="superscript"/>
        </w:rPr>
        <w:footnoteReference w:id="6"/>
      </w:r>
      <w:r w:rsidRPr="00B356CF">
        <w:t>.</w:t>
      </w:r>
    </w:p>
    <w:p w14:paraId="1855BBE1" w14:textId="3AB12A2C" w:rsidR="00AB1643" w:rsidRDefault="002D48E6" w:rsidP="002D48E6">
      <w:r w:rsidRPr="00B356CF">
        <w:t xml:space="preserve">Em relação </w:t>
      </w:r>
      <w:r>
        <w:t>à</w:t>
      </w:r>
      <w:r w:rsidRPr="00B356CF">
        <w:t xml:space="preserve"> composição das emissões dos estados, salta aos olhos a escala do setor de Mudanças no uso da terra para o estado de MG (Gráfico 2.b), o que contribui para compreender tanto a hegemonia da participação das emissões de MG</w:t>
      </w:r>
      <w:r>
        <w:t xml:space="preserve">, quanto a </w:t>
      </w:r>
      <w:r w:rsidRPr="00B356CF">
        <w:t>predominância das emissões d</w:t>
      </w:r>
      <w:r>
        <w:t>este</w:t>
      </w:r>
      <w:r w:rsidRPr="00B356CF">
        <w:t xml:space="preserve"> setor para o total da região. Apenas este setor no estado de MG foi responsável por uma emissão média anual em torno de 253 mil toneladas ao passo que a emissão total dos demais estados foi de aproximadamente 62 mil toneladas médias anuais. O desproporcional peso das emissões do setor de Mudanças no </w:t>
      </w:r>
      <w:r>
        <w:t>U</w:t>
      </w:r>
      <w:r w:rsidRPr="00B356CF">
        <w:t xml:space="preserve">so da </w:t>
      </w:r>
      <w:r>
        <w:t>T</w:t>
      </w:r>
      <w:r w:rsidRPr="00B356CF">
        <w:t xml:space="preserve">erra para MG </w:t>
      </w:r>
      <w:r>
        <w:t xml:space="preserve">provavelmente </w:t>
      </w:r>
      <w:r w:rsidR="008E3111">
        <w:t xml:space="preserve">se relaciona com a </w:t>
      </w:r>
      <w:r>
        <w:t xml:space="preserve">extensão territorial do estado, que </w:t>
      </w:r>
      <w:r w:rsidR="00C31FBF">
        <w:t>ocupa</w:t>
      </w:r>
      <w:r>
        <w:t xml:space="preserve"> cerca de 63% </w:t>
      </w:r>
      <w:r w:rsidR="006F7DA4">
        <w:t>do</w:t>
      </w:r>
      <w:r>
        <w:t xml:space="preserve"> SE, e ao perfil das atividades econômicas</w:t>
      </w:r>
      <w:r w:rsidRPr="00B356CF">
        <w:t xml:space="preserve">. </w:t>
      </w:r>
      <w:r w:rsidR="00AB1643">
        <w:t xml:space="preserve">Destaca-se </w:t>
      </w:r>
      <w:r w:rsidR="000F60F3">
        <w:t xml:space="preserve">para o setor o fato de </w:t>
      </w:r>
      <w:r w:rsidR="00AB1643">
        <w:t xml:space="preserve">que, entre 2002 e 2015, </w:t>
      </w:r>
      <w:r w:rsidR="00017FD4">
        <w:t xml:space="preserve">3,03% da área total </w:t>
      </w:r>
      <w:r w:rsidR="00017FD4">
        <w:lastRenderedPageBreak/>
        <w:t>do estado de MG foi desmatada</w:t>
      </w:r>
      <w:r w:rsidR="002435B6">
        <w:t>,</w:t>
      </w:r>
      <w:r w:rsidR="00017FD4">
        <w:t xml:space="preserve"> o que corresponde a 1,92% da área do </w:t>
      </w:r>
      <w:r w:rsidR="002E40A0">
        <w:t>SE.</w:t>
      </w:r>
      <w:r w:rsidR="00017FD4">
        <w:t xml:space="preserve"> </w:t>
      </w:r>
      <w:r w:rsidR="00F75B4A">
        <w:t>O desmatamento</w:t>
      </w:r>
      <w:r w:rsidR="00D037D6">
        <w:t xml:space="preserve"> </w:t>
      </w:r>
      <w:r w:rsidR="00F75B4A">
        <w:t xml:space="preserve">dos estados do ES, RJ e SP </w:t>
      </w:r>
      <w:r w:rsidR="00D037D6">
        <w:t>correspondem</w:t>
      </w:r>
      <w:r w:rsidR="00F75B4A">
        <w:t xml:space="preserve"> conjuntamente</w:t>
      </w:r>
      <w:r w:rsidR="00D037D6">
        <w:t xml:space="preserve"> a apenas 0,14% da região no mesmo período</w:t>
      </w:r>
      <w:r w:rsidR="00F75B4A">
        <w:t xml:space="preserve"> (OC, 2017)</w:t>
      </w:r>
      <w:r w:rsidR="00D037D6">
        <w:t>.</w:t>
      </w:r>
    </w:p>
    <w:p w14:paraId="1EEBC3BA" w14:textId="2174C928" w:rsidR="002D48E6" w:rsidRDefault="002D48E6" w:rsidP="002D48E6">
      <w:r>
        <w:t xml:space="preserve">Para além nisso, ainda em MG percebe-se ainda uma </w:t>
      </w:r>
      <w:r w:rsidRPr="00B356CF">
        <w:t xml:space="preserve">tendência de crescimento nas emissões </w:t>
      </w:r>
      <w:r>
        <w:t>oriundas do setor “Energia”.</w:t>
      </w:r>
      <w:r w:rsidRPr="00B356CF">
        <w:t xml:space="preserve"> </w:t>
      </w:r>
      <w:r>
        <w:t>A</w:t>
      </w:r>
      <w:r w:rsidRPr="00B356CF">
        <w:t xml:space="preserve">pesar dos baixos valores relacionados </w:t>
      </w:r>
      <w:r>
        <w:t>ao setor “P</w:t>
      </w:r>
      <w:r w:rsidRPr="00B356CF">
        <w:t xml:space="preserve">rocessos </w:t>
      </w:r>
      <w:r>
        <w:t>I</w:t>
      </w:r>
      <w:r w:rsidRPr="00B356CF">
        <w:t>ndustriais</w:t>
      </w:r>
      <w:r>
        <w:t>”</w:t>
      </w:r>
      <w:r w:rsidRPr="00B356CF">
        <w:t>, a crescente necessidade energética das atividades de extração mineral, também relacionada às exportações, no estado se reflete no setor de geração de energia.</w:t>
      </w:r>
    </w:p>
    <w:p w14:paraId="4FF0E046" w14:textId="77777777" w:rsidR="002D48E6" w:rsidRDefault="002D48E6" w:rsidP="007126D6"/>
    <w:p w14:paraId="42A40A3F" w14:textId="7716247A" w:rsidR="003E5EC1" w:rsidRPr="00B356CF" w:rsidRDefault="003E5EC1" w:rsidP="003E5EC1">
      <w:pPr>
        <w:pStyle w:val="titulofigura"/>
      </w:pPr>
      <w:r w:rsidRPr="00B356CF">
        <w:t>Gráfico 2.a – Emissões de GEE da região Sudeste por setor de atividade</w:t>
      </w:r>
      <w:r w:rsidR="007054F3">
        <w:t xml:space="preserve"> </w:t>
      </w:r>
      <w:r w:rsidR="008810B7">
        <w:t>(CO</w:t>
      </w:r>
      <w:r w:rsidR="008810B7">
        <w:rPr>
          <w:vertAlign w:val="subscript"/>
        </w:rPr>
        <w:t>2</w:t>
      </w:r>
      <w:r w:rsidR="008810B7">
        <w:t>e)</w:t>
      </w:r>
    </w:p>
    <w:p w14:paraId="748C31C1" w14:textId="77777777" w:rsidR="00D97A4E" w:rsidRDefault="003E5EC1" w:rsidP="00F95707">
      <w:pPr>
        <w:pStyle w:val="titulofigura"/>
        <w:sectPr w:rsidR="00D97A4E" w:rsidSect="005635DF">
          <w:type w:val="continuous"/>
          <w:pgSz w:w="11906" w:h="16838"/>
          <w:pgMar w:top="1134" w:right="851" w:bottom="1134" w:left="851" w:header="709" w:footer="709" w:gutter="0"/>
          <w:cols w:space="708"/>
          <w:titlePg/>
          <w:docGrid w:linePitch="360"/>
        </w:sectPr>
      </w:pPr>
      <w:r w:rsidRPr="00B356CF">
        <w:rPr>
          <w:noProof/>
          <w:lang w:eastAsia="pt-BR"/>
        </w:rPr>
        <w:drawing>
          <wp:inline distT="0" distB="0" distL="0" distR="0" wp14:anchorId="2639889B" wp14:editId="10976E32">
            <wp:extent cx="6443980" cy="1799590"/>
            <wp:effectExtent l="0" t="0" r="13970" b="1016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0B4801" w14:textId="66214A94" w:rsidR="00003545" w:rsidRPr="00B356CF" w:rsidRDefault="00003545" w:rsidP="001A748D">
      <w:pPr>
        <w:pStyle w:val="titulofigura"/>
        <w:ind w:right="139"/>
      </w:pPr>
      <w:r w:rsidRPr="00B356CF">
        <w:lastRenderedPageBreak/>
        <w:t xml:space="preserve">Gráfico 2.b – </w:t>
      </w:r>
      <w:r w:rsidR="00BD5737">
        <w:t>Emissões por setor de atividade</w:t>
      </w:r>
      <w:r w:rsidR="001A748D">
        <w:t>,</w:t>
      </w:r>
      <w:r w:rsidR="00B7202A">
        <w:t xml:space="preserve"> </w:t>
      </w:r>
      <w:r w:rsidRPr="00B356CF">
        <w:t>MG</w:t>
      </w:r>
      <w:r w:rsidR="00B7202A">
        <w:t xml:space="preserve"> (CO</w:t>
      </w:r>
      <w:r w:rsidR="00B7202A">
        <w:rPr>
          <w:vertAlign w:val="subscript"/>
        </w:rPr>
        <w:t>2</w:t>
      </w:r>
      <w:r w:rsidR="00B7202A">
        <w:t>e GTP 100)</w:t>
      </w:r>
    </w:p>
    <w:p w14:paraId="10D60597" w14:textId="77777777" w:rsidR="00003545" w:rsidRPr="00B356CF" w:rsidRDefault="00003545" w:rsidP="00003545">
      <w:pPr>
        <w:pStyle w:val="titulofigura"/>
      </w:pPr>
      <w:r w:rsidRPr="00B356CF">
        <w:rPr>
          <w:noProof/>
          <w:lang w:eastAsia="pt-BR"/>
        </w:rPr>
        <w:drawing>
          <wp:inline distT="0" distB="0" distL="0" distR="0" wp14:anchorId="50404A91" wp14:editId="7781E241">
            <wp:extent cx="3204000" cy="1260000"/>
            <wp:effectExtent l="0" t="0" r="15875" b="1651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A1204F" w14:textId="054421C0" w:rsidR="00003545" w:rsidRPr="00B356CF" w:rsidRDefault="00003545" w:rsidP="001A748D">
      <w:pPr>
        <w:pStyle w:val="titulofigura"/>
        <w:ind w:right="139"/>
      </w:pPr>
      <w:r w:rsidRPr="00B356CF">
        <w:t xml:space="preserve">Gráfico 2.d – </w:t>
      </w:r>
      <w:r w:rsidR="00BD5737">
        <w:t>Emissões por setor de atividade</w:t>
      </w:r>
      <w:r w:rsidR="001A748D">
        <w:t>,</w:t>
      </w:r>
      <w:r w:rsidR="00B7202A">
        <w:t xml:space="preserve"> </w:t>
      </w:r>
      <w:r w:rsidRPr="00B356CF">
        <w:t>RJ</w:t>
      </w:r>
      <w:r w:rsidR="00B7202A">
        <w:t xml:space="preserve"> (CO</w:t>
      </w:r>
      <w:r w:rsidR="00B7202A">
        <w:rPr>
          <w:vertAlign w:val="subscript"/>
        </w:rPr>
        <w:t>2</w:t>
      </w:r>
      <w:r w:rsidR="00B7202A">
        <w:t>e GTP 100)</w:t>
      </w:r>
    </w:p>
    <w:p w14:paraId="29616838" w14:textId="77777777" w:rsidR="00003545" w:rsidRPr="00B356CF" w:rsidRDefault="00003545" w:rsidP="00003545">
      <w:pPr>
        <w:pStyle w:val="titulofigura"/>
      </w:pPr>
      <w:r w:rsidRPr="00B356CF">
        <w:rPr>
          <w:noProof/>
          <w:lang w:eastAsia="pt-BR"/>
        </w:rPr>
        <w:drawing>
          <wp:inline distT="0" distB="0" distL="0" distR="0" wp14:anchorId="48349295" wp14:editId="22268585">
            <wp:extent cx="3204000" cy="1260000"/>
            <wp:effectExtent l="0" t="0" r="15875" b="1651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E7E704" w14:textId="6A567B80" w:rsidR="00003545" w:rsidRPr="00B356CF" w:rsidRDefault="00003545" w:rsidP="001A748D">
      <w:pPr>
        <w:pStyle w:val="titulofigura"/>
        <w:ind w:right="139"/>
      </w:pPr>
      <w:r w:rsidRPr="00B356CF">
        <w:lastRenderedPageBreak/>
        <w:t>Gráfico 2.c – Emissões por setor de atividade</w:t>
      </w:r>
      <w:r w:rsidR="001A748D">
        <w:t xml:space="preserve">, </w:t>
      </w:r>
      <w:r w:rsidRPr="00B356CF">
        <w:t>ES</w:t>
      </w:r>
      <w:r w:rsidR="006411AC">
        <w:t xml:space="preserve"> (CO</w:t>
      </w:r>
      <w:r w:rsidR="006411AC">
        <w:rPr>
          <w:vertAlign w:val="subscript"/>
        </w:rPr>
        <w:t>2</w:t>
      </w:r>
      <w:r w:rsidR="006411AC">
        <w:t>e GTP 100)</w:t>
      </w:r>
    </w:p>
    <w:p w14:paraId="1396408C" w14:textId="77777777" w:rsidR="00003545" w:rsidRPr="00B356CF" w:rsidRDefault="00003545" w:rsidP="00003545">
      <w:pPr>
        <w:pStyle w:val="titulofigura"/>
      </w:pPr>
      <w:r w:rsidRPr="00B356CF">
        <w:rPr>
          <w:noProof/>
          <w:lang w:eastAsia="pt-BR"/>
        </w:rPr>
        <w:drawing>
          <wp:inline distT="0" distB="0" distL="0" distR="0" wp14:anchorId="1D8FE417" wp14:editId="21DAA7AE">
            <wp:extent cx="3204000" cy="1260000"/>
            <wp:effectExtent l="0" t="0" r="15875" b="1651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6370844" w14:textId="77D94C47" w:rsidR="00003545" w:rsidRPr="00B356CF" w:rsidRDefault="00003545" w:rsidP="001A748D">
      <w:pPr>
        <w:pStyle w:val="titulofigura"/>
        <w:ind w:right="139"/>
      </w:pPr>
      <w:r w:rsidRPr="00B356CF">
        <w:t>Gráfico 2.e – Emissões por setor de atividade</w:t>
      </w:r>
      <w:r w:rsidR="001A748D">
        <w:t xml:space="preserve">, </w:t>
      </w:r>
      <w:r w:rsidRPr="00B356CF">
        <w:t>SP</w:t>
      </w:r>
      <w:r w:rsidR="006411AC">
        <w:t xml:space="preserve"> (CO</w:t>
      </w:r>
      <w:r w:rsidR="006411AC">
        <w:rPr>
          <w:vertAlign w:val="subscript"/>
        </w:rPr>
        <w:t>2</w:t>
      </w:r>
      <w:r w:rsidR="006411AC">
        <w:t>e GTP 100)</w:t>
      </w:r>
    </w:p>
    <w:p w14:paraId="4CBEE403" w14:textId="0844BE2C" w:rsidR="00D97A4E" w:rsidRDefault="00003545" w:rsidP="00003545">
      <w:pPr>
        <w:pStyle w:val="titulofigura"/>
      </w:pPr>
      <w:r w:rsidRPr="00B356CF">
        <w:rPr>
          <w:noProof/>
          <w:lang w:eastAsia="pt-BR"/>
        </w:rPr>
        <w:drawing>
          <wp:inline distT="0" distB="0" distL="0" distR="0" wp14:anchorId="6323CE8F" wp14:editId="06463022">
            <wp:extent cx="3204000" cy="1260000"/>
            <wp:effectExtent l="0" t="0" r="15875" b="1651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1CFE52" w14:textId="77777777" w:rsidR="00D97A4E" w:rsidRDefault="00D97A4E" w:rsidP="00F95707">
      <w:pPr>
        <w:pStyle w:val="titulofigura"/>
        <w:sectPr w:rsidR="00D97A4E" w:rsidSect="00F511C0">
          <w:type w:val="continuous"/>
          <w:pgSz w:w="11906" w:h="16838"/>
          <w:pgMar w:top="1134" w:right="851" w:bottom="1134" w:left="851" w:header="709" w:footer="709" w:gutter="0"/>
          <w:cols w:num="2" w:space="2"/>
          <w:titlePg/>
          <w:docGrid w:linePitch="360"/>
        </w:sectPr>
      </w:pPr>
    </w:p>
    <w:p w14:paraId="72E74A09" w14:textId="31607756" w:rsidR="007D5178" w:rsidRDefault="00C72EBB" w:rsidP="007D5178">
      <w:pPr>
        <w:pStyle w:val="FONTE0"/>
      </w:pPr>
      <w:r>
        <w:lastRenderedPageBreak/>
        <w:t>FONTE</w:t>
      </w:r>
      <w:r w:rsidR="007D5178">
        <w:t>: Elaboração própria a partir de dados do OC (2017).</w:t>
      </w:r>
    </w:p>
    <w:p w14:paraId="2E103CBF" w14:textId="77777777" w:rsidR="007D5178" w:rsidRDefault="007D5178" w:rsidP="007D5178">
      <w:pPr>
        <w:ind w:firstLine="0"/>
        <w:sectPr w:rsidR="007D5178" w:rsidSect="005635DF">
          <w:type w:val="continuous"/>
          <w:pgSz w:w="11906" w:h="16838"/>
          <w:pgMar w:top="1134" w:right="851" w:bottom="1134" w:left="851" w:header="709" w:footer="709" w:gutter="0"/>
          <w:cols w:space="708"/>
          <w:titlePg/>
          <w:docGrid w:linePitch="360"/>
        </w:sectPr>
      </w:pPr>
    </w:p>
    <w:p w14:paraId="001CED72" w14:textId="77777777" w:rsidR="003E5EC1" w:rsidRPr="00B356CF" w:rsidRDefault="003E5EC1" w:rsidP="003E5EC1"/>
    <w:p w14:paraId="08212A1B" w14:textId="2E7C3A24" w:rsidR="005F1C8C" w:rsidRPr="00B356CF" w:rsidRDefault="005F1C8C" w:rsidP="005F1C8C">
      <w:r w:rsidRPr="00B356CF">
        <w:t>O estado d</w:t>
      </w:r>
      <w:r>
        <w:t>o</w:t>
      </w:r>
      <w:r w:rsidRPr="00B356CF">
        <w:t xml:space="preserve"> ES (Gráfico 2.c) apresenta os menores valores de emissões totais da região</w:t>
      </w:r>
      <w:r>
        <w:t>, embora com tendência crescente desde 2009. Destaca-se</w:t>
      </w:r>
      <w:r w:rsidRPr="00B356CF">
        <w:t xml:space="preserve"> o crescimento das emissões dos setores de energia e processos industriais</w:t>
      </w:r>
      <w:r>
        <w:t>, relacionado ao</w:t>
      </w:r>
      <w:r w:rsidRPr="00B356CF">
        <w:t xml:space="preserve"> aumento da exploração de jazidas de petróleo e gás natural, bem como </w:t>
      </w:r>
      <w:r>
        <w:t>à</w:t>
      </w:r>
      <w:r w:rsidRPr="00B356CF">
        <w:t xml:space="preserve"> intensificação das atividades de extração mineral e vegetal</w:t>
      </w:r>
      <w:r>
        <w:t>, atividades estas direcionadas à exportação</w:t>
      </w:r>
      <w:r w:rsidRPr="00B356CF">
        <w:t xml:space="preserve"> </w:t>
      </w:r>
      <w:proofErr w:type="gramStart"/>
      <w:r w:rsidRPr="00B356CF">
        <w:t>à</w:t>
      </w:r>
      <w:proofErr w:type="gramEnd"/>
      <w:r w:rsidRPr="00B356CF">
        <w:t xml:space="preserve"> exportação.</w:t>
      </w:r>
      <w:r w:rsidR="00126774">
        <w:t xml:space="preserve"> </w:t>
      </w:r>
      <w:r w:rsidRPr="00B356CF">
        <w:t>Os estados d</w:t>
      </w:r>
      <w:r>
        <w:t>o</w:t>
      </w:r>
      <w:r w:rsidRPr="00B356CF">
        <w:t xml:space="preserve"> RJ e SP (Gráficos 2.d e 2.e, respectivamente) apresentam forte predominância das emissões ligadas à geração de energia. Destaca-se aqui a importância do estado de RJ na extração e refino de combustíveis fósseis e a importância da geração de energia de origem fóssil para atividades industriais no estado de SP. Novamente, as atividades relacionadas às emissões de GEE se mostram ligadas às exportações.</w:t>
      </w:r>
    </w:p>
    <w:p w14:paraId="2F9409AF" w14:textId="597D7335" w:rsidR="00EE5413" w:rsidRDefault="003E5EC1" w:rsidP="003E5EC1">
      <w:r w:rsidRPr="00B356CF">
        <w:t xml:space="preserve">Buscando entender a intensidade poluidora </w:t>
      </w:r>
      <w:r w:rsidR="00A42DE9">
        <w:t>de cada estado da região SE</w:t>
      </w:r>
      <w:r w:rsidRPr="00B356CF">
        <w:t>, o Gráfico 3 expõe a relação entre as emissões de GEE para cada real de PIB por ano. Percebe-se que o estado de MG apresenta a maior intensidade poluidora dentre as unidades federativas em questão. Nota-se ainda que para os anos com maiores emissões do setor de Mudanças no uso da terra</w:t>
      </w:r>
      <w:r w:rsidR="00A42DE9">
        <w:t>,</w:t>
      </w:r>
      <w:r w:rsidRPr="00B356CF">
        <w:t xml:space="preserve"> a intensidade poluidora é maior, fato que </w:t>
      </w:r>
      <w:r w:rsidR="00B5691E">
        <w:t>se supõe</w:t>
      </w:r>
      <w:r w:rsidR="00A42DE9">
        <w:t xml:space="preserve"> estar relacionado à estrutura produtiva mineira,</w:t>
      </w:r>
      <w:r w:rsidRPr="00B356CF">
        <w:t xml:space="preserve"> voltada à exportação de produtos de baixo valor agregado.</w:t>
      </w:r>
      <w:r w:rsidR="00A42DE9">
        <w:t xml:space="preserve"> </w:t>
      </w:r>
      <w:r w:rsidRPr="00B356CF">
        <w:lastRenderedPageBreak/>
        <w:t>Por outro lado, a intensidade do SE como um todo é menor e menos volátil que a de MG, terminando a série com emissão de 0,14 kg de GEE por real de valor de produção frente a 0,95 em MG.</w:t>
      </w:r>
      <w:r w:rsidR="00EE5413">
        <w:t xml:space="preserve"> Os outros estados (RJ, SP e ES) apresentam todos uma intensidade poluidora modesta próxima à região.</w:t>
      </w:r>
    </w:p>
    <w:p w14:paraId="018748A5" w14:textId="77777777" w:rsidR="00971FDA" w:rsidRPr="00B356CF" w:rsidRDefault="00971FDA" w:rsidP="003E5EC1"/>
    <w:p w14:paraId="7E5782FA" w14:textId="66C15D62" w:rsidR="003E5EC1" w:rsidRPr="00B356CF" w:rsidRDefault="003E5EC1" w:rsidP="003E5EC1">
      <w:pPr>
        <w:pStyle w:val="titulofigura"/>
      </w:pPr>
      <w:r w:rsidRPr="00B356CF">
        <w:t>Gráfico 3 – Emissões de GEE em relação ao PIB (kg</w:t>
      </w:r>
      <w:r w:rsidR="002962DC">
        <w:t xml:space="preserve"> CO</w:t>
      </w:r>
      <w:r w:rsidR="002962DC">
        <w:rPr>
          <w:vertAlign w:val="subscript"/>
        </w:rPr>
        <w:t>2</w:t>
      </w:r>
      <w:r w:rsidR="00D04955">
        <w:t>e</w:t>
      </w:r>
      <w:r w:rsidRPr="00B356CF">
        <w:t>/R$</w:t>
      </w:r>
      <w:r w:rsidR="002962DC">
        <w:t xml:space="preserve"> 2010</w:t>
      </w:r>
      <w:r w:rsidRPr="00B356CF">
        <w:t>)</w:t>
      </w:r>
    </w:p>
    <w:p w14:paraId="7E48ADF2" w14:textId="77777777" w:rsidR="003E5EC1" w:rsidRPr="00B356CF" w:rsidRDefault="003E5EC1" w:rsidP="003E5EC1">
      <w:pPr>
        <w:pStyle w:val="titulofigura"/>
      </w:pPr>
      <w:r w:rsidRPr="00B356CF">
        <w:rPr>
          <w:noProof/>
          <w:lang w:eastAsia="pt-BR"/>
        </w:rPr>
        <w:drawing>
          <wp:inline distT="0" distB="0" distL="0" distR="0" wp14:anchorId="19734CDF" wp14:editId="34422406">
            <wp:extent cx="6444000" cy="2584450"/>
            <wp:effectExtent l="0" t="0" r="13970" b="63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12F9D8" w14:textId="76683AFE" w:rsidR="007D5178" w:rsidRDefault="00C72EBB" w:rsidP="007D5178">
      <w:pPr>
        <w:pStyle w:val="FONTE0"/>
      </w:pPr>
      <w:r>
        <w:t>FONTE</w:t>
      </w:r>
      <w:r w:rsidR="007D5178">
        <w:t>: Elaboração própria a partir de dados do OC (2017) e IBGE (2017).</w:t>
      </w:r>
    </w:p>
    <w:p w14:paraId="3107B51A" w14:textId="77777777" w:rsidR="007D5178" w:rsidRDefault="007D5178" w:rsidP="007D5178">
      <w:pPr>
        <w:ind w:firstLine="0"/>
        <w:sectPr w:rsidR="007D5178" w:rsidSect="005635DF">
          <w:type w:val="continuous"/>
          <w:pgSz w:w="11906" w:h="16838"/>
          <w:pgMar w:top="1134" w:right="851" w:bottom="1134" w:left="851" w:header="709" w:footer="709" w:gutter="0"/>
          <w:cols w:space="708"/>
          <w:titlePg/>
          <w:docGrid w:linePitch="360"/>
        </w:sectPr>
      </w:pPr>
    </w:p>
    <w:p w14:paraId="5976DAAF" w14:textId="77777777" w:rsidR="00E0739E" w:rsidRDefault="00E0739E" w:rsidP="003E5EC1"/>
    <w:p w14:paraId="7879CB9B" w14:textId="49FBBC62" w:rsidR="00742113" w:rsidRDefault="003E5EC1" w:rsidP="003E5EC1">
      <w:r w:rsidRPr="00B356CF">
        <w:t xml:space="preserve">Os Gráficos de radar 4.a e 4.b exibem a emissão total de GEE (linhas tracejadas) e a intensidade poluidora (linha contínua), ambas em índice com ano-base em 2002. Destaca-se aqui o distanciamento das linhas tracejadas em relação às contínuas ao longo da série temporal, isto é, apesar de as emissões totais aumentarem, a intensidade poluidora cresce em menor intensidade ou até mesmo decresce. </w:t>
      </w:r>
      <w:r w:rsidR="00AA184A">
        <w:t xml:space="preserve">É possível, portanto, </w:t>
      </w:r>
      <w:r w:rsidRPr="00B356CF">
        <w:t xml:space="preserve">crer que a região tenha crescido sua produção </w:t>
      </w:r>
      <w:r w:rsidR="00AA184A">
        <w:t>em</w:t>
      </w:r>
      <w:r w:rsidR="00AA184A" w:rsidRPr="00B356CF">
        <w:t xml:space="preserve"> </w:t>
      </w:r>
      <w:r w:rsidRPr="00B356CF">
        <w:t>um nível superior ao crescimento das emissões.</w:t>
      </w:r>
    </w:p>
    <w:p w14:paraId="3466C839" w14:textId="1EEE9987" w:rsidR="00742113" w:rsidRDefault="00742113" w:rsidP="003E5EC1"/>
    <w:p w14:paraId="4284817F" w14:textId="77777777" w:rsidR="00742113" w:rsidRDefault="00742113" w:rsidP="003E5EC1">
      <w:pPr>
        <w:sectPr w:rsidR="00742113" w:rsidSect="005635DF">
          <w:type w:val="continuous"/>
          <w:pgSz w:w="11906" w:h="16838"/>
          <w:pgMar w:top="1134" w:right="851" w:bottom="1134" w:left="851" w:header="709" w:footer="709" w:gutter="0"/>
          <w:cols w:space="708"/>
          <w:titlePg/>
          <w:docGrid w:linePitch="360"/>
        </w:sectPr>
      </w:pPr>
    </w:p>
    <w:p w14:paraId="2F02F13F" w14:textId="77777777" w:rsidR="00742113" w:rsidRPr="00B356CF" w:rsidRDefault="00742113" w:rsidP="00742113">
      <w:pPr>
        <w:pStyle w:val="titulofigura"/>
      </w:pPr>
      <w:r w:rsidRPr="00B356CF">
        <w:lastRenderedPageBreak/>
        <w:t>Gráfico 4.a – Emissões de GEE e intensidade poluidora (SE, MG e ES)</w:t>
      </w:r>
    </w:p>
    <w:p w14:paraId="24BEF4A6" w14:textId="2D50B858" w:rsidR="00742113" w:rsidRPr="00B356CF" w:rsidRDefault="00742113" w:rsidP="00742113">
      <w:pPr>
        <w:pStyle w:val="titulofigura"/>
      </w:pPr>
      <w:r w:rsidRPr="00B356CF">
        <w:rPr>
          <w:noProof/>
          <w:lang w:eastAsia="pt-BR"/>
        </w:rPr>
        <w:drawing>
          <wp:inline distT="0" distB="0" distL="0" distR="0" wp14:anchorId="27B69491" wp14:editId="6AC2CA57">
            <wp:extent cx="2699385" cy="2160000"/>
            <wp:effectExtent l="0" t="0" r="5715" b="1206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BC5D05" w14:textId="73789690" w:rsidR="00742113" w:rsidRPr="00B356CF" w:rsidRDefault="00742113" w:rsidP="00742113">
      <w:pPr>
        <w:pStyle w:val="titulofigura"/>
      </w:pPr>
      <w:r w:rsidRPr="00B356CF">
        <w:lastRenderedPageBreak/>
        <w:t>Gráfico 4.b – Emissões de GEE e intensidade poluidora (SE, RJ e SP)</w:t>
      </w:r>
    </w:p>
    <w:p w14:paraId="6F99FF70" w14:textId="77777777" w:rsidR="00D5519D" w:rsidRDefault="00742113" w:rsidP="00D5519D">
      <w:pPr>
        <w:pStyle w:val="titulofigura"/>
        <w:sectPr w:rsidR="00D5519D" w:rsidSect="006B56E6">
          <w:type w:val="continuous"/>
          <w:pgSz w:w="11906" w:h="16838"/>
          <w:pgMar w:top="1134" w:right="851" w:bottom="1134" w:left="851" w:header="709" w:footer="709" w:gutter="0"/>
          <w:cols w:num="2" w:space="2"/>
          <w:titlePg/>
          <w:docGrid w:linePitch="360"/>
        </w:sectPr>
      </w:pPr>
      <w:r w:rsidRPr="00B356CF">
        <w:rPr>
          <w:noProof/>
          <w:lang w:eastAsia="pt-BR"/>
        </w:rPr>
        <w:drawing>
          <wp:inline distT="0" distB="0" distL="0" distR="0" wp14:anchorId="7BB72F1C" wp14:editId="07A3BD6F">
            <wp:extent cx="2700000" cy="2160000"/>
            <wp:effectExtent l="0" t="0" r="5715" b="1206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2447B86" w14:textId="3B6040FE" w:rsidR="00F633AB" w:rsidRDefault="00C72EBB" w:rsidP="00F633AB">
      <w:pPr>
        <w:pStyle w:val="FONTE0"/>
      </w:pPr>
      <w:r>
        <w:lastRenderedPageBreak/>
        <w:t>FONTE</w:t>
      </w:r>
      <w:r w:rsidR="007D5178">
        <w:t>: E</w:t>
      </w:r>
      <w:r w:rsidR="00F633AB">
        <w:t>laboração própria</w:t>
      </w:r>
      <w:r w:rsidR="0043025E">
        <w:t xml:space="preserve"> a partir de</w:t>
      </w:r>
      <w:r w:rsidR="00F633AB">
        <w:t xml:space="preserve"> dados do</w:t>
      </w:r>
      <w:r w:rsidR="0043025E">
        <w:t xml:space="preserve"> OC (2017)</w:t>
      </w:r>
      <w:r w:rsidR="00F633AB">
        <w:t xml:space="preserve"> e IBGE</w:t>
      </w:r>
      <w:r w:rsidR="006203B2">
        <w:t xml:space="preserve"> (2017)</w:t>
      </w:r>
      <w:r w:rsidR="00F633AB">
        <w:t>.</w:t>
      </w:r>
    </w:p>
    <w:p w14:paraId="56051DFD" w14:textId="77777777" w:rsidR="00742113" w:rsidRDefault="00742113" w:rsidP="00042BC6">
      <w:pPr>
        <w:ind w:firstLine="0"/>
        <w:sectPr w:rsidR="00742113" w:rsidSect="005635DF">
          <w:type w:val="continuous"/>
          <w:pgSz w:w="11906" w:h="16838"/>
          <w:pgMar w:top="1134" w:right="851" w:bottom="1134" w:left="851" w:header="709" w:footer="709" w:gutter="0"/>
          <w:cols w:space="708"/>
          <w:titlePg/>
          <w:docGrid w:linePitch="360"/>
        </w:sectPr>
      </w:pPr>
    </w:p>
    <w:p w14:paraId="35F5C0AA" w14:textId="77777777" w:rsidR="00F633AB" w:rsidRDefault="00F633AB" w:rsidP="00042BC6">
      <w:pPr>
        <w:ind w:firstLine="0"/>
      </w:pPr>
    </w:p>
    <w:p w14:paraId="1DE80EFB" w14:textId="5DDB19A5" w:rsidR="003E5EC1" w:rsidRPr="00B356CF" w:rsidRDefault="003E5EC1" w:rsidP="00F633AB">
      <w:r w:rsidRPr="00B356CF">
        <w:t xml:space="preserve">Por fim, o Gráfico </w:t>
      </w:r>
      <w:r w:rsidR="009B570A">
        <w:t>5</w:t>
      </w:r>
      <w:r w:rsidRPr="00B356CF">
        <w:t xml:space="preserve"> apresenta um aspecto central para a discussão deste trabalho, qual seja: a intensidade tecnológica das exportações como importante variável explicativa das emissões de GEE. </w:t>
      </w:r>
      <w:r w:rsidR="00050CEE">
        <w:t xml:space="preserve">Uma </w:t>
      </w:r>
      <w:r w:rsidR="006D3771">
        <w:t>hipótese que deverá ser testada</w:t>
      </w:r>
      <w:r w:rsidR="00050CEE">
        <w:t xml:space="preserve"> pelos métodos econométricos (próxima seção) é que menor intensidade tecnológica da estrutura produtiva está relacionada a maior nível de emissões. </w:t>
      </w:r>
      <w:r w:rsidRPr="00B356CF">
        <w:t>Ao analisar o comportamento da razão dos bens de baixa intensidade tecnológica</w:t>
      </w:r>
      <w:r w:rsidRPr="001B136C">
        <w:rPr>
          <w:vertAlign w:val="superscript"/>
        </w:rPr>
        <w:footnoteReference w:id="7"/>
      </w:r>
      <w:r w:rsidRPr="00B356CF">
        <w:t xml:space="preserve"> sobre o total exportado</w:t>
      </w:r>
      <w:r w:rsidR="00B815DA">
        <w:t>, percebe-se</w:t>
      </w:r>
      <w:r w:rsidRPr="00B356CF">
        <w:t xml:space="preserve"> que os estados do ES e de MG mantêm médias muito elevadas, entre 70 e 80%, visto que são grandes exportadores de commodities minerais e agrícolas. </w:t>
      </w:r>
      <w:r w:rsidR="00FF3BF6">
        <w:t xml:space="preserve">O estado do RJ, apesar das oscilações, </w:t>
      </w:r>
      <w:r w:rsidR="001F3D9A">
        <w:t xml:space="preserve">apresenta valores próximos aos </w:t>
      </w:r>
      <w:r w:rsidR="001F3D9A">
        <w:lastRenderedPageBreak/>
        <w:t>do ES e MG</w:t>
      </w:r>
      <w:r w:rsidR="00396280">
        <w:t xml:space="preserve">. </w:t>
      </w:r>
      <w:r w:rsidRPr="00B356CF">
        <w:t xml:space="preserve">Já SP apresenta uma proporção menor, dado seu parque industrial mais complexo. Ressalta-se ainda que no período entre 2013 e 2015, no qual a região apresentou queda nas emissões, a proporção de baixa intensidade tecnológica nas </w:t>
      </w:r>
      <w:r w:rsidR="004F7F49">
        <w:t>exportações</w:t>
      </w:r>
      <w:r w:rsidR="004F7F49" w:rsidRPr="00B356CF">
        <w:t xml:space="preserve"> </w:t>
      </w:r>
      <w:r w:rsidRPr="00B356CF">
        <w:t>sofreu grande alteração negativa.</w:t>
      </w:r>
    </w:p>
    <w:p w14:paraId="6A93805C" w14:textId="77777777" w:rsidR="003E5EC1" w:rsidRPr="00B356CF" w:rsidRDefault="003E5EC1" w:rsidP="003E5EC1"/>
    <w:p w14:paraId="37B026B5" w14:textId="74BDD225" w:rsidR="003E5EC1" w:rsidRPr="00B356CF" w:rsidRDefault="003E5EC1" w:rsidP="003E5EC1">
      <w:pPr>
        <w:pStyle w:val="titulofigura"/>
      </w:pPr>
      <w:r w:rsidRPr="00B356CF">
        <w:t xml:space="preserve">Gráfico </w:t>
      </w:r>
      <w:r w:rsidR="009B570A">
        <w:t>5</w:t>
      </w:r>
      <w:r w:rsidRPr="00B356CF">
        <w:t xml:space="preserve"> - Proporção dos bens de baixa intensidade tecnológica sobre o valor total exportado (%)</w:t>
      </w:r>
    </w:p>
    <w:p w14:paraId="7BC9CD0F" w14:textId="77777777" w:rsidR="003E5EC1" w:rsidRPr="00B356CF" w:rsidRDefault="003E5EC1" w:rsidP="006D563D">
      <w:pPr>
        <w:pStyle w:val="titulofigura"/>
        <w:spacing w:after="40"/>
      </w:pPr>
      <w:r w:rsidRPr="00B356CF">
        <w:rPr>
          <w:noProof/>
          <w:lang w:eastAsia="pt-BR"/>
        </w:rPr>
        <w:drawing>
          <wp:inline distT="0" distB="0" distL="0" distR="0" wp14:anchorId="18077E93" wp14:editId="6AD1A54B">
            <wp:extent cx="6444000" cy="2419350"/>
            <wp:effectExtent l="0" t="0" r="1397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CCBA74" w14:textId="34CEAF2D" w:rsidR="003E5EC1" w:rsidRPr="00B356CF" w:rsidRDefault="00C72EBB" w:rsidP="003E5EC1">
      <w:pPr>
        <w:pStyle w:val="FONTE0"/>
      </w:pPr>
      <w:r>
        <w:t>FONTE</w:t>
      </w:r>
      <w:r w:rsidR="003E5EC1" w:rsidRPr="00B356CF">
        <w:t xml:space="preserve">: </w:t>
      </w:r>
      <w:r w:rsidR="004B345B">
        <w:t xml:space="preserve">Elaboração própria a partir de dados do </w:t>
      </w:r>
      <w:r w:rsidR="00906080">
        <w:t>BRASIL</w:t>
      </w:r>
      <w:r w:rsidR="00711EAC">
        <w:t xml:space="preserve"> (2018)</w:t>
      </w:r>
    </w:p>
    <w:p w14:paraId="763BBD19" w14:textId="77777777" w:rsidR="007C5DD5" w:rsidRDefault="007C5DD5" w:rsidP="00397411">
      <w:pPr>
        <w:rPr>
          <w:i/>
          <w:highlight w:val="yellow"/>
        </w:rPr>
      </w:pPr>
    </w:p>
    <w:p w14:paraId="514CA153" w14:textId="3D9D1811" w:rsidR="007C5DD5" w:rsidRPr="00FC42F2" w:rsidRDefault="00C1254B" w:rsidP="00397411">
      <w:r w:rsidRPr="00FC42F2">
        <w:t>É possível avaliar,</w:t>
      </w:r>
      <w:r w:rsidR="00644066" w:rsidRPr="00FC42F2">
        <w:t xml:space="preserve"> </w:t>
      </w:r>
      <w:r w:rsidR="00B17D43" w:rsidRPr="00FC42F2">
        <w:t xml:space="preserve">portanto, que o crescimento relativo das emissões </w:t>
      </w:r>
      <w:r w:rsidR="00C80708" w:rsidRPr="00FC42F2">
        <w:t xml:space="preserve">de GEE </w:t>
      </w:r>
      <w:r w:rsidR="00B17D43" w:rsidRPr="00FC42F2">
        <w:t xml:space="preserve">do SE em relação ao Brasil </w:t>
      </w:r>
      <w:r w:rsidR="005F0880" w:rsidRPr="00FC42F2">
        <w:t xml:space="preserve">estão associadas, sobretudo, </w:t>
      </w:r>
      <w:r w:rsidR="004D6539" w:rsidRPr="00FC42F2">
        <w:t xml:space="preserve">aos setores de Energia e Mudanças de Uso da Terra. </w:t>
      </w:r>
      <w:r w:rsidR="00C80708" w:rsidRPr="00FC42F2">
        <w:t xml:space="preserve">O setor de Energia apresenta crescimento relevante em todos os estados da região enquanto </w:t>
      </w:r>
      <w:r w:rsidR="0086746E" w:rsidRPr="00FC42F2">
        <w:t xml:space="preserve">o setor de Mudanças do Uso da Terra </w:t>
      </w:r>
      <w:r w:rsidR="0096055F" w:rsidRPr="00FC42F2">
        <w:t xml:space="preserve">é substancialmente grave no estado de MG. </w:t>
      </w:r>
      <w:r w:rsidR="00EE784A" w:rsidRPr="00FC42F2">
        <w:t>Este setor se mostra como o principal emissor da região justamente pelo peso absoluto das emissões de MG que superam as emissões de GEE conjuntas dos demais estados.</w:t>
      </w:r>
      <w:r w:rsidR="00C2160A" w:rsidRPr="00FC42F2">
        <w:t xml:space="preserve"> Tal fato se relaciona, ainda, com </w:t>
      </w:r>
      <w:r w:rsidR="00BD16A9" w:rsidRPr="00FC42F2">
        <w:t xml:space="preserve">o copioso desmatamento </w:t>
      </w:r>
      <w:r w:rsidR="004B4614" w:rsidRPr="00FC42F2">
        <w:t>ocorrido no</w:t>
      </w:r>
      <w:r w:rsidR="00BD16A9" w:rsidRPr="00FC42F2">
        <w:t xml:space="preserve"> estado de MG</w:t>
      </w:r>
      <w:r w:rsidR="005D7E60" w:rsidRPr="00FC42F2">
        <w:t xml:space="preserve"> em associação</w:t>
      </w:r>
      <w:r w:rsidR="004B4614" w:rsidRPr="00FC42F2">
        <w:t xml:space="preserve"> com a estrutura exportadora </w:t>
      </w:r>
      <w:r w:rsidR="005D7E60" w:rsidRPr="00FC42F2">
        <w:t xml:space="preserve">primária, </w:t>
      </w:r>
      <w:r w:rsidR="001A0DF6" w:rsidRPr="00FC42F2">
        <w:t>com produtos industriais de</w:t>
      </w:r>
      <w:r w:rsidR="004B4614" w:rsidRPr="00FC42F2">
        <w:t xml:space="preserve"> </w:t>
      </w:r>
      <w:r w:rsidR="001A0DF6" w:rsidRPr="00FC42F2">
        <w:t>baixa</w:t>
      </w:r>
      <w:r w:rsidR="004B4614" w:rsidRPr="00FC42F2">
        <w:t xml:space="preserve"> intensidade tecnológica</w:t>
      </w:r>
      <w:r w:rsidR="00741AD8" w:rsidRPr="00FC42F2">
        <w:t>.</w:t>
      </w:r>
      <w:r w:rsidR="00A65CA9" w:rsidRPr="00FC42F2">
        <w:t xml:space="preserve"> Embora com áreas territoriais severamente menores</w:t>
      </w:r>
      <w:r w:rsidR="00E14724" w:rsidRPr="00FC42F2">
        <w:t xml:space="preserve">, o </w:t>
      </w:r>
      <w:r w:rsidR="00A007BF" w:rsidRPr="00FC42F2">
        <w:t>crescimento</w:t>
      </w:r>
      <w:r w:rsidR="00E14724" w:rsidRPr="00FC42F2">
        <w:t xml:space="preserve"> das emissões do</w:t>
      </w:r>
      <w:r w:rsidR="006F2B1F" w:rsidRPr="00FC42F2">
        <w:t>s</w:t>
      </w:r>
      <w:r w:rsidR="00E14724" w:rsidRPr="00FC42F2">
        <w:t xml:space="preserve"> setor</w:t>
      </w:r>
      <w:r w:rsidR="006F2B1F" w:rsidRPr="00FC42F2">
        <w:t>es</w:t>
      </w:r>
      <w:r w:rsidR="00E14724" w:rsidRPr="00FC42F2">
        <w:t xml:space="preserve"> de Energia </w:t>
      </w:r>
      <w:r w:rsidR="006F2B1F" w:rsidRPr="00FC42F2">
        <w:t xml:space="preserve">e Processos Industriais </w:t>
      </w:r>
      <w:r w:rsidR="00E14724" w:rsidRPr="00FC42F2">
        <w:t>para os estados de ES e RJ</w:t>
      </w:r>
      <w:r w:rsidR="00180547" w:rsidRPr="00FC42F2">
        <w:t xml:space="preserve"> </w:t>
      </w:r>
      <w:r w:rsidR="00EE3B41" w:rsidRPr="00FC42F2">
        <w:t>igualmente se associam a estados de pauta exportadora de baixa intensidade tecnológica.</w:t>
      </w:r>
      <w:r w:rsidR="00180547" w:rsidRPr="00FC42F2">
        <w:t xml:space="preserve"> </w:t>
      </w:r>
    </w:p>
    <w:p w14:paraId="52D860F6" w14:textId="77777777" w:rsidR="007C5DD5" w:rsidRDefault="007C5DD5" w:rsidP="00397411">
      <w:pPr>
        <w:rPr>
          <w:i/>
          <w:highlight w:val="yellow"/>
        </w:rPr>
      </w:pPr>
    </w:p>
    <w:p w14:paraId="2420D827" w14:textId="5D47885F" w:rsidR="001B316A" w:rsidRDefault="001B316A" w:rsidP="00202D22">
      <w:pPr>
        <w:pStyle w:val="Ttulo1"/>
        <w:numPr>
          <w:ilvl w:val="0"/>
          <w:numId w:val="8"/>
        </w:numPr>
      </w:pPr>
      <w:r>
        <w:t>MODELO ECONOMÉTRICO</w:t>
      </w:r>
      <w:r w:rsidR="00E84C0C">
        <w:t xml:space="preserve"> E ESTRATÉGIAS METODOLÓGICAS</w:t>
      </w:r>
    </w:p>
    <w:p w14:paraId="7B5A6DD8" w14:textId="4E8DA056" w:rsidR="001B316A" w:rsidRDefault="001B316A" w:rsidP="001B316A">
      <w:r w:rsidRPr="006D3446">
        <w:t>A hipótese da curva em forma de “U” invertido pressupõe uma relação quadrática entre degradação ambiental e crescimento econômico</w:t>
      </w:r>
      <w:r>
        <w:t>. Portanto, a degradação ambiental pode ser estimada em função de</w:t>
      </w:r>
      <w:r w:rsidRPr="00CC057F">
        <w:t xml:space="preserve"> um polinômio quadrático </w:t>
      </w:r>
      <w:r>
        <w:t>da variável explicativa de</w:t>
      </w:r>
      <w:r w:rsidRPr="00CC057F">
        <w:t xml:space="preserve"> renda </w:t>
      </w:r>
      <w:r w:rsidRPr="00E84C0C">
        <w:rPr>
          <w:i/>
          <w:iCs/>
        </w:rPr>
        <w:t>per capita</w:t>
      </w:r>
      <w:r w:rsidRPr="00CC057F">
        <w:t>, tal como é usualmente utilizada na literatura. A equação</w:t>
      </w:r>
      <w:r>
        <w:t xml:space="preserve"> considerando dados longitudinais</w:t>
      </w:r>
      <w:r w:rsidRPr="00CC057F">
        <w:t xml:space="preserve"> entre a Degradação Ambiental (DA) e a Renda </w:t>
      </w:r>
      <w:r w:rsidRPr="00CC057F">
        <w:rPr>
          <w:i/>
          <w:iCs/>
        </w:rPr>
        <w:t xml:space="preserve">per capita </w:t>
      </w:r>
      <w:r w:rsidRPr="00CC057F">
        <w:t>(</w:t>
      </w:r>
      <w:proofErr w:type="spellStart"/>
      <w:r w:rsidRPr="00CC057F">
        <w:t>Y</w:t>
      </w:r>
      <w:r>
        <w:t>pc</w:t>
      </w:r>
      <w:proofErr w:type="spellEnd"/>
      <w:r w:rsidRPr="00CC057F">
        <w:t xml:space="preserve">) </w:t>
      </w:r>
      <w:r>
        <w:t>pode ser denotada inicialmente por</w:t>
      </w:r>
      <w:r w:rsidR="00E84C0C">
        <w:t>:</w:t>
      </w:r>
    </w:p>
    <w:p w14:paraId="5734FDD0" w14:textId="77777777" w:rsidR="001B316A" w:rsidRDefault="001B316A" w:rsidP="001B316A"/>
    <w:p w14:paraId="26FA08A1" w14:textId="0C5201FE" w:rsidR="001B316A" w:rsidRPr="007165C8" w:rsidRDefault="003A1349" w:rsidP="001B316A">
      <w:pPr>
        <w:ind w:firstLine="0"/>
        <w:jc w:val="center"/>
        <w:rPr>
          <w:rFonts w:eastAsiaTheme="minorEastAsia"/>
        </w:rPr>
      </w:pPr>
      <m:oMath>
        <m:sSub>
          <m:sSubPr>
            <m:ctrlPr>
              <w:rPr>
                <w:rFonts w:ascii="Cambria Math" w:hAnsi="Cambria Math"/>
                <w:i/>
              </w:rPr>
            </m:ctrlPr>
          </m:sSubPr>
          <m:e>
            <m:r>
              <w:rPr>
                <w:rFonts w:ascii="Cambria Math" w:hAnsi="Cambria Math"/>
              </w:rPr>
              <m:t>DA</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Ypc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(Ypc</m:t>
            </m:r>
          </m:e>
          <m:sub>
            <m:r>
              <w:rPr>
                <w:rFonts w:ascii="Cambria Math" w:hAnsi="Cambria Math"/>
              </w:rPr>
              <m:t>it</m:t>
            </m:r>
          </m:sub>
        </m:sSub>
        <m:r>
          <w:rPr>
            <w:rFonts w:ascii="Cambria Math" w:hAnsi="Cambria Math"/>
          </w:rPr>
          <m:t>)²+</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(Ypc</m:t>
            </m:r>
          </m:e>
          <m:sub>
            <m:r>
              <w:rPr>
                <w:rFonts w:ascii="Cambria Math" w:hAnsi="Cambria Math"/>
              </w:rPr>
              <m:t>it</m:t>
            </m:r>
          </m:sub>
        </m:sSub>
        <m:r>
          <w:rPr>
            <w:rFonts w:ascii="Cambria Math" w:hAnsi="Cambria Math"/>
          </w:rPr>
          <m:t>)³+</m:t>
        </m:r>
        <m:sSub>
          <m:sSubPr>
            <m:ctrlPr>
              <w:rPr>
                <w:rFonts w:ascii="Cambria Math" w:hAnsi="Cambria Math"/>
                <w:i/>
              </w:rPr>
            </m:ctrlPr>
          </m:sSubPr>
          <m:e>
            <m:r>
              <w:rPr>
                <w:rFonts w:ascii="Cambria Math" w:hAnsi="Cambria Math"/>
              </w:rPr>
              <m:t>μ</m:t>
            </m:r>
          </m:e>
          <m:sub>
            <m:r>
              <w:rPr>
                <w:rFonts w:ascii="Cambria Math" w:hAnsi="Cambria Math"/>
              </w:rPr>
              <m:t>it</m:t>
            </m:r>
          </m:sub>
        </m:sSub>
      </m:oMath>
      <w:r w:rsidR="001B316A">
        <w:rPr>
          <w:rFonts w:eastAsiaTheme="minorEastAsia"/>
        </w:rPr>
        <w:t xml:space="preserve"> (1)</w:t>
      </w:r>
    </w:p>
    <w:p w14:paraId="6129C9D3" w14:textId="77777777" w:rsidR="001B316A" w:rsidRDefault="001B316A" w:rsidP="001B316A">
      <w:pPr>
        <w:ind w:firstLine="0"/>
      </w:pPr>
      <w:proofErr w:type="gramStart"/>
      <w:r>
        <w:t>com</w:t>
      </w:r>
      <w:proofErr w:type="gramEnd"/>
      <w:r w:rsidRPr="00CC057F">
        <w:t xml:space="preserve"> </w:t>
      </w:r>
      <w:r w:rsidRPr="00666808">
        <w:rPr>
          <w:rFonts w:ascii="Cambria Math" w:hAnsi="Cambria Math"/>
          <w:i/>
          <w:iCs/>
        </w:rPr>
        <w:t xml:space="preserve">i = {1, </w:t>
      </w:r>
      <w:r>
        <w:rPr>
          <w:rFonts w:ascii="Cambria Math" w:hAnsi="Cambria Math"/>
          <w:i/>
          <w:iCs/>
        </w:rPr>
        <w:t>.</w:t>
      </w:r>
      <w:r w:rsidRPr="00666808">
        <w:rPr>
          <w:rFonts w:ascii="Cambria Math" w:hAnsi="Cambria Math"/>
          <w:i/>
          <w:iCs/>
        </w:rPr>
        <w:t>.., N}</w:t>
      </w:r>
      <w:r w:rsidRPr="00CC057F">
        <w:t xml:space="preserve"> </w:t>
      </w:r>
      <w:r>
        <w:t>para</w:t>
      </w:r>
      <w:r w:rsidRPr="00CC057F">
        <w:t xml:space="preserve"> </w:t>
      </w:r>
      <w:r>
        <w:t xml:space="preserve">a dimensão </w:t>
      </w:r>
      <w:proofErr w:type="spellStart"/>
      <w:r>
        <w:rPr>
          <w:i/>
        </w:rPr>
        <w:t>cross-section</w:t>
      </w:r>
      <w:proofErr w:type="spellEnd"/>
      <w:r w:rsidRPr="00CC057F">
        <w:t xml:space="preserve"> e </w:t>
      </w:r>
      <w:r w:rsidRPr="00666808">
        <w:rPr>
          <w:rFonts w:ascii="Cambria Math" w:hAnsi="Cambria Math"/>
          <w:i/>
          <w:iCs/>
        </w:rPr>
        <w:t xml:space="preserve">t </w:t>
      </w:r>
      <w:r w:rsidRPr="00666808">
        <w:rPr>
          <w:rFonts w:ascii="Cambria Math" w:hAnsi="Cambria Math"/>
        </w:rPr>
        <w:t xml:space="preserve">= </w:t>
      </w:r>
      <w:r w:rsidRPr="00804168">
        <w:rPr>
          <w:rFonts w:ascii="Cambria Math" w:hAnsi="Cambria Math"/>
          <w:i/>
        </w:rPr>
        <w:t>{1, ..., T}</w:t>
      </w:r>
      <w:r>
        <w:t xml:space="preserve"> para a dimensão temporal.</w:t>
      </w:r>
    </w:p>
    <w:p w14:paraId="308A0295" w14:textId="265C6BEB" w:rsidR="001B316A" w:rsidRDefault="001B316A" w:rsidP="001B316A">
      <w:r w:rsidRPr="00CC057F">
        <w:t xml:space="preserve">A hipótese </w:t>
      </w:r>
      <w:r>
        <w:t>nula (</w:t>
      </w:r>
      <w:r w:rsidRPr="00CC057F">
        <w:t>H</w:t>
      </w:r>
      <w:r w:rsidRPr="00CC057F">
        <w:rPr>
          <w:vertAlign w:val="subscript"/>
        </w:rPr>
        <w:t>0</w:t>
      </w:r>
      <w:r>
        <w:t>)</w:t>
      </w:r>
      <w:r w:rsidRPr="00CC057F">
        <w:rPr>
          <w:vertAlign w:val="subscript"/>
        </w:rPr>
        <w:t xml:space="preserve"> </w:t>
      </w:r>
      <w:r w:rsidR="00E84C0C">
        <w:t>da CKA</w:t>
      </w:r>
      <w:r w:rsidRPr="00CC057F">
        <w:t xml:space="preserve"> requer que os estimadores sejam significantes, que β</w:t>
      </w:r>
      <w:r w:rsidRPr="00CC057F">
        <w:rPr>
          <w:vertAlign w:val="subscript"/>
        </w:rPr>
        <w:t>1</w:t>
      </w:r>
      <w:r w:rsidRPr="00CC057F">
        <w:t xml:space="preserve"> seja positivo e β</w:t>
      </w:r>
      <w:r>
        <w:rPr>
          <w:vertAlign w:val="subscript"/>
        </w:rPr>
        <w:t>2</w:t>
      </w:r>
      <w:r w:rsidRPr="00CC057F">
        <w:t xml:space="preserve"> seja negativo. Portanto, para não rejeitar a hipótese é necessário que β</w:t>
      </w:r>
      <w:r w:rsidRPr="00CC057F">
        <w:rPr>
          <w:vertAlign w:val="subscript"/>
        </w:rPr>
        <w:t>1</w:t>
      </w:r>
      <w:r w:rsidRPr="00CC057F">
        <w:t>&gt;0</w:t>
      </w:r>
      <w:r w:rsidRPr="00CC057F">
        <w:rPr>
          <w:vertAlign w:val="subscript"/>
        </w:rPr>
        <w:t xml:space="preserve"> </w:t>
      </w:r>
      <w:r w:rsidRPr="00CC057F">
        <w:t>e</w:t>
      </w:r>
      <w:r w:rsidRPr="00CC057F">
        <w:rPr>
          <w:vertAlign w:val="subscript"/>
        </w:rPr>
        <w:t xml:space="preserve"> </w:t>
      </w:r>
      <w:r w:rsidRPr="00CC057F">
        <w:t>β</w:t>
      </w:r>
      <w:r w:rsidRPr="00CC057F">
        <w:rPr>
          <w:vertAlign w:val="subscript"/>
        </w:rPr>
        <w:t>2</w:t>
      </w:r>
      <w:r w:rsidRPr="00CC057F">
        <w:t>&lt;0. Caso os</w:t>
      </w:r>
      <w:r>
        <w:t xml:space="preserve"> coeficientes sejam estatisticamente significantes é</w:t>
      </w:r>
      <w:r w:rsidRPr="00CC057F">
        <w:t xml:space="preserve"> possível </w:t>
      </w:r>
      <w:r>
        <w:t>ainda</w:t>
      </w:r>
      <w:r w:rsidRPr="00CC057F">
        <w:t xml:space="preserve"> calcular o ponto crítico da curva dado por </w:t>
      </w:r>
      <m:oMath>
        <m:sSup>
          <m:sSupPr>
            <m:ctrlPr>
              <w:rPr>
                <w:rFonts w:ascii="Cambria Math" w:hAnsi="Cambria Math"/>
                <w:i/>
              </w:rPr>
            </m:ctrlPr>
          </m:sSupPr>
          <m:e>
            <m:r>
              <w:rPr>
                <w:rFonts w:ascii="Cambria Math" w:hAnsi="Cambria Math"/>
              </w:rPr>
              <m:t>Ypc</m:t>
            </m:r>
          </m:e>
          <m:sup>
            <m:r>
              <w:rPr>
                <w:rFonts w:ascii="Cambria Math" w:hAnsi="Cambria Math"/>
              </w:rPr>
              <m:t>*</m:t>
            </m:r>
          </m:sup>
        </m:sSup>
        <m:r>
          <w:rPr>
            <w:rFonts w:ascii="Cambria Math" w:hAnsi="Cambria Math"/>
          </w:rPr>
          <m:t>=</m:t>
        </m:r>
        <m:f>
          <m:fPr>
            <m:ctrlPr>
              <w:rPr>
                <w:rFonts w:ascii="Cambria Math" w:hAnsi="Cambria Math"/>
                <w:i/>
              </w:rPr>
            </m:ctrlPr>
          </m:fPr>
          <m:num>
            <m:r>
              <m:rPr>
                <m:sty m:val="p"/>
              </m:rPr>
              <w:rPr>
                <w:rFonts w:ascii="Cambria Math" w:hAnsi="Cambria Math"/>
              </w:rPr>
              <m:t>β</m:t>
            </m:r>
            <m:r>
              <m:rPr>
                <m:sty m:val="p"/>
              </m:rPr>
              <w:rPr>
                <w:rFonts w:ascii="Cambria Math" w:hAnsi="Cambria Math"/>
                <w:vertAlign w:val="subscript"/>
              </w:rPr>
              <m:t>1</m:t>
            </m:r>
          </m:num>
          <m:den>
            <m:r>
              <m:rPr>
                <m:sty m:val="p"/>
              </m:rPr>
              <w:rPr>
                <w:rFonts w:ascii="Cambria Math" w:hAnsi="Cambria Math"/>
              </w:rPr>
              <m:t xml:space="preserve"> 2×β</m:t>
            </m:r>
            <m:r>
              <m:rPr>
                <m:sty m:val="p"/>
              </m:rPr>
              <w:rPr>
                <w:rFonts w:ascii="Cambria Math" w:hAnsi="Cambria Math"/>
                <w:vertAlign w:val="subscript"/>
              </w:rPr>
              <m:t>2</m:t>
            </m:r>
          </m:den>
        </m:f>
      </m:oMath>
      <w:r>
        <w:t xml:space="preserve"> (GREENE, 2012). O ponto crítico representa o nível de renda </w:t>
      </w:r>
      <w:r w:rsidRPr="00E84C0C">
        <w:rPr>
          <w:i/>
          <w:iCs/>
        </w:rPr>
        <w:t>per capita</w:t>
      </w:r>
      <w:r>
        <w:t xml:space="preserve"> correspondente ao momento de inflexão na curva da degradação ambiental que forma o “U” invertido</w:t>
      </w:r>
      <w:r w:rsidRPr="00CC057F">
        <w:t xml:space="preserve">. </w:t>
      </w:r>
      <w:r w:rsidR="00E84C0C">
        <w:t xml:space="preserve">A </w:t>
      </w:r>
      <w:r>
        <w:t>adição d</w:t>
      </w:r>
      <w:r w:rsidRPr="00CC057F">
        <w:t>o estimador β</w:t>
      </w:r>
      <w:r w:rsidRPr="00E84C0C">
        <w:rPr>
          <w:vertAlign w:val="subscript"/>
        </w:rPr>
        <w:t>3</w:t>
      </w:r>
      <w:r>
        <w:t xml:space="preserve"> </w:t>
      </w:r>
      <w:r w:rsidRPr="00CC057F">
        <w:t>permite verificar a possibilidade da ocorrência uma curva em forma de “N”</w:t>
      </w:r>
      <w:r w:rsidR="00050CEE">
        <w:t>,</w:t>
      </w:r>
      <w:r w:rsidRPr="00CC057F">
        <w:t xml:space="preserve"> tal como </w:t>
      </w:r>
      <w:proofErr w:type="spellStart"/>
      <w:r>
        <w:t>Grossman</w:t>
      </w:r>
      <w:proofErr w:type="spellEnd"/>
      <w:r>
        <w:t xml:space="preserve"> e Krueger (1991).</w:t>
      </w:r>
    </w:p>
    <w:p w14:paraId="3991D4F0" w14:textId="196FA10C" w:rsidR="001B316A" w:rsidRDefault="00050CEE" w:rsidP="006C4C98">
      <w:r>
        <w:t>C</w:t>
      </w:r>
      <w:r w:rsidR="001B316A" w:rsidRPr="00700AE2">
        <w:t>omo se tratam de várias unidades de estimativas amostrais</w:t>
      </w:r>
      <w:r w:rsidR="001B316A">
        <w:t xml:space="preserve"> (</w:t>
      </w:r>
      <w:r w:rsidR="001B316A" w:rsidRPr="008A7B76">
        <w:rPr>
          <w:i/>
        </w:rPr>
        <w:t>i</w:t>
      </w:r>
      <w:r w:rsidR="001B316A">
        <w:t>)</w:t>
      </w:r>
      <w:r w:rsidR="001B316A" w:rsidRPr="00700AE2">
        <w:t xml:space="preserve"> ao longo do tempo</w:t>
      </w:r>
      <w:r w:rsidR="001B316A">
        <w:t xml:space="preserve"> (</w:t>
      </w:r>
      <w:r w:rsidR="001B316A">
        <w:rPr>
          <w:i/>
        </w:rPr>
        <w:t>t</w:t>
      </w:r>
      <w:r w:rsidR="001B316A">
        <w:t>)</w:t>
      </w:r>
      <w:r w:rsidR="001B316A" w:rsidRPr="00700AE2">
        <w:t xml:space="preserve">, a ferramenta </w:t>
      </w:r>
      <w:r w:rsidR="001B316A">
        <w:t>utilizada</w:t>
      </w:r>
      <w:r>
        <w:t xml:space="preserve"> na estimação</w:t>
      </w:r>
      <w:r w:rsidR="001B316A" w:rsidRPr="00700AE2">
        <w:t xml:space="preserve"> é a análise de dados longitudinais, ou dados em painel.</w:t>
      </w:r>
      <w:r w:rsidR="001B316A">
        <w:t xml:space="preserve"> Considerando que os modelos de painel agrupado (POLS), de Efeito Fixo (FE) e Efeito Aleatório (RE) não lidam com o problema de </w:t>
      </w:r>
      <w:proofErr w:type="spellStart"/>
      <w:r w:rsidR="001B316A">
        <w:t>endogenia</w:t>
      </w:r>
      <w:proofErr w:type="spellEnd"/>
      <w:r w:rsidR="001B316A">
        <w:t xml:space="preserve"> (BALTAGI, 200</w:t>
      </w:r>
      <w:r w:rsidR="009B76B2">
        <w:t>5</w:t>
      </w:r>
      <w:r w:rsidR="001B316A">
        <w:t xml:space="preserve">) e que não existem dimensões </w:t>
      </w:r>
      <w:proofErr w:type="spellStart"/>
      <w:r w:rsidR="001B316A" w:rsidRPr="0091797D">
        <w:rPr>
          <w:i/>
        </w:rPr>
        <w:t>cross-section</w:t>
      </w:r>
      <w:proofErr w:type="spellEnd"/>
      <w:r w:rsidR="001B316A">
        <w:t xml:space="preserve"> </w:t>
      </w:r>
      <w:r w:rsidR="00FA0066">
        <w:t xml:space="preserve">suficientes </w:t>
      </w:r>
      <w:r w:rsidR="001B316A">
        <w:t xml:space="preserve">para a estimação via painel dinâmico, </w:t>
      </w:r>
      <w:r>
        <w:t>optou-s</w:t>
      </w:r>
      <w:r w:rsidR="001B316A">
        <w:t xml:space="preserve">e nesse trabalho pela estimação de vetores de </w:t>
      </w:r>
      <w:proofErr w:type="spellStart"/>
      <w:r w:rsidR="001B316A">
        <w:t>cointegração</w:t>
      </w:r>
      <w:proofErr w:type="spellEnd"/>
      <w:r w:rsidR="001B316A">
        <w:t>.</w:t>
      </w:r>
    </w:p>
    <w:p w14:paraId="2AA2C79E" w14:textId="77777777" w:rsidR="001B316A" w:rsidRDefault="001B316A" w:rsidP="006C4C98">
      <w:proofErr w:type="spellStart"/>
      <w:r>
        <w:lastRenderedPageBreak/>
        <w:t>Kao</w:t>
      </w:r>
      <w:proofErr w:type="spellEnd"/>
      <w:r>
        <w:t xml:space="preserve"> (1999) explica a regressão de </w:t>
      </w:r>
      <w:proofErr w:type="spellStart"/>
      <w:r>
        <w:t>cointegração</w:t>
      </w:r>
      <w:proofErr w:type="spellEnd"/>
      <w:r>
        <w:t xml:space="preserve"> partindo de seguinte regressão de FE dada por</w:t>
      </w:r>
      <w:r w:rsidR="00E84C0C">
        <w:t>:</w:t>
      </w:r>
    </w:p>
    <w:p w14:paraId="41D0B65D" w14:textId="77777777" w:rsidR="001B316A" w:rsidRPr="00B57025" w:rsidRDefault="003A1349" w:rsidP="001B316A">
      <w:pPr>
        <w:ind w:firstLine="0"/>
        <w:jc w:val="center"/>
        <w:rPr>
          <w:rFonts w:ascii="Times-Roman" w:eastAsiaTheme="minorEastAsia" w:hAnsi="Times-Roman" w:cs="Times-Roman"/>
          <w:sz w:val="20"/>
          <w:szCs w:val="20"/>
        </w:rPr>
      </w:pPr>
      <m:oMath>
        <m:sSub>
          <m:sSubPr>
            <m:ctrlPr>
              <w:rPr>
                <w:rFonts w:ascii="Cambria Math" w:hAnsi="Cambria Math" w:cs="Times-Roman"/>
                <w:i/>
                <w:szCs w:val="20"/>
              </w:rPr>
            </m:ctrlPr>
          </m:sSubPr>
          <m:e>
            <m:r>
              <w:rPr>
                <w:rFonts w:ascii="Cambria Math" w:hAnsi="Cambria Math" w:cs="Times-Roman"/>
                <w:szCs w:val="20"/>
              </w:rPr>
              <m:t>y</m:t>
            </m:r>
          </m:e>
          <m:sub>
            <m:r>
              <w:rPr>
                <w:rFonts w:ascii="Cambria Math" w:hAnsi="Cambria Math" w:cs="Times-Roman"/>
                <w:szCs w:val="20"/>
              </w:rPr>
              <m:t>it</m:t>
            </m:r>
          </m:sub>
        </m:sSub>
        <m:r>
          <w:rPr>
            <w:rFonts w:ascii="Cambria Math" w:hAnsi="Cambria Math" w:cs="Times-Roman"/>
            <w:szCs w:val="20"/>
          </w:rPr>
          <m:t>=</m:t>
        </m:r>
        <m:sSub>
          <m:sSubPr>
            <m:ctrlPr>
              <w:rPr>
                <w:rFonts w:ascii="Cambria Math" w:hAnsi="Cambria Math" w:cs="Times-Roman"/>
                <w:i/>
                <w:szCs w:val="20"/>
              </w:rPr>
            </m:ctrlPr>
          </m:sSubPr>
          <m:e>
            <m:r>
              <w:rPr>
                <w:rFonts w:ascii="Cambria Math" w:hAnsi="Cambria Math" w:cs="Times-Roman"/>
                <w:szCs w:val="20"/>
              </w:rPr>
              <m:t>α</m:t>
            </m:r>
          </m:e>
          <m:sub>
            <m:r>
              <w:rPr>
                <w:rFonts w:ascii="Cambria Math" w:hAnsi="Cambria Math" w:cs="Times-Roman"/>
                <w:szCs w:val="20"/>
              </w:rPr>
              <m:t>it</m:t>
            </m:r>
          </m:sub>
        </m:sSub>
        <m:r>
          <w:rPr>
            <w:rFonts w:ascii="Cambria Math" w:hAnsi="Cambria Math" w:cs="Times-Roman"/>
            <w:szCs w:val="20"/>
          </w:rPr>
          <m:t>+</m:t>
        </m:r>
        <m:sSubSup>
          <m:sSubSupPr>
            <m:ctrlPr>
              <w:rPr>
                <w:rFonts w:ascii="Cambria Math" w:hAnsi="Cambria Math" w:cs="Times-Roman"/>
                <w:i/>
                <w:szCs w:val="20"/>
              </w:rPr>
            </m:ctrlPr>
          </m:sSubSupPr>
          <m:e>
            <m:r>
              <w:rPr>
                <w:rFonts w:ascii="Cambria Math" w:hAnsi="Cambria Math" w:cs="Times-Roman"/>
                <w:szCs w:val="20"/>
              </w:rPr>
              <m:t>x</m:t>
            </m:r>
          </m:e>
          <m:sub>
            <m:r>
              <w:rPr>
                <w:rFonts w:ascii="Cambria Math" w:hAnsi="Cambria Math" w:cs="Times-Roman"/>
                <w:szCs w:val="20"/>
              </w:rPr>
              <m:t>it</m:t>
            </m:r>
          </m:sub>
          <m:sup>
            <m:r>
              <w:rPr>
                <w:rFonts w:ascii="Cambria Math" w:hAnsi="Cambria Math" w:cs="Times-Roman"/>
                <w:szCs w:val="20"/>
              </w:rPr>
              <m:t>,</m:t>
            </m:r>
          </m:sup>
        </m:sSubSup>
        <m:r>
          <w:rPr>
            <w:rFonts w:ascii="Cambria Math" w:hAnsi="Cambria Math" w:cs="Times-Roman"/>
            <w:szCs w:val="20"/>
          </w:rPr>
          <m:t>β +</m:t>
        </m:r>
        <m:sSub>
          <m:sSubPr>
            <m:ctrlPr>
              <w:rPr>
                <w:rFonts w:ascii="Cambria Math" w:hAnsi="Cambria Math" w:cs="Times-Roman"/>
                <w:i/>
                <w:szCs w:val="20"/>
              </w:rPr>
            </m:ctrlPr>
          </m:sSubPr>
          <m:e>
            <m:r>
              <w:rPr>
                <w:rFonts w:ascii="Cambria Math" w:hAnsi="Cambria Math" w:cs="Times-Roman"/>
                <w:szCs w:val="20"/>
              </w:rPr>
              <m:t>μ</m:t>
            </m:r>
          </m:e>
          <m:sub>
            <m:r>
              <w:rPr>
                <w:rFonts w:ascii="Cambria Math" w:hAnsi="Cambria Math" w:cs="Times-Roman"/>
                <w:szCs w:val="20"/>
              </w:rPr>
              <m:t>it</m:t>
            </m:r>
          </m:sub>
        </m:sSub>
      </m:oMath>
      <w:r w:rsidR="001B316A">
        <w:rPr>
          <w:rFonts w:ascii="Cambria Math" w:eastAsiaTheme="minorEastAsia" w:hAnsi="Cambria Math" w:cs="Times-Roman"/>
          <w:szCs w:val="20"/>
        </w:rPr>
        <w:tab/>
      </w:r>
      <w:r w:rsidR="001B316A" w:rsidRPr="00C2379D">
        <w:rPr>
          <w:rFonts w:ascii="Cambria Math" w:eastAsiaTheme="minorEastAsia" w:hAnsi="Cambria Math" w:cs="Times-Roman"/>
          <w:szCs w:val="20"/>
        </w:rPr>
        <w:t>(</w:t>
      </w:r>
      <w:r w:rsidR="001B316A">
        <w:rPr>
          <w:rFonts w:ascii="Cambria Math" w:eastAsiaTheme="minorEastAsia" w:hAnsi="Cambria Math" w:cs="Times-Roman"/>
          <w:szCs w:val="20"/>
        </w:rPr>
        <w:t>2</w:t>
      </w:r>
      <w:r w:rsidR="001B316A" w:rsidRPr="00C2379D">
        <w:rPr>
          <w:rFonts w:ascii="Cambria Math" w:eastAsiaTheme="minorEastAsia" w:hAnsi="Cambria Math" w:cs="Times-Roman"/>
          <w:szCs w:val="20"/>
        </w:rPr>
        <w:t>)</w:t>
      </w:r>
    </w:p>
    <w:p w14:paraId="7EF0EFF0" w14:textId="77777777" w:rsidR="001B316A" w:rsidRDefault="001B316A" w:rsidP="001B316A">
      <w:pPr>
        <w:rPr>
          <w:rFonts w:ascii="Times-Roman" w:hAnsi="Times-Roman" w:cs="Times-Roman"/>
          <w:sz w:val="20"/>
          <w:szCs w:val="20"/>
        </w:rPr>
      </w:pPr>
    </w:p>
    <w:p w14:paraId="7C31C870" w14:textId="77777777" w:rsidR="001B316A" w:rsidRPr="0018458F" w:rsidRDefault="001B316A" w:rsidP="001B316A">
      <w:pPr>
        <w:rPr>
          <w:rFonts w:cs="Arial"/>
        </w:rPr>
      </w:pPr>
      <w:proofErr w:type="gramStart"/>
      <w:r>
        <w:t>na</w:t>
      </w:r>
      <w:proofErr w:type="gramEnd"/>
      <w:r>
        <w:t xml:space="preserve"> qual </w:t>
      </w:r>
      <w:r w:rsidRPr="00B57025">
        <w:rPr>
          <w:rFonts w:ascii="Cambria Math" w:hAnsi="Cambria Math"/>
        </w:rPr>
        <w:t>{</w:t>
      </w:r>
      <w:proofErr w:type="spellStart"/>
      <w:r w:rsidRPr="000B23C2">
        <w:rPr>
          <w:rFonts w:ascii="Cambria Math" w:hAnsi="Cambria Math"/>
          <w:i/>
        </w:rPr>
        <w:t>y</w:t>
      </w:r>
      <w:r w:rsidRPr="000B23C2">
        <w:rPr>
          <w:rFonts w:ascii="Cambria Math" w:hAnsi="Cambria Math"/>
          <w:i/>
          <w:vertAlign w:val="subscript"/>
        </w:rPr>
        <w:t>it</w:t>
      </w:r>
      <w:proofErr w:type="spellEnd"/>
      <w:r w:rsidRPr="00B57025">
        <w:rPr>
          <w:rFonts w:ascii="Cambria Math" w:hAnsi="Cambria Math"/>
        </w:rPr>
        <w:t>}</w:t>
      </w:r>
      <w:r>
        <w:t xml:space="preserve"> é uma sequência de escalares (</w:t>
      </w:r>
      <w:r w:rsidRPr="007B3881">
        <w:rPr>
          <w:rFonts w:ascii="Cambria Math" w:hAnsi="Cambria Math"/>
        </w:rPr>
        <w:t>1x1</w:t>
      </w:r>
      <w:r>
        <w:t xml:space="preserve">), </w:t>
      </w:r>
      <w:r w:rsidRPr="000B23C2">
        <w:rPr>
          <w:rFonts w:ascii="Cambria Math" w:hAnsi="Cambria Math"/>
          <w:i/>
        </w:rPr>
        <w:t>β</w:t>
      </w:r>
      <w:r>
        <w:t xml:space="preserve"> é um vetor (</w:t>
      </w:r>
      <w:r w:rsidRPr="007B3881">
        <w:rPr>
          <w:rFonts w:ascii="Cambria Math" w:hAnsi="Cambria Math"/>
        </w:rPr>
        <w:t>kx1</w:t>
      </w:r>
      <w:r>
        <w:t xml:space="preserve">) de parâmetros e </w:t>
      </w:r>
      <w:r w:rsidRPr="006E1672">
        <w:rPr>
          <w:rFonts w:ascii="Cambria Math" w:hAnsi="Cambria Math"/>
        </w:rPr>
        <w:t>{</w:t>
      </w:r>
      <w:r w:rsidRPr="0092552F">
        <w:rPr>
          <w:rFonts w:ascii="Cambria Math" w:hAnsi="Cambria Math"/>
          <w:i/>
        </w:rPr>
        <w:t>α</w:t>
      </w:r>
      <w:r w:rsidRPr="0092552F">
        <w:rPr>
          <w:rFonts w:ascii="Cambria Math" w:hAnsi="Cambria Math"/>
          <w:i/>
          <w:vertAlign w:val="subscript"/>
        </w:rPr>
        <w:t>it</w:t>
      </w:r>
      <w:r w:rsidRPr="006E1672">
        <w:rPr>
          <w:rFonts w:ascii="Cambria Math" w:hAnsi="Cambria Math"/>
        </w:rPr>
        <w:t>}</w:t>
      </w:r>
      <w:r>
        <w:t xml:space="preserve"> são os interceptos de cada unidade individual de corte transversal e o termo de erro </w:t>
      </w:r>
      <w:r w:rsidRPr="006E1672">
        <w:rPr>
          <w:rFonts w:ascii="Cambria Math" w:hAnsi="Cambria Math"/>
        </w:rPr>
        <w:t>{</w:t>
      </w:r>
      <w:r w:rsidRPr="006E1672">
        <w:rPr>
          <w:rFonts w:ascii="Cambria Math" w:hAnsi="Cambria Math"/>
          <w:i/>
        </w:rPr>
        <w:t>µ</w:t>
      </w:r>
      <w:r w:rsidRPr="006E1672">
        <w:rPr>
          <w:rFonts w:ascii="Cambria Math" w:hAnsi="Cambria Math"/>
          <w:i/>
          <w:vertAlign w:val="subscript"/>
        </w:rPr>
        <w:t>it</w:t>
      </w:r>
      <w:r w:rsidRPr="004A6E1B">
        <w:rPr>
          <w:rFonts w:ascii="Cambria Math" w:hAnsi="Cambria Math"/>
        </w:rPr>
        <w:t>}</w:t>
      </w:r>
      <w:r>
        <w:t xml:space="preserve"> seja estacionário. Assumindo ainda que </w:t>
      </w:r>
      <w:r w:rsidRPr="006E1672">
        <w:rPr>
          <w:rFonts w:ascii="Cambria Math" w:hAnsi="Cambria Math"/>
        </w:rPr>
        <w:t>{</w:t>
      </w:r>
      <w:proofErr w:type="spellStart"/>
      <w:r w:rsidRPr="006644FF">
        <w:rPr>
          <w:rFonts w:ascii="Cambria Math" w:hAnsi="Cambria Math"/>
          <w:i/>
        </w:rPr>
        <w:t>x</w:t>
      </w:r>
      <w:r w:rsidRPr="006644FF">
        <w:rPr>
          <w:rFonts w:ascii="Cambria Math" w:hAnsi="Cambria Math"/>
          <w:i/>
          <w:vertAlign w:val="subscript"/>
        </w:rPr>
        <w:t>it</w:t>
      </w:r>
      <w:proofErr w:type="spellEnd"/>
      <w:r w:rsidRPr="006E1672">
        <w:rPr>
          <w:rFonts w:ascii="Cambria Math" w:hAnsi="Cambria Math"/>
        </w:rPr>
        <w:t>}</w:t>
      </w:r>
      <w:r>
        <w:rPr>
          <w:rFonts w:ascii="Cambria Math" w:hAnsi="Cambria Math"/>
        </w:rPr>
        <w:t xml:space="preserve"> </w:t>
      </w:r>
      <w:r>
        <w:rPr>
          <w:rFonts w:cs="Arial"/>
        </w:rPr>
        <w:t xml:space="preserve">é um processo integrado de ordem um para todo </w:t>
      </w:r>
      <w:r>
        <w:rPr>
          <w:rFonts w:cs="Arial"/>
          <w:i/>
        </w:rPr>
        <w:t>i</w:t>
      </w:r>
      <w:r>
        <w:rPr>
          <w:rFonts w:cs="Arial"/>
        </w:rPr>
        <w:t xml:space="preserve"> no qual</w:t>
      </w:r>
    </w:p>
    <w:p w14:paraId="1CE37371" w14:textId="77777777" w:rsidR="001B316A" w:rsidRDefault="003A1349" w:rsidP="001B316A">
      <w:pPr>
        <w:ind w:firstLine="0"/>
        <w:rPr>
          <w:rFonts w:ascii="Times-Roman" w:hAnsi="Times-Roman" w:cs="Times-Roman"/>
          <w:sz w:val="20"/>
          <w:szCs w:val="20"/>
        </w:rPr>
      </w:pPr>
      <m:oMathPara>
        <m:oMath>
          <m:sSub>
            <m:sSubPr>
              <m:ctrlPr>
                <w:rPr>
                  <w:rFonts w:ascii="Cambria Math" w:hAnsi="Cambria Math" w:cs="Times-Roman"/>
                  <w:i/>
                  <w:szCs w:val="20"/>
                </w:rPr>
              </m:ctrlPr>
            </m:sSubPr>
            <m:e>
              <m:r>
                <w:rPr>
                  <w:rFonts w:ascii="Cambria Math" w:hAnsi="Cambria Math" w:cs="Times-Roman"/>
                  <w:szCs w:val="20"/>
                </w:rPr>
                <m:t>x</m:t>
              </m:r>
            </m:e>
            <m:sub>
              <m:r>
                <w:rPr>
                  <w:rFonts w:ascii="Cambria Math" w:hAnsi="Cambria Math" w:cs="Times-Roman"/>
                  <w:szCs w:val="20"/>
                </w:rPr>
                <m:t>it</m:t>
              </m:r>
            </m:sub>
          </m:sSub>
          <m:r>
            <w:rPr>
              <w:rFonts w:ascii="Cambria Math" w:hAnsi="Cambria Math" w:cs="Times-Roman"/>
              <w:szCs w:val="20"/>
            </w:rPr>
            <m:t>=</m:t>
          </m:r>
          <m:sSub>
            <m:sSubPr>
              <m:ctrlPr>
                <w:rPr>
                  <w:rFonts w:ascii="Cambria Math" w:hAnsi="Cambria Math" w:cs="Times-Roman"/>
                  <w:i/>
                  <w:szCs w:val="20"/>
                </w:rPr>
              </m:ctrlPr>
            </m:sSubPr>
            <m:e>
              <m:r>
                <w:rPr>
                  <w:rFonts w:ascii="Cambria Math" w:hAnsi="Cambria Math" w:cs="Times-Roman"/>
                  <w:szCs w:val="20"/>
                </w:rPr>
                <m:t>x</m:t>
              </m:r>
            </m:e>
            <m:sub>
              <m:r>
                <w:rPr>
                  <w:rFonts w:ascii="Cambria Math" w:hAnsi="Cambria Math" w:cs="Times-Roman"/>
                  <w:szCs w:val="20"/>
                </w:rPr>
                <m:t>it-1</m:t>
              </m:r>
            </m:sub>
          </m:sSub>
          <m:r>
            <w:rPr>
              <w:rFonts w:ascii="Cambria Math" w:hAnsi="Cambria Math" w:cs="Times-Roman"/>
              <w:szCs w:val="20"/>
            </w:rPr>
            <m:t>+</m:t>
          </m:r>
          <m:sSub>
            <m:sSubPr>
              <m:ctrlPr>
                <w:rPr>
                  <w:rFonts w:ascii="Cambria Math" w:hAnsi="Cambria Math" w:cs="Times-Roman"/>
                  <w:i/>
                  <w:szCs w:val="20"/>
                </w:rPr>
              </m:ctrlPr>
            </m:sSubPr>
            <m:e>
              <m:r>
                <w:rPr>
                  <w:rFonts w:ascii="Cambria Math" w:hAnsi="Cambria Math" w:cs="Times-Roman"/>
                  <w:szCs w:val="20"/>
                </w:rPr>
                <m:t>ε</m:t>
              </m:r>
            </m:e>
            <m:sub>
              <m:r>
                <w:rPr>
                  <w:rFonts w:ascii="Cambria Math" w:hAnsi="Cambria Math" w:cs="Times-Roman"/>
                  <w:szCs w:val="20"/>
                </w:rPr>
                <m:t>it</m:t>
              </m:r>
            </m:sub>
          </m:sSub>
        </m:oMath>
      </m:oMathPara>
    </w:p>
    <w:p w14:paraId="4239740B" w14:textId="77777777" w:rsidR="001B316A" w:rsidRDefault="001B316A" w:rsidP="001B316A">
      <w:r>
        <w:t xml:space="preserve">Sob essas especificações e considerando </w:t>
      </w:r>
      <w:r w:rsidRPr="00D84CAE">
        <w:rPr>
          <w:rFonts w:ascii="Cambria Math" w:hAnsi="Cambria Math"/>
        </w:rPr>
        <w:t>{</w:t>
      </w:r>
      <w:r w:rsidRPr="00D84CAE">
        <w:rPr>
          <w:rFonts w:ascii="Cambria Math" w:hAnsi="Cambria Math" w:cs="Arial"/>
          <w:i/>
        </w:rPr>
        <w:t>ε</w:t>
      </w:r>
      <w:r w:rsidRPr="00D84CAE">
        <w:rPr>
          <w:rFonts w:ascii="Cambria Math" w:hAnsi="Cambria Math" w:cs="Arial"/>
        </w:rPr>
        <w:t>}</w:t>
      </w:r>
      <w:r>
        <w:rPr>
          <w:rFonts w:cs="Arial"/>
        </w:rPr>
        <w:t xml:space="preserve"> um ruído branco</w:t>
      </w:r>
      <w:r>
        <w:t xml:space="preserve">, (2) descreve um sistema de equações </w:t>
      </w:r>
      <w:proofErr w:type="spellStart"/>
      <w:r>
        <w:t>cointegradas</w:t>
      </w:r>
      <w:proofErr w:type="spellEnd"/>
      <w:r>
        <w:t xml:space="preserve"> no qual </w:t>
      </w:r>
      <w:r w:rsidRPr="00B57025">
        <w:rPr>
          <w:rFonts w:ascii="Cambria Math" w:hAnsi="Cambria Math"/>
        </w:rPr>
        <w:t>{</w:t>
      </w:r>
      <w:proofErr w:type="spellStart"/>
      <w:r w:rsidRPr="000B23C2">
        <w:rPr>
          <w:rFonts w:ascii="Cambria Math" w:hAnsi="Cambria Math"/>
          <w:i/>
        </w:rPr>
        <w:t>y</w:t>
      </w:r>
      <w:r w:rsidRPr="000B23C2">
        <w:rPr>
          <w:rFonts w:ascii="Cambria Math" w:hAnsi="Cambria Math"/>
          <w:i/>
          <w:vertAlign w:val="subscript"/>
        </w:rPr>
        <w:t>it</w:t>
      </w:r>
      <w:proofErr w:type="spellEnd"/>
      <w:r w:rsidRPr="00B57025">
        <w:rPr>
          <w:rFonts w:ascii="Cambria Math" w:hAnsi="Cambria Math"/>
        </w:rPr>
        <w:t>}</w:t>
      </w:r>
      <w:r>
        <w:t xml:space="preserve"> é </w:t>
      </w:r>
      <w:proofErr w:type="spellStart"/>
      <w:r>
        <w:t>cointegrado</w:t>
      </w:r>
      <w:proofErr w:type="spellEnd"/>
      <w:r>
        <w:t xml:space="preserve"> com </w:t>
      </w:r>
      <w:r w:rsidRPr="006E1672">
        <w:rPr>
          <w:rFonts w:ascii="Cambria Math" w:hAnsi="Cambria Math"/>
        </w:rPr>
        <w:t>{</w:t>
      </w:r>
      <w:proofErr w:type="spellStart"/>
      <w:r w:rsidRPr="006644FF">
        <w:rPr>
          <w:rFonts w:ascii="Cambria Math" w:hAnsi="Cambria Math"/>
          <w:i/>
        </w:rPr>
        <w:t>x</w:t>
      </w:r>
      <w:r w:rsidRPr="006644FF">
        <w:rPr>
          <w:rFonts w:ascii="Cambria Math" w:hAnsi="Cambria Math"/>
          <w:i/>
          <w:vertAlign w:val="subscript"/>
        </w:rPr>
        <w:t>it</w:t>
      </w:r>
      <w:proofErr w:type="spellEnd"/>
      <w:r w:rsidRPr="006E1672">
        <w:rPr>
          <w:rFonts w:ascii="Cambria Math" w:hAnsi="Cambria Math"/>
        </w:rPr>
        <w:t>}</w:t>
      </w:r>
      <w:r>
        <w:rPr>
          <w:rFonts w:ascii="Cambria Math" w:hAnsi="Cambria Math"/>
        </w:rPr>
        <w:t>.</w:t>
      </w:r>
    </w:p>
    <w:p w14:paraId="3125A0D7" w14:textId="2337B9A7" w:rsidR="001B316A" w:rsidRDefault="001B316A" w:rsidP="001B316A">
      <w:r>
        <w:t xml:space="preserve">Sobre a estimação de um painel de </w:t>
      </w:r>
      <w:proofErr w:type="spellStart"/>
      <w:r>
        <w:t>cointegração</w:t>
      </w:r>
      <w:proofErr w:type="spellEnd"/>
      <w:r>
        <w:t xml:space="preserve">, </w:t>
      </w:r>
      <w:proofErr w:type="spellStart"/>
      <w:r>
        <w:t>Kao</w:t>
      </w:r>
      <w:proofErr w:type="spellEnd"/>
      <w:r>
        <w:t xml:space="preserve"> (1999) sugere que o estimador de Mínimos Quadrados Ordinários (OLS) tem um viés que não pode ser negligenciado para amostras finitas. Além disso, o estimador de Mínimos Quadrados Modificado</w:t>
      </w:r>
      <w:r w:rsidR="000A4396">
        <w:t>s</w:t>
      </w:r>
      <w:r>
        <w:t xml:space="preserve"> (FMOLS), em geral, não consegue resultados muito superiores ao OLS. Por fim</w:t>
      </w:r>
      <w:r w:rsidR="00E84C0C">
        <w:t>,</w:t>
      </w:r>
      <w:r>
        <w:t xml:space="preserve"> </w:t>
      </w:r>
      <w:proofErr w:type="spellStart"/>
      <w:r>
        <w:t>Kao</w:t>
      </w:r>
      <w:proofErr w:type="spellEnd"/>
      <w:r>
        <w:t xml:space="preserve"> (1999) considera que é provável que o estimador de Mínimos Quadrados Dinâmicos (DOLS) obtenha resultados mais promissores que o OLS e o FMOLS. Dessa forma</w:t>
      </w:r>
      <w:r w:rsidR="00225404">
        <w:t>,</w:t>
      </w:r>
      <w:r>
        <w:t xml:space="preserve"> as estimações para os modelos do trabalho </w:t>
      </w:r>
      <w:r w:rsidR="00050CEE">
        <w:t xml:space="preserve">foram </w:t>
      </w:r>
      <w:r>
        <w:t xml:space="preserve">realizadas </w:t>
      </w:r>
      <w:r w:rsidR="00050CEE">
        <w:t xml:space="preserve">por meio </w:t>
      </w:r>
      <w:r>
        <w:t>dos métodos FMOLS e DOLS para todos os modelos.</w:t>
      </w:r>
    </w:p>
    <w:p w14:paraId="0B981F97" w14:textId="77777777" w:rsidR="001B316A" w:rsidRPr="00E33D40" w:rsidRDefault="001B316A" w:rsidP="001B316A">
      <w:pPr>
        <w:ind w:firstLine="0"/>
      </w:pPr>
    </w:p>
    <w:p w14:paraId="6600A245" w14:textId="349C01FE" w:rsidR="001B316A" w:rsidRDefault="00050CEE" w:rsidP="001B316A">
      <w:pPr>
        <w:pStyle w:val="Ttulo2"/>
      </w:pPr>
      <w:r>
        <w:t xml:space="preserve">4.1 </w:t>
      </w:r>
      <w:r w:rsidR="001B316A">
        <w:t>Variáveis e Dados</w:t>
      </w:r>
    </w:p>
    <w:p w14:paraId="519883A6" w14:textId="08ADDEE9" w:rsidR="001B316A" w:rsidRDefault="004E3081" w:rsidP="001B316A">
      <w:r>
        <w:t>As v</w:t>
      </w:r>
      <w:r w:rsidR="001B316A">
        <w:t xml:space="preserve">ariáveis consideradas </w:t>
      </w:r>
      <w:r w:rsidR="00FE64A6">
        <w:t>para o presente</w:t>
      </w:r>
      <w:r w:rsidR="001B316A">
        <w:t xml:space="preserve"> modelo </w:t>
      </w:r>
      <w:r w:rsidR="00312775">
        <w:t>est</w:t>
      </w:r>
      <w:r w:rsidR="001B316A">
        <w:t xml:space="preserve">ão </w:t>
      </w:r>
      <w:r w:rsidR="00225404">
        <w:t xml:space="preserve">descritas </w:t>
      </w:r>
      <w:r w:rsidR="00772271">
        <w:t>sumariamente</w:t>
      </w:r>
      <w:r w:rsidR="00225404">
        <w:t xml:space="preserve"> no Quadro 2</w:t>
      </w:r>
      <w:r w:rsidR="001B316A" w:rsidRPr="00E546A8">
        <w:t>. Acrescenta</w:t>
      </w:r>
      <w:r w:rsidR="001B316A">
        <w:t>-se aqui que variáveis para mensurar o preço das commodities e taxa real efetiva de câmbio foram inicialmente incluídas na análise, porém não se mostraram adequadas para a estima</w:t>
      </w:r>
      <w:r w:rsidR="00C30A0B">
        <w:t xml:space="preserve">ção do vetor de </w:t>
      </w:r>
      <w:proofErr w:type="spellStart"/>
      <w:r w:rsidR="00C30A0B">
        <w:t>cointegração</w:t>
      </w:r>
      <w:proofErr w:type="spellEnd"/>
      <w:r w:rsidR="00C30A0B">
        <w:t>, dado que são estacionárias em nível.</w:t>
      </w:r>
    </w:p>
    <w:p w14:paraId="62FF55DD" w14:textId="77777777" w:rsidR="00225404" w:rsidRDefault="00225404" w:rsidP="001B316A"/>
    <w:p w14:paraId="788DE1F6" w14:textId="77777777" w:rsidR="001B316A" w:rsidRDefault="001B316A" w:rsidP="001B316A">
      <w:pPr>
        <w:pStyle w:val="titulofigura"/>
      </w:pPr>
      <w:r w:rsidRPr="00425886">
        <w:t xml:space="preserve">Quadro </w:t>
      </w:r>
      <w:r w:rsidR="00DA160C">
        <w:t>2</w:t>
      </w:r>
      <w:r>
        <w:t xml:space="preserve"> -</w:t>
      </w:r>
      <w:r w:rsidRPr="00104AF7">
        <w:rPr>
          <w:b w:val="0"/>
        </w:rPr>
        <w:t>Descrição das Variáveis</w:t>
      </w:r>
    </w:p>
    <w:tbl>
      <w:tblPr>
        <w:tblStyle w:val="Tabelacomgrade"/>
        <w:tblW w:w="1018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4428"/>
        <w:gridCol w:w="1936"/>
        <w:gridCol w:w="1739"/>
        <w:gridCol w:w="983"/>
      </w:tblGrid>
      <w:tr w:rsidR="004B225D" w:rsidRPr="0045472C" w14:paraId="3E99DE8B" w14:textId="77777777" w:rsidTr="00C344A3">
        <w:trPr>
          <w:jc w:val="center"/>
        </w:trPr>
        <w:tc>
          <w:tcPr>
            <w:tcW w:w="1101" w:type="dxa"/>
            <w:tcBorders>
              <w:top w:val="single" w:sz="4" w:space="0" w:color="auto"/>
              <w:bottom w:val="single" w:sz="4" w:space="0" w:color="auto"/>
            </w:tcBorders>
            <w:vAlign w:val="center"/>
          </w:tcPr>
          <w:p w14:paraId="7622A309" w14:textId="77777777" w:rsidR="001B316A" w:rsidRPr="0045472C" w:rsidRDefault="001B316A" w:rsidP="00380542">
            <w:pPr>
              <w:pStyle w:val="fonte"/>
              <w:spacing w:after="0"/>
              <w:ind w:firstLineChars="0" w:firstLine="0"/>
              <w:jc w:val="center"/>
              <w:rPr>
                <w:b/>
              </w:rPr>
            </w:pPr>
            <w:r w:rsidRPr="0045472C">
              <w:rPr>
                <w:b/>
              </w:rPr>
              <w:t>Variável</w:t>
            </w:r>
          </w:p>
        </w:tc>
        <w:tc>
          <w:tcPr>
            <w:tcW w:w="4428" w:type="dxa"/>
            <w:tcBorders>
              <w:top w:val="single" w:sz="4" w:space="0" w:color="auto"/>
              <w:bottom w:val="single" w:sz="4" w:space="0" w:color="auto"/>
            </w:tcBorders>
            <w:vAlign w:val="center"/>
          </w:tcPr>
          <w:p w14:paraId="29D57619" w14:textId="77777777" w:rsidR="001B316A" w:rsidRPr="0045472C" w:rsidRDefault="001B316A" w:rsidP="00380542">
            <w:pPr>
              <w:pStyle w:val="fonte"/>
              <w:spacing w:after="0"/>
              <w:ind w:firstLineChars="0" w:firstLine="0"/>
              <w:jc w:val="center"/>
              <w:rPr>
                <w:b/>
              </w:rPr>
            </w:pPr>
            <w:r w:rsidRPr="0045472C">
              <w:rPr>
                <w:b/>
              </w:rPr>
              <w:t>Descrição</w:t>
            </w:r>
          </w:p>
        </w:tc>
        <w:tc>
          <w:tcPr>
            <w:tcW w:w="1936" w:type="dxa"/>
            <w:tcBorders>
              <w:top w:val="single" w:sz="4" w:space="0" w:color="auto"/>
              <w:bottom w:val="single" w:sz="4" w:space="0" w:color="auto"/>
            </w:tcBorders>
            <w:vAlign w:val="center"/>
          </w:tcPr>
          <w:p w14:paraId="7D207139" w14:textId="77777777" w:rsidR="001B316A" w:rsidRPr="0045472C" w:rsidRDefault="001B316A" w:rsidP="00380542">
            <w:pPr>
              <w:pStyle w:val="fonte"/>
              <w:spacing w:after="0"/>
              <w:ind w:firstLineChars="0" w:firstLine="0"/>
              <w:jc w:val="center"/>
              <w:rPr>
                <w:b/>
              </w:rPr>
            </w:pPr>
            <w:r w:rsidRPr="0045472C">
              <w:rPr>
                <w:b/>
              </w:rPr>
              <w:t>Unidade</w:t>
            </w:r>
          </w:p>
        </w:tc>
        <w:tc>
          <w:tcPr>
            <w:tcW w:w="1739" w:type="dxa"/>
            <w:tcBorders>
              <w:top w:val="single" w:sz="4" w:space="0" w:color="auto"/>
              <w:bottom w:val="single" w:sz="4" w:space="0" w:color="auto"/>
            </w:tcBorders>
            <w:vAlign w:val="center"/>
          </w:tcPr>
          <w:p w14:paraId="60A4973C" w14:textId="77777777" w:rsidR="001B316A" w:rsidRPr="0045472C" w:rsidRDefault="001B316A" w:rsidP="00380542">
            <w:pPr>
              <w:pStyle w:val="fonte"/>
              <w:spacing w:after="0"/>
              <w:ind w:firstLineChars="0" w:firstLine="0"/>
              <w:jc w:val="center"/>
              <w:rPr>
                <w:b/>
              </w:rPr>
            </w:pPr>
            <w:r w:rsidRPr="0045472C">
              <w:rPr>
                <w:b/>
              </w:rPr>
              <w:t>Fonte</w:t>
            </w:r>
          </w:p>
        </w:tc>
        <w:tc>
          <w:tcPr>
            <w:tcW w:w="983" w:type="dxa"/>
            <w:tcBorders>
              <w:top w:val="single" w:sz="4" w:space="0" w:color="auto"/>
              <w:bottom w:val="single" w:sz="4" w:space="0" w:color="auto"/>
            </w:tcBorders>
            <w:vAlign w:val="center"/>
          </w:tcPr>
          <w:p w14:paraId="254AB8A2" w14:textId="77777777" w:rsidR="001B316A" w:rsidRPr="0045472C" w:rsidRDefault="001B316A" w:rsidP="00380542">
            <w:pPr>
              <w:pStyle w:val="fonte"/>
              <w:spacing w:after="0"/>
              <w:ind w:firstLineChars="0" w:firstLine="0"/>
              <w:jc w:val="center"/>
              <w:rPr>
                <w:b/>
              </w:rPr>
            </w:pPr>
            <w:r w:rsidRPr="0045472C">
              <w:rPr>
                <w:b/>
              </w:rPr>
              <w:t>Sinal esperado</w:t>
            </w:r>
          </w:p>
        </w:tc>
      </w:tr>
      <w:tr w:rsidR="004B225D" w14:paraId="57972BA0" w14:textId="77777777" w:rsidTr="00C344A3">
        <w:trPr>
          <w:jc w:val="center"/>
        </w:trPr>
        <w:tc>
          <w:tcPr>
            <w:tcW w:w="1101" w:type="dxa"/>
            <w:tcBorders>
              <w:top w:val="single" w:sz="4" w:space="0" w:color="auto"/>
            </w:tcBorders>
            <w:vAlign w:val="center"/>
          </w:tcPr>
          <w:p w14:paraId="2FFB3D1C" w14:textId="77777777" w:rsidR="001B316A" w:rsidRPr="00580803" w:rsidRDefault="001B316A" w:rsidP="00E5561F">
            <w:pPr>
              <w:pStyle w:val="TABELAs"/>
            </w:pPr>
            <w:proofErr w:type="spellStart"/>
            <w:r>
              <w:t>GTP</w:t>
            </w:r>
            <w:r w:rsidRPr="00580803">
              <w:t>pc</w:t>
            </w:r>
            <w:proofErr w:type="spellEnd"/>
          </w:p>
        </w:tc>
        <w:tc>
          <w:tcPr>
            <w:tcW w:w="4428" w:type="dxa"/>
            <w:tcBorders>
              <w:top w:val="single" w:sz="4" w:space="0" w:color="auto"/>
            </w:tcBorders>
            <w:vAlign w:val="center"/>
          </w:tcPr>
          <w:p w14:paraId="54642101" w14:textId="77777777" w:rsidR="001B316A" w:rsidRPr="00580803" w:rsidRDefault="001B316A" w:rsidP="00E5561F">
            <w:pPr>
              <w:pStyle w:val="TABELAs"/>
            </w:pPr>
            <w:r w:rsidRPr="00580803">
              <w:t xml:space="preserve">Emissões per capita </w:t>
            </w:r>
            <w:r>
              <w:t>de GEE em</w:t>
            </w:r>
            <w:r w:rsidRPr="00580803">
              <w:t xml:space="preserve"> carbono equivalente</w:t>
            </w:r>
            <w:r>
              <w:t xml:space="preserve"> GTP</w:t>
            </w:r>
          </w:p>
        </w:tc>
        <w:tc>
          <w:tcPr>
            <w:tcW w:w="1936" w:type="dxa"/>
            <w:tcBorders>
              <w:top w:val="single" w:sz="4" w:space="0" w:color="auto"/>
            </w:tcBorders>
            <w:vAlign w:val="center"/>
          </w:tcPr>
          <w:p w14:paraId="2053084B" w14:textId="593A7CF2" w:rsidR="001B316A" w:rsidRPr="00580803" w:rsidRDefault="00F97599" w:rsidP="00E5561F">
            <w:pPr>
              <w:pStyle w:val="TABELAs"/>
            </w:pPr>
            <w:r>
              <w:t>kg</w:t>
            </w:r>
            <w:r w:rsidR="001B316A">
              <w:t>/m² por habitante</w:t>
            </w:r>
            <w:r w:rsidR="001B316A" w:rsidRPr="00580803">
              <w:t xml:space="preserve"> </w:t>
            </w:r>
          </w:p>
        </w:tc>
        <w:tc>
          <w:tcPr>
            <w:tcW w:w="1739" w:type="dxa"/>
            <w:tcBorders>
              <w:top w:val="single" w:sz="4" w:space="0" w:color="auto"/>
            </w:tcBorders>
            <w:vAlign w:val="center"/>
          </w:tcPr>
          <w:p w14:paraId="2C71F26C" w14:textId="43FC7C81" w:rsidR="001B316A" w:rsidRPr="00580803" w:rsidRDefault="001B316A" w:rsidP="00E5561F">
            <w:pPr>
              <w:pStyle w:val="TABELAs"/>
            </w:pPr>
            <w:r w:rsidRPr="00580803">
              <w:t>SEEG</w:t>
            </w:r>
            <w:r w:rsidR="006066B1">
              <w:t>/IBGE</w:t>
            </w:r>
          </w:p>
        </w:tc>
        <w:tc>
          <w:tcPr>
            <w:tcW w:w="983" w:type="dxa"/>
            <w:tcBorders>
              <w:top w:val="single" w:sz="4" w:space="0" w:color="auto"/>
            </w:tcBorders>
            <w:vAlign w:val="center"/>
          </w:tcPr>
          <w:p w14:paraId="2A6DF686" w14:textId="77777777" w:rsidR="001B316A" w:rsidRPr="00580803" w:rsidRDefault="001B316A" w:rsidP="00E5561F">
            <w:pPr>
              <w:pStyle w:val="TABELAs"/>
            </w:pPr>
          </w:p>
        </w:tc>
      </w:tr>
      <w:tr w:rsidR="004B225D" w14:paraId="1197D5F3" w14:textId="77777777" w:rsidTr="00C344A3">
        <w:trPr>
          <w:jc w:val="center"/>
        </w:trPr>
        <w:tc>
          <w:tcPr>
            <w:tcW w:w="1101" w:type="dxa"/>
            <w:vAlign w:val="center"/>
          </w:tcPr>
          <w:p w14:paraId="5D7174C3" w14:textId="77777777" w:rsidR="001B316A" w:rsidRDefault="001B316A" w:rsidP="00E5561F">
            <w:pPr>
              <w:pStyle w:val="TABELAs"/>
            </w:pPr>
            <w:proofErr w:type="spellStart"/>
            <w:r>
              <w:t>PIB</w:t>
            </w:r>
            <w:r w:rsidRPr="00580803">
              <w:t>pc</w:t>
            </w:r>
            <w:proofErr w:type="spellEnd"/>
          </w:p>
          <w:p w14:paraId="64993C4C" w14:textId="77777777" w:rsidR="001B316A" w:rsidRPr="00580803" w:rsidRDefault="001B316A" w:rsidP="00E5561F">
            <w:pPr>
              <w:pStyle w:val="TABELAs"/>
            </w:pPr>
          </w:p>
        </w:tc>
        <w:tc>
          <w:tcPr>
            <w:tcW w:w="4428" w:type="dxa"/>
            <w:vAlign w:val="center"/>
          </w:tcPr>
          <w:p w14:paraId="65AB192E" w14:textId="77777777" w:rsidR="001B316A" w:rsidRPr="00580803" w:rsidRDefault="001B316A" w:rsidP="00E5561F">
            <w:pPr>
              <w:pStyle w:val="TABELAs"/>
            </w:pPr>
            <w:r w:rsidRPr="00580803">
              <w:t xml:space="preserve">PIB </w:t>
            </w:r>
            <w:r w:rsidRPr="00580803">
              <w:rPr>
                <w:i/>
              </w:rPr>
              <w:t>per capita</w:t>
            </w:r>
          </w:p>
        </w:tc>
        <w:tc>
          <w:tcPr>
            <w:tcW w:w="1936" w:type="dxa"/>
            <w:vAlign w:val="center"/>
          </w:tcPr>
          <w:p w14:paraId="6FF1F74A" w14:textId="77777777" w:rsidR="001B316A" w:rsidRPr="00580803" w:rsidRDefault="001B316A" w:rsidP="00E5561F">
            <w:pPr>
              <w:pStyle w:val="TABELAs"/>
            </w:pPr>
            <w:r w:rsidRPr="00580803">
              <w:t>R$ 2010</w:t>
            </w:r>
          </w:p>
        </w:tc>
        <w:tc>
          <w:tcPr>
            <w:tcW w:w="1739" w:type="dxa"/>
            <w:vAlign w:val="center"/>
          </w:tcPr>
          <w:p w14:paraId="30A8BC35" w14:textId="1A1211DC" w:rsidR="001B316A" w:rsidRPr="00580803" w:rsidRDefault="001B316A" w:rsidP="00E5561F">
            <w:pPr>
              <w:pStyle w:val="TABELAs"/>
            </w:pPr>
            <w:r w:rsidRPr="00580803">
              <w:t>IBGE</w:t>
            </w:r>
            <w:r w:rsidR="004B225D">
              <w:t>/IPEADATA</w:t>
            </w:r>
          </w:p>
        </w:tc>
        <w:tc>
          <w:tcPr>
            <w:tcW w:w="983" w:type="dxa"/>
            <w:vAlign w:val="center"/>
          </w:tcPr>
          <w:p w14:paraId="54490D80" w14:textId="77777777" w:rsidR="001B316A" w:rsidRPr="00580803" w:rsidRDefault="001B316A" w:rsidP="00E5561F">
            <w:pPr>
              <w:pStyle w:val="TABELAs"/>
            </w:pPr>
            <w:r w:rsidRPr="00580803">
              <w:t>+</w:t>
            </w:r>
          </w:p>
        </w:tc>
      </w:tr>
      <w:tr w:rsidR="004B225D" w14:paraId="5C63A465" w14:textId="77777777" w:rsidTr="00C344A3">
        <w:trPr>
          <w:jc w:val="center"/>
        </w:trPr>
        <w:tc>
          <w:tcPr>
            <w:tcW w:w="1101" w:type="dxa"/>
            <w:vAlign w:val="center"/>
          </w:tcPr>
          <w:p w14:paraId="08F774B7" w14:textId="77777777" w:rsidR="001B316A" w:rsidRDefault="001B316A" w:rsidP="00E5561F">
            <w:pPr>
              <w:pStyle w:val="TABELAs"/>
            </w:pPr>
            <w:r>
              <w:t>PIB</w:t>
            </w:r>
            <w:r w:rsidRPr="00580803">
              <w:t>pc²</w:t>
            </w:r>
          </w:p>
          <w:p w14:paraId="1845551E" w14:textId="77777777" w:rsidR="001B316A" w:rsidRPr="00580803" w:rsidRDefault="001B316A" w:rsidP="00E5561F">
            <w:pPr>
              <w:pStyle w:val="TABELAs"/>
            </w:pPr>
          </w:p>
        </w:tc>
        <w:tc>
          <w:tcPr>
            <w:tcW w:w="4428" w:type="dxa"/>
            <w:vAlign w:val="center"/>
          </w:tcPr>
          <w:p w14:paraId="36DF2210" w14:textId="77777777" w:rsidR="001B316A" w:rsidRPr="00580803" w:rsidRDefault="001B316A" w:rsidP="00E5561F">
            <w:pPr>
              <w:pStyle w:val="TABELAs"/>
            </w:pPr>
            <w:r w:rsidRPr="00580803">
              <w:t xml:space="preserve">PIB </w:t>
            </w:r>
            <w:r w:rsidRPr="00580803">
              <w:rPr>
                <w:i/>
              </w:rPr>
              <w:t>per capita</w:t>
            </w:r>
            <w:r w:rsidRPr="00580803">
              <w:t xml:space="preserve"> ao quadrado</w:t>
            </w:r>
          </w:p>
        </w:tc>
        <w:tc>
          <w:tcPr>
            <w:tcW w:w="1936" w:type="dxa"/>
            <w:vAlign w:val="center"/>
          </w:tcPr>
          <w:p w14:paraId="292A8233" w14:textId="77777777" w:rsidR="001B316A" w:rsidRPr="00580803" w:rsidRDefault="001B316A" w:rsidP="00E5561F">
            <w:pPr>
              <w:pStyle w:val="TABELAs"/>
            </w:pPr>
            <w:r w:rsidRPr="00580803">
              <w:t>R$ 2010</w:t>
            </w:r>
          </w:p>
        </w:tc>
        <w:tc>
          <w:tcPr>
            <w:tcW w:w="1739" w:type="dxa"/>
            <w:vAlign w:val="center"/>
          </w:tcPr>
          <w:p w14:paraId="5ED1B5D1" w14:textId="243ED720" w:rsidR="001B316A" w:rsidRPr="00580803" w:rsidRDefault="004B225D" w:rsidP="00E5561F">
            <w:pPr>
              <w:pStyle w:val="TABELAs"/>
            </w:pPr>
            <w:r w:rsidRPr="00580803">
              <w:t>IBGE</w:t>
            </w:r>
            <w:r>
              <w:t>/IPEADATA</w:t>
            </w:r>
          </w:p>
        </w:tc>
        <w:tc>
          <w:tcPr>
            <w:tcW w:w="983" w:type="dxa"/>
            <w:vAlign w:val="center"/>
          </w:tcPr>
          <w:p w14:paraId="2E390438" w14:textId="77777777" w:rsidR="001B316A" w:rsidRPr="00580803" w:rsidRDefault="001B316A" w:rsidP="00E5561F">
            <w:pPr>
              <w:pStyle w:val="TABELAs"/>
            </w:pPr>
            <w:r w:rsidRPr="00580803">
              <w:t>-</w:t>
            </w:r>
          </w:p>
        </w:tc>
      </w:tr>
      <w:tr w:rsidR="004B225D" w14:paraId="4522D29E" w14:textId="77777777" w:rsidTr="00C344A3">
        <w:trPr>
          <w:jc w:val="center"/>
        </w:trPr>
        <w:tc>
          <w:tcPr>
            <w:tcW w:w="1101" w:type="dxa"/>
            <w:vAlign w:val="center"/>
          </w:tcPr>
          <w:p w14:paraId="75A69E8A" w14:textId="77777777" w:rsidR="001B316A" w:rsidRPr="00580803" w:rsidRDefault="001B316A" w:rsidP="00E5561F">
            <w:pPr>
              <w:pStyle w:val="TABELAs"/>
            </w:pPr>
            <w:r>
              <w:t>PIB</w:t>
            </w:r>
            <w:r w:rsidRPr="00580803">
              <w:t>pc³</w:t>
            </w:r>
          </w:p>
        </w:tc>
        <w:tc>
          <w:tcPr>
            <w:tcW w:w="4428" w:type="dxa"/>
            <w:vAlign w:val="center"/>
          </w:tcPr>
          <w:p w14:paraId="141D0AE6" w14:textId="77777777" w:rsidR="001B316A" w:rsidRPr="00580803" w:rsidRDefault="001B316A" w:rsidP="00E5561F">
            <w:pPr>
              <w:pStyle w:val="TABELAs"/>
            </w:pPr>
            <w:r w:rsidRPr="00580803">
              <w:t xml:space="preserve">PIB </w:t>
            </w:r>
            <w:r w:rsidRPr="00580803">
              <w:rPr>
                <w:i/>
              </w:rPr>
              <w:t>per capita</w:t>
            </w:r>
            <w:r w:rsidRPr="00580803">
              <w:t xml:space="preserve"> ao cubo</w:t>
            </w:r>
          </w:p>
        </w:tc>
        <w:tc>
          <w:tcPr>
            <w:tcW w:w="1936" w:type="dxa"/>
            <w:vAlign w:val="center"/>
          </w:tcPr>
          <w:p w14:paraId="3937C949" w14:textId="77777777" w:rsidR="001B316A" w:rsidRPr="00580803" w:rsidRDefault="001B316A" w:rsidP="00E5561F">
            <w:pPr>
              <w:pStyle w:val="TABELAs"/>
            </w:pPr>
            <w:r w:rsidRPr="00580803">
              <w:t>R$ 2010</w:t>
            </w:r>
          </w:p>
        </w:tc>
        <w:tc>
          <w:tcPr>
            <w:tcW w:w="1739" w:type="dxa"/>
            <w:vAlign w:val="center"/>
          </w:tcPr>
          <w:p w14:paraId="2C31C40C" w14:textId="53D6C7C9" w:rsidR="001B316A" w:rsidRPr="00580803" w:rsidRDefault="004B225D" w:rsidP="00E5561F">
            <w:pPr>
              <w:pStyle w:val="TABELAs"/>
            </w:pPr>
            <w:r w:rsidRPr="00580803">
              <w:t>IBGE</w:t>
            </w:r>
            <w:r>
              <w:t>/IPEADATA</w:t>
            </w:r>
          </w:p>
        </w:tc>
        <w:tc>
          <w:tcPr>
            <w:tcW w:w="983" w:type="dxa"/>
            <w:vAlign w:val="center"/>
          </w:tcPr>
          <w:p w14:paraId="0C3AC1A0" w14:textId="77777777" w:rsidR="001B316A" w:rsidRPr="00580803" w:rsidRDefault="001B316A" w:rsidP="00E5561F">
            <w:pPr>
              <w:pStyle w:val="TABELAs"/>
            </w:pPr>
            <w:r w:rsidRPr="00580803">
              <w:t>*</w:t>
            </w:r>
          </w:p>
        </w:tc>
      </w:tr>
      <w:tr w:rsidR="004B225D" w14:paraId="1C8A018E" w14:textId="77777777" w:rsidTr="00C344A3">
        <w:trPr>
          <w:jc w:val="center"/>
        </w:trPr>
        <w:tc>
          <w:tcPr>
            <w:tcW w:w="1101" w:type="dxa"/>
            <w:vAlign w:val="center"/>
          </w:tcPr>
          <w:p w14:paraId="63F6D9C7" w14:textId="77777777" w:rsidR="001B316A" w:rsidRPr="00580803" w:rsidRDefault="001B316A" w:rsidP="00E5561F">
            <w:pPr>
              <w:pStyle w:val="TABELAs"/>
            </w:pPr>
            <w:proofErr w:type="spellStart"/>
            <w:r>
              <w:t>dens</w:t>
            </w:r>
            <w:proofErr w:type="spellEnd"/>
          </w:p>
        </w:tc>
        <w:tc>
          <w:tcPr>
            <w:tcW w:w="4428" w:type="dxa"/>
            <w:vAlign w:val="center"/>
          </w:tcPr>
          <w:p w14:paraId="100D9418" w14:textId="77777777" w:rsidR="001B316A" w:rsidRPr="003925A9" w:rsidRDefault="001B316A" w:rsidP="00E5561F">
            <w:pPr>
              <w:pStyle w:val="TABELAs"/>
            </w:pPr>
            <w:r w:rsidRPr="003925A9">
              <w:t>Densidade Populacional</w:t>
            </w:r>
          </w:p>
        </w:tc>
        <w:tc>
          <w:tcPr>
            <w:tcW w:w="1936" w:type="dxa"/>
            <w:vAlign w:val="center"/>
          </w:tcPr>
          <w:p w14:paraId="73F7064D" w14:textId="77777777" w:rsidR="001B316A" w:rsidRPr="00580803" w:rsidRDefault="001B316A" w:rsidP="00E5561F">
            <w:pPr>
              <w:pStyle w:val="TABELAs"/>
            </w:pPr>
            <w:r>
              <w:t>Habitantes por km²</w:t>
            </w:r>
          </w:p>
        </w:tc>
        <w:tc>
          <w:tcPr>
            <w:tcW w:w="1739" w:type="dxa"/>
            <w:vAlign w:val="center"/>
          </w:tcPr>
          <w:p w14:paraId="66B9B0E8" w14:textId="77777777" w:rsidR="001B316A" w:rsidRPr="00580803" w:rsidRDefault="001B316A" w:rsidP="00E5561F">
            <w:pPr>
              <w:pStyle w:val="TABELAs"/>
            </w:pPr>
            <w:r>
              <w:t>IBGE</w:t>
            </w:r>
          </w:p>
        </w:tc>
        <w:tc>
          <w:tcPr>
            <w:tcW w:w="983" w:type="dxa"/>
            <w:vAlign w:val="center"/>
          </w:tcPr>
          <w:p w14:paraId="7CC494B6" w14:textId="77777777" w:rsidR="001B316A" w:rsidRPr="00580803" w:rsidRDefault="001B316A" w:rsidP="00E5561F">
            <w:pPr>
              <w:pStyle w:val="TABELAs"/>
            </w:pPr>
            <w:r w:rsidRPr="00580803">
              <w:t>*</w:t>
            </w:r>
          </w:p>
        </w:tc>
      </w:tr>
      <w:tr w:rsidR="004B225D" w14:paraId="2939BE25" w14:textId="77777777" w:rsidTr="00C344A3">
        <w:trPr>
          <w:trHeight w:val="523"/>
          <w:jc w:val="center"/>
        </w:trPr>
        <w:tc>
          <w:tcPr>
            <w:tcW w:w="1101" w:type="dxa"/>
            <w:vAlign w:val="center"/>
          </w:tcPr>
          <w:p w14:paraId="756A6CBD" w14:textId="77777777" w:rsidR="001B316A" w:rsidRPr="00580803" w:rsidRDefault="001B316A" w:rsidP="00E5561F">
            <w:pPr>
              <w:pStyle w:val="TABELAs"/>
            </w:pPr>
            <w:r>
              <w:t>IN4000</w:t>
            </w:r>
          </w:p>
        </w:tc>
        <w:tc>
          <w:tcPr>
            <w:tcW w:w="4428" w:type="dxa"/>
            <w:vAlign w:val="center"/>
          </w:tcPr>
          <w:p w14:paraId="0EDA8BCB" w14:textId="77777777" w:rsidR="001B316A" w:rsidRPr="00580803" w:rsidRDefault="001B316A" w:rsidP="00E5561F">
            <w:pPr>
              <w:pStyle w:val="TABELAs"/>
            </w:pPr>
            <w:r>
              <w:t>Razão entre os valores das exportações de baixa intensidade tecnológica sobre o total</w:t>
            </w:r>
          </w:p>
        </w:tc>
        <w:tc>
          <w:tcPr>
            <w:tcW w:w="1936" w:type="dxa"/>
            <w:vAlign w:val="center"/>
          </w:tcPr>
          <w:p w14:paraId="7131AB68" w14:textId="77777777" w:rsidR="001B316A" w:rsidRPr="00580803" w:rsidRDefault="001B316A" w:rsidP="00E5561F">
            <w:pPr>
              <w:pStyle w:val="TABELAs"/>
            </w:pPr>
            <w:r>
              <w:t xml:space="preserve">Proporção </w:t>
            </w:r>
          </w:p>
        </w:tc>
        <w:tc>
          <w:tcPr>
            <w:tcW w:w="1739" w:type="dxa"/>
            <w:vAlign w:val="center"/>
          </w:tcPr>
          <w:p w14:paraId="1989AB9F" w14:textId="1D4FDD0C" w:rsidR="001B316A" w:rsidRPr="00580803" w:rsidRDefault="006066B1" w:rsidP="00E5561F">
            <w:pPr>
              <w:pStyle w:val="TABELAs"/>
            </w:pPr>
            <w:r>
              <w:t>MDIC</w:t>
            </w:r>
          </w:p>
        </w:tc>
        <w:tc>
          <w:tcPr>
            <w:tcW w:w="983" w:type="dxa"/>
            <w:vAlign w:val="center"/>
          </w:tcPr>
          <w:p w14:paraId="5189A989" w14:textId="77777777" w:rsidR="001B316A" w:rsidRPr="00580803" w:rsidRDefault="001B316A" w:rsidP="00E5561F">
            <w:pPr>
              <w:pStyle w:val="TABELAs"/>
            </w:pPr>
            <w:r>
              <w:t>+</w:t>
            </w:r>
          </w:p>
        </w:tc>
      </w:tr>
      <w:tr w:rsidR="004B225D" w14:paraId="4EB95C07" w14:textId="77777777" w:rsidTr="00C344A3">
        <w:trPr>
          <w:jc w:val="center"/>
        </w:trPr>
        <w:tc>
          <w:tcPr>
            <w:tcW w:w="1101" w:type="dxa"/>
            <w:vAlign w:val="center"/>
          </w:tcPr>
          <w:p w14:paraId="27404EF6" w14:textId="77777777" w:rsidR="001B316A" w:rsidRPr="00580803" w:rsidRDefault="001B316A" w:rsidP="00E5561F">
            <w:pPr>
              <w:pStyle w:val="TABELAs"/>
            </w:pPr>
            <w:proofErr w:type="spellStart"/>
            <w:r>
              <w:t>PIBXpc</w:t>
            </w:r>
            <w:proofErr w:type="spellEnd"/>
          </w:p>
        </w:tc>
        <w:tc>
          <w:tcPr>
            <w:tcW w:w="4428" w:type="dxa"/>
            <w:vAlign w:val="center"/>
          </w:tcPr>
          <w:p w14:paraId="6921EBB6" w14:textId="77777777" w:rsidR="001B316A" w:rsidRPr="00580803" w:rsidRDefault="001B316A" w:rsidP="00E5561F">
            <w:pPr>
              <w:pStyle w:val="TABELAs"/>
            </w:pPr>
            <w:r>
              <w:t xml:space="preserve">PIB </w:t>
            </w:r>
            <w:r w:rsidRPr="00C22A89">
              <w:rPr>
                <w:i/>
              </w:rPr>
              <w:t>per capita</w:t>
            </w:r>
            <w:r>
              <w:t xml:space="preserve"> médio dos principais importadores do Sudeste</w:t>
            </w:r>
          </w:p>
        </w:tc>
        <w:tc>
          <w:tcPr>
            <w:tcW w:w="1936" w:type="dxa"/>
            <w:vAlign w:val="center"/>
          </w:tcPr>
          <w:p w14:paraId="555C95BC" w14:textId="77777777" w:rsidR="001B316A" w:rsidRPr="00580803" w:rsidRDefault="001B316A" w:rsidP="00E5561F">
            <w:pPr>
              <w:pStyle w:val="TABELAs"/>
            </w:pPr>
            <w:r w:rsidRPr="00580803">
              <w:t>US$</w:t>
            </w:r>
            <w:r>
              <w:t xml:space="preserve"> 2010</w:t>
            </w:r>
          </w:p>
        </w:tc>
        <w:tc>
          <w:tcPr>
            <w:tcW w:w="1739" w:type="dxa"/>
            <w:vAlign w:val="center"/>
          </w:tcPr>
          <w:p w14:paraId="5BE9275C" w14:textId="77777777" w:rsidR="001B316A" w:rsidRPr="00580803" w:rsidRDefault="001B316A" w:rsidP="00E5561F">
            <w:pPr>
              <w:pStyle w:val="TABELAs"/>
            </w:pPr>
            <w:r>
              <w:t>WDI</w:t>
            </w:r>
          </w:p>
        </w:tc>
        <w:tc>
          <w:tcPr>
            <w:tcW w:w="983" w:type="dxa"/>
            <w:vAlign w:val="center"/>
          </w:tcPr>
          <w:p w14:paraId="1A97DB00" w14:textId="77777777" w:rsidR="001B316A" w:rsidRPr="00580803" w:rsidRDefault="001B316A" w:rsidP="00E5561F">
            <w:pPr>
              <w:pStyle w:val="TABELAs"/>
            </w:pPr>
            <w:r w:rsidRPr="00580803">
              <w:t>+</w:t>
            </w:r>
          </w:p>
        </w:tc>
      </w:tr>
    </w:tbl>
    <w:p w14:paraId="4A2EDD61" w14:textId="3259EEF7" w:rsidR="001B316A" w:rsidRDefault="001B316A" w:rsidP="00B57D1E">
      <w:pPr>
        <w:pStyle w:val="FONTE0"/>
      </w:pPr>
      <w:r w:rsidRPr="00C91770">
        <w:t xml:space="preserve">* </w:t>
      </w:r>
      <w:r>
        <w:t>esta</w:t>
      </w:r>
      <w:r w:rsidRPr="00C91770">
        <w:t xml:space="preserve"> variável </w:t>
      </w:r>
      <w:r w:rsidRPr="00B57D1E">
        <w:t>pode</w:t>
      </w:r>
      <w:r w:rsidRPr="00C91770">
        <w:t xml:space="preserve"> assumir valor negativo ou positivo</w:t>
      </w:r>
    </w:p>
    <w:p w14:paraId="43C7D978" w14:textId="77777777" w:rsidR="00115A87" w:rsidRPr="00C91770" w:rsidRDefault="00115A87" w:rsidP="00115A87">
      <w:pPr>
        <w:pStyle w:val="FONTE0"/>
      </w:pPr>
      <w:r>
        <w:t>FONTE</w:t>
      </w:r>
      <w:r w:rsidRPr="00C91770">
        <w:t>: Elaboração própria</w:t>
      </w:r>
    </w:p>
    <w:p w14:paraId="3FD18B21" w14:textId="382F8F02" w:rsidR="001B316A" w:rsidRDefault="001B316A" w:rsidP="001B316A">
      <w:pPr>
        <w:ind w:firstLine="420"/>
      </w:pPr>
    </w:p>
    <w:p w14:paraId="1B058555" w14:textId="2168349B" w:rsidR="00B25050" w:rsidRDefault="00B25050" w:rsidP="00B25050">
      <w:pPr>
        <w:ind w:firstLine="420"/>
      </w:pPr>
      <w:r>
        <w:t>Como apresentado, na literatura empírica acerca da CKA</w:t>
      </w:r>
      <w:r w:rsidR="006818FB">
        <w:t>,</w:t>
      </w:r>
      <w:r>
        <w:t xml:space="preserve"> a variável dependente é representada por diversas tentativas de mensuração da degradação ambiental, sendo a mais usual as emissões de</w:t>
      </w:r>
      <w:r w:rsidRPr="00D57AA6">
        <w:t xml:space="preserve"> </w:t>
      </w:r>
      <w:r>
        <w:t>dióxido de carbono (CO</w:t>
      </w:r>
      <w:r>
        <w:rPr>
          <w:vertAlign w:val="subscript"/>
        </w:rPr>
        <w:t>2</w:t>
      </w:r>
      <w:r>
        <w:t xml:space="preserve">) </w:t>
      </w:r>
      <w:r w:rsidRPr="00E56D27">
        <w:rPr>
          <w:i/>
        </w:rPr>
        <w:t>per capita</w:t>
      </w:r>
      <w:r>
        <w:t>. Contudo, com objetivo de evitar um possível viés de seleção da variável dependente, como apontado por Mueller (2004), essa hipótese foi descartada. Como alternativa, preferiu-se optar pelo carbono equivalente (CO</w:t>
      </w:r>
      <w:r>
        <w:rPr>
          <w:vertAlign w:val="subscript"/>
        </w:rPr>
        <w:t>2</w:t>
      </w:r>
      <w:r>
        <w:t>e GTP 100 AR5) que agrupa as emissões de todos os GEE do inventário nacional de acordo com os índices de Potencial de Mudança de Temperatura Global (GTP). O GTP 100 relaciona a mudança na temperatura média da superfície global em resposta a um pulso de emissão de cada GEE em relação ao CO</w:t>
      </w:r>
      <w:r>
        <w:rPr>
          <w:vertAlign w:val="subscript"/>
        </w:rPr>
        <w:t xml:space="preserve">2 </w:t>
      </w:r>
      <w:r>
        <w:t xml:space="preserve">nos 100 anos subsequentes à emissão (EFCT, 2014) e foi estabelecido pelo IPCC </w:t>
      </w:r>
      <w:proofErr w:type="spellStart"/>
      <w:r>
        <w:t>Fifth</w:t>
      </w:r>
      <w:proofErr w:type="spellEnd"/>
      <w:r>
        <w:t xml:space="preserve"> </w:t>
      </w:r>
      <w:proofErr w:type="spellStart"/>
      <w:r>
        <w:t>Assessment</w:t>
      </w:r>
      <w:proofErr w:type="spellEnd"/>
      <w:r>
        <w:t xml:space="preserve"> </w:t>
      </w:r>
      <w:proofErr w:type="spellStart"/>
      <w:r>
        <w:t>Report</w:t>
      </w:r>
      <w:proofErr w:type="spellEnd"/>
      <w:r>
        <w:t xml:space="preserve"> (AR5) </w:t>
      </w:r>
      <w:r w:rsidR="006818FB">
        <w:t>(</w:t>
      </w:r>
      <w:r>
        <w:t>IPCC, 2014).</w:t>
      </w:r>
    </w:p>
    <w:p w14:paraId="64D3370C" w14:textId="6B1CF5FF" w:rsidR="001B316A" w:rsidRDefault="001B316A" w:rsidP="001B316A">
      <w:pPr>
        <w:ind w:firstLine="420"/>
      </w:pPr>
      <w:r>
        <w:t>Os dados relativos à</w:t>
      </w:r>
      <w:r w:rsidR="00DD4619">
        <w:t>s</w:t>
      </w:r>
      <w:r>
        <w:t xml:space="preserve"> </w:t>
      </w:r>
      <w:r w:rsidR="006F139D">
        <w:t>estimativa</w:t>
      </w:r>
      <w:r w:rsidR="00DD4619">
        <w:t>s</w:t>
      </w:r>
      <w:r w:rsidR="006F139D">
        <w:t xml:space="preserve"> de </w:t>
      </w:r>
      <w:r w:rsidR="003E035E">
        <w:t>emissões</w:t>
      </w:r>
      <w:r>
        <w:t xml:space="preserve"> de CO</w:t>
      </w:r>
      <w:r>
        <w:rPr>
          <w:vertAlign w:val="subscript"/>
        </w:rPr>
        <w:t>2</w:t>
      </w:r>
      <w:r>
        <w:t>e GTP100 AR</w:t>
      </w:r>
      <w:r w:rsidR="00BC6F53">
        <w:t>5</w:t>
      </w:r>
      <w:r>
        <w:t xml:space="preserve"> foram obtidos junto à base de dados do Sistema de Estimativas de Emissões de Gases de Efeito Estufa (SEEG) do Observatório do Clima (OC</w:t>
      </w:r>
      <w:r w:rsidR="00DD4619">
        <w:t xml:space="preserve">, </w:t>
      </w:r>
      <w:r w:rsidR="00085F66">
        <w:t>2017</w:t>
      </w:r>
      <w:r>
        <w:t>). Os montantes totais</w:t>
      </w:r>
      <w:r w:rsidR="00575D1A">
        <w:t xml:space="preserve"> </w:t>
      </w:r>
      <w:r>
        <w:t xml:space="preserve">foram transformados em valores </w:t>
      </w:r>
      <w:r w:rsidRPr="000E521F">
        <w:rPr>
          <w:i/>
        </w:rPr>
        <w:t>per capita</w:t>
      </w:r>
      <w:r>
        <w:t xml:space="preserve"> a partir das estimativas de população residente </w:t>
      </w:r>
      <w:r w:rsidR="00727149">
        <w:t xml:space="preserve">total </w:t>
      </w:r>
      <w:r>
        <w:t xml:space="preserve">obtidas junto ao </w:t>
      </w:r>
      <w:r w:rsidR="00727149">
        <w:t>IBGE (2017)</w:t>
      </w:r>
      <w:r>
        <w:t>.</w:t>
      </w:r>
    </w:p>
    <w:p w14:paraId="15F3B1D6" w14:textId="0F24DF24" w:rsidR="001B316A" w:rsidRDefault="001B316A" w:rsidP="001B316A">
      <w:r>
        <w:lastRenderedPageBreak/>
        <w:t xml:space="preserve">Para mensurar o crescimento econômico, como sugere a literatura, será utilizada a renda </w:t>
      </w:r>
      <w:r w:rsidRPr="0094427A">
        <w:rPr>
          <w:i/>
        </w:rPr>
        <w:t>per capita</w:t>
      </w:r>
      <w:r>
        <w:t xml:space="preserve"> </w:t>
      </w:r>
      <w:r w:rsidR="002971D4">
        <w:t xml:space="preserve">medida </w:t>
      </w:r>
      <w:r w:rsidR="00CE0E6A">
        <w:t>pelo</w:t>
      </w:r>
      <w:r>
        <w:t xml:space="preserve"> Produto Interno Bruto (PIB) </w:t>
      </w:r>
      <w:r w:rsidRPr="00EB556D">
        <w:rPr>
          <w:i/>
        </w:rPr>
        <w:t>per capita</w:t>
      </w:r>
      <w:r>
        <w:rPr>
          <w:i/>
        </w:rPr>
        <w:t xml:space="preserve"> </w:t>
      </w:r>
      <w:r>
        <w:t xml:space="preserve">dos estados. Os dados referentes aos PIB estaduais foram obtidos junto ao Sistema de Contas </w:t>
      </w:r>
      <w:r w:rsidR="00C63492">
        <w:t>Regionais</w:t>
      </w:r>
      <w:r>
        <w:t xml:space="preserve"> do IBGE</w:t>
      </w:r>
      <w:r w:rsidR="007A3EB7">
        <w:t xml:space="preserve"> </w:t>
      </w:r>
      <w:r w:rsidR="0099626B">
        <w:t>(</w:t>
      </w:r>
      <w:r w:rsidR="007A3EB7">
        <w:t>2017</w:t>
      </w:r>
      <w:r w:rsidR="0099626B">
        <w:t>)</w:t>
      </w:r>
      <w:r>
        <w:t xml:space="preserve"> e deflacionados pelo deflator implícito do PIB com referência ao ano de 2010 obtido do IPEADATA</w:t>
      </w:r>
      <w:r w:rsidR="00294AD4">
        <w:t xml:space="preserve"> </w:t>
      </w:r>
      <w:r w:rsidR="0099626B">
        <w:t>(</w:t>
      </w:r>
      <w:r w:rsidR="00294AD4">
        <w:t>2017</w:t>
      </w:r>
      <w:r w:rsidR="0099626B">
        <w:t>)</w:t>
      </w:r>
      <w:r>
        <w:t xml:space="preserve">. Para o cálculo </w:t>
      </w:r>
      <w:proofErr w:type="spellStart"/>
      <w:r>
        <w:t>do</w:t>
      </w:r>
      <w:r w:rsidR="0099626B">
        <w:t>s</w:t>
      </w:r>
      <w:proofErr w:type="spellEnd"/>
      <w:r>
        <w:t xml:space="preserve"> PIB </w:t>
      </w:r>
      <w:r w:rsidRPr="00225404">
        <w:rPr>
          <w:i/>
          <w:iCs/>
        </w:rPr>
        <w:t>per capita</w:t>
      </w:r>
      <w:r>
        <w:t xml:space="preserve"> estadua</w:t>
      </w:r>
      <w:r w:rsidR="0099626B">
        <w:t>is</w:t>
      </w:r>
      <w:r>
        <w:t xml:space="preserve"> foram utilizadas as estimativas de população residente total acima descritas.</w:t>
      </w:r>
    </w:p>
    <w:p w14:paraId="553D98A5" w14:textId="35FEC3F7" w:rsidR="001B316A" w:rsidRDefault="001B316A" w:rsidP="001B316A">
      <w:r>
        <w:t xml:space="preserve">Assim como </w:t>
      </w:r>
      <w:proofErr w:type="spellStart"/>
      <w:r>
        <w:rPr>
          <w:lang w:eastAsia="pt-BR"/>
        </w:rPr>
        <w:t>Shafik</w:t>
      </w:r>
      <w:proofErr w:type="spellEnd"/>
      <w:r>
        <w:rPr>
          <w:lang w:eastAsia="pt-BR"/>
        </w:rPr>
        <w:t xml:space="preserve"> e </w:t>
      </w:r>
      <w:proofErr w:type="spellStart"/>
      <w:r>
        <w:rPr>
          <w:lang w:eastAsia="pt-BR"/>
        </w:rPr>
        <w:t>Bandyopadhyay</w:t>
      </w:r>
      <w:proofErr w:type="spellEnd"/>
      <w:r>
        <w:rPr>
          <w:lang w:eastAsia="pt-BR"/>
        </w:rPr>
        <w:t xml:space="preserve"> </w:t>
      </w:r>
      <w:r>
        <w:t xml:space="preserve">(1992), </w:t>
      </w:r>
      <w:proofErr w:type="spellStart"/>
      <w:r>
        <w:t>Selden</w:t>
      </w:r>
      <w:proofErr w:type="spellEnd"/>
      <w:r>
        <w:t xml:space="preserve"> e Song (1994) e </w:t>
      </w:r>
      <w:proofErr w:type="spellStart"/>
      <w:r>
        <w:t>Rupasingha</w:t>
      </w:r>
      <w:proofErr w:type="spellEnd"/>
      <w:r>
        <w:t xml:space="preserve"> et al. (2004), opt</w:t>
      </w:r>
      <w:r w:rsidR="00225404">
        <w:t>ou</w:t>
      </w:r>
      <w:r>
        <w:t xml:space="preserve">-se aqui por adicionar também uma variável de densidade populacional. A inclusão </w:t>
      </w:r>
      <w:r w:rsidR="00225404">
        <w:t>s</w:t>
      </w:r>
      <w:r>
        <w:t xml:space="preserve">e justifica pelo fato de que determinadas regiões se tornaram mais vulneráveis a eventos como tormentas, inundações e secas, com o adicional aumento da densidade populacional </w:t>
      </w:r>
      <w:r w:rsidR="00225404">
        <w:t xml:space="preserve">(IPCC, </w:t>
      </w:r>
      <w:r>
        <w:t>1995). Portanto, existem evidências para se acreditar que o aumento da densidade populacional está relacionado à intensificação de atividades degradantes.</w:t>
      </w:r>
      <w:r w:rsidR="00183843">
        <w:t xml:space="preserve"> </w:t>
      </w:r>
      <w:r>
        <w:t>Para o cálculo da densidade populacional foram novamente consideradas as estimativas de população residente total</w:t>
      </w:r>
      <w:r w:rsidR="006818FB">
        <w:t>,</w:t>
      </w:r>
      <w:r>
        <w:t xml:space="preserve"> bem como as áreas territoriais de cada estado, extraídas dos dados de Estrutura Territorial do IBGE</w:t>
      </w:r>
      <w:r w:rsidR="00C63492">
        <w:t xml:space="preserve"> </w:t>
      </w:r>
      <w:r w:rsidR="00183843">
        <w:t>(</w:t>
      </w:r>
      <w:r w:rsidR="00C63492">
        <w:t>2016</w:t>
      </w:r>
      <w:r w:rsidR="00183843">
        <w:t>)</w:t>
      </w:r>
      <w:r w:rsidR="00C63492">
        <w:t>.</w:t>
      </w:r>
    </w:p>
    <w:p w14:paraId="3715C69C" w14:textId="77777777" w:rsidR="001B316A" w:rsidRDefault="001B316A" w:rsidP="001B316A">
      <w:r>
        <w:t>Considerando a importância das exportações para o crescimento econômico dos estados da Região Sudeste, opt</w:t>
      </w:r>
      <w:r w:rsidR="00225404">
        <w:t>ou</w:t>
      </w:r>
      <w:r>
        <w:t xml:space="preserve">-se por incluir na análise uma variável que busque captar os efeitos da proporção de produtos de baixa intensidade tecnológica nas exportações dos estados sobre as emissões de </w:t>
      </w:r>
      <w:r w:rsidR="00225404">
        <w:t>GEE</w:t>
      </w:r>
      <w:r>
        <w:t>. Isto se justifica pelo fato de que</w:t>
      </w:r>
      <w:r w:rsidR="00225404">
        <w:t>,</w:t>
      </w:r>
      <w:r>
        <w:t xml:space="preserve"> segundo a literatura da CKA, um dos fatores relacionado à queda na degradação ambiental com o decorrer do desenvolvimento econômico é a mudança tecnológica (MUELLER, 2004).</w:t>
      </w:r>
    </w:p>
    <w:p w14:paraId="59713240" w14:textId="2F17079F" w:rsidR="001B316A" w:rsidRDefault="001B316A" w:rsidP="001B316A">
      <w:r>
        <w:t>Para mensurar o impacto da intensidade tecnológica das exportações propõe-se um índice de proporção dos produtos exportados pelas indústrias de transformação de baixa intensidade tecnológica em relação ao total de produtos exportados (</w:t>
      </w:r>
      <w:r w:rsidRPr="00086622">
        <w:rPr>
          <w:b/>
        </w:rPr>
        <w:t>IN4000</w:t>
      </w:r>
      <w:r>
        <w:t xml:space="preserve">). Devido a dificuldades em se considerar diferentes unidades de medidas para os produtos exportados, o índice foi construído a partir da soma dos valores líquidos </w:t>
      </w:r>
      <w:proofErr w:type="spellStart"/>
      <w:r>
        <w:rPr>
          <w:i/>
        </w:rPr>
        <w:t>free</w:t>
      </w:r>
      <w:proofErr w:type="spellEnd"/>
      <w:r>
        <w:rPr>
          <w:i/>
        </w:rPr>
        <w:t xml:space="preserve"> </w:t>
      </w:r>
      <w:proofErr w:type="spellStart"/>
      <w:r>
        <w:rPr>
          <w:i/>
        </w:rPr>
        <w:t>on</w:t>
      </w:r>
      <w:proofErr w:type="spellEnd"/>
      <w:r>
        <w:rPr>
          <w:i/>
        </w:rPr>
        <w:t xml:space="preserve"> </w:t>
      </w:r>
      <w:proofErr w:type="spellStart"/>
      <w:r>
        <w:rPr>
          <w:i/>
        </w:rPr>
        <w:t>board</w:t>
      </w:r>
      <w:proofErr w:type="spellEnd"/>
      <w:r>
        <w:rPr>
          <w:i/>
        </w:rPr>
        <w:t xml:space="preserve"> </w:t>
      </w:r>
      <w:r>
        <w:t xml:space="preserve">(FOB). </w:t>
      </w:r>
      <w:r w:rsidRPr="00D03F9E">
        <w:t>Os</w:t>
      </w:r>
      <w:r>
        <w:t xml:space="preserve"> dados foram obtidos a partir da Base de Dados do Comércio Exterior do Ministério da Indústria, Comércio Exterior e Serviços (</w:t>
      </w:r>
      <w:r w:rsidR="008F53D9">
        <w:t>BRASIL</w:t>
      </w:r>
      <w:r w:rsidR="00183843">
        <w:t xml:space="preserve">, </w:t>
      </w:r>
      <w:r w:rsidR="009021F8">
        <w:t>2018</w:t>
      </w:r>
      <w:r>
        <w:t xml:space="preserve">). </w:t>
      </w:r>
    </w:p>
    <w:p w14:paraId="66A1AA73" w14:textId="276861D4" w:rsidR="001B316A" w:rsidRDefault="001B316A" w:rsidP="001B316A">
      <w:r>
        <w:t>A classificação foi realizada de acordo com os Setores da Indústria por Intensidade Tecnológica (SIIT), segu</w:t>
      </w:r>
      <w:r w:rsidR="00D54BE5">
        <w:t xml:space="preserve">indo a metodologia proposta no </w:t>
      </w:r>
      <w:r w:rsidRPr="0080293A">
        <w:rPr>
          <w:i/>
        </w:rPr>
        <w:t xml:space="preserve">The OECD STAN Bilateral Trade </w:t>
      </w:r>
      <w:proofErr w:type="spellStart"/>
      <w:r w:rsidRPr="0080293A">
        <w:rPr>
          <w:i/>
        </w:rPr>
        <w:t>by</w:t>
      </w:r>
      <w:proofErr w:type="spellEnd"/>
      <w:r w:rsidRPr="0080293A">
        <w:rPr>
          <w:i/>
        </w:rPr>
        <w:t xml:space="preserve"> </w:t>
      </w:r>
      <w:proofErr w:type="spellStart"/>
      <w:r w:rsidRPr="0080293A">
        <w:rPr>
          <w:i/>
        </w:rPr>
        <w:t>Industry</w:t>
      </w:r>
      <w:proofErr w:type="spellEnd"/>
      <w:r w:rsidRPr="0080293A">
        <w:rPr>
          <w:i/>
        </w:rPr>
        <w:t xml:space="preserve"> </w:t>
      </w:r>
      <w:proofErr w:type="spellStart"/>
      <w:r w:rsidRPr="0080293A">
        <w:rPr>
          <w:i/>
        </w:rPr>
        <w:t>and</w:t>
      </w:r>
      <w:proofErr w:type="spellEnd"/>
      <w:r w:rsidRPr="0080293A">
        <w:rPr>
          <w:i/>
        </w:rPr>
        <w:t xml:space="preserve"> </w:t>
      </w:r>
      <w:proofErr w:type="spellStart"/>
      <w:r w:rsidRPr="0080293A">
        <w:rPr>
          <w:i/>
        </w:rPr>
        <w:t>End</w:t>
      </w:r>
      <w:proofErr w:type="spellEnd"/>
      <w:r w:rsidRPr="0080293A">
        <w:rPr>
          <w:i/>
        </w:rPr>
        <w:t>-use</w:t>
      </w:r>
      <w:r>
        <w:t xml:space="preserve"> (</w:t>
      </w:r>
      <w:r w:rsidR="000C01B3">
        <w:t>OECD, 2017</w:t>
      </w:r>
      <w:r>
        <w:t xml:space="preserve">) e baseado na 4ª versão do </w:t>
      </w:r>
      <w:proofErr w:type="spellStart"/>
      <w:r w:rsidRPr="00BC5BDF">
        <w:rPr>
          <w:i/>
        </w:rPr>
        <w:t>International</w:t>
      </w:r>
      <w:proofErr w:type="spellEnd"/>
      <w:r w:rsidRPr="00BC5BDF">
        <w:rPr>
          <w:i/>
        </w:rPr>
        <w:t xml:space="preserve"> </w:t>
      </w:r>
      <w:proofErr w:type="spellStart"/>
      <w:r w:rsidRPr="00BC5BDF">
        <w:rPr>
          <w:i/>
        </w:rPr>
        <w:t>Standart</w:t>
      </w:r>
      <w:proofErr w:type="spellEnd"/>
      <w:r w:rsidRPr="00BC5BDF">
        <w:rPr>
          <w:i/>
        </w:rPr>
        <w:t xml:space="preserve"> Industrial </w:t>
      </w:r>
      <w:proofErr w:type="spellStart"/>
      <w:r w:rsidRPr="00BC5BDF">
        <w:rPr>
          <w:i/>
        </w:rPr>
        <w:t>Classification</w:t>
      </w:r>
      <w:proofErr w:type="spellEnd"/>
      <w:r>
        <w:t xml:space="preserve"> (ISIC4). As tabelas de referência utilizadas para classificação são disponibilizadas pelo Departamento de Estatística e Apoio as Exportações (DAEX/MDIC) </w:t>
      </w:r>
      <w:r w:rsidR="00225404">
        <w:t>por meio</w:t>
      </w:r>
      <w:r>
        <w:t xml:space="preserve"> da correspondência entre o ISIC4 e a 4ª versão do Sistema Harmonizado (SH4)</w:t>
      </w:r>
      <w:r w:rsidR="00861A1F">
        <w:t xml:space="preserve"> </w:t>
      </w:r>
      <w:r w:rsidR="008F53D9">
        <w:t>(BRASIL, 2017)</w:t>
      </w:r>
      <w:r>
        <w:rPr>
          <w:rStyle w:val="Refdenotaderodap"/>
        </w:rPr>
        <w:footnoteReference w:id="8"/>
      </w:r>
      <w:r>
        <w:t>.</w:t>
      </w:r>
    </w:p>
    <w:p w14:paraId="6314D884" w14:textId="6B37699F" w:rsidR="001B316A" w:rsidRDefault="001B316A" w:rsidP="001B316A">
      <w:r>
        <w:t xml:space="preserve">Por fim, acrescentou-se também ao modelo a variável de Renda </w:t>
      </w:r>
      <w:r w:rsidRPr="00225404">
        <w:rPr>
          <w:i/>
          <w:iCs/>
        </w:rPr>
        <w:t>per capita</w:t>
      </w:r>
      <w:r>
        <w:t xml:space="preserve"> dos </w:t>
      </w:r>
      <w:r w:rsidR="00BB5561">
        <w:t xml:space="preserve">vinte </w:t>
      </w:r>
      <w:r>
        <w:t>principais países de destino das exportações</w:t>
      </w:r>
      <w:r w:rsidR="00225404">
        <w:t xml:space="preserve"> da região SE</w:t>
      </w:r>
      <w:r>
        <w:t xml:space="preserve">. De modo semelhante à renda </w:t>
      </w:r>
      <w:r w:rsidRPr="00225404">
        <w:rPr>
          <w:i/>
          <w:iCs/>
        </w:rPr>
        <w:t>per capita</w:t>
      </w:r>
      <w:r>
        <w:t xml:space="preserve"> dos estados</w:t>
      </w:r>
      <w:r w:rsidR="004B2090">
        <w:t>,</w:t>
      </w:r>
      <w:r>
        <w:t xml:space="preserve"> esta variável é mensurada pela média</w:t>
      </w:r>
      <w:r w:rsidR="004F7F49">
        <w:t xml:space="preserve"> ponderada</w:t>
      </w:r>
      <w:r>
        <w:t xml:space="preserve"> da razão do PIB dos vinte principais países destino</w:t>
      </w:r>
      <w:r w:rsidR="004B2090">
        <w:t>s</w:t>
      </w:r>
      <w:r>
        <w:t xml:space="preserve"> das exportações dos estados do Sudeste em valor líquido FOB pelas suas respectivas populações totais. Os dados foram obtidos junto a</w:t>
      </w:r>
      <w:r w:rsidR="00B409F1">
        <w:t xml:space="preserve"> base de dados d</w:t>
      </w:r>
      <w:r>
        <w:t xml:space="preserve">o </w:t>
      </w:r>
      <w:r w:rsidRPr="004B2090">
        <w:rPr>
          <w:i/>
          <w:iCs/>
        </w:rPr>
        <w:t xml:space="preserve">World </w:t>
      </w:r>
      <w:proofErr w:type="spellStart"/>
      <w:r w:rsidRPr="004B2090">
        <w:rPr>
          <w:i/>
          <w:iCs/>
        </w:rPr>
        <w:t>Development</w:t>
      </w:r>
      <w:proofErr w:type="spellEnd"/>
      <w:r w:rsidRPr="004B2090">
        <w:rPr>
          <w:i/>
          <w:iCs/>
        </w:rPr>
        <w:t xml:space="preserve"> </w:t>
      </w:r>
      <w:proofErr w:type="spellStart"/>
      <w:r w:rsidRPr="004B2090">
        <w:rPr>
          <w:i/>
          <w:iCs/>
        </w:rPr>
        <w:t>Indicators</w:t>
      </w:r>
      <w:proofErr w:type="spellEnd"/>
      <w:r>
        <w:t xml:space="preserve"> (WDI) do Banco Mundial</w:t>
      </w:r>
      <w:r w:rsidR="00B4757F">
        <w:t xml:space="preserve"> (</w:t>
      </w:r>
      <w:r w:rsidR="0013180A">
        <w:t>2018a e 2018b)</w:t>
      </w:r>
      <w:r>
        <w:t>.</w:t>
      </w:r>
    </w:p>
    <w:p w14:paraId="31C31885" w14:textId="77777777" w:rsidR="001B316A" w:rsidRDefault="001B316A" w:rsidP="001B316A"/>
    <w:p w14:paraId="2490749E" w14:textId="1841BE05" w:rsidR="001B316A" w:rsidRDefault="00C151AF" w:rsidP="00202D22">
      <w:pPr>
        <w:pStyle w:val="Ttulo1"/>
        <w:numPr>
          <w:ilvl w:val="0"/>
          <w:numId w:val="8"/>
        </w:numPr>
      </w:pPr>
      <w:r>
        <w:t>ESTIMAÇÃO</w:t>
      </w:r>
    </w:p>
    <w:p w14:paraId="4963011E" w14:textId="46C4CC9D" w:rsidR="001B316A" w:rsidRDefault="006818FB" w:rsidP="001B316A">
      <w:pPr>
        <w:pStyle w:val="Ttulo2"/>
      </w:pPr>
      <w:r>
        <w:t xml:space="preserve">5.1 </w:t>
      </w:r>
      <w:r w:rsidR="001B316A">
        <w:t>Testes de Raiz Unitária</w:t>
      </w:r>
    </w:p>
    <w:p w14:paraId="7A1B7887" w14:textId="3BBC0A5A" w:rsidR="001B316A" w:rsidRDefault="001B316A" w:rsidP="001B316A">
      <w:r>
        <w:t>Os testes de raiz unitária para dados em painel surgiram a partir dos testes para séries temporais. A grande diferença en</w:t>
      </w:r>
      <w:r w:rsidR="004B2090">
        <w:t>tre ambos é que quando se trata</w:t>
      </w:r>
      <w:r>
        <w:t xml:space="preserve"> de dados em painel</w:t>
      </w:r>
      <w:r w:rsidR="004B2090">
        <w:t>,</w:t>
      </w:r>
      <w:r>
        <w:t xml:space="preserve"> </w:t>
      </w:r>
      <w:r w:rsidR="004B2090">
        <w:t>deve-se</w:t>
      </w:r>
      <w:r>
        <w:t xml:space="preserve"> considerar o comportamento assintótico da dimensão temporal T e da dimensão </w:t>
      </w:r>
      <w:proofErr w:type="spellStart"/>
      <w:r w:rsidRPr="004E23EC">
        <w:rPr>
          <w:i/>
        </w:rPr>
        <w:t>cross-section</w:t>
      </w:r>
      <w:proofErr w:type="spellEnd"/>
      <w:r>
        <w:t xml:space="preserve"> N (BALTAGI, 200</w:t>
      </w:r>
      <w:r w:rsidR="009B76B2">
        <w:t>5</w:t>
      </w:r>
      <w:r>
        <w:t>). Para este trabalho</w:t>
      </w:r>
      <w:r w:rsidR="004B2090">
        <w:t>,</w:t>
      </w:r>
      <w:r>
        <w:t xml:space="preserve"> foram realizados os testes de </w:t>
      </w:r>
      <w:proofErr w:type="spellStart"/>
      <w:r>
        <w:t>Levin</w:t>
      </w:r>
      <w:proofErr w:type="spellEnd"/>
      <w:r>
        <w:t xml:space="preserve">, </w:t>
      </w:r>
      <w:proofErr w:type="spellStart"/>
      <w:r>
        <w:t>Lin</w:t>
      </w:r>
      <w:proofErr w:type="spellEnd"/>
      <w:r>
        <w:t xml:space="preserve"> e Chu (2002) e os testes de Fisher–</w:t>
      </w:r>
      <w:proofErr w:type="spellStart"/>
      <w:r>
        <w:t>Augmented</w:t>
      </w:r>
      <w:proofErr w:type="spellEnd"/>
      <w:r>
        <w:t xml:space="preserve"> </w:t>
      </w:r>
      <w:proofErr w:type="spellStart"/>
      <w:r>
        <w:t>Dickey-Fuller</w:t>
      </w:r>
      <w:proofErr w:type="spellEnd"/>
      <w:r>
        <w:t xml:space="preserve"> e Fisher-Philips-</w:t>
      </w:r>
      <w:proofErr w:type="spellStart"/>
      <w:r>
        <w:t>Perron</w:t>
      </w:r>
      <w:proofErr w:type="spellEnd"/>
      <w:r>
        <w:t xml:space="preserve"> de </w:t>
      </w:r>
      <w:proofErr w:type="spellStart"/>
      <w:r>
        <w:t>Maddala</w:t>
      </w:r>
      <w:proofErr w:type="spellEnd"/>
      <w:r>
        <w:t xml:space="preserve"> e </w:t>
      </w:r>
      <w:r w:rsidR="000A4396">
        <w:t>Wu (</w:t>
      </w:r>
      <w:r>
        <w:t>1999).</w:t>
      </w:r>
    </w:p>
    <w:p w14:paraId="0AEBBA86" w14:textId="392319F9" w:rsidR="001B316A" w:rsidRDefault="001B316A" w:rsidP="001B316A">
      <w:r>
        <w:t>A principal diferença entre o primeiro e os dois últimos está na hipótese alternativa. Enquanto o LLC considera um processo de raiz unitária para o painel como um todo, os demais</w:t>
      </w:r>
      <w:r w:rsidR="004B2090">
        <w:t xml:space="preserve"> c</w:t>
      </w:r>
      <w:r w:rsidR="000A4396">
        <w:t xml:space="preserve">onsideram um coeficiente </w:t>
      </w:r>
      <w:proofErr w:type="spellStart"/>
      <w:r w:rsidR="000A4396">
        <w:t>autor</w:t>
      </w:r>
      <w:r>
        <w:t>regressivo</w:t>
      </w:r>
      <w:proofErr w:type="spellEnd"/>
      <w:r>
        <w:t xml:space="preserve"> específico para cada N</w:t>
      </w:r>
      <w:r w:rsidR="00EC581F">
        <w:t xml:space="preserve"> </w:t>
      </w:r>
      <w:r>
        <w:t xml:space="preserve">(ÁVILA, 2015). Além disso, </w:t>
      </w:r>
      <w:proofErr w:type="spellStart"/>
      <w:r>
        <w:t>Baltagi</w:t>
      </w:r>
      <w:proofErr w:type="spellEnd"/>
      <w:r>
        <w:t xml:space="preserve"> (200</w:t>
      </w:r>
      <w:r w:rsidR="009B76B2">
        <w:t>5</w:t>
      </w:r>
      <w:r>
        <w:t xml:space="preserve">) aponta que os testes de Fisher possuem maior poder de análise em relação ao LLC quando a dimensão </w:t>
      </w:r>
      <w:proofErr w:type="spellStart"/>
      <w:r w:rsidRPr="001172FA">
        <w:rPr>
          <w:i/>
        </w:rPr>
        <w:t>cross-section</w:t>
      </w:r>
      <w:proofErr w:type="spellEnd"/>
      <w:r w:rsidRPr="001172FA">
        <w:t xml:space="preserve"> </w:t>
      </w:r>
      <w:r w:rsidR="00835A9C">
        <w:t>é pequena.</w:t>
      </w:r>
      <w:r w:rsidR="0023775C">
        <w:t xml:space="preserve"> Portanto, a partir dos testes de raiz unitárias </w:t>
      </w:r>
      <w:r w:rsidR="0023775C" w:rsidRPr="00E546A8">
        <w:t>(T</w:t>
      </w:r>
      <w:r w:rsidR="004B2090">
        <w:t>abela</w:t>
      </w:r>
      <w:r w:rsidR="0023775C" w:rsidRPr="00E546A8">
        <w:t xml:space="preserve"> </w:t>
      </w:r>
      <w:r w:rsidR="006D6471">
        <w:t>2</w:t>
      </w:r>
      <w:r w:rsidR="0023775C" w:rsidRPr="00E546A8">
        <w:t>)</w:t>
      </w:r>
      <w:r w:rsidR="004B2090">
        <w:t xml:space="preserve">, é possível afirmar </w:t>
      </w:r>
      <w:r w:rsidR="0023775C">
        <w:t xml:space="preserve">que existem evidências </w:t>
      </w:r>
      <w:r w:rsidR="0023775C">
        <w:lastRenderedPageBreak/>
        <w:t xml:space="preserve">de que todas as variáveis são </w:t>
      </w:r>
      <w:r w:rsidR="00242F08">
        <w:t xml:space="preserve">não </w:t>
      </w:r>
      <w:r w:rsidR="0023775C">
        <w:t xml:space="preserve">estacionárias em </w:t>
      </w:r>
      <w:r w:rsidR="00242F08">
        <w:t xml:space="preserve">nível e estacionárias em </w:t>
      </w:r>
      <w:r w:rsidR="0023775C">
        <w:t>primeira diferença,</w:t>
      </w:r>
      <w:r w:rsidR="004B2090">
        <w:t xml:space="preserve"> sendo, </w:t>
      </w:r>
      <w:r w:rsidR="0023775C">
        <w:t xml:space="preserve">portanto, integradas de ordem </w:t>
      </w:r>
      <w:proofErr w:type="gramStart"/>
      <w:r w:rsidR="0023775C">
        <w:t>I(</w:t>
      </w:r>
      <w:proofErr w:type="gramEnd"/>
      <w:r w:rsidR="0023775C">
        <w:t>1).</w:t>
      </w:r>
    </w:p>
    <w:p w14:paraId="105F5450" w14:textId="77777777" w:rsidR="00835A9C" w:rsidRDefault="00835A9C" w:rsidP="001B316A"/>
    <w:p w14:paraId="34324C4B" w14:textId="4778DB59" w:rsidR="001B316A" w:rsidRDefault="001B316A" w:rsidP="00835A9C">
      <w:pPr>
        <w:pStyle w:val="titulofigura"/>
      </w:pPr>
      <w:r w:rsidRPr="008C55D1">
        <w:t xml:space="preserve">Tabela </w:t>
      </w:r>
      <w:r w:rsidR="006D6471">
        <w:t>2</w:t>
      </w:r>
      <w:r>
        <w:t xml:space="preserve"> – Testes de Raiz Unitária</w:t>
      </w:r>
    </w:p>
    <w:tbl>
      <w:tblPr>
        <w:tblStyle w:val="Tabelacomgrad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7"/>
        <w:gridCol w:w="1294"/>
        <w:gridCol w:w="1357"/>
        <w:gridCol w:w="1465"/>
        <w:gridCol w:w="1578"/>
      </w:tblGrid>
      <w:tr w:rsidR="007A3998" w:rsidRPr="00A23367" w14:paraId="71B1134B" w14:textId="77777777" w:rsidTr="007A3998">
        <w:trPr>
          <w:jc w:val="center"/>
        </w:trPr>
        <w:tc>
          <w:tcPr>
            <w:tcW w:w="1607" w:type="dxa"/>
            <w:tcBorders>
              <w:top w:val="single" w:sz="4" w:space="0" w:color="auto"/>
              <w:bottom w:val="single" w:sz="4" w:space="0" w:color="auto"/>
            </w:tcBorders>
            <w:vAlign w:val="center"/>
          </w:tcPr>
          <w:p w14:paraId="08A59AD0" w14:textId="77777777" w:rsidR="007A3998" w:rsidRPr="00A23367" w:rsidRDefault="007A3998" w:rsidP="00380542">
            <w:pPr>
              <w:ind w:firstLine="0"/>
              <w:jc w:val="center"/>
              <w:rPr>
                <w:b/>
                <w:sz w:val="20"/>
              </w:rPr>
            </w:pPr>
            <w:r w:rsidRPr="00A23367">
              <w:rPr>
                <w:b/>
                <w:sz w:val="20"/>
              </w:rPr>
              <w:t>Variável</w:t>
            </w:r>
          </w:p>
        </w:tc>
        <w:tc>
          <w:tcPr>
            <w:tcW w:w="1294" w:type="dxa"/>
            <w:tcBorders>
              <w:top w:val="single" w:sz="4" w:space="0" w:color="auto"/>
              <w:bottom w:val="single" w:sz="4" w:space="0" w:color="auto"/>
            </w:tcBorders>
            <w:vAlign w:val="center"/>
          </w:tcPr>
          <w:p w14:paraId="6F716292" w14:textId="77777777" w:rsidR="007A3998" w:rsidRPr="00A23367" w:rsidRDefault="007A3998" w:rsidP="00380542">
            <w:pPr>
              <w:ind w:firstLine="0"/>
              <w:jc w:val="center"/>
              <w:rPr>
                <w:b/>
                <w:sz w:val="20"/>
              </w:rPr>
            </w:pPr>
            <w:r w:rsidRPr="00A23367">
              <w:rPr>
                <w:b/>
                <w:sz w:val="20"/>
              </w:rPr>
              <w:t>LLC</w:t>
            </w:r>
          </w:p>
        </w:tc>
        <w:tc>
          <w:tcPr>
            <w:tcW w:w="1357" w:type="dxa"/>
            <w:tcBorders>
              <w:top w:val="single" w:sz="4" w:space="0" w:color="auto"/>
              <w:bottom w:val="single" w:sz="4" w:space="0" w:color="auto"/>
            </w:tcBorders>
            <w:vAlign w:val="center"/>
          </w:tcPr>
          <w:p w14:paraId="6BDF6955" w14:textId="77777777" w:rsidR="007A3998" w:rsidRPr="00A23367" w:rsidRDefault="007A3998" w:rsidP="00380542">
            <w:pPr>
              <w:ind w:firstLine="0"/>
              <w:jc w:val="center"/>
              <w:rPr>
                <w:b/>
                <w:sz w:val="20"/>
              </w:rPr>
            </w:pPr>
            <w:r w:rsidRPr="00A23367">
              <w:rPr>
                <w:b/>
                <w:sz w:val="20"/>
              </w:rPr>
              <w:t>Fisher ADF</w:t>
            </w:r>
          </w:p>
        </w:tc>
        <w:tc>
          <w:tcPr>
            <w:tcW w:w="1465" w:type="dxa"/>
            <w:tcBorders>
              <w:top w:val="single" w:sz="4" w:space="0" w:color="auto"/>
              <w:bottom w:val="single" w:sz="4" w:space="0" w:color="auto"/>
            </w:tcBorders>
            <w:vAlign w:val="center"/>
          </w:tcPr>
          <w:p w14:paraId="74D8CA1A" w14:textId="77777777" w:rsidR="007A3998" w:rsidRPr="00A23367" w:rsidRDefault="007A3998" w:rsidP="00380542">
            <w:pPr>
              <w:ind w:firstLine="0"/>
              <w:jc w:val="center"/>
              <w:rPr>
                <w:b/>
                <w:sz w:val="20"/>
              </w:rPr>
            </w:pPr>
            <w:r w:rsidRPr="00A23367">
              <w:rPr>
                <w:b/>
                <w:sz w:val="20"/>
              </w:rPr>
              <w:t>Fisher PP</w:t>
            </w:r>
          </w:p>
        </w:tc>
        <w:tc>
          <w:tcPr>
            <w:tcW w:w="1578" w:type="dxa"/>
            <w:tcBorders>
              <w:top w:val="single" w:sz="4" w:space="0" w:color="auto"/>
              <w:bottom w:val="single" w:sz="4" w:space="0" w:color="auto"/>
            </w:tcBorders>
            <w:vAlign w:val="center"/>
          </w:tcPr>
          <w:p w14:paraId="3BCE3AC3" w14:textId="77777777" w:rsidR="007A3998" w:rsidRPr="00A23367" w:rsidRDefault="007A3998" w:rsidP="00380542">
            <w:pPr>
              <w:ind w:firstLine="0"/>
              <w:jc w:val="center"/>
              <w:rPr>
                <w:b/>
                <w:sz w:val="20"/>
              </w:rPr>
            </w:pPr>
            <w:r w:rsidRPr="00A23367">
              <w:rPr>
                <w:b/>
                <w:sz w:val="20"/>
              </w:rPr>
              <w:t>Conclusão</w:t>
            </w:r>
          </w:p>
        </w:tc>
      </w:tr>
      <w:tr w:rsidR="007A3998" w:rsidRPr="00621115" w14:paraId="1761B156" w14:textId="77777777" w:rsidTr="007A3998">
        <w:trPr>
          <w:jc w:val="center"/>
        </w:trPr>
        <w:tc>
          <w:tcPr>
            <w:tcW w:w="1607" w:type="dxa"/>
            <w:tcBorders>
              <w:top w:val="single" w:sz="4" w:space="0" w:color="auto"/>
            </w:tcBorders>
            <w:vAlign w:val="center"/>
          </w:tcPr>
          <w:p w14:paraId="313E16E3" w14:textId="77777777" w:rsidR="007A3998" w:rsidRPr="00621115" w:rsidRDefault="007A3998" w:rsidP="007A3998">
            <w:pPr>
              <w:pStyle w:val="TABELAs"/>
            </w:pPr>
            <w:proofErr w:type="spellStart"/>
            <w:r>
              <w:t>logGTP</w:t>
            </w:r>
            <w:proofErr w:type="spellEnd"/>
          </w:p>
        </w:tc>
        <w:tc>
          <w:tcPr>
            <w:tcW w:w="1294" w:type="dxa"/>
            <w:tcBorders>
              <w:top w:val="single" w:sz="4" w:space="0" w:color="auto"/>
            </w:tcBorders>
            <w:vAlign w:val="center"/>
          </w:tcPr>
          <w:p w14:paraId="5991F3B2" w14:textId="77777777" w:rsidR="007A3998" w:rsidRPr="00621115" w:rsidRDefault="007A3998" w:rsidP="007A3998">
            <w:pPr>
              <w:pStyle w:val="TABELAs"/>
            </w:pPr>
            <w:r w:rsidRPr="00D47487">
              <w:t>-0.73183</w:t>
            </w:r>
          </w:p>
        </w:tc>
        <w:tc>
          <w:tcPr>
            <w:tcW w:w="1357" w:type="dxa"/>
            <w:tcBorders>
              <w:top w:val="single" w:sz="4" w:space="0" w:color="auto"/>
            </w:tcBorders>
            <w:vAlign w:val="center"/>
          </w:tcPr>
          <w:p w14:paraId="4F3EE8ED" w14:textId="77777777" w:rsidR="007A3998" w:rsidRPr="00621115" w:rsidRDefault="007A3998" w:rsidP="007A3998">
            <w:pPr>
              <w:pStyle w:val="TABELAs"/>
            </w:pPr>
            <w:r w:rsidRPr="00D47487">
              <w:t>12.5147</w:t>
            </w:r>
          </w:p>
        </w:tc>
        <w:tc>
          <w:tcPr>
            <w:tcW w:w="1465" w:type="dxa"/>
            <w:tcBorders>
              <w:top w:val="single" w:sz="4" w:space="0" w:color="auto"/>
            </w:tcBorders>
            <w:vAlign w:val="center"/>
          </w:tcPr>
          <w:p w14:paraId="3B7AB034" w14:textId="77777777" w:rsidR="007A3998" w:rsidRPr="00621115" w:rsidRDefault="007A3998" w:rsidP="007A3998">
            <w:pPr>
              <w:pStyle w:val="TABELAs"/>
            </w:pPr>
            <w:r w:rsidRPr="00D47487">
              <w:t>40.4083</w:t>
            </w:r>
            <w:r>
              <w:t>***</w:t>
            </w:r>
          </w:p>
        </w:tc>
        <w:tc>
          <w:tcPr>
            <w:tcW w:w="1578" w:type="dxa"/>
            <w:tcBorders>
              <w:top w:val="single" w:sz="4" w:space="0" w:color="auto"/>
            </w:tcBorders>
            <w:vAlign w:val="center"/>
          </w:tcPr>
          <w:p w14:paraId="6CC68824" w14:textId="77777777" w:rsidR="007A3998" w:rsidRPr="00621115" w:rsidRDefault="007A3998" w:rsidP="007A3998">
            <w:pPr>
              <w:pStyle w:val="TABELAs"/>
            </w:pPr>
            <w:r>
              <w:t>Não estacionária</w:t>
            </w:r>
          </w:p>
        </w:tc>
      </w:tr>
      <w:tr w:rsidR="007A3998" w:rsidRPr="00621115" w14:paraId="214E5B77" w14:textId="77777777" w:rsidTr="007A3998">
        <w:trPr>
          <w:jc w:val="center"/>
        </w:trPr>
        <w:tc>
          <w:tcPr>
            <w:tcW w:w="1607" w:type="dxa"/>
            <w:vAlign w:val="center"/>
          </w:tcPr>
          <w:p w14:paraId="42D48FDA" w14:textId="77777777" w:rsidR="007A3998" w:rsidRPr="00621115" w:rsidRDefault="007A3998" w:rsidP="007A3998">
            <w:pPr>
              <w:pStyle w:val="TABELAs"/>
            </w:pPr>
            <w:proofErr w:type="spellStart"/>
            <w:r w:rsidRPr="00621115">
              <w:t>logPIBpc</w:t>
            </w:r>
            <w:proofErr w:type="spellEnd"/>
          </w:p>
        </w:tc>
        <w:tc>
          <w:tcPr>
            <w:tcW w:w="1294" w:type="dxa"/>
            <w:vAlign w:val="center"/>
          </w:tcPr>
          <w:p w14:paraId="54E39665" w14:textId="77777777" w:rsidR="007A3998" w:rsidRPr="00621115" w:rsidRDefault="007A3998" w:rsidP="007A3998">
            <w:pPr>
              <w:pStyle w:val="TABELAs"/>
            </w:pPr>
            <w:r>
              <w:t>-1.2697</w:t>
            </w:r>
          </w:p>
        </w:tc>
        <w:tc>
          <w:tcPr>
            <w:tcW w:w="1357" w:type="dxa"/>
            <w:vAlign w:val="center"/>
          </w:tcPr>
          <w:p w14:paraId="3A0D9069" w14:textId="77777777" w:rsidR="007A3998" w:rsidRPr="00621115" w:rsidRDefault="007A3998" w:rsidP="007A3998">
            <w:pPr>
              <w:pStyle w:val="TABELAs"/>
            </w:pPr>
            <w:r>
              <w:t>3.0395</w:t>
            </w:r>
          </w:p>
        </w:tc>
        <w:tc>
          <w:tcPr>
            <w:tcW w:w="1465" w:type="dxa"/>
            <w:vAlign w:val="center"/>
          </w:tcPr>
          <w:p w14:paraId="3569DF51" w14:textId="77777777" w:rsidR="007A3998" w:rsidRPr="00621115" w:rsidRDefault="007A3998" w:rsidP="007A3998">
            <w:pPr>
              <w:pStyle w:val="TABELAs"/>
            </w:pPr>
            <w:r>
              <w:t>6.5789</w:t>
            </w:r>
          </w:p>
        </w:tc>
        <w:tc>
          <w:tcPr>
            <w:tcW w:w="1578" w:type="dxa"/>
            <w:vAlign w:val="center"/>
          </w:tcPr>
          <w:p w14:paraId="39A8F1BB" w14:textId="77777777" w:rsidR="007A3998" w:rsidRPr="00621115" w:rsidRDefault="007A3998" w:rsidP="007A3998">
            <w:pPr>
              <w:pStyle w:val="TABELAs"/>
            </w:pPr>
            <w:r>
              <w:t>Não estacionária</w:t>
            </w:r>
          </w:p>
        </w:tc>
      </w:tr>
      <w:tr w:rsidR="007A3998" w:rsidRPr="00621115" w14:paraId="2DEDE2DA" w14:textId="77777777" w:rsidTr="007A3998">
        <w:trPr>
          <w:jc w:val="center"/>
        </w:trPr>
        <w:tc>
          <w:tcPr>
            <w:tcW w:w="1607" w:type="dxa"/>
            <w:vAlign w:val="center"/>
          </w:tcPr>
          <w:p w14:paraId="496D4B8A" w14:textId="77777777" w:rsidR="007A3998" w:rsidRPr="00621115" w:rsidRDefault="007A3998" w:rsidP="007A3998">
            <w:pPr>
              <w:pStyle w:val="TABELAs"/>
            </w:pPr>
            <w:r w:rsidRPr="00621115">
              <w:t>logPIBpc</w:t>
            </w:r>
            <w:r>
              <w:t>²</w:t>
            </w:r>
          </w:p>
        </w:tc>
        <w:tc>
          <w:tcPr>
            <w:tcW w:w="1294" w:type="dxa"/>
            <w:vAlign w:val="center"/>
          </w:tcPr>
          <w:p w14:paraId="3DE96100" w14:textId="77777777" w:rsidR="007A3998" w:rsidRPr="00621115" w:rsidRDefault="007A3998" w:rsidP="007A3998">
            <w:pPr>
              <w:pStyle w:val="TABELAs"/>
            </w:pPr>
            <w:r>
              <w:t>-1.6630**</w:t>
            </w:r>
          </w:p>
        </w:tc>
        <w:tc>
          <w:tcPr>
            <w:tcW w:w="1357" w:type="dxa"/>
            <w:vAlign w:val="center"/>
          </w:tcPr>
          <w:p w14:paraId="3D3B0096" w14:textId="77777777" w:rsidR="007A3998" w:rsidRPr="00621115" w:rsidRDefault="007A3998" w:rsidP="007A3998">
            <w:pPr>
              <w:pStyle w:val="TABELAs"/>
            </w:pPr>
            <w:r>
              <w:t>6.2181</w:t>
            </w:r>
          </w:p>
        </w:tc>
        <w:tc>
          <w:tcPr>
            <w:tcW w:w="1465" w:type="dxa"/>
            <w:vAlign w:val="center"/>
          </w:tcPr>
          <w:p w14:paraId="1B9259A7" w14:textId="77777777" w:rsidR="007A3998" w:rsidRPr="00621115" w:rsidRDefault="007A3998" w:rsidP="007A3998">
            <w:pPr>
              <w:pStyle w:val="TABELAs"/>
            </w:pPr>
            <w:r>
              <w:t>6.2917</w:t>
            </w:r>
          </w:p>
        </w:tc>
        <w:tc>
          <w:tcPr>
            <w:tcW w:w="1578" w:type="dxa"/>
            <w:vAlign w:val="center"/>
          </w:tcPr>
          <w:p w14:paraId="5886295E" w14:textId="77777777" w:rsidR="007A3998" w:rsidRPr="00621115" w:rsidRDefault="007A3998" w:rsidP="007A3998">
            <w:pPr>
              <w:pStyle w:val="TABELAs"/>
            </w:pPr>
            <w:r>
              <w:t>Não estacionária</w:t>
            </w:r>
          </w:p>
        </w:tc>
      </w:tr>
      <w:tr w:rsidR="007A3998" w:rsidRPr="00621115" w14:paraId="58F528F2" w14:textId="77777777" w:rsidTr="007A3998">
        <w:trPr>
          <w:jc w:val="center"/>
        </w:trPr>
        <w:tc>
          <w:tcPr>
            <w:tcW w:w="1607" w:type="dxa"/>
          </w:tcPr>
          <w:p w14:paraId="34B0AA07" w14:textId="77777777" w:rsidR="007A3998" w:rsidRPr="00621115" w:rsidRDefault="007A3998" w:rsidP="007A3998">
            <w:pPr>
              <w:pStyle w:val="TABELAs"/>
            </w:pPr>
            <w:r w:rsidRPr="00621115">
              <w:t>logPIBpc</w:t>
            </w:r>
            <w:r>
              <w:t>³</w:t>
            </w:r>
          </w:p>
        </w:tc>
        <w:tc>
          <w:tcPr>
            <w:tcW w:w="1294" w:type="dxa"/>
            <w:vAlign w:val="center"/>
          </w:tcPr>
          <w:p w14:paraId="204FF71D" w14:textId="77777777" w:rsidR="007A3998" w:rsidRPr="00621115" w:rsidRDefault="007A3998" w:rsidP="007A3998">
            <w:pPr>
              <w:pStyle w:val="TABELAs"/>
            </w:pPr>
            <w:r w:rsidRPr="006B556A">
              <w:t>-2.9603</w:t>
            </w:r>
            <w:r>
              <w:t>***</w:t>
            </w:r>
          </w:p>
        </w:tc>
        <w:tc>
          <w:tcPr>
            <w:tcW w:w="1357" w:type="dxa"/>
            <w:vAlign w:val="center"/>
          </w:tcPr>
          <w:p w14:paraId="36C7D998" w14:textId="77777777" w:rsidR="007A3998" w:rsidRPr="00621115" w:rsidRDefault="007A3998" w:rsidP="007A3998">
            <w:pPr>
              <w:pStyle w:val="TABELAs"/>
            </w:pPr>
            <w:r w:rsidRPr="003709F1">
              <w:t>0.2171</w:t>
            </w:r>
          </w:p>
        </w:tc>
        <w:tc>
          <w:tcPr>
            <w:tcW w:w="1465" w:type="dxa"/>
            <w:vAlign w:val="center"/>
          </w:tcPr>
          <w:p w14:paraId="2BF36FB1" w14:textId="77777777" w:rsidR="007A3998" w:rsidRPr="00621115" w:rsidRDefault="007A3998" w:rsidP="007A3998">
            <w:pPr>
              <w:pStyle w:val="TABELAs"/>
            </w:pPr>
            <w:r w:rsidRPr="003709F1">
              <w:t>0.6237</w:t>
            </w:r>
          </w:p>
        </w:tc>
        <w:tc>
          <w:tcPr>
            <w:tcW w:w="1578" w:type="dxa"/>
            <w:vAlign w:val="center"/>
          </w:tcPr>
          <w:p w14:paraId="35109A1D" w14:textId="77777777" w:rsidR="007A3998" w:rsidRPr="00621115" w:rsidRDefault="007A3998" w:rsidP="007A3998">
            <w:pPr>
              <w:pStyle w:val="TABELAs"/>
            </w:pPr>
            <w:r>
              <w:t>Não estacionária</w:t>
            </w:r>
          </w:p>
        </w:tc>
      </w:tr>
      <w:tr w:rsidR="007A3998" w:rsidRPr="00621115" w14:paraId="75E48359" w14:textId="77777777" w:rsidTr="007A3998">
        <w:trPr>
          <w:jc w:val="center"/>
        </w:trPr>
        <w:tc>
          <w:tcPr>
            <w:tcW w:w="1607" w:type="dxa"/>
          </w:tcPr>
          <w:p w14:paraId="510B3DD6" w14:textId="77777777" w:rsidR="007A3998" w:rsidRPr="00621115" w:rsidRDefault="007A3998" w:rsidP="007A3998">
            <w:pPr>
              <w:pStyle w:val="TABELAs"/>
            </w:pPr>
            <w:proofErr w:type="spellStart"/>
            <w:r>
              <w:t>logdens</w:t>
            </w:r>
            <w:proofErr w:type="spellEnd"/>
          </w:p>
        </w:tc>
        <w:tc>
          <w:tcPr>
            <w:tcW w:w="1294" w:type="dxa"/>
            <w:vAlign w:val="center"/>
          </w:tcPr>
          <w:p w14:paraId="16074BBE" w14:textId="77777777" w:rsidR="007A3998" w:rsidRPr="00621115" w:rsidRDefault="007A3998" w:rsidP="007A3998">
            <w:pPr>
              <w:pStyle w:val="TABELAs"/>
            </w:pPr>
            <w:r>
              <w:t>-1.5972*</w:t>
            </w:r>
          </w:p>
        </w:tc>
        <w:tc>
          <w:tcPr>
            <w:tcW w:w="1357" w:type="dxa"/>
            <w:vAlign w:val="center"/>
          </w:tcPr>
          <w:p w14:paraId="30F18281" w14:textId="77777777" w:rsidR="007A3998" w:rsidRPr="00621115" w:rsidRDefault="007A3998" w:rsidP="007A3998">
            <w:pPr>
              <w:pStyle w:val="TABELAs"/>
            </w:pPr>
            <w:r>
              <w:t>3.6537</w:t>
            </w:r>
          </w:p>
        </w:tc>
        <w:tc>
          <w:tcPr>
            <w:tcW w:w="1465" w:type="dxa"/>
            <w:vAlign w:val="center"/>
          </w:tcPr>
          <w:p w14:paraId="3C285778" w14:textId="77777777" w:rsidR="007A3998" w:rsidRPr="00621115" w:rsidRDefault="007A3998" w:rsidP="007A3998">
            <w:pPr>
              <w:pStyle w:val="TABELAs"/>
            </w:pPr>
            <w:r>
              <w:t>8.5367</w:t>
            </w:r>
          </w:p>
        </w:tc>
        <w:tc>
          <w:tcPr>
            <w:tcW w:w="1578" w:type="dxa"/>
            <w:vAlign w:val="center"/>
          </w:tcPr>
          <w:p w14:paraId="72B070CE" w14:textId="77777777" w:rsidR="007A3998" w:rsidRPr="00621115" w:rsidRDefault="007A3998" w:rsidP="007A3998">
            <w:pPr>
              <w:pStyle w:val="TABELAs"/>
            </w:pPr>
            <w:r>
              <w:t>Não estacionária</w:t>
            </w:r>
          </w:p>
        </w:tc>
      </w:tr>
      <w:tr w:rsidR="007A3998" w:rsidRPr="00621115" w14:paraId="4758B499" w14:textId="77777777" w:rsidTr="007A3998">
        <w:trPr>
          <w:jc w:val="center"/>
        </w:trPr>
        <w:tc>
          <w:tcPr>
            <w:tcW w:w="1607" w:type="dxa"/>
          </w:tcPr>
          <w:p w14:paraId="4CC7DE9B" w14:textId="77777777" w:rsidR="007A3998" w:rsidRPr="00621115" w:rsidRDefault="007A3998" w:rsidP="007A3998">
            <w:pPr>
              <w:pStyle w:val="TABELAs"/>
            </w:pPr>
            <w:r>
              <w:t>logIN4000</w:t>
            </w:r>
          </w:p>
        </w:tc>
        <w:tc>
          <w:tcPr>
            <w:tcW w:w="1294" w:type="dxa"/>
            <w:vAlign w:val="center"/>
          </w:tcPr>
          <w:p w14:paraId="4EB3960D" w14:textId="77777777" w:rsidR="007A3998" w:rsidRPr="00621115" w:rsidRDefault="007A3998" w:rsidP="007A3998">
            <w:pPr>
              <w:pStyle w:val="TABELAs"/>
            </w:pPr>
            <w:r>
              <w:t>-0.873</w:t>
            </w:r>
            <w:r w:rsidRPr="0022330A">
              <w:t>7</w:t>
            </w:r>
          </w:p>
        </w:tc>
        <w:tc>
          <w:tcPr>
            <w:tcW w:w="1357" w:type="dxa"/>
            <w:vAlign w:val="center"/>
          </w:tcPr>
          <w:p w14:paraId="5A904624" w14:textId="77777777" w:rsidR="007A3998" w:rsidRPr="00621115" w:rsidRDefault="007A3998" w:rsidP="007A3998">
            <w:pPr>
              <w:pStyle w:val="TABELAs"/>
            </w:pPr>
            <w:r w:rsidRPr="00D9126B">
              <w:t>13.5673</w:t>
            </w:r>
          </w:p>
        </w:tc>
        <w:tc>
          <w:tcPr>
            <w:tcW w:w="1465" w:type="dxa"/>
            <w:vAlign w:val="center"/>
          </w:tcPr>
          <w:p w14:paraId="6BDFAF9D" w14:textId="77777777" w:rsidR="007A3998" w:rsidRPr="00621115" w:rsidRDefault="007A3998" w:rsidP="007A3998">
            <w:pPr>
              <w:pStyle w:val="TABELAs"/>
            </w:pPr>
            <w:r w:rsidRPr="00D9126B">
              <w:t>28.7923</w:t>
            </w:r>
            <w:r>
              <w:t>***</w:t>
            </w:r>
          </w:p>
        </w:tc>
        <w:tc>
          <w:tcPr>
            <w:tcW w:w="1578" w:type="dxa"/>
            <w:vAlign w:val="center"/>
          </w:tcPr>
          <w:p w14:paraId="7F610062" w14:textId="77777777" w:rsidR="007A3998" w:rsidRPr="00621115" w:rsidRDefault="007A3998" w:rsidP="007A3998">
            <w:pPr>
              <w:pStyle w:val="TABELAs"/>
            </w:pPr>
            <w:r>
              <w:t>Não estacionária</w:t>
            </w:r>
          </w:p>
        </w:tc>
      </w:tr>
      <w:tr w:rsidR="007A3998" w:rsidRPr="00621115" w14:paraId="5029B459" w14:textId="77777777" w:rsidTr="007A3998">
        <w:trPr>
          <w:jc w:val="center"/>
        </w:trPr>
        <w:tc>
          <w:tcPr>
            <w:tcW w:w="1607" w:type="dxa"/>
          </w:tcPr>
          <w:p w14:paraId="141404B5" w14:textId="77777777" w:rsidR="007A3998" w:rsidRPr="00621115" w:rsidRDefault="007A3998" w:rsidP="007A3998">
            <w:pPr>
              <w:pStyle w:val="TABELAs"/>
            </w:pPr>
            <w:proofErr w:type="spellStart"/>
            <w:r>
              <w:t>logPIBXpc</w:t>
            </w:r>
            <w:proofErr w:type="spellEnd"/>
          </w:p>
        </w:tc>
        <w:tc>
          <w:tcPr>
            <w:tcW w:w="1294" w:type="dxa"/>
            <w:vAlign w:val="center"/>
          </w:tcPr>
          <w:p w14:paraId="6A7E9D9A" w14:textId="77777777" w:rsidR="007A3998" w:rsidRPr="00621115" w:rsidRDefault="007A3998" w:rsidP="007A3998">
            <w:pPr>
              <w:pStyle w:val="TABELAs"/>
            </w:pPr>
            <w:r>
              <w:t>0.7281</w:t>
            </w:r>
          </w:p>
        </w:tc>
        <w:tc>
          <w:tcPr>
            <w:tcW w:w="1357" w:type="dxa"/>
            <w:vAlign w:val="center"/>
          </w:tcPr>
          <w:p w14:paraId="1671022D" w14:textId="77777777" w:rsidR="007A3998" w:rsidRPr="00621115" w:rsidRDefault="007A3998" w:rsidP="007A3998">
            <w:pPr>
              <w:pStyle w:val="TABELAs"/>
            </w:pPr>
            <w:r>
              <w:t>2.1941</w:t>
            </w:r>
          </w:p>
        </w:tc>
        <w:tc>
          <w:tcPr>
            <w:tcW w:w="1465" w:type="dxa"/>
            <w:vAlign w:val="center"/>
          </w:tcPr>
          <w:p w14:paraId="086D3B0A" w14:textId="77777777" w:rsidR="007A3998" w:rsidRPr="00621115" w:rsidRDefault="007A3998" w:rsidP="007A3998">
            <w:pPr>
              <w:pStyle w:val="TABELAs"/>
            </w:pPr>
            <w:r>
              <w:t>1.5768***</w:t>
            </w:r>
          </w:p>
        </w:tc>
        <w:tc>
          <w:tcPr>
            <w:tcW w:w="1578" w:type="dxa"/>
            <w:vAlign w:val="center"/>
          </w:tcPr>
          <w:p w14:paraId="617E9512" w14:textId="77777777" w:rsidR="007A3998" w:rsidRPr="00621115" w:rsidRDefault="007A3998" w:rsidP="007A3998">
            <w:pPr>
              <w:pStyle w:val="TABELAs"/>
            </w:pPr>
            <w:r>
              <w:t>Não estacionária</w:t>
            </w:r>
          </w:p>
        </w:tc>
      </w:tr>
      <w:tr w:rsidR="007A3998" w:rsidRPr="00621115" w14:paraId="38B23BDB" w14:textId="77777777" w:rsidTr="007A3998">
        <w:trPr>
          <w:jc w:val="center"/>
        </w:trPr>
        <w:tc>
          <w:tcPr>
            <w:tcW w:w="1607" w:type="dxa"/>
          </w:tcPr>
          <w:p w14:paraId="72CFA783" w14:textId="77777777" w:rsidR="007A3998" w:rsidRPr="00621115" w:rsidRDefault="007A3998" w:rsidP="007A3998">
            <w:pPr>
              <w:pStyle w:val="TABELAs"/>
            </w:pPr>
            <w:proofErr w:type="spellStart"/>
            <w:r>
              <w:rPr>
                <w:rFonts w:cs="Arial"/>
              </w:rPr>
              <w:t>Δ</w:t>
            </w:r>
            <w:r>
              <w:t>logGTP</w:t>
            </w:r>
            <w:proofErr w:type="spellEnd"/>
          </w:p>
        </w:tc>
        <w:tc>
          <w:tcPr>
            <w:tcW w:w="1294" w:type="dxa"/>
            <w:vAlign w:val="center"/>
          </w:tcPr>
          <w:p w14:paraId="57F39414" w14:textId="77777777" w:rsidR="007A3998" w:rsidRDefault="007A3998" w:rsidP="007A3998">
            <w:pPr>
              <w:pStyle w:val="TABELAs"/>
            </w:pPr>
            <w:r w:rsidRPr="00C32813">
              <w:t>-3.7585</w:t>
            </w:r>
            <w:r>
              <w:t>***</w:t>
            </w:r>
          </w:p>
        </w:tc>
        <w:tc>
          <w:tcPr>
            <w:tcW w:w="1357" w:type="dxa"/>
            <w:vAlign w:val="center"/>
          </w:tcPr>
          <w:p w14:paraId="3684AB6B" w14:textId="77777777" w:rsidR="007A3998" w:rsidRDefault="007A3998" w:rsidP="007A3998">
            <w:pPr>
              <w:pStyle w:val="TABELAs"/>
            </w:pPr>
            <w:r w:rsidRPr="00C32813">
              <w:t>28.9641</w:t>
            </w:r>
            <w:r>
              <w:t>***</w:t>
            </w:r>
          </w:p>
        </w:tc>
        <w:tc>
          <w:tcPr>
            <w:tcW w:w="1465" w:type="dxa"/>
            <w:vAlign w:val="center"/>
          </w:tcPr>
          <w:p w14:paraId="1AB0EDC8" w14:textId="77777777" w:rsidR="007A3998" w:rsidRDefault="007A3998" w:rsidP="007A3998">
            <w:pPr>
              <w:pStyle w:val="TABELAs"/>
            </w:pPr>
            <w:r w:rsidRPr="00C32813">
              <w:t>85.6265</w:t>
            </w:r>
            <w:r>
              <w:t>***</w:t>
            </w:r>
          </w:p>
        </w:tc>
        <w:tc>
          <w:tcPr>
            <w:tcW w:w="1578" w:type="dxa"/>
            <w:vAlign w:val="center"/>
          </w:tcPr>
          <w:p w14:paraId="109ED731" w14:textId="77777777" w:rsidR="007A3998" w:rsidRPr="00621115" w:rsidRDefault="007A3998" w:rsidP="007A3998">
            <w:pPr>
              <w:pStyle w:val="TABELAs"/>
            </w:pPr>
            <w:r>
              <w:t>Estacionária</w:t>
            </w:r>
          </w:p>
        </w:tc>
      </w:tr>
      <w:tr w:rsidR="007A3998" w:rsidRPr="00621115" w14:paraId="6E7FC415" w14:textId="77777777" w:rsidTr="007A3998">
        <w:trPr>
          <w:jc w:val="center"/>
        </w:trPr>
        <w:tc>
          <w:tcPr>
            <w:tcW w:w="1607" w:type="dxa"/>
          </w:tcPr>
          <w:p w14:paraId="28AF1E39" w14:textId="77777777" w:rsidR="007A3998" w:rsidRPr="00621115" w:rsidRDefault="007A3998" w:rsidP="007A3998">
            <w:pPr>
              <w:pStyle w:val="TABELAs"/>
            </w:pPr>
            <w:proofErr w:type="spellStart"/>
            <w:r>
              <w:rPr>
                <w:rFonts w:cs="Arial"/>
              </w:rPr>
              <w:t>Δ</w:t>
            </w:r>
            <w:r>
              <w:t>logPIBpc</w:t>
            </w:r>
            <w:proofErr w:type="spellEnd"/>
          </w:p>
        </w:tc>
        <w:tc>
          <w:tcPr>
            <w:tcW w:w="1294" w:type="dxa"/>
            <w:vAlign w:val="center"/>
          </w:tcPr>
          <w:p w14:paraId="35EEAD62" w14:textId="77777777" w:rsidR="007A3998" w:rsidRPr="00621115" w:rsidRDefault="007A3998" w:rsidP="007A3998">
            <w:pPr>
              <w:pStyle w:val="TABELAs"/>
            </w:pPr>
            <w:r>
              <w:t>-3.0729***</w:t>
            </w:r>
          </w:p>
        </w:tc>
        <w:tc>
          <w:tcPr>
            <w:tcW w:w="1357" w:type="dxa"/>
            <w:vAlign w:val="center"/>
          </w:tcPr>
          <w:p w14:paraId="207E69F0" w14:textId="77777777" w:rsidR="007A3998" w:rsidRPr="00621115" w:rsidRDefault="007A3998" w:rsidP="007A3998">
            <w:pPr>
              <w:pStyle w:val="TABELAs"/>
            </w:pPr>
            <w:r w:rsidRPr="004404CD">
              <w:t>18.3686</w:t>
            </w:r>
            <w:r>
              <w:t>**</w:t>
            </w:r>
          </w:p>
        </w:tc>
        <w:tc>
          <w:tcPr>
            <w:tcW w:w="1465" w:type="dxa"/>
            <w:vAlign w:val="center"/>
          </w:tcPr>
          <w:p w14:paraId="2CB2CDCB" w14:textId="77777777" w:rsidR="007A3998" w:rsidRPr="00621115" w:rsidRDefault="007A3998" w:rsidP="007A3998">
            <w:pPr>
              <w:pStyle w:val="TABELAs"/>
            </w:pPr>
            <w:r w:rsidRPr="004404CD">
              <w:t>18.693</w:t>
            </w:r>
            <w:r>
              <w:t>0**</w:t>
            </w:r>
          </w:p>
        </w:tc>
        <w:tc>
          <w:tcPr>
            <w:tcW w:w="1578" w:type="dxa"/>
            <w:vAlign w:val="center"/>
          </w:tcPr>
          <w:p w14:paraId="628DA1A9" w14:textId="77777777" w:rsidR="007A3998" w:rsidRPr="00621115" w:rsidRDefault="007A3998" w:rsidP="007A3998">
            <w:pPr>
              <w:pStyle w:val="TABELAs"/>
            </w:pPr>
            <w:r>
              <w:t>Estacionária</w:t>
            </w:r>
          </w:p>
        </w:tc>
      </w:tr>
      <w:tr w:rsidR="007A3998" w:rsidRPr="00621115" w14:paraId="7A77F5C7" w14:textId="77777777" w:rsidTr="007A3998">
        <w:trPr>
          <w:jc w:val="center"/>
        </w:trPr>
        <w:tc>
          <w:tcPr>
            <w:tcW w:w="1607" w:type="dxa"/>
          </w:tcPr>
          <w:p w14:paraId="369244DA" w14:textId="77777777" w:rsidR="007A3998" w:rsidRPr="00621115" w:rsidRDefault="007A3998" w:rsidP="007A3998">
            <w:pPr>
              <w:pStyle w:val="TABELAs"/>
            </w:pPr>
            <w:r>
              <w:rPr>
                <w:rFonts w:cs="Arial"/>
              </w:rPr>
              <w:t>Δ</w:t>
            </w:r>
            <w:r>
              <w:t>logPIBpc²</w:t>
            </w:r>
          </w:p>
        </w:tc>
        <w:tc>
          <w:tcPr>
            <w:tcW w:w="1294" w:type="dxa"/>
            <w:vAlign w:val="center"/>
          </w:tcPr>
          <w:p w14:paraId="4CF96499" w14:textId="77777777" w:rsidR="007A3998" w:rsidRPr="00621115" w:rsidRDefault="007A3998" w:rsidP="007A3998">
            <w:pPr>
              <w:pStyle w:val="TABELAs"/>
            </w:pPr>
            <w:r>
              <w:t>-3.0430***</w:t>
            </w:r>
          </w:p>
        </w:tc>
        <w:tc>
          <w:tcPr>
            <w:tcW w:w="1357" w:type="dxa"/>
            <w:vAlign w:val="center"/>
          </w:tcPr>
          <w:p w14:paraId="169515E1" w14:textId="77777777" w:rsidR="007A3998" w:rsidRPr="00621115" w:rsidRDefault="007A3998" w:rsidP="007A3998">
            <w:pPr>
              <w:pStyle w:val="TABELAs"/>
            </w:pPr>
            <w:r w:rsidRPr="003A18E6">
              <w:t>18.2115</w:t>
            </w:r>
            <w:r>
              <w:t>**</w:t>
            </w:r>
          </w:p>
        </w:tc>
        <w:tc>
          <w:tcPr>
            <w:tcW w:w="1465" w:type="dxa"/>
            <w:vAlign w:val="center"/>
          </w:tcPr>
          <w:p w14:paraId="70751979" w14:textId="77777777" w:rsidR="007A3998" w:rsidRPr="00621115" w:rsidRDefault="007A3998" w:rsidP="007A3998">
            <w:pPr>
              <w:pStyle w:val="TABELAs"/>
            </w:pPr>
            <w:r w:rsidRPr="008E4C3B">
              <w:t>18.5428</w:t>
            </w:r>
            <w:r>
              <w:t>**</w:t>
            </w:r>
          </w:p>
        </w:tc>
        <w:tc>
          <w:tcPr>
            <w:tcW w:w="1578" w:type="dxa"/>
            <w:vAlign w:val="center"/>
          </w:tcPr>
          <w:p w14:paraId="575F34C3" w14:textId="77777777" w:rsidR="007A3998" w:rsidRPr="00621115" w:rsidRDefault="007A3998" w:rsidP="007A3998">
            <w:pPr>
              <w:pStyle w:val="TABELAs"/>
            </w:pPr>
            <w:r>
              <w:t>Estacionária</w:t>
            </w:r>
          </w:p>
        </w:tc>
      </w:tr>
      <w:tr w:rsidR="007A3998" w:rsidRPr="00621115" w14:paraId="2BF7866B" w14:textId="77777777" w:rsidTr="007A3998">
        <w:trPr>
          <w:jc w:val="center"/>
        </w:trPr>
        <w:tc>
          <w:tcPr>
            <w:tcW w:w="1607" w:type="dxa"/>
          </w:tcPr>
          <w:p w14:paraId="671CC46F" w14:textId="77777777" w:rsidR="007A3998" w:rsidRPr="00621115" w:rsidRDefault="007A3998" w:rsidP="007A3998">
            <w:pPr>
              <w:pStyle w:val="TABELAs"/>
            </w:pPr>
            <w:r>
              <w:rPr>
                <w:rFonts w:cs="Arial"/>
              </w:rPr>
              <w:t>Δ</w:t>
            </w:r>
            <w:r>
              <w:t>logPIBpc³</w:t>
            </w:r>
          </w:p>
        </w:tc>
        <w:tc>
          <w:tcPr>
            <w:tcW w:w="1294" w:type="dxa"/>
            <w:vAlign w:val="center"/>
          </w:tcPr>
          <w:p w14:paraId="4518FA4F" w14:textId="77777777" w:rsidR="007A3998" w:rsidRPr="00621115" w:rsidRDefault="007A3998" w:rsidP="007A3998">
            <w:pPr>
              <w:pStyle w:val="TABELAs"/>
            </w:pPr>
            <w:r>
              <w:t>-1.4395*</w:t>
            </w:r>
          </w:p>
        </w:tc>
        <w:tc>
          <w:tcPr>
            <w:tcW w:w="1357" w:type="dxa"/>
            <w:vAlign w:val="center"/>
          </w:tcPr>
          <w:p w14:paraId="6A47701B" w14:textId="77777777" w:rsidR="007A3998" w:rsidRPr="00621115" w:rsidRDefault="007A3998" w:rsidP="007A3998">
            <w:pPr>
              <w:pStyle w:val="TABELAs"/>
            </w:pPr>
            <w:r w:rsidRPr="00AE13E3">
              <w:t>7.64517</w:t>
            </w:r>
          </w:p>
        </w:tc>
        <w:tc>
          <w:tcPr>
            <w:tcW w:w="1465" w:type="dxa"/>
            <w:vAlign w:val="center"/>
          </w:tcPr>
          <w:p w14:paraId="51A4999E" w14:textId="77777777" w:rsidR="007A3998" w:rsidRPr="00621115" w:rsidRDefault="007A3998" w:rsidP="007A3998">
            <w:pPr>
              <w:pStyle w:val="TABELAs"/>
            </w:pPr>
            <w:r w:rsidRPr="00AE13E3">
              <w:t>26.1127</w:t>
            </w:r>
            <w:r>
              <w:t>***</w:t>
            </w:r>
          </w:p>
        </w:tc>
        <w:tc>
          <w:tcPr>
            <w:tcW w:w="1578" w:type="dxa"/>
            <w:vAlign w:val="center"/>
          </w:tcPr>
          <w:p w14:paraId="32A62C20" w14:textId="77777777" w:rsidR="007A3998" w:rsidRPr="00621115" w:rsidRDefault="007A3998" w:rsidP="007A3998">
            <w:pPr>
              <w:pStyle w:val="TABELAs"/>
            </w:pPr>
            <w:r>
              <w:t>Estacionária</w:t>
            </w:r>
          </w:p>
        </w:tc>
      </w:tr>
      <w:tr w:rsidR="007A3998" w:rsidRPr="00621115" w14:paraId="54C59C21" w14:textId="77777777" w:rsidTr="007A3998">
        <w:trPr>
          <w:jc w:val="center"/>
        </w:trPr>
        <w:tc>
          <w:tcPr>
            <w:tcW w:w="1607" w:type="dxa"/>
          </w:tcPr>
          <w:p w14:paraId="51EC7297" w14:textId="77777777" w:rsidR="007A3998" w:rsidRPr="00621115" w:rsidRDefault="007A3998" w:rsidP="007A3998">
            <w:pPr>
              <w:pStyle w:val="TABELAs"/>
            </w:pPr>
            <w:proofErr w:type="spellStart"/>
            <w:r>
              <w:rPr>
                <w:rFonts w:cs="Arial"/>
              </w:rPr>
              <w:t>Δlog</w:t>
            </w:r>
            <w:r>
              <w:t>dens</w:t>
            </w:r>
            <w:proofErr w:type="spellEnd"/>
          </w:p>
        </w:tc>
        <w:tc>
          <w:tcPr>
            <w:tcW w:w="1294" w:type="dxa"/>
            <w:vAlign w:val="center"/>
          </w:tcPr>
          <w:p w14:paraId="2AA041BA" w14:textId="77777777" w:rsidR="007A3998" w:rsidRPr="00621115" w:rsidRDefault="007A3998" w:rsidP="007A3998">
            <w:pPr>
              <w:pStyle w:val="TABELAs"/>
            </w:pPr>
            <w:r w:rsidRPr="00303B6D">
              <w:t>-4.7412</w:t>
            </w:r>
            <w:r>
              <w:t>***</w:t>
            </w:r>
          </w:p>
        </w:tc>
        <w:tc>
          <w:tcPr>
            <w:tcW w:w="1357" w:type="dxa"/>
            <w:vAlign w:val="center"/>
          </w:tcPr>
          <w:p w14:paraId="61064DB7" w14:textId="77777777" w:rsidR="007A3998" w:rsidRPr="00621115" w:rsidRDefault="007A3998" w:rsidP="007A3998">
            <w:pPr>
              <w:pStyle w:val="TABELAs"/>
            </w:pPr>
            <w:r w:rsidRPr="00303B6D">
              <w:t>20.3064</w:t>
            </w:r>
            <w:r>
              <w:t>***</w:t>
            </w:r>
          </w:p>
        </w:tc>
        <w:tc>
          <w:tcPr>
            <w:tcW w:w="1465" w:type="dxa"/>
            <w:vAlign w:val="center"/>
          </w:tcPr>
          <w:p w14:paraId="49E05AD1" w14:textId="77777777" w:rsidR="007A3998" w:rsidRPr="00621115" w:rsidRDefault="007A3998" w:rsidP="007A3998">
            <w:pPr>
              <w:pStyle w:val="TABELAs"/>
            </w:pPr>
            <w:r w:rsidRPr="00303B6D">
              <w:t>39.7784</w:t>
            </w:r>
            <w:r>
              <w:t>***</w:t>
            </w:r>
          </w:p>
        </w:tc>
        <w:tc>
          <w:tcPr>
            <w:tcW w:w="1578" w:type="dxa"/>
            <w:vAlign w:val="center"/>
          </w:tcPr>
          <w:p w14:paraId="3F08EF00" w14:textId="77777777" w:rsidR="007A3998" w:rsidRPr="00621115" w:rsidRDefault="007A3998" w:rsidP="007A3998">
            <w:pPr>
              <w:pStyle w:val="TABELAs"/>
            </w:pPr>
            <w:r>
              <w:t>Estacionária</w:t>
            </w:r>
          </w:p>
        </w:tc>
      </w:tr>
      <w:tr w:rsidR="007A3998" w:rsidRPr="00621115" w14:paraId="49A26265" w14:textId="77777777" w:rsidTr="007A3998">
        <w:trPr>
          <w:jc w:val="center"/>
        </w:trPr>
        <w:tc>
          <w:tcPr>
            <w:tcW w:w="1607" w:type="dxa"/>
          </w:tcPr>
          <w:p w14:paraId="3C03829E" w14:textId="77777777" w:rsidR="007A3998" w:rsidRDefault="007A3998" w:rsidP="007A3998">
            <w:pPr>
              <w:pStyle w:val="TABELAs"/>
              <w:rPr>
                <w:rFonts w:cs="Arial"/>
              </w:rPr>
            </w:pPr>
            <w:r>
              <w:rPr>
                <w:rFonts w:cs="Arial"/>
              </w:rPr>
              <w:t>Δlog</w:t>
            </w:r>
            <w:r>
              <w:t>IN4000</w:t>
            </w:r>
          </w:p>
        </w:tc>
        <w:tc>
          <w:tcPr>
            <w:tcW w:w="1294" w:type="dxa"/>
            <w:vAlign w:val="center"/>
          </w:tcPr>
          <w:p w14:paraId="16CCB696" w14:textId="77777777" w:rsidR="007A3998" w:rsidRPr="00303B6D" w:rsidRDefault="007A3998" w:rsidP="007A3998">
            <w:pPr>
              <w:pStyle w:val="TABELAs"/>
            </w:pPr>
            <w:r>
              <w:t>-9.6534***</w:t>
            </w:r>
          </w:p>
        </w:tc>
        <w:tc>
          <w:tcPr>
            <w:tcW w:w="1357" w:type="dxa"/>
            <w:vAlign w:val="center"/>
          </w:tcPr>
          <w:p w14:paraId="46855004" w14:textId="77777777" w:rsidR="007A3998" w:rsidRPr="00303B6D" w:rsidRDefault="007A3998" w:rsidP="007A3998">
            <w:pPr>
              <w:pStyle w:val="TABELAs"/>
            </w:pPr>
            <w:r w:rsidRPr="008A4B80">
              <w:t>50.0935</w:t>
            </w:r>
            <w:r>
              <w:t>***</w:t>
            </w:r>
          </w:p>
        </w:tc>
        <w:tc>
          <w:tcPr>
            <w:tcW w:w="1465" w:type="dxa"/>
            <w:vAlign w:val="center"/>
          </w:tcPr>
          <w:p w14:paraId="035B73C9" w14:textId="77777777" w:rsidR="007A3998" w:rsidRPr="00303B6D" w:rsidRDefault="007A3998" w:rsidP="007A3998">
            <w:pPr>
              <w:pStyle w:val="TABELAs"/>
            </w:pPr>
            <w:r w:rsidRPr="008A4B80">
              <w:t>73.8481</w:t>
            </w:r>
            <w:r>
              <w:t>***</w:t>
            </w:r>
          </w:p>
        </w:tc>
        <w:tc>
          <w:tcPr>
            <w:tcW w:w="1578" w:type="dxa"/>
            <w:vAlign w:val="center"/>
          </w:tcPr>
          <w:p w14:paraId="6675A0B0" w14:textId="77777777" w:rsidR="007A3998" w:rsidRPr="00621115" w:rsidRDefault="007A3998" w:rsidP="007A3998">
            <w:pPr>
              <w:pStyle w:val="TABELAs"/>
            </w:pPr>
            <w:r>
              <w:t>Estacionária</w:t>
            </w:r>
          </w:p>
        </w:tc>
      </w:tr>
      <w:tr w:rsidR="007A3998" w:rsidRPr="00621115" w14:paraId="550D75AB" w14:textId="77777777" w:rsidTr="007A3998">
        <w:trPr>
          <w:jc w:val="center"/>
        </w:trPr>
        <w:tc>
          <w:tcPr>
            <w:tcW w:w="1607" w:type="dxa"/>
          </w:tcPr>
          <w:p w14:paraId="75A58A17" w14:textId="77777777" w:rsidR="007A3998" w:rsidRPr="00621115" w:rsidRDefault="007A3998" w:rsidP="007A3998">
            <w:pPr>
              <w:pStyle w:val="TABELAs"/>
            </w:pPr>
            <w:proofErr w:type="spellStart"/>
            <w:r>
              <w:rPr>
                <w:rFonts w:cs="Arial"/>
              </w:rPr>
              <w:t>Δ</w:t>
            </w:r>
            <w:r>
              <w:t>logPIBXpc</w:t>
            </w:r>
            <w:proofErr w:type="spellEnd"/>
          </w:p>
        </w:tc>
        <w:tc>
          <w:tcPr>
            <w:tcW w:w="1294" w:type="dxa"/>
            <w:vAlign w:val="center"/>
          </w:tcPr>
          <w:p w14:paraId="6AC97BCD" w14:textId="77777777" w:rsidR="007A3998" w:rsidRPr="00621115" w:rsidRDefault="007A3998" w:rsidP="007A3998">
            <w:pPr>
              <w:pStyle w:val="TABELAs"/>
            </w:pPr>
            <w:r w:rsidRPr="00A9495A">
              <w:t>-3.0003</w:t>
            </w:r>
            <w:r>
              <w:t>***</w:t>
            </w:r>
          </w:p>
        </w:tc>
        <w:tc>
          <w:tcPr>
            <w:tcW w:w="1357" w:type="dxa"/>
            <w:vAlign w:val="center"/>
          </w:tcPr>
          <w:p w14:paraId="4E9F6A99" w14:textId="77777777" w:rsidR="007A3998" w:rsidRPr="00621115" w:rsidRDefault="007A3998" w:rsidP="007A3998">
            <w:pPr>
              <w:pStyle w:val="TABELAs"/>
            </w:pPr>
            <w:r w:rsidRPr="00A9495A">
              <w:t>13.5008</w:t>
            </w:r>
            <w:r>
              <w:t>*</w:t>
            </w:r>
          </w:p>
        </w:tc>
        <w:tc>
          <w:tcPr>
            <w:tcW w:w="1465" w:type="dxa"/>
            <w:vAlign w:val="center"/>
          </w:tcPr>
          <w:p w14:paraId="54C944A0" w14:textId="77777777" w:rsidR="007A3998" w:rsidRPr="00621115" w:rsidRDefault="007A3998" w:rsidP="007A3998">
            <w:pPr>
              <w:pStyle w:val="TABELAs"/>
            </w:pPr>
            <w:r w:rsidRPr="00A9495A">
              <w:t>17.8925</w:t>
            </w:r>
            <w:r>
              <w:t>**</w:t>
            </w:r>
          </w:p>
        </w:tc>
        <w:tc>
          <w:tcPr>
            <w:tcW w:w="1578" w:type="dxa"/>
            <w:vAlign w:val="center"/>
          </w:tcPr>
          <w:p w14:paraId="485A8E2F" w14:textId="77777777" w:rsidR="007A3998" w:rsidRPr="00621115" w:rsidRDefault="007A3998" w:rsidP="007A3998">
            <w:pPr>
              <w:pStyle w:val="TABELAs"/>
            </w:pPr>
            <w:r>
              <w:t>Estacionária</w:t>
            </w:r>
          </w:p>
        </w:tc>
      </w:tr>
    </w:tbl>
    <w:p w14:paraId="0067FDBD" w14:textId="18D41BB0" w:rsidR="001B316A" w:rsidRDefault="001B316A" w:rsidP="001B316A">
      <w:pPr>
        <w:pStyle w:val="FONTE0"/>
      </w:pPr>
      <w:r w:rsidRPr="00AC5FF1">
        <w:t>*, ** e *** representam significância estatística a 10%, 5% e 1</w:t>
      </w:r>
      <w:r>
        <w:t>%, respectivamente</w:t>
      </w:r>
    </w:p>
    <w:p w14:paraId="015EAB5D" w14:textId="77777777" w:rsidR="00115A87" w:rsidRPr="00C91770" w:rsidRDefault="00115A87" w:rsidP="00115A87">
      <w:pPr>
        <w:pStyle w:val="FONTE0"/>
      </w:pPr>
      <w:r>
        <w:t>FONTE</w:t>
      </w:r>
      <w:r w:rsidRPr="00C91770">
        <w:t>: Elaboração própria</w:t>
      </w:r>
    </w:p>
    <w:p w14:paraId="1C36E257" w14:textId="77777777" w:rsidR="00115A87" w:rsidRPr="00AC5FF1" w:rsidRDefault="00115A87" w:rsidP="001B316A">
      <w:pPr>
        <w:pStyle w:val="FONTE0"/>
      </w:pPr>
    </w:p>
    <w:p w14:paraId="677783FA" w14:textId="31B4DFFC" w:rsidR="001B316A" w:rsidRDefault="008A122B" w:rsidP="001B316A">
      <w:pPr>
        <w:pStyle w:val="Ttulo2"/>
      </w:pPr>
      <w:r>
        <w:t xml:space="preserve">5.2 </w:t>
      </w:r>
      <w:r w:rsidR="001B316A">
        <w:t xml:space="preserve">Testes de </w:t>
      </w:r>
      <w:proofErr w:type="spellStart"/>
      <w:r w:rsidR="001B316A">
        <w:t>Cointegração</w:t>
      </w:r>
      <w:proofErr w:type="spellEnd"/>
    </w:p>
    <w:p w14:paraId="2C58335C" w14:textId="6C3F0604" w:rsidR="001B316A" w:rsidRPr="00CB22F2" w:rsidRDefault="001B316A" w:rsidP="001B316A">
      <w:r>
        <w:t xml:space="preserve">Uma vez verificada </w:t>
      </w:r>
      <w:r w:rsidR="00B05D0B">
        <w:t xml:space="preserve">que todas as variáveis são integradas de ordem </w:t>
      </w:r>
      <w:proofErr w:type="gramStart"/>
      <w:r w:rsidR="00B05D0B">
        <w:t>I(</w:t>
      </w:r>
      <w:proofErr w:type="gramEnd"/>
      <w:r w:rsidR="00B05D0B">
        <w:t>1)</w:t>
      </w:r>
      <w:r>
        <w:t xml:space="preserve">, foram realizados os testes de </w:t>
      </w:r>
      <w:proofErr w:type="spellStart"/>
      <w:r>
        <w:t>cointegração</w:t>
      </w:r>
      <w:proofErr w:type="spellEnd"/>
      <w:r>
        <w:t xml:space="preserve">. O objetivo dos testes é verificar se </w:t>
      </w:r>
      <w:r w:rsidR="003B4EF4">
        <w:t>os resíduos d</w:t>
      </w:r>
      <w:r>
        <w:t xml:space="preserve">as variáveis integradas </w:t>
      </w:r>
      <w:r w:rsidR="003B4EF4">
        <w:t xml:space="preserve">de ordem </w:t>
      </w:r>
      <w:proofErr w:type="gramStart"/>
      <w:r w:rsidR="003B4EF4">
        <w:t>I(</w:t>
      </w:r>
      <w:proofErr w:type="gramEnd"/>
      <w:r w:rsidR="003B4EF4">
        <w:t xml:space="preserve">1) são </w:t>
      </w:r>
      <w:r>
        <w:t>integrados de ordem I(0)</w:t>
      </w:r>
      <w:r w:rsidR="00AA6730">
        <w:t xml:space="preserve">. </w:t>
      </w:r>
      <w:r w:rsidR="007E2A3C">
        <w:t>Em c</w:t>
      </w:r>
      <w:r w:rsidR="00CD3BDF">
        <w:t>aso positivo</w:t>
      </w:r>
      <w:r w:rsidR="004B2090">
        <w:t>,</w:t>
      </w:r>
      <w:r w:rsidR="00F3702B">
        <w:t xml:space="preserve"> </w:t>
      </w:r>
      <w:r>
        <w:t xml:space="preserve">as variáveis </w:t>
      </w:r>
      <w:r w:rsidR="00CD3BDF">
        <w:t xml:space="preserve">possuem uma relação estável no longo prazo e, portanto, </w:t>
      </w:r>
      <w:r>
        <w:t>são dit</w:t>
      </w:r>
      <w:r w:rsidR="00CD3BDF">
        <w:t xml:space="preserve">as </w:t>
      </w:r>
      <w:proofErr w:type="spellStart"/>
      <w:r w:rsidR="00CD3BDF">
        <w:t>cointegradas</w:t>
      </w:r>
      <w:proofErr w:type="spellEnd"/>
      <w:r w:rsidR="00CD3BDF">
        <w:t xml:space="preserve">. </w:t>
      </w:r>
      <w:r>
        <w:t xml:space="preserve">Os testes realizados foram o de </w:t>
      </w:r>
      <w:proofErr w:type="spellStart"/>
      <w:r>
        <w:t>Kao</w:t>
      </w:r>
      <w:proofErr w:type="spellEnd"/>
      <w:r w:rsidR="000A4396">
        <w:t xml:space="preserve"> </w:t>
      </w:r>
      <w:r>
        <w:t xml:space="preserve">(1999) e </w:t>
      </w:r>
      <w:proofErr w:type="spellStart"/>
      <w:r>
        <w:t>Pedroni</w:t>
      </w:r>
      <w:proofErr w:type="spellEnd"/>
      <w:r>
        <w:t xml:space="preserve"> (1999, 2004) e as defasagens foram </w:t>
      </w:r>
      <w:r w:rsidR="008A122B">
        <w:t xml:space="preserve">selecionadas </w:t>
      </w:r>
      <w:r>
        <w:t xml:space="preserve">pelo Critério de Informação de </w:t>
      </w:r>
      <w:proofErr w:type="spellStart"/>
      <w:r>
        <w:t>Akaike</w:t>
      </w:r>
      <w:proofErr w:type="spellEnd"/>
      <w:r>
        <w:t xml:space="preserve"> (AIC). A hipótese nula de todos o</w:t>
      </w:r>
      <w:r w:rsidR="007677C5">
        <w:t>s</w:t>
      </w:r>
      <w:r>
        <w:t xml:space="preserve"> teste</w:t>
      </w:r>
      <w:r w:rsidR="007677C5">
        <w:t>s</w:t>
      </w:r>
      <w:r>
        <w:t xml:space="preserve"> é a não </w:t>
      </w:r>
      <w:proofErr w:type="spellStart"/>
      <w:r>
        <w:t>cointegração</w:t>
      </w:r>
      <w:proofErr w:type="spellEnd"/>
      <w:r>
        <w:t xml:space="preserve">. </w:t>
      </w:r>
      <w:r w:rsidR="0013349A">
        <w:t>Entretanto, o</w:t>
      </w:r>
      <w:r>
        <w:t xml:space="preserve"> teste de </w:t>
      </w:r>
      <w:proofErr w:type="spellStart"/>
      <w:r>
        <w:t>Pedroni</w:t>
      </w:r>
      <w:proofErr w:type="spellEnd"/>
      <w:r>
        <w:t xml:space="preserve"> inclui estatísticas PP e ADF para duas h</w:t>
      </w:r>
      <w:r w:rsidR="003B652D">
        <w:t>ipóteses alternativas distintas, o teste</w:t>
      </w:r>
      <w:r>
        <w:t xml:space="preserve"> para o painel</w:t>
      </w:r>
      <w:r w:rsidR="0013349A">
        <w:t xml:space="preserve"> como um todo</w:t>
      </w:r>
      <w:r>
        <w:t xml:space="preserve"> </w:t>
      </w:r>
      <w:r w:rsidR="00E02E6E">
        <w:t>considera como</w:t>
      </w:r>
      <w:r>
        <w:t xml:space="preserve"> H</w:t>
      </w:r>
      <w:r>
        <w:rPr>
          <w:vertAlign w:val="subscript"/>
        </w:rPr>
        <w:t xml:space="preserve">1 </w:t>
      </w:r>
      <w:r>
        <w:t>que as s</w:t>
      </w:r>
      <w:r w:rsidR="004B2090">
        <w:t xml:space="preserve">éries possuem coeficientes </w:t>
      </w:r>
      <w:proofErr w:type="spellStart"/>
      <w:r w:rsidR="004B2090">
        <w:t>auto</w:t>
      </w:r>
      <w:r w:rsidR="000A4396">
        <w:t>r</w:t>
      </w:r>
      <w:r>
        <w:t>regressivos</w:t>
      </w:r>
      <w:proofErr w:type="spellEnd"/>
      <w:r>
        <w:t xml:space="preserve"> (AR) comuns</w:t>
      </w:r>
      <w:r w:rsidR="004B2090">
        <w:t>,</w:t>
      </w:r>
      <w:r>
        <w:t xml:space="preserve"> enquanto o teste para os grupos tem por H</w:t>
      </w:r>
      <w:r>
        <w:rPr>
          <w:vertAlign w:val="subscript"/>
        </w:rPr>
        <w:t>1</w:t>
      </w:r>
      <w:r>
        <w:t xml:space="preserve"> que possuem coeficientes AR individuais. </w:t>
      </w:r>
    </w:p>
    <w:p w14:paraId="4EB7094B" w14:textId="2A96D714" w:rsidR="00BC2E09" w:rsidRDefault="001B316A" w:rsidP="001B316A">
      <w:r>
        <w:t xml:space="preserve">Foram selecionados quatro conjuntos de variáveis para os testes de </w:t>
      </w:r>
      <w:proofErr w:type="spellStart"/>
      <w:r>
        <w:t>cointegração</w:t>
      </w:r>
      <w:proofErr w:type="spellEnd"/>
      <w:r>
        <w:t>. O primeiro grupo inclui as variáveis GT</w:t>
      </w:r>
      <w:r w:rsidR="001A2BE5">
        <w:t xml:space="preserve">P, </w:t>
      </w:r>
      <w:proofErr w:type="spellStart"/>
      <w:r w:rsidR="001A2BE5">
        <w:t>PIBpc</w:t>
      </w:r>
      <w:proofErr w:type="spellEnd"/>
      <w:r w:rsidR="001A2BE5">
        <w:t xml:space="preserve">, PIBpc², </w:t>
      </w:r>
      <w:proofErr w:type="spellStart"/>
      <w:r w:rsidR="001A2BE5">
        <w:t>dens</w:t>
      </w:r>
      <w:proofErr w:type="spellEnd"/>
      <w:r w:rsidR="001A2BE5">
        <w:t xml:space="preserve"> e IN4000</w:t>
      </w:r>
      <w:r w:rsidR="004B2090">
        <w:t xml:space="preserve">, enquanto que </w:t>
      </w:r>
      <w:r w:rsidR="001A2BE5">
        <w:t>o</w:t>
      </w:r>
      <w:r>
        <w:t xml:space="preserve"> segundo inclui todas as variáveis do primeiro grupo e adiciona a variável </w:t>
      </w:r>
      <w:proofErr w:type="spellStart"/>
      <w:r>
        <w:t>PIBXpc</w:t>
      </w:r>
      <w:proofErr w:type="spellEnd"/>
      <w:r>
        <w:t>. O terceiro e quarto grupo adicionam a variável PIBpc</w:t>
      </w:r>
      <w:r w:rsidR="004F7F49">
        <w:t>³</w:t>
      </w:r>
      <w:r>
        <w:t xml:space="preserve"> ao primeiro e </w:t>
      </w:r>
      <w:r w:rsidR="00D87ADF">
        <w:t>segundo grupo, respectivamente.</w:t>
      </w:r>
    </w:p>
    <w:p w14:paraId="5EEC56EA" w14:textId="77777777" w:rsidR="0089062D" w:rsidRDefault="0089062D" w:rsidP="001B316A"/>
    <w:p w14:paraId="2BCF3297" w14:textId="70A53FE7" w:rsidR="001B316A" w:rsidRDefault="001B316A" w:rsidP="00BC2E09">
      <w:pPr>
        <w:pStyle w:val="titulofigura"/>
      </w:pPr>
      <w:r w:rsidRPr="008428D1">
        <w:t xml:space="preserve">Tabela </w:t>
      </w:r>
      <w:r w:rsidR="00405986">
        <w:t>3</w:t>
      </w:r>
      <w:r>
        <w:t xml:space="preserve"> – Testes de </w:t>
      </w:r>
      <w:proofErr w:type="spellStart"/>
      <w:r>
        <w:t>Cointegração</w:t>
      </w:r>
      <w:proofErr w:type="spellEnd"/>
    </w:p>
    <w:tbl>
      <w:tblPr>
        <w:tblStyle w:val="Tabelacomgrad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1640"/>
        <w:gridCol w:w="1640"/>
        <w:gridCol w:w="1625"/>
        <w:gridCol w:w="1625"/>
        <w:gridCol w:w="1458"/>
      </w:tblGrid>
      <w:tr w:rsidR="001B316A" w:rsidRPr="003A505A" w14:paraId="2AFF4E36" w14:textId="77777777" w:rsidTr="00380542">
        <w:trPr>
          <w:jc w:val="center"/>
        </w:trPr>
        <w:tc>
          <w:tcPr>
            <w:tcW w:w="1078" w:type="dxa"/>
            <w:vMerge w:val="restart"/>
            <w:tcBorders>
              <w:top w:val="single" w:sz="4" w:space="0" w:color="auto"/>
              <w:bottom w:val="nil"/>
            </w:tcBorders>
            <w:vAlign w:val="center"/>
          </w:tcPr>
          <w:p w14:paraId="46D48DB1" w14:textId="77777777" w:rsidR="001B316A" w:rsidRPr="003A505A" w:rsidRDefault="001B316A" w:rsidP="00380542">
            <w:pPr>
              <w:pStyle w:val="TABELAs"/>
              <w:rPr>
                <w:b/>
              </w:rPr>
            </w:pPr>
            <w:r w:rsidRPr="003A505A">
              <w:rPr>
                <w:b/>
              </w:rPr>
              <w:t>Grupo</w:t>
            </w:r>
          </w:p>
        </w:tc>
        <w:tc>
          <w:tcPr>
            <w:tcW w:w="3280" w:type="dxa"/>
            <w:gridSpan w:val="2"/>
            <w:tcBorders>
              <w:top w:val="single" w:sz="4" w:space="0" w:color="auto"/>
              <w:bottom w:val="nil"/>
            </w:tcBorders>
            <w:vAlign w:val="center"/>
          </w:tcPr>
          <w:p w14:paraId="634C9A0A" w14:textId="6CE4DB8D" w:rsidR="001B316A" w:rsidRPr="003A505A" w:rsidRDefault="00B24BED" w:rsidP="00380542">
            <w:pPr>
              <w:pStyle w:val="TABELAs"/>
              <w:rPr>
                <w:b/>
              </w:rPr>
            </w:pPr>
            <w:proofErr w:type="spellStart"/>
            <w:r>
              <w:rPr>
                <w:b/>
              </w:rPr>
              <w:t>Pedroni</w:t>
            </w:r>
            <w:proofErr w:type="spellEnd"/>
            <w:r>
              <w:rPr>
                <w:b/>
              </w:rPr>
              <w:t xml:space="preserve"> </w:t>
            </w:r>
            <w:proofErr w:type="spellStart"/>
            <w:r>
              <w:rPr>
                <w:b/>
              </w:rPr>
              <w:t>Pa</w:t>
            </w:r>
            <w:r w:rsidR="001B316A" w:rsidRPr="003A505A">
              <w:rPr>
                <w:b/>
              </w:rPr>
              <w:t>nel</w:t>
            </w:r>
            <w:proofErr w:type="spellEnd"/>
          </w:p>
          <w:p w14:paraId="0CBE4A34" w14:textId="77777777" w:rsidR="001B316A" w:rsidRPr="00407799" w:rsidRDefault="001B316A" w:rsidP="00380542">
            <w:pPr>
              <w:pStyle w:val="TABELAs"/>
            </w:pPr>
            <w:r w:rsidRPr="00407799">
              <w:t>H</w:t>
            </w:r>
            <w:r w:rsidRPr="00407799">
              <w:rPr>
                <w:vertAlign w:val="subscript"/>
              </w:rPr>
              <w:t>1</w:t>
            </w:r>
            <w:r w:rsidRPr="00407799">
              <w:t xml:space="preserve"> = </w:t>
            </w:r>
            <w:proofErr w:type="spellStart"/>
            <w:r w:rsidRPr="00407799">
              <w:t>coef</w:t>
            </w:r>
            <w:proofErr w:type="spellEnd"/>
            <w:r w:rsidRPr="00407799">
              <w:t xml:space="preserve"> AR comuns</w:t>
            </w:r>
          </w:p>
        </w:tc>
        <w:tc>
          <w:tcPr>
            <w:tcW w:w="3250" w:type="dxa"/>
            <w:gridSpan w:val="2"/>
            <w:tcBorders>
              <w:top w:val="single" w:sz="4" w:space="0" w:color="auto"/>
              <w:bottom w:val="nil"/>
            </w:tcBorders>
            <w:vAlign w:val="center"/>
          </w:tcPr>
          <w:p w14:paraId="7B3154D3" w14:textId="77777777" w:rsidR="001B316A" w:rsidRPr="003A505A" w:rsidRDefault="001B316A" w:rsidP="00380542">
            <w:pPr>
              <w:pStyle w:val="TABELAs"/>
              <w:rPr>
                <w:b/>
              </w:rPr>
            </w:pPr>
            <w:proofErr w:type="spellStart"/>
            <w:r w:rsidRPr="003A505A">
              <w:rPr>
                <w:b/>
              </w:rPr>
              <w:t>Pedroni</w:t>
            </w:r>
            <w:proofErr w:type="spellEnd"/>
            <w:r w:rsidRPr="003A505A">
              <w:rPr>
                <w:b/>
              </w:rPr>
              <w:t xml:space="preserve"> </w:t>
            </w:r>
            <w:proofErr w:type="spellStart"/>
            <w:r w:rsidRPr="003A505A">
              <w:rPr>
                <w:b/>
              </w:rPr>
              <w:t>Group</w:t>
            </w:r>
            <w:proofErr w:type="spellEnd"/>
          </w:p>
          <w:p w14:paraId="2E901BBD" w14:textId="77777777" w:rsidR="001B316A" w:rsidRPr="00407799" w:rsidRDefault="001B316A" w:rsidP="00380542">
            <w:pPr>
              <w:pStyle w:val="TABELAs"/>
            </w:pPr>
            <w:r w:rsidRPr="00407799">
              <w:t>H</w:t>
            </w:r>
            <w:r w:rsidRPr="00407799">
              <w:rPr>
                <w:vertAlign w:val="subscript"/>
              </w:rPr>
              <w:t>1</w:t>
            </w:r>
            <w:r w:rsidRPr="00407799">
              <w:t xml:space="preserve"> = </w:t>
            </w:r>
            <w:proofErr w:type="spellStart"/>
            <w:r w:rsidRPr="00407799">
              <w:t>coef</w:t>
            </w:r>
            <w:proofErr w:type="spellEnd"/>
            <w:r w:rsidRPr="00407799">
              <w:t xml:space="preserve"> AR individuais</w:t>
            </w:r>
          </w:p>
        </w:tc>
        <w:tc>
          <w:tcPr>
            <w:tcW w:w="1458" w:type="dxa"/>
            <w:tcBorders>
              <w:top w:val="single" w:sz="4" w:space="0" w:color="auto"/>
              <w:bottom w:val="nil"/>
            </w:tcBorders>
            <w:vAlign w:val="center"/>
          </w:tcPr>
          <w:p w14:paraId="6984E984" w14:textId="77777777" w:rsidR="001B316A" w:rsidRPr="003A505A" w:rsidRDefault="001B316A" w:rsidP="00380542">
            <w:pPr>
              <w:pStyle w:val="TABELAs"/>
              <w:rPr>
                <w:b/>
              </w:rPr>
            </w:pPr>
            <w:proofErr w:type="spellStart"/>
            <w:r w:rsidRPr="003A505A">
              <w:rPr>
                <w:b/>
              </w:rPr>
              <w:t>Kao</w:t>
            </w:r>
            <w:proofErr w:type="spellEnd"/>
          </w:p>
        </w:tc>
      </w:tr>
      <w:tr w:rsidR="001B316A" w:rsidRPr="003A505A" w14:paraId="1A95D0A7" w14:textId="77777777" w:rsidTr="00380542">
        <w:trPr>
          <w:jc w:val="center"/>
        </w:trPr>
        <w:tc>
          <w:tcPr>
            <w:tcW w:w="1078" w:type="dxa"/>
            <w:vMerge/>
            <w:tcBorders>
              <w:top w:val="nil"/>
              <w:bottom w:val="single" w:sz="4" w:space="0" w:color="auto"/>
            </w:tcBorders>
          </w:tcPr>
          <w:p w14:paraId="1F683E9E" w14:textId="77777777" w:rsidR="001B316A" w:rsidRPr="003A505A" w:rsidRDefault="001B316A" w:rsidP="00380542">
            <w:pPr>
              <w:pStyle w:val="TABELAs"/>
              <w:rPr>
                <w:b/>
              </w:rPr>
            </w:pPr>
          </w:p>
        </w:tc>
        <w:tc>
          <w:tcPr>
            <w:tcW w:w="1640" w:type="dxa"/>
            <w:tcBorders>
              <w:top w:val="nil"/>
              <w:bottom w:val="single" w:sz="4" w:space="0" w:color="auto"/>
            </w:tcBorders>
            <w:vAlign w:val="center"/>
          </w:tcPr>
          <w:p w14:paraId="7D36F46F" w14:textId="77777777" w:rsidR="001B316A" w:rsidRPr="003A505A" w:rsidRDefault="001B316A" w:rsidP="00380542">
            <w:pPr>
              <w:pStyle w:val="TABELAs"/>
              <w:rPr>
                <w:b/>
              </w:rPr>
            </w:pPr>
            <w:r w:rsidRPr="003A505A">
              <w:rPr>
                <w:b/>
              </w:rPr>
              <w:t>PP</w:t>
            </w:r>
          </w:p>
        </w:tc>
        <w:tc>
          <w:tcPr>
            <w:tcW w:w="1640" w:type="dxa"/>
            <w:tcBorders>
              <w:top w:val="nil"/>
              <w:bottom w:val="single" w:sz="4" w:space="0" w:color="auto"/>
            </w:tcBorders>
            <w:vAlign w:val="center"/>
          </w:tcPr>
          <w:p w14:paraId="404C39A4" w14:textId="77777777" w:rsidR="001B316A" w:rsidRPr="003A505A" w:rsidRDefault="001B316A" w:rsidP="00380542">
            <w:pPr>
              <w:pStyle w:val="TABELAs"/>
              <w:rPr>
                <w:b/>
              </w:rPr>
            </w:pPr>
            <w:r w:rsidRPr="003A505A">
              <w:rPr>
                <w:b/>
              </w:rPr>
              <w:t>ADF</w:t>
            </w:r>
          </w:p>
        </w:tc>
        <w:tc>
          <w:tcPr>
            <w:tcW w:w="1625" w:type="dxa"/>
            <w:tcBorders>
              <w:top w:val="nil"/>
              <w:bottom w:val="single" w:sz="4" w:space="0" w:color="auto"/>
            </w:tcBorders>
            <w:vAlign w:val="center"/>
          </w:tcPr>
          <w:p w14:paraId="474C1109" w14:textId="77777777" w:rsidR="001B316A" w:rsidRPr="003A505A" w:rsidRDefault="001B316A" w:rsidP="00380542">
            <w:pPr>
              <w:pStyle w:val="TABELAs"/>
              <w:rPr>
                <w:b/>
              </w:rPr>
            </w:pPr>
            <w:r w:rsidRPr="003A505A">
              <w:rPr>
                <w:b/>
              </w:rPr>
              <w:t>PP</w:t>
            </w:r>
          </w:p>
        </w:tc>
        <w:tc>
          <w:tcPr>
            <w:tcW w:w="1625" w:type="dxa"/>
            <w:tcBorders>
              <w:top w:val="nil"/>
              <w:bottom w:val="single" w:sz="4" w:space="0" w:color="auto"/>
            </w:tcBorders>
            <w:vAlign w:val="center"/>
          </w:tcPr>
          <w:p w14:paraId="4C36528C" w14:textId="77777777" w:rsidR="001B316A" w:rsidRPr="003A505A" w:rsidRDefault="001B316A" w:rsidP="00380542">
            <w:pPr>
              <w:pStyle w:val="TABELAs"/>
              <w:rPr>
                <w:b/>
              </w:rPr>
            </w:pPr>
            <w:r w:rsidRPr="003A505A">
              <w:rPr>
                <w:b/>
              </w:rPr>
              <w:t>ADF</w:t>
            </w:r>
          </w:p>
        </w:tc>
        <w:tc>
          <w:tcPr>
            <w:tcW w:w="1458" w:type="dxa"/>
            <w:tcBorders>
              <w:top w:val="nil"/>
              <w:bottom w:val="single" w:sz="4" w:space="0" w:color="auto"/>
            </w:tcBorders>
            <w:vAlign w:val="center"/>
          </w:tcPr>
          <w:p w14:paraId="5B099B40" w14:textId="77777777" w:rsidR="001B316A" w:rsidRPr="003A505A" w:rsidRDefault="001B316A" w:rsidP="00380542">
            <w:pPr>
              <w:pStyle w:val="TABELAs"/>
              <w:rPr>
                <w:b/>
              </w:rPr>
            </w:pPr>
            <w:r w:rsidRPr="003A505A">
              <w:rPr>
                <w:b/>
              </w:rPr>
              <w:t>ADF</w:t>
            </w:r>
          </w:p>
        </w:tc>
      </w:tr>
      <w:tr w:rsidR="001B316A" w14:paraId="3E243F52" w14:textId="77777777" w:rsidTr="00380542">
        <w:trPr>
          <w:jc w:val="center"/>
        </w:trPr>
        <w:tc>
          <w:tcPr>
            <w:tcW w:w="1078" w:type="dxa"/>
            <w:tcBorders>
              <w:top w:val="single" w:sz="4" w:space="0" w:color="auto"/>
            </w:tcBorders>
          </w:tcPr>
          <w:p w14:paraId="00724773" w14:textId="77777777" w:rsidR="001B316A" w:rsidRPr="005A5C99" w:rsidRDefault="001B316A" w:rsidP="00380542">
            <w:pPr>
              <w:pStyle w:val="TABELAs"/>
            </w:pPr>
            <w:r w:rsidRPr="005A5C99">
              <w:t>1</w:t>
            </w:r>
          </w:p>
        </w:tc>
        <w:tc>
          <w:tcPr>
            <w:tcW w:w="1640" w:type="dxa"/>
            <w:tcBorders>
              <w:top w:val="single" w:sz="4" w:space="0" w:color="auto"/>
            </w:tcBorders>
            <w:vAlign w:val="center"/>
          </w:tcPr>
          <w:p w14:paraId="3B2BC3C5" w14:textId="77777777" w:rsidR="001B316A" w:rsidRPr="005A5C99" w:rsidRDefault="001B316A" w:rsidP="00380542">
            <w:pPr>
              <w:pStyle w:val="TABELAs"/>
            </w:pPr>
            <w:r>
              <w:t>-3.9258</w:t>
            </w:r>
            <w:r w:rsidRPr="005A5C99">
              <w:t>***</w:t>
            </w:r>
          </w:p>
        </w:tc>
        <w:tc>
          <w:tcPr>
            <w:tcW w:w="1640" w:type="dxa"/>
            <w:tcBorders>
              <w:top w:val="single" w:sz="4" w:space="0" w:color="auto"/>
            </w:tcBorders>
            <w:vAlign w:val="center"/>
          </w:tcPr>
          <w:p w14:paraId="190230DD" w14:textId="77777777" w:rsidR="001B316A" w:rsidRPr="005A5C99" w:rsidRDefault="001B316A" w:rsidP="00380542">
            <w:pPr>
              <w:pStyle w:val="TABELAs"/>
            </w:pPr>
            <w:r>
              <w:t>-3.5505</w:t>
            </w:r>
            <w:r w:rsidRPr="005A5C99">
              <w:t>***</w:t>
            </w:r>
          </w:p>
        </w:tc>
        <w:tc>
          <w:tcPr>
            <w:tcW w:w="1625" w:type="dxa"/>
            <w:tcBorders>
              <w:top w:val="single" w:sz="4" w:space="0" w:color="auto"/>
            </w:tcBorders>
            <w:vAlign w:val="center"/>
          </w:tcPr>
          <w:p w14:paraId="04195A7E" w14:textId="77777777" w:rsidR="001B316A" w:rsidRPr="005A5C99" w:rsidRDefault="001B316A" w:rsidP="00380542">
            <w:pPr>
              <w:pStyle w:val="TABELAs"/>
            </w:pPr>
            <w:r w:rsidRPr="005A5C99">
              <w:t xml:space="preserve">- </w:t>
            </w:r>
            <w:r>
              <w:t>4.9968</w:t>
            </w:r>
            <w:r w:rsidRPr="005A5C99">
              <w:t>***</w:t>
            </w:r>
          </w:p>
        </w:tc>
        <w:tc>
          <w:tcPr>
            <w:tcW w:w="1625" w:type="dxa"/>
            <w:tcBorders>
              <w:top w:val="single" w:sz="4" w:space="0" w:color="auto"/>
            </w:tcBorders>
            <w:vAlign w:val="center"/>
          </w:tcPr>
          <w:p w14:paraId="5BB13CD5" w14:textId="77777777" w:rsidR="001B316A" w:rsidRPr="005A5C99" w:rsidRDefault="001B316A" w:rsidP="00380542">
            <w:pPr>
              <w:pStyle w:val="TABELAs"/>
            </w:pPr>
            <w:r w:rsidRPr="005A5C99">
              <w:t xml:space="preserve">- </w:t>
            </w:r>
            <w:r>
              <w:t>2.9085</w:t>
            </w:r>
            <w:r w:rsidRPr="005A5C99">
              <w:t>***</w:t>
            </w:r>
          </w:p>
        </w:tc>
        <w:tc>
          <w:tcPr>
            <w:tcW w:w="1458" w:type="dxa"/>
            <w:tcBorders>
              <w:top w:val="single" w:sz="4" w:space="0" w:color="auto"/>
            </w:tcBorders>
            <w:vAlign w:val="center"/>
          </w:tcPr>
          <w:p w14:paraId="3977A5E6" w14:textId="77777777" w:rsidR="001B316A" w:rsidRPr="005A5C99" w:rsidRDefault="001B316A" w:rsidP="00380542">
            <w:pPr>
              <w:pStyle w:val="TABELAs"/>
            </w:pPr>
            <w:r w:rsidRPr="005A5C99">
              <w:t xml:space="preserve">- </w:t>
            </w:r>
            <w:r>
              <w:t>4.9334</w:t>
            </w:r>
            <w:r w:rsidRPr="005A5C99">
              <w:t>***</w:t>
            </w:r>
          </w:p>
        </w:tc>
      </w:tr>
      <w:tr w:rsidR="001B316A" w14:paraId="7D6418D7" w14:textId="77777777" w:rsidTr="00380542">
        <w:trPr>
          <w:jc w:val="center"/>
        </w:trPr>
        <w:tc>
          <w:tcPr>
            <w:tcW w:w="1078" w:type="dxa"/>
          </w:tcPr>
          <w:p w14:paraId="0F9E13AB" w14:textId="77777777" w:rsidR="001B316A" w:rsidRPr="005A5C99" w:rsidRDefault="001B316A" w:rsidP="00380542">
            <w:pPr>
              <w:pStyle w:val="TABELAs"/>
            </w:pPr>
            <w:r w:rsidRPr="005A5C99">
              <w:t>2</w:t>
            </w:r>
          </w:p>
        </w:tc>
        <w:tc>
          <w:tcPr>
            <w:tcW w:w="1640" w:type="dxa"/>
            <w:vAlign w:val="center"/>
          </w:tcPr>
          <w:p w14:paraId="3E6549A8" w14:textId="77777777" w:rsidR="001B316A" w:rsidRPr="005A5C99" w:rsidRDefault="001B316A" w:rsidP="00380542">
            <w:pPr>
              <w:pStyle w:val="TABELAs"/>
            </w:pPr>
            <w:r>
              <w:t>-</w:t>
            </w:r>
            <w:r w:rsidRPr="00EB6FF6">
              <w:t>4.5001</w:t>
            </w:r>
            <w:r w:rsidRPr="005A5C99">
              <w:t>***</w:t>
            </w:r>
          </w:p>
        </w:tc>
        <w:tc>
          <w:tcPr>
            <w:tcW w:w="1640" w:type="dxa"/>
            <w:vAlign w:val="center"/>
          </w:tcPr>
          <w:p w14:paraId="4EC79742" w14:textId="77777777" w:rsidR="001B316A" w:rsidRPr="005A5C99" w:rsidRDefault="001B316A" w:rsidP="00380542">
            <w:pPr>
              <w:pStyle w:val="TABELAs"/>
            </w:pPr>
            <w:r>
              <w:t>-4.5307</w:t>
            </w:r>
            <w:r w:rsidRPr="005A5C99">
              <w:t>***</w:t>
            </w:r>
          </w:p>
        </w:tc>
        <w:tc>
          <w:tcPr>
            <w:tcW w:w="1625" w:type="dxa"/>
            <w:vAlign w:val="center"/>
          </w:tcPr>
          <w:p w14:paraId="5A02A806" w14:textId="77777777" w:rsidR="001B316A" w:rsidRPr="005A5C99" w:rsidRDefault="001B316A" w:rsidP="00380542">
            <w:pPr>
              <w:pStyle w:val="TABELAs"/>
            </w:pPr>
            <w:r>
              <w:t>-3.9781</w:t>
            </w:r>
            <w:r w:rsidRPr="005A5C99">
              <w:t>***</w:t>
            </w:r>
          </w:p>
        </w:tc>
        <w:tc>
          <w:tcPr>
            <w:tcW w:w="1625" w:type="dxa"/>
            <w:vAlign w:val="center"/>
          </w:tcPr>
          <w:p w14:paraId="32F4E158" w14:textId="77777777" w:rsidR="001B316A" w:rsidRPr="005A5C99" w:rsidRDefault="001B316A" w:rsidP="00380542">
            <w:pPr>
              <w:pStyle w:val="TABELAs"/>
            </w:pPr>
            <w:r>
              <w:t>-3.6135</w:t>
            </w:r>
            <w:r w:rsidRPr="005A5C99">
              <w:t>***</w:t>
            </w:r>
          </w:p>
        </w:tc>
        <w:tc>
          <w:tcPr>
            <w:tcW w:w="1458" w:type="dxa"/>
            <w:vAlign w:val="center"/>
          </w:tcPr>
          <w:p w14:paraId="7775CDC6" w14:textId="77777777" w:rsidR="001B316A" w:rsidRPr="005A5C99" w:rsidRDefault="001B316A" w:rsidP="00380542">
            <w:pPr>
              <w:pStyle w:val="TABELAs"/>
            </w:pPr>
            <w:r>
              <w:t>-5.1786</w:t>
            </w:r>
            <w:r w:rsidRPr="005A5C99">
              <w:t>***</w:t>
            </w:r>
          </w:p>
        </w:tc>
      </w:tr>
      <w:tr w:rsidR="001B316A" w14:paraId="41A59346" w14:textId="77777777" w:rsidTr="00380542">
        <w:trPr>
          <w:jc w:val="center"/>
        </w:trPr>
        <w:tc>
          <w:tcPr>
            <w:tcW w:w="1078" w:type="dxa"/>
          </w:tcPr>
          <w:p w14:paraId="0419F050" w14:textId="77777777" w:rsidR="001B316A" w:rsidRPr="005A5C99" w:rsidRDefault="001B316A" w:rsidP="00380542">
            <w:pPr>
              <w:pStyle w:val="TABELAs"/>
            </w:pPr>
            <w:r w:rsidRPr="005A5C99">
              <w:t>3</w:t>
            </w:r>
          </w:p>
        </w:tc>
        <w:tc>
          <w:tcPr>
            <w:tcW w:w="1640" w:type="dxa"/>
            <w:vAlign w:val="center"/>
          </w:tcPr>
          <w:p w14:paraId="7224D871" w14:textId="77777777" w:rsidR="001B316A" w:rsidRPr="005A5C99" w:rsidRDefault="001B316A" w:rsidP="00380542">
            <w:pPr>
              <w:pStyle w:val="TABELAs"/>
            </w:pPr>
            <w:r>
              <w:t>- 1.6451*</w:t>
            </w:r>
          </w:p>
        </w:tc>
        <w:tc>
          <w:tcPr>
            <w:tcW w:w="1640" w:type="dxa"/>
            <w:vAlign w:val="center"/>
          </w:tcPr>
          <w:p w14:paraId="0A906DC7" w14:textId="77777777" w:rsidR="001B316A" w:rsidRPr="005A5C99" w:rsidRDefault="001B316A" w:rsidP="00380542">
            <w:pPr>
              <w:pStyle w:val="TABELAs"/>
            </w:pPr>
            <w:r>
              <w:t>- 1.2996*</w:t>
            </w:r>
          </w:p>
        </w:tc>
        <w:tc>
          <w:tcPr>
            <w:tcW w:w="1625" w:type="dxa"/>
            <w:vAlign w:val="center"/>
          </w:tcPr>
          <w:p w14:paraId="61D00F2F" w14:textId="77777777" w:rsidR="001B316A" w:rsidRPr="005A5C99" w:rsidRDefault="001B316A" w:rsidP="00380542">
            <w:pPr>
              <w:pStyle w:val="TABELAs"/>
            </w:pPr>
            <w:r>
              <w:t>- 1.6950**</w:t>
            </w:r>
          </w:p>
        </w:tc>
        <w:tc>
          <w:tcPr>
            <w:tcW w:w="1625" w:type="dxa"/>
            <w:vAlign w:val="center"/>
          </w:tcPr>
          <w:p w14:paraId="05E35824" w14:textId="77777777" w:rsidR="001B316A" w:rsidRPr="005A5C99" w:rsidRDefault="001B316A" w:rsidP="00380542">
            <w:pPr>
              <w:pStyle w:val="TABELAs"/>
            </w:pPr>
            <w:r>
              <w:t>- 1.2793</w:t>
            </w:r>
          </w:p>
        </w:tc>
        <w:tc>
          <w:tcPr>
            <w:tcW w:w="1458" w:type="dxa"/>
            <w:vAlign w:val="center"/>
          </w:tcPr>
          <w:p w14:paraId="7DB91D4A" w14:textId="77777777" w:rsidR="001B316A" w:rsidRPr="005A5C99" w:rsidRDefault="001B316A" w:rsidP="00380542">
            <w:pPr>
              <w:pStyle w:val="TABELAs"/>
            </w:pPr>
            <w:r>
              <w:t>- 4.8375***</w:t>
            </w:r>
          </w:p>
        </w:tc>
      </w:tr>
      <w:tr w:rsidR="001B316A" w14:paraId="4674975C" w14:textId="77777777" w:rsidTr="00380542">
        <w:trPr>
          <w:jc w:val="center"/>
        </w:trPr>
        <w:tc>
          <w:tcPr>
            <w:tcW w:w="1078" w:type="dxa"/>
          </w:tcPr>
          <w:p w14:paraId="080FB3C8" w14:textId="77777777" w:rsidR="001B316A" w:rsidRPr="005A5C99" w:rsidRDefault="001B316A" w:rsidP="00380542">
            <w:pPr>
              <w:pStyle w:val="TABELAs"/>
            </w:pPr>
            <w:r w:rsidRPr="005A5C99">
              <w:t>4</w:t>
            </w:r>
          </w:p>
        </w:tc>
        <w:tc>
          <w:tcPr>
            <w:tcW w:w="1640" w:type="dxa"/>
            <w:vAlign w:val="center"/>
          </w:tcPr>
          <w:p w14:paraId="5D70C0D8" w14:textId="77777777" w:rsidR="001B316A" w:rsidRPr="005A5C99" w:rsidRDefault="001B316A" w:rsidP="00380542">
            <w:pPr>
              <w:pStyle w:val="TABELAs"/>
            </w:pPr>
            <w:r>
              <w:t>- 3.3993***</w:t>
            </w:r>
          </w:p>
        </w:tc>
        <w:tc>
          <w:tcPr>
            <w:tcW w:w="1640" w:type="dxa"/>
            <w:vAlign w:val="center"/>
          </w:tcPr>
          <w:p w14:paraId="49A2F95B" w14:textId="77777777" w:rsidR="001B316A" w:rsidRPr="005A5C99" w:rsidRDefault="001B316A" w:rsidP="00380542">
            <w:pPr>
              <w:pStyle w:val="TABELAs"/>
            </w:pPr>
            <w:r>
              <w:t>- 4.1070***</w:t>
            </w:r>
          </w:p>
        </w:tc>
        <w:tc>
          <w:tcPr>
            <w:tcW w:w="1625" w:type="dxa"/>
            <w:vAlign w:val="center"/>
          </w:tcPr>
          <w:p w14:paraId="0C44FE90" w14:textId="77777777" w:rsidR="001B316A" w:rsidRPr="005A5C99" w:rsidRDefault="001B316A" w:rsidP="00380542">
            <w:pPr>
              <w:pStyle w:val="TABELAs"/>
            </w:pPr>
            <w:r>
              <w:t>- 3.5288***</w:t>
            </w:r>
          </w:p>
        </w:tc>
        <w:tc>
          <w:tcPr>
            <w:tcW w:w="1625" w:type="dxa"/>
            <w:vAlign w:val="center"/>
          </w:tcPr>
          <w:p w14:paraId="4DE6A05F" w14:textId="77777777" w:rsidR="001B316A" w:rsidRPr="005A5C99" w:rsidRDefault="001B316A" w:rsidP="00380542">
            <w:pPr>
              <w:pStyle w:val="TABELAs"/>
            </w:pPr>
            <w:r>
              <w:t>- 4.3150***</w:t>
            </w:r>
          </w:p>
        </w:tc>
        <w:tc>
          <w:tcPr>
            <w:tcW w:w="1458" w:type="dxa"/>
            <w:vAlign w:val="center"/>
          </w:tcPr>
          <w:p w14:paraId="23A32FFC" w14:textId="77777777" w:rsidR="001B316A" w:rsidRPr="005A5C99" w:rsidRDefault="001B316A" w:rsidP="00380542">
            <w:pPr>
              <w:pStyle w:val="TABELAs"/>
            </w:pPr>
            <w:r>
              <w:t>- 5.1919***</w:t>
            </w:r>
          </w:p>
        </w:tc>
      </w:tr>
    </w:tbl>
    <w:p w14:paraId="01DF82D6" w14:textId="614E5999" w:rsidR="001B316A" w:rsidRDefault="001B316A" w:rsidP="001B316A">
      <w:pPr>
        <w:pStyle w:val="FONTE0"/>
        <w:rPr>
          <w:color w:val="000000"/>
        </w:rPr>
      </w:pPr>
      <w:r w:rsidRPr="00AC5FF1">
        <w:rPr>
          <w:color w:val="000000"/>
        </w:rPr>
        <w:t>*, ** e *** representam significância estatística a</w:t>
      </w:r>
      <w:r w:rsidR="000E25AE">
        <w:rPr>
          <w:color w:val="000000"/>
        </w:rPr>
        <w:t xml:space="preserve"> 10%, 5% e 1%, respectivamente.</w:t>
      </w:r>
    </w:p>
    <w:p w14:paraId="59959676" w14:textId="77777777" w:rsidR="00115A87" w:rsidRPr="00C91770" w:rsidRDefault="00115A87" w:rsidP="00115A87">
      <w:pPr>
        <w:pStyle w:val="FONTE0"/>
      </w:pPr>
      <w:r>
        <w:t>FONTE</w:t>
      </w:r>
      <w:r w:rsidRPr="00C91770">
        <w:t>: Elaboração própria</w:t>
      </w:r>
    </w:p>
    <w:p w14:paraId="13BDA469" w14:textId="77777777" w:rsidR="000810A3" w:rsidRDefault="000810A3" w:rsidP="001B316A"/>
    <w:p w14:paraId="184A61D1" w14:textId="42AE9211" w:rsidR="001B316A" w:rsidRDefault="001B316A" w:rsidP="001B316A">
      <w:r>
        <w:t xml:space="preserve">De acordo com os resultados apresentados </w:t>
      </w:r>
      <w:r w:rsidRPr="007556A3">
        <w:t>na T</w:t>
      </w:r>
      <w:r w:rsidR="004B2090">
        <w:t>abela</w:t>
      </w:r>
      <w:r w:rsidRPr="007556A3">
        <w:t xml:space="preserve"> </w:t>
      </w:r>
      <w:r w:rsidR="00405986">
        <w:t>3</w:t>
      </w:r>
      <w:r w:rsidR="004B2090">
        <w:t>, é possível rejeitar</w:t>
      </w:r>
      <w:r w:rsidR="007A0AFE">
        <w:t xml:space="preserve"> a hipótese nula de não </w:t>
      </w:r>
      <w:proofErr w:type="spellStart"/>
      <w:r w:rsidR="007A0AFE">
        <w:t>coin</w:t>
      </w:r>
      <w:r>
        <w:t>tegração</w:t>
      </w:r>
      <w:proofErr w:type="spellEnd"/>
      <w:r>
        <w:t xml:space="preserve"> para todas as estatísticas dos grupos 1, 2 e 4 ao nível de significância de 1%. Para o terceiro grupo não se rejeita a hipótese</w:t>
      </w:r>
      <w:r w:rsidR="008A122B">
        <w:t xml:space="preserve"> nula</w:t>
      </w:r>
      <w:r>
        <w:t xml:space="preserve"> apenas para a estatística ADF do teste de grupos de </w:t>
      </w:r>
      <w:proofErr w:type="spellStart"/>
      <w:r>
        <w:t>Pedroni</w:t>
      </w:r>
      <w:proofErr w:type="spellEnd"/>
      <w:r>
        <w:t>. Portanto, existem evidências de que não há expectativa de que a relação de longo p</w:t>
      </w:r>
      <w:r w:rsidR="00D14C98">
        <w:t>razo das variáveis seja espúria.</w:t>
      </w:r>
    </w:p>
    <w:p w14:paraId="78973E5A" w14:textId="77777777" w:rsidR="001B316A" w:rsidRDefault="001B316A" w:rsidP="001B316A"/>
    <w:p w14:paraId="5D400212" w14:textId="4C04D728" w:rsidR="001B316A" w:rsidRDefault="008A122B" w:rsidP="001B316A">
      <w:pPr>
        <w:pStyle w:val="Ttulo2"/>
      </w:pPr>
      <w:r>
        <w:t xml:space="preserve">5.3 </w:t>
      </w:r>
      <w:r w:rsidR="001B316A">
        <w:t xml:space="preserve">Vetores de </w:t>
      </w:r>
      <w:proofErr w:type="spellStart"/>
      <w:r w:rsidR="001B316A">
        <w:t>C</w:t>
      </w:r>
      <w:r w:rsidR="001B316A" w:rsidRPr="00967AEF">
        <w:t>ointegração</w:t>
      </w:r>
      <w:proofErr w:type="spellEnd"/>
    </w:p>
    <w:p w14:paraId="39CE14AA" w14:textId="3C14B5E5" w:rsidR="001B316A" w:rsidRDefault="001B316A" w:rsidP="001B316A">
      <w:r>
        <w:t>Para a ordenação dos modelos</w:t>
      </w:r>
      <w:r w:rsidR="004B2090">
        <w:t>,</w:t>
      </w:r>
      <w:r>
        <w:t xml:space="preserve"> partiu-se de um modelo</w:t>
      </w:r>
      <w:r w:rsidR="00A40044">
        <w:t xml:space="preserve"> inicial</w:t>
      </w:r>
      <w:r>
        <w:t xml:space="preserve"> que considerava apenas a relação inicial teórica da CKA, qual seja</w:t>
      </w:r>
      <w:r w:rsidR="004B2090">
        <w:t>,</w:t>
      </w:r>
      <w:r>
        <w:t xml:space="preserve"> a relação entre a degradação ambiental e o crescimento econômico em </w:t>
      </w:r>
      <w:r>
        <w:lastRenderedPageBreak/>
        <w:t>nível e ao quadrado. Posteriormente</w:t>
      </w:r>
      <w:r w:rsidR="004B2090">
        <w:t>,</w:t>
      </w:r>
      <w:r>
        <w:t xml:space="preserve"> foram estimados </w:t>
      </w:r>
      <w:r w:rsidR="00DA04BE">
        <w:t>nove modelos</w:t>
      </w:r>
      <w:r>
        <w:t xml:space="preserve"> adicionando as variáveis de densidade </w:t>
      </w:r>
      <w:r w:rsidR="008A122B">
        <w:t>populacional</w:t>
      </w:r>
      <w:r>
        <w:t xml:space="preserve">, de intensidade tecnológica das exportações e a renda </w:t>
      </w:r>
      <w:r>
        <w:rPr>
          <w:i/>
        </w:rPr>
        <w:t>per capita</w:t>
      </w:r>
      <w:r>
        <w:t xml:space="preserve"> dos principais países importadores. Os modelos que se mostraram mais relevantes para a análise são apresentados na </w:t>
      </w:r>
      <w:r w:rsidR="004B2090" w:rsidRPr="004B2090">
        <w:t>Tabela</w:t>
      </w:r>
      <w:r w:rsidRPr="004B2090">
        <w:t xml:space="preserve"> </w:t>
      </w:r>
      <w:r w:rsidR="001E1055">
        <w:t>4</w:t>
      </w:r>
      <w:r w:rsidRPr="004B2090">
        <w:t>.</w:t>
      </w:r>
    </w:p>
    <w:p w14:paraId="31FB8803" w14:textId="77777777" w:rsidR="001B316A" w:rsidRPr="002C7ABE" w:rsidRDefault="001B316A" w:rsidP="001B316A"/>
    <w:p w14:paraId="199DB528" w14:textId="5C1AD24C" w:rsidR="001B316A" w:rsidRPr="00B32B05" w:rsidRDefault="009F35E6" w:rsidP="00B32B05">
      <w:pPr>
        <w:pStyle w:val="titulofigura"/>
      </w:pPr>
      <w:r>
        <w:rPr>
          <w:rStyle w:val="titulofiguraChar"/>
          <w:b/>
        </w:rPr>
        <w:t>Tabela</w:t>
      </w:r>
      <w:r w:rsidR="001B316A" w:rsidRPr="00B32B05">
        <w:rPr>
          <w:rStyle w:val="titulofiguraChar"/>
          <w:b/>
        </w:rPr>
        <w:t xml:space="preserve"> </w:t>
      </w:r>
      <w:r w:rsidR="001E1055">
        <w:rPr>
          <w:rStyle w:val="titulofiguraChar"/>
          <w:b/>
        </w:rPr>
        <w:t>4</w:t>
      </w:r>
      <w:r w:rsidR="001B316A" w:rsidRPr="00B32B05">
        <w:t xml:space="preserve"> – Estimação dos vetores de </w:t>
      </w:r>
      <w:proofErr w:type="spellStart"/>
      <w:r w:rsidR="001B316A" w:rsidRPr="00B32B05">
        <w:t>cointegração</w:t>
      </w:r>
      <w:proofErr w:type="spellEnd"/>
    </w:p>
    <w:tbl>
      <w:tblPr>
        <w:tblStyle w:val="Tabelacomgrade1"/>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
        <w:gridCol w:w="1116"/>
        <w:gridCol w:w="1417"/>
        <w:gridCol w:w="1559"/>
        <w:gridCol w:w="1418"/>
        <w:gridCol w:w="1417"/>
        <w:gridCol w:w="1560"/>
      </w:tblGrid>
      <w:tr w:rsidR="001B316A" w:rsidRPr="004A58EE" w14:paraId="0AFD7964" w14:textId="77777777" w:rsidTr="008F769F">
        <w:trPr>
          <w:trHeight w:val="389"/>
          <w:tblHeader/>
          <w:jc w:val="center"/>
        </w:trPr>
        <w:tc>
          <w:tcPr>
            <w:tcW w:w="439" w:type="dxa"/>
            <w:tcBorders>
              <w:top w:val="single" w:sz="4" w:space="0" w:color="auto"/>
              <w:bottom w:val="single" w:sz="4" w:space="0" w:color="auto"/>
            </w:tcBorders>
            <w:vAlign w:val="center"/>
          </w:tcPr>
          <w:p w14:paraId="523B7FBE" w14:textId="77777777" w:rsidR="001B316A" w:rsidRPr="004A58EE" w:rsidRDefault="001B316A" w:rsidP="007A3998">
            <w:pPr>
              <w:pStyle w:val="TABELAs"/>
              <w:rPr>
                <w:b/>
                <w:sz w:val="22"/>
              </w:rPr>
            </w:pPr>
          </w:p>
        </w:tc>
        <w:tc>
          <w:tcPr>
            <w:tcW w:w="1116" w:type="dxa"/>
            <w:tcBorders>
              <w:top w:val="single" w:sz="4" w:space="0" w:color="auto"/>
              <w:bottom w:val="single" w:sz="4" w:space="0" w:color="auto"/>
            </w:tcBorders>
            <w:vAlign w:val="center"/>
          </w:tcPr>
          <w:p w14:paraId="4FA08F6A" w14:textId="77777777" w:rsidR="001B316A" w:rsidRPr="004A58EE" w:rsidRDefault="001B316A" w:rsidP="007A3998">
            <w:pPr>
              <w:pStyle w:val="TABELAs"/>
              <w:rPr>
                <w:b/>
                <w:sz w:val="22"/>
              </w:rPr>
            </w:pPr>
            <w:r w:rsidRPr="004A58EE">
              <w:rPr>
                <w:b/>
                <w:sz w:val="22"/>
              </w:rPr>
              <w:t>Método</w:t>
            </w:r>
          </w:p>
        </w:tc>
        <w:tc>
          <w:tcPr>
            <w:tcW w:w="1417" w:type="dxa"/>
            <w:tcBorders>
              <w:top w:val="single" w:sz="4" w:space="0" w:color="auto"/>
              <w:bottom w:val="single" w:sz="4" w:space="0" w:color="auto"/>
            </w:tcBorders>
            <w:vAlign w:val="center"/>
          </w:tcPr>
          <w:p w14:paraId="5DAAA4DB" w14:textId="77777777" w:rsidR="001B316A" w:rsidRPr="004A58EE" w:rsidRDefault="001B316A" w:rsidP="007A3998">
            <w:pPr>
              <w:pStyle w:val="TABELAs"/>
              <w:rPr>
                <w:b/>
                <w:sz w:val="22"/>
              </w:rPr>
            </w:pPr>
            <w:proofErr w:type="spellStart"/>
            <w:r w:rsidRPr="004A58EE">
              <w:rPr>
                <w:b/>
                <w:sz w:val="22"/>
              </w:rPr>
              <w:t>PIBpc</w:t>
            </w:r>
            <w:proofErr w:type="spellEnd"/>
          </w:p>
        </w:tc>
        <w:tc>
          <w:tcPr>
            <w:tcW w:w="1559" w:type="dxa"/>
            <w:tcBorders>
              <w:top w:val="single" w:sz="4" w:space="0" w:color="auto"/>
              <w:bottom w:val="single" w:sz="4" w:space="0" w:color="auto"/>
            </w:tcBorders>
            <w:vAlign w:val="center"/>
          </w:tcPr>
          <w:p w14:paraId="76834D1B" w14:textId="77777777" w:rsidR="001B316A" w:rsidRPr="004A58EE" w:rsidRDefault="001B316A" w:rsidP="007A3998">
            <w:pPr>
              <w:pStyle w:val="TABELAs"/>
              <w:rPr>
                <w:b/>
                <w:sz w:val="22"/>
              </w:rPr>
            </w:pPr>
            <w:r w:rsidRPr="004A58EE">
              <w:rPr>
                <w:b/>
                <w:sz w:val="22"/>
              </w:rPr>
              <w:t>PIBpc²</w:t>
            </w:r>
          </w:p>
        </w:tc>
        <w:tc>
          <w:tcPr>
            <w:tcW w:w="1418" w:type="dxa"/>
            <w:tcBorders>
              <w:top w:val="single" w:sz="4" w:space="0" w:color="auto"/>
              <w:bottom w:val="single" w:sz="4" w:space="0" w:color="auto"/>
            </w:tcBorders>
            <w:vAlign w:val="center"/>
          </w:tcPr>
          <w:p w14:paraId="26320610" w14:textId="77777777" w:rsidR="001B316A" w:rsidRPr="004A58EE" w:rsidRDefault="001B316A" w:rsidP="007A3998">
            <w:pPr>
              <w:pStyle w:val="TABELAs"/>
              <w:rPr>
                <w:b/>
                <w:sz w:val="22"/>
              </w:rPr>
            </w:pPr>
            <w:proofErr w:type="spellStart"/>
            <w:r w:rsidRPr="004A58EE">
              <w:rPr>
                <w:b/>
                <w:sz w:val="22"/>
              </w:rPr>
              <w:t>Dens</w:t>
            </w:r>
            <w:proofErr w:type="spellEnd"/>
          </w:p>
        </w:tc>
        <w:tc>
          <w:tcPr>
            <w:tcW w:w="1417" w:type="dxa"/>
            <w:tcBorders>
              <w:top w:val="single" w:sz="4" w:space="0" w:color="auto"/>
              <w:bottom w:val="single" w:sz="4" w:space="0" w:color="auto"/>
            </w:tcBorders>
            <w:vAlign w:val="center"/>
          </w:tcPr>
          <w:p w14:paraId="681F5406" w14:textId="77777777" w:rsidR="001B316A" w:rsidRPr="004A58EE" w:rsidRDefault="001B316A" w:rsidP="007A3998">
            <w:pPr>
              <w:pStyle w:val="TABELAs"/>
              <w:rPr>
                <w:b/>
                <w:sz w:val="22"/>
              </w:rPr>
            </w:pPr>
            <w:r w:rsidRPr="004A58EE">
              <w:rPr>
                <w:b/>
                <w:sz w:val="22"/>
              </w:rPr>
              <w:t>In4000</w:t>
            </w:r>
          </w:p>
        </w:tc>
        <w:tc>
          <w:tcPr>
            <w:tcW w:w="1560" w:type="dxa"/>
            <w:tcBorders>
              <w:top w:val="single" w:sz="4" w:space="0" w:color="auto"/>
              <w:bottom w:val="single" w:sz="4" w:space="0" w:color="auto"/>
            </w:tcBorders>
            <w:vAlign w:val="center"/>
          </w:tcPr>
          <w:p w14:paraId="14E75D92" w14:textId="1E8A64C0" w:rsidR="001B316A" w:rsidRPr="004A58EE" w:rsidRDefault="001B316A" w:rsidP="004107B5">
            <w:pPr>
              <w:pStyle w:val="TABELAs"/>
              <w:rPr>
                <w:b/>
                <w:sz w:val="22"/>
              </w:rPr>
            </w:pPr>
            <w:proofErr w:type="spellStart"/>
            <w:r w:rsidRPr="004A58EE">
              <w:rPr>
                <w:b/>
                <w:sz w:val="22"/>
              </w:rPr>
              <w:t>PIB</w:t>
            </w:r>
            <w:r w:rsidR="004107B5">
              <w:rPr>
                <w:b/>
                <w:sz w:val="22"/>
              </w:rPr>
              <w:t>X</w:t>
            </w:r>
            <w:r w:rsidRPr="004A58EE">
              <w:rPr>
                <w:b/>
                <w:sz w:val="22"/>
              </w:rPr>
              <w:t>pc</w:t>
            </w:r>
            <w:proofErr w:type="spellEnd"/>
          </w:p>
        </w:tc>
      </w:tr>
      <w:tr w:rsidR="001B316A" w:rsidRPr="00967AEF" w14:paraId="4491F700" w14:textId="77777777" w:rsidTr="00380542">
        <w:trPr>
          <w:jc w:val="center"/>
        </w:trPr>
        <w:tc>
          <w:tcPr>
            <w:tcW w:w="439" w:type="dxa"/>
            <w:vMerge w:val="restart"/>
            <w:tcBorders>
              <w:top w:val="single" w:sz="4" w:space="0" w:color="auto"/>
            </w:tcBorders>
            <w:vAlign w:val="center"/>
          </w:tcPr>
          <w:p w14:paraId="3926B284" w14:textId="77777777" w:rsidR="001B316A" w:rsidRPr="007101A0" w:rsidRDefault="001B316A" w:rsidP="007A3998">
            <w:pPr>
              <w:pStyle w:val="TABELAs"/>
            </w:pPr>
            <w:r w:rsidRPr="007101A0">
              <w:t>1</w:t>
            </w:r>
          </w:p>
        </w:tc>
        <w:tc>
          <w:tcPr>
            <w:tcW w:w="1116" w:type="dxa"/>
            <w:tcBorders>
              <w:top w:val="single" w:sz="4" w:space="0" w:color="auto"/>
            </w:tcBorders>
            <w:vAlign w:val="center"/>
          </w:tcPr>
          <w:p w14:paraId="1C9B4CD8" w14:textId="77777777" w:rsidR="001B316A" w:rsidRPr="007A3998" w:rsidRDefault="004F6287" w:rsidP="007A3998">
            <w:pPr>
              <w:pStyle w:val="TABELAs"/>
            </w:pPr>
            <w:r w:rsidRPr="007A3998">
              <w:t>FMOLS¹</w:t>
            </w:r>
          </w:p>
        </w:tc>
        <w:tc>
          <w:tcPr>
            <w:tcW w:w="1417" w:type="dxa"/>
            <w:tcBorders>
              <w:top w:val="single" w:sz="4" w:space="0" w:color="auto"/>
            </w:tcBorders>
            <w:vAlign w:val="center"/>
          </w:tcPr>
          <w:p w14:paraId="0CDFBA9C" w14:textId="77777777" w:rsidR="001B316A" w:rsidRPr="007A3998" w:rsidRDefault="001B316A" w:rsidP="007A3998">
            <w:pPr>
              <w:pStyle w:val="TABELAs"/>
            </w:pPr>
            <w:r w:rsidRPr="007A3998">
              <w:t>1,9763***</w:t>
            </w:r>
          </w:p>
          <w:p w14:paraId="7E06B8BA" w14:textId="77777777" w:rsidR="001B316A" w:rsidRPr="007A3998" w:rsidRDefault="001B316A" w:rsidP="007A3998">
            <w:pPr>
              <w:pStyle w:val="TABELAs"/>
            </w:pPr>
            <w:r w:rsidRPr="007A3998">
              <w:t>(0,0026)</w:t>
            </w:r>
          </w:p>
        </w:tc>
        <w:tc>
          <w:tcPr>
            <w:tcW w:w="1559" w:type="dxa"/>
            <w:tcBorders>
              <w:top w:val="single" w:sz="4" w:space="0" w:color="auto"/>
            </w:tcBorders>
            <w:vAlign w:val="center"/>
          </w:tcPr>
          <w:p w14:paraId="62E9B167" w14:textId="77777777" w:rsidR="001B316A" w:rsidRPr="007A3998" w:rsidRDefault="001B316A" w:rsidP="007A3998">
            <w:pPr>
              <w:pStyle w:val="TABELAs"/>
            </w:pPr>
            <w:r w:rsidRPr="007A3998">
              <w:t>-0,1796***</w:t>
            </w:r>
          </w:p>
          <w:p w14:paraId="3A47A3BF" w14:textId="77777777" w:rsidR="001B316A" w:rsidRPr="007A3998" w:rsidRDefault="001B316A" w:rsidP="007A3998">
            <w:pPr>
              <w:pStyle w:val="TABELAs"/>
            </w:pPr>
            <w:r w:rsidRPr="007A3998">
              <w:t>(3,49E-05)</w:t>
            </w:r>
          </w:p>
        </w:tc>
        <w:tc>
          <w:tcPr>
            <w:tcW w:w="1418" w:type="dxa"/>
            <w:tcBorders>
              <w:top w:val="single" w:sz="4" w:space="0" w:color="auto"/>
            </w:tcBorders>
            <w:vAlign w:val="center"/>
          </w:tcPr>
          <w:p w14:paraId="69619C5E" w14:textId="77777777" w:rsidR="001B316A" w:rsidRPr="007A3998" w:rsidRDefault="001B316A" w:rsidP="007A3998">
            <w:pPr>
              <w:pStyle w:val="TABELAs"/>
            </w:pPr>
          </w:p>
        </w:tc>
        <w:tc>
          <w:tcPr>
            <w:tcW w:w="1417" w:type="dxa"/>
            <w:tcBorders>
              <w:top w:val="single" w:sz="4" w:space="0" w:color="auto"/>
            </w:tcBorders>
            <w:vAlign w:val="center"/>
          </w:tcPr>
          <w:p w14:paraId="60B8B503" w14:textId="77777777" w:rsidR="001B316A" w:rsidRPr="007101A0" w:rsidRDefault="001B316A" w:rsidP="007A3998">
            <w:pPr>
              <w:pStyle w:val="TABELAs"/>
              <w:rPr>
                <w:sz w:val="18"/>
                <w:szCs w:val="18"/>
              </w:rPr>
            </w:pPr>
          </w:p>
        </w:tc>
        <w:tc>
          <w:tcPr>
            <w:tcW w:w="1560" w:type="dxa"/>
            <w:tcBorders>
              <w:top w:val="single" w:sz="4" w:space="0" w:color="auto"/>
            </w:tcBorders>
            <w:vAlign w:val="center"/>
          </w:tcPr>
          <w:p w14:paraId="29051F64" w14:textId="77777777" w:rsidR="001B316A" w:rsidRPr="007101A0" w:rsidRDefault="001B316A" w:rsidP="007A3998">
            <w:pPr>
              <w:pStyle w:val="TABELAs"/>
              <w:rPr>
                <w:sz w:val="18"/>
                <w:szCs w:val="18"/>
              </w:rPr>
            </w:pPr>
          </w:p>
        </w:tc>
      </w:tr>
      <w:tr w:rsidR="001B316A" w:rsidRPr="00967AEF" w14:paraId="0584E3AD" w14:textId="77777777" w:rsidTr="00380542">
        <w:trPr>
          <w:jc w:val="center"/>
        </w:trPr>
        <w:tc>
          <w:tcPr>
            <w:tcW w:w="439" w:type="dxa"/>
            <w:vMerge/>
            <w:vAlign w:val="center"/>
          </w:tcPr>
          <w:p w14:paraId="2EBD9344" w14:textId="77777777" w:rsidR="001B316A" w:rsidRPr="007101A0" w:rsidRDefault="001B316A" w:rsidP="007A3998">
            <w:pPr>
              <w:pStyle w:val="TABELAs"/>
            </w:pPr>
          </w:p>
        </w:tc>
        <w:tc>
          <w:tcPr>
            <w:tcW w:w="1116" w:type="dxa"/>
            <w:vAlign w:val="center"/>
          </w:tcPr>
          <w:p w14:paraId="39C7707E" w14:textId="77777777" w:rsidR="001B316A" w:rsidRPr="007A3998" w:rsidRDefault="004F6287" w:rsidP="007A3998">
            <w:pPr>
              <w:pStyle w:val="TABELAs"/>
            </w:pPr>
            <w:r w:rsidRPr="007A3998">
              <w:t>DOLS²</w:t>
            </w:r>
          </w:p>
        </w:tc>
        <w:tc>
          <w:tcPr>
            <w:tcW w:w="1417" w:type="dxa"/>
            <w:vAlign w:val="center"/>
          </w:tcPr>
          <w:p w14:paraId="333374FB" w14:textId="77777777" w:rsidR="001B316A" w:rsidRPr="007A3998" w:rsidRDefault="001B316A" w:rsidP="007A3998">
            <w:pPr>
              <w:pStyle w:val="TABELAs"/>
            </w:pPr>
            <w:r w:rsidRPr="007A3998">
              <w:t>2,2751***</w:t>
            </w:r>
          </w:p>
          <w:p w14:paraId="581B878A" w14:textId="77777777" w:rsidR="001B316A" w:rsidRPr="007A3998" w:rsidRDefault="001B316A" w:rsidP="007A3998">
            <w:pPr>
              <w:pStyle w:val="TABELAs"/>
            </w:pPr>
            <w:r w:rsidRPr="007A3998">
              <w:t>(0,1838)</w:t>
            </w:r>
          </w:p>
        </w:tc>
        <w:tc>
          <w:tcPr>
            <w:tcW w:w="1559" w:type="dxa"/>
            <w:vAlign w:val="center"/>
          </w:tcPr>
          <w:p w14:paraId="332BA87A" w14:textId="77777777" w:rsidR="001B316A" w:rsidRPr="007A3998" w:rsidRDefault="001B316A" w:rsidP="007A3998">
            <w:pPr>
              <w:pStyle w:val="TABELAs"/>
            </w:pPr>
            <w:r w:rsidRPr="007A3998">
              <w:t>-0,2104***</w:t>
            </w:r>
          </w:p>
          <w:p w14:paraId="2CEB2704" w14:textId="77777777" w:rsidR="001B316A" w:rsidRPr="007A3998" w:rsidRDefault="001B316A" w:rsidP="007A3998">
            <w:pPr>
              <w:pStyle w:val="TABELAs"/>
            </w:pPr>
            <w:r w:rsidRPr="007A3998">
              <w:t>(0,0185)</w:t>
            </w:r>
          </w:p>
        </w:tc>
        <w:tc>
          <w:tcPr>
            <w:tcW w:w="1418" w:type="dxa"/>
            <w:vAlign w:val="center"/>
          </w:tcPr>
          <w:p w14:paraId="54447DFF" w14:textId="77777777" w:rsidR="001B316A" w:rsidRPr="007A3998" w:rsidRDefault="001B316A" w:rsidP="007A3998">
            <w:pPr>
              <w:pStyle w:val="TABELAs"/>
            </w:pPr>
          </w:p>
        </w:tc>
        <w:tc>
          <w:tcPr>
            <w:tcW w:w="1417" w:type="dxa"/>
            <w:vAlign w:val="center"/>
          </w:tcPr>
          <w:p w14:paraId="62A28CA8" w14:textId="77777777" w:rsidR="001B316A" w:rsidRPr="007101A0" w:rsidRDefault="001B316A" w:rsidP="007A3998">
            <w:pPr>
              <w:pStyle w:val="TABELAs"/>
              <w:rPr>
                <w:sz w:val="18"/>
                <w:szCs w:val="18"/>
              </w:rPr>
            </w:pPr>
          </w:p>
        </w:tc>
        <w:tc>
          <w:tcPr>
            <w:tcW w:w="1560" w:type="dxa"/>
            <w:vAlign w:val="center"/>
          </w:tcPr>
          <w:p w14:paraId="10FAEDE3" w14:textId="77777777" w:rsidR="001B316A" w:rsidRPr="007101A0" w:rsidRDefault="001B316A" w:rsidP="007A3998">
            <w:pPr>
              <w:pStyle w:val="TABELAs"/>
              <w:rPr>
                <w:sz w:val="18"/>
                <w:szCs w:val="18"/>
              </w:rPr>
            </w:pPr>
          </w:p>
        </w:tc>
      </w:tr>
      <w:tr w:rsidR="001B316A" w:rsidRPr="00967AEF" w14:paraId="028230DD" w14:textId="77777777" w:rsidTr="00380542">
        <w:trPr>
          <w:jc w:val="center"/>
        </w:trPr>
        <w:tc>
          <w:tcPr>
            <w:tcW w:w="439" w:type="dxa"/>
            <w:vMerge w:val="restart"/>
            <w:vAlign w:val="center"/>
          </w:tcPr>
          <w:p w14:paraId="561F1EE4" w14:textId="5AC0A74C" w:rsidR="001B316A" w:rsidRPr="007101A0" w:rsidRDefault="00B94668" w:rsidP="007A3998">
            <w:pPr>
              <w:pStyle w:val="TABELAs"/>
            </w:pPr>
            <w:r>
              <w:t>2</w:t>
            </w:r>
          </w:p>
        </w:tc>
        <w:tc>
          <w:tcPr>
            <w:tcW w:w="1116" w:type="dxa"/>
            <w:vAlign w:val="center"/>
          </w:tcPr>
          <w:p w14:paraId="02F0EFC4" w14:textId="77777777" w:rsidR="001B316A" w:rsidRPr="007A3998" w:rsidRDefault="004F6287" w:rsidP="007A3998">
            <w:pPr>
              <w:pStyle w:val="TABELAs"/>
            </w:pPr>
            <w:r w:rsidRPr="007A3998">
              <w:t>FMOLS¹</w:t>
            </w:r>
          </w:p>
        </w:tc>
        <w:tc>
          <w:tcPr>
            <w:tcW w:w="1417" w:type="dxa"/>
            <w:vAlign w:val="center"/>
          </w:tcPr>
          <w:p w14:paraId="702AEAFF" w14:textId="77777777" w:rsidR="001B316A" w:rsidRPr="007A3998" w:rsidRDefault="001B316A" w:rsidP="007A3998">
            <w:pPr>
              <w:pStyle w:val="TABELAs"/>
            </w:pPr>
            <w:r w:rsidRPr="007A3998">
              <w:t>1,1922***</w:t>
            </w:r>
          </w:p>
          <w:p w14:paraId="39862CB4" w14:textId="77777777" w:rsidR="001B316A" w:rsidRPr="007A3998" w:rsidRDefault="001B316A" w:rsidP="007A3998">
            <w:pPr>
              <w:pStyle w:val="TABELAs"/>
            </w:pPr>
            <w:r w:rsidRPr="007A3998">
              <w:t>(0,0051)</w:t>
            </w:r>
          </w:p>
        </w:tc>
        <w:tc>
          <w:tcPr>
            <w:tcW w:w="1559" w:type="dxa"/>
            <w:vAlign w:val="center"/>
          </w:tcPr>
          <w:p w14:paraId="6B6DCDBB" w14:textId="77777777" w:rsidR="001B316A" w:rsidRPr="007A3998" w:rsidRDefault="001B316A" w:rsidP="007A3998">
            <w:pPr>
              <w:pStyle w:val="TABELAs"/>
            </w:pPr>
            <w:r w:rsidRPr="007A3998">
              <w:t>-0,0792***</w:t>
            </w:r>
          </w:p>
          <w:p w14:paraId="6E7A5EB1" w14:textId="77777777" w:rsidR="001B316A" w:rsidRPr="007A3998" w:rsidRDefault="001B316A" w:rsidP="007A3998">
            <w:pPr>
              <w:pStyle w:val="TABELAs"/>
            </w:pPr>
            <w:r w:rsidRPr="007A3998">
              <w:t>(0,0001)</w:t>
            </w:r>
          </w:p>
        </w:tc>
        <w:tc>
          <w:tcPr>
            <w:tcW w:w="1418" w:type="dxa"/>
            <w:vAlign w:val="center"/>
          </w:tcPr>
          <w:p w14:paraId="678F8B88" w14:textId="77777777" w:rsidR="001B316A" w:rsidRPr="007A3998" w:rsidRDefault="001B316A" w:rsidP="007A3998">
            <w:pPr>
              <w:pStyle w:val="TABELAs"/>
            </w:pPr>
            <w:r w:rsidRPr="007A3998">
              <w:t>-0,4346***</w:t>
            </w:r>
          </w:p>
          <w:p w14:paraId="08E8DB84" w14:textId="77777777" w:rsidR="001B316A" w:rsidRPr="007A3998" w:rsidRDefault="001B316A" w:rsidP="007A3998">
            <w:pPr>
              <w:pStyle w:val="TABELAs"/>
            </w:pPr>
            <w:r w:rsidRPr="007A3998">
              <w:t>(0,0003)</w:t>
            </w:r>
          </w:p>
        </w:tc>
        <w:tc>
          <w:tcPr>
            <w:tcW w:w="1417" w:type="dxa"/>
            <w:vAlign w:val="center"/>
          </w:tcPr>
          <w:p w14:paraId="683A1B23" w14:textId="77777777" w:rsidR="001B316A" w:rsidRPr="007101A0" w:rsidRDefault="001B316A" w:rsidP="007A3998">
            <w:pPr>
              <w:pStyle w:val="TABELAs"/>
              <w:rPr>
                <w:sz w:val="18"/>
                <w:szCs w:val="18"/>
              </w:rPr>
            </w:pPr>
          </w:p>
        </w:tc>
        <w:tc>
          <w:tcPr>
            <w:tcW w:w="1560" w:type="dxa"/>
            <w:vAlign w:val="center"/>
          </w:tcPr>
          <w:p w14:paraId="182FF2CC" w14:textId="77777777" w:rsidR="001B316A" w:rsidRPr="007101A0" w:rsidRDefault="001B316A" w:rsidP="007A3998">
            <w:pPr>
              <w:pStyle w:val="TABELAs"/>
              <w:rPr>
                <w:sz w:val="18"/>
                <w:szCs w:val="18"/>
              </w:rPr>
            </w:pPr>
          </w:p>
        </w:tc>
      </w:tr>
      <w:tr w:rsidR="001B316A" w:rsidRPr="00967AEF" w14:paraId="0D8B281D" w14:textId="77777777" w:rsidTr="00380542">
        <w:trPr>
          <w:jc w:val="center"/>
        </w:trPr>
        <w:tc>
          <w:tcPr>
            <w:tcW w:w="439" w:type="dxa"/>
            <w:vMerge/>
            <w:vAlign w:val="center"/>
          </w:tcPr>
          <w:p w14:paraId="57993CF7" w14:textId="77777777" w:rsidR="001B316A" w:rsidRPr="007101A0" w:rsidRDefault="001B316A" w:rsidP="007A3998">
            <w:pPr>
              <w:pStyle w:val="TABELAs"/>
            </w:pPr>
          </w:p>
        </w:tc>
        <w:tc>
          <w:tcPr>
            <w:tcW w:w="1116" w:type="dxa"/>
            <w:vAlign w:val="center"/>
          </w:tcPr>
          <w:p w14:paraId="2CC4AFCB" w14:textId="77777777" w:rsidR="001B316A" w:rsidRPr="007A3998" w:rsidRDefault="004F6287" w:rsidP="007A3998">
            <w:pPr>
              <w:pStyle w:val="TABELAs"/>
            </w:pPr>
            <w:r w:rsidRPr="007A3998">
              <w:t>DOLS²</w:t>
            </w:r>
          </w:p>
        </w:tc>
        <w:tc>
          <w:tcPr>
            <w:tcW w:w="1417" w:type="dxa"/>
            <w:vAlign w:val="center"/>
          </w:tcPr>
          <w:p w14:paraId="1098C3FC" w14:textId="77777777" w:rsidR="001B316A" w:rsidRPr="007A3998" w:rsidRDefault="001B316A" w:rsidP="007A3998">
            <w:pPr>
              <w:pStyle w:val="TABELAs"/>
            </w:pPr>
            <w:r w:rsidRPr="007A3998">
              <w:t>1,2169***</w:t>
            </w:r>
          </w:p>
          <w:p w14:paraId="4FA347BA" w14:textId="77777777" w:rsidR="001B316A" w:rsidRPr="007A3998" w:rsidRDefault="001B316A" w:rsidP="007A3998">
            <w:pPr>
              <w:pStyle w:val="TABELAs"/>
            </w:pPr>
            <w:r w:rsidRPr="007A3998">
              <w:t>(1,4808)</w:t>
            </w:r>
          </w:p>
        </w:tc>
        <w:tc>
          <w:tcPr>
            <w:tcW w:w="1559" w:type="dxa"/>
            <w:vAlign w:val="center"/>
          </w:tcPr>
          <w:p w14:paraId="460398B7" w14:textId="77777777" w:rsidR="001B316A" w:rsidRPr="007A3998" w:rsidRDefault="001B316A" w:rsidP="007A3998">
            <w:pPr>
              <w:pStyle w:val="TABELAs"/>
            </w:pPr>
            <w:r w:rsidRPr="007A3998">
              <w:t>-0,0863***</w:t>
            </w:r>
          </w:p>
          <w:p w14:paraId="13067EC6" w14:textId="77777777" w:rsidR="001B316A" w:rsidRPr="007A3998" w:rsidRDefault="001B316A" w:rsidP="007A3998">
            <w:pPr>
              <w:pStyle w:val="TABELAs"/>
            </w:pPr>
            <w:r w:rsidRPr="007A3998">
              <w:t>(0,1639)</w:t>
            </w:r>
          </w:p>
        </w:tc>
        <w:tc>
          <w:tcPr>
            <w:tcW w:w="1418" w:type="dxa"/>
            <w:vAlign w:val="center"/>
          </w:tcPr>
          <w:p w14:paraId="7B3A20AF" w14:textId="77777777" w:rsidR="001B316A" w:rsidRPr="007A3998" w:rsidRDefault="001B316A" w:rsidP="007A3998">
            <w:pPr>
              <w:pStyle w:val="TABELAs"/>
            </w:pPr>
            <w:r w:rsidRPr="007A3998">
              <w:t>-0,4041***</w:t>
            </w:r>
          </w:p>
          <w:p w14:paraId="0004C09B" w14:textId="77777777" w:rsidR="001B316A" w:rsidRPr="007A3998" w:rsidRDefault="001B316A" w:rsidP="007A3998">
            <w:pPr>
              <w:pStyle w:val="TABELAs"/>
            </w:pPr>
            <w:r w:rsidRPr="007A3998">
              <w:t>(0,5297)</w:t>
            </w:r>
          </w:p>
        </w:tc>
        <w:tc>
          <w:tcPr>
            <w:tcW w:w="1417" w:type="dxa"/>
            <w:vAlign w:val="center"/>
          </w:tcPr>
          <w:p w14:paraId="515DA47E" w14:textId="77777777" w:rsidR="001B316A" w:rsidRPr="007101A0" w:rsidRDefault="001B316A" w:rsidP="007A3998">
            <w:pPr>
              <w:pStyle w:val="TABELAs"/>
              <w:rPr>
                <w:sz w:val="18"/>
                <w:szCs w:val="18"/>
              </w:rPr>
            </w:pPr>
          </w:p>
        </w:tc>
        <w:tc>
          <w:tcPr>
            <w:tcW w:w="1560" w:type="dxa"/>
            <w:vAlign w:val="center"/>
          </w:tcPr>
          <w:p w14:paraId="107C59BB" w14:textId="77777777" w:rsidR="001B316A" w:rsidRPr="007101A0" w:rsidRDefault="001B316A" w:rsidP="007A3998">
            <w:pPr>
              <w:pStyle w:val="TABELAs"/>
              <w:rPr>
                <w:sz w:val="18"/>
                <w:szCs w:val="18"/>
              </w:rPr>
            </w:pPr>
          </w:p>
        </w:tc>
      </w:tr>
      <w:tr w:rsidR="001B316A" w:rsidRPr="00967AEF" w14:paraId="610A0665" w14:textId="77777777" w:rsidTr="00380542">
        <w:trPr>
          <w:jc w:val="center"/>
        </w:trPr>
        <w:tc>
          <w:tcPr>
            <w:tcW w:w="439" w:type="dxa"/>
            <w:vMerge w:val="restart"/>
            <w:vAlign w:val="center"/>
          </w:tcPr>
          <w:p w14:paraId="2E8E9776" w14:textId="7777F969" w:rsidR="001B316A" w:rsidRPr="007101A0" w:rsidRDefault="00B94668" w:rsidP="007A3998">
            <w:pPr>
              <w:pStyle w:val="TABELAs"/>
            </w:pPr>
            <w:r>
              <w:t>3</w:t>
            </w:r>
          </w:p>
        </w:tc>
        <w:tc>
          <w:tcPr>
            <w:tcW w:w="1116" w:type="dxa"/>
            <w:vAlign w:val="center"/>
          </w:tcPr>
          <w:p w14:paraId="2F5542D0" w14:textId="77777777" w:rsidR="001B316A" w:rsidRPr="007101A0" w:rsidRDefault="004F6287" w:rsidP="007A3998">
            <w:pPr>
              <w:pStyle w:val="TABELAs"/>
            </w:pPr>
            <w:r>
              <w:t>FMOLS¹</w:t>
            </w:r>
          </w:p>
        </w:tc>
        <w:tc>
          <w:tcPr>
            <w:tcW w:w="1417" w:type="dxa"/>
            <w:vAlign w:val="center"/>
          </w:tcPr>
          <w:p w14:paraId="74F10132" w14:textId="77777777" w:rsidR="001B316A" w:rsidRPr="007101A0" w:rsidRDefault="001B316A" w:rsidP="007A3998">
            <w:pPr>
              <w:pStyle w:val="TABELAs"/>
              <w:rPr>
                <w:color w:val="000000"/>
                <w:sz w:val="18"/>
                <w:szCs w:val="18"/>
              </w:rPr>
            </w:pPr>
            <w:r>
              <w:rPr>
                <w:color w:val="000000"/>
                <w:sz w:val="18"/>
                <w:szCs w:val="18"/>
              </w:rPr>
              <w:t>1,7148</w:t>
            </w:r>
            <w:r w:rsidRPr="007101A0">
              <w:rPr>
                <w:color w:val="000000"/>
                <w:sz w:val="18"/>
                <w:szCs w:val="18"/>
              </w:rPr>
              <w:t>***</w:t>
            </w:r>
          </w:p>
          <w:p w14:paraId="5CC7E0FC"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0,3095</w:t>
            </w:r>
            <w:r w:rsidRPr="007101A0">
              <w:rPr>
                <w:color w:val="000000"/>
                <w:sz w:val="18"/>
                <w:szCs w:val="18"/>
              </w:rPr>
              <w:t>)</w:t>
            </w:r>
          </w:p>
        </w:tc>
        <w:tc>
          <w:tcPr>
            <w:tcW w:w="1559" w:type="dxa"/>
            <w:vAlign w:val="center"/>
          </w:tcPr>
          <w:p w14:paraId="7B0F0D44"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0,1639</w:t>
            </w:r>
            <w:r w:rsidRPr="007101A0">
              <w:rPr>
                <w:color w:val="000000"/>
                <w:sz w:val="18"/>
                <w:szCs w:val="18"/>
              </w:rPr>
              <w:t>***</w:t>
            </w:r>
          </w:p>
          <w:p w14:paraId="0B7CF539" w14:textId="77777777" w:rsidR="001B316A" w:rsidRPr="007101A0" w:rsidRDefault="001B316A" w:rsidP="007A3998">
            <w:pPr>
              <w:pStyle w:val="TABELAs"/>
              <w:rPr>
                <w:sz w:val="18"/>
                <w:szCs w:val="18"/>
              </w:rPr>
            </w:pPr>
            <w:r w:rsidRPr="007101A0">
              <w:rPr>
                <w:color w:val="000000"/>
                <w:sz w:val="18"/>
                <w:szCs w:val="18"/>
              </w:rPr>
              <w:t>(0</w:t>
            </w:r>
            <w:r>
              <w:rPr>
                <w:color w:val="000000"/>
                <w:sz w:val="18"/>
                <w:szCs w:val="18"/>
              </w:rPr>
              <w:t>,</w:t>
            </w:r>
            <w:r w:rsidRPr="007101A0">
              <w:rPr>
                <w:color w:val="000000"/>
                <w:sz w:val="18"/>
                <w:szCs w:val="18"/>
              </w:rPr>
              <w:t>0280)</w:t>
            </w:r>
          </w:p>
        </w:tc>
        <w:tc>
          <w:tcPr>
            <w:tcW w:w="1418" w:type="dxa"/>
            <w:vAlign w:val="center"/>
          </w:tcPr>
          <w:p w14:paraId="53D84793" w14:textId="77777777" w:rsidR="001B316A" w:rsidRPr="007101A0" w:rsidRDefault="001B316A" w:rsidP="007A3998">
            <w:pPr>
              <w:pStyle w:val="TABELAs"/>
              <w:rPr>
                <w:sz w:val="18"/>
                <w:szCs w:val="18"/>
              </w:rPr>
            </w:pPr>
          </w:p>
        </w:tc>
        <w:tc>
          <w:tcPr>
            <w:tcW w:w="1417" w:type="dxa"/>
            <w:vAlign w:val="center"/>
          </w:tcPr>
          <w:p w14:paraId="2B3EB143" w14:textId="77777777" w:rsidR="001B316A" w:rsidRPr="007101A0" w:rsidRDefault="001B316A" w:rsidP="007A3998">
            <w:pPr>
              <w:pStyle w:val="TABELAs"/>
              <w:rPr>
                <w:color w:val="000000"/>
                <w:sz w:val="18"/>
                <w:szCs w:val="18"/>
              </w:rPr>
            </w:pPr>
            <w:r>
              <w:rPr>
                <w:color w:val="000000"/>
                <w:sz w:val="18"/>
                <w:szCs w:val="18"/>
              </w:rPr>
              <w:t>0,2329</w:t>
            </w:r>
            <w:r w:rsidRPr="007101A0">
              <w:rPr>
                <w:color w:val="000000"/>
                <w:sz w:val="18"/>
                <w:szCs w:val="18"/>
              </w:rPr>
              <w:t>*</w:t>
            </w:r>
          </w:p>
          <w:p w14:paraId="1F232F88" w14:textId="77777777" w:rsidR="001B316A" w:rsidRPr="007101A0" w:rsidRDefault="001B316A" w:rsidP="007A3998">
            <w:pPr>
              <w:pStyle w:val="TABELAs"/>
              <w:rPr>
                <w:sz w:val="18"/>
                <w:szCs w:val="18"/>
              </w:rPr>
            </w:pPr>
            <w:r w:rsidRPr="007101A0">
              <w:rPr>
                <w:color w:val="000000"/>
                <w:sz w:val="18"/>
                <w:szCs w:val="18"/>
              </w:rPr>
              <w:t>(</w:t>
            </w:r>
            <w:r>
              <w:rPr>
                <w:color w:val="000000"/>
                <w:sz w:val="18"/>
                <w:szCs w:val="18"/>
              </w:rPr>
              <w:t>0,116</w:t>
            </w:r>
            <w:r w:rsidRPr="007101A0">
              <w:rPr>
                <w:color w:val="000000"/>
                <w:sz w:val="18"/>
                <w:szCs w:val="18"/>
              </w:rPr>
              <w:t>6)</w:t>
            </w:r>
          </w:p>
        </w:tc>
        <w:tc>
          <w:tcPr>
            <w:tcW w:w="1560" w:type="dxa"/>
            <w:vAlign w:val="center"/>
          </w:tcPr>
          <w:p w14:paraId="23E3463B" w14:textId="77777777" w:rsidR="001B316A" w:rsidRPr="007101A0" w:rsidRDefault="001B316A" w:rsidP="007A3998">
            <w:pPr>
              <w:pStyle w:val="TABELAs"/>
              <w:rPr>
                <w:sz w:val="18"/>
                <w:szCs w:val="18"/>
              </w:rPr>
            </w:pPr>
          </w:p>
        </w:tc>
      </w:tr>
      <w:tr w:rsidR="001B316A" w:rsidRPr="00967AEF" w14:paraId="1B1DB846" w14:textId="77777777" w:rsidTr="00380542">
        <w:trPr>
          <w:jc w:val="center"/>
        </w:trPr>
        <w:tc>
          <w:tcPr>
            <w:tcW w:w="439" w:type="dxa"/>
            <w:vMerge/>
            <w:vAlign w:val="center"/>
          </w:tcPr>
          <w:p w14:paraId="58A43D09" w14:textId="77777777" w:rsidR="001B316A" w:rsidRPr="007101A0" w:rsidRDefault="001B316A" w:rsidP="007A3998">
            <w:pPr>
              <w:pStyle w:val="TABELAs"/>
            </w:pPr>
          </w:p>
        </w:tc>
        <w:tc>
          <w:tcPr>
            <w:tcW w:w="1116" w:type="dxa"/>
            <w:vAlign w:val="center"/>
          </w:tcPr>
          <w:p w14:paraId="2FC67523" w14:textId="77777777" w:rsidR="001B316A" w:rsidRPr="007101A0" w:rsidRDefault="004F6287" w:rsidP="007A3998">
            <w:pPr>
              <w:pStyle w:val="TABELAs"/>
            </w:pPr>
            <w:r>
              <w:t>DOLS²</w:t>
            </w:r>
          </w:p>
        </w:tc>
        <w:tc>
          <w:tcPr>
            <w:tcW w:w="1417" w:type="dxa"/>
            <w:vAlign w:val="center"/>
          </w:tcPr>
          <w:p w14:paraId="6B8884A6" w14:textId="77777777" w:rsidR="001B316A" w:rsidRPr="007101A0" w:rsidRDefault="001B316A" w:rsidP="007A3998">
            <w:pPr>
              <w:pStyle w:val="TABELAs"/>
              <w:rPr>
                <w:color w:val="000000"/>
                <w:sz w:val="18"/>
                <w:szCs w:val="18"/>
              </w:rPr>
            </w:pPr>
            <w:r>
              <w:rPr>
                <w:color w:val="000000"/>
                <w:sz w:val="18"/>
                <w:szCs w:val="18"/>
              </w:rPr>
              <w:t>1,3640</w:t>
            </w:r>
            <w:r w:rsidRPr="007101A0">
              <w:rPr>
                <w:color w:val="000000"/>
                <w:sz w:val="18"/>
                <w:szCs w:val="18"/>
              </w:rPr>
              <w:t>***</w:t>
            </w:r>
          </w:p>
          <w:p w14:paraId="6F55B256"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0,3562</w:t>
            </w:r>
            <w:r w:rsidRPr="007101A0">
              <w:rPr>
                <w:color w:val="000000"/>
                <w:sz w:val="18"/>
                <w:szCs w:val="18"/>
              </w:rPr>
              <w:t>)</w:t>
            </w:r>
          </w:p>
        </w:tc>
        <w:tc>
          <w:tcPr>
            <w:tcW w:w="1559" w:type="dxa"/>
            <w:vAlign w:val="center"/>
          </w:tcPr>
          <w:p w14:paraId="45A78BF2"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0,1369</w:t>
            </w:r>
            <w:r w:rsidRPr="007101A0">
              <w:rPr>
                <w:color w:val="000000"/>
                <w:sz w:val="18"/>
                <w:szCs w:val="18"/>
              </w:rPr>
              <w:t>***</w:t>
            </w:r>
          </w:p>
          <w:p w14:paraId="47B0A2BF" w14:textId="77777777" w:rsidR="001B316A" w:rsidRPr="007101A0" w:rsidRDefault="001B316A" w:rsidP="007A3998">
            <w:pPr>
              <w:pStyle w:val="TABELAs"/>
              <w:rPr>
                <w:sz w:val="18"/>
                <w:szCs w:val="18"/>
              </w:rPr>
            </w:pPr>
            <w:r w:rsidRPr="007101A0">
              <w:rPr>
                <w:color w:val="000000"/>
                <w:sz w:val="18"/>
                <w:szCs w:val="18"/>
              </w:rPr>
              <w:t>(0</w:t>
            </w:r>
            <w:r>
              <w:rPr>
                <w:color w:val="000000"/>
                <w:sz w:val="18"/>
                <w:szCs w:val="18"/>
              </w:rPr>
              <w:t>,</w:t>
            </w:r>
            <w:r w:rsidRPr="007101A0">
              <w:rPr>
                <w:color w:val="000000"/>
                <w:sz w:val="18"/>
                <w:szCs w:val="18"/>
              </w:rPr>
              <w:t>0305)</w:t>
            </w:r>
          </w:p>
        </w:tc>
        <w:tc>
          <w:tcPr>
            <w:tcW w:w="1418" w:type="dxa"/>
            <w:vAlign w:val="center"/>
          </w:tcPr>
          <w:p w14:paraId="5E605F70" w14:textId="77777777" w:rsidR="001B316A" w:rsidRPr="007101A0" w:rsidRDefault="001B316A" w:rsidP="007A3998">
            <w:pPr>
              <w:pStyle w:val="TABELAs"/>
              <w:rPr>
                <w:sz w:val="18"/>
                <w:szCs w:val="18"/>
              </w:rPr>
            </w:pPr>
          </w:p>
        </w:tc>
        <w:tc>
          <w:tcPr>
            <w:tcW w:w="1417" w:type="dxa"/>
            <w:vAlign w:val="center"/>
          </w:tcPr>
          <w:p w14:paraId="323A34AA" w14:textId="77777777" w:rsidR="001B316A" w:rsidRPr="007101A0" w:rsidRDefault="001B316A" w:rsidP="007A3998">
            <w:pPr>
              <w:pStyle w:val="TABELAs"/>
              <w:rPr>
                <w:color w:val="000000"/>
                <w:sz w:val="18"/>
                <w:szCs w:val="18"/>
              </w:rPr>
            </w:pPr>
            <w:r>
              <w:rPr>
                <w:color w:val="000000"/>
                <w:sz w:val="18"/>
                <w:szCs w:val="18"/>
              </w:rPr>
              <w:t>0,4561</w:t>
            </w:r>
            <w:r w:rsidRPr="007101A0">
              <w:rPr>
                <w:color w:val="000000"/>
                <w:sz w:val="18"/>
                <w:szCs w:val="18"/>
              </w:rPr>
              <w:t>***</w:t>
            </w:r>
          </w:p>
          <w:p w14:paraId="7E032396" w14:textId="77777777" w:rsidR="001B316A" w:rsidRPr="007101A0" w:rsidRDefault="001B316A" w:rsidP="007A3998">
            <w:pPr>
              <w:pStyle w:val="TABELAs"/>
              <w:rPr>
                <w:sz w:val="18"/>
                <w:szCs w:val="18"/>
              </w:rPr>
            </w:pPr>
            <w:r w:rsidRPr="007101A0">
              <w:rPr>
                <w:color w:val="000000"/>
                <w:sz w:val="18"/>
                <w:szCs w:val="18"/>
              </w:rPr>
              <w:t>(</w:t>
            </w:r>
            <w:r>
              <w:rPr>
                <w:color w:val="000000"/>
                <w:sz w:val="18"/>
                <w:szCs w:val="18"/>
              </w:rPr>
              <w:t>0,1521</w:t>
            </w:r>
            <w:r w:rsidRPr="007101A0">
              <w:rPr>
                <w:color w:val="000000"/>
                <w:sz w:val="18"/>
                <w:szCs w:val="18"/>
              </w:rPr>
              <w:t>)</w:t>
            </w:r>
          </w:p>
        </w:tc>
        <w:tc>
          <w:tcPr>
            <w:tcW w:w="1560" w:type="dxa"/>
            <w:vAlign w:val="center"/>
          </w:tcPr>
          <w:p w14:paraId="59793CC8" w14:textId="77777777" w:rsidR="001B316A" w:rsidRPr="007101A0" w:rsidRDefault="001B316A" w:rsidP="007A3998">
            <w:pPr>
              <w:pStyle w:val="TABELAs"/>
              <w:rPr>
                <w:sz w:val="18"/>
                <w:szCs w:val="18"/>
              </w:rPr>
            </w:pPr>
          </w:p>
        </w:tc>
      </w:tr>
      <w:tr w:rsidR="001B316A" w:rsidRPr="00967AEF" w14:paraId="62485537" w14:textId="77777777" w:rsidTr="00380542">
        <w:trPr>
          <w:jc w:val="center"/>
        </w:trPr>
        <w:tc>
          <w:tcPr>
            <w:tcW w:w="439" w:type="dxa"/>
            <w:vMerge w:val="restart"/>
            <w:vAlign w:val="center"/>
          </w:tcPr>
          <w:p w14:paraId="5E331352" w14:textId="169BD74C" w:rsidR="001B316A" w:rsidRPr="007101A0" w:rsidRDefault="00B94668" w:rsidP="007A3998">
            <w:pPr>
              <w:pStyle w:val="TABELAs"/>
            </w:pPr>
            <w:r>
              <w:t>4</w:t>
            </w:r>
          </w:p>
        </w:tc>
        <w:tc>
          <w:tcPr>
            <w:tcW w:w="1116" w:type="dxa"/>
            <w:vAlign w:val="center"/>
          </w:tcPr>
          <w:p w14:paraId="68790BFA" w14:textId="77777777" w:rsidR="001B316A" w:rsidRPr="007101A0" w:rsidRDefault="004F6287" w:rsidP="007A3998">
            <w:pPr>
              <w:pStyle w:val="TABELAs"/>
            </w:pPr>
            <w:r>
              <w:t>FMOLS¹</w:t>
            </w:r>
          </w:p>
        </w:tc>
        <w:tc>
          <w:tcPr>
            <w:tcW w:w="1417" w:type="dxa"/>
            <w:vAlign w:val="center"/>
          </w:tcPr>
          <w:p w14:paraId="06CD51D6"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9,1098</w:t>
            </w:r>
            <w:r w:rsidRPr="007101A0">
              <w:rPr>
                <w:color w:val="000000"/>
                <w:sz w:val="18"/>
                <w:szCs w:val="18"/>
              </w:rPr>
              <w:t>***</w:t>
            </w:r>
          </w:p>
          <w:p w14:paraId="0DC93452"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0,0051</w:t>
            </w:r>
            <w:r w:rsidRPr="007101A0">
              <w:rPr>
                <w:color w:val="000000"/>
                <w:sz w:val="18"/>
                <w:szCs w:val="18"/>
              </w:rPr>
              <w:t>)</w:t>
            </w:r>
          </w:p>
        </w:tc>
        <w:tc>
          <w:tcPr>
            <w:tcW w:w="1559" w:type="dxa"/>
            <w:vAlign w:val="center"/>
          </w:tcPr>
          <w:p w14:paraId="7AE8DC64" w14:textId="77777777" w:rsidR="001B316A" w:rsidRPr="007101A0" w:rsidRDefault="001B316A" w:rsidP="007A3998">
            <w:pPr>
              <w:pStyle w:val="TABELAs"/>
              <w:rPr>
                <w:color w:val="000000"/>
                <w:sz w:val="18"/>
                <w:szCs w:val="18"/>
              </w:rPr>
            </w:pPr>
            <w:r>
              <w:rPr>
                <w:color w:val="000000"/>
                <w:sz w:val="18"/>
                <w:szCs w:val="18"/>
              </w:rPr>
              <w:t>0,3647</w:t>
            </w:r>
            <w:r w:rsidRPr="007101A0">
              <w:rPr>
                <w:color w:val="000000"/>
                <w:sz w:val="18"/>
                <w:szCs w:val="18"/>
              </w:rPr>
              <w:t>***</w:t>
            </w:r>
          </w:p>
          <w:p w14:paraId="525BE7C8" w14:textId="77777777" w:rsidR="001B316A" w:rsidRPr="007101A0" w:rsidRDefault="001B316A" w:rsidP="007A3998">
            <w:pPr>
              <w:pStyle w:val="TABELAs"/>
              <w:rPr>
                <w:sz w:val="18"/>
                <w:szCs w:val="18"/>
              </w:rPr>
            </w:pPr>
            <w:r w:rsidRPr="007101A0">
              <w:rPr>
                <w:color w:val="000000"/>
                <w:sz w:val="18"/>
                <w:szCs w:val="18"/>
              </w:rPr>
              <w:t>(5</w:t>
            </w:r>
            <w:r>
              <w:rPr>
                <w:color w:val="000000"/>
                <w:sz w:val="18"/>
                <w:szCs w:val="18"/>
              </w:rPr>
              <w:t>,</w:t>
            </w:r>
            <w:r w:rsidRPr="007101A0">
              <w:rPr>
                <w:color w:val="000000"/>
                <w:sz w:val="18"/>
                <w:szCs w:val="18"/>
              </w:rPr>
              <w:t>26E-05)</w:t>
            </w:r>
          </w:p>
        </w:tc>
        <w:tc>
          <w:tcPr>
            <w:tcW w:w="1418" w:type="dxa"/>
            <w:vAlign w:val="center"/>
          </w:tcPr>
          <w:p w14:paraId="2AD7BC73" w14:textId="77777777" w:rsidR="001B316A" w:rsidRPr="007101A0" w:rsidRDefault="001B316A" w:rsidP="007A3998">
            <w:pPr>
              <w:pStyle w:val="TABELAs"/>
              <w:rPr>
                <w:sz w:val="18"/>
                <w:szCs w:val="18"/>
              </w:rPr>
            </w:pPr>
          </w:p>
        </w:tc>
        <w:tc>
          <w:tcPr>
            <w:tcW w:w="1417" w:type="dxa"/>
            <w:vAlign w:val="center"/>
          </w:tcPr>
          <w:p w14:paraId="3165449F" w14:textId="77777777" w:rsidR="001B316A" w:rsidRPr="007101A0" w:rsidRDefault="001B316A" w:rsidP="007A3998">
            <w:pPr>
              <w:pStyle w:val="TABELAs"/>
              <w:rPr>
                <w:sz w:val="18"/>
                <w:szCs w:val="18"/>
              </w:rPr>
            </w:pPr>
          </w:p>
        </w:tc>
        <w:tc>
          <w:tcPr>
            <w:tcW w:w="1560" w:type="dxa"/>
            <w:vAlign w:val="center"/>
          </w:tcPr>
          <w:p w14:paraId="15064E1F" w14:textId="77777777" w:rsidR="001B316A" w:rsidRPr="007101A0" w:rsidRDefault="001B316A" w:rsidP="007A3998">
            <w:pPr>
              <w:pStyle w:val="TABELAs"/>
              <w:rPr>
                <w:color w:val="000000"/>
                <w:sz w:val="18"/>
                <w:szCs w:val="18"/>
              </w:rPr>
            </w:pPr>
            <w:r w:rsidRPr="007101A0">
              <w:rPr>
                <w:color w:val="000000"/>
                <w:sz w:val="18"/>
                <w:szCs w:val="18"/>
              </w:rPr>
              <w:t>5</w:t>
            </w:r>
            <w:r>
              <w:rPr>
                <w:color w:val="000000"/>
                <w:sz w:val="18"/>
                <w:szCs w:val="18"/>
              </w:rPr>
              <w:t>,</w:t>
            </w:r>
            <w:r w:rsidRPr="007101A0">
              <w:rPr>
                <w:color w:val="000000"/>
                <w:sz w:val="18"/>
                <w:szCs w:val="18"/>
              </w:rPr>
              <w:t>550</w:t>
            </w:r>
            <w:r>
              <w:rPr>
                <w:color w:val="000000"/>
                <w:sz w:val="18"/>
                <w:szCs w:val="18"/>
              </w:rPr>
              <w:t>7</w:t>
            </w:r>
            <w:r w:rsidRPr="007101A0">
              <w:rPr>
                <w:color w:val="000000"/>
                <w:sz w:val="18"/>
                <w:szCs w:val="18"/>
              </w:rPr>
              <w:t>***</w:t>
            </w:r>
          </w:p>
          <w:p w14:paraId="2DEFC43E" w14:textId="77777777" w:rsidR="001B316A" w:rsidRPr="007101A0" w:rsidRDefault="001B316A" w:rsidP="007A3998">
            <w:pPr>
              <w:pStyle w:val="TABELAs"/>
              <w:rPr>
                <w:sz w:val="18"/>
                <w:szCs w:val="18"/>
              </w:rPr>
            </w:pPr>
            <w:r w:rsidRPr="007101A0">
              <w:rPr>
                <w:color w:val="000000"/>
                <w:sz w:val="18"/>
                <w:szCs w:val="18"/>
              </w:rPr>
              <w:t>(0</w:t>
            </w:r>
            <w:r>
              <w:rPr>
                <w:color w:val="000000"/>
                <w:sz w:val="18"/>
                <w:szCs w:val="18"/>
              </w:rPr>
              <w:t>,</w:t>
            </w:r>
            <w:r w:rsidRPr="007101A0">
              <w:rPr>
                <w:color w:val="000000"/>
                <w:sz w:val="18"/>
                <w:szCs w:val="18"/>
              </w:rPr>
              <w:t>000</w:t>
            </w:r>
            <w:r>
              <w:rPr>
                <w:color w:val="000000"/>
                <w:sz w:val="18"/>
                <w:szCs w:val="18"/>
              </w:rPr>
              <w:t>2</w:t>
            </w:r>
            <w:r w:rsidRPr="007101A0">
              <w:rPr>
                <w:color w:val="000000"/>
                <w:sz w:val="18"/>
                <w:szCs w:val="18"/>
              </w:rPr>
              <w:t>)</w:t>
            </w:r>
          </w:p>
        </w:tc>
      </w:tr>
      <w:tr w:rsidR="001B316A" w:rsidRPr="00967AEF" w14:paraId="26EA6C68" w14:textId="77777777" w:rsidTr="00380542">
        <w:trPr>
          <w:jc w:val="center"/>
        </w:trPr>
        <w:tc>
          <w:tcPr>
            <w:tcW w:w="439" w:type="dxa"/>
            <w:vMerge/>
            <w:vAlign w:val="center"/>
          </w:tcPr>
          <w:p w14:paraId="0BF9FEE4" w14:textId="77777777" w:rsidR="001B316A" w:rsidRPr="007101A0" w:rsidRDefault="001B316A" w:rsidP="007A3998">
            <w:pPr>
              <w:pStyle w:val="TABELAs"/>
            </w:pPr>
          </w:p>
        </w:tc>
        <w:tc>
          <w:tcPr>
            <w:tcW w:w="1116" w:type="dxa"/>
            <w:vAlign w:val="center"/>
          </w:tcPr>
          <w:p w14:paraId="10B4377D" w14:textId="77777777" w:rsidR="001B316A" w:rsidRPr="007101A0" w:rsidRDefault="004F6287" w:rsidP="007A3998">
            <w:pPr>
              <w:pStyle w:val="TABELAs"/>
            </w:pPr>
            <w:r>
              <w:t>DOLS²</w:t>
            </w:r>
          </w:p>
        </w:tc>
        <w:tc>
          <w:tcPr>
            <w:tcW w:w="1417" w:type="dxa"/>
            <w:vAlign w:val="center"/>
          </w:tcPr>
          <w:p w14:paraId="6CC174E6"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9,9328</w:t>
            </w:r>
            <w:r w:rsidRPr="007101A0">
              <w:rPr>
                <w:color w:val="000000"/>
                <w:sz w:val="18"/>
                <w:szCs w:val="18"/>
              </w:rPr>
              <w:t>***</w:t>
            </w:r>
          </w:p>
          <w:p w14:paraId="54AE8820"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2,5078</w:t>
            </w:r>
            <w:r w:rsidRPr="007101A0">
              <w:rPr>
                <w:color w:val="000000"/>
                <w:sz w:val="18"/>
                <w:szCs w:val="18"/>
              </w:rPr>
              <w:t>)</w:t>
            </w:r>
          </w:p>
        </w:tc>
        <w:tc>
          <w:tcPr>
            <w:tcW w:w="1559" w:type="dxa"/>
            <w:vAlign w:val="center"/>
          </w:tcPr>
          <w:p w14:paraId="46A9151B" w14:textId="77777777" w:rsidR="001B316A" w:rsidRPr="007101A0" w:rsidRDefault="001B316A" w:rsidP="007A3998">
            <w:pPr>
              <w:pStyle w:val="TABELAs"/>
              <w:rPr>
                <w:color w:val="000000"/>
                <w:sz w:val="18"/>
                <w:szCs w:val="18"/>
              </w:rPr>
            </w:pPr>
            <w:r>
              <w:rPr>
                <w:color w:val="000000"/>
                <w:sz w:val="18"/>
                <w:szCs w:val="18"/>
              </w:rPr>
              <w:t>0,3931</w:t>
            </w:r>
            <w:r w:rsidRPr="007101A0">
              <w:rPr>
                <w:color w:val="000000"/>
                <w:sz w:val="18"/>
                <w:szCs w:val="18"/>
              </w:rPr>
              <w:t>***</w:t>
            </w:r>
          </w:p>
          <w:p w14:paraId="5F9B92B6" w14:textId="77777777" w:rsidR="001B316A" w:rsidRPr="007101A0" w:rsidRDefault="001B316A" w:rsidP="007A3998">
            <w:pPr>
              <w:pStyle w:val="TABELAs"/>
              <w:rPr>
                <w:sz w:val="18"/>
                <w:szCs w:val="18"/>
              </w:rPr>
            </w:pPr>
            <w:r w:rsidRPr="007101A0">
              <w:rPr>
                <w:color w:val="000000"/>
                <w:sz w:val="18"/>
                <w:szCs w:val="18"/>
              </w:rPr>
              <w:t>(</w:t>
            </w:r>
            <w:r>
              <w:rPr>
                <w:color w:val="000000"/>
                <w:sz w:val="18"/>
                <w:szCs w:val="18"/>
              </w:rPr>
              <w:t>0,1245</w:t>
            </w:r>
            <w:r w:rsidRPr="007101A0">
              <w:rPr>
                <w:color w:val="000000"/>
                <w:sz w:val="18"/>
                <w:szCs w:val="18"/>
              </w:rPr>
              <w:t>)</w:t>
            </w:r>
          </w:p>
        </w:tc>
        <w:tc>
          <w:tcPr>
            <w:tcW w:w="1418" w:type="dxa"/>
            <w:vAlign w:val="center"/>
          </w:tcPr>
          <w:p w14:paraId="6E582B27" w14:textId="77777777" w:rsidR="001B316A" w:rsidRPr="007101A0" w:rsidRDefault="001B316A" w:rsidP="007A3998">
            <w:pPr>
              <w:pStyle w:val="TABELAs"/>
              <w:rPr>
                <w:sz w:val="18"/>
                <w:szCs w:val="18"/>
              </w:rPr>
            </w:pPr>
          </w:p>
        </w:tc>
        <w:tc>
          <w:tcPr>
            <w:tcW w:w="1417" w:type="dxa"/>
            <w:vAlign w:val="center"/>
          </w:tcPr>
          <w:p w14:paraId="477C6B9B" w14:textId="77777777" w:rsidR="001B316A" w:rsidRPr="007101A0" w:rsidRDefault="001B316A" w:rsidP="007A3998">
            <w:pPr>
              <w:pStyle w:val="TABELAs"/>
              <w:rPr>
                <w:sz w:val="18"/>
                <w:szCs w:val="18"/>
              </w:rPr>
            </w:pPr>
          </w:p>
        </w:tc>
        <w:tc>
          <w:tcPr>
            <w:tcW w:w="1560" w:type="dxa"/>
            <w:vAlign w:val="center"/>
          </w:tcPr>
          <w:p w14:paraId="0B38FDA4" w14:textId="77777777" w:rsidR="001B316A" w:rsidRPr="007101A0" w:rsidRDefault="001B316A" w:rsidP="007A3998">
            <w:pPr>
              <w:pStyle w:val="TABELAs"/>
              <w:rPr>
                <w:color w:val="000000"/>
                <w:sz w:val="18"/>
                <w:szCs w:val="18"/>
              </w:rPr>
            </w:pPr>
            <w:r w:rsidRPr="007101A0">
              <w:rPr>
                <w:color w:val="000000"/>
                <w:sz w:val="18"/>
                <w:szCs w:val="18"/>
              </w:rPr>
              <w:t>6</w:t>
            </w:r>
            <w:r>
              <w:rPr>
                <w:color w:val="000000"/>
                <w:sz w:val="18"/>
                <w:szCs w:val="18"/>
              </w:rPr>
              <w:t>,</w:t>
            </w:r>
            <w:r w:rsidRPr="007101A0">
              <w:rPr>
                <w:color w:val="000000"/>
                <w:sz w:val="18"/>
                <w:szCs w:val="18"/>
              </w:rPr>
              <w:t>038</w:t>
            </w:r>
            <w:r>
              <w:rPr>
                <w:color w:val="000000"/>
                <w:sz w:val="18"/>
                <w:szCs w:val="18"/>
              </w:rPr>
              <w:t>3</w:t>
            </w:r>
            <w:r w:rsidRPr="007101A0">
              <w:rPr>
                <w:color w:val="000000"/>
                <w:sz w:val="18"/>
                <w:szCs w:val="18"/>
              </w:rPr>
              <w:t>***</w:t>
            </w:r>
          </w:p>
          <w:p w14:paraId="2467385F" w14:textId="77777777" w:rsidR="001B316A" w:rsidRPr="007101A0" w:rsidRDefault="001B316A" w:rsidP="007A3998">
            <w:pPr>
              <w:pStyle w:val="TABELAs"/>
              <w:rPr>
                <w:sz w:val="18"/>
                <w:szCs w:val="18"/>
              </w:rPr>
            </w:pPr>
            <w:r w:rsidRPr="007101A0">
              <w:rPr>
                <w:color w:val="000000"/>
                <w:sz w:val="18"/>
                <w:szCs w:val="18"/>
              </w:rPr>
              <w:t>(1</w:t>
            </w:r>
            <w:r>
              <w:rPr>
                <w:color w:val="000000"/>
                <w:sz w:val="18"/>
                <w:szCs w:val="18"/>
              </w:rPr>
              <w:t>,</w:t>
            </w:r>
            <w:r w:rsidRPr="007101A0">
              <w:rPr>
                <w:color w:val="000000"/>
                <w:sz w:val="18"/>
                <w:szCs w:val="18"/>
              </w:rPr>
              <w:t>2406)</w:t>
            </w:r>
          </w:p>
        </w:tc>
      </w:tr>
      <w:tr w:rsidR="001B316A" w:rsidRPr="00967AEF" w14:paraId="3B8119E1" w14:textId="77777777" w:rsidTr="00380542">
        <w:trPr>
          <w:jc w:val="center"/>
        </w:trPr>
        <w:tc>
          <w:tcPr>
            <w:tcW w:w="439" w:type="dxa"/>
            <w:vMerge w:val="restart"/>
            <w:vAlign w:val="center"/>
          </w:tcPr>
          <w:p w14:paraId="0A4D87BC" w14:textId="1AD9D248" w:rsidR="001B316A" w:rsidRPr="007101A0" w:rsidRDefault="00B94668" w:rsidP="007A3998">
            <w:pPr>
              <w:pStyle w:val="TABELAs"/>
            </w:pPr>
            <w:r>
              <w:t>5</w:t>
            </w:r>
          </w:p>
        </w:tc>
        <w:tc>
          <w:tcPr>
            <w:tcW w:w="1116" w:type="dxa"/>
            <w:vAlign w:val="center"/>
          </w:tcPr>
          <w:p w14:paraId="5B5CE261" w14:textId="77777777" w:rsidR="001B316A" w:rsidRPr="007101A0" w:rsidRDefault="004F6287" w:rsidP="007A3998">
            <w:pPr>
              <w:pStyle w:val="TABELAs"/>
            </w:pPr>
            <w:r>
              <w:t>FMOLS¹</w:t>
            </w:r>
          </w:p>
        </w:tc>
        <w:tc>
          <w:tcPr>
            <w:tcW w:w="1417" w:type="dxa"/>
            <w:vAlign w:val="center"/>
          </w:tcPr>
          <w:p w14:paraId="15658E17" w14:textId="77777777" w:rsidR="001B316A" w:rsidRPr="007101A0" w:rsidRDefault="001B316A" w:rsidP="007A3998">
            <w:pPr>
              <w:pStyle w:val="TABELAs"/>
              <w:rPr>
                <w:color w:val="000000"/>
                <w:sz w:val="18"/>
                <w:szCs w:val="18"/>
              </w:rPr>
            </w:pPr>
            <w:r>
              <w:rPr>
                <w:color w:val="000000"/>
                <w:sz w:val="18"/>
                <w:szCs w:val="18"/>
              </w:rPr>
              <w:t>0,6849</w:t>
            </w:r>
            <w:r w:rsidRPr="007101A0">
              <w:rPr>
                <w:color w:val="000000"/>
                <w:sz w:val="18"/>
                <w:szCs w:val="18"/>
              </w:rPr>
              <w:t>***</w:t>
            </w:r>
          </w:p>
          <w:p w14:paraId="7408BC94"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0,2261</w:t>
            </w:r>
            <w:r w:rsidRPr="007101A0">
              <w:rPr>
                <w:color w:val="000000"/>
                <w:sz w:val="18"/>
                <w:szCs w:val="18"/>
              </w:rPr>
              <w:t>)</w:t>
            </w:r>
          </w:p>
        </w:tc>
        <w:tc>
          <w:tcPr>
            <w:tcW w:w="1559" w:type="dxa"/>
            <w:vAlign w:val="center"/>
          </w:tcPr>
          <w:p w14:paraId="0E376AC3"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0,0470</w:t>
            </w:r>
            <w:r w:rsidRPr="007101A0">
              <w:rPr>
                <w:color w:val="000000"/>
                <w:sz w:val="18"/>
                <w:szCs w:val="18"/>
              </w:rPr>
              <w:t>**</w:t>
            </w:r>
          </w:p>
          <w:p w14:paraId="7F076B04" w14:textId="77777777" w:rsidR="001B316A" w:rsidRPr="007101A0" w:rsidRDefault="001B316A" w:rsidP="007A3998">
            <w:pPr>
              <w:pStyle w:val="TABELAs"/>
              <w:rPr>
                <w:sz w:val="18"/>
                <w:szCs w:val="18"/>
              </w:rPr>
            </w:pPr>
            <w:r w:rsidRPr="007101A0">
              <w:rPr>
                <w:color w:val="000000"/>
                <w:sz w:val="18"/>
                <w:szCs w:val="18"/>
              </w:rPr>
              <w:t>(</w:t>
            </w:r>
            <w:r>
              <w:rPr>
                <w:color w:val="000000"/>
                <w:sz w:val="18"/>
                <w:szCs w:val="18"/>
              </w:rPr>
              <w:t>0,0232</w:t>
            </w:r>
            <w:r w:rsidRPr="007101A0">
              <w:rPr>
                <w:color w:val="000000"/>
                <w:sz w:val="18"/>
                <w:szCs w:val="18"/>
              </w:rPr>
              <w:t>)</w:t>
            </w:r>
          </w:p>
        </w:tc>
        <w:tc>
          <w:tcPr>
            <w:tcW w:w="1418" w:type="dxa"/>
            <w:vAlign w:val="center"/>
          </w:tcPr>
          <w:p w14:paraId="5AA170C9" w14:textId="77777777" w:rsidR="001B316A" w:rsidRPr="007101A0" w:rsidRDefault="001B316A" w:rsidP="007A3998">
            <w:pPr>
              <w:pStyle w:val="TABELAs"/>
              <w:rPr>
                <w:color w:val="000000"/>
                <w:sz w:val="18"/>
                <w:szCs w:val="18"/>
              </w:rPr>
            </w:pPr>
            <w:r w:rsidRPr="007101A0">
              <w:rPr>
                <w:color w:val="000000"/>
                <w:sz w:val="18"/>
                <w:szCs w:val="18"/>
              </w:rPr>
              <w:t>-0</w:t>
            </w:r>
            <w:r>
              <w:rPr>
                <w:color w:val="000000"/>
                <w:sz w:val="18"/>
                <w:szCs w:val="18"/>
              </w:rPr>
              <w:t>,</w:t>
            </w:r>
            <w:r w:rsidRPr="007101A0">
              <w:rPr>
                <w:color w:val="000000"/>
                <w:sz w:val="18"/>
                <w:szCs w:val="18"/>
              </w:rPr>
              <w:t>4083***</w:t>
            </w:r>
          </w:p>
          <w:p w14:paraId="7E70C46E" w14:textId="77777777" w:rsidR="001B316A" w:rsidRPr="007101A0" w:rsidRDefault="001B316A" w:rsidP="007A3998">
            <w:pPr>
              <w:pStyle w:val="TABELAs"/>
              <w:rPr>
                <w:sz w:val="18"/>
                <w:szCs w:val="18"/>
              </w:rPr>
            </w:pPr>
            <w:r w:rsidRPr="007101A0">
              <w:rPr>
                <w:color w:val="000000"/>
                <w:sz w:val="18"/>
                <w:szCs w:val="18"/>
              </w:rPr>
              <w:t>(</w:t>
            </w:r>
            <w:r>
              <w:rPr>
                <w:color w:val="000000"/>
                <w:sz w:val="18"/>
                <w:szCs w:val="18"/>
              </w:rPr>
              <w:t>0,0652</w:t>
            </w:r>
            <w:r w:rsidRPr="007101A0">
              <w:rPr>
                <w:color w:val="000000"/>
                <w:sz w:val="18"/>
                <w:szCs w:val="18"/>
              </w:rPr>
              <w:t>)</w:t>
            </w:r>
          </w:p>
        </w:tc>
        <w:tc>
          <w:tcPr>
            <w:tcW w:w="1417" w:type="dxa"/>
            <w:vAlign w:val="center"/>
          </w:tcPr>
          <w:p w14:paraId="472CA200" w14:textId="77777777" w:rsidR="001B316A" w:rsidRPr="007101A0" w:rsidRDefault="001B316A" w:rsidP="007A3998">
            <w:pPr>
              <w:pStyle w:val="TABELAs"/>
              <w:rPr>
                <w:color w:val="000000"/>
                <w:sz w:val="18"/>
                <w:szCs w:val="18"/>
              </w:rPr>
            </w:pPr>
            <w:r w:rsidRPr="007101A0">
              <w:rPr>
                <w:color w:val="000000"/>
                <w:sz w:val="18"/>
                <w:szCs w:val="18"/>
              </w:rPr>
              <w:t>0</w:t>
            </w:r>
            <w:r>
              <w:rPr>
                <w:color w:val="000000"/>
                <w:sz w:val="18"/>
                <w:szCs w:val="18"/>
              </w:rPr>
              <w:t>,</w:t>
            </w:r>
            <w:r w:rsidRPr="007101A0">
              <w:rPr>
                <w:color w:val="000000"/>
                <w:sz w:val="18"/>
                <w:szCs w:val="18"/>
              </w:rPr>
              <w:t>3508***</w:t>
            </w:r>
          </w:p>
          <w:p w14:paraId="164FC586" w14:textId="77777777" w:rsidR="001B316A" w:rsidRPr="007101A0" w:rsidRDefault="001B316A" w:rsidP="007A3998">
            <w:pPr>
              <w:pStyle w:val="TABELAs"/>
              <w:rPr>
                <w:sz w:val="18"/>
                <w:szCs w:val="18"/>
              </w:rPr>
            </w:pPr>
            <w:r w:rsidRPr="007101A0">
              <w:rPr>
                <w:color w:val="000000"/>
                <w:sz w:val="18"/>
                <w:szCs w:val="18"/>
              </w:rPr>
              <w:t>(0</w:t>
            </w:r>
            <w:r>
              <w:rPr>
                <w:color w:val="000000"/>
                <w:sz w:val="18"/>
                <w:szCs w:val="18"/>
              </w:rPr>
              <w:t>,</w:t>
            </w:r>
            <w:r w:rsidRPr="007101A0">
              <w:rPr>
                <w:color w:val="000000"/>
                <w:sz w:val="18"/>
                <w:szCs w:val="18"/>
              </w:rPr>
              <w:t>0674)</w:t>
            </w:r>
          </w:p>
        </w:tc>
        <w:tc>
          <w:tcPr>
            <w:tcW w:w="1560" w:type="dxa"/>
            <w:vAlign w:val="center"/>
          </w:tcPr>
          <w:p w14:paraId="0D597243" w14:textId="77777777" w:rsidR="001B316A" w:rsidRPr="007101A0" w:rsidRDefault="001B316A" w:rsidP="007A3998">
            <w:pPr>
              <w:pStyle w:val="TABELAs"/>
              <w:rPr>
                <w:sz w:val="18"/>
                <w:szCs w:val="18"/>
              </w:rPr>
            </w:pPr>
          </w:p>
        </w:tc>
      </w:tr>
      <w:tr w:rsidR="001B316A" w:rsidRPr="00967AEF" w14:paraId="51CA8456" w14:textId="77777777" w:rsidTr="00380542">
        <w:trPr>
          <w:jc w:val="center"/>
        </w:trPr>
        <w:tc>
          <w:tcPr>
            <w:tcW w:w="439" w:type="dxa"/>
            <w:vMerge/>
            <w:vAlign w:val="center"/>
          </w:tcPr>
          <w:p w14:paraId="62CAA6A7" w14:textId="77777777" w:rsidR="001B316A" w:rsidRPr="007101A0" w:rsidRDefault="001B316A" w:rsidP="007A3998">
            <w:pPr>
              <w:pStyle w:val="TABELAs"/>
            </w:pPr>
          </w:p>
        </w:tc>
        <w:tc>
          <w:tcPr>
            <w:tcW w:w="1116" w:type="dxa"/>
            <w:vAlign w:val="center"/>
          </w:tcPr>
          <w:p w14:paraId="13682D50" w14:textId="77777777" w:rsidR="001B316A" w:rsidRPr="007101A0" w:rsidRDefault="004F6287" w:rsidP="007A3998">
            <w:pPr>
              <w:pStyle w:val="TABELAs"/>
            </w:pPr>
            <w:r>
              <w:t>DOLS²</w:t>
            </w:r>
          </w:p>
        </w:tc>
        <w:tc>
          <w:tcPr>
            <w:tcW w:w="1417" w:type="dxa"/>
            <w:vAlign w:val="center"/>
          </w:tcPr>
          <w:p w14:paraId="1E9F04F8" w14:textId="77777777" w:rsidR="001B316A" w:rsidRPr="007101A0" w:rsidRDefault="001B316A" w:rsidP="007A3998">
            <w:pPr>
              <w:pStyle w:val="TABELAs"/>
              <w:rPr>
                <w:color w:val="000000"/>
                <w:sz w:val="18"/>
                <w:szCs w:val="18"/>
              </w:rPr>
            </w:pPr>
            <w:r>
              <w:rPr>
                <w:color w:val="000000"/>
                <w:sz w:val="18"/>
                <w:szCs w:val="18"/>
              </w:rPr>
              <w:t>0,6525</w:t>
            </w:r>
            <w:r w:rsidRPr="007101A0">
              <w:rPr>
                <w:color w:val="000000"/>
                <w:sz w:val="18"/>
                <w:szCs w:val="18"/>
              </w:rPr>
              <w:t>**</w:t>
            </w:r>
          </w:p>
          <w:p w14:paraId="558E6CB1"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0,2575</w:t>
            </w:r>
            <w:r w:rsidRPr="007101A0">
              <w:rPr>
                <w:color w:val="000000"/>
                <w:sz w:val="18"/>
                <w:szCs w:val="18"/>
              </w:rPr>
              <w:t>)</w:t>
            </w:r>
          </w:p>
        </w:tc>
        <w:tc>
          <w:tcPr>
            <w:tcW w:w="1559" w:type="dxa"/>
            <w:vAlign w:val="center"/>
          </w:tcPr>
          <w:p w14:paraId="53ECB0E5"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0,0396</w:t>
            </w:r>
          </w:p>
          <w:p w14:paraId="3A4B1EED" w14:textId="77777777" w:rsidR="001B316A" w:rsidRPr="007101A0" w:rsidRDefault="001B316A" w:rsidP="007A3998">
            <w:pPr>
              <w:pStyle w:val="TABELAs"/>
              <w:rPr>
                <w:sz w:val="18"/>
                <w:szCs w:val="18"/>
              </w:rPr>
            </w:pPr>
            <w:r w:rsidRPr="007101A0">
              <w:rPr>
                <w:color w:val="000000"/>
                <w:sz w:val="18"/>
                <w:szCs w:val="18"/>
              </w:rPr>
              <w:t>(</w:t>
            </w:r>
            <w:r>
              <w:rPr>
                <w:color w:val="000000"/>
                <w:sz w:val="18"/>
                <w:szCs w:val="18"/>
              </w:rPr>
              <w:t>0,0264</w:t>
            </w:r>
            <w:r w:rsidRPr="007101A0">
              <w:rPr>
                <w:color w:val="000000"/>
                <w:sz w:val="18"/>
                <w:szCs w:val="18"/>
              </w:rPr>
              <w:t>)</w:t>
            </w:r>
          </w:p>
        </w:tc>
        <w:tc>
          <w:tcPr>
            <w:tcW w:w="1418" w:type="dxa"/>
            <w:vAlign w:val="center"/>
          </w:tcPr>
          <w:p w14:paraId="6EEE4CDA" w14:textId="77777777" w:rsidR="001B316A" w:rsidRPr="007101A0" w:rsidRDefault="001B316A" w:rsidP="007A3998">
            <w:pPr>
              <w:pStyle w:val="TABELAs"/>
              <w:rPr>
                <w:color w:val="000000"/>
                <w:sz w:val="18"/>
                <w:szCs w:val="18"/>
              </w:rPr>
            </w:pPr>
            <w:r w:rsidRPr="007101A0">
              <w:rPr>
                <w:color w:val="000000"/>
                <w:sz w:val="18"/>
                <w:szCs w:val="18"/>
              </w:rPr>
              <w:t>-0</w:t>
            </w:r>
            <w:r>
              <w:rPr>
                <w:color w:val="000000"/>
                <w:sz w:val="18"/>
                <w:szCs w:val="18"/>
              </w:rPr>
              <w:t>,</w:t>
            </w:r>
            <w:r w:rsidRPr="007101A0">
              <w:rPr>
                <w:color w:val="000000"/>
                <w:sz w:val="18"/>
                <w:szCs w:val="18"/>
              </w:rPr>
              <w:t>4662***</w:t>
            </w:r>
          </w:p>
          <w:p w14:paraId="47073078" w14:textId="77777777" w:rsidR="001B316A" w:rsidRPr="007101A0" w:rsidRDefault="001B316A" w:rsidP="007A3998">
            <w:pPr>
              <w:pStyle w:val="TABELAs"/>
              <w:rPr>
                <w:sz w:val="18"/>
                <w:szCs w:val="18"/>
              </w:rPr>
            </w:pPr>
            <w:r w:rsidRPr="007101A0">
              <w:rPr>
                <w:color w:val="000000"/>
                <w:sz w:val="18"/>
                <w:szCs w:val="18"/>
              </w:rPr>
              <w:t>(</w:t>
            </w:r>
            <w:r>
              <w:rPr>
                <w:color w:val="000000"/>
                <w:sz w:val="18"/>
                <w:szCs w:val="18"/>
              </w:rPr>
              <w:t>0,0821</w:t>
            </w:r>
            <w:r w:rsidRPr="007101A0">
              <w:rPr>
                <w:color w:val="000000"/>
                <w:sz w:val="18"/>
                <w:szCs w:val="18"/>
              </w:rPr>
              <w:t>)</w:t>
            </w:r>
          </w:p>
        </w:tc>
        <w:tc>
          <w:tcPr>
            <w:tcW w:w="1417" w:type="dxa"/>
            <w:vAlign w:val="center"/>
          </w:tcPr>
          <w:p w14:paraId="79DB4D5F" w14:textId="77777777" w:rsidR="001B316A" w:rsidRPr="007101A0" w:rsidRDefault="001B316A" w:rsidP="007A3998">
            <w:pPr>
              <w:pStyle w:val="TABELAs"/>
              <w:rPr>
                <w:color w:val="000000"/>
                <w:sz w:val="18"/>
                <w:szCs w:val="18"/>
              </w:rPr>
            </w:pPr>
            <w:r>
              <w:rPr>
                <w:color w:val="000000"/>
                <w:sz w:val="18"/>
                <w:szCs w:val="18"/>
              </w:rPr>
              <w:t>0,3055</w:t>
            </w:r>
            <w:r w:rsidRPr="007101A0">
              <w:rPr>
                <w:color w:val="000000"/>
                <w:sz w:val="18"/>
                <w:szCs w:val="18"/>
              </w:rPr>
              <w:t>*</w:t>
            </w:r>
          </w:p>
          <w:p w14:paraId="6D343749" w14:textId="77777777" w:rsidR="001B316A" w:rsidRPr="007101A0" w:rsidRDefault="001B316A" w:rsidP="007A3998">
            <w:pPr>
              <w:pStyle w:val="TABELAs"/>
              <w:rPr>
                <w:sz w:val="18"/>
                <w:szCs w:val="18"/>
              </w:rPr>
            </w:pPr>
            <w:r w:rsidRPr="007101A0">
              <w:rPr>
                <w:color w:val="000000"/>
                <w:sz w:val="18"/>
                <w:szCs w:val="18"/>
              </w:rPr>
              <w:t>(</w:t>
            </w:r>
            <w:r>
              <w:rPr>
                <w:color w:val="000000"/>
                <w:sz w:val="18"/>
                <w:szCs w:val="18"/>
              </w:rPr>
              <w:t>0,0809</w:t>
            </w:r>
            <w:r w:rsidRPr="007101A0">
              <w:rPr>
                <w:color w:val="000000"/>
                <w:sz w:val="18"/>
                <w:szCs w:val="18"/>
              </w:rPr>
              <w:t>)</w:t>
            </w:r>
          </w:p>
        </w:tc>
        <w:tc>
          <w:tcPr>
            <w:tcW w:w="1560" w:type="dxa"/>
            <w:vAlign w:val="center"/>
          </w:tcPr>
          <w:p w14:paraId="0739DC71" w14:textId="77777777" w:rsidR="001B316A" w:rsidRPr="007101A0" w:rsidRDefault="001B316A" w:rsidP="007A3998">
            <w:pPr>
              <w:pStyle w:val="TABELAs"/>
              <w:rPr>
                <w:sz w:val="18"/>
                <w:szCs w:val="18"/>
              </w:rPr>
            </w:pPr>
          </w:p>
        </w:tc>
      </w:tr>
      <w:tr w:rsidR="001B316A" w:rsidRPr="00967AEF" w14:paraId="296ED780" w14:textId="77777777" w:rsidTr="00380542">
        <w:trPr>
          <w:jc w:val="center"/>
        </w:trPr>
        <w:tc>
          <w:tcPr>
            <w:tcW w:w="439" w:type="dxa"/>
            <w:vMerge w:val="restart"/>
            <w:vAlign w:val="center"/>
          </w:tcPr>
          <w:p w14:paraId="6143B44D" w14:textId="439FDA8E" w:rsidR="001B316A" w:rsidRPr="007101A0" w:rsidRDefault="00B94668" w:rsidP="00B94668">
            <w:pPr>
              <w:pStyle w:val="TABELAs"/>
            </w:pPr>
            <w:r>
              <w:t>6</w:t>
            </w:r>
          </w:p>
        </w:tc>
        <w:tc>
          <w:tcPr>
            <w:tcW w:w="1116" w:type="dxa"/>
            <w:vAlign w:val="center"/>
          </w:tcPr>
          <w:p w14:paraId="7D68DEBC" w14:textId="77777777" w:rsidR="001B316A" w:rsidRPr="007101A0" w:rsidRDefault="004F6287" w:rsidP="007A3998">
            <w:pPr>
              <w:pStyle w:val="TABELAs"/>
            </w:pPr>
            <w:r>
              <w:t>FMOLS¹</w:t>
            </w:r>
          </w:p>
        </w:tc>
        <w:tc>
          <w:tcPr>
            <w:tcW w:w="1417" w:type="dxa"/>
            <w:vAlign w:val="center"/>
          </w:tcPr>
          <w:p w14:paraId="3B35E0A9"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6,1907</w:t>
            </w:r>
            <w:r w:rsidRPr="007101A0">
              <w:rPr>
                <w:color w:val="000000"/>
                <w:sz w:val="18"/>
                <w:szCs w:val="18"/>
              </w:rPr>
              <w:t>***</w:t>
            </w:r>
          </w:p>
          <w:p w14:paraId="1CF891BB"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0,0706</w:t>
            </w:r>
            <w:r w:rsidRPr="007101A0">
              <w:rPr>
                <w:color w:val="000000"/>
                <w:sz w:val="18"/>
                <w:szCs w:val="18"/>
              </w:rPr>
              <w:t>)</w:t>
            </w:r>
          </w:p>
        </w:tc>
        <w:tc>
          <w:tcPr>
            <w:tcW w:w="1559" w:type="dxa"/>
            <w:vAlign w:val="center"/>
          </w:tcPr>
          <w:p w14:paraId="06FB80B7" w14:textId="77777777" w:rsidR="001B316A" w:rsidRPr="007101A0" w:rsidRDefault="001B316A" w:rsidP="007A3998">
            <w:pPr>
              <w:pStyle w:val="TABELAs"/>
              <w:rPr>
                <w:color w:val="000000"/>
                <w:sz w:val="18"/>
                <w:szCs w:val="18"/>
              </w:rPr>
            </w:pPr>
            <w:r>
              <w:rPr>
                <w:color w:val="000000"/>
                <w:sz w:val="18"/>
                <w:szCs w:val="18"/>
              </w:rPr>
              <w:t>0,2827</w:t>
            </w:r>
            <w:r w:rsidRPr="007101A0">
              <w:rPr>
                <w:color w:val="000000"/>
                <w:sz w:val="18"/>
                <w:szCs w:val="18"/>
              </w:rPr>
              <w:t>***</w:t>
            </w:r>
          </w:p>
          <w:p w14:paraId="79858E6B" w14:textId="77777777" w:rsidR="001B316A" w:rsidRPr="007101A0" w:rsidRDefault="001B316A" w:rsidP="007A3998">
            <w:pPr>
              <w:pStyle w:val="TABELAs"/>
              <w:rPr>
                <w:sz w:val="18"/>
                <w:szCs w:val="18"/>
              </w:rPr>
            </w:pPr>
            <w:r w:rsidRPr="007101A0">
              <w:rPr>
                <w:color w:val="000000"/>
                <w:sz w:val="18"/>
                <w:szCs w:val="18"/>
              </w:rPr>
              <w:t>(0</w:t>
            </w:r>
            <w:r>
              <w:rPr>
                <w:color w:val="000000"/>
                <w:sz w:val="18"/>
                <w:szCs w:val="18"/>
              </w:rPr>
              <w:t>,</w:t>
            </w:r>
            <w:r w:rsidRPr="007101A0">
              <w:rPr>
                <w:color w:val="000000"/>
                <w:sz w:val="18"/>
                <w:szCs w:val="18"/>
              </w:rPr>
              <w:t>0008)</w:t>
            </w:r>
          </w:p>
        </w:tc>
        <w:tc>
          <w:tcPr>
            <w:tcW w:w="1418" w:type="dxa"/>
            <w:vAlign w:val="center"/>
          </w:tcPr>
          <w:p w14:paraId="13B5A9F1" w14:textId="77777777" w:rsidR="001B316A" w:rsidRPr="007101A0" w:rsidRDefault="001B316A" w:rsidP="007A3998">
            <w:pPr>
              <w:pStyle w:val="TABELAs"/>
              <w:rPr>
                <w:color w:val="000000"/>
                <w:sz w:val="18"/>
                <w:szCs w:val="18"/>
              </w:rPr>
            </w:pPr>
            <w:r w:rsidRPr="007101A0">
              <w:rPr>
                <w:color w:val="000000"/>
                <w:sz w:val="18"/>
                <w:szCs w:val="18"/>
              </w:rPr>
              <w:t>-0</w:t>
            </w:r>
            <w:r>
              <w:rPr>
                <w:color w:val="000000"/>
                <w:sz w:val="18"/>
                <w:szCs w:val="18"/>
              </w:rPr>
              <w:t>,</w:t>
            </w:r>
            <w:r w:rsidRPr="007101A0">
              <w:rPr>
                <w:color w:val="000000"/>
                <w:sz w:val="18"/>
                <w:szCs w:val="18"/>
              </w:rPr>
              <w:t>3607***</w:t>
            </w:r>
          </w:p>
          <w:p w14:paraId="3B453AD3" w14:textId="77777777" w:rsidR="001B316A" w:rsidRPr="007101A0" w:rsidRDefault="001B316A" w:rsidP="007A3998">
            <w:pPr>
              <w:pStyle w:val="TABELAs"/>
              <w:rPr>
                <w:sz w:val="18"/>
                <w:szCs w:val="18"/>
              </w:rPr>
            </w:pPr>
            <w:r w:rsidRPr="007101A0">
              <w:rPr>
                <w:color w:val="000000"/>
                <w:sz w:val="18"/>
                <w:szCs w:val="18"/>
              </w:rPr>
              <w:t>(0</w:t>
            </w:r>
            <w:r>
              <w:rPr>
                <w:color w:val="000000"/>
                <w:sz w:val="18"/>
                <w:szCs w:val="18"/>
              </w:rPr>
              <w:t>,</w:t>
            </w:r>
            <w:r w:rsidRPr="007101A0">
              <w:rPr>
                <w:color w:val="000000"/>
                <w:sz w:val="18"/>
                <w:szCs w:val="18"/>
              </w:rPr>
              <w:t>000</w:t>
            </w:r>
            <w:r>
              <w:rPr>
                <w:color w:val="000000"/>
                <w:sz w:val="18"/>
                <w:szCs w:val="18"/>
              </w:rPr>
              <w:t>3</w:t>
            </w:r>
            <w:r w:rsidRPr="007101A0">
              <w:rPr>
                <w:color w:val="000000"/>
                <w:sz w:val="18"/>
                <w:szCs w:val="18"/>
              </w:rPr>
              <w:t>)</w:t>
            </w:r>
          </w:p>
        </w:tc>
        <w:tc>
          <w:tcPr>
            <w:tcW w:w="1417" w:type="dxa"/>
            <w:vAlign w:val="center"/>
          </w:tcPr>
          <w:p w14:paraId="69EE73F0" w14:textId="77777777" w:rsidR="001B316A" w:rsidRPr="007101A0" w:rsidRDefault="001B316A" w:rsidP="007A3998">
            <w:pPr>
              <w:pStyle w:val="TABELAs"/>
              <w:rPr>
                <w:color w:val="000000"/>
                <w:sz w:val="18"/>
                <w:szCs w:val="18"/>
              </w:rPr>
            </w:pPr>
            <w:r w:rsidRPr="007101A0">
              <w:rPr>
                <w:color w:val="000000"/>
                <w:sz w:val="18"/>
                <w:szCs w:val="18"/>
              </w:rPr>
              <w:t>0</w:t>
            </w:r>
            <w:r>
              <w:rPr>
                <w:color w:val="000000"/>
                <w:sz w:val="18"/>
                <w:szCs w:val="18"/>
              </w:rPr>
              <w:t>,</w:t>
            </w:r>
            <w:r w:rsidRPr="007101A0">
              <w:rPr>
                <w:color w:val="000000"/>
                <w:sz w:val="18"/>
                <w:szCs w:val="18"/>
              </w:rPr>
              <w:t>2548***</w:t>
            </w:r>
          </w:p>
          <w:p w14:paraId="7BE29C5E" w14:textId="77777777" w:rsidR="001B316A" w:rsidRPr="007101A0" w:rsidRDefault="001B316A" w:rsidP="007A3998">
            <w:pPr>
              <w:pStyle w:val="TABELAs"/>
              <w:rPr>
                <w:sz w:val="18"/>
                <w:szCs w:val="18"/>
              </w:rPr>
            </w:pPr>
            <w:r w:rsidRPr="007101A0">
              <w:rPr>
                <w:color w:val="000000"/>
                <w:sz w:val="18"/>
                <w:szCs w:val="18"/>
              </w:rPr>
              <w:t>(</w:t>
            </w:r>
            <w:r>
              <w:rPr>
                <w:color w:val="000000"/>
                <w:sz w:val="18"/>
                <w:szCs w:val="18"/>
              </w:rPr>
              <w:t>0,0006</w:t>
            </w:r>
            <w:r w:rsidRPr="007101A0">
              <w:rPr>
                <w:color w:val="000000"/>
                <w:sz w:val="18"/>
                <w:szCs w:val="18"/>
              </w:rPr>
              <w:t>)</w:t>
            </w:r>
          </w:p>
        </w:tc>
        <w:tc>
          <w:tcPr>
            <w:tcW w:w="1560" w:type="dxa"/>
            <w:vAlign w:val="center"/>
          </w:tcPr>
          <w:p w14:paraId="3F95CEB7" w14:textId="77777777" w:rsidR="001B316A" w:rsidRPr="007101A0" w:rsidRDefault="001B316A" w:rsidP="007A3998">
            <w:pPr>
              <w:pStyle w:val="TABELAs"/>
              <w:rPr>
                <w:color w:val="000000"/>
                <w:sz w:val="18"/>
                <w:szCs w:val="18"/>
              </w:rPr>
            </w:pPr>
            <w:r>
              <w:rPr>
                <w:color w:val="000000"/>
                <w:sz w:val="18"/>
                <w:szCs w:val="18"/>
              </w:rPr>
              <w:t>3,5369</w:t>
            </w:r>
            <w:r w:rsidRPr="007101A0">
              <w:rPr>
                <w:color w:val="000000"/>
                <w:sz w:val="18"/>
                <w:szCs w:val="18"/>
              </w:rPr>
              <w:t>***</w:t>
            </w:r>
          </w:p>
          <w:p w14:paraId="71281307" w14:textId="77777777" w:rsidR="001B316A" w:rsidRPr="007101A0" w:rsidRDefault="001B316A" w:rsidP="007A3998">
            <w:pPr>
              <w:pStyle w:val="TABELAs"/>
              <w:rPr>
                <w:sz w:val="18"/>
                <w:szCs w:val="18"/>
              </w:rPr>
            </w:pPr>
            <w:r w:rsidRPr="007101A0">
              <w:rPr>
                <w:color w:val="000000"/>
                <w:sz w:val="18"/>
                <w:szCs w:val="18"/>
              </w:rPr>
              <w:t>(</w:t>
            </w:r>
            <w:r>
              <w:rPr>
                <w:color w:val="000000"/>
                <w:sz w:val="18"/>
                <w:szCs w:val="18"/>
              </w:rPr>
              <w:t>0,0145</w:t>
            </w:r>
            <w:r w:rsidRPr="007101A0">
              <w:rPr>
                <w:color w:val="000000"/>
                <w:sz w:val="18"/>
                <w:szCs w:val="18"/>
              </w:rPr>
              <w:t>)</w:t>
            </w:r>
          </w:p>
        </w:tc>
      </w:tr>
      <w:tr w:rsidR="001B316A" w:rsidRPr="00967AEF" w14:paraId="7451B44F" w14:textId="77777777" w:rsidTr="00380542">
        <w:trPr>
          <w:jc w:val="center"/>
        </w:trPr>
        <w:tc>
          <w:tcPr>
            <w:tcW w:w="439" w:type="dxa"/>
            <w:vMerge/>
            <w:vAlign w:val="center"/>
          </w:tcPr>
          <w:p w14:paraId="1C4E08F7" w14:textId="77777777" w:rsidR="001B316A" w:rsidRPr="007101A0" w:rsidRDefault="001B316A" w:rsidP="007A3998">
            <w:pPr>
              <w:pStyle w:val="TABELAs"/>
            </w:pPr>
          </w:p>
        </w:tc>
        <w:tc>
          <w:tcPr>
            <w:tcW w:w="1116" w:type="dxa"/>
            <w:vAlign w:val="center"/>
          </w:tcPr>
          <w:p w14:paraId="78BABFCC" w14:textId="77777777" w:rsidR="001B316A" w:rsidRPr="007101A0" w:rsidRDefault="004F6287" w:rsidP="007A3998">
            <w:pPr>
              <w:pStyle w:val="TABELAs"/>
            </w:pPr>
            <w:r>
              <w:t>DOLS²</w:t>
            </w:r>
          </w:p>
        </w:tc>
        <w:tc>
          <w:tcPr>
            <w:tcW w:w="1417" w:type="dxa"/>
            <w:vAlign w:val="center"/>
          </w:tcPr>
          <w:p w14:paraId="2F5CEDAC"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5,0087</w:t>
            </w:r>
            <w:r w:rsidRPr="007101A0">
              <w:rPr>
                <w:color w:val="000000"/>
                <w:sz w:val="18"/>
                <w:szCs w:val="18"/>
              </w:rPr>
              <w:t>*</w:t>
            </w:r>
          </w:p>
          <w:p w14:paraId="1B169D01" w14:textId="77777777" w:rsidR="001B316A" w:rsidRPr="007101A0" w:rsidRDefault="001B316A" w:rsidP="007A3998">
            <w:pPr>
              <w:pStyle w:val="TABELAs"/>
              <w:rPr>
                <w:color w:val="000000"/>
                <w:sz w:val="18"/>
                <w:szCs w:val="18"/>
              </w:rPr>
            </w:pPr>
            <w:r w:rsidRPr="007101A0">
              <w:rPr>
                <w:color w:val="000000"/>
                <w:sz w:val="18"/>
                <w:szCs w:val="18"/>
              </w:rPr>
              <w:t>(</w:t>
            </w:r>
            <w:r>
              <w:rPr>
                <w:color w:val="000000"/>
                <w:sz w:val="18"/>
                <w:szCs w:val="18"/>
              </w:rPr>
              <w:t>2,58850</w:t>
            </w:r>
            <w:r w:rsidRPr="007101A0">
              <w:rPr>
                <w:color w:val="000000"/>
                <w:sz w:val="18"/>
                <w:szCs w:val="18"/>
              </w:rPr>
              <w:t>)</w:t>
            </w:r>
          </w:p>
        </w:tc>
        <w:tc>
          <w:tcPr>
            <w:tcW w:w="1559" w:type="dxa"/>
            <w:vAlign w:val="center"/>
          </w:tcPr>
          <w:p w14:paraId="4D91E7B5" w14:textId="77777777" w:rsidR="001B316A" w:rsidRPr="007101A0" w:rsidRDefault="001B316A" w:rsidP="007A3998">
            <w:pPr>
              <w:pStyle w:val="TABELAs"/>
              <w:rPr>
                <w:color w:val="000000"/>
                <w:sz w:val="18"/>
                <w:szCs w:val="18"/>
              </w:rPr>
            </w:pPr>
            <w:r>
              <w:rPr>
                <w:color w:val="000000"/>
                <w:sz w:val="18"/>
                <w:szCs w:val="18"/>
              </w:rPr>
              <w:t>0,2152</w:t>
            </w:r>
            <w:r w:rsidRPr="007101A0">
              <w:rPr>
                <w:color w:val="000000"/>
                <w:sz w:val="18"/>
                <w:szCs w:val="18"/>
              </w:rPr>
              <w:t>*</w:t>
            </w:r>
          </w:p>
          <w:p w14:paraId="7172FB5E" w14:textId="77777777" w:rsidR="001B316A" w:rsidRPr="007101A0" w:rsidRDefault="001B316A" w:rsidP="007A3998">
            <w:pPr>
              <w:pStyle w:val="TABELAs"/>
              <w:rPr>
                <w:sz w:val="18"/>
                <w:szCs w:val="18"/>
              </w:rPr>
            </w:pPr>
            <w:r w:rsidRPr="007101A0">
              <w:rPr>
                <w:color w:val="000000"/>
                <w:sz w:val="18"/>
                <w:szCs w:val="18"/>
              </w:rPr>
              <w:t>(0</w:t>
            </w:r>
            <w:r>
              <w:rPr>
                <w:color w:val="000000"/>
                <w:sz w:val="18"/>
                <w:szCs w:val="18"/>
              </w:rPr>
              <w:t>,</w:t>
            </w:r>
            <w:r w:rsidRPr="007101A0">
              <w:rPr>
                <w:color w:val="000000"/>
                <w:sz w:val="18"/>
                <w:szCs w:val="18"/>
              </w:rPr>
              <w:t>1182)</w:t>
            </w:r>
          </w:p>
        </w:tc>
        <w:tc>
          <w:tcPr>
            <w:tcW w:w="1418" w:type="dxa"/>
            <w:vAlign w:val="center"/>
          </w:tcPr>
          <w:p w14:paraId="63224593" w14:textId="77777777" w:rsidR="001B316A" w:rsidRPr="007101A0" w:rsidRDefault="001B316A" w:rsidP="007A3998">
            <w:pPr>
              <w:pStyle w:val="TABELAs"/>
              <w:rPr>
                <w:color w:val="000000"/>
                <w:sz w:val="18"/>
                <w:szCs w:val="18"/>
              </w:rPr>
            </w:pPr>
            <w:r w:rsidRPr="007101A0">
              <w:rPr>
                <w:color w:val="000000"/>
                <w:sz w:val="18"/>
                <w:szCs w:val="18"/>
              </w:rPr>
              <w:t>-0</w:t>
            </w:r>
            <w:r>
              <w:rPr>
                <w:color w:val="000000"/>
                <w:sz w:val="18"/>
                <w:szCs w:val="18"/>
              </w:rPr>
              <w:t>,</w:t>
            </w:r>
            <w:r w:rsidRPr="007101A0">
              <w:rPr>
                <w:color w:val="000000"/>
                <w:sz w:val="18"/>
                <w:szCs w:val="18"/>
              </w:rPr>
              <w:t>2855**</w:t>
            </w:r>
          </w:p>
          <w:p w14:paraId="34D3FF21" w14:textId="77777777" w:rsidR="001B316A" w:rsidRPr="007101A0" w:rsidRDefault="001B316A" w:rsidP="007A3998">
            <w:pPr>
              <w:pStyle w:val="TABELAs"/>
              <w:rPr>
                <w:sz w:val="18"/>
                <w:szCs w:val="18"/>
              </w:rPr>
            </w:pPr>
            <w:r w:rsidRPr="007101A0">
              <w:rPr>
                <w:color w:val="000000"/>
                <w:sz w:val="18"/>
                <w:szCs w:val="18"/>
              </w:rPr>
              <w:t>(0</w:t>
            </w:r>
            <w:r>
              <w:rPr>
                <w:color w:val="000000"/>
                <w:sz w:val="18"/>
                <w:szCs w:val="18"/>
              </w:rPr>
              <w:t>,</w:t>
            </w:r>
            <w:r w:rsidRPr="007101A0">
              <w:rPr>
                <w:color w:val="000000"/>
                <w:sz w:val="18"/>
                <w:szCs w:val="18"/>
              </w:rPr>
              <w:t>1093)</w:t>
            </w:r>
          </w:p>
        </w:tc>
        <w:tc>
          <w:tcPr>
            <w:tcW w:w="1417" w:type="dxa"/>
            <w:vAlign w:val="center"/>
          </w:tcPr>
          <w:p w14:paraId="43EF6FF4" w14:textId="77777777" w:rsidR="001B316A" w:rsidRPr="007101A0" w:rsidRDefault="001B316A" w:rsidP="007A3998">
            <w:pPr>
              <w:pStyle w:val="TABELAs"/>
              <w:rPr>
                <w:color w:val="000000"/>
                <w:sz w:val="18"/>
                <w:szCs w:val="18"/>
              </w:rPr>
            </w:pPr>
            <w:r>
              <w:rPr>
                <w:color w:val="000000"/>
                <w:sz w:val="18"/>
                <w:szCs w:val="18"/>
              </w:rPr>
              <w:t>0,3409</w:t>
            </w:r>
            <w:r w:rsidRPr="007101A0">
              <w:rPr>
                <w:color w:val="000000"/>
                <w:sz w:val="18"/>
                <w:szCs w:val="18"/>
              </w:rPr>
              <w:t>*</w:t>
            </w:r>
          </w:p>
          <w:p w14:paraId="53A6AABF" w14:textId="77777777" w:rsidR="001B316A" w:rsidRPr="007101A0" w:rsidRDefault="001B316A" w:rsidP="007A3998">
            <w:pPr>
              <w:pStyle w:val="TABELAs"/>
              <w:rPr>
                <w:sz w:val="18"/>
                <w:szCs w:val="18"/>
              </w:rPr>
            </w:pPr>
            <w:r w:rsidRPr="007101A0">
              <w:rPr>
                <w:color w:val="000000"/>
                <w:sz w:val="18"/>
                <w:szCs w:val="18"/>
              </w:rPr>
              <w:t>(</w:t>
            </w:r>
            <w:r>
              <w:rPr>
                <w:color w:val="000000"/>
                <w:sz w:val="18"/>
                <w:szCs w:val="18"/>
              </w:rPr>
              <w:t>0,1088</w:t>
            </w:r>
            <w:r w:rsidRPr="007101A0">
              <w:rPr>
                <w:color w:val="000000"/>
                <w:sz w:val="18"/>
                <w:szCs w:val="18"/>
              </w:rPr>
              <w:t>)</w:t>
            </w:r>
          </w:p>
        </w:tc>
        <w:tc>
          <w:tcPr>
            <w:tcW w:w="1560" w:type="dxa"/>
            <w:vAlign w:val="center"/>
          </w:tcPr>
          <w:p w14:paraId="3BF149B0" w14:textId="77777777" w:rsidR="001B316A" w:rsidRPr="007101A0" w:rsidRDefault="001B316A" w:rsidP="007A3998">
            <w:pPr>
              <w:pStyle w:val="TABELAs"/>
              <w:rPr>
                <w:color w:val="000000"/>
                <w:sz w:val="18"/>
                <w:szCs w:val="18"/>
              </w:rPr>
            </w:pPr>
            <w:r>
              <w:rPr>
                <w:color w:val="000000"/>
                <w:sz w:val="18"/>
                <w:szCs w:val="18"/>
              </w:rPr>
              <w:t>2,9552</w:t>
            </w:r>
            <w:r w:rsidRPr="007101A0">
              <w:rPr>
                <w:color w:val="000000"/>
                <w:sz w:val="18"/>
                <w:szCs w:val="18"/>
              </w:rPr>
              <w:t>**</w:t>
            </w:r>
          </w:p>
          <w:p w14:paraId="32A4B8C9" w14:textId="77777777" w:rsidR="001B316A" w:rsidRPr="007101A0" w:rsidRDefault="001B316A" w:rsidP="007A3998">
            <w:pPr>
              <w:pStyle w:val="TABELAs"/>
              <w:rPr>
                <w:sz w:val="18"/>
                <w:szCs w:val="18"/>
              </w:rPr>
            </w:pPr>
            <w:r w:rsidRPr="007101A0">
              <w:rPr>
                <w:color w:val="000000"/>
                <w:sz w:val="18"/>
                <w:szCs w:val="18"/>
              </w:rPr>
              <w:t>(1</w:t>
            </w:r>
            <w:r>
              <w:rPr>
                <w:color w:val="000000"/>
                <w:sz w:val="18"/>
                <w:szCs w:val="18"/>
              </w:rPr>
              <w:t>,</w:t>
            </w:r>
            <w:r w:rsidRPr="007101A0">
              <w:rPr>
                <w:color w:val="000000"/>
                <w:sz w:val="18"/>
                <w:szCs w:val="18"/>
              </w:rPr>
              <w:t>374</w:t>
            </w:r>
            <w:r>
              <w:rPr>
                <w:color w:val="000000"/>
                <w:sz w:val="18"/>
                <w:szCs w:val="18"/>
              </w:rPr>
              <w:t>4</w:t>
            </w:r>
            <w:r w:rsidRPr="007101A0">
              <w:rPr>
                <w:color w:val="000000"/>
                <w:sz w:val="18"/>
                <w:szCs w:val="18"/>
              </w:rPr>
              <w:t>)</w:t>
            </w:r>
          </w:p>
        </w:tc>
      </w:tr>
    </w:tbl>
    <w:p w14:paraId="7D7F2ADD" w14:textId="77777777" w:rsidR="00F95527" w:rsidRDefault="004F6287" w:rsidP="004F6287">
      <w:pPr>
        <w:pStyle w:val="FONTE0"/>
      </w:pPr>
      <w:r w:rsidRPr="004F6287">
        <w:rPr>
          <w:i/>
        </w:rPr>
        <w:t>¹Weighted</w:t>
      </w:r>
      <w:r w:rsidRPr="00AF2050">
        <w:rPr>
          <w:i/>
        </w:rPr>
        <w:t xml:space="preserve"> </w:t>
      </w:r>
      <w:r w:rsidRPr="004F6287">
        <w:t>FMOLS</w:t>
      </w:r>
    </w:p>
    <w:p w14:paraId="129C5D58" w14:textId="77777777" w:rsidR="004F6287" w:rsidRPr="004F6287" w:rsidRDefault="004F6287" w:rsidP="004F6287">
      <w:pPr>
        <w:pStyle w:val="FONTE0"/>
      </w:pPr>
      <w:r>
        <w:rPr>
          <w:i/>
        </w:rPr>
        <w:t>²</w:t>
      </w:r>
      <w:r w:rsidRPr="004F6287">
        <w:rPr>
          <w:i/>
        </w:rPr>
        <w:t>Weighted</w:t>
      </w:r>
      <w:r>
        <w:rPr>
          <w:i/>
        </w:rPr>
        <w:t xml:space="preserve"> D</w:t>
      </w:r>
      <w:r w:rsidRPr="00AF2050">
        <w:rPr>
          <w:i/>
        </w:rPr>
        <w:t xml:space="preserve">OLS </w:t>
      </w:r>
      <w:r>
        <w:t xml:space="preserve">com defasagens definidas pelo Critério de Seleção de </w:t>
      </w:r>
      <w:proofErr w:type="spellStart"/>
      <w:r>
        <w:t>Akaike</w:t>
      </w:r>
      <w:proofErr w:type="spellEnd"/>
      <w:r>
        <w:t xml:space="preserve"> (AIC)</w:t>
      </w:r>
    </w:p>
    <w:p w14:paraId="13B5B297" w14:textId="77777777" w:rsidR="001B316A" w:rsidRDefault="001B316A" w:rsidP="001B316A">
      <w:pPr>
        <w:pStyle w:val="FONTE0"/>
      </w:pPr>
      <w:r w:rsidRPr="00967AEF">
        <w:t>*, ** e *** representam significância estatística a 1</w:t>
      </w:r>
      <w:r>
        <w:t>0%, 5% e 1%, respectivamente</w:t>
      </w:r>
    </w:p>
    <w:p w14:paraId="3C91187B" w14:textId="21A2886E" w:rsidR="001B316A" w:rsidRDefault="001B316A" w:rsidP="001B316A">
      <w:pPr>
        <w:pStyle w:val="FONTE0"/>
      </w:pPr>
      <w:r>
        <w:t>Erro padrão entre parêntesis</w:t>
      </w:r>
    </w:p>
    <w:p w14:paraId="275F05CA" w14:textId="77777777" w:rsidR="00115A87" w:rsidRPr="00C91770" w:rsidRDefault="00115A87" w:rsidP="00115A87">
      <w:pPr>
        <w:pStyle w:val="FONTE0"/>
      </w:pPr>
      <w:r>
        <w:t>FONTE</w:t>
      </w:r>
      <w:r w:rsidRPr="00C91770">
        <w:t>: Elaboração própria</w:t>
      </w:r>
    </w:p>
    <w:p w14:paraId="3FC7F9FD" w14:textId="77777777" w:rsidR="00DF6F52" w:rsidRDefault="00DF6F52" w:rsidP="001B316A"/>
    <w:p w14:paraId="2FDA5A74" w14:textId="3B6228E7" w:rsidR="001B316A" w:rsidRDefault="001B316A" w:rsidP="001B316A">
      <w:r>
        <w:t>Em relação à análise dos resultados</w:t>
      </w:r>
      <w:r w:rsidR="004B2090">
        <w:t>,</w:t>
      </w:r>
      <w:r>
        <w:t xml:space="preserve"> é importante salientar, em primeiro lugar, que </w:t>
      </w:r>
      <w:proofErr w:type="spellStart"/>
      <w:r>
        <w:t>Grossman</w:t>
      </w:r>
      <w:proofErr w:type="spellEnd"/>
      <w:r>
        <w:t xml:space="preserve"> e Krueger (1995) advertem que a análise das estimações da CKA deve ser realizada levando em conta exclusiva</w:t>
      </w:r>
      <w:r w:rsidR="00D27716">
        <w:t>mente os sinais dos estimadores e</w:t>
      </w:r>
      <w:r w:rsidR="008B6168">
        <w:t xml:space="preserve"> </w:t>
      </w:r>
      <w:r w:rsidR="00D27716">
        <w:t>os</w:t>
      </w:r>
      <w:r>
        <w:t xml:space="preserve"> valores dos parâmetros não são, necessariamente, plausíveis de inferência.</w:t>
      </w:r>
    </w:p>
    <w:p w14:paraId="66CCF206" w14:textId="60727922" w:rsidR="001B316A" w:rsidRDefault="001B316A" w:rsidP="001B316A">
      <w:r>
        <w:t xml:space="preserve">Isto posto, é notável que na maioria nos modelos </w:t>
      </w:r>
      <w:r w:rsidRPr="00685334">
        <w:t xml:space="preserve">da </w:t>
      </w:r>
      <w:r w:rsidR="00814B81">
        <w:t>Tabela</w:t>
      </w:r>
      <w:r w:rsidRPr="00685334">
        <w:t xml:space="preserve"> </w:t>
      </w:r>
      <w:r w:rsidR="00685334" w:rsidRPr="00685334">
        <w:t>3</w:t>
      </w:r>
      <w:r w:rsidRPr="00685334">
        <w:t xml:space="preserve"> os coeficientes referentes ao PIB </w:t>
      </w:r>
      <w:r w:rsidRPr="00685334">
        <w:rPr>
          <w:i/>
        </w:rPr>
        <w:t>per capita,</w:t>
      </w:r>
      <w:r w:rsidRPr="00685334">
        <w:t xml:space="preserve"> bem como seu termo quadrático, apresentaram</w:t>
      </w:r>
      <w:r>
        <w:t xml:space="preserve"> significância estatística a 1%. Nos modelos com variável de densidade populacional e razão de intensidade tecnológica das exportações</w:t>
      </w:r>
      <w:r w:rsidR="00245D02">
        <w:t>,</w:t>
      </w:r>
      <w:r>
        <w:t xml:space="preserve"> os sinais foram os esperados, quais sejam </w:t>
      </w:r>
      <w:proofErr w:type="gramStart"/>
      <w:r>
        <w:t>positivo</w:t>
      </w:r>
      <w:proofErr w:type="gramEnd"/>
      <w:r>
        <w:t xml:space="preserve"> para nível e negativo para o coeficiente de termo quadrático</w:t>
      </w:r>
      <w:r w:rsidR="00711F91">
        <w:t>.</w:t>
      </w:r>
    </w:p>
    <w:p w14:paraId="5F6DC0DF" w14:textId="229DF9B3" w:rsidR="001B316A" w:rsidRDefault="001B316A" w:rsidP="001B316A">
      <w:r>
        <w:t xml:space="preserve">Entretanto, ao </w:t>
      </w:r>
      <w:r w:rsidR="004B2090">
        <w:t>se adicionar</w:t>
      </w:r>
      <w:r>
        <w:t xml:space="preserve"> o coeficiente de estimação da renda dos países importadores, dois fatos devem ser tratados com atenção. O primeiro é que em ambos os modelos com </w:t>
      </w:r>
      <w:proofErr w:type="spellStart"/>
      <w:r>
        <w:t>PIBXpc</w:t>
      </w:r>
      <w:proofErr w:type="spellEnd"/>
      <w:r>
        <w:t xml:space="preserve"> os sinais dos coeficientes de </w:t>
      </w:r>
      <w:proofErr w:type="spellStart"/>
      <w:r>
        <w:t>PIBpc</w:t>
      </w:r>
      <w:proofErr w:type="spellEnd"/>
      <w:r>
        <w:t xml:space="preserve"> e PIBpc² se invertem</w:t>
      </w:r>
      <w:r w:rsidR="00245D02">
        <w:t>,</w:t>
      </w:r>
      <w:r>
        <w:t xml:space="preserve"> ao passo que o sinal de </w:t>
      </w:r>
      <w:proofErr w:type="spellStart"/>
      <w:r>
        <w:t>PIBXpc</w:t>
      </w:r>
      <w:proofErr w:type="spellEnd"/>
      <w:r>
        <w:t xml:space="preserve"> é sempre positivo. O segundo ponto é que enquanto os coeficientes de </w:t>
      </w:r>
      <w:proofErr w:type="spellStart"/>
      <w:r>
        <w:t>PIBCpc</w:t>
      </w:r>
      <w:proofErr w:type="spellEnd"/>
      <w:r>
        <w:t xml:space="preserve"> se mostram relevantes nos dois modelos a 5% ou 1%, os coeficientes de </w:t>
      </w:r>
      <w:proofErr w:type="spellStart"/>
      <w:r>
        <w:t>PIBpc</w:t>
      </w:r>
      <w:proofErr w:type="spellEnd"/>
      <w:r>
        <w:t xml:space="preserve"> e PIBpc² no modelo com todas as variáveis estimado via DOLS apresenta significância estatística de apenas 10%.</w:t>
      </w:r>
    </w:p>
    <w:p w14:paraId="108D0C0C" w14:textId="3CA799E6" w:rsidR="001B316A" w:rsidRDefault="006A1F00" w:rsidP="001B316A">
      <w:r>
        <w:t>Essa observação</w:t>
      </w:r>
      <w:r w:rsidR="001B316A">
        <w:t xml:space="preserve"> </w:t>
      </w:r>
      <w:r w:rsidR="005A4E68">
        <w:t>indica</w:t>
      </w:r>
      <w:r w:rsidR="001B316A">
        <w:t xml:space="preserve"> que o crescimento econômico dos países importadores tem impacto positivo sobre as emissões de GE</w:t>
      </w:r>
      <w:r w:rsidR="001908C8">
        <w:t>E</w:t>
      </w:r>
      <w:r w:rsidR="00245D02">
        <w:t>, o</w:t>
      </w:r>
      <w:r w:rsidR="001908C8">
        <w:t xml:space="preserve"> </w:t>
      </w:r>
      <w:r w:rsidR="001B316A">
        <w:t xml:space="preserve">que </w:t>
      </w:r>
      <w:r w:rsidR="001908C8">
        <w:t>fornece</w:t>
      </w:r>
      <w:r w:rsidR="001B316A">
        <w:t xml:space="preserve"> indícios </w:t>
      </w:r>
      <w:r w:rsidR="003A5A28">
        <w:t>de não rejeição da</w:t>
      </w:r>
      <w:r w:rsidR="001B316A">
        <w:t xml:space="preserve"> hipótese </w:t>
      </w:r>
      <w:r w:rsidR="00482537">
        <w:t>que considera</w:t>
      </w:r>
      <w:r w:rsidR="001B316A">
        <w:t xml:space="preserve"> o comportamento das exportações </w:t>
      </w:r>
      <w:r w:rsidR="00482537">
        <w:t>como</w:t>
      </w:r>
      <w:r w:rsidR="001B316A">
        <w:t xml:space="preserve"> relevante </w:t>
      </w:r>
      <w:r w:rsidR="00482537">
        <w:t>para a explicação das emissões de GEE da região</w:t>
      </w:r>
      <w:r w:rsidR="001B316A">
        <w:t>. Entretanto, por si só, a relação da renda externa com as emissões pode ser explicada pela possível correlação entre a primeira e a renda dos estados exportadores.</w:t>
      </w:r>
    </w:p>
    <w:p w14:paraId="0E13E475" w14:textId="2C2958AA" w:rsidR="001B316A" w:rsidRDefault="001B316A" w:rsidP="001B316A">
      <w:r>
        <w:t>O</w:t>
      </w:r>
      <w:r w:rsidR="00735230">
        <w:t>s</w:t>
      </w:r>
      <w:r>
        <w:t xml:space="preserve"> coeficiente</w:t>
      </w:r>
      <w:r w:rsidR="00735230">
        <w:t>s estimados</w:t>
      </w:r>
      <w:r>
        <w:t xml:space="preserve"> da </w:t>
      </w:r>
      <w:r w:rsidR="00FE63EC">
        <w:t xml:space="preserve">variável de </w:t>
      </w:r>
      <w:r>
        <w:t xml:space="preserve">intensidade tecnológica </w:t>
      </w:r>
      <w:r w:rsidR="00EB398E">
        <w:t>favorece</w:t>
      </w:r>
      <w:r w:rsidR="00E82AEB">
        <w:t>m o a</w:t>
      </w:r>
      <w:r w:rsidR="00EC78DC">
        <w:t>rgumento a respeito</w:t>
      </w:r>
      <w:r w:rsidR="007C5676">
        <w:t xml:space="preserve"> da relação entre emissões e </w:t>
      </w:r>
      <w:r>
        <w:t>exportações</w:t>
      </w:r>
      <w:r w:rsidR="007C5676">
        <w:t xml:space="preserve"> para a região</w:t>
      </w:r>
      <w:r>
        <w:t xml:space="preserve">. O estimador que mede o impacto da proporção de bens de baixa intensidade tecnológica sobre o total exportado apresenta sinal positivo em todos os modelos, </w:t>
      </w:r>
      <w:r>
        <w:lastRenderedPageBreak/>
        <w:t>sendo</w:t>
      </w:r>
      <w:r w:rsidR="000E0E52">
        <w:t xml:space="preserve"> também</w:t>
      </w:r>
      <w:r>
        <w:t xml:space="preserve"> significativo </w:t>
      </w:r>
      <w:r w:rsidR="000E0E52">
        <w:t>em todos</w:t>
      </w:r>
      <w:r>
        <w:t>. Portanto</w:t>
      </w:r>
      <w:r w:rsidR="009D5995">
        <w:t>,</w:t>
      </w:r>
      <w:r>
        <w:t xml:space="preserve"> não se pode rejeitar a suposiç</w:t>
      </w:r>
      <w:r w:rsidR="005B7EE5">
        <w:t>ão de que uma maior proporção na exportação de</w:t>
      </w:r>
      <w:r>
        <w:t xml:space="preserve"> bens da indústria de </w:t>
      </w:r>
      <w:r w:rsidR="005B7EE5">
        <w:t>baixa tecnologia</w:t>
      </w:r>
      <w:r>
        <w:t xml:space="preserve"> </w:t>
      </w:r>
      <w:r w:rsidR="00245D02">
        <w:t xml:space="preserve">impacta </w:t>
      </w:r>
      <w:r>
        <w:t>positivamente nas emissões da região Sudeste.</w:t>
      </w:r>
    </w:p>
    <w:p w14:paraId="2C30038B" w14:textId="7D688407" w:rsidR="001B316A" w:rsidRDefault="001B316A" w:rsidP="001B316A">
      <w:r>
        <w:t xml:space="preserve">A análise conjunta do efeito da renda externa e da </w:t>
      </w:r>
      <w:r w:rsidR="009D6282">
        <w:t xml:space="preserve">variável de </w:t>
      </w:r>
      <w:r w:rsidR="000722C3">
        <w:t>intensidade tecnológic</w:t>
      </w:r>
      <w:r w:rsidR="00B31414">
        <w:t>a</w:t>
      </w:r>
      <w:r w:rsidR="000722C3">
        <w:t xml:space="preserve"> das exportações</w:t>
      </w:r>
      <w:r>
        <w:t xml:space="preserve"> </w:t>
      </w:r>
      <w:r w:rsidR="00B003D8">
        <w:t>revela</w:t>
      </w:r>
      <w:r>
        <w:t xml:space="preserve"> evidências de que, no longo prazo, </w:t>
      </w:r>
      <w:r w:rsidR="00AA1905">
        <w:t>ambos</w:t>
      </w:r>
      <w:r>
        <w:t xml:space="preserve"> assumem </w:t>
      </w:r>
      <w:r w:rsidR="00AB4F44">
        <w:t>papel</w:t>
      </w:r>
      <w:r>
        <w:t xml:space="preserve"> relevante na definição das emissões de GEE da região Sudeste. Assim sendo, não se pode </w:t>
      </w:r>
      <w:r w:rsidR="009D5995">
        <w:t xml:space="preserve">rejeitar a suposição de que </w:t>
      </w:r>
      <w:r>
        <w:t xml:space="preserve">parcela </w:t>
      </w:r>
      <w:r w:rsidR="009D5995">
        <w:t xml:space="preserve">significativa </w:t>
      </w:r>
      <w:r>
        <w:t>das emissões de GEE da região esteja diretamente relacionad</w:t>
      </w:r>
      <w:r w:rsidR="009D5995">
        <w:t>a</w:t>
      </w:r>
      <w:r w:rsidR="00AA1905">
        <w:t xml:space="preserve"> a fatores externos à dinâmica econômica da região.</w:t>
      </w:r>
    </w:p>
    <w:p w14:paraId="4904B753" w14:textId="5298BAD7" w:rsidR="001B316A" w:rsidRDefault="001B316A" w:rsidP="001B316A">
      <w:r>
        <w:t>Os coeficientes referentes à variável de densidade populacional apresentaram significância estatística em todos os modelos. O sinal negativo em todos os modelos, no entanto, foi o contrário do esperado. Dois fatores podem ser apresentados conjuntamente para explicação dessa observação. Inicialmente</w:t>
      </w:r>
      <w:r w:rsidR="009D5995">
        <w:t>,</w:t>
      </w:r>
      <w:r>
        <w:t xml:space="preserve"> </w:t>
      </w:r>
      <w:r w:rsidR="009D5995">
        <w:t>espera-se</w:t>
      </w:r>
      <w:r>
        <w:t xml:space="preserve"> que a densidade populacional contribua positivamente para a degradação ambiental </w:t>
      </w:r>
      <w:r w:rsidR="009D5995">
        <w:t>por meio de maiores aglomerações</w:t>
      </w:r>
      <w:r>
        <w:t xml:space="preserve"> urbana</w:t>
      </w:r>
      <w:r w:rsidR="009D5995">
        <w:t>s</w:t>
      </w:r>
      <w:r>
        <w:t>. Em relação às emissões de GEE</w:t>
      </w:r>
      <w:r w:rsidR="009D5995">
        <w:t>,</w:t>
      </w:r>
      <w:r>
        <w:t xml:space="preserve"> isto se dá, sobretudo, em emissões relacionadas ao consumo de combustíveis fósseis</w:t>
      </w:r>
      <w:r w:rsidR="00A279DF">
        <w:t xml:space="preserve"> </w:t>
      </w:r>
      <w:r>
        <w:t>(IPCC, 1995). O segundo fator se relaciona com o fato de que o estado de Minas Gerais possui a segunda maior população total</w:t>
      </w:r>
      <w:r w:rsidR="006B7A5B">
        <w:t xml:space="preserve"> e</w:t>
      </w:r>
      <w:r>
        <w:t xml:space="preserve">, no entanto, </w:t>
      </w:r>
      <w:r w:rsidR="006B7A5B">
        <w:t xml:space="preserve">apresenta a </w:t>
      </w:r>
      <w:r w:rsidR="00A826A9">
        <w:t>menor</w:t>
      </w:r>
      <w:r w:rsidR="006B7A5B">
        <w:t xml:space="preserve"> densidade populacional</w:t>
      </w:r>
      <w:r w:rsidR="006B7A5B">
        <w:rPr>
          <w:rStyle w:val="Refdenotaderodap"/>
        </w:rPr>
        <w:footnoteReference w:id="9"/>
      </w:r>
      <w:r w:rsidR="00245D02">
        <w:t>,</w:t>
      </w:r>
      <w:r w:rsidR="006B7A5B">
        <w:t xml:space="preserve"> já que</w:t>
      </w:r>
      <w:r>
        <w:t xml:space="preserve"> tem a maior área entre os estado</w:t>
      </w:r>
      <w:r w:rsidR="006B7A5B">
        <w:t xml:space="preserve">s. </w:t>
      </w:r>
      <w:r>
        <w:t xml:space="preserve">Ainda assim apresenta as maiores taxas de emissões </w:t>
      </w:r>
      <w:r w:rsidRPr="004C0768">
        <w:rPr>
          <w:i/>
        </w:rPr>
        <w:t>per capita</w:t>
      </w:r>
      <w:r>
        <w:t xml:space="preserve"> para todos os anos de análise. </w:t>
      </w:r>
    </w:p>
    <w:p w14:paraId="54F9BE19" w14:textId="26FC95C8" w:rsidR="001B316A" w:rsidRDefault="00E91B0D" w:rsidP="001B316A">
      <w:r>
        <w:t>Pontua-se que as emissões</w:t>
      </w:r>
      <w:r w:rsidR="004D6527">
        <w:t xml:space="preserve"> de GEE</w:t>
      </w:r>
      <w:r>
        <w:t xml:space="preserve"> do estado de MG estão relacionadas, sobretudo, ao</w:t>
      </w:r>
      <w:r w:rsidR="001B316A">
        <w:t xml:space="preserve"> setor de </w:t>
      </w:r>
      <w:r w:rsidR="00EA0289">
        <w:t xml:space="preserve">Mudanças </w:t>
      </w:r>
      <w:r w:rsidR="001B316A">
        <w:t xml:space="preserve">no </w:t>
      </w:r>
      <w:r w:rsidR="00EA0289">
        <w:t xml:space="preserve">Uso </w:t>
      </w:r>
      <w:r w:rsidR="001B316A">
        <w:t xml:space="preserve">da </w:t>
      </w:r>
      <w:r w:rsidR="00EA0289">
        <w:t>Terra</w:t>
      </w:r>
      <w:r w:rsidR="001B316A">
        <w:t xml:space="preserve">, </w:t>
      </w:r>
      <w:r w:rsidR="00EA0289">
        <w:t>o que indica que</w:t>
      </w:r>
      <w:r>
        <w:t xml:space="preserve"> </w:t>
      </w:r>
      <w:r w:rsidR="001B316A">
        <w:t>o impacto das emissões por combustíveis fósseis em relação ao total não se mostra relevante. Ademais, a composição da matriz de energia elétrica – substancialmente gerada por hidroelétricas – diminui ainda mais o impacto. Por outro lado, estados com grandes áreas</w:t>
      </w:r>
      <w:r w:rsidR="001B316A">
        <w:rPr>
          <w:rStyle w:val="Refdenotaderodap"/>
        </w:rPr>
        <w:footnoteReference w:id="10"/>
      </w:r>
      <w:r w:rsidR="001B316A">
        <w:t xml:space="preserve"> (como o estado de Minas Gerais) têm um maior potencial para a produção agropecuária, atividade com participação relevante nas emissões </w:t>
      </w:r>
      <w:r w:rsidR="00EA1EB8">
        <w:t>do setor de</w:t>
      </w:r>
      <w:r w:rsidR="001B316A">
        <w:t xml:space="preserve"> Mudanças no uso da terra. </w:t>
      </w:r>
      <w:r w:rsidR="00EA1EB8">
        <w:t>Assim sendo</w:t>
      </w:r>
      <w:r w:rsidR="001B316A">
        <w:t>, uma área expressivamente maior do estado que diminuiria substancialmente sua densidade populacional também tem um potencial de impacto positivo relevante nas emissões de GEE.</w:t>
      </w:r>
    </w:p>
    <w:p w14:paraId="0BFEA1D9" w14:textId="1055606E" w:rsidR="001B316A" w:rsidRDefault="001B316A" w:rsidP="001B316A">
      <w:r>
        <w:t>Adicionalmente</w:t>
      </w:r>
      <w:r w:rsidR="009D5995">
        <w:t>,</w:t>
      </w:r>
      <w:r>
        <w:t xml:space="preserve"> foram estimados</w:t>
      </w:r>
      <w:r w:rsidR="00E91455">
        <w:t xml:space="preserve"> modelos</w:t>
      </w:r>
      <w:r>
        <w:t xml:space="preserve"> incluindo também um coeficiente cúbico para a renda </w:t>
      </w:r>
      <w:r>
        <w:rPr>
          <w:i/>
        </w:rPr>
        <w:t>per capita</w:t>
      </w:r>
      <w:r w:rsidR="004010A2">
        <w:t xml:space="preserve">. Os três modelos que se mostraram mais relevantes contam </w:t>
      </w:r>
      <w:r w:rsidR="00DE4755">
        <w:t xml:space="preserve">sempre </w:t>
      </w:r>
      <w:r w:rsidR="004010A2">
        <w:t>com a variável de densidade populacional</w:t>
      </w:r>
      <w:r w:rsidR="00DE4755">
        <w:t xml:space="preserve"> e diferentes combinações do fator de intensidade tecnológica nas exportações e</w:t>
      </w:r>
      <w:r w:rsidR="004010A2">
        <w:t xml:space="preserve"> renda externa </w:t>
      </w:r>
      <w:r w:rsidR="004B2201" w:rsidRPr="0022184D">
        <w:t>(</w:t>
      </w:r>
      <w:r w:rsidR="0022184D" w:rsidRPr="0022184D">
        <w:t>Tabela</w:t>
      </w:r>
      <w:r w:rsidR="00CF1C21" w:rsidRPr="0022184D">
        <w:t xml:space="preserve"> </w:t>
      </w:r>
      <w:r w:rsidR="002916B1">
        <w:t>5</w:t>
      </w:r>
      <w:r w:rsidR="00CF1C21" w:rsidRPr="0022184D">
        <w:t>)</w:t>
      </w:r>
      <w:r w:rsidRPr="0022184D">
        <w:t xml:space="preserve">. Com a inclusão do termo cúbico o coeficiente da renda </w:t>
      </w:r>
      <w:r w:rsidR="00980DB9" w:rsidRPr="0022184D">
        <w:t>em</w:t>
      </w:r>
      <w:r w:rsidRPr="0022184D">
        <w:t xml:space="preserve"> nível é significativo</w:t>
      </w:r>
      <w:r>
        <w:t xml:space="preserve"> apenas na estimação via DOLS para o modelo </w:t>
      </w:r>
      <w:r w:rsidR="006A2198">
        <w:t>8</w:t>
      </w:r>
      <w:r>
        <w:t xml:space="preserve"> e em ambos os mét</w:t>
      </w:r>
      <w:r w:rsidR="00DF0901">
        <w:t xml:space="preserve">odos para o modelo </w:t>
      </w:r>
      <w:r w:rsidR="006A2198">
        <w:t>9</w:t>
      </w:r>
      <w:r w:rsidR="00DF0901">
        <w:t xml:space="preserve">. </w:t>
      </w:r>
      <w:r>
        <w:t>Os coeficientes quadrático e cúbico não foram e</w:t>
      </w:r>
      <w:r w:rsidR="006B77E7">
        <w:t>statisticamente significantes</w:t>
      </w:r>
      <w:r>
        <w:t xml:space="preserve"> em nenhum modelo</w:t>
      </w:r>
      <w:r w:rsidR="00AE5783">
        <w:t>, a</w:t>
      </w:r>
      <w:r>
        <w:t xml:space="preserve">o passo que os coeficientes de densidade populacional, intensidade tecnológica e renda externa </w:t>
      </w:r>
      <w:r>
        <w:rPr>
          <w:i/>
        </w:rPr>
        <w:t>per capita</w:t>
      </w:r>
      <w:r>
        <w:t xml:space="preserve"> </w:t>
      </w:r>
      <w:r w:rsidR="00A54BCC">
        <w:t xml:space="preserve">apresentaram significância estatística </w:t>
      </w:r>
      <w:r>
        <w:t>em todos os modelos.</w:t>
      </w:r>
    </w:p>
    <w:p w14:paraId="36E1B1E8" w14:textId="77777777" w:rsidR="001B316A" w:rsidRDefault="001B316A" w:rsidP="001B316A">
      <w:pPr>
        <w:ind w:firstLine="0"/>
        <w:jc w:val="center"/>
        <w:rPr>
          <w:rStyle w:val="titulofiguraChar"/>
        </w:rPr>
      </w:pPr>
    </w:p>
    <w:p w14:paraId="0B72EE1F" w14:textId="64C1D1EE" w:rsidR="001B316A" w:rsidRPr="0005381C" w:rsidRDefault="0022184D" w:rsidP="0005381C">
      <w:pPr>
        <w:pStyle w:val="titulofigura"/>
      </w:pPr>
      <w:r>
        <w:t>Tabela</w:t>
      </w:r>
      <w:r w:rsidR="001B316A" w:rsidRPr="0005381C">
        <w:t xml:space="preserve"> </w:t>
      </w:r>
      <w:r w:rsidR="002916B1">
        <w:t>5</w:t>
      </w:r>
      <w:r w:rsidR="001B316A" w:rsidRPr="0005381C">
        <w:t xml:space="preserve"> – Estimação dos vetores de </w:t>
      </w:r>
      <w:proofErr w:type="spellStart"/>
      <w:r w:rsidR="001B316A" w:rsidRPr="0005381C">
        <w:t>cointegração</w:t>
      </w:r>
      <w:proofErr w:type="spellEnd"/>
      <w:r w:rsidR="001B316A" w:rsidRPr="0005381C">
        <w:t xml:space="preserve"> </w:t>
      </w:r>
      <w:r w:rsidR="0005381C">
        <w:t>incluindo PIBpc³</w:t>
      </w:r>
    </w:p>
    <w:tbl>
      <w:tblPr>
        <w:tblStyle w:val="Tabelacomgrade1"/>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1098"/>
        <w:gridCol w:w="1301"/>
        <w:gridCol w:w="1319"/>
        <w:gridCol w:w="1276"/>
        <w:gridCol w:w="1276"/>
        <w:gridCol w:w="1276"/>
        <w:gridCol w:w="1134"/>
      </w:tblGrid>
      <w:tr w:rsidR="001B316A" w:rsidRPr="00340D60" w14:paraId="73C27DD4" w14:textId="77777777" w:rsidTr="00C426BA">
        <w:trPr>
          <w:trHeight w:val="389"/>
          <w:jc w:val="center"/>
        </w:trPr>
        <w:tc>
          <w:tcPr>
            <w:tcW w:w="460" w:type="dxa"/>
            <w:tcBorders>
              <w:top w:val="single" w:sz="4" w:space="0" w:color="auto"/>
              <w:bottom w:val="single" w:sz="4" w:space="0" w:color="auto"/>
            </w:tcBorders>
            <w:vAlign w:val="center"/>
          </w:tcPr>
          <w:p w14:paraId="5325D0C2" w14:textId="77777777" w:rsidR="001B316A" w:rsidRPr="00340D60" w:rsidRDefault="001B316A" w:rsidP="00380542">
            <w:pPr>
              <w:ind w:firstLine="0"/>
              <w:jc w:val="center"/>
              <w:rPr>
                <w:rFonts w:cs="Arial"/>
                <w:b/>
                <w:sz w:val="20"/>
              </w:rPr>
            </w:pPr>
          </w:p>
        </w:tc>
        <w:tc>
          <w:tcPr>
            <w:tcW w:w="1098" w:type="dxa"/>
            <w:tcBorders>
              <w:top w:val="single" w:sz="4" w:space="0" w:color="auto"/>
              <w:bottom w:val="single" w:sz="4" w:space="0" w:color="auto"/>
            </w:tcBorders>
            <w:vAlign w:val="center"/>
          </w:tcPr>
          <w:p w14:paraId="6CC696D6" w14:textId="77777777" w:rsidR="001B316A" w:rsidRPr="00340D60" w:rsidRDefault="001B316A" w:rsidP="00380542">
            <w:pPr>
              <w:ind w:firstLine="0"/>
              <w:jc w:val="center"/>
              <w:rPr>
                <w:rFonts w:cs="Arial"/>
                <w:b/>
                <w:sz w:val="20"/>
              </w:rPr>
            </w:pPr>
            <w:r w:rsidRPr="00340D60">
              <w:rPr>
                <w:rFonts w:cs="Arial"/>
                <w:b/>
                <w:sz w:val="20"/>
              </w:rPr>
              <w:t>Método</w:t>
            </w:r>
            <w:r w:rsidR="00AF2050">
              <w:rPr>
                <w:rFonts w:cs="Arial"/>
                <w:b/>
                <w:sz w:val="20"/>
              </w:rPr>
              <w:t>¹</w:t>
            </w:r>
          </w:p>
        </w:tc>
        <w:tc>
          <w:tcPr>
            <w:tcW w:w="1301" w:type="dxa"/>
            <w:tcBorders>
              <w:top w:val="single" w:sz="4" w:space="0" w:color="auto"/>
              <w:bottom w:val="single" w:sz="4" w:space="0" w:color="auto"/>
            </w:tcBorders>
            <w:vAlign w:val="center"/>
          </w:tcPr>
          <w:p w14:paraId="19959352" w14:textId="77777777" w:rsidR="001B316A" w:rsidRPr="00340D60" w:rsidRDefault="001B316A" w:rsidP="00380542">
            <w:pPr>
              <w:ind w:firstLine="0"/>
              <w:jc w:val="center"/>
              <w:rPr>
                <w:rFonts w:cs="Arial"/>
                <w:b/>
                <w:sz w:val="20"/>
              </w:rPr>
            </w:pPr>
            <w:proofErr w:type="spellStart"/>
            <w:r w:rsidRPr="00340D60">
              <w:rPr>
                <w:rFonts w:cs="Arial"/>
                <w:b/>
                <w:sz w:val="20"/>
              </w:rPr>
              <w:t>PIBpc</w:t>
            </w:r>
            <w:proofErr w:type="spellEnd"/>
          </w:p>
        </w:tc>
        <w:tc>
          <w:tcPr>
            <w:tcW w:w="1319" w:type="dxa"/>
            <w:tcBorders>
              <w:top w:val="single" w:sz="4" w:space="0" w:color="auto"/>
              <w:bottom w:val="single" w:sz="4" w:space="0" w:color="auto"/>
            </w:tcBorders>
            <w:vAlign w:val="center"/>
          </w:tcPr>
          <w:p w14:paraId="1A4162C5" w14:textId="77777777" w:rsidR="001B316A" w:rsidRPr="00340D60" w:rsidRDefault="001B316A" w:rsidP="00380542">
            <w:pPr>
              <w:ind w:firstLine="0"/>
              <w:jc w:val="center"/>
              <w:rPr>
                <w:rFonts w:cs="Arial"/>
                <w:b/>
                <w:sz w:val="20"/>
              </w:rPr>
            </w:pPr>
            <w:r w:rsidRPr="00340D60">
              <w:rPr>
                <w:rFonts w:cs="Arial"/>
                <w:b/>
                <w:sz w:val="20"/>
              </w:rPr>
              <w:t>PIBpc²</w:t>
            </w:r>
          </w:p>
        </w:tc>
        <w:tc>
          <w:tcPr>
            <w:tcW w:w="1276" w:type="dxa"/>
            <w:tcBorders>
              <w:top w:val="single" w:sz="4" w:space="0" w:color="auto"/>
              <w:bottom w:val="single" w:sz="4" w:space="0" w:color="auto"/>
            </w:tcBorders>
            <w:vAlign w:val="center"/>
          </w:tcPr>
          <w:p w14:paraId="5976D8F6" w14:textId="77777777" w:rsidR="001B316A" w:rsidRPr="00340D60" w:rsidRDefault="001B316A" w:rsidP="00380542">
            <w:pPr>
              <w:ind w:firstLine="0"/>
              <w:jc w:val="center"/>
              <w:rPr>
                <w:rFonts w:cs="Arial"/>
                <w:b/>
                <w:sz w:val="20"/>
              </w:rPr>
            </w:pPr>
            <w:proofErr w:type="spellStart"/>
            <w:r w:rsidRPr="00340D60">
              <w:rPr>
                <w:rFonts w:cs="Arial"/>
                <w:b/>
                <w:sz w:val="20"/>
              </w:rPr>
              <w:t>Dens</w:t>
            </w:r>
            <w:proofErr w:type="spellEnd"/>
          </w:p>
        </w:tc>
        <w:tc>
          <w:tcPr>
            <w:tcW w:w="1276" w:type="dxa"/>
            <w:tcBorders>
              <w:top w:val="single" w:sz="4" w:space="0" w:color="auto"/>
              <w:bottom w:val="single" w:sz="4" w:space="0" w:color="auto"/>
            </w:tcBorders>
            <w:vAlign w:val="center"/>
          </w:tcPr>
          <w:p w14:paraId="3F6E3474" w14:textId="77777777" w:rsidR="001B316A" w:rsidRPr="00340D60" w:rsidRDefault="001B316A" w:rsidP="00380542">
            <w:pPr>
              <w:ind w:firstLine="0"/>
              <w:jc w:val="center"/>
              <w:rPr>
                <w:rFonts w:cs="Arial"/>
                <w:b/>
                <w:sz w:val="20"/>
              </w:rPr>
            </w:pPr>
            <w:r w:rsidRPr="00340D60">
              <w:rPr>
                <w:rFonts w:cs="Arial"/>
                <w:b/>
                <w:sz w:val="20"/>
              </w:rPr>
              <w:t>In4000</w:t>
            </w:r>
          </w:p>
        </w:tc>
        <w:tc>
          <w:tcPr>
            <w:tcW w:w="1276" w:type="dxa"/>
            <w:tcBorders>
              <w:top w:val="single" w:sz="4" w:space="0" w:color="auto"/>
              <w:bottom w:val="single" w:sz="4" w:space="0" w:color="auto"/>
            </w:tcBorders>
            <w:vAlign w:val="center"/>
          </w:tcPr>
          <w:p w14:paraId="01DF0CE1" w14:textId="4E2CF4D6" w:rsidR="001B316A" w:rsidRPr="00340D60" w:rsidRDefault="00F97599" w:rsidP="00380542">
            <w:pPr>
              <w:ind w:firstLine="0"/>
              <w:jc w:val="center"/>
              <w:rPr>
                <w:rFonts w:cs="Arial"/>
                <w:b/>
                <w:sz w:val="20"/>
              </w:rPr>
            </w:pPr>
            <w:proofErr w:type="spellStart"/>
            <w:r>
              <w:rPr>
                <w:rFonts w:cs="Arial"/>
                <w:b/>
                <w:sz w:val="20"/>
              </w:rPr>
              <w:t>PIBXpc</w:t>
            </w:r>
            <w:proofErr w:type="spellEnd"/>
          </w:p>
        </w:tc>
        <w:tc>
          <w:tcPr>
            <w:tcW w:w="1134" w:type="dxa"/>
            <w:tcBorders>
              <w:top w:val="single" w:sz="4" w:space="0" w:color="auto"/>
              <w:bottom w:val="single" w:sz="4" w:space="0" w:color="auto"/>
            </w:tcBorders>
            <w:vAlign w:val="center"/>
          </w:tcPr>
          <w:p w14:paraId="64FDB2D5" w14:textId="77777777" w:rsidR="001B316A" w:rsidRPr="00340D60" w:rsidRDefault="001B316A" w:rsidP="00380542">
            <w:pPr>
              <w:ind w:firstLine="0"/>
              <w:jc w:val="center"/>
              <w:rPr>
                <w:rFonts w:cs="Arial"/>
                <w:b/>
                <w:sz w:val="20"/>
              </w:rPr>
            </w:pPr>
            <w:r w:rsidRPr="00340D60">
              <w:rPr>
                <w:rFonts w:cs="Arial"/>
                <w:b/>
                <w:sz w:val="20"/>
              </w:rPr>
              <w:t>PIBpc³</w:t>
            </w:r>
          </w:p>
        </w:tc>
      </w:tr>
      <w:tr w:rsidR="001B316A" w:rsidRPr="00967AEF" w14:paraId="3B4ABF11" w14:textId="77777777" w:rsidTr="00C426BA">
        <w:trPr>
          <w:jc w:val="center"/>
        </w:trPr>
        <w:tc>
          <w:tcPr>
            <w:tcW w:w="460" w:type="dxa"/>
            <w:vMerge w:val="restart"/>
            <w:tcBorders>
              <w:top w:val="single" w:sz="4" w:space="0" w:color="auto"/>
            </w:tcBorders>
            <w:vAlign w:val="center"/>
          </w:tcPr>
          <w:p w14:paraId="076226CE" w14:textId="2565FCBA" w:rsidR="001B316A" w:rsidRPr="007101A0" w:rsidRDefault="00B94668" w:rsidP="00380542">
            <w:pPr>
              <w:ind w:firstLine="0"/>
              <w:jc w:val="center"/>
              <w:rPr>
                <w:rFonts w:cs="Arial"/>
                <w:sz w:val="20"/>
              </w:rPr>
            </w:pPr>
            <w:r>
              <w:rPr>
                <w:rFonts w:cs="Arial"/>
                <w:sz w:val="20"/>
              </w:rPr>
              <w:t>7</w:t>
            </w:r>
          </w:p>
        </w:tc>
        <w:tc>
          <w:tcPr>
            <w:tcW w:w="1098" w:type="dxa"/>
            <w:tcBorders>
              <w:top w:val="single" w:sz="4" w:space="0" w:color="auto"/>
            </w:tcBorders>
            <w:vAlign w:val="center"/>
          </w:tcPr>
          <w:p w14:paraId="5B7758D1" w14:textId="77777777" w:rsidR="001B316A" w:rsidRPr="007101A0" w:rsidRDefault="004F6287" w:rsidP="00380542">
            <w:pPr>
              <w:ind w:firstLine="0"/>
              <w:jc w:val="center"/>
              <w:rPr>
                <w:rFonts w:cs="Arial"/>
                <w:sz w:val="20"/>
              </w:rPr>
            </w:pPr>
            <w:r>
              <w:rPr>
                <w:rFonts w:cs="Arial"/>
                <w:sz w:val="20"/>
              </w:rPr>
              <w:t>FMOLS¹</w:t>
            </w:r>
          </w:p>
        </w:tc>
        <w:tc>
          <w:tcPr>
            <w:tcW w:w="1301" w:type="dxa"/>
            <w:tcBorders>
              <w:top w:val="single" w:sz="4" w:space="0" w:color="auto"/>
            </w:tcBorders>
            <w:vAlign w:val="center"/>
          </w:tcPr>
          <w:p w14:paraId="0C973BAC"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0.2503</w:t>
            </w:r>
          </w:p>
          <w:p w14:paraId="20D8DE9F"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(5.4193)</w:t>
            </w:r>
          </w:p>
        </w:tc>
        <w:tc>
          <w:tcPr>
            <w:tcW w:w="1319" w:type="dxa"/>
            <w:tcBorders>
              <w:top w:val="single" w:sz="4" w:space="0" w:color="auto"/>
            </w:tcBorders>
            <w:vAlign w:val="center"/>
          </w:tcPr>
          <w:p w14:paraId="3AE148E3"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0.029</w:t>
            </w:r>
            <w:r>
              <w:rPr>
                <w:rFonts w:cs="Arial"/>
                <w:color w:val="000000"/>
                <w:sz w:val="18"/>
                <w:szCs w:val="18"/>
              </w:rPr>
              <w:t>3</w:t>
            </w:r>
          </w:p>
          <w:p w14:paraId="6FB5FF1C" w14:textId="77777777" w:rsidR="001B316A" w:rsidRPr="007101A0" w:rsidRDefault="001B316A" w:rsidP="00380542">
            <w:pPr>
              <w:ind w:firstLine="0"/>
              <w:jc w:val="center"/>
              <w:rPr>
                <w:rFonts w:cs="Arial"/>
                <w:sz w:val="18"/>
                <w:szCs w:val="18"/>
              </w:rPr>
            </w:pPr>
            <w:r w:rsidRPr="007101A0">
              <w:rPr>
                <w:rFonts w:cs="Arial"/>
                <w:color w:val="000000"/>
                <w:sz w:val="18"/>
                <w:szCs w:val="18"/>
              </w:rPr>
              <w:t>(1.0871)</w:t>
            </w:r>
          </w:p>
        </w:tc>
        <w:tc>
          <w:tcPr>
            <w:tcW w:w="1276" w:type="dxa"/>
            <w:tcBorders>
              <w:top w:val="single" w:sz="4" w:space="0" w:color="auto"/>
            </w:tcBorders>
            <w:vAlign w:val="center"/>
          </w:tcPr>
          <w:p w14:paraId="3408BC6D"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w:t>
            </w:r>
            <w:r>
              <w:rPr>
                <w:rFonts w:cs="Arial"/>
                <w:color w:val="000000"/>
                <w:sz w:val="18"/>
                <w:szCs w:val="18"/>
              </w:rPr>
              <w:t>0.4130</w:t>
            </w:r>
            <w:r w:rsidRPr="007101A0">
              <w:rPr>
                <w:rFonts w:cs="Arial"/>
                <w:color w:val="000000"/>
                <w:sz w:val="18"/>
                <w:szCs w:val="18"/>
              </w:rPr>
              <w:t>***</w:t>
            </w:r>
          </w:p>
          <w:p w14:paraId="4E3160C3" w14:textId="77777777" w:rsidR="001B316A" w:rsidRPr="007101A0" w:rsidRDefault="001B316A" w:rsidP="00380542">
            <w:pPr>
              <w:ind w:firstLine="0"/>
              <w:jc w:val="center"/>
              <w:rPr>
                <w:rFonts w:cs="Arial"/>
                <w:sz w:val="18"/>
                <w:szCs w:val="18"/>
              </w:rPr>
            </w:pPr>
            <w:r w:rsidRPr="007101A0">
              <w:rPr>
                <w:rFonts w:cs="Arial"/>
                <w:color w:val="000000"/>
                <w:sz w:val="18"/>
                <w:szCs w:val="18"/>
              </w:rPr>
              <w:t>(</w:t>
            </w:r>
            <w:r>
              <w:rPr>
                <w:rFonts w:cs="Arial"/>
                <w:color w:val="000000"/>
                <w:sz w:val="18"/>
                <w:szCs w:val="18"/>
              </w:rPr>
              <w:t>0.061</w:t>
            </w:r>
            <w:r w:rsidRPr="007101A0">
              <w:rPr>
                <w:rFonts w:cs="Arial"/>
                <w:color w:val="000000"/>
                <w:sz w:val="18"/>
                <w:szCs w:val="18"/>
              </w:rPr>
              <w:t>2)</w:t>
            </w:r>
          </w:p>
        </w:tc>
        <w:tc>
          <w:tcPr>
            <w:tcW w:w="1276" w:type="dxa"/>
            <w:tcBorders>
              <w:top w:val="single" w:sz="4" w:space="0" w:color="auto"/>
            </w:tcBorders>
            <w:vAlign w:val="center"/>
          </w:tcPr>
          <w:p w14:paraId="5759F766" w14:textId="77777777" w:rsidR="001B316A" w:rsidRPr="007101A0" w:rsidRDefault="001B316A" w:rsidP="00380542">
            <w:pPr>
              <w:ind w:firstLine="0"/>
              <w:jc w:val="center"/>
              <w:rPr>
                <w:rFonts w:cs="Arial"/>
                <w:color w:val="000000"/>
                <w:sz w:val="18"/>
                <w:szCs w:val="18"/>
              </w:rPr>
            </w:pPr>
            <w:r>
              <w:rPr>
                <w:rFonts w:cs="Arial"/>
                <w:color w:val="000000"/>
                <w:sz w:val="18"/>
                <w:szCs w:val="18"/>
              </w:rPr>
              <w:t>0.3683</w:t>
            </w:r>
            <w:r w:rsidRPr="007101A0">
              <w:rPr>
                <w:rFonts w:cs="Arial"/>
                <w:color w:val="000000"/>
                <w:sz w:val="18"/>
                <w:szCs w:val="18"/>
              </w:rPr>
              <w:t>***</w:t>
            </w:r>
          </w:p>
          <w:p w14:paraId="3174E6BD" w14:textId="77777777" w:rsidR="001B316A" w:rsidRPr="007101A0" w:rsidRDefault="001B316A" w:rsidP="00380542">
            <w:pPr>
              <w:ind w:firstLine="0"/>
              <w:jc w:val="center"/>
              <w:rPr>
                <w:rFonts w:cs="Arial"/>
                <w:sz w:val="18"/>
                <w:szCs w:val="18"/>
              </w:rPr>
            </w:pPr>
            <w:r w:rsidRPr="007101A0">
              <w:rPr>
                <w:rFonts w:cs="Arial"/>
                <w:color w:val="000000"/>
                <w:sz w:val="18"/>
                <w:szCs w:val="18"/>
              </w:rPr>
              <w:t>(0.063</w:t>
            </w:r>
            <w:r>
              <w:rPr>
                <w:rFonts w:cs="Arial"/>
                <w:color w:val="000000"/>
                <w:sz w:val="18"/>
                <w:szCs w:val="18"/>
              </w:rPr>
              <w:t>3</w:t>
            </w:r>
            <w:r w:rsidRPr="007101A0">
              <w:rPr>
                <w:rFonts w:cs="Arial"/>
                <w:color w:val="000000"/>
                <w:sz w:val="18"/>
                <w:szCs w:val="18"/>
              </w:rPr>
              <w:t>)</w:t>
            </w:r>
          </w:p>
        </w:tc>
        <w:tc>
          <w:tcPr>
            <w:tcW w:w="1276" w:type="dxa"/>
            <w:tcBorders>
              <w:top w:val="single" w:sz="4" w:space="0" w:color="auto"/>
            </w:tcBorders>
            <w:vAlign w:val="center"/>
          </w:tcPr>
          <w:p w14:paraId="6CC49C9A" w14:textId="77777777" w:rsidR="001B316A" w:rsidRPr="007101A0" w:rsidRDefault="001B316A" w:rsidP="00380542">
            <w:pPr>
              <w:ind w:firstLine="0"/>
              <w:jc w:val="center"/>
              <w:rPr>
                <w:rFonts w:cs="Arial"/>
                <w:sz w:val="18"/>
                <w:szCs w:val="18"/>
              </w:rPr>
            </w:pPr>
          </w:p>
        </w:tc>
        <w:tc>
          <w:tcPr>
            <w:tcW w:w="1134" w:type="dxa"/>
            <w:tcBorders>
              <w:top w:val="single" w:sz="4" w:space="0" w:color="auto"/>
            </w:tcBorders>
            <w:vAlign w:val="center"/>
          </w:tcPr>
          <w:p w14:paraId="4DB8A5C6"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-0.0033</w:t>
            </w:r>
          </w:p>
          <w:p w14:paraId="3FBC7113" w14:textId="77777777" w:rsidR="001B316A" w:rsidRPr="007101A0" w:rsidRDefault="001B316A" w:rsidP="00380542">
            <w:pPr>
              <w:ind w:firstLine="0"/>
              <w:jc w:val="center"/>
              <w:rPr>
                <w:rFonts w:cs="Arial"/>
                <w:sz w:val="18"/>
                <w:szCs w:val="18"/>
              </w:rPr>
            </w:pPr>
            <w:r w:rsidRPr="007101A0">
              <w:rPr>
                <w:rFonts w:cs="Arial"/>
                <w:color w:val="000000"/>
                <w:sz w:val="18"/>
                <w:szCs w:val="18"/>
              </w:rPr>
              <w:t>(</w:t>
            </w:r>
            <w:r>
              <w:rPr>
                <w:rFonts w:cs="Arial"/>
                <w:color w:val="000000"/>
                <w:sz w:val="18"/>
                <w:szCs w:val="18"/>
              </w:rPr>
              <w:t>0.0545</w:t>
            </w:r>
            <w:r w:rsidRPr="007101A0">
              <w:rPr>
                <w:rFonts w:cs="Arial"/>
                <w:color w:val="000000"/>
                <w:sz w:val="18"/>
                <w:szCs w:val="18"/>
              </w:rPr>
              <w:t>)</w:t>
            </w:r>
          </w:p>
        </w:tc>
      </w:tr>
      <w:tr w:rsidR="001B316A" w:rsidRPr="00967AEF" w14:paraId="3F2D874C" w14:textId="77777777" w:rsidTr="00C426BA">
        <w:trPr>
          <w:jc w:val="center"/>
        </w:trPr>
        <w:tc>
          <w:tcPr>
            <w:tcW w:w="460" w:type="dxa"/>
            <w:vMerge/>
            <w:vAlign w:val="center"/>
          </w:tcPr>
          <w:p w14:paraId="3D90CEDC" w14:textId="77777777" w:rsidR="001B316A" w:rsidRPr="007101A0" w:rsidRDefault="001B316A" w:rsidP="00380542">
            <w:pPr>
              <w:ind w:firstLine="0"/>
              <w:jc w:val="center"/>
              <w:rPr>
                <w:rFonts w:cs="Arial"/>
                <w:sz w:val="20"/>
              </w:rPr>
            </w:pPr>
          </w:p>
        </w:tc>
        <w:tc>
          <w:tcPr>
            <w:tcW w:w="1098" w:type="dxa"/>
            <w:vAlign w:val="center"/>
          </w:tcPr>
          <w:p w14:paraId="775CA609" w14:textId="77777777" w:rsidR="001B316A" w:rsidRPr="007101A0" w:rsidRDefault="004F6287" w:rsidP="00380542">
            <w:pPr>
              <w:ind w:firstLine="0"/>
              <w:jc w:val="center"/>
              <w:rPr>
                <w:rFonts w:cs="Arial"/>
                <w:sz w:val="20"/>
              </w:rPr>
            </w:pPr>
            <w:r>
              <w:rPr>
                <w:rFonts w:cs="Arial"/>
                <w:sz w:val="20"/>
              </w:rPr>
              <w:t>DOLS²</w:t>
            </w:r>
          </w:p>
        </w:tc>
        <w:tc>
          <w:tcPr>
            <w:tcW w:w="1301" w:type="dxa"/>
            <w:vAlign w:val="center"/>
          </w:tcPr>
          <w:p w14:paraId="385A987D" w14:textId="77777777" w:rsidR="001B316A" w:rsidRPr="007101A0" w:rsidRDefault="001B316A" w:rsidP="00380542">
            <w:pPr>
              <w:ind w:firstLine="0"/>
              <w:jc w:val="center"/>
              <w:rPr>
                <w:rFonts w:cs="Arial"/>
                <w:color w:val="000000"/>
                <w:sz w:val="18"/>
                <w:szCs w:val="18"/>
              </w:rPr>
            </w:pPr>
            <w:r>
              <w:rPr>
                <w:rFonts w:cs="Arial"/>
                <w:color w:val="000000"/>
                <w:sz w:val="18"/>
                <w:szCs w:val="18"/>
              </w:rPr>
              <w:t>8.1962</w:t>
            </w:r>
          </w:p>
          <w:p w14:paraId="0698B893"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w:t>
            </w:r>
            <w:r>
              <w:rPr>
                <w:rFonts w:cs="Arial"/>
                <w:color w:val="000000"/>
                <w:sz w:val="18"/>
                <w:szCs w:val="18"/>
              </w:rPr>
              <w:t>5.2492</w:t>
            </w:r>
            <w:r w:rsidRPr="007101A0">
              <w:rPr>
                <w:rFonts w:cs="Arial"/>
                <w:color w:val="000000"/>
                <w:sz w:val="18"/>
                <w:szCs w:val="18"/>
              </w:rPr>
              <w:t>)</w:t>
            </w:r>
          </w:p>
        </w:tc>
        <w:tc>
          <w:tcPr>
            <w:tcW w:w="1319" w:type="dxa"/>
            <w:vAlign w:val="center"/>
          </w:tcPr>
          <w:p w14:paraId="2BED859E"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-1.570</w:t>
            </w:r>
            <w:r>
              <w:rPr>
                <w:rFonts w:cs="Arial"/>
                <w:color w:val="000000"/>
                <w:sz w:val="18"/>
                <w:szCs w:val="18"/>
              </w:rPr>
              <w:t>4</w:t>
            </w:r>
          </w:p>
          <w:p w14:paraId="522BCA4D" w14:textId="77777777" w:rsidR="001B316A" w:rsidRPr="007101A0" w:rsidRDefault="001B316A" w:rsidP="00380542">
            <w:pPr>
              <w:ind w:firstLine="0"/>
              <w:jc w:val="center"/>
              <w:rPr>
                <w:rFonts w:cs="Arial"/>
                <w:sz w:val="18"/>
                <w:szCs w:val="18"/>
              </w:rPr>
            </w:pPr>
            <w:r w:rsidRPr="007101A0">
              <w:rPr>
                <w:rFonts w:cs="Arial"/>
                <w:color w:val="000000"/>
                <w:sz w:val="18"/>
                <w:szCs w:val="18"/>
              </w:rPr>
              <w:t>(</w:t>
            </w:r>
            <w:r>
              <w:rPr>
                <w:rFonts w:cs="Arial"/>
                <w:color w:val="000000"/>
                <w:sz w:val="18"/>
                <w:szCs w:val="18"/>
              </w:rPr>
              <w:t>1.0542</w:t>
            </w:r>
            <w:r w:rsidRPr="007101A0">
              <w:rPr>
                <w:rFonts w:cs="Arial"/>
                <w:color w:val="000000"/>
                <w:sz w:val="18"/>
                <w:szCs w:val="18"/>
              </w:rPr>
              <w:t>)</w:t>
            </w:r>
          </w:p>
        </w:tc>
        <w:tc>
          <w:tcPr>
            <w:tcW w:w="1276" w:type="dxa"/>
            <w:vAlign w:val="center"/>
          </w:tcPr>
          <w:p w14:paraId="74FCC5E2"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-0.3431***</w:t>
            </w:r>
          </w:p>
          <w:p w14:paraId="20406E1B" w14:textId="77777777" w:rsidR="001B316A" w:rsidRPr="007101A0" w:rsidRDefault="001B316A" w:rsidP="00380542">
            <w:pPr>
              <w:ind w:firstLine="0"/>
              <w:jc w:val="center"/>
              <w:rPr>
                <w:rFonts w:cs="Arial"/>
                <w:sz w:val="18"/>
                <w:szCs w:val="18"/>
              </w:rPr>
            </w:pPr>
            <w:r w:rsidRPr="007101A0">
              <w:rPr>
                <w:rFonts w:cs="Arial"/>
                <w:color w:val="000000"/>
                <w:sz w:val="18"/>
                <w:szCs w:val="18"/>
              </w:rPr>
              <w:t>(</w:t>
            </w:r>
            <w:r>
              <w:rPr>
                <w:rFonts w:cs="Arial"/>
                <w:color w:val="000000"/>
                <w:sz w:val="18"/>
                <w:szCs w:val="18"/>
              </w:rPr>
              <w:t>0.0886</w:t>
            </w:r>
            <w:r w:rsidRPr="007101A0">
              <w:rPr>
                <w:rFonts w:cs="Arial"/>
                <w:color w:val="000000"/>
                <w:sz w:val="18"/>
                <w:szCs w:val="18"/>
              </w:rPr>
              <w:t>)</w:t>
            </w:r>
          </w:p>
        </w:tc>
        <w:tc>
          <w:tcPr>
            <w:tcW w:w="1276" w:type="dxa"/>
            <w:vAlign w:val="center"/>
          </w:tcPr>
          <w:p w14:paraId="62CCD726" w14:textId="77777777" w:rsidR="001B316A" w:rsidRPr="007101A0" w:rsidRDefault="001B316A" w:rsidP="00380542">
            <w:pPr>
              <w:ind w:firstLine="0"/>
              <w:jc w:val="center"/>
              <w:rPr>
                <w:rFonts w:cs="Arial"/>
                <w:color w:val="000000"/>
                <w:sz w:val="18"/>
                <w:szCs w:val="18"/>
              </w:rPr>
            </w:pPr>
            <w:r>
              <w:rPr>
                <w:rFonts w:cs="Arial"/>
                <w:color w:val="000000"/>
                <w:sz w:val="18"/>
                <w:szCs w:val="18"/>
              </w:rPr>
              <w:t>0.452</w:t>
            </w:r>
            <w:r w:rsidRPr="007101A0">
              <w:rPr>
                <w:rFonts w:cs="Arial"/>
                <w:color w:val="000000"/>
                <w:sz w:val="18"/>
                <w:szCs w:val="18"/>
              </w:rPr>
              <w:t>6***</w:t>
            </w:r>
          </w:p>
          <w:p w14:paraId="6766C8BC" w14:textId="77777777" w:rsidR="001B316A" w:rsidRPr="007101A0" w:rsidRDefault="001B316A" w:rsidP="00380542">
            <w:pPr>
              <w:ind w:firstLine="0"/>
              <w:jc w:val="center"/>
              <w:rPr>
                <w:rFonts w:cs="Arial"/>
                <w:sz w:val="18"/>
                <w:szCs w:val="18"/>
              </w:rPr>
            </w:pPr>
            <w:r w:rsidRPr="007101A0">
              <w:rPr>
                <w:rFonts w:cs="Arial"/>
                <w:color w:val="000000"/>
                <w:sz w:val="18"/>
                <w:szCs w:val="18"/>
              </w:rPr>
              <w:t>(0.1114)</w:t>
            </w:r>
          </w:p>
        </w:tc>
        <w:tc>
          <w:tcPr>
            <w:tcW w:w="1276" w:type="dxa"/>
            <w:vAlign w:val="center"/>
          </w:tcPr>
          <w:p w14:paraId="6D2FBEC4" w14:textId="77777777" w:rsidR="001B316A" w:rsidRPr="007101A0" w:rsidRDefault="001B316A" w:rsidP="00380542">
            <w:pPr>
              <w:ind w:firstLine="0"/>
              <w:jc w:val="center"/>
              <w:rPr>
                <w:rFonts w:cs="Arial"/>
                <w:sz w:val="18"/>
                <w:szCs w:val="18"/>
              </w:rPr>
            </w:pPr>
          </w:p>
        </w:tc>
        <w:tc>
          <w:tcPr>
            <w:tcW w:w="1134" w:type="dxa"/>
            <w:vAlign w:val="center"/>
          </w:tcPr>
          <w:p w14:paraId="5BB669AD" w14:textId="77777777" w:rsidR="001B316A" w:rsidRPr="007101A0" w:rsidRDefault="001B316A" w:rsidP="00380542">
            <w:pPr>
              <w:ind w:firstLine="0"/>
              <w:jc w:val="center"/>
              <w:rPr>
                <w:rFonts w:cs="Arial"/>
                <w:color w:val="000000"/>
                <w:sz w:val="18"/>
                <w:szCs w:val="18"/>
              </w:rPr>
            </w:pPr>
            <w:r>
              <w:rPr>
                <w:rFonts w:cs="Arial"/>
                <w:color w:val="000000"/>
                <w:sz w:val="18"/>
                <w:szCs w:val="18"/>
              </w:rPr>
              <w:t>0.0765</w:t>
            </w:r>
          </w:p>
          <w:p w14:paraId="0000F116" w14:textId="77777777" w:rsidR="001B316A" w:rsidRPr="007101A0" w:rsidRDefault="001B316A" w:rsidP="00380542">
            <w:pPr>
              <w:ind w:firstLine="0"/>
              <w:jc w:val="center"/>
              <w:rPr>
                <w:rFonts w:cs="Arial"/>
                <w:sz w:val="18"/>
                <w:szCs w:val="18"/>
              </w:rPr>
            </w:pPr>
            <w:r w:rsidRPr="007101A0">
              <w:rPr>
                <w:rFonts w:cs="Arial"/>
                <w:color w:val="000000"/>
                <w:sz w:val="18"/>
                <w:szCs w:val="18"/>
              </w:rPr>
              <w:t>(</w:t>
            </w:r>
            <w:r>
              <w:rPr>
                <w:rFonts w:cs="Arial"/>
                <w:color w:val="000000"/>
                <w:sz w:val="18"/>
                <w:szCs w:val="18"/>
              </w:rPr>
              <w:t>0.0530</w:t>
            </w:r>
            <w:r w:rsidRPr="007101A0">
              <w:rPr>
                <w:rFonts w:cs="Arial"/>
                <w:color w:val="000000"/>
                <w:sz w:val="18"/>
                <w:szCs w:val="18"/>
              </w:rPr>
              <w:t>)</w:t>
            </w:r>
          </w:p>
        </w:tc>
      </w:tr>
      <w:tr w:rsidR="001B316A" w:rsidRPr="00967AEF" w14:paraId="1BDEF371" w14:textId="77777777" w:rsidTr="00C426BA">
        <w:trPr>
          <w:jc w:val="center"/>
        </w:trPr>
        <w:tc>
          <w:tcPr>
            <w:tcW w:w="460" w:type="dxa"/>
            <w:vMerge w:val="restart"/>
            <w:vAlign w:val="center"/>
          </w:tcPr>
          <w:p w14:paraId="50AC5231" w14:textId="754E7D78" w:rsidR="001B316A" w:rsidRPr="007101A0" w:rsidRDefault="00B94668" w:rsidP="00380542">
            <w:pPr>
              <w:ind w:firstLine="0"/>
              <w:jc w:val="center"/>
              <w:rPr>
                <w:rFonts w:cs="Arial"/>
                <w:sz w:val="20"/>
              </w:rPr>
            </w:pPr>
            <w:r>
              <w:rPr>
                <w:rFonts w:cs="Arial"/>
                <w:sz w:val="20"/>
              </w:rPr>
              <w:t>8</w:t>
            </w:r>
          </w:p>
        </w:tc>
        <w:tc>
          <w:tcPr>
            <w:tcW w:w="1098" w:type="dxa"/>
            <w:vAlign w:val="center"/>
          </w:tcPr>
          <w:p w14:paraId="7DD9F26C" w14:textId="77777777" w:rsidR="001B316A" w:rsidRPr="007101A0" w:rsidRDefault="004F6287" w:rsidP="00380542">
            <w:pPr>
              <w:ind w:firstLine="0"/>
              <w:jc w:val="center"/>
              <w:rPr>
                <w:rFonts w:cs="Arial"/>
                <w:sz w:val="20"/>
              </w:rPr>
            </w:pPr>
            <w:r>
              <w:rPr>
                <w:rFonts w:cs="Arial"/>
                <w:sz w:val="20"/>
              </w:rPr>
              <w:t>FMOLS¹</w:t>
            </w:r>
          </w:p>
        </w:tc>
        <w:tc>
          <w:tcPr>
            <w:tcW w:w="1301" w:type="dxa"/>
            <w:vAlign w:val="center"/>
          </w:tcPr>
          <w:p w14:paraId="2D360429"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w:t>
            </w:r>
            <w:r>
              <w:rPr>
                <w:rFonts w:cs="Arial"/>
                <w:color w:val="000000"/>
                <w:sz w:val="18"/>
                <w:szCs w:val="18"/>
              </w:rPr>
              <w:t>15.361</w:t>
            </w:r>
            <w:r w:rsidRPr="007101A0">
              <w:rPr>
                <w:rFonts w:cs="Arial"/>
                <w:color w:val="000000"/>
                <w:sz w:val="18"/>
                <w:szCs w:val="18"/>
              </w:rPr>
              <w:t>*</w:t>
            </w:r>
          </w:p>
          <w:p w14:paraId="0C4A542B"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w:t>
            </w:r>
            <w:r>
              <w:rPr>
                <w:rFonts w:cs="Arial"/>
                <w:color w:val="000000"/>
                <w:sz w:val="18"/>
                <w:szCs w:val="18"/>
              </w:rPr>
              <w:t>7.9217</w:t>
            </w:r>
            <w:r w:rsidRPr="007101A0">
              <w:rPr>
                <w:rFonts w:cs="Arial"/>
                <w:color w:val="000000"/>
                <w:sz w:val="18"/>
                <w:szCs w:val="18"/>
              </w:rPr>
              <w:t>)</w:t>
            </w:r>
          </w:p>
        </w:tc>
        <w:tc>
          <w:tcPr>
            <w:tcW w:w="1319" w:type="dxa"/>
            <w:vAlign w:val="center"/>
          </w:tcPr>
          <w:p w14:paraId="1A8B9CBC" w14:textId="77777777" w:rsidR="001B316A" w:rsidRPr="007101A0" w:rsidRDefault="001B316A" w:rsidP="00380542">
            <w:pPr>
              <w:ind w:firstLine="0"/>
              <w:jc w:val="center"/>
              <w:rPr>
                <w:rFonts w:cs="Arial"/>
                <w:color w:val="000000"/>
                <w:sz w:val="18"/>
                <w:szCs w:val="18"/>
              </w:rPr>
            </w:pPr>
            <w:r>
              <w:rPr>
                <w:rFonts w:cs="Arial"/>
                <w:color w:val="000000"/>
                <w:sz w:val="18"/>
                <w:szCs w:val="18"/>
              </w:rPr>
              <w:t>1.8410</w:t>
            </w:r>
          </w:p>
          <w:p w14:paraId="7908AB17" w14:textId="77777777" w:rsidR="001B316A" w:rsidRPr="007101A0" w:rsidRDefault="001B316A" w:rsidP="00380542">
            <w:pPr>
              <w:ind w:firstLine="0"/>
              <w:jc w:val="center"/>
              <w:rPr>
                <w:rFonts w:cs="Arial"/>
                <w:sz w:val="18"/>
                <w:szCs w:val="18"/>
              </w:rPr>
            </w:pPr>
            <w:r w:rsidRPr="007101A0">
              <w:rPr>
                <w:rFonts w:cs="Arial"/>
                <w:color w:val="000000"/>
                <w:sz w:val="18"/>
                <w:szCs w:val="18"/>
              </w:rPr>
              <w:t>(1.4672)</w:t>
            </w:r>
          </w:p>
        </w:tc>
        <w:tc>
          <w:tcPr>
            <w:tcW w:w="1276" w:type="dxa"/>
            <w:vAlign w:val="center"/>
          </w:tcPr>
          <w:p w14:paraId="5C98868B"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w:t>
            </w:r>
            <w:r>
              <w:rPr>
                <w:rFonts w:cs="Arial"/>
                <w:color w:val="000000"/>
                <w:sz w:val="18"/>
                <w:szCs w:val="18"/>
              </w:rPr>
              <w:t>0.2313</w:t>
            </w:r>
            <w:r w:rsidRPr="007101A0">
              <w:rPr>
                <w:rFonts w:cs="Arial"/>
                <w:color w:val="000000"/>
                <w:sz w:val="18"/>
                <w:szCs w:val="18"/>
              </w:rPr>
              <w:t>***</w:t>
            </w:r>
          </w:p>
          <w:p w14:paraId="626E5FA1" w14:textId="77777777" w:rsidR="001B316A" w:rsidRPr="007101A0" w:rsidRDefault="001B316A" w:rsidP="00380542">
            <w:pPr>
              <w:ind w:firstLine="0"/>
              <w:jc w:val="center"/>
              <w:rPr>
                <w:rFonts w:cs="Arial"/>
                <w:sz w:val="18"/>
                <w:szCs w:val="18"/>
              </w:rPr>
            </w:pPr>
            <w:r w:rsidRPr="007101A0">
              <w:rPr>
                <w:rFonts w:cs="Arial"/>
                <w:color w:val="000000"/>
                <w:sz w:val="18"/>
                <w:szCs w:val="18"/>
              </w:rPr>
              <w:t>(</w:t>
            </w:r>
            <w:r>
              <w:rPr>
                <w:rFonts w:cs="Arial"/>
                <w:color w:val="000000"/>
                <w:sz w:val="18"/>
                <w:szCs w:val="18"/>
              </w:rPr>
              <w:t>0.0853</w:t>
            </w:r>
            <w:r w:rsidRPr="007101A0">
              <w:rPr>
                <w:rFonts w:cs="Arial"/>
                <w:color w:val="000000"/>
                <w:sz w:val="18"/>
                <w:szCs w:val="18"/>
              </w:rPr>
              <w:t>)</w:t>
            </w:r>
          </w:p>
        </w:tc>
        <w:tc>
          <w:tcPr>
            <w:tcW w:w="1276" w:type="dxa"/>
            <w:vAlign w:val="center"/>
          </w:tcPr>
          <w:p w14:paraId="3F579B39" w14:textId="77777777" w:rsidR="001B316A" w:rsidRPr="007101A0" w:rsidRDefault="001B316A" w:rsidP="00380542">
            <w:pPr>
              <w:ind w:firstLine="0"/>
              <w:jc w:val="center"/>
              <w:rPr>
                <w:rFonts w:cs="Arial"/>
                <w:sz w:val="18"/>
                <w:szCs w:val="18"/>
              </w:rPr>
            </w:pPr>
          </w:p>
        </w:tc>
        <w:tc>
          <w:tcPr>
            <w:tcW w:w="1276" w:type="dxa"/>
            <w:vAlign w:val="center"/>
          </w:tcPr>
          <w:p w14:paraId="1EEABD97" w14:textId="77777777" w:rsidR="001B316A" w:rsidRPr="007101A0" w:rsidRDefault="001B316A" w:rsidP="00380542">
            <w:pPr>
              <w:ind w:firstLine="0"/>
              <w:jc w:val="center"/>
              <w:rPr>
                <w:rFonts w:cs="Arial"/>
                <w:color w:val="000000"/>
                <w:sz w:val="18"/>
                <w:szCs w:val="18"/>
              </w:rPr>
            </w:pPr>
            <w:r>
              <w:rPr>
                <w:rFonts w:cs="Arial"/>
                <w:color w:val="000000"/>
                <w:sz w:val="18"/>
                <w:szCs w:val="18"/>
              </w:rPr>
              <w:t>4.6937</w:t>
            </w:r>
            <w:r w:rsidRPr="007101A0">
              <w:rPr>
                <w:rFonts w:cs="Arial"/>
                <w:color w:val="000000"/>
                <w:sz w:val="18"/>
                <w:szCs w:val="18"/>
              </w:rPr>
              <w:t>***</w:t>
            </w:r>
          </w:p>
          <w:p w14:paraId="2E780234" w14:textId="77777777" w:rsidR="001B316A" w:rsidRPr="007101A0" w:rsidRDefault="001B316A" w:rsidP="00380542">
            <w:pPr>
              <w:ind w:firstLine="0"/>
              <w:jc w:val="center"/>
              <w:rPr>
                <w:rFonts w:cs="Arial"/>
                <w:sz w:val="18"/>
                <w:szCs w:val="18"/>
              </w:rPr>
            </w:pPr>
            <w:r w:rsidRPr="007101A0">
              <w:rPr>
                <w:rFonts w:cs="Arial"/>
                <w:color w:val="000000"/>
                <w:sz w:val="18"/>
                <w:szCs w:val="18"/>
              </w:rPr>
              <w:t>(1.2612)</w:t>
            </w:r>
          </w:p>
        </w:tc>
        <w:tc>
          <w:tcPr>
            <w:tcW w:w="1134" w:type="dxa"/>
            <w:vAlign w:val="center"/>
          </w:tcPr>
          <w:p w14:paraId="4CF94F25"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-0.075</w:t>
            </w:r>
            <w:r>
              <w:rPr>
                <w:rFonts w:cs="Arial"/>
                <w:color w:val="000000"/>
                <w:sz w:val="18"/>
                <w:szCs w:val="18"/>
              </w:rPr>
              <w:t>7</w:t>
            </w:r>
          </w:p>
          <w:p w14:paraId="135E1882" w14:textId="77777777" w:rsidR="001B316A" w:rsidRPr="007101A0" w:rsidRDefault="001B316A" w:rsidP="00380542">
            <w:pPr>
              <w:ind w:firstLine="0"/>
              <w:jc w:val="center"/>
              <w:rPr>
                <w:rFonts w:cs="Arial"/>
                <w:sz w:val="18"/>
                <w:szCs w:val="18"/>
              </w:rPr>
            </w:pPr>
            <w:r w:rsidRPr="007101A0">
              <w:rPr>
                <w:rFonts w:cs="Arial"/>
                <w:color w:val="000000"/>
                <w:sz w:val="18"/>
                <w:szCs w:val="18"/>
              </w:rPr>
              <w:t>(0.0725)</w:t>
            </w:r>
          </w:p>
        </w:tc>
      </w:tr>
      <w:tr w:rsidR="001B316A" w:rsidRPr="00967AEF" w14:paraId="6DE59C85" w14:textId="77777777" w:rsidTr="00C426BA">
        <w:trPr>
          <w:jc w:val="center"/>
        </w:trPr>
        <w:tc>
          <w:tcPr>
            <w:tcW w:w="460" w:type="dxa"/>
            <w:vMerge/>
            <w:vAlign w:val="center"/>
          </w:tcPr>
          <w:p w14:paraId="532E0314" w14:textId="77777777" w:rsidR="001B316A" w:rsidRPr="007101A0" w:rsidRDefault="001B316A" w:rsidP="00380542">
            <w:pPr>
              <w:ind w:firstLine="0"/>
              <w:jc w:val="center"/>
              <w:rPr>
                <w:rFonts w:cs="Arial"/>
                <w:sz w:val="20"/>
              </w:rPr>
            </w:pPr>
          </w:p>
        </w:tc>
        <w:tc>
          <w:tcPr>
            <w:tcW w:w="1098" w:type="dxa"/>
            <w:vAlign w:val="center"/>
          </w:tcPr>
          <w:p w14:paraId="2738E59E" w14:textId="77777777" w:rsidR="001B316A" w:rsidRPr="007101A0" w:rsidRDefault="004F6287" w:rsidP="00380542">
            <w:pPr>
              <w:ind w:firstLine="0"/>
              <w:jc w:val="center"/>
              <w:rPr>
                <w:rFonts w:cs="Arial"/>
                <w:sz w:val="20"/>
              </w:rPr>
            </w:pPr>
            <w:r>
              <w:rPr>
                <w:rFonts w:cs="Arial"/>
                <w:sz w:val="20"/>
              </w:rPr>
              <w:t>DOLS²</w:t>
            </w:r>
          </w:p>
        </w:tc>
        <w:tc>
          <w:tcPr>
            <w:tcW w:w="1301" w:type="dxa"/>
            <w:vAlign w:val="center"/>
          </w:tcPr>
          <w:p w14:paraId="4CCD9F96"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-6.9528</w:t>
            </w:r>
          </w:p>
          <w:p w14:paraId="07701862"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(8.6405)</w:t>
            </w:r>
          </w:p>
        </w:tc>
        <w:tc>
          <w:tcPr>
            <w:tcW w:w="1319" w:type="dxa"/>
            <w:vAlign w:val="center"/>
          </w:tcPr>
          <w:p w14:paraId="726427BD" w14:textId="77777777" w:rsidR="001B316A" w:rsidRPr="007101A0" w:rsidRDefault="001B316A" w:rsidP="00380542">
            <w:pPr>
              <w:ind w:firstLine="0"/>
              <w:jc w:val="center"/>
              <w:rPr>
                <w:rFonts w:cs="Arial"/>
                <w:color w:val="000000"/>
                <w:sz w:val="18"/>
                <w:szCs w:val="18"/>
              </w:rPr>
            </w:pPr>
            <w:r>
              <w:rPr>
                <w:rFonts w:cs="Arial"/>
                <w:color w:val="000000"/>
                <w:sz w:val="18"/>
                <w:szCs w:val="18"/>
              </w:rPr>
              <w:t>0.095</w:t>
            </w:r>
            <w:r w:rsidRPr="007101A0">
              <w:rPr>
                <w:rFonts w:cs="Arial"/>
                <w:color w:val="000000"/>
                <w:sz w:val="18"/>
                <w:szCs w:val="18"/>
              </w:rPr>
              <w:t>8</w:t>
            </w:r>
          </w:p>
          <w:p w14:paraId="07556A16" w14:textId="77777777" w:rsidR="001B316A" w:rsidRPr="007101A0" w:rsidRDefault="001B316A" w:rsidP="00380542">
            <w:pPr>
              <w:ind w:firstLine="0"/>
              <w:jc w:val="center"/>
              <w:rPr>
                <w:rFonts w:cs="Arial"/>
                <w:sz w:val="18"/>
                <w:szCs w:val="18"/>
              </w:rPr>
            </w:pPr>
            <w:r w:rsidRPr="007101A0">
              <w:rPr>
                <w:rFonts w:cs="Arial"/>
                <w:color w:val="000000"/>
                <w:sz w:val="18"/>
                <w:szCs w:val="18"/>
              </w:rPr>
              <w:t>(1.4496)</w:t>
            </w:r>
          </w:p>
        </w:tc>
        <w:tc>
          <w:tcPr>
            <w:tcW w:w="1276" w:type="dxa"/>
            <w:vAlign w:val="center"/>
          </w:tcPr>
          <w:p w14:paraId="72D37B2C"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-0.2262*</w:t>
            </w:r>
          </w:p>
          <w:p w14:paraId="36293521" w14:textId="77777777" w:rsidR="001B316A" w:rsidRPr="007101A0" w:rsidRDefault="001B316A" w:rsidP="00380542">
            <w:pPr>
              <w:ind w:firstLine="0"/>
              <w:jc w:val="center"/>
              <w:rPr>
                <w:rFonts w:cs="Arial"/>
                <w:sz w:val="18"/>
                <w:szCs w:val="18"/>
              </w:rPr>
            </w:pPr>
            <w:r w:rsidRPr="007101A0">
              <w:rPr>
                <w:rFonts w:cs="Arial"/>
                <w:color w:val="000000"/>
                <w:sz w:val="18"/>
                <w:szCs w:val="18"/>
              </w:rPr>
              <w:t>(0.1182)</w:t>
            </w:r>
          </w:p>
        </w:tc>
        <w:tc>
          <w:tcPr>
            <w:tcW w:w="1276" w:type="dxa"/>
            <w:vAlign w:val="center"/>
          </w:tcPr>
          <w:p w14:paraId="65E80D6D" w14:textId="77777777" w:rsidR="001B316A" w:rsidRPr="007101A0" w:rsidRDefault="001B316A" w:rsidP="00380542">
            <w:pPr>
              <w:ind w:firstLine="0"/>
              <w:jc w:val="center"/>
              <w:rPr>
                <w:rFonts w:cs="Arial"/>
                <w:sz w:val="18"/>
                <w:szCs w:val="18"/>
              </w:rPr>
            </w:pPr>
          </w:p>
        </w:tc>
        <w:tc>
          <w:tcPr>
            <w:tcW w:w="1276" w:type="dxa"/>
            <w:vAlign w:val="center"/>
          </w:tcPr>
          <w:p w14:paraId="1257F1A8" w14:textId="77777777" w:rsidR="001B316A" w:rsidRPr="007101A0" w:rsidRDefault="001B316A" w:rsidP="00380542">
            <w:pPr>
              <w:ind w:firstLine="0"/>
              <w:jc w:val="center"/>
              <w:rPr>
                <w:rFonts w:cs="Arial"/>
                <w:color w:val="000000"/>
                <w:sz w:val="18"/>
                <w:szCs w:val="18"/>
              </w:rPr>
            </w:pPr>
            <w:r>
              <w:rPr>
                <w:rFonts w:cs="Arial"/>
                <w:color w:val="000000"/>
                <w:sz w:val="18"/>
                <w:szCs w:val="18"/>
              </w:rPr>
              <w:t>4.8859</w:t>
            </w:r>
            <w:r w:rsidRPr="007101A0">
              <w:rPr>
                <w:rFonts w:cs="Arial"/>
                <w:color w:val="000000"/>
                <w:sz w:val="18"/>
                <w:szCs w:val="18"/>
              </w:rPr>
              <w:t>**</w:t>
            </w:r>
          </w:p>
          <w:p w14:paraId="52DE7274" w14:textId="77777777" w:rsidR="001B316A" w:rsidRPr="007101A0" w:rsidRDefault="001B316A" w:rsidP="00380542">
            <w:pPr>
              <w:ind w:firstLine="0"/>
              <w:jc w:val="center"/>
              <w:rPr>
                <w:rFonts w:cs="Arial"/>
                <w:sz w:val="18"/>
                <w:szCs w:val="18"/>
              </w:rPr>
            </w:pPr>
            <w:r w:rsidRPr="007101A0">
              <w:rPr>
                <w:rFonts w:cs="Arial"/>
                <w:color w:val="000000"/>
                <w:sz w:val="18"/>
                <w:szCs w:val="18"/>
              </w:rPr>
              <w:t>(1.7711)</w:t>
            </w:r>
          </w:p>
        </w:tc>
        <w:tc>
          <w:tcPr>
            <w:tcW w:w="1134" w:type="dxa"/>
            <w:vAlign w:val="center"/>
          </w:tcPr>
          <w:p w14:paraId="3AD99D5D"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0.0127</w:t>
            </w:r>
          </w:p>
          <w:p w14:paraId="4976CEBA" w14:textId="77777777" w:rsidR="001B316A" w:rsidRPr="007101A0" w:rsidRDefault="001B316A" w:rsidP="00380542">
            <w:pPr>
              <w:ind w:firstLine="0"/>
              <w:jc w:val="center"/>
              <w:rPr>
                <w:rFonts w:cs="Arial"/>
                <w:sz w:val="18"/>
                <w:szCs w:val="18"/>
              </w:rPr>
            </w:pPr>
            <w:r w:rsidRPr="007101A0">
              <w:rPr>
                <w:rFonts w:cs="Arial"/>
                <w:color w:val="000000"/>
                <w:sz w:val="18"/>
                <w:szCs w:val="18"/>
              </w:rPr>
              <w:t>(0.0698)</w:t>
            </w:r>
          </w:p>
        </w:tc>
      </w:tr>
      <w:tr w:rsidR="001B316A" w:rsidRPr="00967AEF" w14:paraId="7CC517F5" w14:textId="77777777" w:rsidTr="00C426BA">
        <w:trPr>
          <w:jc w:val="center"/>
        </w:trPr>
        <w:tc>
          <w:tcPr>
            <w:tcW w:w="460" w:type="dxa"/>
            <w:vMerge w:val="restart"/>
            <w:vAlign w:val="center"/>
          </w:tcPr>
          <w:p w14:paraId="1CB28A30" w14:textId="3C5E38A5" w:rsidR="001B316A" w:rsidRPr="007101A0" w:rsidRDefault="00B94668" w:rsidP="00B94668">
            <w:pPr>
              <w:ind w:firstLine="0"/>
              <w:jc w:val="center"/>
              <w:rPr>
                <w:rFonts w:cs="Arial"/>
                <w:sz w:val="20"/>
              </w:rPr>
            </w:pPr>
            <w:r>
              <w:rPr>
                <w:rFonts w:cs="Arial"/>
                <w:sz w:val="20"/>
              </w:rPr>
              <w:t>9</w:t>
            </w:r>
          </w:p>
        </w:tc>
        <w:tc>
          <w:tcPr>
            <w:tcW w:w="1098" w:type="dxa"/>
            <w:vAlign w:val="center"/>
          </w:tcPr>
          <w:p w14:paraId="086C0E43" w14:textId="77777777" w:rsidR="001B316A" w:rsidRPr="007101A0" w:rsidRDefault="004F6287" w:rsidP="00380542">
            <w:pPr>
              <w:ind w:firstLine="0"/>
              <w:jc w:val="center"/>
              <w:rPr>
                <w:rFonts w:cs="Arial"/>
                <w:sz w:val="20"/>
              </w:rPr>
            </w:pPr>
            <w:r>
              <w:rPr>
                <w:rFonts w:cs="Arial"/>
                <w:sz w:val="20"/>
              </w:rPr>
              <w:t>FMOLS¹</w:t>
            </w:r>
          </w:p>
        </w:tc>
        <w:tc>
          <w:tcPr>
            <w:tcW w:w="1301" w:type="dxa"/>
            <w:vAlign w:val="center"/>
          </w:tcPr>
          <w:p w14:paraId="346BC402"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-9.575</w:t>
            </w:r>
            <w:r>
              <w:rPr>
                <w:rFonts w:cs="Arial"/>
                <w:color w:val="000000"/>
                <w:sz w:val="18"/>
                <w:szCs w:val="18"/>
              </w:rPr>
              <w:t>3</w:t>
            </w:r>
            <w:r w:rsidRPr="007101A0">
              <w:rPr>
                <w:rFonts w:cs="Arial"/>
                <w:color w:val="000000"/>
                <w:sz w:val="18"/>
                <w:szCs w:val="18"/>
              </w:rPr>
              <w:t>*</w:t>
            </w:r>
          </w:p>
          <w:p w14:paraId="254B45E3"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(5.2778)</w:t>
            </w:r>
          </w:p>
        </w:tc>
        <w:tc>
          <w:tcPr>
            <w:tcW w:w="1319" w:type="dxa"/>
            <w:vAlign w:val="center"/>
          </w:tcPr>
          <w:p w14:paraId="53C4E20A" w14:textId="77777777" w:rsidR="001B316A" w:rsidRPr="007101A0" w:rsidRDefault="001B316A" w:rsidP="00380542">
            <w:pPr>
              <w:ind w:firstLine="0"/>
              <w:jc w:val="center"/>
              <w:rPr>
                <w:rFonts w:cs="Arial"/>
                <w:color w:val="000000"/>
                <w:sz w:val="18"/>
                <w:szCs w:val="18"/>
              </w:rPr>
            </w:pPr>
            <w:r>
              <w:rPr>
                <w:rFonts w:cs="Arial"/>
                <w:color w:val="000000"/>
                <w:sz w:val="18"/>
                <w:szCs w:val="18"/>
              </w:rPr>
              <w:t>0.9722</w:t>
            </w:r>
          </w:p>
          <w:p w14:paraId="43208BE6" w14:textId="77777777" w:rsidR="001B316A" w:rsidRPr="007101A0" w:rsidRDefault="001B316A" w:rsidP="00380542">
            <w:pPr>
              <w:ind w:firstLine="0"/>
              <w:jc w:val="center"/>
              <w:rPr>
                <w:rFonts w:cs="Arial"/>
                <w:sz w:val="18"/>
                <w:szCs w:val="18"/>
              </w:rPr>
            </w:pPr>
            <w:r w:rsidRPr="007101A0">
              <w:rPr>
                <w:rFonts w:cs="Arial"/>
                <w:color w:val="000000"/>
                <w:sz w:val="18"/>
                <w:szCs w:val="18"/>
              </w:rPr>
              <w:t>(</w:t>
            </w:r>
            <w:r>
              <w:rPr>
                <w:rFonts w:cs="Arial"/>
                <w:color w:val="000000"/>
                <w:sz w:val="18"/>
                <w:szCs w:val="18"/>
              </w:rPr>
              <w:t>0.9780</w:t>
            </w:r>
            <w:r w:rsidRPr="007101A0">
              <w:rPr>
                <w:rFonts w:cs="Arial"/>
                <w:color w:val="000000"/>
                <w:sz w:val="18"/>
                <w:szCs w:val="18"/>
              </w:rPr>
              <w:t>)</w:t>
            </w:r>
          </w:p>
        </w:tc>
        <w:tc>
          <w:tcPr>
            <w:tcW w:w="1276" w:type="dxa"/>
            <w:vAlign w:val="center"/>
          </w:tcPr>
          <w:p w14:paraId="52A3D078"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-0.321</w:t>
            </w:r>
            <w:r>
              <w:rPr>
                <w:rFonts w:cs="Arial"/>
                <w:color w:val="000000"/>
                <w:sz w:val="18"/>
                <w:szCs w:val="18"/>
              </w:rPr>
              <w:t>3</w:t>
            </w:r>
            <w:r w:rsidRPr="007101A0">
              <w:rPr>
                <w:rFonts w:cs="Arial"/>
                <w:color w:val="000000"/>
                <w:sz w:val="18"/>
                <w:szCs w:val="18"/>
              </w:rPr>
              <w:t>***</w:t>
            </w:r>
          </w:p>
          <w:p w14:paraId="7181643B" w14:textId="77777777" w:rsidR="001B316A" w:rsidRPr="007101A0" w:rsidRDefault="001B316A" w:rsidP="00380542">
            <w:pPr>
              <w:ind w:firstLine="0"/>
              <w:jc w:val="center"/>
              <w:rPr>
                <w:rFonts w:cs="Arial"/>
                <w:sz w:val="18"/>
                <w:szCs w:val="18"/>
              </w:rPr>
            </w:pPr>
            <w:r w:rsidRPr="007101A0">
              <w:rPr>
                <w:rFonts w:cs="Arial"/>
                <w:color w:val="000000"/>
                <w:sz w:val="18"/>
                <w:szCs w:val="18"/>
              </w:rPr>
              <w:t>(0.0571)</w:t>
            </w:r>
          </w:p>
        </w:tc>
        <w:tc>
          <w:tcPr>
            <w:tcW w:w="1276" w:type="dxa"/>
            <w:vAlign w:val="center"/>
          </w:tcPr>
          <w:p w14:paraId="0BEF2712" w14:textId="77777777" w:rsidR="001B316A" w:rsidRPr="007101A0" w:rsidRDefault="001B316A" w:rsidP="00380542">
            <w:pPr>
              <w:ind w:firstLine="0"/>
              <w:jc w:val="center"/>
              <w:rPr>
                <w:rFonts w:cs="Arial"/>
                <w:color w:val="000000"/>
                <w:sz w:val="18"/>
                <w:szCs w:val="18"/>
              </w:rPr>
            </w:pPr>
            <w:r>
              <w:rPr>
                <w:rFonts w:cs="Arial"/>
                <w:color w:val="000000"/>
                <w:sz w:val="18"/>
                <w:szCs w:val="18"/>
              </w:rPr>
              <w:t>0.3123</w:t>
            </w:r>
            <w:r w:rsidRPr="007101A0">
              <w:rPr>
                <w:rFonts w:cs="Arial"/>
                <w:color w:val="000000"/>
                <w:sz w:val="18"/>
                <w:szCs w:val="18"/>
              </w:rPr>
              <w:t>***</w:t>
            </w:r>
          </w:p>
          <w:p w14:paraId="70BA85EC" w14:textId="77777777" w:rsidR="001B316A" w:rsidRPr="007101A0" w:rsidRDefault="001B316A" w:rsidP="00380542">
            <w:pPr>
              <w:ind w:firstLine="0"/>
              <w:jc w:val="center"/>
              <w:rPr>
                <w:rFonts w:cs="Arial"/>
                <w:sz w:val="18"/>
                <w:szCs w:val="18"/>
              </w:rPr>
            </w:pPr>
            <w:r w:rsidRPr="007101A0">
              <w:rPr>
                <w:rFonts w:cs="Arial"/>
                <w:color w:val="000000"/>
                <w:sz w:val="18"/>
                <w:szCs w:val="18"/>
              </w:rPr>
              <w:t>(0.0557)</w:t>
            </w:r>
          </w:p>
        </w:tc>
        <w:tc>
          <w:tcPr>
            <w:tcW w:w="1276" w:type="dxa"/>
            <w:vAlign w:val="center"/>
          </w:tcPr>
          <w:p w14:paraId="3EB0AB44" w14:textId="77777777" w:rsidR="001B316A" w:rsidRPr="007101A0" w:rsidRDefault="001B316A" w:rsidP="00380542">
            <w:pPr>
              <w:ind w:firstLine="0"/>
              <w:jc w:val="center"/>
              <w:rPr>
                <w:rFonts w:cs="Arial"/>
                <w:color w:val="000000"/>
                <w:sz w:val="18"/>
                <w:szCs w:val="18"/>
              </w:rPr>
            </w:pPr>
            <w:r>
              <w:rPr>
                <w:rFonts w:cs="Arial"/>
                <w:color w:val="000000"/>
                <w:sz w:val="18"/>
                <w:szCs w:val="18"/>
              </w:rPr>
              <w:t>3.4654</w:t>
            </w:r>
            <w:r w:rsidRPr="007101A0">
              <w:rPr>
                <w:rFonts w:cs="Arial"/>
                <w:color w:val="000000"/>
                <w:sz w:val="18"/>
                <w:szCs w:val="18"/>
              </w:rPr>
              <w:t>***</w:t>
            </w:r>
          </w:p>
          <w:p w14:paraId="1AA72559" w14:textId="77777777" w:rsidR="001B316A" w:rsidRPr="007101A0" w:rsidRDefault="001B316A" w:rsidP="00380542">
            <w:pPr>
              <w:ind w:firstLine="0"/>
              <w:jc w:val="center"/>
              <w:rPr>
                <w:rFonts w:cs="Arial"/>
                <w:sz w:val="18"/>
                <w:szCs w:val="18"/>
              </w:rPr>
            </w:pPr>
            <w:r w:rsidRPr="007101A0">
              <w:rPr>
                <w:rFonts w:cs="Arial"/>
                <w:color w:val="000000"/>
                <w:sz w:val="18"/>
                <w:szCs w:val="18"/>
              </w:rPr>
              <w:t>(0.8400)</w:t>
            </w:r>
          </w:p>
        </w:tc>
        <w:tc>
          <w:tcPr>
            <w:tcW w:w="1134" w:type="dxa"/>
            <w:vAlign w:val="center"/>
          </w:tcPr>
          <w:p w14:paraId="1950926A"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-0.0350</w:t>
            </w:r>
          </w:p>
          <w:p w14:paraId="430DA022" w14:textId="77777777" w:rsidR="001B316A" w:rsidRPr="007101A0" w:rsidRDefault="001B316A" w:rsidP="00380542">
            <w:pPr>
              <w:ind w:firstLine="0"/>
              <w:jc w:val="center"/>
              <w:rPr>
                <w:rFonts w:cs="Arial"/>
                <w:sz w:val="18"/>
                <w:szCs w:val="18"/>
              </w:rPr>
            </w:pPr>
            <w:r w:rsidRPr="007101A0">
              <w:rPr>
                <w:rFonts w:cs="Arial"/>
                <w:color w:val="000000"/>
                <w:sz w:val="18"/>
                <w:szCs w:val="18"/>
              </w:rPr>
              <w:t>(</w:t>
            </w:r>
            <w:r>
              <w:rPr>
                <w:rFonts w:cs="Arial"/>
                <w:color w:val="000000"/>
                <w:sz w:val="18"/>
                <w:szCs w:val="18"/>
              </w:rPr>
              <w:t>0.0484</w:t>
            </w:r>
            <w:r w:rsidRPr="007101A0">
              <w:rPr>
                <w:rFonts w:cs="Arial"/>
                <w:color w:val="000000"/>
                <w:sz w:val="18"/>
                <w:szCs w:val="18"/>
              </w:rPr>
              <w:t>)</w:t>
            </w:r>
          </w:p>
        </w:tc>
      </w:tr>
      <w:tr w:rsidR="001B316A" w:rsidRPr="00967AEF" w14:paraId="171221B8" w14:textId="77777777" w:rsidTr="00C426BA">
        <w:trPr>
          <w:jc w:val="center"/>
        </w:trPr>
        <w:tc>
          <w:tcPr>
            <w:tcW w:w="460" w:type="dxa"/>
            <w:vMerge/>
            <w:vAlign w:val="center"/>
          </w:tcPr>
          <w:p w14:paraId="30350984" w14:textId="77777777" w:rsidR="001B316A" w:rsidRPr="007101A0" w:rsidRDefault="001B316A" w:rsidP="00380542">
            <w:pPr>
              <w:ind w:firstLine="0"/>
              <w:jc w:val="center"/>
              <w:rPr>
                <w:rFonts w:cs="Arial"/>
                <w:sz w:val="20"/>
              </w:rPr>
            </w:pPr>
          </w:p>
        </w:tc>
        <w:tc>
          <w:tcPr>
            <w:tcW w:w="1098" w:type="dxa"/>
            <w:vAlign w:val="center"/>
          </w:tcPr>
          <w:p w14:paraId="7DBADC00" w14:textId="77777777" w:rsidR="001B316A" w:rsidRPr="007101A0" w:rsidRDefault="004F6287" w:rsidP="00380542">
            <w:pPr>
              <w:ind w:firstLine="0"/>
              <w:jc w:val="center"/>
              <w:rPr>
                <w:rFonts w:cs="Arial"/>
                <w:sz w:val="20"/>
              </w:rPr>
            </w:pPr>
            <w:r>
              <w:rPr>
                <w:rFonts w:cs="Arial"/>
                <w:sz w:val="20"/>
              </w:rPr>
              <w:t>DOLS²</w:t>
            </w:r>
          </w:p>
        </w:tc>
        <w:tc>
          <w:tcPr>
            <w:tcW w:w="1301" w:type="dxa"/>
            <w:vAlign w:val="center"/>
          </w:tcPr>
          <w:p w14:paraId="0496DE0B"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-11.9139*</w:t>
            </w:r>
          </w:p>
          <w:p w14:paraId="2AD11128"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(5.9514)</w:t>
            </w:r>
          </w:p>
        </w:tc>
        <w:tc>
          <w:tcPr>
            <w:tcW w:w="1319" w:type="dxa"/>
            <w:vAlign w:val="center"/>
          </w:tcPr>
          <w:p w14:paraId="318BF81C"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1.3923</w:t>
            </w:r>
          </w:p>
          <w:p w14:paraId="61BA1613" w14:textId="77777777" w:rsidR="001B316A" w:rsidRPr="007101A0" w:rsidRDefault="001B316A" w:rsidP="00380542">
            <w:pPr>
              <w:ind w:firstLine="0"/>
              <w:jc w:val="center"/>
              <w:rPr>
                <w:rFonts w:cs="Arial"/>
                <w:sz w:val="18"/>
                <w:szCs w:val="18"/>
              </w:rPr>
            </w:pPr>
            <w:r w:rsidRPr="007101A0">
              <w:rPr>
                <w:rFonts w:cs="Arial"/>
                <w:color w:val="000000"/>
                <w:sz w:val="18"/>
                <w:szCs w:val="18"/>
              </w:rPr>
              <w:t>(1.1059)</w:t>
            </w:r>
          </w:p>
        </w:tc>
        <w:tc>
          <w:tcPr>
            <w:tcW w:w="1276" w:type="dxa"/>
            <w:vAlign w:val="center"/>
          </w:tcPr>
          <w:p w14:paraId="3AEDB0D1"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-0.3685***</w:t>
            </w:r>
          </w:p>
          <w:p w14:paraId="4BA51A91" w14:textId="77777777" w:rsidR="001B316A" w:rsidRPr="007101A0" w:rsidRDefault="001B316A" w:rsidP="00380542">
            <w:pPr>
              <w:ind w:firstLine="0"/>
              <w:jc w:val="center"/>
              <w:rPr>
                <w:rFonts w:cs="Arial"/>
                <w:sz w:val="18"/>
                <w:szCs w:val="18"/>
              </w:rPr>
            </w:pPr>
            <w:r w:rsidRPr="007101A0">
              <w:rPr>
                <w:rFonts w:cs="Arial"/>
                <w:color w:val="000000"/>
                <w:sz w:val="18"/>
                <w:szCs w:val="18"/>
              </w:rPr>
              <w:t>(</w:t>
            </w:r>
            <w:r>
              <w:rPr>
                <w:rFonts w:cs="Arial"/>
                <w:color w:val="000000"/>
                <w:sz w:val="18"/>
                <w:szCs w:val="18"/>
              </w:rPr>
              <w:t>0.0664</w:t>
            </w:r>
            <w:r w:rsidRPr="007101A0">
              <w:rPr>
                <w:rFonts w:cs="Arial"/>
                <w:color w:val="000000"/>
                <w:sz w:val="18"/>
                <w:szCs w:val="18"/>
              </w:rPr>
              <w:t>)</w:t>
            </w:r>
          </w:p>
        </w:tc>
        <w:tc>
          <w:tcPr>
            <w:tcW w:w="1276" w:type="dxa"/>
            <w:vAlign w:val="center"/>
          </w:tcPr>
          <w:p w14:paraId="17F901F2" w14:textId="77777777" w:rsidR="001B316A" w:rsidRPr="007101A0" w:rsidRDefault="001B316A" w:rsidP="00380542">
            <w:pPr>
              <w:ind w:firstLine="0"/>
              <w:jc w:val="center"/>
              <w:rPr>
                <w:rFonts w:cs="Arial"/>
                <w:color w:val="000000"/>
                <w:sz w:val="18"/>
                <w:szCs w:val="18"/>
              </w:rPr>
            </w:pPr>
            <w:r>
              <w:rPr>
                <w:rFonts w:cs="Arial"/>
                <w:color w:val="000000"/>
                <w:sz w:val="18"/>
                <w:szCs w:val="18"/>
              </w:rPr>
              <w:t>0.2508</w:t>
            </w:r>
            <w:r w:rsidRPr="007101A0">
              <w:rPr>
                <w:rFonts w:cs="Arial"/>
                <w:color w:val="000000"/>
                <w:sz w:val="18"/>
                <w:szCs w:val="18"/>
              </w:rPr>
              <w:t>***</w:t>
            </w:r>
          </w:p>
          <w:p w14:paraId="46CC6F84" w14:textId="77777777" w:rsidR="001B316A" w:rsidRPr="007101A0" w:rsidRDefault="001B316A" w:rsidP="00380542">
            <w:pPr>
              <w:ind w:firstLine="0"/>
              <w:jc w:val="center"/>
              <w:rPr>
                <w:rFonts w:cs="Arial"/>
                <w:sz w:val="18"/>
                <w:szCs w:val="18"/>
              </w:rPr>
            </w:pPr>
            <w:r w:rsidRPr="007101A0">
              <w:rPr>
                <w:rFonts w:cs="Arial"/>
                <w:color w:val="000000"/>
                <w:sz w:val="18"/>
                <w:szCs w:val="18"/>
              </w:rPr>
              <w:t>(</w:t>
            </w:r>
            <w:r>
              <w:rPr>
                <w:rFonts w:cs="Arial"/>
                <w:color w:val="000000"/>
                <w:sz w:val="18"/>
                <w:szCs w:val="18"/>
              </w:rPr>
              <w:t>0.06240</w:t>
            </w:r>
            <w:r w:rsidRPr="007101A0">
              <w:rPr>
                <w:rFonts w:cs="Arial"/>
                <w:color w:val="000000"/>
                <w:sz w:val="18"/>
                <w:szCs w:val="18"/>
              </w:rPr>
              <w:t>)</w:t>
            </w:r>
          </w:p>
        </w:tc>
        <w:tc>
          <w:tcPr>
            <w:tcW w:w="1276" w:type="dxa"/>
            <w:vAlign w:val="center"/>
          </w:tcPr>
          <w:p w14:paraId="2BDEE330" w14:textId="77777777" w:rsidR="001B316A" w:rsidRPr="007101A0" w:rsidRDefault="001B316A" w:rsidP="00380542">
            <w:pPr>
              <w:ind w:firstLine="0"/>
              <w:jc w:val="center"/>
              <w:rPr>
                <w:rFonts w:cs="Arial"/>
                <w:color w:val="000000"/>
                <w:sz w:val="18"/>
                <w:szCs w:val="18"/>
              </w:rPr>
            </w:pPr>
            <w:r>
              <w:rPr>
                <w:rFonts w:cs="Arial"/>
                <w:color w:val="000000"/>
                <w:sz w:val="18"/>
                <w:szCs w:val="18"/>
              </w:rPr>
              <w:t>3.6559</w:t>
            </w:r>
            <w:r w:rsidRPr="007101A0">
              <w:rPr>
                <w:rFonts w:cs="Arial"/>
                <w:color w:val="000000"/>
                <w:sz w:val="18"/>
                <w:szCs w:val="18"/>
              </w:rPr>
              <w:t>***</w:t>
            </w:r>
          </w:p>
          <w:p w14:paraId="20BE5FD0" w14:textId="77777777" w:rsidR="001B316A" w:rsidRPr="007101A0" w:rsidRDefault="001B316A" w:rsidP="00380542">
            <w:pPr>
              <w:ind w:firstLine="0"/>
              <w:jc w:val="center"/>
              <w:rPr>
                <w:rFonts w:cs="Arial"/>
                <w:sz w:val="18"/>
                <w:szCs w:val="18"/>
              </w:rPr>
            </w:pPr>
            <w:r w:rsidRPr="007101A0">
              <w:rPr>
                <w:rFonts w:cs="Arial"/>
                <w:color w:val="000000"/>
                <w:sz w:val="18"/>
                <w:szCs w:val="18"/>
              </w:rPr>
              <w:t>(</w:t>
            </w:r>
            <w:r>
              <w:rPr>
                <w:rFonts w:cs="Arial"/>
                <w:color w:val="000000"/>
                <w:sz w:val="18"/>
                <w:szCs w:val="18"/>
              </w:rPr>
              <w:t>0.9046</w:t>
            </w:r>
            <w:r w:rsidRPr="007101A0">
              <w:rPr>
                <w:rFonts w:cs="Arial"/>
                <w:color w:val="000000"/>
                <w:sz w:val="18"/>
                <w:szCs w:val="18"/>
              </w:rPr>
              <w:t>)</w:t>
            </w:r>
          </w:p>
        </w:tc>
        <w:tc>
          <w:tcPr>
            <w:tcW w:w="1134" w:type="dxa"/>
            <w:vAlign w:val="center"/>
          </w:tcPr>
          <w:p w14:paraId="426E6AF4" w14:textId="77777777" w:rsidR="001B316A" w:rsidRPr="007101A0" w:rsidRDefault="001B316A" w:rsidP="00380542">
            <w:pPr>
              <w:ind w:firstLine="0"/>
              <w:jc w:val="center"/>
              <w:rPr>
                <w:rFonts w:cs="Arial"/>
                <w:color w:val="000000"/>
                <w:sz w:val="18"/>
                <w:szCs w:val="18"/>
              </w:rPr>
            </w:pPr>
            <w:r w:rsidRPr="007101A0">
              <w:rPr>
                <w:rFonts w:cs="Arial"/>
                <w:color w:val="000000"/>
                <w:sz w:val="18"/>
                <w:szCs w:val="18"/>
              </w:rPr>
              <w:t>-0.0550</w:t>
            </w:r>
          </w:p>
          <w:p w14:paraId="2109FBEB" w14:textId="77777777" w:rsidR="001B316A" w:rsidRPr="007101A0" w:rsidRDefault="001B316A" w:rsidP="00380542">
            <w:pPr>
              <w:ind w:firstLine="0"/>
              <w:jc w:val="center"/>
              <w:rPr>
                <w:rFonts w:cs="Arial"/>
                <w:sz w:val="18"/>
                <w:szCs w:val="18"/>
              </w:rPr>
            </w:pPr>
            <w:r w:rsidRPr="007101A0">
              <w:rPr>
                <w:rFonts w:cs="Arial"/>
                <w:color w:val="000000"/>
                <w:sz w:val="18"/>
                <w:szCs w:val="18"/>
              </w:rPr>
              <w:t>(0.0547)</w:t>
            </w:r>
          </w:p>
        </w:tc>
      </w:tr>
    </w:tbl>
    <w:p w14:paraId="2DA43DED" w14:textId="77777777" w:rsidR="00F95527" w:rsidRDefault="00F95527" w:rsidP="00F95527">
      <w:pPr>
        <w:pStyle w:val="FONTE0"/>
      </w:pPr>
      <w:r w:rsidRPr="004F6287">
        <w:rPr>
          <w:i/>
        </w:rPr>
        <w:t>¹Weighted</w:t>
      </w:r>
      <w:r w:rsidRPr="00AF2050">
        <w:rPr>
          <w:i/>
        </w:rPr>
        <w:t xml:space="preserve"> </w:t>
      </w:r>
      <w:r w:rsidRPr="004F6287">
        <w:t>FMOLS</w:t>
      </w:r>
    </w:p>
    <w:p w14:paraId="10E87BC7" w14:textId="77777777" w:rsidR="00F95527" w:rsidRPr="004F6287" w:rsidRDefault="00F95527" w:rsidP="00F95527">
      <w:pPr>
        <w:pStyle w:val="FONTE0"/>
      </w:pPr>
      <w:r>
        <w:rPr>
          <w:i/>
        </w:rPr>
        <w:t>²</w:t>
      </w:r>
      <w:r w:rsidRPr="004F6287">
        <w:rPr>
          <w:i/>
        </w:rPr>
        <w:t>Weighted</w:t>
      </w:r>
      <w:r>
        <w:rPr>
          <w:i/>
        </w:rPr>
        <w:t xml:space="preserve"> D</w:t>
      </w:r>
      <w:r w:rsidRPr="00AF2050">
        <w:rPr>
          <w:i/>
        </w:rPr>
        <w:t xml:space="preserve">OLS </w:t>
      </w:r>
      <w:r>
        <w:t xml:space="preserve">com defasagens definidas pelo Critério de Seleção de </w:t>
      </w:r>
      <w:proofErr w:type="spellStart"/>
      <w:r>
        <w:t>Akaike</w:t>
      </w:r>
      <w:proofErr w:type="spellEnd"/>
      <w:r>
        <w:t xml:space="preserve"> (AIC)</w:t>
      </w:r>
    </w:p>
    <w:p w14:paraId="41E12A21" w14:textId="77777777" w:rsidR="001B316A" w:rsidRDefault="001B316A" w:rsidP="001B316A">
      <w:pPr>
        <w:pStyle w:val="FONTE0"/>
      </w:pPr>
      <w:r w:rsidRPr="00967AEF">
        <w:t>*, ** e *** representam significância estatística a 1</w:t>
      </w:r>
      <w:r>
        <w:t>0%, 5% e 1%, respectivamente</w:t>
      </w:r>
    </w:p>
    <w:p w14:paraId="761A0D99" w14:textId="6EA998AB" w:rsidR="001B316A" w:rsidRDefault="001B316A" w:rsidP="001B316A">
      <w:pPr>
        <w:pStyle w:val="FONTE0"/>
      </w:pPr>
      <w:r>
        <w:t>Erro padrão entre parêntesis</w:t>
      </w:r>
    </w:p>
    <w:p w14:paraId="445B1061" w14:textId="77777777" w:rsidR="00115A87" w:rsidRPr="00C91770" w:rsidRDefault="00115A87" w:rsidP="00115A87">
      <w:pPr>
        <w:pStyle w:val="FONTE0"/>
      </w:pPr>
      <w:r>
        <w:t>FONTE</w:t>
      </w:r>
      <w:r w:rsidRPr="00C91770">
        <w:t>: Elaboração própria</w:t>
      </w:r>
    </w:p>
    <w:p w14:paraId="650E5351" w14:textId="77777777" w:rsidR="008A0667" w:rsidRDefault="008A0667" w:rsidP="008A0667">
      <w:r>
        <w:lastRenderedPageBreak/>
        <w:t xml:space="preserve">Ao adicionar o coeficiente cúbico para a renda </w:t>
      </w:r>
      <w:r>
        <w:rPr>
          <w:i/>
        </w:rPr>
        <w:t>per capita</w:t>
      </w:r>
      <w:r>
        <w:t xml:space="preserve">, portanto, todos os coeficientes relacionados à renda </w:t>
      </w:r>
      <w:r>
        <w:rPr>
          <w:i/>
        </w:rPr>
        <w:t>per capita</w:t>
      </w:r>
      <w:r>
        <w:t xml:space="preserve"> perdem significância enquanto as demais permanecem significativas. Os sinais para os coeficientes significativos permanecem inalterados em relação aos modelos anteriores, o que reforça a inferência acima realizada.</w:t>
      </w:r>
    </w:p>
    <w:p w14:paraId="76D7AEBA" w14:textId="07F901B2" w:rsidR="001B316A" w:rsidRDefault="001B316A" w:rsidP="001B316A">
      <w:r>
        <w:t xml:space="preserve">Por fim, considerando todos os modelos apresentados só se encontram evidências da existência da CKA para a região Sudeste quando não se considera a variável de renda externa </w:t>
      </w:r>
      <w:r>
        <w:rPr>
          <w:i/>
        </w:rPr>
        <w:t>per capita</w:t>
      </w:r>
      <w:r>
        <w:t xml:space="preserve">. Ao considerar a variável de renda externa </w:t>
      </w:r>
      <w:r>
        <w:rPr>
          <w:i/>
        </w:rPr>
        <w:t>per capita</w:t>
      </w:r>
      <w:r>
        <w:t xml:space="preserve">, quando são estatisticamente significantes, os coeficientes de nível e quadrático da renda </w:t>
      </w:r>
      <w:r>
        <w:rPr>
          <w:i/>
        </w:rPr>
        <w:t>per capita</w:t>
      </w:r>
      <w:r>
        <w:t xml:space="preserve"> </w:t>
      </w:r>
      <w:r w:rsidR="00A47313">
        <w:t xml:space="preserve">interna </w:t>
      </w:r>
      <w:r>
        <w:t xml:space="preserve">indicam evidências para uma curva no formato de “U” </w:t>
      </w:r>
      <w:r w:rsidR="00C8427C">
        <w:t>em contraposição ao</w:t>
      </w:r>
      <w:r>
        <w:t xml:space="preserve"> “U” invertido. De acordo com os modelos, rejeita-se a hipótese da curva em formato de “N”</w:t>
      </w:r>
      <w:r w:rsidR="00AE5783">
        <w:t>,</w:t>
      </w:r>
      <w:r>
        <w:t xml:space="preserve"> dado que os coeficientes</w:t>
      </w:r>
      <w:r w:rsidR="00AE5783">
        <w:t xml:space="preserve"> do termo cúbico</w:t>
      </w:r>
      <w:r>
        <w:t xml:space="preserve"> não são</w:t>
      </w:r>
      <w:r w:rsidR="009420E1">
        <w:t xml:space="preserve"> estatisticamente significantes.</w:t>
      </w:r>
      <w:r w:rsidR="00A47313">
        <w:t xml:space="preserve"> Destaca-se também o papel relevante da intensidade tecnológica das exportações conjuntamente à renda dos países parceiros. </w:t>
      </w:r>
    </w:p>
    <w:p w14:paraId="04A43C80" w14:textId="6A133362" w:rsidR="00771B4F" w:rsidRDefault="001B316A" w:rsidP="001B316A">
      <w:r>
        <w:t xml:space="preserve">Tendo em vista os resultados apresentados, pode-se acreditar que variáveis de mensuração do comportamento da demanda externa </w:t>
      </w:r>
      <w:r w:rsidR="0004551F">
        <w:t xml:space="preserve">e da composição da pauta exportadora </w:t>
      </w:r>
      <w:r>
        <w:t>sejam relevantes para a análise da degradação ambiental para a região Sudeste</w:t>
      </w:r>
      <w:r w:rsidR="00D6666C">
        <w:t xml:space="preserve"> brasileira</w:t>
      </w:r>
      <w:r>
        <w:t xml:space="preserve">. </w:t>
      </w:r>
      <w:r w:rsidR="004F1CE5">
        <w:t xml:space="preserve">É preciso ponderar, portanto, </w:t>
      </w:r>
      <w:r w:rsidR="0010269B">
        <w:t xml:space="preserve">acerca </w:t>
      </w:r>
      <w:r w:rsidR="003820BE">
        <w:t>das políticas de incentivo à exportação e industrializaç</w:t>
      </w:r>
      <w:r w:rsidR="009D2E7B">
        <w:t>ão</w:t>
      </w:r>
      <w:r w:rsidR="00103CCF">
        <w:t xml:space="preserve"> </w:t>
      </w:r>
      <w:r w:rsidR="009D2E7B">
        <w:t>p</w:t>
      </w:r>
      <w:r w:rsidR="004257B5">
        <w:t xml:space="preserve">ara atingir o objetivo </w:t>
      </w:r>
      <w:r w:rsidR="003C662B">
        <w:t xml:space="preserve">da redução das emissões de GEE </w:t>
      </w:r>
      <w:r w:rsidR="002506A4">
        <w:t xml:space="preserve">especificamente </w:t>
      </w:r>
      <w:r w:rsidR="0091680F">
        <w:t>originadas</w:t>
      </w:r>
      <w:r w:rsidR="003C662B">
        <w:t xml:space="preserve"> </w:t>
      </w:r>
      <w:r w:rsidR="0091680F">
        <w:t>n</w:t>
      </w:r>
      <w:r w:rsidR="003C662B">
        <w:t>a regi</w:t>
      </w:r>
      <w:r w:rsidR="009D2E7B">
        <w:t>ão S</w:t>
      </w:r>
      <w:r w:rsidR="00003789">
        <w:t xml:space="preserve">udeste. </w:t>
      </w:r>
    </w:p>
    <w:p w14:paraId="4B571001" w14:textId="1C4992F0" w:rsidR="008815DA" w:rsidRDefault="00103CCF" w:rsidP="001B316A">
      <w:r>
        <w:t xml:space="preserve">Considerando o crescimento expressivo das emissões relativas da região, </w:t>
      </w:r>
      <w:r w:rsidR="008417CC">
        <w:t>exi</w:t>
      </w:r>
      <w:r w:rsidR="001B316A">
        <w:t xml:space="preserve">stem indícios de que seja </w:t>
      </w:r>
      <w:r w:rsidR="00771B4F">
        <w:t>fundamental</w:t>
      </w:r>
      <w:r w:rsidR="001B316A">
        <w:t xml:space="preserve"> ponderar acerca das especificidades </w:t>
      </w:r>
      <w:r w:rsidR="008417CC">
        <w:t>do</w:t>
      </w:r>
      <w:r w:rsidR="001B316A">
        <w:t xml:space="preserve"> desenvolvimento regional para inferir sobre as relações de longo prazo entre a degradação ambiental e o crescimento econômico.</w:t>
      </w:r>
      <w:r w:rsidR="00A64D59">
        <w:t xml:space="preserve"> </w:t>
      </w:r>
      <w:r w:rsidR="008815DA">
        <w:t>Pesquisas que se disponham a analisar tais característica</w:t>
      </w:r>
      <w:r w:rsidR="009D5995">
        <w:t>s</w:t>
      </w:r>
      <w:r w:rsidR="008815DA">
        <w:t xml:space="preserve"> regionais se mostram, em vista disso, fundamentais para o êxito nacional em reduzir o nível das emissões</w:t>
      </w:r>
      <w:r w:rsidR="00A64D59">
        <w:t xml:space="preserve"> de GEE</w:t>
      </w:r>
      <w:r w:rsidR="008815DA">
        <w:t xml:space="preserve"> </w:t>
      </w:r>
      <w:r w:rsidR="009D5995">
        <w:t>em</w:t>
      </w:r>
      <w:r w:rsidR="008815DA">
        <w:t xml:space="preserve"> n</w:t>
      </w:r>
      <w:r w:rsidR="00A64D59">
        <w:t>ível nacional no longo prazo</w:t>
      </w:r>
      <w:r w:rsidR="009D5995">
        <w:t>,</w:t>
      </w:r>
      <w:r w:rsidR="00A64D59">
        <w:t xml:space="preserve"> como também </w:t>
      </w:r>
      <w:r w:rsidR="009D5995">
        <w:t>apontado por</w:t>
      </w:r>
      <w:r w:rsidR="00A64D59">
        <w:t xml:space="preserve"> </w:t>
      </w:r>
      <w:proofErr w:type="spellStart"/>
      <w:r w:rsidR="00A64D59">
        <w:t>Monzoni</w:t>
      </w:r>
      <w:proofErr w:type="spellEnd"/>
      <w:r w:rsidR="00A64D59">
        <w:t xml:space="preserve"> (2016) e Pasqual (2016).</w:t>
      </w:r>
    </w:p>
    <w:p w14:paraId="660DC8B5" w14:textId="77777777" w:rsidR="00A64D59" w:rsidRDefault="00A64D59" w:rsidP="00A64D59">
      <w:pPr>
        <w:ind w:firstLine="0"/>
      </w:pPr>
    </w:p>
    <w:p w14:paraId="39D9B97F" w14:textId="7CA5934F" w:rsidR="001B316A" w:rsidRDefault="001B316A" w:rsidP="00202D22">
      <w:pPr>
        <w:pStyle w:val="Ttulo1"/>
        <w:numPr>
          <w:ilvl w:val="0"/>
          <w:numId w:val="8"/>
        </w:numPr>
      </w:pPr>
      <w:r>
        <w:t>Conclusões</w:t>
      </w:r>
    </w:p>
    <w:p w14:paraId="70AE0CA2" w14:textId="74360875" w:rsidR="001B316A" w:rsidRDefault="00B86B80" w:rsidP="001B316A">
      <w:r>
        <w:t xml:space="preserve">O presente trabalho </w:t>
      </w:r>
      <w:r w:rsidR="009D5995">
        <w:t>avaliou</w:t>
      </w:r>
      <w:r w:rsidR="00B56E5D">
        <w:t xml:space="preserve"> as caracter</w:t>
      </w:r>
      <w:r w:rsidR="00B8240A">
        <w:t xml:space="preserve">ísticas determinantes </w:t>
      </w:r>
      <w:r w:rsidR="007170CB">
        <w:t>das</w:t>
      </w:r>
      <w:r w:rsidR="00B8240A">
        <w:t xml:space="preserve"> emissões de GEE da região Sudeste. </w:t>
      </w:r>
      <w:r w:rsidR="008657FD">
        <w:t xml:space="preserve">Verificou, para tanto, que as suposições </w:t>
      </w:r>
      <w:r w:rsidR="00FC6F7A">
        <w:t xml:space="preserve">acerca </w:t>
      </w:r>
      <w:r w:rsidR="009D1102">
        <w:t>do impacto</w:t>
      </w:r>
      <w:r w:rsidR="00FC6F7A">
        <w:t xml:space="preserve"> das</w:t>
      </w:r>
      <w:r w:rsidR="008657FD">
        <w:t xml:space="preserve"> exportações de baixa intensidade tecnológica </w:t>
      </w:r>
      <w:r w:rsidR="009D1102">
        <w:t>nas</w:t>
      </w:r>
      <w:r w:rsidR="008657FD">
        <w:t xml:space="preserve"> emissões da região se mostraram verdadeiras. </w:t>
      </w:r>
      <w:r w:rsidR="00FC6F7A">
        <w:t xml:space="preserve">Sobretudo, destaca-se na região o comportamento do estado de Minas Gerais, responsável pela </w:t>
      </w:r>
      <w:r w:rsidR="00F95019">
        <w:t>maior parcela das emissões da região em todo o período, bem como</w:t>
      </w:r>
      <w:r w:rsidR="00EA3B56">
        <w:t xml:space="preserve"> de maior intensidade poluidora por real de PIB.</w:t>
      </w:r>
    </w:p>
    <w:p w14:paraId="60279856" w14:textId="345AC0F1" w:rsidR="001B316A" w:rsidRDefault="00FB68A1" w:rsidP="001B316A">
      <w:r>
        <w:t>As</w:t>
      </w:r>
      <w:r w:rsidR="001B316A">
        <w:t xml:space="preserve"> estimações realizadas </w:t>
      </w:r>
      <w:r w:rsidR="009C2D9A">
        <w:t>apresentaram</w:t>
      </w:r>
      <w:r w:rsidR="001B316A">
        <w:t xml:space="preserve"> evidências sobre a relação de longo prazo entre as emissões de GEE, crescimento econômico, densidade populacional, renda externa e fator de baixa intensidade tecnológica das exportações.</w:t>
      </w:r>
      <w:r w:rsidR="00C738AD">
        <w:t xml:space="preserve"> </w:t>
      </w:r>
      <w:r w:rsidR="009E2630">
        <w:t>Foram encontrado</w:t>
      </w:r>
      <w:r w:rsidR="001B316A">
        <w:t xml:space="preserve">s </w:t>
      </w:r>
      <w:r w:rsidR="009E2630">
        <w:t>indícios</w:t>
      </w:r>
      <w:r w:rsidR="001B316A">
        <w:t xml:space="preserve"> estatisticamente significantes tanto de que as exportações são relevantes para a explicação das emissões da região</w:t>
      </w:r>
      <w:r w:rsidR="00606ABB">
        <w:t>,</w:t>
      </w:r>
      <w:r w:rsidR="001B316A">
        <w:t xml:space="preserve"> quanto de que o fator de baixa intensidade tecnológica deve ser considerado. A densidade populacional apresentou comportamento contrário ao inicialmente esperado</w:t>
      </w:r>
      <w:r w:rsidR="00606ABB">
        <w:t xml:space="preserve">. Este resultado </w:t>
      </w:r>
      <w:r w:rsidR="00012076">
        <w:t>demonstra</w:t>
      </w:r>
      <w:r w:rsidR="00606ABB">
        <w:t>, contudo,</w:t>
      </w:r>
      <w:r w:rsidR="001B316A">
        <w:t xml:space="preserve"> a </w:t>
      </w:r>
      <w:r w:rsidR="0096354E">
        <w:t>especificidade da composição da produção em</w:t>
      </w:r>
      <w:r w:rsidR="00012076">
        <w:t xml:space="preserve"> regiões com grande abund</w:t>
      </w:r>
      <w:r w:rsidR="0096354E">
        <w:t>ância de terras</w:t>
      </w:r>
      <w:r w:rsidR="001B316A">
        <w:t>.</w:t>
      </w:r>
    </w:p>
    <w:p w14:paraId="7196A83D" w14:textId="5AACE2DE" w:rsidR="00A95471" w:rsidRDefault="001B316A" w:rsidP="001B316A">
      <w:r>
        <w:t>Embora em alguns modelos se verifique a existência de uma CKA para a região, a renda externa se mostra variável relevante para análise e quando adicionada ao modelo não existem indícios da CKA. Assim como os resultados não corroboram a existência de uma curva em formato de “N”.</w:t>
      </w:r>
      <w:r w:rsidR="002D3DBC">
        <w:t xml:space="preserve"> </w:t>
      </w:r>
      <w:r w:rsidR="004E6C1F">
        <w:t>O desvio das emissões do SE em relação às emissões de nível nacional reforça a necessidade de políticas públicas regionais voltadas à redução das emissões de GEE. Especificamente para o SE, a importância do nível tecnológico das exportações sugere ações voltadas ao a</w:t>
      </w:r>
      <w:r w:rsidR="00071220">
        <w:t>densamento da pauta exportadora e à inovação industrial.</w:t>
      </w:r>
      <w:r w:rsidR="00A95471">
        <w:t xml:space="preserve"> </w:t>
      </w:r>
      <w:r w:rsidR="00507F05">
        <w:t xml:space="preserve">As elevadas taxas de desmatamento </w:t>
      </w:r>
      <w:r w:rsidR="00FA4124">
        <w:t>em MG se mostram substanciais para as emissõe</w:t>
      </w:r>
      <w:r w:rsidR="00BA4D3D">
        <w:t xml:space="preserve">s do estado e impactam fortemente as emissões totais </w:t>
      </w:r>
      <w:r w:rsidR="00F02768">
        <w:t>do SE</w:t>
      </w:r>
      <w:r w:rsidR="00CB5954">
        <w:t>, contudo, se mostram mínimas nos demais estados da região.</w:t>
      </w:r>
      <w:r w:rsidR="00500559">
        <w:t xml:space="preserve"> </w:t>
      </w:r>
      <w:r w:rsidR="00492F7C">
        <w:t xml:space="preserve">Portanto, </w:t>
      </w:r>
      <w:r w:rsidR="00500559">
        <w:t>as composições heterogêneas das emissões por estado da região indicam a necessidade urgente de um olhar cuidadoso a respeito das emissões do setor de Mudanças do Uso da Terra do estado de MG</w:t>
      </w:r>
      <w:r w:rsidR="00492F7C">
        <w:t>.</w:t>
      </w:r>
    </w:p>
    <w:p w14:paraId="633F8DE0" w14:textId="71122334" w:rsidR="00B17767" w:rsidRDefault="00B17767">
      <w:pPr>
        <w:spacing w:after="160" w:line="259" w:lineRule="auto"/>
        <w:ind w:firstLine="0"/>
        <w:jc w:val="left"/>
      </w:pPr>
    </w:p>
    <w:p w14:paraId="1832C170" w14:textId="77777777" w:rsidR="00897E8C" w:rsidRDefault="00897E8C" w:rsidP="00202D22">
      <w:pPr>
        <w:pStyle w:val="Ttulo1"/>
        <w:ind w:firstLine="708"/>
      </w:pPr>
      <w:r>
        <w:t>REFER</w:t>
      </w:r>
      <w:r w:rsidR="000E104F">
        <w:t>ê</w:t>
      </w:r>
      <w:r>
        <w:t>NCIAs</w:t>
      </w:r>
    </w:p>
    <w:p w14:paraId="6E33B136" w14:textId="77777777" w:rsidR="00897E8C" w:rsidRDefault="00897E8C" w:rsidP="00897E8C">
      <w:pPr>
        <w:ind w:firstLine="420"/>
      </w:pPr>
    </w:p>
    <w:p w14:paraId="5022686A" w14:textId="77777777" w:rsidR="00871CC0" w:rsidRPr="00AD1BD0" w:rsidRDefault="00871CC0" w:rsidP="00BF5147">
      <w:pPr>
        <w:ind w:left="284" w:hanging="284"/>
      </w:pPr>
      <w:r w:rsidRPr="00AD1BD0">
        <w:rPr>
          <w:rFonts w:cs="Arial"/>
        </w:rPr>
        <w:t xml:space="preserve">ARRAES, R. A.; DINIZ, M. B.; DINIZ, M. J. T.: “Curva Ambiental de Kuznets e o Desenvolvimento Econômico Sustentável”. </w:t>
      </w:r>
      <w:r w:rsidRPr="005F237F">
        <w:rPr>
          <w:rFonts w:cs="Arial"/>
          <w:b/>
        </w:rPr>
        <w:t>Rev. Econ. Sociol. Rural</w:t>
      </w:r>
      <w:r w:rsidRPr="00AD1BD0">
        <w:rPr>
          <w:rFonts w:cs="Arial"/>
        </w:rPr>
        <w:t>, Rio de Jane</w:t>
      </w:r>
      <w:r>
        <w:rPr>
          <w:rFonts w:cs="Arial"/>
        </w:rPr>
        <w:t>iro, v. 44, n.</w:t>
      </w:r>
      <w:r w:rsidRPr="00AD1BD0">
        <w:rPr>
          <w:rFonts w:cs="Arial"/>
        </w:rPr>
        <w:t xml:space="preserve"> 03, p. 525-547, 2006</w:t>
      </w:r>
      <w:r>
        <w:rPr>
          <w:rFonts w:cs="Arial"/>
        </w:rPr>
        <w:t xml:space="preserve">. </w:t>
      </w:r>
      <w:r>
        <w:rPr>
          <w:rFonts w:cs="Arial"/>
          <w:noProof/>
        </w:rPr>
        <w:lastRenderedPageBreak/>
        <w:t>Disponível em: &lt;</w:t>
      </w:r>
      <w:r w:rsidRPr="003B68ED">
        <w:rPr>
          <w:rFonts w:cs="Arial"/>
          <w:noProof/>
        </w:rPr>
        <w:t>http://www.scielo.br/scielo.php?pid=S0103-20032006000300008&amp;script=sci_arttext</w:t>
      </w:r>
      <w:r w:rsidRPr="00AD1BD0">
        <w:rPr>
          <w:rFonts w:cs="Arial"/>
          <w:noProof/>
        </w:rPr>
        <w:t xml:space="preserve">&gt; Acesso em </w:t>
      </w:r>
      <w:r>
        <w:rPr>
          <w:rFonts w:cs="Arial"/>
          <w:noProof/>
        </w:rPr>
        <w:t>Março de 2018</w:t>
      </w:r>
    </w:p>
    <w:p w14:paraId="530C97D4" w14:textId="77777777" w:rsidR="00871CC0" w:rsidRPr="00AD1BD0" w:rsidRDefault="00871CC0" w:rsidP="00BF5147">
      <w:pPr>
        <w:ind w:left="284" w:hanging="284"/>
        <w:rPr>
          <w:rFonts w:cs="Arial"/>
          <w:szCs w:val="24"/>
        </w:rPr>
      </w:pPr>
      <w:r w:rsidRPr="00AD1BD0">
        <w:rPr>
          <w:rFonts w:cs="Arial"/>
          <w:szCs w:val="24"/>
        </w:rPr>
        <w:t xml:space="preserve">ÁVILA, E. S. de; DINIZ, E. M. Evidências sobre curva ambiental de Kuznets e convergência das emissões. </w:t>
      </w:r>
      <w:r>
        <w:rPr>
          <w:rFonts w:cs="Arial"/>
          <w:b/>
          <w:szCs w:val="24"/>
        </w:rPr>
        <w:t>Estud.</w:t>
      </w:r>
      <w:r w:rsidRPr="00AD1BD0">
        <w:rPr>
          <w:rFonts w:cs="Arial"/>
          <w:b/>
          <w:szCs w:val="24"/>
        </w:rPr>
        <w:t xml:space="preserve"> </w:t>
      </w:r>
      <w:r>
        <w:rPr>
          <w:rFonts w:cs="Arial"/>
          <w:b/>
          <w:szCs w:val="24"/>
        </w:rPr>
        <w:t>Econ.</w:t>
      </w:r>
      <w:r>
        <w:rPr>
          <w:rFonts w:cs="Arial"/>
          <w:szCs w:val="24"/>
        </w:rPr>
        <w:t>,</w:t>
      </w:r>
      <w:r w:rsidRPr="00AD1BD0">
        <w:rPr>
          <w:rFonts w:cs="Arial"/>
          <w:szCs w:val="24"/>
        </w:rPr>
        <w:t xml:space="preserve"> São Paulo, v. 45, n. 1, p. 97-126, 2015.</w:t>
      </w:r>
      <w:r>
        <w:rPr>
          <w:rFonts w:cs="Arial"/>
          <w:szCs w:val="24"/>
        </w:rPr>
        <w:t xml:space="preserve"> </w:t>
      </w:r>
      <w:r>
        <w:rPr>
          <w:rFonts w:cs="Arial"/>
          <w:noProof/>
        </w:rPr>
        <w:t>Disponível em: &lt;</w:t>
      </w:r>
      <w:r w:rsidRPr="001A0F3A">
        <w:rPr>
          <w:rFonts w:cs="Arial"/>
          <w:noProof/>
        </w:rPr>
        <w:t>http://www.scielo.br/scielo.php?pid=S0101-41612015000100097&amp;script=sci_arttext</w:t>
      </w:r>
      <w:r w:rsidRPr="00AD1BD0">
        <w:rPr>
          <w:rFonts w:cs="Arial"/>
          <w:noProof/>
        </w:rPr>
        <w:t xml:space="preserve">&gt; Acesso em </w:t>
      </w:r>
      <w:r>
        <w:rPr>
          <w:rFonts w:cs="Arial"/>
          <w:noProof/>
        </w:rPr>
        <w:t>Abril de 2018</w:t>
      </w:r>
    </w:p>
    <w:p w14:paraId="25297A62" w14:textId="63BA7144" w:rsidR="00871CC0" w:rsidRDefault="00871CC0" w:rsidP="00BF5147">
      <w:pPr>
        <w:ind w:left="284" w:hanging="284"/>
        <w:rPr>
          <w:rFonts w:cs="Arial"/>
          <w:color w:val="222222"/>
          <w:szCs w:val="24"/>
          <w:shd w:val="clear" w:color="auto" w:fill="FFFFFF"/>
          <w:lang w:val="en-US"/>
        </w:rPr>
      </w:pPr>
      <w:r w:rsidRPr="00E72789">
        <w:rPr>
          <w:rFonts w:cs="Arial"/>
          <w:color w:val="222222"/>
          <w:szCs w:val="24"/>
          <w:shd w:val="clear" w:color="auto" w:fill="FFFFFF"/>
          <w:lang w:val="en-US"/>
        </w:rPr>
        <w:t>BALTAGI, B. H. </w:t>
      </w:r>
      <w:r w:rsidRPr="00E72789">
        <w:rPr>
          <w:rFonts w:cs="Arial"/>
          <w:b/>
          <w:bCs/>
          <w:color w:val="222222"/>
          <w:szCs w:val="24"/>
          <w:shd w:val="clear" w:color="auto" w:fill="FFFFFF"/>
          <w:lang w:val="en-US"/>
        </w:rPr>
        <w:t>Econometric analysis of panel data</w:t>
      </w:r>
      <w:r w:rsidRPr="00E72789">
        <w:rPr>
          <w:rFonts w:cs="Arial"/>
          <w:color w:val="222222"/>
          <w:szCs w:val="24"/>
          <w:shd w:val="clear" w:color="auto" w:fill="FFFFFF"/>
          <w:lang w:val="en-US"/>
        </w:rPr>
        <w:t xml:space="preserve">. </w:t>
      </w:r>
      <w:r w:rsidRPr="00AD1BD0">
        <w:rPr>
          <w:rFonts w:cs="Arial"/>
          <w:color w:val="222222"/>
          <w:szCs w:val="24"/>
          <w:shd w:val="clear" w:color="auto" w:fill="FFFFFF"/>
          <w:lang w:val="en-US"/>
        </w:rPr>
        <w:t xml:space="preserve">3ª </w:t>
      </w:r>
      <w:proofErr w:type="spellStart"/>
      <w:r w:rsidRPr="00AD1BD0">
        <w:rPr>
          <w:rFonts w:cs="Arial"/>
          <w:color w:val="222222"/>
          <w:szCs w:val="24"/>
          <w:shd w:val="clear" w:color="auto" w:fill="FFFFFF"/>
          <w:lang w:val="en-US"/>
        </w:rPr>
        <w:t>edição</w:t>
      </w:r>
      <w:proofErr w:type="spellEnd"/>
      <w:r w:rsidRPr="00AD1BD0">
        <w:rPr>
          <w:rFonts w:cs="Arial"/>
          <w:color w:val="222222"/>
          <w:szCs w:val="24"/>
          <w:shd w:val="clear" w:color="auto" w:fill="FFFFFF"/>
          <w:lang w:val="en-US"/>
        </w:rPr>
        <w:t>. West Sussex: John Wiley &amp; Sons, 2005.</w:t>
      </w:r>
    </w:p>
    <w:p w14:paraId="4BAB29DA" w14:textId="77777777" w:rsidR="000441D3" w:rsidRPr="006A1857" w:rsidRDefault="000441D3" w:rsidP="000441D3">
      <w:pPr>
        <w:spacing w:line="259" w:lineRule="auto"/>
        <w:ind w:left="284" w:hanging="284"/>
        <w:jc w:val="left"/>
        <w:rPr>
          <w:rFonts w:cs="Arial"/>
          <w:noProof/>
        </w:rPr>
      </w:pPr>
      <w:r w:rsidRPr="006A1857">
        <w:rPr>
          <w:lang w:val="en-US"/>
        </w:rPr>
        <w:t xml:space="preserve">BANCO MUNDIAL. World Development Indicators (WDI), </w:t>
      </w:r>
      <w:r w:rsidRPr="006A1857">
        <w:rPr>
          <w:b/>
          <w:lang w:val="en-US"/>
        </w:rPr>
        <w:t>GDP (constant 2010 US$)</w:t>
      </w:r>
      <w:r w:rsidRPr="006A1857">
        <w:rPr>
          <w:lang w:val="en-US"/>
        </w:rPr>
        <w:t xml:space="preserve">. 2018a. </w:t>
      </w:r>
      <w:r w:rsidRPr="006A1857">
        <w:t xml:space="preserve">Disponível em &lt; https://data.worldbank.org/indicator/NY.GDP.MKTP.KD&gt; </w:t>
      </w:r>
      <w:r w:rsidRPr="006A1857">
        <w:rPr>
          <w:rFonts w:cs="Arial"/>
          <w:noProof/>
        </w:rPr>
        <w:t>Acesso em abril de 2018</w:t>
      </w:r>
    </w:p>
    <w:p w14:paraId="0071726E" w14:textId="637ED65F" w:rsidR="000441D3" w:rsidRPr="006A1857" w:rsidRDefault="000441D3" w:rsidP="000441D3">
      <w:pPr>
        <w:spacing w:line="259" w:lineRule="auto"/>
        <w:ind w:left="284" w:hanging="284"/>
        <w:jc w:val="left"/>
      </w:pPr>
      <w:r w:rsidRPr="006A1857">
        <w:rPr>
          <w:lang w:val="en-US"/>
        </w:rPr>
        <w:t xml:space="preserve">_____. World Development Indicators (WDI), </w:t>
      </w:r>
      <w:r w:rsidRPr="006A1857">
        <w:rPr>
          <w:b/>
          <w:lang w:val="en-US"/>
        </w:rPr>
        <w:t>Population, total</w:t>
      </w:r>
      <w:r w:rsidRPr="006A1857">
        <w:rPr>
          <w:lang w:val="en-US"/>
        </w:rPr>
        <w:t xml:space="preserve">. </w:t>
      </w:r>
      <w:r w:rsidRPr="006A1857">
        <w:t>2018b. Disponível em &lt; https://data.worldbank.org/indicator/SP.POP.TOTL&gt; Acesso em abril de 2018</w:t>
      </w:r>
    </w:p>
    <w:p w14:paraId="4348B753" w14:textId="77777777" w:rsidR="00252959" w:rsidRPr="00AD1BD0" w:rsidRDefault="00871CC0" w:rsidP="00BF5147">
      <w:pPr>
        <w:ind w:left="284" w:hanging="284"/>
      </w:pPr>
      <w:r>
        <w:rPr>
          <w:noProof/>
        </w:rPr>
        <w:t xml:space="preserve">BRASIL. </w:t>
      </w:r>
      <w:r w:rsidR="00252959" w:rsidRPr="00AD1BD0">
        <w:t xml:space="preserve">Ministério da Ciência, Tecnologia e Inovação. </w:t>
      </w:r>
      <w:r w:rsidR="00252959" w:rsidRPr="00AD1BD0">
        <w:rPr>
          <w:b/>
        </w:rPr>
        <w:t>Estimativas Anuais de Emissão de Gases de Efeito Estufa</w:t>
      </w:r>
      <w:r w:rsidR="00252959" w:rsidRPr="00AD1BD0">
        <w:t>. 2ª edição, Brasília, DF, 2014. 190 p</w:t>
      </w:r>
      <w:r w:rsidR="00252959">
        <w:t xml:space="preserve">. </w:t>
      </w:r>
      <w:r w:rsidR="00252959" w:rsidRPr="00AD1BD0">
        <w:rPr>
          <w:rFonts w:cs="Arial"/>
          <w:noProof/>
        </w:rPr>
        <w:t xml:space="preserve">Disponível em: &lt;http://sirene.mcti.gov.br/documents/1686653/1706227/Estimativasd.pdf/0abe2683-e0a8-4563-b2cb-4c5cc536c336&gt; Acesso em </w:t>
      </w:r>
      <w:r w:rsidR="00252959">
        <w:rPr>
          <w:rFonts w:cs="Arial"/>
          <w:noProof/>
        </w:rPr>
        <w:t>outubro</w:t>
      </w:r>
      <w:r w:rsidR="00252959" w:rsidRPr="00AD1BD0">
        <w:rPr>
          <w:rFonts w:cs="Arial"/>
          <w:noProof/>
        </w:rPr>
        <w:t xml:space="preserve"> de 2017</w:t>
      </w:r>
    </w:p>
    <w:p w14:paraId="57ADCE0E" w14:textId="5CB699F0" w:rsidR="00252959" w:rsidRDefault="00871CC0" w:rsidP="00BF5147">
      <w:pPr>
        <w:ind w:left="284" w:hanging="284"/>
        <w:rPr>
          <w:rFonts w:cs="Arial"/>
          <w:noProof/>
        </w:rPr>
      </w:pPr>
      <w:r>
        <w:t>___</w:t>
      </w:r>
      <w:r w:rsidR="00252959">
        <w:t>_</w:t>
      </w:r>
      <w:r>
        <w:t>__</w:t>
      </w:r>
      <w:r w:rsidRPr="00AD1BD0">
        <w:t xml:space="preserve">. </w:t>
      </w:r>
      <w:r w:rsidR="00252959">
        <w:rPr>
          <w:b/>
          <w:bCs/>
          <w:noProof/>
        </w:rPr>
        <w:t>PRETENDIDA CONTRIBUIÇÃO NACIONALMENTE DETERMINADA</w:t>
      </w:r>
      <w:r w:rsidR="00252959">
        <w:rPr>
          <w:noProof/>
        </w:rPr>
        <w:t xml:space="preserve">. 2015. </w:t>
      </w:r>
      <w:r w:rsidR="00252959">
        <w:rPr>
          <w:rFonts w:cs="Arial"/>
          <w:noProof/>
        </w:rPr>
        <w:t>Disponível em: &lt;</w:t>
      </w:r>
      <w:r w:rsidR="00252959" w:rsidRPr="00255138">
        <w:t xml:space="preserve"> </w:t>
      </w:r>
      <w:r w:rsidR="00252959" w:rsidRPr="00255138">
        <w:rPr>
          <w:rFonts w:cs="Arial"/>
          <w:noProof/>
        </w:rPr>
        <w:t>http://www.itamaraty.gov.br/images/ed_desenvsust/BRASIL-iNDC-portugues.pdf</w:t>
      </w:r>
      <w:r w:rsidR="00252959" w:rsidRPr="00AD1BD0">
        <w:rPr>
          <w:rFonts w:cs="Arial"/>
          <w:noProof/>
        </w:rPr>
        <w:t xml:space="preserve">&gt; Acesso em </w:t>
      </w:r>
      <w:r w:rsidR="00252959">
        <w:rPr>
          <w:rFonts w:cs="Arial"/>
          <w:noProof/>
        </w:rPr>
        <w:t>julho  de 2017</w:t>
      </w:r>
    </w:p>
    <w:p w14:paraId="7F549009" w14:textId="1AE9CDD9" w:rsidR="000441D3" w:rsidRPr="006A1857" w:rsidRDefault="000441D3" w:rsidP="000441D3">
      <w:pPr>
        <w:ind w:left="284" w:hanging="284"/>
      </w:pPr>
      <w:r w:rsidRPr="006A1857">
        <w:t xml:space="preserve">_____, Ministério da Indústria, Comércio Exterior e Serviços (MDIC). </w:t>
      </w:r>
      <w:r w:rsidRPr="006A1857">
        <w:rPr>
          <w:b/>
        </w:rPr>
        <w:t>Classificação da Secretaria de Comércio Exterior: Classificação por Intensidade Tecnológica</w:t>
      </w:r>
      <w:r w:rsidRPr="006A1857">
        <w:t xml:space="preserve">. 2017. Disponível em &lt; http://www.mdic.gov.br/balanca/metodologia/Nota_ISIC.pdf&gt; </w:t>
      </w:r>
      <w:r w:rsidRPr="006A1857">
        <w:rPr>
          <w:rFonts w:cs="Arial"/>
          <w:noProof/>
        </w:rPr>
        <w:t>Acesso em abril de 2018</w:t>
      </w:r>
    </w:p>
    <w:p w14:paraId="6A2693D1" w14:textId="01766A78" w:rsidR="000441D3" w:rsidRPr="006A1857" w:rsidRDefault="000441D3" w:rsidP="000441D3">
      <w:pPr>
        <w:ind w:left="284" w:hanging="284"/>
        <w:rPr>
          <w:rFonts w:cs="Arial"/>
          <w:noProof/>
        </w:rPr>
      </w:pPr>
      <w:r w:rsidRPr="006A1857">
        <w:t xml:space="preserve">_____, Ministério da Indústria, Comércio Exterior e Serviços (MDIC). </w:t>
      </w:r>
      <w:r w:rsidRPr="006A1857">
        <w:rPr>
          <w:b/>
        </w:rPr>
        <w:t>Base de Dados do Comércio Exterior Brasileiro</w:t>
      </w:r>
      <w:r w:rsidRPr="006A1857">
        <w:t xml:space="preserve">. 2018. Disponível em &lt; http://www.mdic.gov.br/index.php/comercio-exterior/estatisticas-de-comercio-exterior/base-de-dados-do-comercio-exterior-brasileiro-arquivos-para-download&gt; </w:t>
      </w:r>
      <w:r w:rsidRPr="006A1857">
        <w:rPr>
          <w:rFonts w:cs="Arial"/>
          <w:noProof/>
        </w:rPr>
        <w:t>Acesso em abril de 2018</w:t>
      </w:r>
    </w:p>
    <w:p w14:paraId="41C6E64C" w14:textId="77777777" w:rsidR="00871CC0" w:rsidRDefault="00871CC0" w:rsidP="00BF5147">
      <w:pPr>
        <w:ind w:left="284" w:hanging="284"/>
        <w:rPr>
          <w:rFonts w:cs="Arial"/>
          <w:noProof/>
        </w:rPr>
      </w:pPr>
      <w:r w:rsidRPr="006A1857">
        <w:rPr>
          <w:lang w:val="en-US"/>
        </w:rPr>
        <w:t xml:space="preserve">BREITUNG, J.; PESARAN, M. H. </w:t>
      </w:r>
      <w:r w:rsidRPr="006A1857">
        <w:rPr>
          <w:b/>
          <w:lang w:val="en-US"/>
        </w:rPr>
        <w:t xml:space="preserve">Unit roots and </w:t>
      </w:r>
      <w:proofErr w:type="spellStart"/>
      <w:r w:rsidRPr="006A1857">
        <w:rPr>
          <w:b/>
          <w:lang w:val="en-US"/>
        </w:rPr>
        <w:t>cointegration</w:t>
      </w:r>
      <w:proofErr w:type="spellEnd"/>
      <w:r w:rsidRPr="006A1857">
        <w:rPr>
          <w:b/>
          <w:lang w:val="en-US"/>
        </w:rPr>
        <w:t xml:space="preserve"> in panels</w:t>
      </w:r>
      <w:r w:rsidRPr="006A1857">
        <w:rPr>
          <w:lang w:val="en-US"/>
        </w:rPr>
        <w:t xml:space="preserve">. </w:t>
      </w:r>
      <w:proofErr w:type="spellStart"/>
      <w:r w:rsidRPr="006A1857">
        <w:t>CESifo</w:t>
      </w:r>
      <w:proofErr w:type="spellEnd"/>
      <w:r w:rsidRPr="006A1857">
        <w:t>: Munique 2005.</w:t>
      </w:r>
      <w:r>
        <w:t xml:space="preserve"> </w:t>
      </w:r>
      <w:r w:rsidRPr="00BF12B9">
        <w:t>(</w:t>
      </w:r>
      <w:proofErr w:type="spellStart"/>
      <w:r w:rsidRPr="00BF12B9">
        <w:rPr>
          <w:i/>
        </w:rPr>
        <w:t>Working</w:t>
      </w:r>
      <w:proofErr w:type="spellEnd"/>
      <w:r w:rsidRPr="00BF12B9">
        <w:rPr>
          <w:i/>
        </w:rPr>
        <w:t xml:space="preserve"> </w:t>
      </w:r>
      <w:proofErr w:type="spellStart"/>
      <w:r w:rsidRPr="00BF12B9">
        <w:rPr>
          <w:i/>
        </w:rPr>
        <w:t>paper</w:t>
      </w:r>
      <w:proofErr w:type="spellEnd"/>
      <w:r w:rsidRPr="00BF12B9">
        <w:t xml:space="preserve"> n.</w:t>
      </w:r>
      <w:r>
        <w:t xml:space="preserve"> 1565).</w:t>
      </w:r>
      <w:r w:rsidRPr="00BF12B9">
        <w:t xml:space="preserve"> </w:t>
      </w:r>
      <w:r w:rsidRPr="00AD1BD0">
        <w:rPr>
          <w:rFonts w:cs="Arial"/>
          <w:noProof/>
        </w:rPr>
        <w:t>Disponível em: &lt;</w:t>
      </w:r>
      <w:r w:rsidRPr="00BF12B9">
        <w:rPr>
          <w:rFonts w:cs="Arial"/>
          <w:noProof/>
        </w:rPr>
        <w:t>http://www.cesifo-economic-studies.de/DocDL/cesifo1_wp1565.pdf</w:t>
      </w:r>
      <w:r w:rsidRPr="00AD1BD0">
        <w:rPr>
          <w:rFonts w:cs="Arial"/>
          <w:noProof/>
        </w:rPr>
        <w:t xml:space="preserve">&gt; Acesso em </w:t>
      </w:r>
      <w:r>
        <w:rPr>
          <w:rFonts w:cs="Arial"/>
          <w:noProof/>
        </w:rPr>
        <w:t>março de 2018</w:t>
      </w:r>
    </w:p>
    <w:p w14:paraId="067DCB14" w14:textId="77777777" w:rsidR="00871CC0" w:rsidRDefault="00871CC0" w:rsidP="00BF5147">
      <w:pPr>
        <w:pStyle w:val="Bibliografia"/>
        <w:spacing w:after="0"/>
        <w:ind w:left="284" w:firstLineChars="0" w:hanging="284"/>
        <w:rPr>
          <w:noProof/>
        </w:rPr>
      </w:pPr>
      <w:r>
        <w:rPr>
          <w:noProof/>
        </w:rPr>
        <w:t xml:space="preserve">BRITO, G. F. D.; CHOI, V. P.; ALMEIDA, A. D. </w:t>
      </w:r>
      <w:r w:rsidRPr="00914975">
        <w:rPr>
          <w:b/>
          <w:bCs/>
          <w:noProof/>
        </w:rPr>
        <w:t>Manual ABNT:</w:t>
      </w:r>
      <w:r w:rsidRPr="00914975">
        <w:rPr>
          <w:b/>
          <w:noProof/>
        </w:rPr>
        <w:t xml:space="preserve"> regras gerais de estilo e formatação de trabalhos acadêmicos</w:t>
      </w:r>
      <w:r>
        <w:rPr>
          <w:noProof/>
        </w:rPr>
        <w:t>. 4 ed. São Paulo: UNICAMP, 2014.</w:t>
      </w:r>
    </w:p>
    <w:p w14:paraId="22E46D19" w14:textId="77777777" w:rsidR="00871CC0" w:rsidRPr="00AD1BD0" w:rsidRDefault="00871CC0" w:rsidP="00BF5147">
      <w:pPr>
        <w:pStyle w:val="Bibliografia"/>
        <w:spacing w:after="0"/>
        <w:ind w:left="284" w:firstLineChars="0" w:hanging="284"/>
        <w:rPr>
          <w:rFonts w:cs="Arial"/>
          <w:noProof/>
        </w:rPr>
      </w:pPr>
      <w:r w:rsidRPr="00AD1BD0">
        <w:rPr>
          <w:rFonts w:cs="Arial"/>
          <w:noProof/>
        </w:rPr>
        <w:t xml:space="preserve">CARVALHO, T. S.; ALMEIDA, E. A hipótese da curva de Kuznets ambiental global: uma perspectiva econométrico-espacial. </w:t>
      </w:r>
      <w:r w:rsidRPr="00AD1BD0">
        <w:rPr>
          <w:rFonts w:cs="Arial"/>
          <w:b/>
          <w:noProof/>
        </w:rPr>
        <w:t xml:space="preserve">Estudos Econômicos, </w:t>
      </w:r>
      <w:r w:rsidRPr="00AD1BD0">
        <w:rPr>
          <w:rFonts w:cs="Arial"/>
          <w:noProof/>
        </w:rPr>
        <w:t>São Paulo, v. 40, n. 3, p. 587-615, 2010.</w:t>
      </w:r>
      <w:r>
        <w:rPr>
          <w:rFonts w:cs="Arial"/>
          <w:noProof/>
        </w:rPr>
        <w:t xml:space="preserve"> </w:t>
      </w:r>
      <w:r w:rsidRPr="00DF27FE">
        <w:rPr>
          <w:rFonts w:cs="Arial"/>
          <w:noProof/>
        </w:rPr>
        <w:t>http://dx.doi.org/10.1590/S0101-41612010000300004</w:t>
      </w:r>
    </w:p>
    <w:p w14:paraId="40DF7BD5" w14:textId="77777777" w:rsidR="00871CC0" w:rsidRPr="00611DCE" w:rsidRDefault="00871CC0" w:rsidP="00BF5147">
      <w:pPr>
        <w:pStyle w:val="Bibliografia"/>
        <w:spacing w:after="0"/>
        <w:ind w:left="284" w:firstLineChars="0" w:hanging="284"/>
        <w:rPr>
          <w:rFonts w:cs="Arial"/>
          <w:noProof/>
        </w:rPr>
      </w:pPr>
      <w:r w:rsidRPr="00AD1BD0">
        <w:rPr>
          <w:rFonts w:cs="Arial"/>
          <w:noProof/>
        </w:rPr>
        <w:t xml:space="preserve">CATALÁN, H. Curva ambiental de Kuznets: implicaciones para un crecimiento sustentable. </w:t>
      </w:r>
      <w:r w:rsidRPr="00611DCE">
        <w:rPr>
          <w:rFonts w:cs="Arial"/>
          <w:b/>
          <w:noProof/>
        </w:rPr>
        <w:t>Economía Informa</w:t>
      </w:r>
      <w:r w:rsidRPr="00611DCE">
        <w:rPr>
          <w:rFonts w:cs="Arial"/>
          <w:noProof/>
        </w:rPr>
        <w:t>, v. 389, p. 19-37, 2014. https://doi.org/10.1016/S0185-0849(14)72172-3</w:t>
      </w:r>
    </w:p>
    <w:p w14:paraId="589E77BD" w14:textId="77777777" w:rsidR="00871CC0" w:rsidRPr="00611DCE" w:rsidRDefault="00871CC0" w:rsidP="00BF5147">
      <w:pPr>
        <w:ind w:left="284" w:hanging="284"/>
        <w:rPr>
          <w:rFonts w:cs="Arial"/>
          <w:szCs w:val="24"/>
          <w:lang w:val="en-US"/>
        </w:rPr>
      </w:pPr>
      <w:r w:rsidRPr="00357DDA">
        <w:rPr>
          <w:rFonts w:cs="Arial"/>
          <w:szCs w:val="24"/>
        </w:rPr>
        <w:t xml:space="preserve">CHOI, In. </w:t>
      </w:r>
      <w:r w:rsidRPr="00611DCE">
        <w:rPr>
          <w:rFonts w:cs="Arial"/>
          <w:szCs w:val="24"/>
          <w:lang w:val="en-US"/>
        </w:rPr>
        <w:t xml:space="preserve">Unit root tests for panel data, </w:t>
      </w:r>
      <w:r w:rsidRPr="00611DCE">
        <w:rPr>
          <w:rFonts w:cs="Arial"/>
          <w:b/>
          <w:szCs w:val="24"/>
          <w:lang w:val="en-US"/>
        </w:rPr>
        <w:t>Journal of International Money and Finance</w:t>
      </w:r>
      <w:r w:rsidRPr="00611DCE">
        <w:rPr>
          <w:rFonts w:cs="Arial"/>
          <w:szCs w:val="24"/>
          <w:lang w:val="en-US"/>
        </w:rPr>
        <w:t>, 20, issue 2, p. 249-272, 2001. https://doi.org/10.1016/S0261-5606(00)00048-6</w:t>
      </w:r>
    </w:p>
    <w:p w14:paraId="526473F0" w14:textId="6D454C39" w:rsidR="00871CC0" w:rsidRPr="00AD1BD0" w:rsidRDefault="00871CC0" w:rsidP="00BF5147">
      <w:pPr>
        <w:ind w:left="284" w:right="226" w:hanging="284"/>
        <w:rPr>
          <w:rFonts w:cs="Arial"/>
          <w:color w:val="212121"/>
        </w:rPr>
      </w:pPr>
      <w:r w:rsidRPr="00AD1BD0">
        <w:rPr>
          <w:rFonts w:cs="Arial"/>
          <w:color w:val="212121"/>
        </w:rPr>
        <w:t>CUNHA, C. A. Curva de Kuznets Ambiental Estimativa Econométrica Usando CO</w:t>
      </w:r>
      <w:r w:rsidRPr="00AD1BD0">
        <w:rPr>
          <w:rFonts w:cs="Arial"/>
          <w:color w:val="212121"/>
          <w:vertAlign w:val="subscript"/>
        </w:rPr>
        <w:t>2</w:t>
      </w:r>
      <w:r w:rsidRPr="00AD1BD0">
        <w:rPr>
          <w:rFonts w:cs="Arial"/>
          <w:color w:val="212121"/>
        </w:rPr>
        <w:t xml:space="preserve"> e PIB Per Capita. In: Congresso da </w:t>
      </w:r>
      <w:r>
        <w:rPr>
          <w:rFonts w:cs="Arial"/>
          <w:color w:val="212121"/>
        </w:rPr>
        <w:t xml:space="preserve">Soc. Bras. </w:t>
      </w:r>
      <w:proofErr w:type="gramStart"/>
      <w:r>
        <w:rPr>
          <w:rFonts w:cs="Arial"/>
          <w:color w:val="212121"/>
        </w:rPr>
        <w:t>de</w:t>
      </w:r>
      <w:proofErr w:type="gramEnd"/>
      <w:r>
        <w:rPr>
          <w:rFonts w:cs="Arial"/>
          <w:color w:val="212121"/>
        </w:rPr>
        <w:t xml:space="preserve"> Eco., Adm. e Soc.</w:t>
      </w:r>
      <w:r w:rsidRPr="00AD1BD0">
        <w:rPr>
          <w:rFonts w:cs="Arial"/>
          <w:color w:val="212121"/>
        </w:rPr>
        <w:t xml:space="preserve"> Rural, 46, 2008, Rio Branco.</w:t>
      </w:r>
      <w:r w:rsidRPr="00AD1BD0">
        <w:rPr>
          <w:rFonts w:cs="Arial"/>
          <w:b/>
          <w:color w:val="212121"/>
        </w:rPr>
        <w:t xml:space="preserve"> Anais... </w:t>
      </w:r>
      <w:r w:rsidRPr="00AD1BD0">
        <w:rPr>
          <w:rFonts w:cs="Arial"/>
          <w:color w:val="212121"/>
        </w:rPr>
        <w:t>Rio Branco: SOBER,</w:t>
      </w:r>
      <w:r w:rsidRPr="00AD1BD0">
        <w:rPr>
          <w:rFonts w:cs="Arial"/>
          <w:color w:val="212121"/>
          <w:spacing w:val="-9"/>
        </w:rPr>
        <w:t xml:space="preserve"> </w:t>
      </w:r>
      <w:r w:rsidRPr="00AD1BD0">
        <w:rPr>
          <w:rFonts w:cs="Arial"/>
          <w:color w:val="212121"/>
        </w:rPr>
        <w:t>2008.</w:t>
      </w:r>
      <w:r>
        <w:rPr>
          <w:rFonts w:cs="Arial"/>
          <w:color w:val="212121"/>
        </w:rPr>
        <w:t xml:space="preserve"> </w:t>
      </w:r>
      <w:r w:rsidRPr="00AD1BD0">
        <w:rPr>
          <w:rFonts w:cs="Arial"/>
          <w:noProof/>
        </w:rPr>
        <w:t>Disponível em: &lt;</w:t>
      </w:r>
      <w:r w:rsidRPr="00FC7563">
        <w:rPr>
          <w:rFonts w:cs="Arial"/>
          <w:noProof/>
        </w:rPr>
        <w:t>https://ideas.repec.org/p/ags/sbrfsr/133284.html</w:t>
      </w:r>
      <w:r w:rsidRPr="00AD1BD0">
        <w:rPr>
          <w:rFonts w:cs="Arial"/>
          <w:noProof/>
        </w:rPr>
        <w:t xml:space="preserve">&gt; Acesso em </w:t>
      </w:r>
      <w:r>
        <w:rPr>
          <w:rFonts w:cs="Arial"/>
          <w:noProof/>
        </w:rPr>
        <w:t>agosto de 2017</w:t>
      </w:r>
    </w:p>
    <w:p w14:paraId="72C095B3" w14:textId="77777777" w:rsidR="00871CC0" w:rsidRDefault="00871CC0" w:rsidP="00BF5147">
      <w:pPr>
        <w:ind w:left="284" w:hanging="284"/>
        <w:rPr>
          <w:rFonts w:cs="Arial"/>
          <w:noProof/>
        </w:rPr>
      </w:pPr>
      <w:r w:rsidRPr="00E72789">
        <w:rPr>
          <w:rFonts w:cs="Arial"/>
          <w:noProof/>
          <w:lang w:val="en-US"/>
        </w:rPr>
        <w:t xml:space="preserve">EFCTC. </w:t>
      </w:r>
      <w:r w:rsidRPr="00E72789">
        <w:rPr>
          <w:rFonts w:cs="Arial"/>
          <w:b/>
          <w:bCs/>
          <w:noProof/>
          <w:lang w:val="en-US"/>
        </w:rPr>
        <w:t>Global Temperature change Potential compared to Global Warming Potential</w:t>
      </w:r>
      <w:r w:rsidRPr="00E72789">
        <w:rPr>
          <w:rFonts w:cs="Arial"/>
          <w:noProof/>
          <w:lang w:val="en-US"/>
        </w:rPr>
        <w:t xml:space="preserve">. </w:t>
      </w:r>
      <w:r w:rsidRPr="00ED3EE6">
        <w:rPr>
          <w:rFonts w:cs="Arial"/>
          <w:noProof/>
        </w:rPr>
        <w:t>EFCTC. [S</w:t>
      </w:r>
      <w:r w:rsidRPr="0038201F">
        <w:rPr>
          <w:rFonts w:cs="Arial"/>
          <w:noProof/>
        </w:rPr>
        <w:t xml:space="preserve">.l.], p. 4. </w:t>
      </w:r>
      <w:r>
        <w:rPr>
          <w:rFonts w:cs="Arial"/>
          <w:noProof/>
        </w:rPr>
        <w:t>2014</w:t>
      </w:r>
      <w:r w:rsidRPr="001F0D5A">
        <w:rPr>
          <w:rFonts w:cs="Arial"/>
          <w:noProof/>
        </w:rPr>
        <w:t xml:space="preserve">. </w:t>
      </w:r>
      <w:r>
        <w:rPr>
          <w:rFonts w:cs="Arial"/>
          <w:noProof/>
        </w:rPr>
        <w:t>Disponível em: &lt;</w:t>
      </w:r>
      <w:r w:rsidRPr="001F0D5A">
        <w:rPr>
          <w:rFonts w:cs="Arial"/>
          <w:noProof/>
        </w:rPr>
        <w:t>https://www.fluorocarbons.org/wp-content/uploads/2014/06/efctc-factsheet_gtp.pdf</w:t>
      </w:r>
      <w:r w:rsidRPr="00AD1BD0">
        <w:rPr>
          <w:rFonts w:cs="Arial"/>
          <w:noProof/>
        </w:rPr>
        <w:t xml:space="preserve">&gt; Acesso em </w:t>
      </w:r>
      <w:r>
        <w:rPr>
          <w:rFonts w:cs="Arial"/>
          <w:noProof/>
        </w:rPr>
        <w:t>dezembro</w:t>
      </w:r>
      <w:r w:rsidRPr="00AD1BD0">
        <w:rPr>
          <w:rFonts w:cs="Arial"/>
          <w:noProof/>
        </w:rPr>
        <w:t xml:space="preserve"> de 2017</w:t>
      </w:r>
    </w:p>
    <w:p w14:paraId="613BFA39" w14:textId="77777777" w:rsidR="00871CC0" w:rsidRPr="008D7DB3" w:rsidRDefault="00871CC0" w:rsidP="00BF5147">
      <w:pPr>
        <w:ind w:left="284" w:hanging="284"/>
      </w:pPr>
      <w:r>
        <w:rPr>
          <w:noProof/>
        </w:rPr>
        <w:t xml:space="preserve">EULER, A. M. C. O acordo de Paris e o futuro do REDD+ no Brasil. In: VICENTE, M. C. P. (Org.). </w:t>
      </w:r>
      <w:r>
        <w:rPr>
          <w:b/>
          <w:bCs/>
          <w:noProof/>
        </w:rPr>
        <w:t>Mudanças climáticas:</w:t>
      </w:r>
      <w:r>
        <w:rPr>
          <w:noProof/>
        </w:rPr>
        <w:t xml:space="preserve"> </w:t>
      </w:r>
      <w:r w:rsidRPr="00735759">
        <w:rPr>
          <w:b/>
          <w:noProof/>
        </w:rPr>
        <w:t>desafio do século</w:t>
      </w:r>
      <w:r>
        <w:rPr>
          <w:noProof/>
        </w:rPr>
        <w:t>. Rio de Janeiro: Fundação Konrad Adenaeur, 2016. p. 85-104</w:t>
      </w:r>
    </w:p>
    <w:p w14:paraId="54FB42D5" w14:textId="77777777" w:rsidR="00871CC0" w:rsidRPr="00AD1BD0" w:rsidRDefault="00871CC0" w:rsidP="00BF5147">
      <w:pPr>
        <w:ind w:left="284" w:hanging="284"/>
        <w:rPr>
          <w:rFonts w:cs="Arial"/>
          <w:szCs w:val="24"/>
          <w:lang w:val="en-US"/>
        </w:rPr>
      </w:pPr>
      <w:r w:rsidRPr="006F37C5">
        <w:rPr>
          <w:rFonts w:cs="Arial"/>
          <w:noProof/>
          <w:szCs w:val="24"/>
        </w:rPr>
        <w:t xml:space="preserve">GREENE, W. H. </w:t>
      </w:r>
      <w:r w:rsidRPr="006F37C5">
        <w:rPr>
          <w:rFonts w:cs="Arial"/>
          <w:b/>
          <w:bCs/>
          <w:noProof/>
          <w:szCs w:val="24"/>
        </w:rPr>
        <w:t>Econometric analysis</w:t>
      </w:r>
      <w:r w:rsidRPr="006F37C5">
        <w:rPr>
          <w:rFonts w:cs="Arial"/>
          <w:noProof/>
          <w:szCs w:val="24"/>
        </w:rPr>
        <w:t xml:space="preserve">. </w:t>
      </w:r>
      <w:r w:rsidRPr="00AD1BD0">
        <w:rPr>
          <w:rFonts w:cs="Arial"/>
          <w:noProof/>
          <w:szCs w:val="24"/>
          <w:lang w:val="en-US"/>
        </w:rPr>
        <w:t>7ª. ed. [S.l.]: Pearson Education, 2012.</w:t>
      </w:r>
    </w:p>
    <w:p w14:paraId="463FD552" w14:textId="77777777" w:rsidR="00871CC0" w:rsidRPr="00E4529F" w:rsidRDefault="00871CC0" w:rsidP="00BF5147">
      <w:pPr>
        <w:ind w:left="284" w:right="226" w:hanging="284"/>
        <w:rPr>
          <w:rFonts w:cs="Arial"/>
        </w:rPr>
      </w:pPr>
      <w:r w:rsidRPr="00AD1BD0">
        <w:rPr>
          <w:rFonts w:cs="Arial"/>
          <w:lang w:val="en-US"/>
        </w:rPr>
        <w:t>GROSSMAN, G. M.; KRUEGER, A. B.</w:t>
      </w:r>
      <w:r w:rsidRPr="00AD1BD0">
        <w:rPr>
          <w:rFonts w:cs="Arial"/>
          <w:b/>
          <w:lang w:val="en-US"/>
        </w:rPr>
        <w:t xml:space="preserve"> Environmental impacts of a North American free trade agreement</w:t>
      </w:r>
      <w:r w:rsidRPr="00AD1BD0">
        <w:rPr>
          <w:rFonts w:cs="Arial"/>
          <w:lang w:val="en-US"/>
        </w:rPr>
        <w:t xml:space="preserve">. </w:t>
      </w:r>
      <w:r w:rsidRPr="00E72789">
        <w:rPr>
          <w:rFonts w:cs="Arial"/>
        </w:rPr>
        <w:t>Cambridge: NBER, 1991. (</w:t>
      </w:r>
      <w:proofErr w:type="spellStart"/>
      <w:r w:rsidRPr="00E72789">
        <w:rPr>
          <w:rFonts w:cs="Arial"/>
        </w:rPr>
        <w:t>Working</w:t>
      </w:r>
      <w:proofErr w:type="spellEnd"/>
      <w:r w:rsidRPr="00E72789">
        <w:rPr>
          <w:rFonts w:cs="Arial"/>
        </w:rPr>
        <w:t xml:space="preserve"> </w:t>
      </w:r>
      <w:proofErr w:type="spellStart"/>
      <w:r w:rsidRPr="00E72789">
        <w:rPr>
          <w:rFonts w:cs="Arial"/>
        </w:rPr>
        <w:t>paper</w:t>
      </w:r>
      <w:proofErr w:type="spellEnd"/>
      <w:r w:rsidRPr="00E72789">
        <w:rPr>
          <w:rFonts w:cs="Arial"/>
        </w:rPr>
        <w:t xml:space="preserve"> n. 3914). </w:t>
      </w:r>
      <w:r w:rsidRPr="00E4529F">
        <w:rPr>
          <w:rFonts w:cs="Arial"/>
          <w:noProof/>
        </w:rPr>
        <w:t>Disponível em: &lt;</w:t>
      </w:r>
      <w:r w:rsidRPr="00E4529F">
        <w:t xml:space="preserve"> </w:t>
      </w:r>
      <w:r w:rsidRPr="00E4529F">
        <w:rPr>
          <w:rFonts w:cs="Arial"/>
          <w:noProof/>
        </w:rPr>
        <w:t>https://core.ac.uk/download/pdf/6853464.pdf&gt; Acesso em agosto de 2017</w:t>
      </w:r>
    </w:p>
    <w:p w14:paraId="19E792DE" w14:textId="70E4DDD5" w:rsidR="00871CC0" w:rsidRPr="006A1857" w:rsidRDefault="00871CC0" w:rsidP="00BF5147">
      <w:pPr>
        <w:ind w:left="284" w:hanging="284"/>
        <w:rPr>
          <w:rFonts w:cs="Arial"/>
          <w:noProof/>
        </w:rPr>
      </w:pPr>
      <w:r w:rsidRPr="00AD1BD0">
        <w:rPr>
          <w:rFonts w:cs="Arial"/>
          <w:szCs w:val="24"/>
          <w:lang w:val="en-US"/>
        </w:rPr>
        <w:lastRenderedPageBreak/>
        <w:t xml:space="preserve">GROSSMAN, G. M.; KRUEGER, A. B. Economic Growth and the Environment. </w:t>
      </w:r>
      <w:proofErr w:type="spellStart"/>
      <w:r w:rsidRPr="00E4529F">
        <w:rPr>
          <w:rFonts w:cs="Arial"/>
          <w:b/>
          <w:bCs/>
          <w:szCs w:val="24"/>
        </w:rPr>
        <w:t>Quarterly</w:t>
      </w:r>
      <w:proofErr w:type="spellEnd"/>
      <w:r w:rsidRPr="00E4529F">
        <w:rPr>
          <w:rFonts w:cs="Arial"/>
          <w:b/>
          <w:bCs/>
          <w:szCs w:val="24"/>
        </w:rPr>
        <w:t xml:space="preserve"> </w:t>
      </w:r>
      <w:proofErr w:type="spellStart"/>
      <w:r w:rsidRPr="00E4529F">
        <w:rPr>
          <w:rFonts w:cs="Arial"/>
          <w:b/>
          <w:bCs/>
          <w:szCs w:val="24"/>
        </w:rPr>
        <w:t>Journal</w:t>
      </w:r>
      <w:proofErr w:type="spellEnd"/>
      <w:r w:rsidRPr="00E4529F">
        <w:rPr>
          <w:rFonts w:cs="Arial"/>
          <w:b/>
          <w:bCs/>
          <w:szCs w:val="24"/>
        </w:rPr>
        <w:t xml:space="preserve"> </w:t>
      </w:r>
      <w:proofErr w:type="spellStart"/>
      <w:r w:rsidRPr="00E4529F">
        <w:rPr>
          <w:rFonts w:cs="Arial"/>
          <w:b/>
          <w:bCs/>
          <w:szCs w:val="24"/>
        </w:rPr>
        <w:t>of</w:t>
      </w:r>
      <w:proofErr w:type="spellEnd"/>
      <w:r w:rsidRPr="00E4529F">
        <w:rPr>
          <w:rFonts w:cs="Arial"/>
          <w:b/>
          <w:bCs/>
          <w:szCs w:val="24"/>
        </w:rPr>
        <w:t xml:space="preserve"> </w:t>
      </w:r>
      <w:proofErr w:type="spellStart"/>
      <w:r w:rsidRPr="00E4529F">
        <w:rPr>
          <w:rFonts w:cs="Arial"/>
          <w:b/>
          <w:bCs/>
          <w:szCs w:val="24"/>
        </w:rPr>
        <w:t>Economics</w:t>
      </w:r>
      <w:proofErr w:type="spellEnd"/>
      <w:r w:rsidRPr="00E4529F">
        <w:rPr>
          <w:rFonts w:cs="Arial"/>
          <w:b/>
          <w:szCs w:val="24"/>
        </w:rPr>
        <w:t>.</w:t>
      </w:r>
      <w:r w:rsidRPr="00E4529F">
        <w:rPr>
          <w:rFonts w:cs="Arial"/>
          <w:szCs w:val="24"/>
        </w:rPr>
        <w:t xml:space="preserve">, v. 110, n. 2, p. 353-377, 1995. </w:t>
      </w:r>
      <w:r w:rsidRPr="00E4529F">
        <w:rPr>
          <w:rFonts w:cs="Arial"/>
          <w:noProof/>
        </w:rPr>
        <w:t xml:space="preserve">Disponível em: </w:t>
      </w:r>
      <w:r w:rsidRPr="006A1857">
        <w:rPr>
          <w:rFonts w:cs="Arial"/>
          <w:noProof/>
        </w:rPr>
        <w:t>&lt;http://www.jstor.org/stable/pdf/2118443.pdf&gt; Acesso em agosto de 2017</w:t>
      </w:r>
    </w:p>
    <w:p w14:paraId="6F339663" w14:textId="77777777" w:rsidR="00FF6512" w:rsidRPr="006A1857" w:rsidRDefault="00FF6512" w:rsidP="00FF6512">
      <w:pPr>
        <w:ind w:left="284" w:hanging="284"/>
      </w:pPr>
      <w:r w:rsidRPr="006A1857">
        <w:t xml:space="preserve">INSTITUTO BRASILEIRO DE GEOGRAFIA E ESTATÍSTICA (IBGE). </w:t>
      </w:r>
      <w:r w:rsidRPr="006A1857">
        <w:rPr>
          <w:b/>
        </w:rPr>
        <w:t>Organização do Território: Área dos Municípios</w:t>
      </w:r>
      <w:r w:rsidRPr="006A1857">
        <w:t xml:space="preserve">. 2016. Disponível em &lt;https://www.ibge.gov.br/geociencias-novoportal/organizacao-do-territorio/estrutura-territorial/15761-areas-dos-municipios.html?=&amp;t=o-que-e&gt; </w:t>
      </w:r>
      <w:r w:rsidRPr="006A1857">
        <w:rPr>
          <w:rFonts w:cs="Arial"/>
          <w:noProof/>
        </w:rPr>
        <w:t>Acesso em março de 2018</w:t>
      </w:r>
    </w:p>
    <w:p w14:paraId="291D4482" w14:textId="6B93E5B2" w:rsidR="00FF6512" w:rsidRPr="006A1857" w:rsidRDefault="00FF6512" w:rsidP="00FF6512">
      <w:pPr>
        <w:ind w:left="284" w:hanging="284"/>
      </w:pPr>
      <w:r w:rsidRPr="006A1857">
        <w:t xml:space="preserve">_____. </w:t>
      </w:r>
      <w:r w:rsidRPr="006A1857">
        <w:rPr>
          <w:b/>
        </w:rPr>
        <w:t>Sistema de Contas Regionais</w:t>
      </w:r>
      <w:r w:rsidRPr="006A1857">
        <w:t xml:space="preserve">. </w:t>
      </w:r>
      <w:proofErr w:type="gramStart"/>
      <w:r w:rsidRPr="006A1857">
        <w:t>2017a. Disponível</w:t>
      </w:r>
      <w:proofErr w:type="gramEnd"/>
      <w:r w:rsidRPr="006A1857">
        <w:t xml:space="preserve"> em https://www.ibge.gov.br/estatisticas-novoportal/economicas/contas-nacionais/9054-contas-regionais-do-brasil.html?=&amp;t=downloads&gt; </w:t>
      </w:r>
      <w:r w:rsidRPr="006A1857">
        <w:rPr>
          <w:rFonts w:cs="Arial"/>
          <w:noProof/>
        </w:rPr>
        <w:t>Acesso em março de 2018</w:t>
      </w:r>
    </w:p>
    <w:p w14:paraId="62DA0278" w14:textId="4F238A5A" w:rsidR="00FF6512" w:rsidRPr="006A1857" w:rsidRDefault="00FF6512" w:rsidP="00FF6512">
      <w:pPr>
        <w:ind w:left="284" w:hanging="284"/>
        <w:rPr>
          <w:rFonts w:cs="Arial"/>
          <w:noProof/>
        </w:rPr>
      </w:pPr>
      <w:r w:rsidRPr="006A1857">
        <w:t xml:space="preserve">_____. </w:t>
      </w:r>
      <w:r w:rsidRPr="006A1857">
        <w:rPr>
          <w:b/>
        </w:rPr>
        <w:t>Estimativas da</w:t>
      </w:r>
      <w:r w:rsidRPr="006A1857">
        <w:t xml:space="preserve"> </w:t>
      </w:r>
      <w:r w:rsidRPr="006A1857">
        <w:rPr>
          <w:b/>
        </w:rPr>
        <w:t>População residente</w:t>
      </w:r>
      <w:r w:rsidRPr="006A1857">
        <w:t xml:space="preserve">. 2017b. Disponível em &lt;https://www.ibge.gov.br/estatisticas-novoportal/sociais/populacao/9103-estimativas-de-populacao.html?=&amp;t=downloads&gt; </w:t>
      </w:r>
      <w:r w:rsidRPr="006A1857">
        <w:rPr>
          <w:rFonts w:cs="Arial"/>
          <w:noProof/>
        </w:rPr>
        <w:t>Acesso em março de 2018</w:t>
      </w:r>
    </w:p>
    <w:p w14:paraId="63FA0D96" w14:textId="6B5B870D" w:rsidR="00871CC0" w:rsidRPr="00ED6388" w:rsidRDefault="000441D3" w:rsidP="00BF5147">
      <w:pPr>
        <w:pStyle w:val="Bibliografia"/>
        <w:tabs>
          <w:tab w:val="left" w:pos="567"/>
        </w:tabs>
        <w:spacing w:after="0"/>
        <w:ind w:left="284" w:firstLineChars="0" w:hanging="284"/>
        <w:rPr>
          <w:rFonts w:cs="Arial"/>
          <w:noProof/>
        </w:rPr>
      </w:pPr>
      <w:r w:rsidRPr="00E72789">
        <w:rPr>
          <w:rFonts w:cs="Arial"/>
          <w:noProof/>
          <w:lang w:val="en-US"/>
        </w:rPr>
        <w:t xml:space="preserve">INTERGOVERNMENTAL PANEL ON CLIMATE CHANGE </w:t>
      </w:r>
      <w:r w:rsidR="00871CC0" w:rsidRPr="00E72789">
        <w:rPr>
          <w:rFonts w:cs="Arial"/>
          <w:noProof/>
          <w:lang w:val="en-US"/>
        </w:rPr>
        <w:t xml:space="preserve">(IPCC). </w:t>
      </w:r>
      <w:r w:rsidR="00871CC0" w:rsidRPr="00E72789">
        <w:rPr>
          <w:rFonts w:cs="Arial"/>
          <w:b/>
          <w:bCs/>
          <w:noProof/>
          <w:lang w:val="en-US"/>
        </w:rPr>
        <w:t xml:space="preserve">Climate Change 2014: Synthesis Report. </w:t>
      </w:r>
      <w:r w:rsidR="00871CC0" w:rsidRPr="00E72789">
        <w:rPr>
          <w:rFonts w:cs="Arial"/>
          <w:bCs/>
          <w:noProof/>
          <w:lang w:val="en-US"/>
        </w:rPr>
        <w:t>Contribution of Working G</w:t>
      </w:r>
      <w:r w:rsidR="00871CC0" w:rsidRPr="00FB244E">
        <w:rPr>
          <w:rFonts w:cs="Arial"/>
          <w:bCs/>
          <w:noProof/>
          <w:lang w:val="en-US"/>
        </w:rPr>
        <w:t>roups I, II and III to the Fifth Assessment Report of the Intergovernmental Panel on Climate Change</w:t>
      </w:r>
      <w:r w:rsidR="00871CC0" w:rsidRPr="00FB244E">
        <w:rPr>
          <w:rFonts w:cs="Arial"/>
          <w:noProof/>
          <w:lang w:val="en-US"/>
        </w:rPr>
        <w:t>.</w:t>
      </w:r>
      <w:r w:rsidR="00871CC0" w:rsidRPr="00AD1BD0">
        <w:rPr>
          <w:rFonts w:cs="Arial"/>
          <w:noProof/>
          <w:lang w:val="en-US"/>
        </w:rPr>
        <w:t xml:space="preserve"> </w:t>
      </w:r>
      <w:r w:rsidR="00871CC0" w:rsidRPr="00E72789">
        <w:rPr>
          <w:rFonts w:cs="Arial"/>
          <w:noProof/>
        </w:rPr>
        <w:t xml:space="preserve">IPCC: Genebra, 2014. </w:t>
      </w:r>
      <w:r w:rsidR="00871CC0" w:rsidRPr="00ED6388">
        <w:rPr>
          <w:rFonts w:cs="Arial"/>
          <w:noProof/>
        </w:rPr>
        <w:t xml:space="preserve">104 p. </w:t>
      </w:r>
      <w:r w:rsidR="00871CC0" w:rsidRPr="00AD1BD0">
        <w:rPr>
          <w:rFonts w:cs="Arial"/>
          <w:noProof/>
        </w:rPr>
        <w:t xml:space="preserve">Disponível em: &lt; </w:t>
      </w:r>
      <w:r w:rsidR="00871CC0" w:rsidRPr="00ED6388">
        <w:rPr>
          <w:rFonts w:cs="Arial"/>
          <w:noProof/>
        </w:rPr>
        <w:t>http://www.ipcc.ch/report/ar5/syr/</w:t>
      </w:r>
      <w:r w:rsidR="00871CC0" w:rsidRPr="00AD1BD0">
        <w:rPr>
          <w:rFonts w:cs="Arial"/>
          <w:noProof/>
        </w:rPr>
        <w:t xml:space="preserve">&gt; Acesso em </w:t>
      </w:r>
      <w:r w:rsidR="00871CC0">
        <w:rPr>
          <w:rFonts w:cs="Arial"/>
          <w:noProof/>
        </w:rPr>
        <w:t>julho</w:t>
      </w:r>
      <w:r w:rsidR="00871CC0" w:rsidRPr="00AD1BD0">
        <w:rPr>
          <w:rFonts w:cs="Arial"/>
          <w:noProof/>
        </w:rPr>
        <w:t xml:space="preserve"> de 2017</w:t>
      </w:r>
    </w:p>
    <w:p w14:paraId="0AE82383" w14:textId="77777777" w:rsidR="00871CC0" w:rsidRPr="00E6332B" w:rsidRDefault="00871CC0" w:rsidP="00BF5147">
      <w:pPr>
        <w:pStyle w:val="Bibliografia"/>
        <w:tabs>
          <w:tab w:val="left" w:pos="567"/>
        </w:tabs>
        <w:spacing w:after="0"/>
        <w:ind w:left="284" w:firstLineChars="0" w:hanging="284"/>
        <w:rPr>
          <w:rFonts w:cs="Arial"/>
          <w:noProof/>
        </w:rPr>
      </w:pPr>
      <w:r>
        <w:rPr>
          <w:rFonts w:cs="Arial"/>
          <w:noProof/>
          <w:lang w:val="en-US"/>
        </w:rPr>
        <w:t>___</w:t>
      </w:r>
      <w:r w:rsidR="00252959">
        <w:rPr>
          <w:rFonts w:cs="Arial"/>
          <w:noProof/>
          <w:lang w:val="en-US"/>
        </w:rPr>
        <w:t>_</w:t>
      </w:r>
      <w:r>
        <w:rPr>
          <w:rFonts w:cs="Arial"/>
          <w:noProof/>
          <w:lang w:val="en-US"/>
        </w:rPr>
        <w:t>__</w:t>
      </w:r>
      <w:r w:rsidRPr="00AD1BD0">
        <w:rPr>
          <w:rFonts w:cs="Arial"/>
          <w:noProof/>
          <w:lang w:val="en-US"/>
        </w:rPr>
        <w:t xml:space="preserve">. </w:t>
      </w:r>
      <w:r w:rsidRPr="00FB244E">
        <w:rPr>
          <w:rFonts w:cs="Arial"/>
          <w:b/>
          <w:bCs/>
          <w:noProof/>
          <w:lang w:val="en-US"/>
        </w:rPr>
        <w:t>Climate Change 2007: Synthesis Report</w:t>
      </w:r>
      <w:r w:rsidRPr="00AD1BD0">
        <w:rPr>
          <w:rFonts w:cs="Arial"/>
          <w:b/>
          <w:bCs/>
          <w:noProof/>
          <w:lang w:val="en-US"/>
        </w:rPr>
        <w:t xml:space="preserve">. </w:t>
      </w:r>
      <w:r w:rsidRPr="00FB244E">
        <w:rPr>
          <w:rFonts w:cs="Arial"/>
          <w:bCs/>
          <w:noProof/>
          <w:lang w:val="en-US"/>
        </w:rPr>
        <w:t>Contribution of Working Groups I, II and III to the Fourth Assessment Report of the Intergovernmental Panel on Climate Change</w:t>
      </w:r>
      <w:r w:rsidRPr="00AD1BD0">
        <w:rPr>
          <w:rFonts w:cs="Arial"/>
          <w:noProof/>
          <w:lang w:val="en-US"/>
        </w:rPr>
        <w:t xml:space="preserve">. </w:t>
      </w:r>
      <w:r w:rsidRPr="00E72789">
        <w:rPr>
          <w:rFonts w:cs="Arial"/>
          <w:noProof/>
        </w:rPr>
        <w:t xml:space="preserve">IPCC: Genebra, 2007. </w:t>
      </w:r>
      <w:r w:rsidRPr="00E6332B">
        <w:rPr>
          <w:rFonts w:cs="Arial"/>
          <w:noProof/>
        </w:rPr>
        <w:t xml:space="preserve">151 p. </w:t>
      </w:r>
      <w:r w:rsidRPr="00AD1BD0">
        <w:rPr>
          <w:rFonts w:cs="Arial"/>
          <w:noProof/>
        </w:rPr>
        <w:t xml:space="preserve">Disponível em: &lt; </w:t>
      </w:r>
      <w:r w:rsidRPr="00E6332B">
        <w:rPr>
          <w:rFonts w:cs="Arial"/>
          <w:noProof/>
        </w:rPr>
        <w:t>http://www.ipcc.ch/publications_and_data/ar4/syr/en/contents.html</w:t>
      </w:r>
      <w:r w:rsidRPr="00AD1BD0">
        <w:rPr>
          <w:rFonts w:cs="Arial"/>
          <w:noProof/>
        </w:rPr>
        <w:t xml:space="preserve">&gt; Acesso em </w:t>
      </w:r>
      <w:r>
        <w:rPr>
          <w:rFonts w:cs="Arial"/>
          <w:noProof/>
        </w:rPr>
        <w:t>julho</w:t>
      </w:r>
      <w:r w:rsidRPr="00AD1BD0">
        <w:rPr>
          <w:rFonts w:cs="Arial"/>
          <w:noProof/>
        </w:rPr>
        <w:t xml:space="preserve"> de 2017</w:t>
      </w:r>
    </w:p>
    <w:p w14:paraId="06A72146" w14:textId="5D6C99A5" w:rsidR="00871CC0" w:rsidRPr="003028EF" w:rsidRDefault="00871CC0" w:rsidP="00BF5147">
      <w:pPr>
        <w:pStyle w:val="Bibliografia"/>
        <w:tabs>
          <w:tab w:val="left" w:pos="567"/>
        </w:tabs>
        <w:spacing w:after="0"/>
        <w:ind w:left="284" w:firstLineChars="0" w:hanging="284"/>
        <w:rPr>
          <w:rFonts w:cs="Arial"/>
          <w:noProof/>
        </w:rPr>
      </w:pPr>
      <w:r>
        <w:rPr>
          <w:rFonts w:cs="Arial"/>
          <w:noProof/>
          <w:lang w:val="en-US"/>
        </w:rPr>
        <w:t>___</w:t>
      </w:r>
      <w:r w:rsidR="00252959">
        <w:rPr>
          <w:rFonts w:cs="Arial"/>
          <w:noProof/>
          <w:lang w:val="en-US"/>
        </w:rPr>
        <w:t>_</w:t>
      </w:r>
      <w:r>
        <w:rPr>
          <w:rFonts w:cs="Arial"/>
          <w:noProof/>
          <w:lang w:val="en-US"/>
        </w:rPr>
        <w:t>__</w:t>
      </w:r>
      <w:r w:rsidRPr="00AD1BD0">
        <w:rPr>
          <w:rFonts w:cs="Arial"/>
          <w:noProof/>
          <w:lang w:val="en-US"/>
        </w:rPr>
        <w:t xml:space="preserve">. </w:t>
      </w:r>
      <w:r w:rsidRPr="00BF58C3">
        <w:rPr>
          <w:rFonts w:cs="Arial"/>
          <w:b/>
          <w:bCs/>
          <w:noProof/>
          <w:lang w:val="en-US"/>
        </w:rPr>
        <w:t>IPCC Climate Change 1995: A report of the Intergovernamental Panel on Climate Change</w:t>
      </w:r>
      <w:r w:rsidRPr="00AD1BD0">
        <w:rPr>
          <w:rFonts w:cs="Arial"/>
          <w:noProof/>
          <w:lang w:val="en-US"/>
        </w:rPr>
        <w:t xml:space="preserve">. </w:t>
      </w:r>
      <w:r w:rsidRPr="00E72789">
        <w:rPr>
          <w:rFonts w:cs="Arial"/>
          <w:noProof/>
        </w:rPr>
        <w:t xml:space="preserve">IPCC: Genebra, 1995. </w:t>
      </w:r>
      <w:r w:rsidRPr="000A6489">
        <w:rPr>
          <w:rFonts w:cs="Arial"/>
          <w:noProof/>
        </w:rPr>
        <w:t xml:space="preserve">73 p. </w:t>
      </w:r>
      <w:r w:rsidRPr="00AD1BD0">
        <w:rPr>
          <w:rFonts w:cs="Arial"/>
          <w:noProof/>
        </w:rPr>
        <w:t xml:space="preserve">Disponível em: &lt; </w:t>
      </w:r>
      <w:r w:rsidRPr="00BF58C3">
        <w:rPr>
          <w:rFonts w:cs="Arial"/>
          <w:noProof/>
        </w:rPr>
        <w:t>http://www.ipcc.ch/pdf/climate-changes-1995/ipcc-2nd-</w:t>
      </w:r>
      <w:r w:rsidRPr="003028EF">
        <w:rPr>
          <w:rFonts w:cs="Arial"/>
          <w:noProof/>
        </w:rPr>
        <w:t>assessment/2nd-assessment-en.pdf&gt; Acesso em agosto de 2017</w:t>
      </w:r>
    </w:p>
    <w:p w14:paraId="2A4F288F" w14:textId="2786C00B" w:rsidR="00FF6512" w:rsidRPr="003028EF" w:rsidRDefault="00FF6512" w:rsidP="00FF6512">
      <w:pPr>
        <w:ind w:left="284" w:hanging="284"/>
      </w:pPr>
      <w:r w:rsidRPr="003028EF">
        <w:t xml:space="preserve">IPEADATA. </w:t>
      </w:r>
      <w:r w:rsidRPr="003028EF">
        <w:rPr>
          <w:b/>
        </w:rPr>
        <w:t>Produto interno bruto (PIB) a preços de mercado - deflator implícito: variação anual - referência 2010</w:t>
      </w:r>
      <w:r w:rsidRPr="003028EF">
        <w:t xml:space="preserve">. 2017. Disponível em &lt; http://www.ipeadata.gov.br/&gt; </w:t>
      </w:r>
      <w:r w:rsidRPr="003028EF">
        <w:rPr>
          <w:rFonts w:cs="Arial"/>
          <w:noProof/>
        </w:rPr>
        <w:t>Acesso em março de 2018</w:t>
      </w:r>
    </w:p>
    <w:p w14:paraId="54B4353F" w14:textId="77777777" w:rsidR="00871CC0" w:rsidRPr="00AD1BD0" w:rsidRDefault="00871CC0" w:rsidP="00BF5147">
      <w:pPr>
        <w:pStyle w:val="Bibliografia"/>
        <w:spacing w:after="0"/>
        <w:ind w:left="284" w:firstLineChars="0" w:hanging="284"/>
        <w:rPr>
          <w:noProof/>
        </w:rPr>
      </w:pPr>
      <w:r w:rsidRPr="003028EF">
        <w:rPr>
          <w:noProof/>
        </w:rPr>
        <w:t>JACOBI, P. R. Educação ambiental: o desafio da construção de um pensamento crítico, complexo e</w:t>
      </w:r>
      <w:r w:rsidRPr="00AD1BD0">
        <w:rPr>
          <w:noProof/>
        </w:rPr>
        <w:t xml:space="preserve"> reflexivo. </w:t>
      </w:r>
      <w:r w:rsidRPr="00AD1BD0">
        <w:rPr>
          <w:b/>
          <w:bCs/>
          <w:noProof/>
        </w:rPr>
        <w:t>Educação e pesquisa</w:t>
      </w:r>
      <w:r w:rsidRPr="00AD1BD0">
        <w:rPr>
          <w:noProof/>
        </w:rPr>
        <w:t>, v. 31, n. 2, 2005.</w:t>
      </w:r>
      <w:r>
        <w:rPr>
          <w:noProof/>
        </w:rPr>
        <w:t xml:space="preserve"> </w:t>
      </w:r>
      <w:r w:rsidRPr="00AD1BD0">
        <w:rPr>
          <w:rFonts w:cs="Arial"/>
          <w:noProof/>
        </w:rPr>
        <w:t>Disponível em: &lt;</w:t>
      </w:r>
      <w:r w:rsidRPr="00E87126">
        <w:rPr>
          <w:rFonts w:cs="Arial"/>
          <w:noProof/>
        </w:rPr>
        <w:t>http://www.scielo.br/pdf/ep/v31n2/a07v31n2.pdf</w:t>
      </w:r>
      <w:r w:rsidRPr="00AD1BD0">
        <w:rPr>
          <w:rFonts w:cs="Arial"/>
          <w:noProof/>
        </w:rPr>
        <w:t xml:space="preserve">&gt; Acesso em </w:t>
      </w:r>
      <w:r>
        <w:rPr>
          <w:rFonts w:cs="Arial"/>
          <w:noProof/>
        </w:rPr>
        <w:t>agosto</w:t>
      </w:r>
      <w:r w:rsidRPr="00AD1BD0">
        <w:rPr>
          <w:rFonts w:cs="Arial"/>
          <w:noProof/>
        </w:rPr>
        <w:t xml:space="preserve"> de 2017</w:t>
      </w:r>
    </w:p>
    <w:p w14:paraId="206BA248" w14:textId="77777777" w:rsidR="00871CC0" w:rsidRPr="00AD1BD0" w:rsidRDefault="00871CC0" w:rsidP="00BF5147">
      <w:pPr>
        <w:ind w:left="284" w:hanging="284"/>
        <w:rPr>
          <w:rFonts w:cs="Arial"/>
          <w:szCs w:val="24"/>
          <w:lang w:val="en-US"/>
        </w:rPr>
      </w:pPr>
      <w:r w:rsidRPr="00AD1BD0">
        <w:rPr>
          <w:rFonts w:cs="Arial"/>
          <w:szCs w:val="24"/>
          <w:lang w:val="en-US"/>
        </w:rPr>
        <w:t xml:space="preserve">KAO, </w:t>
      </w:r>
      <w:proofErr w:type="spellStart"/>
      <w:r w:rsidRPr="00AD1BD0">
        <w:rPr>
          <w:rFonts w:cs="Arial"/>
          <w:szCs w:val="24"/>
          <w:lang w:val="en-US"/>
        </w:rPr>
        <w:t>Chihwa</w:t>
      </w:r>
      <w:proofErr w:type="spellEnd"/>
      <w:r w:rsidRPr="00AD1BD0">
        <w:rPr>
          <w:rFonts w:cs="Arial"/>
          <w:szCs w:val="24"/>
          <w:lang w:val="en-US"/>
        </w:rPr>
        <w:t xml:space="preserve">. Spurious regression and residual-based tests for </w:t>
      </w:r>
      <w:proofErr w:type="spellStart"/>
      <w:r w:rsidRPr="00AD1BD0">
        <w:rPr>
          <w:rFonts w:cs="Arial"/>
          <w:szCs w:val="24"/>
          <w:lang w:val="en-US"/>
        </w:rPr>
        <w:t>cointegration</w:t>
      </w:r>
      <w:proofErr w:type="spellEnd"/>
      <w:r w:rsidRPr="00AD1BD0">
        <w:rPr>
          <w:rFonts w:cs="Arial"/>
          <w:szCs w:val="24"/>
          <w:lang w:val="en-US"/>
        </w:rPr>
        <w:t xml:space="preserve"> in panel data. </w:t>
      </w:r>
      <w:r w:rsidRPr="00AD1BD0">
        <w:rPr>
          <w:rFonts w:cs="Arial"/>
          <w:b/>
          <w:szCs w:val="24"/>
          <w:lang w:val="en-US"/>
        </w:rPr>
        <w:t>Journal of econometrics</w:t>
      </w:r>
      <w:r w:rsidRPr="00AD1BD0">
        <w:rPr>
          <w:rFonts w:cs="Arial"/>
          <w:szCs w:val="24"/>
          <w:lang w:val="en-US"/>
        </w:rPr>
        <w:t>, v. 90, n. 1, p. 1-44, 1999.</w:t>
      </w:r>
      <w:r>
        <w:rPr>
          <w:rFonts w:cs="Arial"/>
          <w:szCs w:val="24"/>
          <w:lang w:val="en-US"/>
        </w:rPr>
        <w:t xml:space="preserve"> </w:t>
      </w:r>
      <w:r w:rsidRPr="00035926">
        <w:rPr>
          <w:rFonts w:cs="Arial"/>
          <w:szCs w:val="24"/>
          <w:lang w:val="en-US"/>
        </w:rPr>
        <w:t>https://doi.org/10.1016/S0304-4076(98)00023-2</w:t>
      </w:r>
    </w:p>
    <w:p w14:paraId="5C3D6950" w14:textId="77777777" w:rsidR="00871CC0" w:rsidRPr="00AD1BD0" w:rsidRDefault="00871CC0" w:rsidP="00BF5147">
      <w:pPr>
        <w:pStyle w:val="Bibliografia"/>
        <w:spacing w:after="0"/>
        <w:ind w:left="284" w:firstLineChars="0" w:hanging="284"/>
        <w:rPr>
          <w:rFonts w:cs="Arial"/>
          <w:noProof/>
        </w:rPr>
      </w:pPr>
      <w:r w:rsidRPr="00AD1BD0">
        <w:rPr>
          <w:rFonts w:cs="Arial"/>
          <w:noProof/>
          <w:lang w:val="en-US"/>
        </w:rPr>
        <w:t xml:space="preserve">KUZNETS, S. Economic Growth and Income Inequality. </w:t>
      </w:r>
      <w:r w:rsidRPr="00AD1BD0">
        <w:rPr>
          <w:rFonts w:cs="Arial"/>
          <w:b/>
          <w:noProof/>
          <w:lang w:val="en-US"/>
        </w:rPr>
        <w:t>American Economic Review</w:t>
      </w:r>
      <w:r w:rsidRPr="00AD1BD0">
        <w:rPr>
          <w:rFonts w:cs="Arial"/>
          <w:noProof/>
          <w:lang w:val="en-US"/>
        </w:rPr>
        <w:t xml:space="preserve">, v. 45, p. 1-28. </w:t>
      </w:r>
      <w:r>
        <w:rPr>
          <w:rFonts w:cs="Arial"/>
          <w:noProof/>
        </w:rPr>
        <w:t>195</w:t>
      </w:r>
      <w:r w:rsidRPr="00AD1BD0">
        <w:rPr>
          <w:rFonts w:cs="Arial"/>
          <w:noProof/>
        </w:rPr>
        <w:t>5.</w:t>
      </w:r>
    </w:p>
    <w:p w14:paraId="3AFE1501" w14:textId="77777777" w:rsidR="00871CC0" w:rsidRDefault="00871CC0" w:rsidP="00BF5147">
      <w:pPr>
        <w:pStyle w:val="Bibliografia"/>
        <w:spacing w:after="0"/>
        <w:ind w:left="284" w:firstLineChars="0" w:hanging="284"/>
        <w:rPr>
          <w:noProof/>
        </w:rPr>
      </w:pPr>
      <w:r>
        <w:rPr>
          <w:noProof/>
        </w:rPr>
        <w:t xml:space="preserve">LA ROVERE, E. L. </w:t>
      </w:r>
      <w:r>
        <w:rPr>
          <w:b/>
          <w:bCs/>
          <w:noProof/>
        </w:rPr>
        <w:t>O Brasil e a COP-21</w:t>
      </w:r>
      <w:r>
        <w:rPr>
          <w:noProof/>
        </w:rPr>
        <w:t xml:space="preserve">. [S.l.]: [s.n.], 2016. </w:t>
      </w:r>
      <w:r>
        <w:rPr>
          <w:rFonts w:cs="Arial"/>
          <w:noProof/>
        </w:rPr>
        <w:t>Disponível em: &lt;</w:t>
      </w:r>
      <w:r w:rsidRPr="002914FD">
        <w:rPr>
          <w:rFonts w:cs="Arial"/>
          <w:noProof/>
        </w:rPr>
        <w:t>http://www.centroclima.coppe.ufrj.br/images/Noticias/documentos/O_Brasil_e_a_COP-21_-_Emilio_La_Rovere.pdf</w:t>
      </w:r>
      <w:r w:rsidRPr="00AD1BD0">
        <w:rPr>
          <w:rFonts w:cs="Arial"/>
          <w:noProof/>
        </w:rPr>
        <w:t xml:space="preserve">&gt; Acesso em </w:t>
      </w:r>
      <w:r>
        <w:rPr>
          <w:rFonts w:cs="Arial"/>
          <w:noProof/>
        </w:rPr>
        <w:t>agosto de 2017</w:t>
      </w:r>
    </w:p>
    <w:p w14:paraId="40789344" w14:textId="77777777" w:rsidR="00871CC0" w:rsidRPr="005A2CCD" w:rsidRDefault="00871CC0" w:rsidP="00BF5147">
      <w:pPr>
        <w:ind w:left="284" w:hanging="284"/>
        <w:rPr>
          <w:rFonts w:cs="Arial"/>
          <w:noProof/>
          <w:szCs w:val="24"/>
          <w:lang w:val="en-US"/>
        </w:rPr>
      </w:pPr>
      <w:r w:rsidRPr="00AD1BD0">
        <w:rPr>
          <w:rFonts w:cs="Arial"/>
          <w:noProof/>
          <w:szCs w:val="24"/>
        </w:rPr>
        <w:t xml:space="preserve">LAKATOS, E. M.; &amp; MARCONI, M. </w:t>
      </w:r>
      <w:r w:rsidRPr="00AD1BD0">
        <w:rPr>
          <w:rFonts w:cs="Arial"/>
          <w:b/>
          <w:bCs/>
          <w:noProof/>
          <w:szCs w:val="24"/>
        </w:rPr>
        <w:t>Metodologia do Trabalho Científico</w:t>
      </w:r>
      <w:r w:rsidRPr="00AD1BD0">
        <w:rPr>
          <w:rFonts w:cs="Arial"/>
          <w:noProof/>
          <w:szCs w:val="24"/>
        </w:rPr>
        <w:t xml:space="preserve">. </w:t>
      </w:r>
      <w:r w:rsidRPr="005A2CCD">
        <w:rPr>
          <w:rFonts w:cs="Arial"/>
          <w:noProof/>
          <w:szCs w:val="24"/>
          <w:lang w:val="en-US"/>
        </w:rPr>
        <w:t>São Paulo: Atlas, 2008</w:t>
      </w:r>
    </w:p>
    <w:p w14:paraId="6CB6719D" w14:textId="77777777" w:rsidR="00871CC0" w:rsidRPr="00AD1BD0" w:rsidRDefault="00871CC0" w:rsidP="00BF5147">
      <w:pPr>
        <w:ind w:left="284" w:hanging="284"/>
        <w:rPr>
          <w:rFonts w:cs="Arial"/>
          <w:color w:val="000000"/>
          <w:szCs w:val="24"/>
        </w:rPr>
      </w:pPr>
      <w:r w:rsidRPr="00AD1BD0">
        <w:rPr>
          <w:rFonts w:cs="Arial"/>
          <w:color w:val="000000"/>
          <w:szCs w:val="24"/>
          <w:lang w:val="en-US"/>
        </w:rPr>
        <w:t xml:space="preserve">LEVIN, A.; LIN, C. F.; CHU, C. S. J. Unit roots tests in panel data: asymptotic finite sample properties. </w:t>
      </w:r>
      <w:proofErr w:type="spellStart"/>
      <w:r w:rsidRPr="00AD1BD0">
        <w:rPr>
          <w:rFonts w:cs="Arial"/>
          <w:b/>
          <w:iCs/>
          <w:color w:val="000000"/>
          <w:szCs w:val="24"/>
        </w:rPr>
        <w:t>Journal</w:t>
      </w:r>
      <w:proofErr w:type="spellEnd"/>
      <w:r w:rsidRPr="00AD1BD0">
        <w:rPr>
          <w:rFonts w:cs="Arial"/>
          <w:b/>
          <w:iCs/>
          <w:color w:val="000000"/>
          <w:szCs w:val="24"/>
        </w:rPr>
        <w:t xml:space="preserve"> </w:t>
      </w:r>
      <w:proofErr w:type="spellStart"/>
      <w:r w:rsidRPr="00AD1BD0">
        <w:rPr>
          <w:rFonts w:cs="Arial"/>
          <w:b/>
          <w:iCs/>
          <w:color w:val="000000"/>
          <w:szCs w:val="24"/>
        </w:rPr>
        <w:t>of</w:t>
      </w:r>
      <w:proofErr w:type="spellEnd"/>
      <w:r w:rsidRPr="00AD1BD0">
        <w:rPr>
          <w:rFonts w:cs="Arial"/>
          <w:b/>
          <w:iCs/>
          <w:color w:val="000000"/>
          <w:szCs w:val="24"/>
        </w:rPr>
        <w:t xml:space="preserve"> </w:t>
      </w:r>
      <w:proofErr w:type="spellStart"/>
      <w:r w:rsidRPr="00AD1BD0">
        <w:rPr>
          <w:rFonts w:cs="Arial"/>
          <w:b/>
          <w:iCs/>
          <w:color w:val="000000"/>
          <w:szCs w:val="24"/>
        </w:rPr>
        <w:t>Econometrics</w:t>
      </w:r>
      <w:proofErr w:type="spellEnd"/>
      <w:r w:rsidRPr="00AD1BD0">
        <w:rPr>
          <w:rFonts w:cs="Arial"/>
          <w:color w:val="000000"/>
          <w:szCs w:val="24"/>
        </w:rPr>
        <w:t>, v. 108, p. 1-24, 2002.</w:t>
      </w:r>
      <w:r>
        <w:rPr>
          <w:rFonts w:cs="Arial"/>
          <w:color w:val="000000"/>
          <w:szCs w:val="24"/>
        </w:rPr>
        <w:t xml:space="preserve"> </w:t>
      </w:r>
      <w:r w:rsidRPr="00BC1C1A">
        <w:rPr>
          <w:rFonts w:cs="Arial"/>
          <w:color w:val="000000"/>
          <w:szCs w:val="24"/>
        </w:rPr>
        <w:t>https://doi.org/10.1016/S0304-4076(01)00098-7</w:t>
      </w:r>
    </w:p>
    <w:p w14:paraId="2E31930A" w14:textId="77777777" w:rsidR="00871CC0" w:rsidRPr="00AD1BD0" w:rsidRDefault="00871CC0" w:rsidP="00BF5147">
      <w:pPr>
        <w:pStyle w:val="Bibliografia"/>
        <w:spacing w:after="0"/>
        <w:ind w:left="284" w:firstLineChars="0" w:hanging="284"/>
        <w:rPr>
          <w:rFonts w:cs="Arial"/>
          <w:noProof/>
        </w:rPr>
      </w:pPr>
      <w:r w:rsidRPr="00AD1BD0">
        <w:rPr>
          <w:rFonts w:cs="Arial"/>
          <w:noProof/>
        </w:rPr>
        <w:t xml:space="preserve">LUCENA, A. F. P. (2005): </w:t>
      </w:r>
      <w:r w:rsidRPr="00AD1BD0">
        <w:rPr>
          <w:rFonts w:cs="Arial"/>
          <w:b/>
          <w:noProof/>
        </w:rPr>
        <w:t>Estimativa de uma Curva de Kuznets Ambiental aplicada ao uso de energia e suas implicações para as emissões de carbono no Brasil</w:t>
      </w:r>
      <w:r w:rsidRPr="00AD1BD0">
        <w:rPr>
          <w:rFonts w:cs="Arial"/>
          <w:noProof/>
        </w:rPr>
        <w:t>. Dissertação (Mestrado em Planejamento Energético) - Faculdade de Engenharia, Universidade Federal do Rio de Janeiro, Rio de Janeiro, 2005.</w:t>
      </w:r>
    </w:p>
    <w:p w14:paraId="3EE2BBFA" w14:textId="77777777" w:rsidR="00871CC0" w:rsidRPr="00B95019" w:rsidRDefault="00871CC0" w:rsidP="00BF5147">
      <w:pPr>
        <w:ind w:left="284" w:hanging="284"/>
        <w:rPr>
          <w:rFonts w:cs="Arial"/>
          <w:szCs w:val="24"/>
          <w:shd w:val="clear" w:color="auto" w:fill="FFFFFF"/>
        </w:rPr>
      </w:pPr>
      <w:r w:rsidRPr="00377B0C">
        <w:rPr>
          <w:rFonts w:cs="Arial"/>
          <w:szCs w:val="24"/>
          <w:shd w:val="clear" w:color="auto" w:fill="FFFFFF"/>
          <w:lang w:val="en-US"/>
        </w:rPr>
        <w:t xml:space="preserve">MADDALA, </w:t>
      </w:r>
      <w:r w:rsidR="00377B0C" w:rsidRPr="00377B0C">
        <w:rPr>
          <w:rFonts w:cs="Arial"/>
          <w:szCs w:val="24"/>
          <w:shd w:val="clear" w:color="auto" w:fill="FFFFFF"/>
          <w:lang w:val="en-US"/>
        </w:rPr>
        <w:t>G</w:t>
      </w:r>
      <w:r w:rsidRPr="00377B0C">
        <w:rPr>
          <w:rFonts w:cs="Arial"/>
          <w:szCs w:val="24"/>
          <w:shd w:val="clear" w:color="auto" w:fill="FFFFFF"/>
          <w:lang w:val="en-US"/>
        </w:rPr>
        <w:t xml:space="preserve"> S.; WU, </w:t>
      </w:r>
      <w:r w:rsidR="00377B0C">
        <w:rPr>
          <w:rFonts w:cs="Arial"/>
          <w:szCs w:val="24"/>
          <w:shd w:val="clear" w:color="auto" w:fill="FFFFFF"/>
          <w:lang w:val="en-US"/>
        </w:rPr>
        <w:t>S</w:t>
      </w:r>
      <w:r w:rsidRPr="00377B0C">
        <w:rPr>
          <w:rFonts w:cs="Arial"/>
          <w:szCs w:val="24"/>
          <w:shd w:val="clear" w:color="auto" w:fill="FFFFFF"/>
          <w:lang w:val="en-US"/>
        </w:rPr>
        <w:t xml:space="preserve">. </w:t>
      </w:r>
      <w:r w:rsidRPr="00AD1BD0">
        <w:rPr>
          <w:rFonts w:cs="Arial"/>
          <w:szCs w:val="24"/>
          <w:shd w:val="clear" w:color="auto" w:fill="FFFFFF"/>
          <w:lang w:val="en-US"/>
        </w:rPr>
        <w:t xml:space="preserve">A comparative study of unit root tests with panel data and a new simple test. </w:t>
      </w:r>
      <w:r>
        <w:rPr>
          <w:rFonts w:cs="Arial"/>
          <w:b/>
          <w:bCs/>
          <w:szCs w:val="24"/>
          <w:shd w:val="clear" w:color="auto" w:fill="FFFFFF"/>
          <w:lang w:val="en-US"/>
        </w:rPr>
        <w:t>Oxford Bull. of Econ. and Stat.</w:t>
      </w:r>
      <w:r w:rsidRPr="00AD1BD0">
        <w:rPr>
          <w:rFonts w:cs="Arial"/>
          <w:szCs w:val="24"/>
          <w:shd w:val="clear" w:color="auto" w:fill="FFFFFF"/>
          <w:lang w:val="en-US"/>
        </w:rPr>
        <w:t>, v. 61, n. S1, p. 631-652, 1999.</w:t>
      </w:r>
      <w:r>
        <w:rPr>
          <w:rFonts w:cs="Arial"/>
          <w:szCs w:val="24"/>
          <w:shd w:val="clear" w:color="auto" w:fill="FFFFFF"/>
          <w:lang w:val="en-US"/>
        </w:rPr>
        <w:t xml:space="preserve"> </w:t>
      </w:r>
      <w:r w:rsidRPr="00AD1BD0">
        <w:rPr>
          <w:rFonts w:cs="Arial"/>
          <w:noProof/>
        </w:rPr>
        <w:t>Disponível em: &lt;</w:t>
      </w:r>
      <w:r w:rsidRPr="00B95019">
        <w:rPr>
          <w:rFonts w:cs="Arial"/>
          <w:noProof/>
        </w:rPr>
        <w:t>https://onlinelibrary.wiley.com/doi/pdf/10.1111/1468-0084.0610s1631</w:t>
      </w:r>
      <w:r w:rsidRPr="00AD1BD0">
        <w:rPr>
          <w:rFonts w:cs="Arial"/>
          <w:noProof/>
        </w:rPr>
        <w:t xml:space="preserve">&gt; Acesso em </w:t>
      </w:r>
      <w:r>
        <w:rPr>
          <w:rFonts w:cs="Arial"/>
          <w:noProof/>
        </w:rPr>
        <w:t>março de 2018</w:t>
      </w:r>
    </w:p>
    <w:p w14:paraId="1B523B64" w14:textId="77777777" w:rsidR="00871CC0" w:rsidRPr="00BD42E8" w:rsidRDefault="00871CC0" w:rsidP="00BF5147">
      <w:pPr>
        <w:ind w:left="284" w:hanging="284"/>
      </w:pPr>
      <w:r w:rsidRPr="00AD1BD0">
        <w:rPr>
          <w:lang w:val="en-US"/>
        </w:rPr>
        <w:t xml:space="preserve">MCCOSKEY, S; KAO C. A residual-based test of the null of </w:t>
      </w:r>
      <w:proofErr w:type="spellStart"/>
      <w:r w:rsidRPr="00AD1BD0">
        <w:rPr>
          <w:lang w:val="en-US"/>
        </w:rPr>
        <w:t>cointegration</w:t>
      </w:r>
      <w:proofErr w:type="spellEnd"/>
      <w:r w:rsidRPr="00AD1BD0">
        <w:rPr>
          <w:lang w:val="en-US"/>
        </w:rPr>
        <w:t xml:space="preserve"> in panel</w:t>
      </w:r>
      <w:r w:rsidR="000940C9">
        <w:rPr>
          <w:lang w:val="en-US"/>
        </w:rPr>
        <w:t xml:space="preserve"> </w:t>
      </w:r>
      <w:r w:rsidRPr="00AD1BD0">
        <w:rPr>
          <w:lang w:val="en-US"/>
        </w:rPr>
        <w:t xml:space="preserve">data, </w:t>
      </w:r>
      <w:r w:rsidRPr="00AD1BD0">
        <w:rPr>
          <w:b/>
          <w:lang w:val="en-US"/>
        </w:rPr>
        <w:t>Econometric Reviews</w:t>
      </w:r>
      <w:r w:rsidRPr="00AD1BD0">
        <w:rPr>
          <w:lang w:val="en-US"/>
        </w:rPr>
        <w:t>, 17:1, 57-84, 1998</w:t>
      </w:r>
      <w:r>
        <w:rPr>
          <w:lang w:val="en-US"/>
        </w:rPr>
        <w:t xml:space="preserve">. </w:t>
      </w:r>
      <w:r w:rsidRPr="00AD1BD0">
        <w:rPr>
          <w:rFonts w:cs="Arial"/>
          <w:noProof/>
        </w:rPr>
        <w:t>Disponível em: &lt;</w:t>
      </w:r>
      <w:r w:rsidRPr="00BD42E8">
        <w:t xml:space="preserve"> </w:t>
      </w:r>
      <w:r w:rsidRPr="00BD42E8">
        <w:rPr>
          <w:rFonts w:cs="Arial"/>
          <w:noProof/>
        </w:rPr>
        <w:t>http://econwpa.repec.org/eps/em/papers/9711/9711002.pdf</w:t>
      </w:r>
      <w:r w:rsidRPr="00AD1BD0">
        <w:rPr>
          <w:rFonts w:cs="Arial"/>
          <w:noProof/>
        </w:rPr>
        <w:t xml:space="preserve">&gt; Acesso em </w:t>
      </w:r>
      <w:r>
        <w:rPr>
          <w:rFonts w:cs="Arial"/>
          <w:noProof/>
        </w:rPr>
        <w:t>março de 2018</w:t>
      </w:r>
    </w:p>
    <w:p w14:paraId="3CBD2F70" w14:textId="77777777" w:rsidR="00871CC0" w:rsidRDefault="00871CC0" w:rsidP="00BF5147">
      <w:pPr>
        <w:pStyle w:val="Bibliografia"/>
        <w:spacing w:after="0"/>
        <w:ind w:left="284" w:firstLineChars="0" w:hanging="284"/>
        <w:rPr>
          <w:noProof/>
        </w:rPr>
      </w:pPr>
      <w:r w:rsidRPr="00AD1BD0">
        <w:rPr>
          <w:rFonts w:cs="Arial"/>
          <w:noProof/>
          <w:lang w:val="en-US"/>
        </w:rPr>
        <w:t xml:space="preserve">MEADOWS, D.H., MEADOWS, D.L., RANDERS, J., BEHRENS III, W. </w:t>
      </w:r>
      <w:r w:rsidRPr="00AD1BD0">
        <w:rPr>
          <w:rFonts w:cs="Arial"/>
          <w:b/>
          <w:noProof/>
          <w:lang w:val="en-US"/>
        </w:rPr>
        <w:t>Limits to growth.</w:t>
      </w:r>
      <w:r w:rsidRPr="00AD1BD0">
        <w:rPr>
          <w:rFonts w:cs="Arial"/>
          <w:noProof/>
          <w:lang w:val="en-US"/>
        </w:rPr>
        <w:t xml:space="preserve">  </w:t>
      </w:r>
      <w:r w:rsidRPr="00AD1BD0">
        <w:rPr>
          <w:rFonts w:cs="Arial"/>
          <w:noProof/>
        </w:rPr>
        <w:t>Nova York: Universe Books, 1972.</w:t>
      </w:r>
      <w:r w:rsidRPr="001E4C7A">
        <w:rPr>
          <w:noProof/>
        </w:rPr>
        <w:t xml:space="preserve"> </w:t>
      </w:r>
    </w:p>
    <w:p w14:paraId="40D1B9CC" w14:textId="77777777" w:rsidR="00871CC0" w:rsidRDefault="00871CC0" w:rsidP="00BF5147">
      <w:pPr>
        <w:pStyle w:val="Bibliografia"/>
        <w:spacing w:after="0"/>
        <w:ind w:left="284" w:firstLineChars="0" w:hanging="284"/>
        <w:rPr>
          <w:noProof/>
        </w:rPr>
      </w:pPr>
      <w:r>
        <w:rPr>
          <w:noProof/>
        </w:rPr>
        <w:lastRenderedPageBreak/>
        <w:t xml:space="preserve">MONZONI, M. </w:t>
      </w:r>
      <w:r>
        <w:rPr>
          <w:b/>
          <w:bCs/>
          <w:noProof/>
        </w:rPr>
        <w:t>Contribuições para análise da viabilidade econômica da implementação do Plano ABC e da INDC no Brasil</w:t>
      </w:r>
      <w:r>
        <w:rPr>
          <w:noProof/>
        </w:rPr>
        <w:t xml:space="preserve">. GVces: São Paulo, 2016. 63 p. </w:t>
      </w:r>
      <w:r>
        <w:rPr>
          <w:rFonts w:cs="Arial"/>
          <w:noProof/>
        </w:rPr>
        <w:t>Disponível em: &lt;</w:t>
      </w:r>
      <w:r w:rsidRPr="00E13EBA">
        <w:t xml:space="preserve"> </w:t>
      </w:r>
      <w:r w:rsidRPr="00E13EBA">
        <w:rPr>
          <w:rFonts w:cs="Arial"/>
          <w:noProof/>
        </w:rPr>
        <w:t>http://hdl.handle.net/10438/18639</w:t>
      </w:r>
      <w:r w:rsidRPr="00AD1BD0">
        <w:rPr>
          <w:rFonts w:cs="Arial"/>
          <w:noProof/>
        </w:rPr>
        <w:t xml:space="preserve">&gt; Acesso em </w:t>
      </w:r>
      <w:r>
        <w:rPr>
          <w:rFonts w:cs="Arial"/>
          <w:noProof/>
        </w:rPr>
        <w:t>agosto de 2017</w:t>
      </w:r>
    </w:p>
    <w:p w14:paraId="48D1A658" w14:textId="77777777" w:rsidR="00871CC0" w:rsidRPr="00AD1BD0" w:rsidRDefault="00871CC0" w:rsidP="00BF5147">
      <w:pPr>
        <w:pStyle w:val="Bibliografia"/>
        <w:spacing w:after="0"/>
        <w:ind w:left="284" w:firstLineChars="0" w:hanging="284"/>
        <w:rPr>
          <w:rFonts w:cs="Arial"/>
          <w:noProof/>
        </w:rPr>
      </w:pPr>
      <w:r w:rsidRPr="00AD1BD0">
        <w:rPr>
          <w:rFonts w:cs="Arial"/>
          <w:noProof/>
        </w:rPr>
        <w:t xml:space="preserve">MUELLER, C. C. </w:t>
      </w:r>
      <w:r w:rsidRPr="00AD1BD0">
        <w:rPr>
          <w:rFonts w:cs="Arial"/>
          <w:b/>
          <w:bCs/>
          <w:noProof/>
        </w:rPr>
        <w:t>Os economistas e as inter-relações entre o sistema econômico e o meio ambiente</w:t>
      </w:r>
      <w:r w:rsidRPr="00AD1BD0">
        <w:rPr>
          <w:rFonts w:cs="Arial"/>
          <w:noProof/>
        </w:rPr>
        <w:t>. Brasília: NEPAMA, Universidade de Brasília, v. 5, 2004.</w:t>
      </w:r>
    </w:p>
    <w:p w14:paraId="2DE752A4" w14:textId="77777777" w:rsidR="00871CC0" w:rsidRPr="000312E2" w:rsidRDefault="00871CC0" w:rsidP="00BF5147">
      <w:pPr>
        <w:pStyle w:val="Bibliografia"/>
        <w:spacing w:after="0"/>
        <w:ind w:left="284" w:firstLineChars="0" w:hanging="284"/>
        <w:rPr>
          <w:rFonts w:cs="Arial"/>
          <w:noProof/>
        </w:rPr>
      </w:pPr>
      <w:r w:rsidRPr="00E72789">
        <w:rPr>
          <w:rFonts w:cs="Arial"/>
          <w:noProof/>
        </w:rPr>
        <w:t xml:space="preserve">NØRGÅRD, J.S., PEET, J., RAGNARSDÓTTIR, K.V. The history of The Limits to Growth. </w:t>
      </w:r>
      <w:r w:rsidRPr="000312E2">
        <w:rPr>
          <w:rFonts w:cs="Arial"/>
          <w:b/>
          <w:noProof/>
        </w:rPr>
        <w:t>Solutions</w:t>
      </w:r>
      <w:r w:rsidRPr="000312E2">
        <w:rPr>
          <w:rFonts w:cs="Arial"/>
          <w:noProof/>
        </w:rPr>
        <w:t xml:space="preserve">, v. 1, n. 2, p. 59-63, 2010. </w:t>
      </w:r>
      <w:r w:rsidRPr="00AD1BD0">
        <w:rPr>
          <w:rFonts w:cs="Arial"/>
          <w:noProof/>
        </w:rPr>
        <w:t>Disponível em: &lt;</w:t>
      </w:r>
      <w:r w:rsidRPr="000312E2">
        <w:t>http://orbit.dtu.dk/fedora/objects/orbit:26771/datastreams/file_5509654/content</w:t>
      </w:r>
      <w:r w:rsidRPr="00AD1BD0">
        <w:rPr>
          <w:rFonts w:cs="Arial"/>
          <w:noProof/>
        </w:rPr>
        <w:t xml:space="preserve">&gt; Acesso em </w:t>
      </w:r>
      <w:r>
        <w:rPr>
          <w:rFonts w:cs="Arial"/>
          <w:noProof/>
        </w:rPr>
        <w:t>outubro de 2017</w:t>
      </w:r>
    </w:p>
    <w:p w14:paraId="1E5A1ACC" w14:textId="77777777" w:rsidR="00871CC0" w:rsidRPr="000312E2" w:rsidRDefault="00871CC0" w:rsidP="00BF5147">
      <w:pPr>
        <w:pStyle w:val="Bibliografia"/>
        <w:spacing w:after="0"/>
        <w:ind w:left="284" w:firstLineChars="0" w:hanging="284"/>
        <w:rPr>
          <w:rFonts w:cs="Arial"/>
          <w:noProof/>
        </w:rPr>
      </w:pPr>
      <w:r w:rsidRPr="00AD1BD0">
        <w:rPr>
          <w:rFonts w:cs="Arial"/>
          <w:noProof/>
          <w:lang w:val="en-US"/>
        </w:rPr>
        <w:t xml:space="preserve">PANAYOTOU, T. Empirical tests and policy analysis of environmental degradation at different stages of economic development. </w:t>
      </w:r>
      <w:r w:rsidRPr="00F05A7A">
        <w:rPr>
          <w:rFonts w:cs="Arial"/>
          <w:b/>
          <w:noProof/>
        </w:rPr>
        <w:t>International Labour Organization</w:t>
      </w:r>
      <w:r w:rsidRPr="00F05A7A">
        <w:rPr>
          <w:rFonts w:cs="Arial"/>
          <w:noProof/>
        </w:rPr>
        <w:t xml:space="preserve">, 1993. </w:t>
      </w:r>
      <w:r w:rsidRPr="00AD1BD0">
        <w:rPr>
          <w:rFonts w:cs="Arial"/>
          <w:noProof/>
        </w:rPr>
        <w:t>Disponível em: &lt;</w:t>
      </w:r>
      <w:r>
        <w:rPr>
          <w:rFonts w:cs="Arial"/>
          <w:color w:val="333333"/>
          <w:shd w:val="clear" w:color="auto" w:fill="FFFFFF"/>
        </w:rPr>
        <w:t>http://www.ilo.org/public/libdoc/ilo/1993/93B09_31_engl.pdf</w:t>
      </w:r>
      <w:r w:rsidRPr="00AD1BD0">
        <w:rPr>
          <w:rFonts w:cs="Arial"/>
          <w:noProof/>
        </w:rPr>
        <w:t xml:space="preserve">&gt; Acesso em </w:t>
      </w:r>
      <w:r>
        <w:rPr>
          <w:rFonts w:cs="Arial"/>
          <w:noProof/>
        </w:rPr>
        <w:t>agosto de 2017</w:t>
      </w:r>
    </w:p>
    <w:p w14:paraId="01C2C6F3" w14:textId="77777777" w:rsidR="00871CC0" w:rsidRDefault="00871CC0" w:rsidP="00BF5147">
      <w:pPr>
        <w:pStyle w:val="Bibliografia"/>
        <w:spacing w:after="0"/>
        <w:ind w:left="284" w:firstLineChars="0" w:hanging="284"/>
        <w:rPr>
          <w:noProof/>
        </w:rPr>
      </w:pPr>
      <w:r>
        <w:rPr>
          <w:noProof/>
        </w:rPr>
        <w:t xml:space="preserve">PASQUAL, J. C. E. A. Implicações e desafios para o setor energético do Brasil e México para atender às reduções de emissão de dióxido de carbono comprometidas no INDC durante a COP 21-CMP11. </w:t>
      </w:r>
      <w:r>
        <w:rPr>
          <w:b/>
          <w:bCs/>
          <w:noProof/>
        </w:rPr>
        <w:t>Desenv. e Meio Amb.</w:t>
      </w:r>
      <w:r>
        <w:rPr>
          <w:noProof/>
        </w:rPr>
        <w:t xml:space="preserve">, v. 37, 2016 </w:t>
      </w:r>
      <w:r w:rsidRPr="002914FD">
        <w:rPr>
          <w:noProof/>
        </w:rPr>
        <w:t>http://dx.doi.org/10.5380/dma.v37i0.45129</w:t>
      </w:r>
      <w:r w:rsidRPr="002914FD">
        <w:rPr>
          <w:noProof/>
        </w:rPr>
        <w:tab/>
      </w:r>
    </w:p>
    <w:p w14:paraId="28570CA7" w14:textId="77777777" w:rsidR="00871CC0" w:rsidRPr="005A2CCD" w:rsidRDefault="00871CC0" w:rsidP="00BF5147">
      <w:pPr>
        <w:ind w:left="284" w:hanging="284"/>
        <w:rPr>
          <w:rFonts w:cs="Arial"/>
          <w:color w:val="000000"/>
          <w:szCs w:val="24"/>
        </w:rPr>
      </w:pPr>
      <w:r w:rsidRPr="00E72789">
        <w:rPr>
          <w:rFonts w:cs="Arial"/>
          <w:color w:val="000000"/>
          <w:szCs w:val="24"/>
          <w:lang w:val="en-US"/>
        </w:rPr>
        <w:t xml:space="preserve">PEDRONI, P. Critical values for </w:t>
      </w:r>
      <w:proofErr w:type="spellStart"/>
      <w:r w:rsidRPr="00E72789">
        <w:rPr>
          <w:rFonts w:cs="Arial"/>
          <w:color w:val="000000"/>
          <w:szCs w:val="24"/>
          <w:lang w:val="en-US"/>
        </w:rPr>
        <w:t>cointegration</w:t>
      </w:r>
      <w:proofErr w:type="spellEnd"/>
      <w:r w:rsidRPr="00E72789">
        <w:rPr>
          <w:rFonts w:cs="Arial"/>
          <w:color w:val="000000"/>
          <w:szCs w:val="24"/>
          <w:lang w:val="en-US"/>
        </w:rPr>
        <w:t xml:space="preserve"> tests in heterogeneous panels with multiple </w:t>
      </w:r>
      <w:proofErr w:type="spellStart"/>
      <w:r w:rsidRPr="00E72789">
        <w:rPr>
          <w:rFonts w:cs="Arial"/>
          <w:color w:val="000000"/>
          <w:szCs w:val="24"/>
          <w:lang w:val="en-US"/>
        </w:rPr>
        <w:t>regressors</w:t>
      </w:r>
      <w:proofErr w:type="spellEnd"/>
      <w:r w:rsidRPr="00E72789">
        <w:rPr>
          <w:rFonts w:cs="Arial"/>
          <w:color w:val="000000"/>
          <w:szCs w:val="24"/>
          <w:lang w:val="en-US"/>
        </w:rPr>
        <w:t xml:space="preserve">. </w:t>
      </w:r>
      <w:r w:rsidRPr="005A2CCD">
        <w:rPr>
          <w:rFonts w:cs="Arial"/>
          <w:b/>
          <w:bCs/>
          <w:szCs w:val="24"/>
          <w:shd w:val="clear" w:color="auto" w:fill="FFFFFF"/>
        </w:rPr>
        <w:t xml:space="preserve">Oxford Bull. </w:t>
      </w:r>
      <w:proofErr w:type="spellStart"/>
      <w:proofErr w:type="gramStart"/>
      <w:r w:rsidRPr="005A2CCD">
        <w:rPr>
          <w:rFonts w:cs="Arial"/>
          <w:b/>
          <w:bCs/>
          <w:szCs w:val="24"/>
          <w:shd w:val="clear" w:color="auto" w:fill="FFFFFF"/>
        </w:rPr>
        <w:t>of</w:t>
      </w:r>
      <w:proofErr w:type="spellEnd"/>
      <w:proofErr w:type="gramEnd"/>
      <w:r w:rsidRPr="005A2CCD">
        <w:rPr>
          <w:rFonts w:cs="Arial"/>
          <w:b/>
          <w:bCs/>
          <w:szCs w:val="24"/>
          <w:shd w:val="clear" w:color="auto" w:fill="FFFFFF"/>
        </w:rPr>
        <w:t xml:space="preserve"> Econ. </w:t>
      </w:r>
      <w:proofErr w:type="spellStart"/>
      <w:proofErr w:type="gramStart"/>
      <w:r w:rsidRPr="005A2CCD">
        <w:rPr>
          <w:rFonts w:cs="Arial"/>
          <w:b/>
          <w:bCs/>
          <w:szCs w:val="24"/>
          <w:shd w:val="clear" w:color="auto" w:fill="FFFFFF"/>
        </w:rPr>
        <w:t>and</w:t>
      </w:r>
      <w:proofErr w:type="spellEnd"/>
      <w:proofErr w:type="gramEnd"/>
      <w:r w:rsidRPr="005A2CCD">
        <w:rPr>
          <w:rFonts w:cs="Arial"/>
          <w:b/>
          <w:bCs/>
          <w:szCs w:val="24"/>
          <w:shd w:val="clear" w:color="auto" w:fill="FFFFFF"/>
        </w:rPr>
        <w:t xml:space="preserve"> </w:t>
      </w:r>
      <w:proofErr w:type="spellStart"/>
      <w:r w:rsidRPr="005A2CCD">
        <w:rPr>
          <w:rFonts w:cs="Arial"/>
          <w:b/>
          <w:bCs/>
          <w:szCs w:val="24"/>
          <w:shd w:val="clear" w:color="auto" w:fill="FFFFFF"/>
        </w:rPr>
        <w:t>Stat</w:t>
      </w:r>
      <w:proofErr w:type="spellEnd"/>
      <w:r w:rsidRPr="005A2CCD">
        <w:rPr>
          <w:rFonts w:cs="Arial"/>
          <w:color w:val="000000"/>
          <w:szCs w:val="24"/>
        </w:rPr>
        <w:t xml:space="preserve">, v. 61, p. 653–670, 1999. </w:t>
      </w:r>
      <w:r w:rsidRPr="005A2CCD">
        <w:rPr>
          <w:rFonts w:cs="Arial"/>
          <w:noProof/>
        </w:rPr>
        <w:t>Disponível em: &lt; https://onlinelibrary.wiley.com/doi/abs/10.1111/1468-0084.0610s1653&gt; Acesso em março de 2017</w:t>
      </w:r>
    </w:p>
    <w:p w14:paraId="2E8D3B3D" w14:textId="77777777" w:rsidR="00871CC0" w:rsidRPr="00AD1BD0" w:rsidRDefault="00871CC0" w:rsidP="00BF5147">
      <w:pPr>
        <w:ind w:left="284" w:hanging="284"/>
        <w:rPr>
          <w:rFonts w:cs="Arial"/>
          <w:color w:val="000000"/>
          <w:szCs w:val="24"/>
        </w:rPr>
      </w:pPr>
      <w:r>
        <w:rPr>
          <w:rFonts w:cs="Arial"/>
          <w:szCs w:val="24"/>
          <w:lang w:val="en-US"/>
        </w:rPr>
        <w:t>____</w:t>
      </w:r>
      <w:r w:rsidR="00252959">
        <w:rPr>
          <w:rFonts w:cs="Arial"/>
          <w:szCs w:val="24"/>
          <w:lang w:val="en-US"/>
        </w:rPr>
        <w:t>_</w:t>
      </w:r>
      <w:r>
        <w:rPr>
          <w:rFonts w:cs="Arial"/>
          <w:szCs w:val="24"/>
          <w:lang w:val="en-US"/>
        </w:rPr>
        <w:t>_</w:t>
      </w:r>
      <w:r w:rsidRPr="00AD1BD0">
        <w:rPr>
          <w:rFonts w:cs="Arial"/>
          <w:szCs w:val="24"/>
          <w:lang w:val="en-US"/>
        </w:rPr>
        <w:t xml:space="preserve">. Panel </w:t>
      </w:r>
      <w:proofErr w:type="spellStart"/>
      <w:r w:rsidRPr="00AD1BD0">
        <w:rPr>
          <w:rFonts w:cs="Arial"/>
          <w:szCs w:val="24"/>
          <w:lang w:val="en-US"/>
        </w:rPr>
        <w:t>Cointegration</w:t>
      </w:r>
      <w:proofErr w:type="spellEnd"/>
      <w:r w:rsidRPr="00AD1BD0">
        <w:rPr>
          <w:rFonts w:cs="Arial"/>
          <w:szCs w:val="24"/>
          <w:lang w:val="en-US"/>
        </w:rPr>
        <w:t xml:space="preserve">; Asymptotic and Finite Sample Properties of Pooled Time Series Tests with an Application to the PPP Hypothesis. </w:t>
      </w:r>
      <w:proofErr w:type="spellStart"/>
      <w:r w:rsidRPr="00AD1BD0">
        <w:rPr>
          <w:rFonts w:cs="Arial"/>
          <w:b/>
          <w:szCs w:val="24"/>
        </w:rPr>
        <w:t>Econometric</w:t>
      </w:r>
      <w:proofErr w:type="spellEnd"/>
      <w:r w:rsidRPr="00AD1BD0">
        <w:rPr>
          <w:rFonts w:cs="Arial"/>
          <w:b/>
          <w:szCs w:val="24"/>
        </w:rPr>
        <w:t xml:space="preserve"> </w:t>
      </w:r>
      <w:proofErr w:type="spellStart"/>
      <w:r w:rsidRPr="00AD1BD0">
        <w:rPr>
          <w:rFonts w:cs="Arial"/>
          <w:b/>
          <w:szCs w:val="24"/>
        </w:rPr>
        <w:t>Theory</w:t>
      </w:r>
      <w:proofErr w:type="spellEnd"/>
      <w:r w:rsidRPr="00AD1BD0">
        <w:rPr>
          <w:rFonts w:cs="Arial"/>
          <w:szCs w:val="24"/>
        </w:rPr>
        <w:t>, 20, 597-625, 2004</w:t>
      </w:r>
      <w:r>
        <w:rPr>
          <w:rFonts w:cs="Arial"/>
          <w:szCs w:val="24"/>
        </w:rPr>
        <w:t xml:space="preserve">. </w:t>
      </w:r>
      <w:r w:rsidRPr="00062A6F">
        <w:rPr>
          <w:rFonts w:cs="Arial"/>
          <w:szCs w:val="24"/>
        </w:rPr>
        <w:t>https://doi.org/10.1017/S0266466604203073</w:t>
      </w:r>
    </w:p>
    <w:p w14:paraId="7B265219" w14:textId="77777777" w:rsidR="00871CC0" w:rsidRPr="00AD1BD0" w:rsidRDefault="00871CC0" w:rsidP="00BF5147">
      <w:pPr>
        <w:pStyle w:val="Bibliografia"/>
        <w:spacing w:after="0"/>
        <w:ind w:left="284" w:firstLineChars="0" w:hanging="284"/>
        <w:rPr>
          <w:rFonts w:cs="Arial"/>
          <w:noProof/>
        </w:rPr>
      </w:pPr>
      <w:r w:rsidRPr="00AD1BD0">
        <w:rPr>
          <w:rFonts w:cs="Arial"/>
          <w:noProof/>
        </w:rPr>
        <w:t xml:space="preserve">PIRES, G.N. Crescimento econômico e emissões de dioxide de carbon: a hipótese da Curva de Kuznets Ambiental para o Brasil (1970 – 2011). </w:t>
      </w:r>
      <w:r>
        <w:rPr>
          <w:rFonts w:cs="Arial"/>
          <w:b/>
          <w:noProof/>
        </w:rPr>
        <w:t>Revista Observ. de la Econ.</w:t>
      </w:r>
      <w:r w:rsidRPr="00AD1BD0">
        <w:rPr>
          <w:rFonts w:cs="Arial"/>
          <w:b/>
          <w:noProof/>
        </w:rPr>
        <w:t xml:space="preserve"> Latinoamericana</w:t>
      </w:r>
      <w:r w:rsidRPr="00AD1BD0">
        <w:rPr>
          <w:rFonts w:cs="Arial"/>
          <w:noProof/>
        </w:rPr>
        <w:t>,</w:t>
      </w:r>
      <w:r>
        <w:rPr>
          <w:rFonts w:cs="Arial"/>
          <w:noProof/>
        </w:rPr>
        <w:t xml:space="preserve"> Brasil. 2017. Disponível em: &lt;</w:t>
      </w:r>
      <w:r w:rsidRPr="00AD1BD0">
        <w:rPr>
          <w:rFonts w:cs="Arial"/>
          <w:noProof/>
        </w:rPr>
        <w:t>http://www.eumed.net/cursecon/ecolat/br/17/kuznets.html&gt; Acesso em junho de 2017.</w:t>
      </w:r>
    </w:p>
    <w:p w14:paraId="0828791B" w14:textId="77777777" w:rsidR="00871CC0" w:rsidRPr="00E3422F" w:rsidRDefault="00871CC0" w:rsidP="00BF5147">
      <w:pPr>
        <w:ind w:left="284" w:hanging="284"/>
        <w:rPr>
          <w:rFonts w:cs="Arial"/>
          <w:noProof/>
          <w:szCs w:val="24"/>
          <w:lang w:val="en-US"/>
        </w:rPr>
      </w:pPr>
      <w:r w:rsidRPr="005A2CCD">
        <w:rPr>
          <w:rFonts w:cs="Arial"/>
          <w:noProof/>
          <w:szCs w:val="24"/>
          <w:lang w:val="en-US"/>
        </w:rPr>
        <w:t xml:space="preserve">RUPASINGHA, </w:t>
      </w:r>
      <w:r w:rsidRPr="00AD1BD0">
        <w:rPr>
          <w:rFonts w:cs="Arial"/>
          <w:noProof/>
          <w:szCs w:val="24"/>
          <w:lang w:val="en-US"/>
        </w:rPr>
        <w:t xml:space="preserve">A. et al. The Environmental Kuznets Curve for US Counties: a Spatial Econometric Analysis with Extensions. </w:t>
      </w:r>
      <w:r w:rsidRPr="00E3422F">
        <w:rPr>
          <w:rFonts w:cs="Arial"/>
          <w:b/>
          <w:bCs/>
          <w:noProof/>
          <w:szCs w:val="24"/>
          <w:lang w:val="en-US"/>
        </w:rPr>
        <w:t>Papers in Regional Science</w:t>
      </w:r>
      <w:r w:rsidRPr="00E3422F">
        <w:rPr>
          <w:rFonts w:cs="Arial"/>
          <w:noProof/>
          <w:szCs w:val="24"/>
          <w:lang w:val="en-US"/>
        </w:rPr>
        <w:t>, v. 83, p. 407-424, 2004. https://doi.org/10.1007/s10110-004-0199-x</w:t>
      </w:r>
    </w:p>
    <w:p w14:paraId="13BAA334" w14:textId="7CC31FB8" w:rsidR="00871CC0" w:rsidRPr="00AD1BD0" w:rsidRDefault="00871CC0" w:rsidP="00BF5147">
      <w:pPr>
        <w:pStyle w:val="Bibliografia"/>
        <w:spacing w:after="0"/>
        <w:ind w:left="284" w:firstLineChars="0" w:hanging="284"/>
        <w:rPr>
          <w:rFonts w:cs="Arial"/>
          <w:noProof/>
        </w:rPr>
      </w:pPr>
      <w:r w:rsidRPr="00AD1BD0">
        <w:rPr>
          <w:rFonts w:cs="Arial"/>
          <w:noProof/>
        </w:rPr>
        <w:t xml:space="preserve">SANTOS, R. B. N. dos et al. Estimativa da Curva de Kuznets Ambiental para a Amazônia Legal. In: </w:t>
      </w:r>
      <w:r w:rsidRPr="00AD1BD0">
        <w:rPr>
          <w:rFonts w:cs="Arial"/>
          <w:color w:val="212121"/>
        </w:rPr>
        <w:t xml:space="preserve">Congresso da </w:t>
      </w:r>
      <w:r>
        <w:rPr>
          <w:rFonts w:cs="Arial"/>
          <w:color w:val="212121"/>
        </w:rPr>
        <w:t xml:space="preserve">Soc. Bras. </w:t>
      </w:r>
      <w:proofErr w:type="gramStart"/>
      <w:r>
        <w:rPr>
          <w:rFonts w:cs="Arial"/>
          <w:color w:val="212121"/>
        </w:rPr>
        <w:t>de</w:t>
      </w:r>
      <w:proofErr w:type="gramEnd"/>
      <w:r>
        <w:rPr>
          <w:rFonts w:cs="Arial"/>
          <w:color w:val="212121"/>
        </w:rPr>
        <w:t xml:space="preserve"> Eco., Adm. e Soc.</w:t>
      </w:r>
      <w:r w:rsidR="000A4396">
        <w:rPr>
          <w:rFonts w:cs="Arial"/>
          <w:color w:val="212121"/>
        </w:rPr>
        <w:t xml:space="preserve"> Rural, 46,</w:t>
      </w:r>
      <w:r w:rsidRPr="00AD1BD0">
        <w:rPr>
          <w:rFonts w:cs="Arial"/>
          <w:color w:val="212121"/>
        </w:rPr>
        <w:t xml:space="preserve"> 2008, Rio Branco.</w:t>
      </w:r>
      <w:r w:rsidRPr="00AD1BD0">
        <w:rPr>
          <w:rFonts w:cs="Arial"/>
          <w:b/>
          <w:color w:val="212121"/>
        </w:rPr>
        <w:t xml:space="preserve"> Anais... </w:t>
      </w:r>
      <w:r w:rsidRPr="00AD1BD0">
        <w:rPr>
          <w:rFonts w:cs="Arial"/>
          <w:color w:val="212121"/>
        </w:rPr>
        <w:t>Rio Branco: SOBER,</w:t>
      </w:r>
      <w:r w:rsidRPr="00AD1BD0">
        <w:rPr>
          <w:rFonts w:cs="Arial"/>
          <w:color w:val="212121"/>
          <w:spacing w:val="-9"/>
        </w:rPr>
        <w:t xml:space="preserve"> </w:t>
      </w:r>
      <w:r w:rsidRPr="00AD1BD0">
        <w:rPr>
          <w:rFonts w:cs="Arial"/>
          <w:color w:val="212121"/>
        </w:rPr>
        <w:t>2008</w:t>
      </w:r>
      <w:r w:rsidRPr="00AD1BD0">
        <w:rPr>
          <w:rFonts w:cs="Arial"/>
          <w:noProof/>
        </w:rPr>
        <w:t>.</w:t>
      </w:r>
      <w:r>
        <w:rPr>
          <w:rFonts w:cs="Arial"/>
          <w:noProof/>
        </w:rPr>
        <w:t xml:space="preserve"> Disponível em: &lt;</w:t>
      </w:r>
      <w:r>
        <w:rPr>
          <w:rFonts w:cs="Arial"/>
          <w:color w:val="333333"/>
          <w:shd w:val="clear" w:color="auto" w:fill="FFFFFF"/>
        </w:rPr>
        <w:t>http://purl.umn.edu/113968</w:t>
      </w:r>
      <w:r w:rsidRPr="00AD1BD0">
        <w:rPr>
          <w:rFonts w:cs="Arial"/>
          <w:noProof/>
        </w:rPr>
        <w:t xml:space="preserve">&gt; Acesso em </w:t>
      </w:r>
      <w:r>
        <w:rPr>
          <w:rFonts w:cs="Arial"/>
          <w:noProof/>
        </w:rPr>
        <w:t>novembro</w:t>
      </w:r>
      <w:r w:rsidRPr="00AD1BD0">
        <w:rPr>
          <w:rFonts w:cs="Arial"/>
          <w:noProof/>
        </w:rPr>
        <w:t xml:space="preserve"> de 2017</w:t>
      </w:r>
    </w:p>
    <w:p w14:paraId="7A13C3AD" w14:textId="77777777" w:rsidR="00871CC0" w:rsidRPr="00AD1BD0" w:rsidRDefault="00871CC0" w:rsidP="00BF5147">
      <w:pPr>
        <w:pStyle w:val="Bibliografia"/>
        <w:spacing w:after="0"/>
        <w:ind w:left="284" w:firstLineChars="0" w:hanging="284"/>
        <w:rPr>
          <w:rFonts w:cs="Arial"/>
          <w:noProof/>
          <w:lang w:val="en-US"/>
        </w:rPr>
      </w:pPr>
      <w:r w:rsidRPr="00AD1BD0">
        <w:rPr>
          <w:rFonts w:cs="Arial"/>
          <w:noProof/>
          <w:lang w:val="en-US"/>
        </w:rPr>
        <w:t xml:space="preserve">SELDEN, T. M.; SONG, D. Environmental Quality and Development: Is there a Kuznets Curve for Air Pollution Emissions? </w:t>
      </w:r>
      <w:r>
        <w:rPr>
          <w:rFonts w:cs="Arial"/>
          <w:b/>
          <w:bCs/>
          <w:noProof/>
          <w:lang w:val="en-US"/>
        </w:rPr>
        <w:t>Journ. of Environ.</w:t>
      </w:r>
      <w:r w:rsidRPr="00AD1BD0">
        <w:rPr>
          <w:rFonts w:cs="Arial"/>
          <w:b/>
          <w:bCs/>
          <w:noProof/>
          <w:lang w:val="en-US"/>
        </w:rPr>
        <w:t xml:space="preserve"> Econ</w:t>
      </w:r>
      <w:r>
        <w:rPr>
          <w:rFonts w:cs="Arial"/>
          <w:b/>
          <w:bCs/>
          <w:noProof/>
          <w:lang w:val="en-US"/>
        </w:rPr>
        <w:t>. and Manag.</w:t>
      </w:r>
      <w:r w:rsidRPr="00AD1BD0">
        <w:rPr>
          <w:rFonts w:cs="Arial"/>
          <w:noProof/>
          <w:lang w:val="en-US"/>
        </w:rPr>
        <w:t xml:space="preserve">, </w:t>
      </w:r>
      <w:r>
        <w:rPr>
          <w:rFonts w:cs="Arial"/>
          <w:noProof/>
          <w:lang w:val="en-US"/>
        </w:rPr>
        <w:t>v. 27, p. 147-162. New York:</w:t>
      </w:r>
      <w:r w:rsidRPr="00AD1BD0">
        <w:rPr>
          <w:rFonts w:cs="Arial"/>
          <w:noProof/>
          <w:lang w:val="en-US"/>
        </w:rPr>
        <w:t xml:space="preserve"> 1994. </w:t>
      </w:r>
      <w:r w:rsidRPr="00E004D0">
        <w:rPr>
          <w:rFonts w:cs="Arial"/>
          <w:noProof/>
          <w:lang w:val="en-US"/>
        </w:rPr>
        <w:t>https://doi.org/10.1006/jeem.1994.1031</w:t>
      </w:r>
    </w:p>
    <w:p w14:paraId="6346B01E" w14:textId="77777777" w:rsidR="00871CC0" w:rsidRPr="00E004D0" w:rsidRDefault="00871CC0" w:rsidP="00BF5147">
      <w:pPr>
        <w:pStyle w:val="Bibliografia"/>
        <w:spacing w:after="0"/>
        <w:ind w:left="284" w:firstLineChars="0" w:hanging="284"/>
        <w:rPr>
          <w:rFonts w:cs="Arial"/>
          <w:noProof/>
        </w:rPr>
      </w:pPr>
      <w:r w:rsidRPr="00AD1BD0">
        <w:rPr>
          <w:rFonts w:cs="Arial"/>
          <w:noProof/>
          <w:lang w:val="en-US"/>
        </w:rPr>
        <w:t xml:space="preserve">SHAFIK, N.; BANDYOPADHYAY, S. Economic Growth and Environmental Quality: a time series and cross-country evidence. </w:t>
      </w:r>
      <w:r w:rsidRPr="00C6325E">
        <w:rPr>
          <w:rFonts w:cs="Arial"/>
          <w:b/>
          <w:bCs/>
          <w:noProof/>
          <w:lang w:val="en-US"/>
        </w:rPr>
        <w:t>Journ. of Environ. Econ. and Manag.</w:t>
      </w:r>
      <w:r w:rsidRPr="00C6325E">
        <w:rPr>
          <w:rFonts w:cs="Arial"/>
          <w:noProof/>
          <w:lang w:val="en-US"/>
        </w:rPr>
        <w:t xml:space="preserve">, v. 4, p. 1-24, New York: 1992. </w:t>
      </w:r>
      <w:r>
        <w:rPr>
          <w:rFonts w:cs="Arial"/>
          <w:noProof/>
        </w:rPr>
        <w:t>Disponível em: &lt;</w:t>
      </w:r>
      <w:r w:rsidRPr="00E004D0">
        <w:rPr>
          <w:rFonts w:cs="Arial"/>
          <w:color w:val="333333"/>
          <w:shd w:val="clear" w:color="auto" w:fill="FFFFFF"/>
        </w:rPr>
        <w:t>http://documents.worldbank.org/curated/en/833431468739515725/pdf/multi-page.pdf</w:t>
      </w:r>
      <w:r w:rsidRPr="00AD1BD0">
        <w:rPr>
          <w:rFonts w:cs="Arial"/>
          <w:noProof/>
        </w:rPr>
        <w:t xml:space="preserve">&gt; Acesso em </w:t>
      </w:r>
      <w:r>
        <w:rPr>
          <w:rFonts w:cs="Arial"/>
          <w:noProof/>
        </w:rPr>
        <w:t>outubro</w:t>
      </w:r>
      <w:r w:rsidRPr="00AD1BD0">
        <w:rPr>
          <w:rFonts w:cs="Arial"/>
          <w:noProof/>
        </w:rPr>
        <w:t xml:space="preserve"> de 2017</w:t>
      </w:r>
    </w:p>
    <w:p w14:paraId="29DF5ADF" w14:textId="7AADE6F4" w:rsidR="00871CC0" w:rsidRPr="00673183" w:rsidRDefault="00871CC0" w:rsidP="00BF5147">
      <w:pPr>
        <w:pStyle w:val="Bibliografia"/>
        <w:spacing w:after="0"/>
        <w:ind w:left="284" w:firstLineChars="0" w:hanging="284"/>
        <w:rPr>
          <w:rFonts w:cs="Arial"/>
          <w:noProof/>
          <w:lang w:val="en-US"/>
        </w:rPr>
      </w:pPr>
      <w:r w:rsidRPr="00871CC0">
        <w:rPr>
          <w:rFonts w:cs="Arial"/>
          <w:noProof/>
          <w:lang w:val="en-US"/>
        </w:rPr>
        <w:t>STE</w:t>
      </w:r>
      <w:r w:rsidRPr="00AD1BD0">
        <w:rPr>
          <w:rFonts w:cs="Arial"/>
          <w:noProof/>
          <w:lang w:val="en-US"/>
        </w:rPr>
        <w:t xml:space="preserve">RN, D. I.; COMMON, M. S. Is there an environmental Kuznets curve for sulfur?. </w:t>
      </w:r>
      <w:r w:rsidRPr="00157C39">
        <w:rPr>
          <w:rFonts w:cs="Arial"/>
          <w:b/>
          <w:bCs/>
          <w:noProof/>
          <w:lang w:val="en-US"/>
        </w:rPr>
        <w:t>Journal of Environ. Econ. and Manag</w:t>
      </w:r>
      <w:r>
        <w:rPr>
          <w:rFonts w:cs="Arial"/>
          <w:b/>
          <w:bCs/>
          <w:noProof/>
          <w:lang w:val="en-US"/>
        </w:rPr>
        <w:t>.</w:t>
      </w:r>
      <w:r w:rsidRPr="00AD1BD0">
        <w:rPr>
          <w:rFonts w:cs="Arial"/>
          <w:noProof/>
          <w:lang w:val="en-US"/>
        </w:rPr>
        <w:t>, v. 41, n. 2, p. 162-178, 2001.</w:t>
      </w:r>
      <w:r>
        <w:rPr>
          <w:rFonts w:cs="Arial"/>
          <w:noProof/>
          <w:lang w:val="en-US"/>
        </w:rPr>
        <w:t xml:space="preserve"> </w:t>
      </w:r>
      <w:hyperlink r:id="rId20" w:history="1">
        <w:r w:rsidR="000441D3" w:rsidRPr="00673183">
          <w:rPr>
            <w:rStyle w:val="Hyperlink"/>
            <w:rFonts w:cs="Arial"/>
            <w:noProof/>
            <w:lang w:val="en-US"/>
          </w:rPr>
          <w:t>https://doi.org/10.1006/jeem.2000.1132</w:t>
        </w:r>
      </w:hyperlink>
    </w:p>
    <w:p w14:paraId="0270076C" w14:textId="63B5EFC9" w:rsidR="000441D3" w:rsidRPr="00C72EBB" w:rsidRDefault="000441D3" w:rsidP="000441D3">
      <w:pPr>
        <w:ind w:left="284" w:hanging="284"/>
        <w:rPr>
          <w:rFonts w:cs="Arial"/>
          <w:noProof/>
        </w:rPr>
      </w:pPr>
      <w:r w:rsidRPr="00C72EBB">
        <w:t xml:space="preserve">OBSERVATÓRIO DO CLIMA (OC). </w:t>
      </w:r>
      <w:r w:rsidRPr="00C72EBB">
        <w:rPr>
          <w:b/>
        </w:rPr>
        <w:t>Sistema de Estimativas de Emissões de Gases de Efeito Estufa</w:t>
      </w:r>
      <w:r w:rsidRPr="00C72EBB">
        <w:t xml:space="preserve">. 2017. Disponível em &lt;http://seeg.eco.br/tabela-geral-de-emissoes/&gt; </w:t>
      </w:r>
      <w:r w:rsidRPr="00C72EBB">
        <w:rPr>
          <w:rFonts w:cs="Arial"/>
          <w:noProof/>
        </w:rPr>
        <w:t>Acesso em dezembro de 2017</w:t>
      </w:r>
    </w:p>
    <w:p w14:paraId="67B45626" w14:textId="77777777" w:rsidR="003D765D" w:rsidRPr="00673183" w:rsidRDefault="003D765D" w:rsidP="003D765D">
      <w:pPr>
        <w:spacing w:line="259" w:lineRule="auto"/>
        <w:ind w:left="284" w:hanging="284"/>
        <w:jc w:val="left"/>
        <w:rPr>
          <w:lang w:val="en-US"/>
        </w:rPr>
      </w:pPr>
      <w:r w:rsidRPr="00C72EBB">
        <w:rPr>
          <w:lang w:val="en-US"/>
        </w:rPr>
        <w:t xml:space="preserve">ORGANIZATION FOR ECONOMIC CO-OPERATION AND DEVELOPMENT (OECD). </w:t>
      </w:r>
      <w:r w:rsidRPr="00C72EBB">
        <w:rPr>
          <w:b/>
          <w:lang w:val="en-US"/>
        </w:rPr>
        <w:t>Bilateral Trade Database by Industry and End-use (</w:t>
      </w:r>
      <w:proofErr w:type="spellStart"/>
      <w:r w:rsidRPr="00C72EBB">
        <w:rPr>
          <w:b/>
          <w:lang w:val="en-US"/>
        </w:rPr>
        <w:t>BTDIxE</w:t>
      </w:r>
      <w:proofErr w:type="spellEnd"/>
      <w:r w:rsidRPr="00C72EBB">
        <w:rPr>
          <w:b/>
          <w:lang w:val="en-US"/>
        </w:rPr>
        <w:t>)</w:t>
      </w:r>
      <w:r w:rsidRPr="00C72EBB">
        <w:rPr>
          <w:lang w:val="en-US"/>
        </w:rPr>
        <w:t xml:space="preserve">. </w:t>
      </w:r>
      <w:r w:rsidRPr="00C72EBB">
        <w:t xml:space="preserve">2017. Disponível em &lt;http://www.oecd.org/sti/ind/Estimating_BilatFlows_byIndEndUse.pdf&gt;. </w:t>
      </w:r>
      <w:proofErr w:type="spellStart"/>
      <w:r w:rsidRPr="00673183">
        <w:rPr>
          <w:lang w:val="en-US"/>
        </w:rPr>
        <w:t>Acesso</w:t>
      </w:r>
      <w:proofErr w:type="spellEnd"/>
      <w:r w:rsidRPr="00673183">
        <w:rPr>
          <w:lang w:val="en-US"/>
        </w:rPr>
        <w:t xml:space="preserve"> </w:t>
      </w:r>
      <w:proofErr w:type="spellStart"/>
      <w:r w:rsidRPr="00673183">
        <w:rPr>
          <w:lang w:val="en-US"/>
        </w:rPr>
        <w:t>em</w:t>
      </w:r>
      <w:proofErr w:type="spellEnd"/>
      <w:r w:rsidRPr="00673183">
        <w:rPr>
          <w:lang w:val="en-US"/>
        </w:rPr>
        <w:t xml:space="preserve"> </w:t>
      </w:r>
      <w:proofErr w:type="spellStart"/>
      <w:r w:rsidRPr="00673183">
        <w:rPr>
          <w:lang w:val="en-US"/>
        </w:rPr>
        <w:t>abril</w:t>
      </w:r>
      <w:proofErr w:type="spellEnd"/>
      <w:r w:rsidRPr="00673183">
        <w:rPr>
          <w:lang w:val="en-US"/>
        </w:rPr>
        <w:t xml:space="preserve"> de 2018</w:t>
      </w:r>
    </w:p>
    <w:p w14:paraId="78ADED08" w14:textId="77777777" w:rsidR="00871CC0" w:rsidRPr="00AD1BD0" w:rsidRDefault="00871CC0" w:rsidP="00BF5147">
      <w:pPr>
        <w:ind w:left="284" w:hanging="284"/>
        <w:rPr>
          <w:rFonts w:cs="Arial"/>
          <w:szCs w:val="24"/>
          <w:lang w:val="en-US"/>
        </w:rPr>
      </w:pPr>
      <w:r w:rsidRPr="00C72EBB">
        <w:rPr>
          <w:rFonts w:cs="Arial"/>
          <w:szCs w:val="24"/>
          <w:lang w:val="en-US"/>
        </w:rPr>
        <w:t xml:space="preserve">WESTERLUND, J. Testing for error correction in panel data. </w:t>
      </w:r>
      <w:r w:rsidRPr="00C72EBB">
        <w:rPr>
          <w:rFonts w:cs="Arial"/>
          <w:b/>
          <w:bCs/>
          <w:szCs w:val="24"/>
          <w:shd w:val="clear" w:color="auto" w:fill="FFFFFF"/>
          <w:lang w:val="en-US"/>
        </w:rPr>
        <w:t>Oxford Bull. of Econ. and Stat.</w:t>
      </w:r>
      <w:r w:rsidRPr="00C72EBB">
        <w:rPr>
          <w:rFonts w:cs="Arial"/>
          <w:szCs w:val="24"/>
          <w:lang w:val="en-US"/>
        </w:rPr>
        <w:t>, v. 69, p.</w:t>
      </w:r>
      <w:r w:rsidRPr="00AD1BD0">
        <w:rPr>
          <w:rFonts w:cs="Arial"/>
          <w:szCs w:val="24"/>
          <w:lang w:val="en-US"/>
        </w:rPr>
        <w:t xml:space="preserve"> 709-748, 2007.</w:t>
      </w:r>
      <w:r>
        <w:rPr>
          <w:rFonts w:cs="Arial"/>
          <w:szCs w:val="24"/>
          <w:lang w:val="en-US"/>
        </w:rPr>
        <w:t xml:space="preserve"> </w:t>
      </w:r>
      <w:r w:rsidRPr="002F117B">
        <w:rPr>
          <w:rFonts w:cs="Arial"/>
          <w:szCs w:val="24"/>
          <w:lang w:val="en-US"/>
        </w:rPr>
        <w:t>https://doi.org/10.1111/j.1468-0084.2007.00477.x</w:t>
      </w:r>
    </w:p>
    <w:p w14:paraId="436B4BCF" w14:textId="724863AB" w:rsidR="00871CC0" w:rsidRDefault="00871CC0" w:rsidP="00BF5147">
      <w:pPr>
        <w:ind w:left="284" w:hanging="284"/>
      </w:pPr>
      <w:r w:rsidRPr="00AD1BD0">
        <w:rPr>
          <w:lang w:val="en-US"/>
        </w:rPr>
        <w:t xml:space="preserve">WOOLDRIDGE, J. M. </w:t>
      </w:r>
      <w:r w:rsidRPr="00AD1BD0">
        <w:rPr>
          <w:b/>
          <w:lang w:val="en-US"/>
        </w:rPr>
        <w:t>Econometric Analysis of Cross Section and Panel Data</w:t>
      </w:r>
      <w:r w:rsidR="000A4396">
        <w:rPr>
          <w:lang w:val="en-US"/>
        </w:rPr>
        <w:t xml:space="preserve">. </w:t>
      </w:r>
      <w:r w:rsidRPr="00AD1BD0">
        <w:t>Cambridge: MIT Press, 2002.</w:t>
      </w:r>
    </w:p>
    <w:p w14:paraId="06482071" w14:textId="1C605134" w:rsidR="000A2017" w:rsidRPr="00B16F26" w:rsidRDefault="000A2017">
      <w:pPr>
        <w:spacing w:after="160" w:line="259" w:lineRule="auto"/>
        <w:ind w:firstLine="0"/>
        <w:jc w:val="left"/>
        <w:rPr>
          <w:szCs w:val="24"/>
        </w:rPr>
      </w:pPr>
      <w:r w:rsidRPr="00B16F26">
        <w:rPr>
          <w:szCs w:val="24"/>
        </w:rPr>
        <w:br w:type="page"/>
      </w:r>
    </w:p>
    <w:p w14:paraId="1811332B" w14:textId="77777777" w:rsidR="000A2017" w:rsidRDefault="000A2017" w:rsidP="00202D22">
      <w:pPr>
        <w:pStyle w:val="Ttulo1"/>
        <w:ind w:firstLine="708"/>
      </w:pPr>
      <w:r>
        <w:lastRenderedPageBreak/>
        <w:t>ANEXO 1</w:t>
      </w:r>
    </w:p>
    <w:p w14:paraId="66E4C139" w14:textId="77777777" w:rsidR="000A2017" w:rsidRPr="00E672F7" w:rsidRDefault="000A2017" w:rsidP="000A2017"/>
    <w:p w14:paraId="70D5A848" w14:textId="77777777" w:rsidR="000A2017" w:rsidRPr="00B413EC" w:rsidRDefault="000A2017" w:rsidP="00B413EC">
      <w:pPr>
        <w:pStyle w:val="titulofigura"/>
      </w:pPr>
      <w:r w:rsidRPr="00B413EC">
        <w:t>Setores e atividades de emissão de GEE junto ao IPCC</w:t>
      </w:r>
    </w:p>
    <w:tbl>
      <w:tblPr>
        <w:tblStyle w:val="Tabelacomgrade"/>
        <w:tblW w:w="0" w:type="auto"/>
        <w:jc w:val="center"/>
        <w:tblBorders>
          <w:bottom w:val="none" w:sz="0" w:space="0" w:color="auto"/>
        </w:tblBorders>
        <w:tblLook w:val="04A0" w:firstRow="1" w:lastRow="0" w:firstColumn="1" w:lastColumn="0" w:noHBand="0" w:noVBand="1"/>
      </w:tblPr>
      <w:tblGrid>
        <w:gridCol w:w="2972"/>
        <w:gridCol w:w="7212"/>
      </w:tblGrid>
      <w:tr w:rsidR="000A2017" w:rsidRPr="006604EF" w14:paraId="5712FC09" w14:textId="77777777" w:rsidTr="00B413EC">
        <w:trPr>
          <w:jc w:val="center"/>
        </w:trPr>
        <w:tc>
          <w:tcPr>
            <w:tcW w:w="2972" w:type="dxa"/>
          </w:tcPr>
          <w:p w14:paraId="4FA5C6AB" w14:textId="77777777" w:rsidR="000A2017" w:rsidRPr="006604EF" w:rsidRDefault="000A2017" w:rsidP="00380542">
            <w:pPr>
              <w:ind w:firstLine="0"/>
              <w:jc w:val="center"/>
              <w:rPr>
                <w:b/>
                <w:sz w:val="22"/>
              </w:rPr>
            </w:pPr>
            <w:r w:rsidRPr="006604EF">
              <w:rPr>
                <w:b/>
                <w:sz w:val="22"/>
              </w:rPr>
              <w:t>Setor</w:t>
            </w:r>
          </w:p>
        </w:tc>
        <w:tc>
          <w:tcPr>
            <w:tcW w:w="7212" w:type="dxa"/>
          </w:tcPr>
          <w:p w14:paraId="25C37958" w14:textId="77777777" w:rsidR="000A2017" w:rsidRPr="006604EF" w:rsidRDefault="000A2017" w:rsidP="00380542">
            <w:pPr>
              <w:ind w:firstLine="0"/>
              <w:jc w:val="center"/>
              <w:rPr>
                <w:b/>
                <w:sz w:val="22"/>
              </w:rPr>
            </w:pPr>
            <w:r w:rsidRPr="006604EF">
              <w:rPr>
                <w:b/>
                <w:sz w:val="22"/>
              </w:rPr>
              <w:t>Atividades</w:t>
            </w:r>
          </w:p>
        </w:tc>
      </w:tr>
      <w:tr w:rsidR="000A2017" w:rsidRPr="006604EF" w14:paraId="1587BEA4" w14:textId="77777777" w:rsidTr="00B413EC">
        <w:trPr>
          <w:jc w:val="center"/>
        </w:trPr>
        <w:tc>
          <w:tcPr>
            <w:tcW w:w="2972" w:type="dxa"/>
            <w:vAlign w:val="center"/>
          </w:tcPr>
          <w:p w14:paraId="0E5BC1A9" w14:textId="77777777" w:rsidR="000A2017" w:rsidRPr="006604EF" w:rsidRDefault="000A2017" w:rsidP="00380542">
            <w:pPr>
              <w:ind w:firstLine="0"/>
              <w:jc w:val="left"/>
              <w:rPr>
                <w:sz w:val="22"/>
              </w:rPr>
            </w:pPr>
            <w:r w:rsidRPr="006604EF">
              <w:rPr>
                <w:sz w:val="22"/>
              </w:rPr>
              <w:t>Mudanças no Uso da Terra</w:t>
            </w:r>
          </w:p>
        </w:tc>
        <w:tc>
          <w:tcPr>
            <w:tcW w:w="7212" w:type="dxa"/>
          </w:tcPr>
          <w:p w14:paraId="71212272" w14:textId="77777777" w:rsidR="000A2017" w:rsidRPr="006604EF" w:rsidRDefault="000A2017" w:rsidP="00380542">
            <w:pPr>
              <w:ind w:firstLine="0"/>
              <w:rPr>
                <w:sz w:val="22"/>
              </w:rPr>
            </w:pPr>
            <w:r w:rsidRPr="006604EF">
              <w:rPr>
                <w:sz w:val="22"/>
              </w:rPr>
              <w:t>Variação na quantidade de carbono de biomassa vegetal e do solo</w:t>
            </w:r>
          </w:p>
          <w:p w14:paraId="1F335625" w14:textId="77777777" w:rsidR="000A2017" w:rsidRPr="006604EF" w:rsidRDefault="000A2017" w:rsidP="00380542">
            <w:pPr>
              <w:ind w:firstLine="0"/>
              <w:rPr>
                <w:sz w:val="22"/>
              </w:rPr>
            </w:pPr>
            <w:r w:rsidRPr="006604EF">
              <w:rPr>
                <w:sz w:val="22"/>
              </w:rPr>
              <w:t>Emissão de CO</w:t>
            </w:r>
            <w:r w:rsidRPr="006604EF">
              <w:rPr>
                <w:sz w:val="22"/>
                <w:vertAlign w:val="subscript"/>
              </w:rPr>
              <w:t>2</w:t>
            </w:r>
            <w:r w:rsidRPr="006604EF">
              <w:rPr>
                <w:sz w:val="22"/>
              </w:rPr>
              <w:t xml:space="preserve"> por aplicação de Calcário em solos agrícolas</w:t>
            </w:r>
          </w:p>
          <w:p w14:paraId="0F7C7E1F" w14:textId="77777777" w:rsidR="000A2017" w:rsidRPr="006604EF" w:rsidRDefault="000A2017" w:rsidP="00380542">
            <w:pPr>
              <w:ind w:firstLine="0"/>
              <w:rPr>
                <w:sz w:val="22"/>
              </w:rPr>
            </w:pPr>
            <w:r w:rsidRPr="006604EF">
              <w:rPr>
                <w:sz w:val="22"/>
              </w:rPr>
              <w:t>Emissões de CH</w:t>
            </w:r>
            <w:r w:rsidRPr="006604EF">
              <w:rPr>
                <w:sz w:val="22"/>
                <w:vertAlign w:val="subscript"/>
              </w:rPr>
              <w:t>4</w:t>
            </w:r>
            <w:r w:rsidRPr="006604EF">
              <w:rPr>
                <w:sz w:val="22"/>
              </w:rPr>
              <w:t xml:space="preserve"> e N</w:t>
            </w:r>
            <w:r w:rsidRPr="006604EF">
              <w:rPr>
                <w:sz w:val="22"/>
                <w:vertAlign w:val="subscript"/>
              </w:rPr>
              <w:t>2</w:t>
            </w:r>
            <w:r w:rsidRPr="006604EF">
              <w:rPr>
                <w:sz w:val="22"/>
              </w:rPr>
              <w:t>O pela queima de biomassa nos solos</w:t>
            </w:r>
          </w:p>
          <w:p w14:paraId="35FF12FA" w14:textId="77777777" w:rsidR="000A2017" w:rsidRPr="006604EF" w:rsidRDefault="000A2017" w:rsidP="00380542">
            <w:pPr>
              <w:ind w:firstLine="0"/>
              <w:rPr>
                <w:sz w:val="22"/>
              </w:rPr>
            </w:pPr>
            <w:r w:rsidRPr="006604EF">
              <w:rPr>
                <w:sz w:val="22"/>
              </w:rPr>
              <w:t>Remoção de CO</w:t>
            </w:r>
            <w:r w:rsidRPr="006604EF">
              <w:rPr>
                <w:sz w:val="22"/>
                <w:vertAlign w:val="subscript"/>
              </w:rPr>
              <w:t>2</w:t>
            </w:r>
            <w:r w:rsidRPr="006604EF">
              <w:rPr>
                <w:sz w:val="22"/>
              </w:rPr>
              <w:t xml:space="preserve"> pelo crescimento da vegetação</w:t>
            </w:r>
          </w:p>
        </w:tc>
      </w:tr>
      <w:tr w:rsidR="000A2017" w:rsidRPr="006604EF" w14:paraId="38765D11" w14:textId="77777777" w:rsidTr="00B413EC">
        <w:trPr>
          <w:jc w:val="center"/>
        </w:trPr>
        <w:tc>
          <w:tcPr>
            <w:tcW w:w="2972" w:type="dxa"/>
            <w:vAlign w:val="center"/>
          </w:tcPr>
          <w:p w14:paraId="13A94770" w14:textId="77777777" w:rsidR="000A2017" w:rsidRPr="006604EF" w:rsidRDefault="000A2017" w:rsidP="00380542">
            <w:pPr>
              <w:ind w:firstLine="0"/>
              <w:jc w:val="left"/>
              <w:rPr>
                <w:sz w:val="22"/>
              </w:rPr>
            </w:pPr>
            <w:r w:rsidRPr="006604EF">
              <w:rPr>
                <w:sz w:val="22"/>
              </w:rPr>
              <w:t>Agropecuária</w:t>
            </w:r>
          </w:p>
        </w:tc>
        <w:tc>
          <w:tcPr>
            <w:tcW w:w="7212" w:type="dxa"/>
          </w:tcPr>
          <w:p w14:paraId="60264D75" w14:textId="77777777" w:rsidR="000A2017" w:rsidRPr="006604EF" w:rsidRDefault="000A2017" w:rsidP="00380542">
            <w:pPr>
              <w:ind w:firstLine="0"/>
              <w:rPr>
                <w:sz w:val="22"/>
              </w:rPr>
            </w:pPr>
            <w:r w:rsidRPr="006604EF">
              <w:rPr>
                <w:sz w:val="22"/>
              </w:rPr>
              <w:t>Emissões advindas da fermentação entérica do gado, do manejo de dejetos de animais, solos agrícolas, cultivo de arroz e queima de resíduos agrícolas</w:t>
            </w:r>
          </w:p>
        </w:tc>
      </w:tr>
      <w:tr w:rsidR="000A2017" w:rsidRPr="006604EF" w14:paraId="1D3CF8FC" w14:textId="77777777" w:rsidTr="00B413EC">
        <w:trPr>
          <w:jc w:val="center"/>
        </w:trPr>
        <w:tc>
          <w:tcPr>
            <w:tcW w:w="2972" w:type="dxa"/>
            <w:vAlign w:val="center"/>
          </w:tcPr>
          <w:p w14:paraId="2FDD2DAB" w14:textId="77777777" w:rsidR="000A2017" w:rsidRPr="006604EF" w:rsidRDefault="000A2017" w:rsidP="00380542">
            <w:pPr>
              <w:ind w:firstLine="0"/>
              <w:jc w:val="left"/>
              <w:rPr>
                <w:sz w:val="22"/>
              </w:rPr>
            </w:pPr>
            <w:r w:rsidRPr="006604EF">
              <w:rPr>
                <w:sz w:val="22"/>
              </w:rPr>
              <w:t>Energia</w:t>
            </w:r>
          </w:p>
        </w:tc>
        <w:tc>
          <w:tcPr>
            <w:tcW w:w="7212" w:type="dxa"/>
          </w:tcPr>
          <w:p w14:paraId="532DC074" w14:textId="77777777" w:rsidR="000A2017" w:rsidRPr="006604EF" w:rsidRDefault="000A2017" w:rsidP="00380542">
            <w:pPr>
              <w:ind w:firstLine="0"/>
              <w:rPr>
                <w:sz w:val="22"/>
              </w:rPr>
            </w:pPr>
            <w:r w:rsidRPr="006604EF">
              <w:rPr>
                <w:sz w:val="22"/>
              </w:rPr>
              <w:t>Emissões devido à queima de combustíveis e emissões fugitivas da indústria de petróleo, gás e carvão mineral</w:t>
            </w:r>
          </w:p>
        </w:tc>
      </w:tr>
      <w:tr w:rsidR="000A2017" w:rsidRPr="006604EF" w14:paraId="677D1C31" w14:textId="77777777" w:rsidTr="00B413EC">
        <w:trPr>
          <w:jc w:val="center"/>
        </w:trPr>
        <w:tc>
          <w:tcPr>
            <w:tcW w:w="2972" w:type="dxa"/>
            <w:tcBorders>
              <w:bottom w:val="single" w:sz="4" w:space="0" w:color="auto"/>
            </w:tcBorders>
            <w:vAlign w:val="center"/>
          </w:tcPr>
          <w:p w14:paraId="4728A307" w14:textId="77777777" w:rsidR="000A2017" w:rsidRPr="006604EF" w:rsidRDefault="000A2017" w:rsidP="00380542">
            <w:pPr>
              <w:ind w:firstLine="0"/>
              <w:jc w:val="left"/>
              <w:rPr>
                <w:sz w:val="22"/>
              </w:rPr>
            </w:pPr>
            <w:r w:rsidRPr="006604EF">
              <w:rPr>
                <w:sz w:val="22"/>
              </w:rPr>
              <w:t>Processos Industriais</w:t>
            </w:r>
          </w:p>
        </w:tc>
        <w:tc>
          <w:tcPr>
            <w:tcW w:w="7212" w:type="dxa"/>
            <w:tcBorders>
              <w:bottom w:val="single" w:sz="4" w:space="0" w:color="auto"/>
            </w:tcBorders>
          </w:tcPr>
          <w:p w14:paraId="7D032851" w14:textId="28873AF9" w:rsidR="000A2017" w:rsidRPr="006604EF" w:rsidRDefault="000A2017" w:rsidP="00380542">
            <w:pPr>
              <w:ind w:firstLine="0"/>
              <w:rPr>
                <w:sz w:val="22"/>
              </w:rPr>
            </w:pPr>
            <w:r w:rsidRPr="006604EF">
              <w:rPr>
                <w:sz w:val="22"/>
              </w:rPr>
              <w:t xml:space="preserve">Emissões resultantes dos </w:t>
            </w:r>
            <w:r w:rsidR="000A4396" w:rsidRPr="006604EF">
              <w:rPr>
                <w:sz w:val="22"/>
              </w:rPr>
              <w:t>processos</w:t>
            </w:r>
            <w:r w:rsidRPr="006604EF">
              <w:rPr>
                <w:sz w:val="22"/>
              </w:rPr>
              <w:t xml:space="preserve"> produtivos da indústria e que não são resultados da queima de combustíveis</w:t>
            </w:r>
          </w:p>
          <w:p w14:paraId="7D2EB763" w14:textId="77777777" w:rsidR="000A2017" w:rsidRPr="006604EF" w:rsidRDefault="000A2017" w:rsidP="00380542">
            <w:pPr>
              <w:ind w:firstLine="0"/>
              <w:rPr>
                <w:sz w:val="22"/>
              </w:rPr>
            </w:pPr>
            <w:r w:rsidRPr="006604EF">
              <w:rPr>
                <w:sz w:val="22"/>
              </w:rPr>
              <w:t>Produtos minerais, siderurgia e química</w:t>
            </w:r>
          </w:p>
          <w:p w14:paraId="043E5CDC" w14:textId="77777777" w:rsidR="000A2017" w:rsidRPr="006604EF" w:rsidRDefault="000A2017" w:rsidP="00380542">
            <w:pPr>
              <w:ind w:firstLine="0"/>
              <w:rPr>
                <w:sz w:val="22"/>
                <w:vertAlign w:val="subscript"/>
              </w:rPr>
            </w:pPr>
            <w:r w:rsidRPr="006604EF">
              <w:rPr>
                <w:sz w:val="22"/>
              </w:rPr>
              <w:t xml:space="preserve">Produção e consumo de </w:t>
            </w:r>
            <w:proofErr w:type="spellStart"/>
            <w:r w:rsidRPr="006604EF">
              <w:rPr>
                <w:sz w:val="22"/>
              </w:rPr>
              <w:t>HFCs</w:t>
            </w:r>
            <w:proofErr w:type="spellEnd"/>
            <w:r w:rsidRPr="006604EF">
              <w:rPr>
                <w:sz w:val="22"/>
              </w:rPr>
              <w:t xml:space="preserve"> e SF</w:t>
            </w:r>
            <w:r w:rsidRPr="006604EF">
              <w:rPr>
                <w:sz w:val="22"/>
                <w:vertAlign w:val="subscript"/>
              </w:rPr>
              <w:t>6</w:t>
            </w:r>
          </w:p>
        </w:tc>
      </w:tr>
      <w:tr w:rsidR="000A2017" w:rsidRPr="006604EF" w14:paraId="49D44A96" w14:textId="77777777" w:rsidTr="00B413EC">
        <w:trPr>
          <w:jc w:val="center"/>
        </w:trPr>
        <w:tc>
          <w:tcPr>
            <w:tcW w:w="2972" w:type="dxa"/>
            <w:tcBorders>
              <w:bottom w:val="single" w:sz="4" w:space="0" w:color="auto"/>
            </w:tcBorders>
            <w:vAlign w:val="center"/>
          </w:tcPr>
          <w:p w14:paraId="45AF6D73" w14:textId="77777777" w:rsidR="000A2017" w:rsidRPr="006604EF" w:rsidRDefault="000A2017" w:rsidP="00380542">
            <w:pPr>
              <w:ind w:firstLine="0"/>
              <w:jc w:val="left"/>
              <w:rPr>
                <w:sz w:val="22"/>
              </w:rPr>
            </w:pPr>
            <w:r w:rsidRPr="006604EF">
              <w:rPr>
                <w:sz w:val="22"/>
              </w:rPr>
              <w:t>Resíduos</w:t>
            </w:r>
          </w:p>
        </w:tc>
        <w:tc>
          <w:tcPr>
            <w:tcW w:w="7212" w:type="dxa"/>
            <w:tcBorders>
              <w:bottom w:val="single" w:sz="4" w:space="0" w:color="auto"/>
            </w:tcBorders>
          </w:tcPr>
          <w:p w14:paraId="7606B2F6" w14:textId="77777777" w:rsidR="000A2017" w:rsidRPr="006604EF" w:rsidRDefault="000A2017" w:rsidP="00380542">
            <w:pPr>
              <w:ind w:firstLine="0"/>
              <w:rPr>
                <w:sz w:val="22"/>
              </w:rPr>
            </w:pPr>
            <w:r w:rsidRPr="006604EF">
              <w:rPr>
                <w:sz w:val="22"/>
              </w:rPr>
              <w:t>Emissões pela deposição de resíduos sólidos e tratamento de esgotos</w:t>
            </w:r>
          </w:p>
          <w:p w14:paraId="7A0C6D91" w14:textId="77777777" w:rsidR="000A2017" w:rsidRPr="006604EF" w:rsidRDefault="000A2017" w:rsidP="00380542">
            <w:pPr>
              <w:ind w:firstLine="0"/>
              <w:rPr>
                <w:sz w:val="22"/>
              </w:rPr>
            </w:pPr>
            <w:r w:rsidRPr="006604EF">
              <w:rPr>
                <w:sz w:val="22"/>
              </w:rPr>
              <w:t>Emissões por incineração de resíduos e pelo consumo humano de proteínas</w:t>
            </w:r>
          </w:p>
        </w:tc>
      </w:tr>
    </w:tbl>
    <w:p w14:paraId="703E4085" w14:textId="6A64BFAC" w:rsidR="000A2017" w:rsidRPr="00CE3BB2" w:rsidRDefault="00C72EBB" w:rsidP="000A2017">
      <w:pPr>
        <w:pStyle w:val="FONTE0"/>
      </w:pPr>
      <w:r>
        <w:t>FONTE</w:t>
      </w:r>
      <w:r w:rsidR="000A2017">
        <w:t xml:space="preserve">: </w:t>
      </w:r>
      <w:r w:rsidR="007262C3">
        <w:t>Brasil (2014)</w:t>
      </w:r>
    </w:p>
    <w:p w14:paraId="1F3E1AF7" w14:textId="77777777" w:rsidR="000A2017" w:rsidRDefault="000A2017" w:rsidP="000A2017">
      <w:pPr>
        <w:spacing w:after="160" w:line="259" w:lineRule="auto"/>
        <w:ind w:firstLine="0"/>
        <w:jc w:val="left"/>
        <w:rPr>
          <w:rFonts w:eastAsiaTheme="majorEastAsia" w:cstheme="majorBidi"/>
          <w:b/>
          <w:caps/>
          <w:szCs w:val="32"/>
        </w:rPr>
      </w:pPr>
      <w:r>
        <w:br w:type="page"/>
      </w:r>
    </w:p>
    <w:p w14:paraId="2C9D37E5" w14:textId="77777777" w:rsidR="000A2017" w:rsidRDefault="000A2017" w:rsidP="00202D22">
      <w:pPr>
        <w:pStyle w:val="Ttulo1"/>
        <w:ind w:left="1" w:firstLine="708"/>
      </w:pPr>
      <w:r>
        <w:lastRenderedPageBreak/>
        <w:t>ANEXO 2</w:t>
      </w:r>
    </w:p>
    <w:p w14:paraId="26760E94" w14:textId="77777777" w:rsidR="000A2017" w:rsidRDefault="000A2017" w:rsidP="00B413EC">
      <w:pPr>
        <w:pStyle w:val="titulofigura"/>
      </w:pPr>
      <w:r>
        <w:t>Classificação SIIT: código de referência, nível de intensidade tecnológica e Setores de Atividade correspondentes</w:t>
      </w:r>
    </w:p>
    <w:tbl>
      <w:tblPr>
        <w:tblStyle w:val="Tabelacomgrade"/>
        <w:tblW w:w="10201" w:type="dxa"/>
        <w:tblLook w:val="04A0" w:firstRow="1" w:lastRow="0" w:firstColumn="1" w:lastColumn="0" w:noHBand="0" w:noVBand="1"/>
      </w:tblPr>
      <w:tblGrid>
        <w:gridCol w:w="988"/>
        <w:gridCol w:w="3118"/>
        <w:gridCol w:w="6095"/>
      </w:tblGrid>
      <w:tr w:rsidR="000A2017" w14:paraId="7A6F40CE" w14:textId="77777777" w:rsidTr="00B413EC">
        <w:tc>
          <w:tcPr>
            <w:tcW w:w="988" w:type="dxa"/>
          </w:tcPr>
          <w:p w14:paraId="1A1A1B0F" w14:textId="77777777" w:rsidR="000A2017" w:rsidRPr="00597943" w:rsidRDefault="000A2017" w:rsidP="00321CA1">
            <w:pPr>
              <w:ind w:firstLine="0"/>
              <w:jc w:val="left"/>
              <w:rPr>
                <w:b/>
                <w:sz w:val="22"/>
              </w:rPr>
            </w:pPr>
            <w:r w:rsidRPr="00597943">
              <w:rPr>
                <w:b/>
                <w:sz w:val="22"/>
              </w:rPr>
              <w:t>SITT</w:t>
            </w:r>
          </w:p>
        </w:tc>
        <w:tc>
          <w:tcPr>
            <w:tcW w:w="3118" w:type="dxa"/>
          </w:tcPr>
          <w:p w14:paraId="768CD960" w14:textId="77777777" w:rsidR="000A2017" w:rsidRPr="00597943" w:rsidRDefault="000A2017" w:rsidP="00321CA1">
            <w:pPr>
              <w:ind w:firstLine="0"/>
              <w:jc w:val="left"/>
              <w:rPr>
                <w:b/>
                <w:sz w:val="22"/>
              </w:rPr>
            </w:pPr>
            <w:r w:rsidRPr="00597943">
              <w:rPr>
                <w:b/>
                <w:sz w:val="22"/>
              </w:rPr>
              <w:t>Nível de tecnologia da Industria de Transformação</w:t>
            </w:r>
          </w:p>
        </w:tc>
        <w:tc>
          <w:tcPr>
            <w:tcW w:w="6095" w:type="dxa"/>
          </w:tcPr>
          <w:p w14:paraId="147C2A4B" w14:textId="77777777" w:rsidR="000A2017" w:rsidRPr="00597943" w:rsidRDefault="000A2017" w:rsidP="00321CA1">
            <w:pPr>
              <w:ind w:firstLine="0"/>
              <w:jc w:val="left"/>
              <w:rPr>
                <w:b/>
                <w:sz w:val="22"/>
              </w:rPr>
            </w:pPr>
            <w:r w:rsidRPr="00597943">
              <w:rPr>
                <w:b/>
                <w:sz w:val="22"/>
              </w:rPr>
              <w:t>Setores de Atividade por grupo do SH4</w:t>
            </w:r>
          </w:p>
        </w:tc>
      </w:tr>
      <w:tr w:rsidR="000A2017" w14:paraId="05613640" w14:textId="77777777" w:rsidTr="00B413EC">
        <w:tc>
          <w:tcPr>
            <w:tcW w:w="988" w:type="dxa"/>
          </w:tcPr>
          <w:p w14:paraId="19161C91" w14:textId="77777777" w:rsidR="000A2017" w:rsidRPr="00D06AA0" w:rsidRDefault="000A2017" w:rsidP="00380542">
            <w:pPr>
              <w:ind w:firstLine="0"/>
              <w:rPr>
                <w:sz w:val="22"/>
              </w:rPr>
            </w:pPr>
            <w:r w:rsidRPr="00D06AA0">
              <w:rPr>
                <w:sz w:val="22"/>
              </w:rPr>
              <w:t>9000</w:t>
            </w:r>
          </w:p>
        </w:tc>
        <w:tc>
          <w:tcPr>
            <w:tcW w:w="3118" w:type="dxa"/>
          </w:tcPr>
          <w:p w14:paraId="0052B8BA" w14:textId="77777777" w:rsidR="000A2017" w:rsidRPr="00D06AA0" w:rsidRDefault="000A2017" w:rsidP="00380542">
            <w:pPr>
              <w:ind w:firstLine="0"/>
              <w:rPr>
                <w:sz w:val="22"/>
              </w:rPr>
            </w:pPr>
            <w:r w:rsidRPr="00D06AA0">
              <w:rPr>
                <w:sz w:val="22"/>
              </w:rPr>
              <w:t>Não Classificado na Indústria da Transformação (N.C.I.T.)</w:t>
            </w:r>
          </w:p>
        </w:tc>
        <w:tc>
          <w:tcPr>
            <w:tcW w:w="6095" w:type="dxa"/>
          </w:tcPr>
          <w:p w14:paraId="00856714" w14:textId="77777777" w:rsidR="000A2017" w:rsidRPr="00A537BD" w:rsidRDefault="000A2017" w:rsidP="00380542">
            <w:pPr>
              <w:pStyle w:val="PargrafodaLista"/>
              <w:numPr>
                <w:ilvl w:val="0"/>
                <w:numId w:val="1"/>
              </w:numPr>
              <w:ind w:left="316" w:hanging="283"/>
              <w:jc w:val="left"/>
              <w:rPr>
                <w:rFonts w:cs="Arial"/>
                <w:sz w:val="22"/>
              </w:rPr>
            </w:pPr>
            <w:r w:rsidRPr="00A537BD">
              <w:rPr>
                <w:rFonts w:cs="Arial"/>
                <w:sz w:val="22"/>
              </w:rPr>
              <w:t>Agricultura, pecuária, produção florestal,</w:t>
            </w:r>
            <w:r>
              <w:rPr>
                <w:rFonts w:cs="Arial"/>
                <w:sz w:val="22"/>
              </w:rPr>
              <w:t xml:space="preserve"> p</w:t>
            </w:r>
            <w:r w:rsidRPr="00A537BD">
              <w:rPr>
                <w:rFonts w:cs="Arial"/>
                <w:sz w:val="22"/>
              </w:rPr>
              <w:t>esca e aquicultura</w:t>
            </w:r>
          </w:p>
          <w:p w14:paraId="18D023E4" w14:textId="77777777" w:rsidR="000A2017" w:rsidRPr="00D06AA0" w:rsidRDefault="000A2017" w:rsidP="00380542">
            <w:pPr>
              <w:pStyle w:val="PargrafodaLista"/>
              <w:numPr>
                <w:ilvl w:val="0"/>
                <w:numId w:val="1"/>
              </w:numPr>
              <w:ind w:left="316" w:hanging="283"/>
              <w:jc w:val="left"/>
              <w:rPr>
                <w:rFonts w:cs="Arial"/>
                <w:sz w:val="22"/>
              </w:rPr>
            </w:pPr>
            <w:r w:rsidRPr="00D06AA0">
              <w:rPr>
                <w:rFonts w:cs="Arial"/>
                <w:sz w:val="22"/>
              </w:rPr>
              <w:t>Indústrias extrativas</w:t>
            </w:r>
          </w:p>
          <w:p w14:paraId="03FD9778" w14:textId="77777777" w:rsidR="000A2017" w:rsidRPr="00D06AA0" w:rsidRDefault="000A2017" w:rsidP="00380542">
            <w:pPr>
              <w:pStyle w:val="PargrafodaLista"/>
              <w:numPr>
                <w:ilvl w:val="0"/>
                <w:numId w:val="1"/>
              </w:numPr>
              <w:ind w:left="316" w:hanging="283"/>
              <w:jc w:val="left"/>
              <w:rPr>
                <w:rFonts w:cs="Arial"/>
                <w:sz w:val="22"/>
              </w:rPr>
            </w:pPr>
            <w:r w:rsidRPr="00D06AA0">
              <w:rPr>
                <w:rFonts w:cs="Arial"/>
                <w:sz w:val="22"/>
              </w:rPr>
              <w:t>Eletricidade e gás</w:t>
            </w:r>
          </w:p>
          <w:p w14:paraId="32A880C8" w14:textId="77777777" w:rsidR="000A2017" w:rsidRPr="00D06AA0" w:rsidRDefault="000A2017" w:rsidP="00380542">
            <w:pPr>
              <w:pStyle w:val="PargrafodaLista"/>
              <w:numPr>
                <w:ilvl w:val="0"/>
                <w:numId w:val="1"/>
              </w:numPr>
              <w:autoSpaceDE w:val="0"/>
              <w:autoSpaceDN w:val="0"/>
              <w:adjustRightInd w:val="0"/>
              <w:ind w:left="316" w:hanging="283"/>
              <w:jc w:val="left"/>
              <w:rPr>
                <w:rFonts w:cs="Arial"/>
                <w:sz w:val="22"/>
              </w:rPr>
            </w:pPr>
            <w:r w:rsidRPr="00D06AA0">
              <w:rPr>
                <w:rFonts w:cs="Arial"/>
                <w:sz w:val="22"/>
              </w:rPr>
              <w:t>Produtos de outras atividades, desperdícios e não alocados</w:t>
            </w:r>
          </w:p>
        </w:tc>
      </w:tr>
      <w:tr w:rsidR="000A2017" w14:paraId="13C74C6C" w14:textId="77777777" w:rsidTr="00B413EC">
        <w:tc>
          <w:tcPr>
            <w:tcW w:w="988" w:type="dxa"/>
          </w:tcPr>
          <w:p w14:paraId="7D6AF490" w14:textId="77777777" w:rsidR="000A2017" w:rsidRPr="00D06AA0" w:rsidRDefault="000A2017" w:rsidP="00380542">
            <w:pPr>
              <w:ind w:firstLine="0"/>
              <w:rPr>
                <w:sz w:val="22"/>
              </w:rPr>
            </w:pPr>
            <w:r w:rsidRPr="00D06AA0">
              <w:rPr>
                <w:sz w:val="22"/>
              </w:rPr>
              <w:t>1000</w:t>
            </w:r>
          </w:p>
        </w:tc>
        <w:tc>
          <w:tcPr>
            <w:tcW w:w="3118" w:type="dxa"/>
          </w:tcPr>
          <w:p w14:paraId="0B3524D0" w14:textId="77777777" w:rsidR="000A2017" w:rsidRPr="00D06AA0" w:rsidRDefault="000A2017" w:rsidP="00380542">
            <w:pPr>
              <w:ind w:firstLine="0"/>
              <w:rPr>
                <w:sz w:val="22"/>
              </w:rPr>
            </w:pPr>
            <w:r w:rsidRPr="00D06AA0">
              <w:rPr>
                <w:sz w:val="22"/>
              </w:rPr>
              <w:t xml:space="preserve">Alta </w:t>
            </w:r>
          </w:p>
        </w:tc>
        <w:tc>
          <w:tcPr>
            <w:tcW w:w="6095" w:type="dxa"/>
          </w:tcPr>
          <w:p w14:paraId="10D1F3A4" w14:textId="77777777" w:rsidR="000A2017" w:rsidRPr="00D06AA0" w:rsidRDefault="000A2017" w:rsidP="00380542">
            <w:pPr>
              <w:pStyle w:val="PargrafodaLista"/>
              <w:numPr>
                <w:ilvl w:val="0"/>
                <w:numId w:val="2"/>
              </w:numPr>
              <w:autoSpaceDE w:val="0"/>
              <w:autoSpaceDN w:val="0"/>
              <w:adjustRightInd w:val="0"/>
              <w:ind w:left="316" w:hanging="283"/>
              <w:jc w:val="left"/>
              <w:rPr>
                <w:rFonts w:cs="Arial"/>
                <w:sz w:val="22"/>
              </w:rPr>
            </w:pPr>
            <w:r w:rsidRPr="00D06AA0">
              <w:rPr>
                <w:rFonts w:cs="Arial"/>
                <w:sz w:val="22"/>
              </w:rPr>
              <w:t xml:space="preserve">Produtos </w:t>
            </w:r>
            <w:proofErr w:type="spellStart"/>
            <w:r w:rsidRPr="00D06AA0">
              <w:rPr>
                <w:rFonts w:cs="Arial"/>
                <w:sz w:val="22"/>
              </w:rPr>
              <w:t>farmoquímicos</w:t>
            </w:r>
            <w:proofErr w:type="spellEnd"/>
            <w:r w:rsidRPr="00D06AA0">
              <w:rPr>
                <w:rFonts w:cs="Arial"/>
                <w:sz w:val="22"/>
              </w:rPr>
              <w:t xml:space="preserve"> e farmacêuticos</w:t>
            </w:r>
          </w:p>
          <w:p w14:paraId="617C9745" w14:textId="77777777" w:rsidR="000A2017" w:rsidRPr="00D06AA0" w:rsidRDefault="000A2017" w:rsidP="00380542">
            <w:pPr>
              <w:pStyle w:val="PargrafodaLista"/>
              <w:numPr>
                <w:ilvl w:val="0"/>
                <w:numId w:val="2"/>
              </w:numPr>
              <w:autoSpaceDE w:val="0"/>
              <w:autoSpaceDN w:val="0"/>
              <w:adjustRightInd w:val="0"/>
              <w:ind w:left="316" w:hanging="283"/>
              <w:jc w:val="left"/>
              <w:rPr>
                <w:rFonts w:cs="Arial"/>
                <w:sz w:val="22"/>
              </w:rPr>
            </w:pPr>
            <w:r w:rsidRPr="00D06AA0">
              <w:rPr>
                <w:rFonts w:cs="Arial"/>
                <w:sz w:val="22"/>
              </w:rPr>
              <w:t>Equipamentos de informática, produtos eletrônicos e ópticos</w:t>
            </w:r>
          </w:p>
          <w:p w14:paraId="03C410DB" w14:textId="77777777" w:rsidR="000A2017" w:rsidRPr="00D06AA0" w:rsidRDefault="000A2017" w:rsidP="00380542">
            <w:pPr>
              <w:pStyle w:val="PargrafodaLista"/>
              <w:numPr>
                <w:ilvl w:val="0"/>
                <w:numId w:val="2"/>
              </w:numPr>
              <w:ind w:left="316" w:hanging="283"/>
              <w:jc w:val="left"/>
              <w:rPr>
                <w:rFonts w:cs="Arial"/>
                <w:sz w:val="22"/>
              </w:rPr>
            </w:pPr>
            <w:r w:rsidRPr="00D06AA0">
              <w:rPr>
                <w:rFonts w:cs="Arial"/>
                <w:sz w:val="22"/>
              </w:rPr>
              <w:t>Aeronaves</w:t>
            </w:r>
          </w:p>
        </w:tc>
      </w:tr>
      <w:tr w:rsidR="000A2017" w14:paraId="06049232" w14:textId="77777777" w:rsidTr="00B413EC">
        <w:tc>
          <w:tcPr>
            <w:tcW w:w="988" w:type="dxa"/>
          </w:tcPr>
          <w:p w14:paraId="5FCB7AD0" w14:textId="77777777" w:rsidR="000A2017" w:rsidRPr="00D06AA0" w:rsidRDefault="000A2017" w:rsidP="00380542">
            <w:pPr>
              <w:ind w:firstLine="0"/>
              <w:rPr>
                <w:sz w:val="22"/>
              </w:rPr>
            </w:pPr>
            <w:r w:rsidRPr="00D06AA0">
              <w:rPr>
                <w:sz w:val="22"/>
              </w:rPr>
              <w:t>2000</w:t>
            </w:r>
          </w:p>
        </w:tc>
        <w:tc>
          <w:tcPr>
            <w:tcW w:w="3118" w:type="dxa"/>
          </w:tcPr>
          <w:p w14:paraId="1C336484" w14:textId="77777777" w:rsidR="000A2017" w:rsidRPr="00D06AA0" w:rsidRDefault="000A2017" w:rsidP="00380542">
            <w:pPr>
              <w:ind w:firstLine="0"/>
              <w:rPr>
                <w:sz w:val="22"/>
              </w:rPr>
            </w:pPr>
            <w:r w:rsidRPr="00D06AA0">
              <w:rPr>
                <w:sz w:val="22"/>
              </w:rPr>
              <w:t xml:space="preserve">Média alta </w:t>
            </w:r>
          </w:p>
        </w:tc>
        <w:tc>
          <w:tcPr>
            <w:tcW w:w="6095" w:type="dxa"/>
          </w:tcPr>
          <w:p w14:paraId="7AA3E574" w14:textId="77777777" w:rsidR="000A2017" w:rsidRPr="00D06AA0" w:rsidRDefault="000A2017" w:rsidP="00380542">
            <w:pPr>
              <w:pStyle w:val="PargrafodaLista"/>
              <w:numPr>
                <w:ilvl w:val="0"/>
                <w:numId w:val="3"/>
              </w:numPr>
              <w:autoSpaceDE w:val="0"/>
              <w:autoSpaceDN w:val="0"/>
              <w:adjustRightInd w:val="0"/>
              <w:ind w:left="316" w:hanging="283"/>
              <w:jc w:val="left"/>
              <w:rPr>
                <w:rFonts w:cs="Arial"/>
                <w:sz w:val="22"/>
              </w:rPr>
            </w:pPr>
            <w:r w:rsidRPr="00D06AA0">
              <w:rPr>
                <w:rFonts w:cs="Arial"/>
                <w:sz w:val="22"/>
              </w:rPr>
              <w:t>Produtos químicos</w:t>
            </w:r>
          </w:p>
          <w:p w14:paraId="7CA69A9C" w14:textId="77777777" w:rsidR="000A2017" w:rsidRPr="00D06AA0" w:rsidRDefault="000A2017" w:rsidP="00380542">
            <w:pPr>
              <w:pStyle w:val="PargrafodaLista"/>
              <w:numPr>
                <w:ilvl w:val="0"/>
                <w:numId w:val="3"/>
              </w:numPr>
              <w:autoSpaceDE w:val="0"/>
              <w:autoSpaceDN w:val="0"/>
              <w:adjustRightInd w:val="0"/>
              <w:ind w:left="316" w:hanging="283"/>
              <w:jc w:val="left"/>
              <w:rPr>
                <w:rFonts w:cs="Arial"/>
                <w:sz w:val="22"/>
              </w:rPr>
            </w:pPr>
            <w:r w:rsidRPr="00D06AA0">
              <w:rPr>
                <w:rFonts w:cs="Arial"/>
                <w:sz w:val="22"/>
              </w:rPr>
              <w:t>Máquinas, aparelhos e materiais elétricos</w:t>
            </w:r>
          </w:p>
          <w:p w14:paraId="1E863C19" w14:textId="77777777" w:rsidR="000A2017" w:rsidRPr="00D06AA0" w:rsidRDefault="000A2017" w:rsidP="00380542">
            <w:pPr>
              <w:pStyle w:val="PargrafodaLista"/>
              <w:numPr>
                <w:ilvl w:val="0"/>
                <w:numId w:val="3"/>
              </w:numPr>
              <w:autoSpaceDE w:val="0"/>
              <w:autoSpaceDN w:val="0"/>
              <w:adjustRightInd w:val="0"/>
              <w:ind w:left="316" w:hanging="283"/>
              <w:jc w:val="left"/>
              <w:rPr>
                <w:rFonts w:cs="Arial"/>
                <w:sz w:val="22"/>
              </w:rPr>
            </w:pPr>
            <w:r w:rsidRPr="00D06AA0">
              <w:rPr>
                <w:rFonts w:cs="Arial"/>
                <w:sz w:val="22"/>
              </w:rPr>
              <w:t>Máquinas e equipamentos N.C.O.I.¹</w:t>
            </w:r>
          </w:p>
          <w:p w14:paraId="1EBC5470" w14:textId="77777777" w:rsidR="000A2017" w:rsidRPr="00D06AA0" w:rsidRDefault="000A2017" w:rsidP="00380542">
            <w:pPr>
              <w:pStyle w:val="PargrafodaLista"/>
              <w:numPr>
                <w:ilvl w:val="0"/>
                <w:numId w:val="3"/>
              </w:numPr>
              <w:autoSpaceDE w:val="0"/>
              <w:autoSpaceDN w:val="0"/>
              <w:adjustRightInd w:val="0"/>
              <w:ind w:left="316" w:hanging="283"/>
              <w:jc w:val="left"/>
              <w:rPr>
                <w:rFonts w:cs="Arial"/>
                <w:sz w:val="22"/>
              </w:rPr>
            </w:pPr>
            <w:r w:rsidRPr="00D06AA0">
              <w:rPr>
                <w:rFonts w:cs="Arial"/>
                <w:sz w:val="22"/>
              </w:rPr>
              <w:t>Veículos automotores,</w:t>
            </w:r>
          </w:p>
          <w:p w14:paraId="3A001FDC" w14:textId="77777777" w:rsidR="000A2017" w:rsidRPr="00D06AA0" w:rsidRDefault="000A2017" w:rsidP="00380542">
            <w:pPr>
              <w:pStyle w:val="PargrafodaLista"/>
              <w:numPr>
                <w:ilvl w:val="0"/>
                <w:numId w:val="3"/>
              </w:numPr>
              <w:ind w:left="316" w:hanging="283"/>
              <w:jc w:val="left"/>
              <w:rPr>
                <w:rFonts w:cs="Arial"/>
                <w:sz w:val="22"/>
              </w:rPr>
            </w:pPr>
            <w:r w:rsidRPr="00D06AA0">
              <w:rPr>
                <w:rFonts w:cs="Arial"/>
                <w:sz w:val="22"/>
              </w:rPr>
              <w:t>Reboques e carrocerias</w:t>
            </w:r>
          </w:p>
          <w:p w14:paraId="31D3063A" w14:textId="77777777" w:rsidR="000A2017" w:rsidRPr="00D06AA0" w:rsidRDefault="000A2017" w:rsidP="00380542">
            <w:pPr>
              <w:pStyle w:val="PargrafodaLista"/>
              <w:numPr>
                <w:ilvl w:val="0"/>
                <w:numId w:val="3"/>
              </w:numPr>
              <w:autoSpaceDE w:val="0"/>
              <w:autoSpaceDN w:val="0"/>
              <w:adjustRightInd w:val="0"/>
              <w:ind w:left="316" w:hanging="283"/>
              <w:jc w:val="left"/>
              <w:rPr>
                <w:rFonts w:cs="Arial"/>
                <w:sz w:val="22"/>
              </w:rPr>
            </w:pPr>
            <w:r w:rsidRPr="00D06AA0">
              <w:rPr>
                <w:rFonts w:cs="Arial"/>
                <w:sz w:val="22"/>
              </w:rPr>
              <w:t>Veículos ferroviários e Equipamentos de Transporte N.C.O.I.¹</w:t>
            </w:r>
          </w:p>
          <w:p w14:paraId="07A2A79B" w14:textId="77777777" w:rsidR="000A2017" w:rsidRPr="00D06AA0" w:rsidRDefault="000A2017" w:rsidP="00380542">
            <w:pPr>
              <w:pStyle w:val="PargrafodaLista"/>
              <w:numPr>
                <w:ilvl w:val="0"/>
                <w:numId w:val="3"/>
              </w:numPr>
              <w:autoSpaceDE w:val="0"/>
              <w:autoSpaceDN w:val="0"/>
              <w:adjustRightInd w:val="0"/>
              <w:ind w:left="316" w:hanging="283"/>
              <w:jc w:val="left"/>
              <w:rPr>
                <w:rFonts w:cs="Arial"/>
                <w:sz w:val="22"/>
              </w:rPr>
            </w:pPr>
            <w:r w:rsidRPr="00D06AA0">
              <w:rPr>
                <w:rFonts w:cs="Arial"/>
                <w:sz w:val="22"/>
              </w:rPr>
              <w:t>Veículos militares de Combate</w:t>
            </w:r>
          </w:p>
        </w:tc>
      </w:tr>
      <w:tr w:rsidR="000A2017" w14:paraId="7BD18EE6" w14:textId="77777777" w:rsidTr="00B413EC">
        <w:tc>
          <w:tcPr>
            <w:tcW w:w="988" w:type="dxa"/>
          </w:tcPr>
          <w:p w14:paraId="78693412" w14:textId="77777777" w:rsidR="000A2017" w:rsidRPr="00D06AA0" w:rsidRDefault="000A2017" w:rsidP="00380542">
            <w:pPr>
              <w:ind w:firstLine="0"/>
              <w:rPr>
                <w:sz w:val="22"/>
              </w:rPr>
            </w:pPr>
            <w:r w:rsidRPr="00D06AA0">
              <w:rPr>
                <w:sz w:val="22"/>
              </w:rPr>
              <w:t>3000</w:t>
            </w:r>
          </w:p>
        </w:tc>
        <w:tc>
          <w:tcPr>
            <w:tcW w:w="3118" w:type="dxa"/>
          </w:tcPr>
          <w:p w14:paraId="76FF814F" w14:textId="77777777" w:rsidR="000A2017" w:rsidRPr="00D06AA0" w:rsidRDefault="000A2017" w:rsidP="00380542">
            <w:pPr>
              <w:ind w:firstLine="0"/>
              <w:rPr>
                <w:sz w:val="22"/>
              </w:rPr>
            </w:pPr>
            <w:r w:rsidRPr="00D06AA0">
              <w:rPr>
                <w:sz w:val="22"/>
              </w:rPr>
              <w:t xml:space="preserve">Média baixa </w:t>
            </w:r>
          </w:p>
        </w:tc>
        <w:tc>
          <w:tcPr>
            <w:tcW w:w="6095" w:type="dxa"/>
          </w:tcPr>
          <w:p w14:paraId="4310ADC2" w14:textId="77777777" w:rsidR="000A2017" w:rsidRPr="004165FE" w:rsidRDefault="000A2017" w:rsidP="00380542">
            <w:pPr>
              <w:pStyle w:val="PargrafodaLista"/>
              <w:numPr>
                <w:ilvl w:val="0"/>
                <w:numId w:val="4"/>
              </w:numPr>
              <w:autoSpaceDE w:val="0"/>
              <w:autoSpaceDN w:val="0"/>
              <w:adjustRightInd w:val="0"/>
              <w:ind w:left="316" w:hanging="283"/>
              <w:jc w:val="left"/>
              <w:rPr>
                <w:rFonts w:cs="Arial"/>
                <w:sz w:val="22"/>
              </w:rPr>
            </w:pPr>
            <w:r w:rsidRPr="004165FE">
              <w:rPr>
                <w:rFonts w:cs="Arial"/>
                <w:sz w:val="22"/>
              </w:rPr>
              <w:t>Coque, produtos derivados do petróleo e biocombustíveis</w:t>
            </w:r>
          </w:p>
          <w:p w14:paraId="71E6C144" w14:textId="77777777" w:rsidR="000A2017" w:rsidRPr="004165FE" w:rsidRDefault="000A2017" w:rsidP="00380542">
            <w:pPr>
              <w:pStyle w:val="PargrafodaLista"/>
              <w:numPr>
                <w:ilvl w:val="0"/>
                <w:numId w:val="4"/>
              </w:numPr>
              <w:autoSpaceDE w:val="0"/>
              <w:autoSpaceDN w:val="0"/>
              <w:adjustRightInd w:val="0"/>
              <w:ind w:left="316" w:hanging="283"/>
              <w:jc w:val="left"/>
              <w:rPr>
                <w:rFonts w:cs="Arial"/>
                <w:sz w:val="22"/>
              </w:rPr>
            </w:pPr>
            <w:r w:rsidRPr="004165FE">
              <w:rPr>
                <w:rFonts w:cs="Arial"/>
                <w:sz w:val="22"/>
              </w:rPr>
              <w:t>Produtos de borracha e de material plástico</w:t>
            </w:r>
          </w:p>
          <w:p w14:paraId="3C914D15" w14:textId="77777777" w:rsidR="000A2017" w:rsidRPr="004165FE" w:rsidRDefault="000A2017" w:rsidP="00380542">
            <w:pPr>
              <w:pStyle w:val="PargrafodaLista"/>
              <w:numPr>
                <w:ilvl w:val="0"/>
                <w:numId w:val="4"/>
              </w:numPr>
              <w:ind w:left="316" w:hanging="283"/>
              <w:jc w:val="left"/>
              <w:rPr>
                <w:rFonts w:cs="Arial"/>
                <w:sz w:val="22"/>
              </w:rPr>
            </w:pPr>
            <w:r w:rsidRPr="004165FE">
              <w:rPr>
                <w:rFonts w:cs="Arial"/>
                <w:sz w:val="22"/>
              </w:rPr>
              <w:t>Produtos minerais não metálicos</w:t>
            </w:r>
          </w:p>
          <w:p w14:paraId="2D46F061" w14:textId="77777777" w:rsidR="000A2017" w:rsidRPr="004165FE" w:rsidRDefault="000A2017" w:rsidP="00380542">
            <w:pPr>
              <w:pStyle w:val="PargrafodaLista"/>
              <w:numPr>
                <w:ilvl w:val="0"/>
                <w:numId w:val="4"/>
              </w:numPr>
              <w:ind w:left="316" w:hanging="283"/>
              <w:jc w:val="left"/>
              <w:rPr>
                <w:rFonts w:cs="Arial"/>
                <w:sz w:val="22"/>
              </w:rPr>
            </w:pPr>
            <w:r w:rsidRPr="004165FE">
              <w:rPr>
                <w:rFonts w:cs="Arial"/>
                <w:sz w:val="22"/>
              </w:rPr>
              <w:t>Metalurgia e produtos de metal, exceto máquinas e Equipamentos</w:t>
            </w:r>
          </w:p>
          <w:p w14:paraId="1580733C" w14:textId="77777777" w:rsidR="000A2017" w:rsidRPr="004165FE" w:rsidRDefault="000A2017" w:rsidP="00380542">
            <w:pPr>
              <w:pStyle w:val="PargrafodaLista"/>
              <w:numPr>
                <w:ilvl w:val="0"/>
                <w:numId w:val="4"/>
              </w:numPr>
              <w:ind w:left="316" w:hanging="283"/>
              <w:jc w:val="left"/>
              <w:rPr>
                <w:rFonts w:cs="Arial"/>
                <w:sz w:val="22"/>
              </w:rPr>
            </w:pPr>
            <w:r w:rsidRPr="004165FE">
              <w:rPr>
                <w:rFonts w:cs="Arial"/>
                <w:sz w:val="22"/>
              </w:rPr>
              <w:t>Embarcações navais</w:t>
            </w:r>
          </w:p>
        </w:tc>
      </w:tr>
      <w:tr w:rsidR="000A2017" w14:paraId="45A2962C" w14:textId="77777777" w:rsidTr="00B413EC">
        <w:tc>
          <w:tcPr>
            <w:tcW w:w="988" w:type="dxa"/>
          </w:tcPr>
          <w:p w14:paraId="3164000C" w14:textId="77777777" w:rsidR="000A2017" w:rsidRPr="00D06AA0" w:rsidRDefault="000A2017" w:rsidP="00380542">
            <w:pPr>
              <w:ind w:firstLine="0"/>
              <w:rPr>
                <w:sz w:val="22"/>
              </w:rPr>
            </w:pPr>
            <w:r w:rsidRPr="00D06AA0">
              <w:rPr>
                <w:sz w:val="22"/>
              </w:rPr>
              <w:t>4000</w:t>
            </w:r>
          </w:p>
        </w:tc>
        <w:tc>
          <w:tcPr>
            <w:tcW w:w="3118" w:type="dxa"/>
          </w:tcPr>
          <w:p w14:paraId="646294D0" w14:textId="77777777" w:rsidR="000A2017" w:rsidRPr="00D06AA0" w:rsidRDefault="000A2017" w:rsidP="00380542">
            <w:pPr>
              <w:ind w:firstLine="0"/>
              <w:rPr>
                <w:sz w:val="22"/>
              </w:rPr>
            </w:pPr>
            <w:r w:rsidRPr="00D06AA0">
              <w:rPr>
                <w:sz w:val="22"/>
              </w:rPr>
              <w:t xml:space="preserve">Baixa </w:t>
            </w:r>
          </w:p>
        </w:tc>
        <w:tc>
          <w:tcPr>
            <w:tcW w:w="6095" w:type="dxa"/>
          </w:tcPr>
          <w:p w14:paraId="34F3E234" w14:textId="3A21C475" w:rsidR="000A2017" w:rsidRPr="00D06AA0" w:rsidRDefault="000A2017" w:rsidP="00380542">
            <w:pPr>
              <w:pStyle w:val="PargrafodaLista"/>
              <w:numPr>
                <w:ilvl w:val="0"/>
                <w:numId w:val="5"/>
              </w:numPr>
              <w:autoSpaceDE w:val="0"/>
              <w:autoSpaceDN w:val="0"/>
              <w:adjustRightInd w:val="0"/>
              <w:ind w:left="316" w:hanging="283"/>
              <w:jc w:val="left"/>
              <w:rPr>
                <w:rFonts w:cs="Arial"/>
                <w:sz w:val="22"/>
              </w:rPr>
            </w:pPr>
            <w:r w:rsidRPr="00D06AA0">
              <w:rPr>
                <w:rFonts w:cs="Arial"/>
                <w:sz w:val="22"/>
              </w:rPr>
              <w:t xml:space="preserve">Alimentos, </w:t>
            </w:r>
            <w:r w:rsidR="000A4396" w:rsidRPr="00D06AA0">
              <w:rPr>
                <w:rFonts w:cs="Arial"/>
                <w:sz w:val="22"/>
              </w:rPr>
              <w:t>bebidas e Tabaco</w:t>
            </w:r>
          </w:p>
          <w:p w14:paraId="0B39BB49" w14:textId="77777777" w:rsidR="000A2017" w:rsidRPr="00D06AA0" w:rsidRDefault="000A2017" w:rsidP="00380542">
            <w:pPr>
              <w:pStyle w:val="PargrafodaLista"/>
              <w:numPr>
                <w:ilvl w:val="0"/>
                <w:numId w:val="5"/>
              </w:numPr>
              <w:autoSpaceDE w:val="0"/>
              <w:autoSpaceDN w:val="0"/>
              <w:adjustRightInd w:val="0"/>
              <w:ind w:left="316" w:hanging="283"/>
              <w:jc w:val="left"/>
              <w:rPr>
                <w:rFonts w:cs="Arial"/>
                <w:sz w:val="22"/>
              </w:rPr>
            </w:pPr>
            <w:r w:rsidRPr="00D06AA0">
              <w:rPr>
                <w:rFonts w:cs="Arial"/>
                <w:sz w:val="22"/>
              </w:rPr>
              <w:t>Têxteis, couros e Calçados</w:t>
            </w:r>
          </w:p>
          <w:p w14:paraId="40D2A38E" w14:textId="77777777" w:rsidR="000A2017" w:rsidRPr="00D06AA0" w:rsidRDefault="000A2017" w:rsidP="00380542">
            <w:pPr>
              <w:pStyle w:val="PargrafodaLista"/>
              <w:numPr>
                <w:ilvl w:val="0"/>
                <w:numId w:val="5"/>
              </w:numPr>
              <w:autoSpaceDE w:val="0"/>
              <w:autoSpaceDN w:val="0"/>
              <w:adjustRightInd w:val="0"/>
              <w:ind w:left="316" w:hanging="283"/>
              <w:jc w:val="left"/>
              <w:rPr>
                <w:rFonts w:cs="Arial"/>
                <w:sz w:val="22"/>
              </w:rPr>
            </w:pPr>
            <w:r w:rsidRPr="00D06AA0">
              <w:rPr>
                <w:rFonts w:cs="Arial"/>
                <w:sz w:val="22"/>
              </w:rPr>
              <w:t>Madeira e seus produtos</w:t>
            </w:r>
          </w:p>
          <w:p w14:paraId="6BD955BA" w14:textId="38B4BDB9" w:rsidR="000A2017" w:rsidRPr="00D06AA0" w:rsidRDefault="000A2017" w:rsidP="00380542">
            <w:pPr>
              <w:pStyle w:val="PargrafodaLista"/>
              <w:numPr>
                <w:ilvl w:val="0"/>
                <w:numId w:val="5"/>
              </w:numPr>
              <w:autoSpaceDE w:val="0"/>
              <w:autoSpaceDN w:val="0"/>
              <w:adjustRightInd w:val="0"/>
              <w:ind w:left="316" w:hanging="283"/>
              <w:jc w:val="left"/>
              <w:rPr>
                <w:rFonts w:cs="Arial"/>
                <w:sz w:val="22"/>
              </w:rPr>
            </w:pPr>
            <w:r w:rsidRPr="00D06AA0">
              <w:rPr>
                <w:rFonts w:cs="Arial"/>
                <w:sz w:val="22"/>
              </w:rPr>
              <w:t xml:space="preserve">Celulose, </w:t>
            </w:r>
            <w:r w:rsidR="000A4396" w:rsidRPr="00D06AA0">
              <w:rPr>
                <w:rFonts w:cs="Arial"/>
                <w:sz w:val="22"/>
              </w:rPr>
              <w:t>papel e Impressão</w:t>
            </w:r>
          </w:p>
          <w:p w14:paraId="0BBAA3EE" w14:textId="77777777" w:rsidR="000A2017" w:rsidRPr="00D06AA0" w:rsidRDefault="000A2017" w:rsidP="00380542">
            <w:pPr>
              <w:pStyle w:val="PargrafodaLista"/>
              <w:numPr>
                <w:ilvl w:val="0"/>
                <w:numId w:val="5"/>
              </w:numPr>
              <w:autoSpaceDE w:val="0"/>
              <w:autoSpaceDN w:val="0"/>
              <w:adjustRightInd w:val="0"/>
              <w:ind w:left="316" w:hanging="283"/>
              <w:jc w:val="left"/>
              <w:rPr>
                <w:rFonts w:cs="Arial"/>
                <w:sz w:val="22"/>
              </w:rPr>
            </w:pPr>
            <w:r w:rsidRPr="00D06AA0">
              <w:rPr>
                <w:rFonts w:cs="Arial"/>
                <w:sz w:val="22"/>
              </w:rPr>
              <w:t>Móveis e outras</w:t>
            </w:r>
          </w:p>
          <w:p w14:paraId="122F8F8C" w14:textId="77777777" w:rsidR="000A2017" w:rsidRPr="00D06AA0" w:rsidRDefault="000A2017" w:rsidP="00380542">
            <w:pPr>
              <w:pStyle w:val="PargrafodaLista"/>
              <w:numPr>
                <w:ilvl w:val="0"/>
                <w:numId w:val="5"/>
              </w:numPr>
              <w:ind w:left="316" w:hanging="283"/>
              <w:jc w:val="left"/>
              <w:rPr>
                <w:rFonts w:cs="Arial"/>
                <w:sz w:val="22"/>
              </w:rPr>
            </w:pPr>
            <w:r w:rsidRPr="00D06AA0">
              <w:rPr>
                <w:rFonts w:cs="Arial"/>
                <w:sz w:val="22"/>
              </w:rPr>
              <w:t>Manufaturas N.C.O.I.¹</w:t>
            </w:r>
          </w:p>
        </w:tc>
      </w:tr>
    </w:tbl>
    <w:p w14:paraId="0967E530" w14:textId="77777777" w:rsidR="000A2017" w:rsidRPr="00B37F3E" w:rsidRDefault="000A2017" w:rsidP="00B413EC">
      <w:pPr>
        <w:pStyle w:val="FONTE0"/>
      </w:pPr>
      <w:r w:rsidRPr="00B37F3E">
        <w:t>¹N.C.O.I.: Não classificado em outro código ISIC</w:t>
      </w:r>
    </w:p>
    <w:p w14:paraId="71D015B0" w14:textId="1D4799B1" w:rsidR="000A2017" w:rsidRPr="00FF1EB7" w:rsidRDefault="00C72EBB" w:rsidP="00FF1EB7">
      <w:pPr>
        <w:pStyle w:val="FONTE0"/>
        <w:rPr>
          <w:szCs w:val="24"/>
        </w:rPr>
      </w:pPr>
      <w:r>
        <w:t>FONTE</w:t>
      </w:r>
      <w:r w:rsidR="000A2017" w:rsidRPr="00B37F3E">
        <w:t>:</w:t>
      </w:r>
      <w:r w:rsidR="000A2017">
        <w:t xml:space="preserve"> </w:t>
      </w:r>
      <w:r w:rsidR="00906080">
        <w:t>Brasil (2017)</w:t>
      </w:r>
    </w:p>
    <w:p w14:paraId="56DCE411" w14:textId="77777777" w:rsidR="005D75FB" w:rsidRPr="00FF1EB7" w:rsidRDefault="005D75FB" w:rsidP="005F2678">
      <w:pPr>
        <w:spacing w:after="60"/>
        <w:ind w:left="567" w:hanging="567"/>
        <w:rPr>
          <w:szCs w:val="24"/>
        </w:rPr>
      </w:pPr>
    </w:p>
    <w:p w14:paraId="73264600" w14:textId="77777777" w:rsidR="005D75FB" w:rsidRPr="00FF1EB7" w:rsidRDefault="005D75FB" w:rsidP="00CA4FFA">
      <w:pPr>
        <w:pStyle w:val="Bibliografia"/>
        <w:spacing w:after="60"/>
        <w:ind w:left="567" w:firstLineChars="0" w:hanging="567"/>
        <w:rPr>
          <w:noProof/>
        </w:rPr>
      </w:pPr>
    </w:p>
    <w:sectPr w:rsidR="005D75FB" w:rsidRPr="00FF1EB7" w:rsidSect="005635DF">
      <w:type w:val="continuous"/>
      <w:pgSz w:w="11906" w:h="16838"/>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2BDB0" w14:textId="77777777" w:rsidR="003A1349" w:rsidRDefault="003A1349" w:rsidP="00D76F64">
      <w:r>
        <w:separator/>
      </w:r>
    </w:p>
  </w:endnote>
  <w:endnote w:type="continuationSeparator" w:id="0">
    <w:p w14:paraId="6FB24903" w14:textId="77777777" w:rsidR="003A1349" w:rsidRDefault="003A1349" w:rsidP="00D76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Bahnschrift Light"/>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onospac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77D2E" w14:textId="77777777" w:rsidR="003A1349" w:rsidRDefault="003A1349" w:rsidP="00D76F64">
      <w:r>
        <w:separator/>
      </w:r>
    </w:p>
  </w:footnote>
  <w:footnote w:type="continuationSeparator" w:id="0">
    <w:p w14:paraId="5FD4D24F" w14:textId="77777777" w:rsidR="003A1349" w:rsidRDefault="003A1349" w:rsidP="00D76F64">
      <w:r>
        <w:continuationSeparator/>
      </w:r>
    </w:p>
  </w:footnote>
  <w:footnote w:id="1">
    <w:p w14:paraId="7DF41BC0" w14:textId="77777777" w:rsidR="0071070D" w:rsidRPr="009F7A94" w:rsidRDefault="0071070D" w:rsidP="00791A11">
      <w:pPr>
        <w:pStyle w:val="Textodenotaderodap"/>
        <w:ind w:firstLine="0"/>
      </w:pPr>
      <w:r>
        <w:rPr>
          <w:rStyle w:val="Refdenotaderodap"/>
        </w:rPr>
        <w:footnoteRef/>
      </w:r>
      <w:r>
        <w:t>Mestrando em Economia pelo PPGE/UFU e graduado em Economia pelo IERI/UFU. E-mail: luizgustavosereno@gmail.com</w:t>
      </w:r>
    </w:p>
  </w:footnote>
  <w:footnote w:id="2">
    <w:p w14:paraId="18D9824C" w14:textId="77777777" w:rsidR="0071070D" w:rsidRPr="009F7A94" w:rsidRDefault="0071070D" w:rsidP="00791A11">
      <w:pPr>
        <w:pStyle w:val="Textodenotaderodap"/>
        <w:ind w:firstLine="0"/>
      </w:pPr>
      <w:r>
        <w:rPr>
          <w:rStyle w:val="Refdenotaderodap"/>
        </w:rPr>
        <w:footnoteRef/>
      </w:r>
      <w:r>
        <w:t xml:space="preserve">Doutorando em Economia pelo PPGE/UFU, Mestre em Economia pelo PPGE/UFU, professor da faculdade ESAMC Uberlândia e gestor ambiental na SEMAD-MG. E-mail: </w:t>
      </w:r>
      <w:r w:rsidRPr="00C47334">
        <w:t>marcelo.simoes@meioambiente.mg.gov.br</w:t>
      </w:r>
    </w:p>
  </w:footnote>
  <w:footnote w:id="3">
    <w:p w14:paraId="6B6866AA" w14:textId="77777777" w:rsidR="0071070D" w:rsidRPr="009F7A94" w:rsidRDefault="0071070D" w:rsidP="00791A11">
      <w:pPr>
        <w:pStyle w:val="Textodenotaderodap"/>
        <w:ind w:firstLine="0"/>
      </w:pPr>
      <w:r>
        <w:rPr>
          <w:rStyle w:val="Refdenotaderodap"/>
        </w:rPr>
        <w:footnoteRef/>
      </w:r>
      <w:r>
        <w:t xml:space="preserve"> Professor Associado do Instituto de Economia e Relações Internacionais da Universidade Federal de Uberlândia. Bolsista de Produtividade do CNPq. E-mail: daniel.andrade@ufu.br</w:t>
      </w:r>
    </w:p>
  </w:footnote>
  <w:footnote w:id="4">
    <w:p w14:paraId="55C06EFE" w14:textId="77777777" w:rsidR="0071070D" w:rsidRDefault="0071070D" w:rsidP="002D48E6">
      <w:pPr>
        <w:pStyle w:val="Textodenotaderodap"/>
        <w:ind w:firstLine="0"/>
      </w:pPr>
      <w:r>
        <w:rPr>
          <w:rStyle w:val="Refdenotaderodap"/>
        </w:rPr>
        <w:footnoteRef/>
      </w:r>
      <w:r>
        <w:t xml:space="preserve"> Ver </w:t>
      </w:r>
      <w:r w:rsidRPr="00561E36">
        <w:rPr>
          <w:b/>
        </w:rPr>
        <w:t>Anexo 1</w:t>
      </w:r>
    </w:p>
  </w:footnote>
  <w:footnote w:id="5">
    <w:p w14:paraId="526ED77F" w14:textId="77777777" w:rsidR="0071070D" w:rsidRDefault="0071070D" w:rsidP="002D48E6">
      <w:pPr>
        <w:pStyle w:val="Textodenotaderodap"/>
        <w:ind w:firstLine="0"/>
      </w:pPr>
      <w:r>
        <w:rPr>
          <w:rStyle w:val="Refdenotaderodap"/>
        </w:rPr>
        <w:footnoteRef/>
      </w:r>
      <w:r>
        <w:t xml:space="preserve"> Os setores de Mudança no uso da terra e de Agropecuária estão fortemente relacionados já que a expansão da atividade do segundo necessita de uma maior área, portanto, maiores emissões relacionadas à queimadas, desmatamentos e tratamento de solos agrícolas com calcário.</w:t>
      </w:r>
    </w:p>
  </w:footnote>
  <w:footnote w:id="6">
    <w:p w14:paraId="014DF915" w14:textId="77777777" w:rsidR="0071070D" w:rsidRDefault="0071070D" w:rsidP="002D48E6">
      <w:pPr>
        <w:pStyle w:val="Textodenotaderodap"/>
        <w:ind w:firstLine="0"/>
      </w:pPr>
      <w:r>
        <w:rPr>
          <w:rStyle w:val="Refdenotaderodap"/>
        </w:rPr>
        <w:footnoteRef/>
      </w:r>
      <w:r>
        <w:t xml:space="preserve"> A queima de combustíveis fósseis em atividades industrias é medida pelo setor de Energia e não pelo setor de Processos Industriais</w:t>
      </w:r>
    </w:p>
  </w:footnote>
  <w:footnote w:id="7">
    <w:p w14:paraId="576BA4A4" w14:textId="496512BB" w:rsidR="0071070D" w:rsidRDefault="0071070D" w:rsidP="003E5EC1">
      <w:pPr>
        <w:pStyle w:val="Textodenotaderodap"/>
      </w:pPr>
      <w:r>
        <w:rPr>
          <w:rStyle w:val="Refdenotaderodap"/>
        </w:rPr>
        <w:footnoteRef/>
      </w:r>
      <w:r>
        <w:t xml:space="preserve"> Ver </w:t>
      </w:r>
      <w:r w:rsidRPr="001B136C">
        <w:rPr>
          <w:b/>
        </w:rPr>
        <w:t>Anexo 2</w:t>
      </w:r>
    </w:p>
  </w:footnote>
  <w:footnote w:id="8">
    <w:p w14:paraId="0B743588" w14:textId="77777777" w:rsidR="0071070D" w:rsidRPr="00475B2F" w:rsidRDefault="0071070D" w:rsidP="001B316A">
      <w:pPr>
        <w:pStyle w:val="Textodenotaderodap"/>
        <w:ind w:firstLine="0"/>
      </w:pPr>
      <w:r>
        <w:rPr>
          <w:rStyle w:val="Refdenotaderodap"/>
        </w:rPr>
        <w:footnoteRef/>
      </w:r>
      <w:r w:rsidRPr="00475B2F">
        <w:t xml:space="preserve"> Ver </w:t>
      </w:r>
      <w:r w:rsidRPr="00475B2F">
        <w:rPr>
          <w:b/>
        </w:rPr>
        <w:t>Anexo 2</w:t>
      </w:r>
    </w:p>
  </w:footnote>
  <w:footnote w:id="9">
    <w:p w14:paraId="5FCCDF32" w14:textId="77777777" w:rsidR="0071070D" w:rsidRDefault="0071070D" w:rsidP="006B7A5B">
      <w:pPr>
        <w:pStyle w:val="Textodenotaderodap"/>
        <w:ind w:firstLine="0"/>
      </w:pPr>
      <w:r>
        <w:rPr>
          <w:rStyle w:val="Refdenotaderodap"/>
        </w:rPr>
        <w:footnoteRef/>
      </w:r>
      <w:r>
        <w:t xml:space="preserve"> O estado de Minas Gerais tem 24,34% da população do Sudeste ao passo que ocupa 63,43% da Região</w:t>
      </w:r>
    </w:p>
  </w:footnote>
  <w:footnote w:id="10">
    <w:p w14:paraId="05EDB955" w14:textId="77777777" w:rsidR="0071070D" w:rsidRDefault="0071070D" w:rsidP="001B316A">
      <w:pPr>
        <w:pStyle w:val="Textodenotaderodap"/>
        <w:ind w:firstLine="0"/>
      </w:pPr>
      <w:r>
        <w:rPr>
          <w:rStyle w:val="Refdenotaderodap"/>
        </w:rPr>
        <w:footnoteRef/>
      </w:r>
      <w:r>
        <w:t xml:space="preserve"> Relacionado à abundância de terras e recursos minerais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461875"/>
      <w:docPartObj>
        <w:docPartGallery w:val="Page Numbers (Top of Page)"/>
        <w:docPartUnique/>
      </w:docPartObj>
    </w:sdtPr>
    <w:sdtEndPr/>
    <w:sdtContent>
      <w:p w14:paraId="5830DA4C" w14:textId="49C0364A" w:rsidR="0071070D" w:rsidRDefault="0071070D" w:rsidP="00E546A8">
        <w:pPr>
          <w:pStyle w:val="Cabealho"/>
          <w:jc w:val="right"/>
        </w:pPr>
        <w:r>
          <w:fldChar w:fldCharType="begin"/>
        </w:r>
        <w:r>
          <w:instrText>PAGE   \* MERGEFORMAT</w:instrText>
        </w:r>
        <w:r>
          <w:fldChar w:fldCharType="separate"/>
        </w:r>
        <w:r w:rsidR="00673183">
          <w:rPr>
            <w:noProof/>
          </w:rPr>
          <w:t>20</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6252"/>
    <w:multiLevelType w:val="hybridMultilevel"/>
    <w:tmpl w:val="692C43D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4F613C"/>
    <w:multiLevelType w:val="hybridMultilevel"/>
    <w:tmpl w:val="E820B2EE"/>
    <w:lvl w:ilvl="0" w:tplc="BE4E4914">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68395E"/>
    <w:multiLevelType w:val="hybridMultilevel"/>
    <w:tmpl w:val="C6FC3870"/>
    <w:lvl w:ilvl="0" w:tplc="223CBBBC">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0CD460B"/>
    <w:multiLevelType w:val="hybridMultilevel"/>
    <w:tmpl w:val="90D855C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4B7419"/>
    <w:multiLevelType w:val="hybridMultilevel"/>
    <w:tmpl w:val="5DD66D1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7F4634D"/>
    <w:multiLevelType w:val="hybridMultilevel"/>
    <w:tmpl w:val="8988935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38775FF"/>
    <w:multiLevelType w:val="hybridMultilevel"/>
    <w:tmpl w:val="F6D883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A8A6FFC"/>
    <w:multiLevelType w:val="hybridMultilevel"/>
    <w:tmpl w:val="719E47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1"/>
    <w:lvlOverride w:ilvl="0">
      <w:startOverride w:val="1"/>
    </w:lvlOverride>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0E"/>
    <w:rsid w:val="000007B5"/>
    <w:rsid w:val="00000CC9"/>
    <w:rsid w:val="00000DCF"/>
    <w:rsid w:val="00002556"/>
    <w:rsid w:val="00003545"/>
    <w:rsid w:val="00003789"/>
    <w:rsid w:val="00004280"/>
    <w:rsid w:val="0000542D"/>
    <w:rsid w:val="00005562"/>
    <w:rsid w:val="0000786A"/>
    <w:rsid w:val="000102DB"/>
    <w:rsid w:val="0001103D"/>
    <w:rsid w:val="00011306"/>
    <w:rsid w:val="00011B70"/>
    <w:rsid w:val="00012076"/>
    <w:rsid w:val="0001261A"/>
    <w:rsid w:val="00012D7E"/>
    <w:rsid w:val="00014A79"/>
    <w:rsid w:val="00014B46"/>
    <w:rsid w:val="00015F3B"/>
    <w:rsid w:val="00017359"/>
    <w:rsid w:val="00017BEF"/>
    <w:rsid w:val="00017FD4"/>
    <w:rsid w:val="00020A22"/>
    <w:rsid w:val="000215C2"/>
    <w:rsid w:val="00022980"/>
    <w:rsid w:val="00023431"/>
    <w:rsid w:val="0002745B"/>
    <w:rsid w:val="00030E37"/>
    <w:rsid w:val="0003288F"/>
    <w:rsid w:val="00032DB1"/>
    <w:rsid w:val="00033156"/>
    <w:rsid w:val="00033CEC"/>
    <w:rsid w:val="0003594C"/>
    <w:rsid w:val="00035E88"/>
    <w:rsid w:val="00036A21"/>
    <w:rsid w:val="00036CB1"/>
    <w:rsid w:val="0003705E"/>
    <w:rsid w:val="00037D6D"/>
    <w:rsid w:val="00037F43"/>
    <w:rsid w:val="000403BE"/>
    <w:rsid w:val="00040894"/>
    <w:rsid w:val="00042BC6"/>
    <w:rsid w:val="00042EEB"/>
    <w:rsid w:val="000441D3"/>
    <w:rsid w:val="00045205"/>
    <w:rsid w:val="0004551F"/>
    <w:rsid w:val="00046A04"/>
    <w:rsid w:val="00046E46"/>
    <w:rsid w:val="00050CEE"/>
    <w:rsid w:val="00051141"/>
    <w:rsid w:val="00051673"/>
    <w:rsid w:val="00053044"/>
    <w:rsid w:val="0005381C"/>
    <w:rsid w:val="00053B6E"/>
    <w:rsid w:val="00055D46"/>
    <w:rsid w:val="0005751C"/>
    <w:rsid w:val="00060882"/>
    <w:rsid w:val="00062CEB"/>
    <w:rsid w:val="00063565"/>
    <w:rsid w:val="00063F92"/>
    <w:rsid w:val="00063FF3"/>
    <w:rsid w:val="000641E3"/>
    <w:rsid w:val="000658E4"/>
    <w:rsid w:val="00065980"/>
    <w:rsid w:val="000664B0"/>
    <w:rsid w:val="00066BD4"/>
    <w:rsid w:val="00067DEC"/>
    <w:rsid w:val="000711AC"/>
    <w:rsid w:val="00071220"/>
    <w:rsid w:val="000714A1"/>
    <w:rsid w:val="00071804"/>
    <w:rsid w:val="00071CD1"/>
    <w:rsid w:val="00072177"/>
    <w:rsid w:val="000722C3"/>
    <w:rsid w:val="00072938"/>
    <w:rsid w:val="00072B56"/>
    <w:rsid w:val="00073D91"/>
    <w:rsid w:val="000747DF"/>
    <w:rsid w:val="00074BD1"/>
    <w:rsid w:val="00074D3D"/>
    <w:rsid w:val="00074E10"/>
    <w:rsid w:val="000753CE"/>
    <w:rsid w:val="00075516"/>
    <w:rsid w:val="00075AA2"/>
    <w:rsid w:val="00077FF9"/>
    <w:rsid w:val="00080043"/>
    <w:rsid w:val="0008016C"/>
    <w:rsid w:val="0008102F"/>
    <w:rsid w:val="000810A3"/>
    <w:rsid w:val="000815E5"/>
    <w:rsid w:val="00082B60"/>
    <w:rsid w:val="0008401D"/>
    <w:rsid w:val="00084F7A"/>
    <w:rsid w:val="00085C86"/>
    <w:rsid w:val="00085F66"/>
    <w:rsid w:val="00086098"/>
    <w:rsid w:val="00086622"/>
    <w:rsid w:val="00086802"/>
    <w:rsid w:val="00090025"/>
    <w:rsid w:val="000903DF"/>
    <w:rsid w:val="000907FD"/>
    <w:rsid w:val="00091063"/>
    <w:rsid w:val="000940C9"/>
    <w:rsid w:val="00094FB0"/>
    <w:rsid w:val="00095948"/>
    <w:rsid w:val="00095FE5"/>
    <w:rsid w:val="00097E86"/>
    <w:rsid w:val="000A0E78"/>
    <w:rsid w:val="000A1B9D"/>
    <w:rsid w:val="000A2017"/>
    <w:rsid w:val="000A21B8"/>
    <w:rsid w:val="000A27D5"/>
    <w:rsid w:val="000A2877"/>
    <w:rsid w:val="000A38AA"/>
    <w:rsid w:val="000A4071"/>
    <w:rsid w:val="000A4396"/>
    <w:rsid w:val="000A453A"/>
    <w:rsid w:val="000A4651"/>
    <w:rsid w:val="000A7BCF"/>
    <w:rsid w:val="000A7F97"/>
    <w:rsid w:val="000B23C2"/>
    <w:rsid w:val="000B3536"/>
    <w:rsid w:val="000B3F58"/>
    <w:rsid w:val="000B4446"/>
    <w:rsid w:val="000B4B9E"/>
    <w:rsid w:val="000B5258"/>
    <w:rsid w:val="000B6318"/>
    <w:rsid w:val="000B636A"/>
    <w:rsid w:val="000B77E4"/>
    <w:rsid w:val="000B79B8"/>
    <w:rsid w:val="000C0171"/>
    <w:rsid w:val="000C01B3"/>
    <w:rsid w:val="000C02F0"/>
    <w:rsid w:val="000C1F64"/>
    <w:rsid w:val="000D0B72"/>
    <w:rsid w:val="000D1AF8"/>
    <w:rsid w:val="000D38B8"/>
    <w:rsid w:val="000D5445"/>
    <w:rsid w:val="000D66E8"/>
    <w:rsid w:val="000E0431"/>
    <w:rsid w:val="000E0E52"/>
    <w:rsid w:val="000E100A"/>
    <w:rsid w:val="000E104F"/>
    <w:rsid w:val="000E1500"/>
    <w:rsid w:val="000E15A7"/>
    <w:rsid w:val="000E25AE"/>
    <w:rsid w:val="000E27BA"/>
    <w:rsid w:val="000E3334"/>
    <w:rsid w:val="000E3CBE"/>
    <w:rsid w:val="000E71E0"/>
    <w:rsid w:val="000F3676"/>
    <w:rsid w:val="000F4773"/>
    <w:rsid w:val="000F60F3"/>
    <w:rsid w:val="000F6E13"/>
    <w:rsid w:val="000F7516"/>
    <w:rsid w:val="0010022B"/>
    <w:rsid w:val="001013FB"/>
    <w:rsid w:val="00101638"/>
    <w:rsid w:val="00101812"/>
    <w:rsid w:val="0010269B"/>
    <w:rsid w:val="00103CCF"/>
    <w:rsid w:val="00104CF4"/>
    <w:rsid w:val="00105AA7"/>
    <w:rsid w:val="00105D72"/>
    <w:rsid w:val="0011042C"/>
    <w:rsid w:val="0011150A"/>
    <w:rsid w:val="00112B82"/>
    <w:rsid w:val="0011410B"/>
    <w:rsid w:val="00115A87"/>
    <w:rsid w:val="001172FA"/>
    <w:rsid w:val="0012004D"/>
    <w:rsid w:val="00120B69"/>
    <w:rsid w:val="00120DB8"/>
    <w:rsid w:val="0012173F"/>
    <w:rsid w:val="00121AED"/>
    <w:rsid w:val="00122B4A"/>
    <w:rsid w:val="00123AED"/>
    <w:rsid w:val="00125D93"/>
    <w:rsid w:val="00126774"/>
    <w:rsid w:val="00126EF4"/>
    <w:rsid w:val="00127505"/>
    <w:rsid w:val="001307C1"/>
    <w:rsid w:val="001313E6"/>
    <w:rsid w:val="0013180A"/>
    <w:rsid w:val="0013185E"/>
    <w:rsid w:val="00131CCE"/>
    <w:rsid w:val="00131CF7"/>
    <w:rsid w:val="00132843"/>
    <w:rsid w:val="0013328B"/>
    <w:rsid w:val="0013349A"/>
    <w:rsid w:val="001352A7"/>
    <w:rsid w:val="001354C6"/>
    <w:rsid w:val="00135A0A"/>
    <w:rsid w:val="00136E66"/>
    <w:rsid w:val="00136EE3"/>
    <w:rsid w:val="00137025"/>
    <w:rsid w:val="00137BAD"/>
    <w:rsid w:val="001421B3"/>
    <w:rsid w:val="00144F85"/>
    <w:rsid w:val="0014566B"/>
    <w:rsid w:val="00147481"/>
    <w:rsid w:val="00147846"/>
    <w:rsid w:val="00154237"/>
    <w:rsid w:val="001546FE"/>
    <w:rsid w:val="00154C58"/>
    <w:rsid w:val="00154D02"/>
    <w:rsid w:val="00155C56"/>
    <w:rsid w:val="00157CCF"/>
    <w:rsid w:val="00161164"/>
    <w:rsid w:val="00161DAD"/>
    <w:rsid w:val="00162459"/>
    <w:rsid w:val="001639DA"/>
    <w:rsid w:val="00163F89"/>
    <w:rsid w:val="001642B9"/>
    <w:rsid w:val="001644D6"/>
    <w:rsid w:val="00164979"/>
    <w:rsid w:val="00166EE7"/>
    <w:rsid w:val="00167965"/>
    <w:rsid w:val="00170181"/>
    <w:rsid w:val="00170F4F"/>
    <w:rsid w:val="0017103A"/>
    <w:rsid w:val="001714CE"/>
    <w:rsid w:val="00172E43"/>
    <w:rsid w:val="001748F2"/>
    <w:rsid w:val="00174DE8"/>
    <w:rsid w:val="00177AB6"/>
    <w:rsid w:val="00180547"/>
    <w:rsid w:val="001818EA"/>
    <w:rsid w:val="0018254B"/>
    <w:rsid w:val="00183843"/>
    <w:rsid w:val="00183E00"/>
    <w:rsid w:val="0018458F"/>
    <w:rsid w:val="0018459E"/>
    <w:rsid w:val="001858BC"/>
    <w:rsid w:val="001858D7"/>
    <w:rsid w:val="001874C5"/>
    <w:rsid w:val="001908C8"/>
    <w:rsid w:val="00194B8C"/>
    <w:rsid w:val="00195388"/>
    <w:rsid w:val="0019623A"/>
    <w:rsid w:val="00196BB5"/>
    <w:rsid w:val="0019788E"/>
    <w:rsid w:val="001A02D5"/>
    <w:rsid w:val="001A0DF6"/>
    <w:rsid w:val="001A13CE"/>
    <w:rsid w:val="001A2BE5"/>
    <w:rsid w:val="001A4D14"/>
    <w:rsid w:val="001A5721"/>
    <w:rsid w:val="001A748D"/>
    <w:rsid w:val="001A7B4E"/>
    <w:rsid w:val="001B136C"/>
    <w:rsid w:val="001B1653"/>
    <w:rsid w:val="001B2821"/>
    <w:rsid w:val="001B316A"/>
    <w:rsid w:val="001B3433"/>
    <w:rsid w:val="001B35E6"/>
    <w:rsid w:val="001B40FB"/>
    <w:rsid w:val="001B4B8E"/>
    <w:rsid w:val="001B7E5E"/>
    <w:rsid w:val="001C0FF7"/>
    <w:rsid w:val="001C2377"/>
    <w:rsid w:val="001C30A9"/>
    <w:rsid w:val="001C50BB"/>
    <w:rsid w:val="001C51C4"/>
    <w:rsid w:val="001C680B"/>
    <w:rsid w:val="001D07E1"/>
    <w:rsid w:val="001D11DF"/>
    <w:rsid w:val="001D238D"/>
    <w:rsid w:val="001D257A"/>
    <w:rsid w:val="001D308E"/>
    <w:rsid w:val="001D3F14"/>
    <w:rsid w:val="001D5D7E"/>
    <w:rsid w:val="001D69FB"/>
    <w:rsid w:val="001D6C19"/>
    <w:rsid w:val="001D7CDA"/>
    <w:rsid w:val="001D7D62"/>
    <w:rsid w:val="001D7FB5"/>
    <w:rsid w:val="001E1055"/>
    <w:rsid w:val="001E1A4B"/>
    <w:rsid w:val="001E25F5"/>
    <w:rsid w:val="001E30F8"/>
    <w:rsid w:val="001E37BE"/>
    <w:rsid w:val="001E3832"/>
    <w:rsid w:val="001E6DE5"/>
    <w:rsid w:val="001E73CD"/>
    <w:rsid w:val="001F1530"/>
    <w:rsid w:val="001F1BE3"/>
    <w:rsid w:val="001F1E23"/>
    <w:rsid w:val="001F2733"/>
    <w:rsid w:val="001F3D9A"/>
    <w:rsid w:val="001F4FD3"/>
    <w:rsid w:val="001F757E"/>
    <w:rsid w:val="00200B54"/>
    <w:rsid w:val="00200FD9"/>
    <w:rsid w:val="00201C91"/>
    <w:rsid w:val="00201F75"/>
    <w:rsid w:val="00202D22"/>
    <w:rsid w:val="00203576"/>
    <w:rsid w:val="002058D3"/>
    <w:rsid w:val="00205B19"/>
    <w:rsid w:val="00205B29"/>
    <w:rsid w:val="0020627F"/>
    <w:rsid w:val="0020699A"/>
    <w:rsid w:val="0021002D"/>
    <w:rsid w:val="00212707"/>
    <w:rsid w:val="00214032"/>
    <w:rsid w:val="0021754F"/>
    <w:rsid w:val="00221054"/>
    <w:rsid w:val="0022184D"/>
    <w:rsid w:val="0022296F"/>
    <w:rsid w:val="002229BA"/>
    <w:rsid w:val="0022330A"/>
    <w:rsid w:val="002235B8"/>
    <w:rsid w:val="002235F1"/>
    <w:rsid w:val="0022369A"/>
    <w:rsid w:val="00225064"/>
    <w:rsid w:val="00225404"/>
    <w:rsid w:val="002276C6"/>
    <w:rsid w:val="00230E78"/>
    <w:rsid w:val="00231B02"/>
    <w:rsid w:val="00232668"/>
    <w:rsid w:val="00232E06"/>
    <w:rsid w:val="0023366F"/>
    <w:rsid w:val="00234C3A"/>
    <w:rsid w:val="00235562"/>
    <w:rsid w:val="00235753"/>
    <w:rsid w:val="00236178"/>
    <w:rsid w:val="002369BD"/>
    <w:rsid w:val="00236C26"/>
    <w:rsid w:val="0023737C"/>
    <w:rsid w:val="0023775C"/>
    <w:rsid w:val="00237819"/>
    <w:rsid w:val="002400AB"/>
    <w:rsid w:val="00240BDF"/>
    <w:rsid w:val="0024238C"/>
    <w:rsid w:val="0024245B"/>
    <w:rsid w:val="00242F08"/>
    <w:rsid w:val="00243419"/>
    <w:rsid w:val="002435B6"/>
    <w:rsid w:val="002439B1"/>
    <w:rsid w:val="0024450E"/>
    <w:rsid w:val="00244CE8"/>
    <w:rsid w:val="00245D02"/>
    <w:rsid w:val="002470C7"/>
    <w:rsid w:val="002506A4"/>
    <w:rsid w:val="002515C8"/>
    <w:rsid w:val="0025160E"/>
    <w:rsid w:val="00251C59"/>
    <w:rsid w:val="00252502"/>
    <w:rsid w:val="002525C7"/>
    <w:rsid w:val="00252959"/>
    <w:rsid w:val="00253175"/>
    <w:rsid w:val="002535A2"/>
    <w:rsid w:val="00254A59"/>
    <w:rsid w:val="00254B98"/>
    <w:rsid w:val="00255266"/>
    <w:rsid w:val="002552AE"/>
    <w:rsid w:val="00255BC2"/>
    <w:rsid w:val="00256883"/>
    <w:rsid w:val="002569FE"/>
    <w:rsid w:val="00260973"/>
    <w:rsid w:val="00261F6C"/>
    <w:rsid w:val="00263341"/>
    <w:rsid w:val="00264682"/>
    <w:rsid w:val="0026510D"/>
    <w:rsid w:val="002654F1"/>
    <w:rsid w:val="002677AA"/>
    <w:rsid w:val="00267948"/>
    <w:rsid w:val="00267DEC"/>
    <w:rsid w:val="00267F37"/>
    <w:rsid w:val="002705BF"/>
    <w:rsid w:val="0027214C"/>
    <w:rsid w:val="002736CF"/>
    <w:rsid w:val="002739F7"/>
    <w:rsid w:val="0027686D"/>
    <w:rsid w:val="00276D46"/>
    <w:rsid w:val="002802AA"/>
    <w:rsid w:val="002802F9"/>
    <w:rsid w:val="00281770"/>
    <w:rsid w:val="00282B39"/>
    <w:rsid w:val="00282C58"/>
    <w:rsid w:val="00283113"/>
    <w:rsid w:val="00283350"/>
    <w:rsid w:val="00286B82"/>
    <w:rsid w:val="002916B1"/>
    <w:rsid w:val="002929A2"/>
    <w:rsid w:val="00293EE4"/>
    <w:rsid w:val="002945E8"/>
    <w:rsid w:val="00294AD4"/>
    <w:rsid w:val="00295BA0"/>
    <w:rsid w:val="00295E0E"/>
    <w:rsid w:val="002962DC"/>
    <w:rsid w:val="00296D25"/>
    <w:rsid w:val="0029715B"/>
    <w:rsid w:val="002971D4"/>
    <w:rsid w:val="002A0FC8"/>
    <w:rsid w:val="002A24DB"/>
    <w:rsid w:val="002A2591"/>
    <w:rsid w:val="002A48DB"/>
    <w:rsid w:val="002A5F82"/>
    <w:rsid w:val="002A7DCE"/>
    <w:rsid w:val="002B2069"/>
    <w:rsid w:val="002B2899"/>
    <w:rsid w:val="002B3A73"/>
    <w:rsid w:val="002B46AA"/>
    <w:rsid w:val="002B4931"/>
    <w:rsid w:val="002B4F06"/>
    <w:rsid w:val="002B6A10"/>
    <w:rsid w:val="002C2FFA"/>
    <w:rsid w:val="002C388C"/>
    <w:rsid w:val="002C51C8"/>
    <w:rsid w:val="002C58C1"/>
    <w:rsid w:val="002C7158"/>
    <w:rsid w:val="002C77AF"/>
    <w:rsid w:val="002C79A2"/>
    <w:rsid w:val="002C7ABE"/>
    <w:rsid w:val="002D11B4"/>
    <w:rsid w:val="002D140E"/>
    <w:rsid w:val="002D207E"/>
    <w:rsid w:val="002D2467"/>
    <w:rsid w:val="002D28F5"/>
    <w:rsid w:val="002D349E"/>
    <w:rsid w:val="002D3DBC"/>
    <w:rsid w:val="002D48E6"/>
    <w:rsid w:val="002D4F15"/>
    <w:rsid w:val="002D66F1"/>
    <w:rsid w:val="002D73D5"/>
    <w:rsid w:val="002D7B61"/>
    <w:rsid w:val="002D7FEA"/>
    <w:rsid w:val="002E40A0"/>
    <w:rsid w:val="002E4201"/>
    <w:rsid w:val="002E4EFB"/>
    <w:rsid w:val="002E5331"/>
    <w:rsid w:val="002E5C9D"/>
    <w:rsid w:val="002E6932"/>
    <w:rsid w:val="002E7116"/>
    <w:rsid w:val="002F0130"/>
    <w:rsid w:val="002F020A"/>
    <w:rsid w:val="002F0B9A"/>
    <w:rsid w:val="002F1AE9"/>
    <w:rsid w:val="002F2361"/>
    <w:rsid w:val="002F2CB5"/>
    <w:rsid w:val="002F3E11"/>
    <w:rsid w:val="002F63DE"/>
    <w:rsid w:val="002F654E"/>
    <w:rsid w:val="002F6837"/>
    <w:rsid w:val="002F6FB9"/>
    <w:rsid w:val="002F75D2"/>
    <w:rsid w:val="002F78E3"/>
    <w:rsid w:val="002F7A7B"/>
    <w:rsid w:val="00300088"/>
    <w:rsid w:val="0030209D"/>
    <w:rsid w:val="003028EF"/>
    <w:rsid w:val="003036E5"/>
    <w:rsid w:val="0030389F"/>
    <w:rsid w:val="00303B6D"/>
    <w:rsid w:val="003052AA"/>
    <w:rsid w:val="0030570E"/>
    <w:rsid w:val="00305D9C"/>
    <w:rsid w:val="003066D2"/>
    <w:rsid w:val="0030679D"/>
    <w:rsid w:val="003113B2"/>
    <w:rsid w:val="003122B1"/>
    <w:rsid w:val="003123BA"/>
    <w:rsid w:val="003123F9"/>
    <w:rsid w:val="00312775"/>
    <w:rsid w:val="00313ED6"/>
    <w:rsid w:val="00317287"/>
    <w:rsid w:val="00317F94"/>
    <w:rsid w:val="003202F0"/>
    <w:rsid w:val="00321CA1"/>
    <w:rsid w:val="00323068"/>
    <w:rsid w:val="0032397B"/>
    <w:rsid w:val="00326237"/>
    <w:rsid w:val="00326F39"/>
    <w:rsid w:val="00327CF2"/>
    <w:rsid w:val="00330669"/>
    <w:rsid w:val="00332B99"/>
    <w:rsid w:val="003332A8"/>
    <w:rsid w:val="0033370A"/>
    <w:rsid w:val="0033386A"/>
    <w:rsid w:val="00333FD3"/>
    <w:rsid w:val="00334DD7"/>
    <w:rsid w:val="00335968"/>
    <w:rsid w:val="00335B08"/>
    <w:rsid w:val="0033651F"/>
    <w:rsid w:val="003407A3"/>
    <w:rsid w:val="00340982"/>
    <w:rsid w:val="00340BF7"/>
    <w:rsid w:val="00340D60"/>
    <w:rsid w:val="00340FAC"/>
    <w:rsid w:val="00343C5B"/>
    <w:rsid w:val="00344D95"/>
    <w:rsid w:val="00345DEC"/>
    <w:rsid w:val="00346401"/>
    <w:rsid w:val="00347A96"/>
    <w:rsid w:val="003509C4"/>
    <w:rsid w:val="003509F8"/>
    <w:rsid w:val="00353B2D"/>
    <w:rsid w:val="00354145"/>
    <w:rsid w:val="003549DC"/>
    <w:rsid w:val="00357276"/>
    <w:rsid w:val="003574EA"/>
    <w:rsid w:val="00357DDA"/>
    <w:rsid w:val="00360D09"/>
    <w:rsid w:val="0036157F"/>
    <w:rsid w:val="00361D62"/>
    <w:rsid w:val="003646D3"/>
    <w:rsid w:val="00365054"/>
    <w:rsid w:val="00366279"/>
    <w:rsid w:val="003709F1"/>
    <w:rsid w:val="00371FE6"/>
    <w:rsid w:val="00374A91"/>
    <w:rsid w:val="0037663F"/>
    <w:rsid w:val="00377B0C"/>
    <w:rsid w:val="00377B53"/>
    <w:rsid w:val="00380542"/>
    <w:rsid w:val="003807A1"/>
    <w:rsid w:val="003815A2"/>
    <w:rsid w:val="00381C34"/>
    <w:rsid w:val="003820BE"/>
    <w:rsid w:val="00382C9C"/>
    <w:rsid w:val="00382D39"/>
    <w:rsid w:val="00383979"/>
    <w:rsid w:val="0038488E"/>
    <w:rsid w:val="00385311"/>
    <w:rsid w:val="00385AA3"/>
    <w:rsid w:val="003869C5"/>
    <w:rsid w:val="00386BE1"/>
    <w:rsid w:val="00387189"/>
    <w:rsid w:val="0039049E"/>
    <w:rsid w:val="003905AD"/>
    <w:rsid w:val="003920B9"/>
    <w:rsid w:val="003925A9"/>
    <w:rsid w:val="0039494A"/>
    <w:rsid w:val="003949D9"/>
    <w:rsid w:val="00394D1E"/>
    <w:rsid w:val="00395979"/>
    <w:rsid w:val="00395ECF"/>
    <w:rsid w:val="00396280"/>
    <w:rsid w:val="00397411"/>
    <w:rsid w:val="003A0170"/>
    <w:rsid w:val="003A0481"/>
    <w:rsid w:val="003A1349"/>
    <w:rsid w:val="003A1474"/>
    <w:rsid w:val="003A1867"/>
    <w:rsid w:val="003A18E6"/>
    <w:rsid w:val="003A21BC"/>
    <w:rsid w:val="003A25F5"/>
    <w:rsid w:val="003A30A5"/>
    <w:rsid w:val="003A3AFB"/>
    <w:rsid w:val="003A41BB"/>
    <w:rsid w:val="003A43F2"/>
    <w:rsid w:val="003A4468"/>
    <w:rsid w:val="003A4A17"/>
    <w:rsid w:val="003A505A"/>
    <w:rsid w:val="003A565D"/>
    <w:rsid w:val="003A5A28"/>
    <w:rsid w:val="003A6E80"/>
    <w:rsid w:val="003A74E3"/>
    <w:rsid w:val="003B07BB"/>
    <w:rsid w:val="003B142A"/>
    <w:rsid w:val="003B1AB1"/>
    <w:rsid w:val="003B1EE5"/>
    <w:rsid w:val="003B2588"/>
    <w:rsid w:val="003B291D"/>
    <w:rsid w:val="003B35BF"/>
    <w:rsid w:val="003B4EF4"/>
    <w:rsid w:val="003B560A"/>
    <w:rsid w:val="003B652D"/>
    <w:rsid w:val="003B6FA2"/>
    <w:rsid w:val="003C0AB8"/>
    <w:rsid w:val="003C0BCF"/>
    <w:rsid w:val="003C1116"/>
    <w:rsid w:val="003C188E"/>
    <w:rsid w:val="003C2662"/>
    <w:rsid w:val="003C2F83"/>
    <w:rsid w:val="003C3431"/>
    <w:rsid w:val="003C3CA4"/>
    <w:rsid w:val="003C662B"/>
    <w:rsid w:val="003C68AB"/>
    <w:rsid w:val="003C744D"/>
    <w:rsid w:val="003C7FA8"/>
    <w:rsid w:val="003D0079"/>
    <w:rsid w:val="003D0E9E"/>
    <w:rsid w:val="003D181D"/>
    <w:rsid w:val="003D23FA"/>
    <w:rsid w:val="003D2A19"/>
    <w:rsid w:val="003D2BEC"/>
    <w:rsid w:val="003D3173"/>
    <w:rsid w:val="003D329E"/>
    <w:rsid w:val="003D380F"/>
    <w:rsid w:val="003D3F11"/>
    <w:rsid w:val="003D57D2"/>
    <w:rsid w:val="003D6181"/>
    <w:rsid w:val="003D61DD"/>
    <w:rsid w:val="003D69FE"/>
    <w:rsid w:val="003D75DD"/>
    <w:rsid w:val="003D765D"/>
    <w:rsid w:val="003E0106"/>
    <w:rsid w:val="003E035E"/>
    <w:rsid w:val="003E0A24"/>
    <w:rsid w:val="003E1710"/>
    <w:rsid w:val="003E1B01"/>
    <w:rsid w:val="003E24A8"/>
    <w:rsid w:val="003E29B9"/>
    <w:rsid w:val="003E3343"/>
    <w:rsid w:val="003E4811"/>
    <w:rsid w:val="003E53B1"/>
    <w:rsid w:val="003E5EC1"/>
    <w:rsid w:val="003E6A14"/>
    <w:rsid w:val="003F1DD8"/>
    <w:rsid w:val="003F3B56"/>
    <w:rsid w:val="003F51FD"/>
    <w:rsid w:val="003F5395"/>
    <w:rsid w:val="003F6CCA"/>
    <w:rsid w:val="004001EF"/>
    <w:rsid w:val="00400449"/>
    <w:rsid w:val="00401086"/>
    <w:rsid w:val="004010A2"/>
    <w:rsid w:val="00402307"/>
    <w:rsid w:val="00402AA5"/>
    <w:rsid w:val="00402B0A"/>
    <w:rsid w:val="00402D0A"/>
    <w:rsid w:val="004035F9"/>
    <w:rsid w:val="004049D0"/>
    <w:rsid w:val="00404F57"/>
    <w:rsid w:val="004054E6"/>
    <w:rsid w:val="00405986"/>
    <w:rsid w:val="00405BAE"/>
    <w:rsid w:val="00407799"/>
    <w:rsid w:val="004078D8"/>
    <w:rsid w:val="00407A59"/>
    <w:rsid w:val="004102F8"/>
    <w:rsid w:val="004107B5"/>
    <w:rsid w:val="00411E2B"/>
    <w:rsid w:val="004136C8"/>
    <w:rsid w:val="0041425A"/>
    <w:rsid w:val="0041488E"/>
    <w:rsid w:val="00415D70"/>
    <w:rsid w:val="004172E4"/>
    <w:rsid w:val="004173DF"/>
    <w:rsid w:val="00421BD5"/>
    <w:rsid w:val="00422845"/>
    <w:rsid w:val="004239E5"/>
    <w:rsid w:val="00425179"/>
    <w:rsid w:val="004257B5"/>
    <w:rsid w:val="00425886"/>
    <w:rsid w:val="00425C01"/>
    <w:rsid w:val="00426AF4"/>
    <w:rsid w:val="00426D5B"/>
    <w:rsid w:val="0043025E"/>
    <w:rsid w:val="00432446"/>
    <w:rsid w:val="00434F4D"/>
    <w:rsid w:val="004366E9"/>
    <w:rsid w:val="00437707"/>
    <w:rsid w:val="00437EC4"/>
    <w:rsid w:val="004404CD"/>
    <w:rsid w:val="00440C93"/>
    <w:rsid w:val="00440E2A"/>
    <w:rsid w:val="00441648"/>
    <w:rsid w:val="00442C24"/>
    <w:rsid w:val="0044348E"/>
    <w:rsid w:val="0044404F"/>
    <w:rsid w:val="004460B1"/>
    <w:rsid w:val="004462B4"/>
    <w:rsid w:val="00451554"/>
    <w:rsid w:val="00451E69"/>
    <w:rsid w:val="0045271C"/>
    <w:rsid w:val="00452E54"/>
    <w:rsid w:val="00453A06"/>
    <w:rsid w:val="0045472C"/>
    <w:rsid w:val="00454A83"/>
    <w:rsid w:val="00454AF5"/>
    <w:rsid w:val="00457614"/>
    <w:rsid w:val="00461B4A"/>
    <w:rsid w:val="004630B7"/>
    <w:rsid w:val="00463B1D"/>
    <w:rsid w:val="00464376"/>
    <w:rsid w:val="00464E08"/>
    <w:rsid w:val="00464F3A"/>
    <w:rsid w:val="004652F2"/>
    <w:rsid w:val="00465A18"/>
    <w:rsid w:val="00467015"/>
    <w:rsid w:val="00472029"/>
    <w:rsid w:val="004726C7"/>
    <w:rsid w:val="00473355"/>
    <w:rsid w:val="00473877"/>
    <w:rsid w:val="0047575C"/>
    <w:rsid w:val="00476039"/>
    <w:rsid w:val="00476D5E"/>
    <w:rsid w:val="00480725"/>
    <w:rsid w:val="00480F0D"/>
    <w:rsid w:val="00482537"/>
    <w:rsid w:val="0048293C"/>
    <w:rsid w:val="00484CFD"/>
    <w:rsid w:val="004879C2"/>
    <w:rsid w:val="004922B7"/>
    <w:rsid w:val="00492F3A"/>
    <w:rsid w:val="00492F7C"/>
    <w:rsid w:val="00493382"/>
    <w:rsid w:val="0049407C"/>
    <w:rsid w:val="00494F19"/>
    <w:rsid w:val="00494F97"/>
    <w:rsid w:val="00496B66"/>
    <w:rsid w:val="004A0D59"/>
    <w:rsid w:val="004A35C7"/>
    <w:rsid w:val="004A4229"/>
    <w:rsid w:val="004A58EE"/>
    <w:rsid w:val="004A5C91"/>
    <w:rsid w:val="004A63D9"/>
    <w:rsid w:val="004A6BF5"/>
    <w:rsid w:val="004A6C72"/>
    <w:rsid w:val="004A6E1B"/>
    <w:rsid w:val="004A79F9"/>
    <w:rsid w:val="004B0F28"/>
    <w:rsid w:val="004B1F09"/>
    <w:rsid w:val="004B2090"/>
    <w:rsid w:val="004B2201"/>
    <w:rsid w:val="004B225D"/>
    <w:rsid w:val="004B26FA"/>
    <w:rsid w:val="004B2704"/>
    <w:rsid w:val="004B2A84"/>
    <w:rsid w:val="004B345B"/>
    <w:rsid w:val="004B4550"/>
    <w:rsid w:val="004B4614"/>
    <w:rsid w:val="004B4F1C"/>
    <w:rsid w:val="004B6A4C"/>
    <w:rsid w:val="004B6EBA"/>
    <w:rsid w:val="004C0768"/>
    <w:rsid w:val="004C13C3"/>
    <w:rsid w:val="004C2ACD"/>
    <w:rsid w:val="004C31B0"/>
    <w:rsid w:val="004C353A"/>
    <w:rsid w:val="004C4383"/>
    <w:rsid w:val="004C55DF"/>
    <w:rsid w:val="004C56C4"/>
    <w:rsid w:val="004C762E"/>
    <w:rsid w:val="004D0271"/>
    <w:rsid w:val="004D1AB4"/>
    <w:rsid w:val="004D243B"/>
    <w:rsid w:val="004D2B46"/>
    <w:rsid w:val="004D317F"/>
    <w:rsid w:val="004D4729"/>
    <w:rsid w:val="004D4F1C"/>
    <w:rsid w:val="004D56F2"/>
    <w:rsid w:val="004D6527"/>
    <w:rsid w:val="004D6539"/>
    <w:rsid w:val="004E01EC"/>
    <w:rsid w:val="004E23EC"/>
    <w:rsid w:val="004E3081"/>
    <w:rsid w:val="004E3A8E"/>
    <w:rsid w:val="004E3C9E"/>
    <w:rsid w:val="004E410B"/>
    <w:rsid w:val="004E482B"/>
    <w:rsid w:val="004E5328"/>
    <w:rsid w:val="004E551B"/>
    <w:rsid w:val="004E62AA"/>
    <w:rsid w:val="004E6C1F"/>
    <w:rsid w:val="004F063A"/>
    <w:rsid w:val="004F1CE5"/>
    <w:rsid w:val="004F1D9C"/>
    <w:rsid w:val="004F1E88"/>
    <w:rsid w:val="004F3E2F"/>
    <w:rsid w:val="004F44CD"/>
    <w:rsid w:val="004F4CA6"/>
    <w:rsid w:val="004F5D36"/>
    <w:rsid w:val="004F6287"/>
    <w:rsid w:val="004F7F49"/>
    <w:rsid w:val="00500559"/>
    <w:rsid w:val="005029A6"/>
    <w:rsid w:val="00502A05"/>
    <w:rsid w:val="00502A14"/>
    <w:rsid w:val="00502FAA"/>
    <w:rsid w:val="00503D35"/>
    <w:rsid w:val="005040DF"/>
    <w:rsid w:val="00504674"/>
    <w:rsid w:val="005061FC"/>
    <w:rsid w:val="00507F05"/>
    <w:rsid w:val="00511EA0"/>
    <w:rsid w:val="00512DEC"/>
    <w:rsid w:val="00512E42"/>
    <w:rsid w:val="005132C4"/>
    <w:rsid w:val="00516594"/>
    <w:rsid w:val="00516667"/>
    <w:rsid w:val="00516AD2"/>
    <w:rsid w:val="00516DD7"/>
    <w:rsid w:val="005220CE"/>
    <w:rsid w:val="005221B7"/>
    <w:rsid w:val="00522FC7"/>
    <w:rsid w:val="0052305E"/>
    <w:rsid w:val="005231DB"/>
    <w:rsid w:val="00525309"/>
    <w:rsid w:val="00526A9B"/>
    <w:rsid w:val="0052737F"/>
    <w:rsid w:val="00527F38"/>
    <w:rsid w:val="00531AEE"/>
    <w:rsid w:val="00532CF1"/>
    <w:rsid w:val="00534931"/>
    <w:rsid w:val="005371DD"/>
    <w:rsid w:val="005427B2"/>
    <w:rsid w:val="00543F96"/>
    <w:rsid w:val="00543FE2"/>
    <w:rsid w:val="00544530"/>
    <w:rsid w:val="00545FF6"/>
    <w:rsid w:val="005464C6"/>
    <w:rsid w:val="005501D0"/>
    <w:rsid w:val="00550521"/>
    <w:rsid w:val="005519A0"/>
    <w:rsid w:val="00551BA8"/>
    <w:rsid w:val="005523AF"/>
    <w:rsid w:val="00552751"/>
    <w:rsid w:val="00553342"/>
    <w:rsid w:val="0055386E"/>
    <w:rsid w:val="005545D0"/>
    <w:rsid w:val="00555F8E"/>
    <w:rsid w:val="00556DDB"/>
    <w:rsid w:val="00560ACB"/>
    <w:rsid w:val="00560F0D"/>
    <w:rsid w:val="00561102"/>
    <w:rsid w:val="00561E06"/>
    <w:rsid w:val="00561E36"/>
    <w:rsid w:val="005622C0"/>
    <w:rsid w:val="0056291E"/>
    <w:rsid w:val="005635DF"/>
    <w:rsid w:val="00564264"/>
    <w:rsid w:val="005662BE"/>
    <w:rsid w:val="00566A80"/>
    <w:rsid w:val="00567766"/>
    <w:rsid w:val="005677A0"/>
    <w:rsid w:val="00567BD7"/>
    <w:rsid w:val="005700F8"/>
    <w:rsid w:val="00571D61"/>
    <w:rsid w:val="0057232C"/>
    <w:rsid w:val="00572B5C"/>
    <w:rsid w:val="00575D1A"/>
    <w:rsid w:val="00576C98"/>
    <w:rsid w:val="00580524"/>
    <w:rsid w:val="00580803"/>
    <w:rsid w:val="00581BF2"/>
    <w:rsid w:val="00582077"/>
    <w:rsid w:val="00582CD4"/>
    <w:rsid w:val="00585B7D"/>
    <w:rsid w:val="00587332"/>
    <w:rsid w:val="005879A2"/>
    <w:rsid w:val="00587B2F"/>
    <w:rsid w:val="00587D63"/>
    <w:rsid w:val="00590C55"/>
    <w:rsid w:val="0059104C"/>
    <w:rsid w:val="00592003"/>
    <w:rsid w:val="005927B5"/>
    <w:rsid w:val="00594225"/>
    <w:rsid w:val="00594359"/>
    <w:rsid w:val="00595AA9"/>
    <w:rsid w:val="005963ED"/>
    <w:rsid w:val="00597943"/>
    <w:rsid w:val="00597F64"/>
    <w:rsid w:val="005A1123"/>
    <w:rsid w:val="005A1B47"/>
    <w:rsid w:val="005A2605"/>
    <w:rsid w:val="005A2CCD"/>
    <w:rsid w:val="005A338F"/>
    <w:rsid w:val="005A4E68"/>
    <w:rsid w:val="005A4EC1"/>
    <w:rsid w:val="005A50C9"/>
    <w:rsid w:val="005A5C57"/>
    <w:rsid w:val="005A5C99"/>
    <w:rsid w:val="005A6F2C"/>
    <w:rsid w:val="005A703F"/>
    <w:rsid w:val="005A747B"/>
    <w:rsid w:val="005A74B8"/>
    <w:rsid w:val="005B05BF"/>
    <w:rsid w:val="005B2AF8"/>
    <w:rsid w:val="005B4D17"/>
    <w:rsid w:val="005B54F8"/>
    <w:rsid w:val="005B5DDE"/>
    <w:rsid w:val="005B65AD"/>
    <w:rsid w:val="005B791E"/>
    <w:rsid w:val="005B7EE5"/>
    <w:rsid w:val="005C0AAD"/>
    <w:rsid w:val="005C0C5D"/>
    <w:rsid w:val="005C0F10"/>
    <w:rsid w:val="005C17E3"/>
    <w:rsid w:val="005C1F35"/>
    <w:rsid w:val="005C2A93"/>
    <w:rsid w:val="005C3DCD"/>
    <w:rsid w:val="005C4A0E"/>
    <w:rsid w:val="005C4D3F"/>
    <w:rsid w:val="005C6D39"/>
    <w:rsid w:val="005D06AD"/>
    <w:rsid w:val="005D0EFF"/>
    <w:rsid w:val="005D0F14"/>
    <w:rsid w:val="005D2090"/>
    <w:rsid w:val="005D2168"/>
    <w:rsid w:val="005D2CFA"/>
    <w:rsid w:val="005D334E"/>
    <w:rsid w:val="005D3839"/>
    <w:rsid w:val="005D63CD"/>
    <w:rsid w:val="005D6F8F"/>
    <w:rsid w:val="005D75FB"/>
    <w:rsid w:val="005D7E60"/>
    <w:rsid w:val="005E0DD0"/>
    <w:rsid w:val="005E1780"/>
    <w:rsid w:val="005E2368"/>
    <w:rsid w:val="005E30A2"/>
    <w:rsid w:val="005E3396"/>
    <w:rsid w:val="005E3730"/>
    <w:rsid w:val="005E3838"/>
    <w:rsid w:val="005E396D"/>
    <w:rsid w:val="005E3B0E"/>
    <w:rsid w:val="005E6456"/>
    <w:rsid w:val="005E741C"/>
    <w:rsid w:val="005E7D8E"/>
    <w:rsid w:val="005F0880"/>
    <w:rsid w:val="005F1935"/>
    <w:rsid w:val="005F1C8C"/>
    <w:rsid w:val="005F2678"/>
    <w:rsid w:val="0060009C"/>
    <w:rsid w:val="00601237"/>
    <w:rsid w:val="006013B4"/>
    <w:rsid w:val="00601829"/>
    <w:rsid w:val="006034BC"/>
    <w:rsid w:val="00603FF5"/>
    <w:rsid w:val="0060582D"/>
    <w:rsid w:val="00605CC8"/>
    <w:rsid w:val="006064D6"/>
    <w:rsid w:val="006066B1"/>
    <w:rsid w:val="00606ABB"/>
    <w:rsid w:val="006110C4"/>
    <w:rsid w:val="00611CA4"/>
    <w:rsid w:val="006121BB"/>
    <w:rsid w:val="006123D2"/>
    <w:rsid w:val="00615956"/>
    <w:rsid w:val="006169E3"/>
    <w:rsid w:val="006203B2"/>
    <w:rsid w:val="00620FAA"/>
    <w:rsid w:val="00621115"/>
    <w:rsid w:val="00621BF5"/>
    <w:rsid w:val="0062323C"/>
    <w:rsid w:val="00623289"/>
    <w:rsid w:val="006246D1"/>
    <w:rsid w:val="006256A7"/>
    <w:rsid w:val="00626EFF"/>
    <w:rsid w:val="00626FB7"/>
    <w:rsid w:val="00627A81"/>
    <w:rsid w:val="00630C63"/>
    <w:rsid w:val="00632582"/>
    <w:rsid w:val="006345AC"/>
    <w:rsid w:val="006358DE"/>
    <w:rsid w:val="00635EFA"/>
    <w:rsid w:val="006400D5"/>
    <w:rsid w:val="006409BF"/>
    <w:rsid w:val="00640EAC"/>
    <w:rsid w:val="00640EB7"/>
    <w:rsid w:val="006411AC"/>
    <w:rsid w:val="006428B1"/>
    <w:rsid w:val="00643D95"/>
    <w:rsid w:val="00644066"/>
    <w:rsid w:val="00644391"/>
    <w:rsid w:val="00644F3F"/>
    <w:rsid w:val="00644FAF"/>
    <w:rsid w:val="00645514"/>
    <w:rsid w:val="0064596A"/>
    <w:rsid w:val="00647837"/>
    <w:rsid w:val="00647A96"/>
    <w:rsid w:val="006503FE"/>
    <w:rsid w:val="00651378"/>
    <w:rsid w:val="0065198E"/>
    <w:rsid w:val="00653311"/>
    <w:rsid w:val="00654991"/>
    <w:rsid w:val="00654B6A"/>
    <w:rsid w:val="00654E75"/>
    <w:rsid w:val="0066024A"/>
    <w:rsid w:val="006604EF"/>
    <w:rsid w:val="006612AB"/>
    <w:rsid w:val="006621EA"/>
    <w:rsid w:val="006644FF"/>
    <w:rsid w:val="0066649D"/>
    <w:rsid w:val="006665E2"/>
    <w:rsid w:val="00666808"/>
    <w:rsid w:val="00666A92"/>
    <w:rsid w:val="00666E0E"/>
    <w:rsid w:val="00667069"/>
    <w:rsid w:val="006673EC"/>
    <w:rsid w:val="006679E7"/>
    <w:rsid w:val="0067101D"/>
    <w:rsid w:val="006716CB"/>
    <w:rsid w:val="00671E5D"/>
    <w:rsid w:val="00672756"/>
    <w:rsid w:val="00672C3C"/>
    <w:rsid w:val="00673183"/>
    <w:rsid w:val="006731E3"/>
    <w:rsid w:val="00673342"/>
    <w:rsid w:val="00674B74"/>
    <w:rsid w:val="00676820"/>
    <w:rsid w:val="00680F42"/>
    <w:rsid w:val="006818FB"/>
    <w:rsid w:val="00681D12"/>
    <w:rsid w:val="00682706"/>
    <w:rsid w:val="00684879"/>
    <w:rsid w:val="00685334"/>
    <w:rsid w:val="0068566E"/>
    <w:rsid w:val="00685FCF"/>
    <w:rsid w:val="00686A4A"/>
    <w:rsid w:val="006877D1"/>
    <w:rsid w:val="00691118"/>
    <w:rsid w:val="00693DB0"/>
    <w:rsid w:val="00693DCF"/>
    <w:rsid w:val="00694D1F"/>
    <w:rsid w:val="006952DE"/>
    <w:rsid w:val="00695D67"/>
    <w:rsid w:val="00697DFD"/>
    <w:rsid w:val="006A0802"/>
    <w:rsid w:val="006A096F"/>
    <w:rsid w:val="006A1708"/>
    <w:rsid w:val="006A1857"/>
    <w:rsid w:val="006A1B9E"/>
    <w:rsid w:val="006A1F00"/>
    <w:rsid w:val="006A2198"/>
    <w:rsid w:val="006A36DA"/>
    <w:rsid w:val="006A3A49"/>
    <w:rsid w:val="006A4A9E"/>
    <w:rsid w:val="006A534E"/>
    <w:rsid w:val="006B0DE2"/>
    <w:rsid w:val="006B10B8"/>
    <w:rsid w:val="006B2415"/>
    <w:rsid w:val="006B3F72"/>
    <w:rsid w:val="006B48E6"/>
    <w:rsid w:val="006B4F59"/>
    <w:rsid w:val="006B556A"/>
    <w:rsid w:val="006B56E6"/>
    <w:rsid w:val="006B5F18"/>
    <w:rsid w:val="006B6CAF"/>
    <w:rsid w:val="006B77E7"/>
    <w:rsid w:val="006B7A5B"/>
    <w:rsid w:val="006C06CA"/>
    <w:rsid w:val="006C22FE"/>
    <w:rsid w:val="006C4C98"/>
    <w:rsid w:val="006C5183"/>
    <w:rsid w:val="006C54DD"/>
    <w:rsid w:val="006D285C"/>
    <w:rsid w:val="006D2EC2"/>
    <w:rsid w:val="006D3771"/>
    <w:rsid w:val="006D3982"/>
    <w:rsid w:val="006D3F3C"/>
    <w:rsid w:val="006D543C"/>
    <w:rsid w:val="006D563D"/>
    <w:rsid w:val="006D5BE1"/>
    <w:rsid w:val="006D5E0E"/>
    <w:rsid w:val="006D6471"/>
    <w:rsid w:val="006D706C"/>
    <w:rsid w:val="006D74B4"/>
    <w:rsid w:val="006E1672"/>
    <w:rsid w:val="006E16F3"/>
    <w:rsid w:val="006E2B94"/>
    <w:rsid w:val="006E42A1"/>
    <w:rsid w:val="006E5368"/>
    <w:rsid w:val="006E580F"/>
    <w:rsid w:val="006E5923"/>
    <w:rsid w:val="006F0134"/>
    <w:rsid w:val="006F139D"/>
    <w:rsid w:val="006F2B1F"/>
    <w:rsid w:val="006F344E"/>
    <w:rsid w:val="006F4473"/>
    <w:rsid w:val="006F4E64"/>
    <w:rsid w:val="006F7D48"/>
    <w:rsid w:val="006F7DA4"/>
    <w:rsid w:val="007026CD"/>
    <w:rsid w:val="007038B1"/>
    <w:rsid w:val="00703A0E"/>
    <w:rsid w:val="007054F3"/>
    <w:rsid w:val="007056A6"/>
    <w:rsid w:val="00705B97"/>
    <w:rsid w:val="00705D24"/>
    <w:rsid w:val="00706BB7"/>
    <w:rsid w:val="007101A0"/>
    <w:rsid w:val="007103C5"/>
    <w:rsid w:val="0071070D"/>
    <w:rsid w:val="0071175A"/>
    <w:rsid w:val="00711EAC"/>
    <w:rsid w:val="00711F91"/>
    <w:rsid w:val="007126D6"/>
    <w:rsid w:val="00712D64"/>
    <w:rsid w:val="007132F6"/>
    <w:rsid w:val="007146FC"/>
    <w:rsid w:val="00715D87"/>
    <w:rsid w:val="007165C8"/>
    <w:rsid w:val="007170CB"/>
    <w:rsid w:val="007170F4"/>
    <w:rsid w:val="00721160"/>
    <w:rsid w:val="0072204C"/>
    <w:rsid w:val="0072259D"/>
    <w:rsid w:val="00722982"/>
    <w:rsid w:val="007231B5"/>
    <w:rsid w:val="00725201"/>
    <w:rsid w:val="007262C3"/>
    <w:rsid w:val="00727149"/>
    <w:rsid w:val="007301B9"/>
    <w:rsid w:val="00731E32"/>
    <w:rsid w:val="00732F4D"/>
    <w:rsid w:val="00735230"/>
    <w:rsid w:val="00735242"/>
    <w:rsid w:val="007359F6"/>
    <w:rsid w:val="00735DB2"/>
    <w:rsid w:val="00735EA1"/>
    <w:rsid w:val="0073650B"/>
    <w:rsid w:val="007365B9"/>
    <w:rsid w:val="00736627"/>
    <w:rsid w:val="007416FD"/>
    <w:rsid w:val="00741AD8"/>
    <w:rsid w:val="00741FA7"/>
    <w:rsid w:val="007420A0"/>
    <w:rsid w:val="00742113"/>
    <w:rsid w:val="007427AD"/>
    <w:rsid w:val="00742C25"/>
    <w:rsid w:val="00744FCC"/>
    <w:rsid w:val="00745D69"/>
    <w:rsid w:val="00746230"/>
    <w:rsid w:val="00746D95"/>
    <w:rsid w:val="007470A4"/>
    <w:rsid w:val="00747D69"/>
    <w:rsid w:val="00747EDB"/>
    <w:rsid w:val="0075139C"/>
    <w:rsid w:val="00751B03"/>
    <w:rsid w:val="0075268F"/>
    <w:rsid w:val="00753A8F"/>
    <w:rsid w:val="007556A3"/>
    <w:rsid w:val="0075578C"/>
    <w:rsid w:val="00755EBE"/>
    <w:rsid w:val="00756A00"/>
    <w:rsid w:val="007607F4"/>
    <w:rsid w:val="007654C0"/>
    <w:rsid w:val="00766470"/>
    <w:rsid w:val="007670C8"/>
    <w:rsid w:val="007677C5"/>
    <w:rsid w:val="007700D2"/>
    <w:rsid w:val="0077025A"/>
    <w:rsid w:val="00771B4F"/>
    <w:rsid w:val="00772271"/>
    <w:rsid w:val="00772AAA"/>
    <w:rsid w:val="007758D3"/>
    <w:rsid w:val="00775F19"/>
    <w:rsid w:val="007767ED"/>
    <w:rsid w:val="00777A37"/>
    <w:rsid w:val="00782A45"/>
    <w:rsid w:val="00784F59"/>
    <w:rsid w:val="00785C8D"/>
    <w:rsid w:val="00785E66"/>
    <w:rsid w:val="00786AA4"/>
    <w:rsid w:val="00787264"/>
    <w:rsid w:val="007879CE"/>
    <w:rsid w:val="00787B7B"/>
    <w:rsid w:val="007914C9"/>
    <w:rsid w:val="00791A11"/>
    <w:rsid w:val="00796C06"/>
    <w:rsid w:val="00797C63"/>
    <w:rsid w:val="007A0470"/>
    <w:rsid w:val="007A0AFE"/>
    <w:rsid w:val="007A3998"/>
    <w:rsid w:val="007A3EB7"/>
    <w:rsid w:val="007A66B1"/>
    <w:rsid w:val="007A6835"/>
    <w:rsid w:val="007A7267"/>
    <w:rsid w:val="007B081E"/>
    <w:rsid w:val="007B1642"/>
    <w:rsid w:val="007B2E06"/>
    <w:rsid w:val="007B3881"/>
    <w:rsid w:val="007B3A14"/>
    <w:rsid w:val="007B3E6C"/>
    <w:rsid w:val="007B3E73"/>
    <w:rsid w:val="007B43A9"/>
    <w:rsid w:val="007B5A25"/>
    <w:rsid w:val="007B62C4"/>
    <w:rsid w:val="007C04F0"/>
    <w:rsid w:val="007C1B8F"/>
    <w:rsid w:val="007C26A4"/>
    <w:rsid w:val="007C35CB"/>
    <w:rsid w:val="007C5198"/>
    <w:rsid w:val="007C5676"/>
    <w:rsid w:val="007C5DD5"/>
    <w:rsid w:val="007C5F98"/>
    <w:rsid w:val="007D0DE6"/>
    <w:rsid w:val="007D2FB5"/>
    <w:rsid w:val="007D3E00"/>
    <w:rsid w:val="007D5178"/>
    <w:rsid w:val="007D5BF5"/>
    <w:rsid w:val="007D6CCA"/>
    <w:rsid w:val="007E29CE"/>
    <w:rsid w:val="007E2A3C"/>
    <w:rsid w:val="007E3986"/>
    <w:rsid w:val="007E607D"/>
    <w:rsid w:val="007E62CA"/>
    <w:rsid w:val="007E64D9"/>
    <w:rsid w:val="007E7167"/>
    <w:rsid w:val="007F1DF3"/>
    <w:rsid w:val="007F3E95"/>
    <w:rsid w:val="007F4236"/>
    <w:rsid w:val="007F460E"/>
    <w:rsid w:val="007F51A8"/>
    <w:rsid w:val="007F5E37"/>
    <w:rsid w:val="007F738C"/>
    <w:rsid w:val="007F79C1"/>
    <w:rsid w:val="0080058F"/>
    <w:rsid w:val="0080071C"/>
    <w:rsid w:val="00800DDB"/>
    <w:rsid w:val="0080133F"/>
    <w:rsid w:val="00801704"/>
    <w:rsid w:val="00802442"/>
    <w:rsid w:val="00802905"/>
    <w:rsid w:val="00803750"/>
    <w:rsid w:val="00804168"/>
    <w:rsid w:val="008054F0"/>
    <w:rsid w:val="0080612A"/>
    <w:rsid w:val="008062EB"/>
    <w:rsid w:val="00806B22"/>
    <w:rsid w:val="008079D6"/>
    <w:rsid w:val="00811386"/>
    <w:rsid w:val="0081214D"/>
    <w:rsid w:val="00812DAD"/>
    <w:rsid w:val="00814191"/>
    <w:rsid w:val="00814567"/>
    <w:rsid w:val="008146DA"/>
    <w:rsid w:val="008146FA"/>
    <w:rsid w:val="00814779"/>
    <w:rsid w:val="00814B81"/>
    <w:rsid w:val="00816B7F"/>
    <w:rsid w:val="0082167B"/>
    <w:rsid w:val="0082180C"/>
    <w:rsid w:val="00822C80"/>
    <w:rsid w:val="00823C30"/>
    <w:rsid w:val="00827751"/>
    <w:rsid w:val="008279C5"/>
    <w:rsid w:val="00830123"/>
    <w:rsid w:val="00830173"/>
    <w:rsid w:val="00830389"/>
    <w:rsid w:val="008329FD"/>
    <w:rsid w:val="008336CC"/>
    <w:rsid w:val="00833B39"/>
    <w:rsid w:val="008344AD"/>
    <w:rsid w:val="00834899"/>
    <w:rsid w:val="008350E7"/>
    <w:rsid w:val="008353E0"/>
    <w:rsid w:val="00835A9C"/>
    <w:rsid w:val="008363FD"/>
    <w:rsid w:val="00837969"/>
    <w:rsid w:val="00841266"/>
    <w:rsid w:val="008417CC"/>
    <w:rsid w:val="008428D1"/>
    <w:rsid w:val="008444CC"/>
    <w:rsid w:val="00845677"/>
    <w:rsid w:val="00846645"/>
    <w:rsid w:val="00846A82"/>
    <w:rsid w:val="00847417"/>
    <w:rsid w:val="0085343F"/>
    <w:rsid w:val="00853C96"/>
    <w:rsid w:val="0085481F"/>
    <w:rsid w:val="00856121"/>
    <w:rsid w:val="00856F35"/>
    <w:rsid w:val="00861A1F"/>
    <w:rsid w:val="00861BF7"/>
    <w:rsid w:val="008645B3"/>
    <w:rsid w:val="008657FD"/>
    <w:rsid w:val="008658B3"/>
    <w:rsid w:val="00865C8D"/>
    <w:rsid w:val="00865D5C"/>
    <w:rsid w:val="008664DE"/>
    <w:rsid w:val="008666D7"/>
    <w:rsid w:val="0086746E"/>
    <w:rsid w:val="008674D7"/>
    <w:rsid w:val="00870398"/>
    <w:rsid w:val="00871A87"/>
    <w:rsid w:val="00871CC0"/>
    <w:rsid w:val="0087242F"/>
    <w:rsid w:val="00872598"/>
    <w:rsid w:val="008730E5"/>
    <w:rsid w:val="008734E1"/>
    <w:rsid w:val="00873C61"/>
    <w:rsid w:val="00874747"/>
    <w:rsid w:val="00874772"/>
    <w:rsid w:val="00874881"/>
    <w:rsid w:val="008771AA"/>
    <w:rsid w:val="00877D33"/>
    <w:rsid w:val="00880FB8"/>
    <w:rsid w:val="008810B7"/>
    <w:rsid w:val="008815DA"/>
    <w:rsid w:val="008816DF"/>
    <w:rsid w:val="00882054"/>
    <w:rsid w:val="00885F3A"/>
    <w:rsid w:val="008868FD"/>
    <w:rsid w:val="0088703F"/>
    <w:rsid w:val="00887D08"/>
    <w:rsid w:val="0089062D"/>
    <w:rsid w:val="00891D81"/>
    <w:rsid w:val="008925C9"/>
    <w:rsid w:val="00892B04"/>
    <w:rsid w:val="00892D38"/>
    <w:rsid w:val="00893B38"/>
    <w:rsid w:val="00894004"/>
    <w:rsid w:val="00895B5E"/>
    <w:rsid w:val="0089647C"/>
    <w:rsid w:val="00896951"/>
    <w:rsid w:val="00897DA3"/>
    <w:rsid w:val="00897E8C"/>
    <w:rsid w:val="008A05A1"/>
    <w:rsid w:val="008A0667"/>
    <w:rsid w:val="008A122B"/>
    <w:rsid w:val="008A1EC1"/>
    <w:rsid w:val="008A4B80"/>
    <w:rsid w:val="008A4F29"/>
    <w:rsid w:val="008A77B9"/>
    <w:rsid w:val="008A7BFA"/>
    <w:rsid w:val="008A7F93"/>
    <w:rsid w:val="008B00F7"/>
    <w:rsid w:val="008B5E86"/>
    <w:rsid w:val="008B6168"/>
    <w:rsid w:val="008C1E0A"/>
    <w:rsid w:val="008C305F"/>
    <w:rsid w:val="008C3189"/>
    <w:rsid w:val="008C55D1"/>
    <w:rsid w:val="008C61ED"/>
    <w:rsid w:val="008C64BE"/>
    <w:rsid w:val="008C6C38"/>
    <w:rsid w:val="008C6C49"/>
    <w:rsid w:val="008D164A"/>
    <w:rsid w:val="008D1D93"/>
    <w:rsid w:val="008D43C5"/>
    <w:rsid w:val="008D4BF1"/>
    <w:rsid w:val="008D616B"/>
    <w:rsid w:val="008E19C3"/>
    <w:rsid w:val="008E2884"/>
    <w:rsid w:val="008E3111"/>
    <w:rsid w:val="008E4270"/>
    <w:rsid w:val="008E4421"/>
    <w:rsid w:val="008E47AF"/>
    <w:rsid w:val="008E4C3B"/>
    <w:rsid w:val="008F0B6D"/>
    <w:rsid w:val="008F1A50"/>
    <w:rsid w:val="008F3F43"/>
    <w:rsid w:val="008F53D9"/>
    <w:rsid w:val="008F5900"/>
    <w:rsid w:val="008F5916"/>
    <w:rsid w:val="008F769F"/>
    <w:rsid w:val="008F77A7"/>
    <w:rsid w:val="00900026"/>
    <w:rsid w:val="009021F8"/>
    <w:rsid w:val="009045DB"/>
    <w:rsid w:val="00906080"/>
    <w:rsid w:val="0091117F"/>
    <w:rsid w:val="009133D2"/>
    <w:rsid w:val="00913639"/>
    <w:rsid w:val="00914F56"/>
    <w:rsid w:val="0091680F"/>
    <w:rsid w:val="009172E5"/>
    <w:rsid w:val="0091797D"/>
    <w:rsid w:val="00921B9E"/>
    <w:rsid w:val="0092552F"/>
    <w:rsid w:val="00925F42"/>
    <w:rsid w:val="00926AC0"/>
    <w:rsid w:val="00926DE0"/>
    <w:rsid w:val="00931427"/>
    <w:rsid w:val="00931878"/>
    <w:rsid w:val="00932F8D"/>
    <w:rsid w:val="00933540"/>
    <w:rsid w:val="00934972"/>
    <w:rsid w:val="00935102"/>
    <w:rsid w:val="00937222"/>
    <w:rsid w:val="00940143"/>
    <w:rsid w:val="00941AE7"/>
    <w:rsid w:val="009420E1"/>
    <w:rsid w:val="00943540"/>
    <w:rsid w:val="00943F78"/>
    <w:rsid w:val="0094427A"/>
    <w:rsid w:val="0094606F"/>
    <w:rsid w:val="0094765F"/>
    <w:rsid w:val="00947D38"/>
    <w:rsid w:val="009500DC"/>
    <w:rsid w:val="0095112E"/>
    <w:rsid w:val="00951152"/>
    <w:rsid w:val="00952EAD"/>
    <w:rsid w:val="00955CCB"/>
    <w:rsid w:val="00957C94"/>
    <w:rsid w:val="00957CD4"/>
    <w:rsid w:val="0096055F"/>
    <w:rsid w:val="0096250A"/>
    <w:rsid w:val="00962A3A"/>
    <w:rsid w:val="00963328"/>
    <w:rsid w:val="0096354E"/>
    <w:rsid w:val="00967AEF"/>
    <w:rsid w:val="00967C63"/>
    <w:rsid w:val="00970618"/>
    <w:rsid w:val="00971FDA"/>
    <w:rsid w:val="00971FE5"/>
    <w:rsid w:val="00972E52"/>
    <w:rsid w:val="00974C95"/>
    <w:rsid w:val="009779FD"/>
    <w:rsid w:val="00980DB9"/>
    <w:rsid w:val="00980F6D"/>
    <w:rsid w:val="009816DC"/>
    <w:rsid w:val="00981B46"/>
    <w:rsid w:val="0098297C"/>
    <w:rsid w:val="00982E9C"/>
    <w:rsid w:val="009833E7"/>
    <w:rsid w:val="00984FB7"/>
    <w:rsid w:val="00986AC7"/>
    <w:rsid w:val="00990D30"/>
    <w:rsid w:val="00990EBF"/>
    <w:rsid w:val="00994444"/>
    <w:rsid w:val="009961DE"/>
    <w:rsid w:val="0099626B"/>
    <w:rsid w:val="00996980"/>
    <w:rsid w:val="00997E17"/>
    <w:rsid w:val="009A1E68"/>
    <w:rsid w:val="009A252E"/>
    <w:rsid w:val="009A3B75"/>
    <w:rsid w:val="009A50EC"/>
    <w:rsid w:val="009A6C99"/>
    <w:rsid w:val="009A7566"/>
    <w:rsid w:val="009B09D3"/>
    <w:rsid w:val="009B2A24"/>
    <w:rsid w:val="009B39F9"/>
    <w:rsid w:val="009B4E87"/>
    <w:rsid w:val="009B570A"/>
    <w:rsid w:val="009B76B2"/>
    <w:rsid w:val="009B7871"/>
    <w:rsid w:val="009B7EF7"/>
    <w:rsid w:val="009B7FBC"/>
    <w:rsid w:val="009C0048"/>
    <w:rsid w:val="009C1C52"/>
    <w:rsid w:val="009C2023"/>
    <w:rsid w:val="009C28CF"/>
    <w:rsid w:val="009C2A92"/>
    <w:rsid w:val="009C2D9A"/>
    <w:rsid w:val="009C395D"/>
    <w:rsid w:val="009C54F7"/>
    <w:rsid w:val="009C586A"/>
    <w:rsid w:val="009C7790"/>
    <w:rsid w:val="009C7B11"/>
    <w:rsid w:val="009D1102"/>
    <w:rsid w:val="009D2E7B"/>
    <w:rsid w:val="009D4BC4"/>
    <w:rsid w:val="009D506D"/>
    <w:rsid w:val="009D5606"/>
    <w:rsid w:val="009D5995"/>
    <w:rsid w:val="009D5A9D"/>
    <w:rsid w:val="009D5D80"/>
    <w:rsid w:val="009D6282"/>
    <w:rsid w:val="009D6E75"/>
    <w:rsid w:val="009D7779"/>
    <w:rsid w:val="009D7DE8"/>
    <w:rsid w:val="009E1A64"/>
    <w:rsid w:val="009E2448"/>
    <w:rsid w:val="009E2630"/>
    <w:rsid w:val="009E2DFA"/>
    <w:rsid w:val="009E3CD0"/>
    <w:rsid w:val="009E3F4B"/>
    <w:rsid w:val="009E4057"/>
    <w:rsid w:val="009E51D9"/>
    <w:rsid w:val="009E595F"/>
    <w:rsid w:val="009F35E6"/>
    <w:rsid w:val="009F3938"/>
    <w:rsid w:val="009F3E27"/>
    <w:rsid w:val="009F4D1D"/>
    <w:rsid w:val="009F5309"/>
    <w:rsid w:val="009F6835"/>
    <w:rsid w:val="009F720D"/>
    <w:rsid w:val="009F7ECC"/>
    <w:rsid w:val="00A003E6"/>
    <w:rsid w:val="00A007BF"/>
    <w:rsid w:val="00A02B9D"/>
    <w:rsid w:val="00A0605E"/>
    <w:rsid w:val="00A076A8"/>
    <w:rsid w:val="00A15556"/>
    <w:rsid w:val="00A17E48"/>
    <w:rsid w:val="00A17EBE"/>
    <w:rsid w:val="00A17F8A"/>
    <w:rsid w:val="00A2068A"/>
    <w:rsid w:val="00A218FC"/>
    <w:rsid w:val="00A23367"/>
    <w:rsid w:val="00A23BEF"/>
    <w:rsid w:val="00A2404B"/>
    <w:rsid w:val="00A240FF"/>
    <w:rsid w:val="00A242E3"/>
    <w:rsid w:val="00A24C1D"/>
    <w:rsid w:val="00A260D8"/>
    <w:rsid w:val="00A26544"/>
    <w:rsid w:val="00A26A34"/>
    <w:rsid w:val="00A279DF"/>
    <w:rsid w:val="00A30940"/>
    <w:rsid w:val="00A3233D"/>
    <w:rsid w:val="00A32903"/>
    <w:rsid w:val="00A32D70"/>
    <w:rsid w:val="00A33203"/>
    <w:rsid w:val="00A3466A"/>
    <w:rsid w:val="00A351AB"/>
    <w:rsid w:val="00A353FB"/>
    <w:rsid w:val="00A3544B"/>
    <w:rsid w:val="00A355A0"/>
    <w:rsid w:val="00A40044"/>
    <w:rsid w:val="00A40529"/>
    <w:rsid w:val="00A4214A"/>
    <w:rsid w:val="00A42960"/>
    <w:rsid w:val="00A42DE9"/>
    <w:rsid w:val="00A43C13"/>
    <w:rsid w:val="00A443FB"/>
    <w:rsid w:val="00A4467A"/>
    <w:rsid w:val="00A449A9"/>
    <w:rsid w:val="00A453C3"/>
    <w:rsid w:val="00A47313"/>
    <w:rsid w:val="00A5010F"/>
    <w:rsid w:val="00A51072"/>
    <w:rsid w:val="00A528FE"/>
    <w:rsid w:val="00A53503"/>
    <w:rsid w:val="00A53B78"/>
    <w:rsid w:val="00A54BCC"/>
    <w:rsid w:val="00A54C7A"/>
    <w:rsid w:val="00A551C5"/>
    <w:rsid w:val="00A55B79"/>
    <w:rsid w:val="00A55D16"/>
    <w:rsid w:val="00A56645"/>
    <w:rsid w:val="00A56FD4"/>
    <w:rsid w:val="00A57E73"/>
    <w:rsid w:val="00A608E0"/>
    <w:rsid w:val="00A61C20"/>
    <w:rsid w:val="00A63EC2"/>
    <w:rsid w:val="00A64D59"/>
    <w:rsid w:val="00A65CA9"/>
    <w:rsid w:val="00A65F04"/>
    <w:rsid w:val="00A666F2"/>
    <w:rsid w:val="00A678C2"/>
    <w:rsid w:val="00A70003"/>
    <w:rsid w:val="00A713A8"/>
    <w:rsid w:val="00A71F3A"/>
    <w:rsid w:val="00A73089"/>
    <w:rsid w:val="00A74162"/>
    <w:rsid w:val="00A74859"/>
    <w:rsid w:val="00A74A77"/>
    <w:rsid w:val="00A74CE7"/>
    <w:rsid w:val="00A75E9F"/>
    <w:rsid w:val="00A77F37"/>
    <w:rsid w:val="00A810B7"/>
    <w:rsid w:val="00A819B6"/>
    <w:rsid w:val="00A826A9"/>
    <w:rsid w:val="00A8280A"/>
    <w:rsid w:val="00A83024"/>
    <w:rsid w:val="00A83E85"/>
    <w:rsid w:val="00A84446"/>
    <w:rsid w:val="00A8454C"/>
    <w:rsid w:val="00A8461C"/>
    <w:rsid w:val="00A846EB"/>
    <w:rsid w:val="00A84811"/>
    <w:rsid w:val="00A8573D"/>
    <w:rsid w:val="00A85E3F"/>
    <w:rsid w:val="00A90F39"/>
    <w:rsid w:val="00A93D87"/>
    <w:rsid w:val="00A94265"/>
    <w:rsid w:val="00A9495A"/>
    <w:rsid w:val="00A95471"/>
    <w:rsid w:val="00A95755"/>
    <w:rsid w:val="00A9663B"/>
    <w:rsid w:val="00A9681A"/>
    <w:rsid w:val="00AA184A"/>
    <w:rsid w:val="00AA1905"/>
    <w:rsid w:val="00AA2D6D"/>
    <w:rsid w:val="00AA57DD"/>
    <w:rsid w:val="00AA6730"/>
    <w:rsid w:val="00AB08C5"/>
    <w:rsid w:val="00AB1643"/>
    <w:rsid w:val="00AB1E04"/>
    <w:rsid w:val="00AB4CCC"/>
    <w:rsid w:val="00AB4F44"/>
    <w:rsid w:val="00AB5D87"/>
    <w:rsid w:val="00AB6DDA"/>
    <w:rsid w:val="00AB7643"/>
    <w:rsid w:val="00AC0815"/>
    <w:rsid w:val="00AC0E1B"/>
    <w:rsid w:val="00AC1E96"/>
    <w:rsid w:val="00AC268D"/>
    <w:rsid w:val="00AC36EA"/>
    <w:rsid w:val="00AC5200"/>
    <w:rsid w:val="00AC5239"/>
    <w:rsid w:val="00AC5A0D"/>
    <w:rsid w:val="00AC5FF1"/>
    <w:rsid w:val="00AC78B6"/>
    <w:rsid w:val="00AD051E"/>
    <w:rsid w:val="00AD3BCB"/>
    <w:rsid w:val="00AD3CEB"/>
    <w:rsid w:val="00AD4387"/>
    <w:rsid w:val="00AD681F"/>
    <w:rsid w:val="00AD6CBB"/>
    <w:rsid w:val="00AD736E"/>
    <w:rsid w:val="00AD7684"/>
    <w:rsid w:val="00AE13E3"/>
    <w:rsid w:val="00AE17DF"/>
    <w:rsid w:val="00AE5783"/>
    <w:rsid w:val="00AE7778"/>
    <w:rsid w:val="00AE7D08"/>
    <w:rsid w:val="00AF0AF5"/>
    <w:rsid w:val="00AF2050"/>
    <w:rsid w:val="00AF2B51"/>
    <w:rsid w:val="00AF4073"/>
    <w:rsid w:val="00AF44AC"/>
    <w:rsid w:val="00AF46E3"/>
    <w:rsid w:val="00AF495D"/>
    <w:rsid w:val="00AF5593"/>
    <w:rsid w:val="00AF580C"/>
    <w:rsid w:val="00B003D8"/>
    <w:rsid w:val="00B010DE"/>
    <w:rsid w:val="00B033DD"/>
    <w:rsid w:val="00B036D2"/>
    <w:rsid w:val="00B05D0B"/>
    <w:rsid w:val="00B063D1"/>
    <w:rsid w:val="00B06F63"/>
    <w:rsid w:val="00B07BF7"/>
    <w:rsid w:val="00B11715"/>
    <w:rsid w:val="00B119BC"/>
    <w:rsid w:val="00B12C57"/>
    <w:rsid w:val="00B15ABE"/>
    <w:rsid w:val="00B16584"/>
    <w:rsid w:val="00B16F26"/>
    <w:rsid w:val="00B17767"/>
    <w:rsid w:val="00B17D0F"/>
    <w:rsid w:val="00B17D43"/>
    <w:rsid w:val="00B20835"/>
    <w:rsid w:val="00B20F3E"/>
    <w:rsid w:val="00B21755"/>
    <w:rsid w:val="00B2243B"/>
    <w:rsid w:val="00B237DA"/>
    <w:rsid w:val="00B23E63"/>
    <w:rsid w:val="00B24190"/>
    <w:rsid w:val="00B247AD"/>
    <w:rsid w:val="00B24BC4"/>
    <w:rsid w:val="00B24BED"/>
    <w:rsid w:val="00B25050"/>
    <w:rsid w:val="00B26934"/>
    <w:rsid w:val="00B3016D"/>
    <w:rsid w:val="00B31414"/>
    <w:rsid w:val="00B32B05"/>
    <w:rsid w:val="00B33695"/>
    <w:rsid w:val="00B336FD"/>
    <w:rsid w:val="00B34799"/>
    <w:rsid w:val="00B36110"/>
    <w:rsid w:val="00B366D9"/>
    <w:rsid w:val="00B36F71"/>
    <w:rsid w:val="00B3703C"/>
    <w:rsid w:val="00B373CA"/>
    <w:rsid w:val="00B37A75"/>
    <w:rsid w:val="00B40054"/>
    <w:rsid w:val="00B40976"/>
    <w:rsid w:val="00B409F1"/>
    <w:rsid w:val="00B413EC"/>
    <w:rsid w:val="00B41554"/>
    <w:rsid w:val="00B42696"/>
    <w:rsid w:val="00B428D8"/>
    <w:rsid w:val="00B43A32"/>
    <w:rsid w:val="00B43BB3"/>
    <w:rsid w:val="00B4757F"/>
    <w:rsid w:val="00B479FD"/>
    <w:rsid w:val="00B50105"/>
    <w:rsid w:val="00B50965"/>
    <w:rsid w:val="00B523D5"/>
    <w:rsid w:val="00B550B0"/>
    <w:rsid w:val="00B5691E"/>
    <w:rsid w:val="00B5699B"/>
    <w:rsid w:val="00B56D5C"/>
    <w:rsid w:val="00B56E5D"/>
    <w:rsid w:val="00B57025"/>
    <w:rsid w:val="00B57D1E"/>
    <w:rsid w:val="00B60B4B"/>
    <w:rsid w:val="00B60FC0"/>
    <w:rsid w:val="00B61187"/>
    <w:rsid w:val="00B6376B"/>
    <w:rsid w:val="00B640AE"/>
    <w:rsid w:val="00B65F82"/>
    <w:rsid w:val="00B7202A"/>
    <w:rsid w:val="00B72C01"/>
    <w:rsid w:val="00B72F4D"/>
    <w:rsid w:val="00B73B99"/>
    <w:rsid w:val="00B742BA"/>
    <w:rsid w:val="00B75F1D"/>
    <w:rsid w:val="00B75FBC"/>
    <w:rsid w:val="00B76382"/>
    <w:rsid w:val="00B76A7B"/>
    <w:rsid w:val="00B815CB"/>
    <w:rsid w:val="00B815DA"/>
    <w:rsid w:val="00B82384"/>
    <w:rsid w:val="00B8240A"/>
    <w:rsid w:val="00B8306E"/>
    <w:rsid w:val="00B83A4B"/>
    <w:rsid w:val="00B84D46"/>
    <w:rsid w:val="00B85D6E"/>
    <w:rsid w:val="00B86B80"/>
    <w:rsid w:val="00B87168"/>
    <w:rsid w:val="00B87742"/>
    <w:rsid w:val="00B87BC0"/>
    <w:rsid w:val="00B87F8B"/>
    <w:rsid w:val="00B913C8"/>
    <w:rsid w:val="00B91415"/>
    <w:rsid w:val="00B923A0"/>
    <w:rsid w:val="00B9436C"/>
    <w:rsid w:val="00B94668"/>
    <w:rsid w:val="00B95DCA"/>
    <w:rsid w:val="00B9621C"/>
    <w:rsid w:val="00BA24A2"/>
    <w:rsid w:val="00BA3940"/>
    <w:rsid w:val="00BA3F10"/>
    <w:rsid w:val="00BA4D3D"/>
    <w:rsid w:val="00BA64CB"/>
    <w:rsid w:val="00BA6B19"/>
    <w:rsid w:val="00BB2471"/>
    <w:rsid w:val="00BB4AE8"/>
    <w:rsid w:val="00BB5561"/>
    <w:rsid w:val="00BB5FC7"/>
    <w:rsid w:val="00BC0325"/>
    <w:rsid w:val="00BC1907"/>
    <w:rsid w:val="00BC22E6"/>
    <w:rsid w:val="00BC2D6E"/>
    <w:rsid w:val="00BC2E09"/>
    <w:rsid w:val="00BC36D4"/>
    <w:rsid w:val="00BC42AC"/>
    <w:rsid w:val="00BC4AF6"/>
    <w:rsid w:val="00BC5042"/>
    <w:rsid w:val="00BC65C9"/>
    <w:rsid w:val="00BC6EB3"/>
    <w:rsid w:val="00BC6F53"/>
    <w:rsid w:val="00BD05B0"/>
    <w:rsid w:val="00BD0BEF"/>
    <w:rsid w:val="00BD16A9"/>
    <w:rsid w:val="00BD1CF7"/>
    <w:rsid w:val="00BD3423"/>
    <w:rsid w:val="00BD5737"/>
    <w:rsid w:val="00BD5B04"/>
    <w:rsid w:val="00BD5C9B"/>
    <w:rsid w:val="00BD6777"/>
    <w:rsid w:val="00BD729F"/>
    <w:rsid w:val="00BE0387"/>
    <w:rsid w:val="00BE0B8D"/>
    <w:rsid w:val="00BE17C0"/>
    <w:rsid w:val="00BE2273"/>
    <w:rsid w:val="00BE2B04"/>
    <w:rsid w:val="00BE3832"/>
    <w:rsid w:val="00BE4676"/>
    <w:rsid w:val="00BE55CF"/>
    <w:rsid w:val="00BE7851"/>
    <w:rsid w:val="00BF01F8"/>
    <w:rsid w:val="00BF04A2"/>
    <w:rsid w:val="00BF0E8C"/>
    <w:rsid w:val="00BF307F"/>
    <w:rsid w:val="00BF5147"/>
    <w:rsid w:val="00BF5BF3"/>
    <w:rsid w:val="00BF68C7"/>
    <w:rsid w:val="00C0040E"/>
    <w:rsid w:val="00C00CD7"/>
    <w:rsid w:val="00C03392"/>
    <w:rsid w:val="00C038D2"/>
    <w:rsid w:val="00C04579"/>
    <w:rsid w:val="00C04B2D"/>
    <w:rsid w:val="00C04C4F"/>
    <w:rsid w:val="00C04EF6"/>
    <w:rsid w:val="00C0511F"/>
    <w:rsid w:val="00C06404"/>
    <w:rsid w:val="00C06868"/>
    <w:rsid w:val="00C06DF6"/>
    <w:rsid w:val="00C070CC"/>
    <w:rsid w:val="00C07A6C"/>
    <w:rsid w:val="00C10506"/>
    <w:rsid w:val="00C1114F"/>
    <w:rsid w:val="00C1254B"/>
    <w:rsid w:val="00C1311E"/>
    <w:rsid w:val="00C14781"/>
    <w:rsid w:val="00C151AF"/>
    <w:rsid w:val="00C17B72"/>
    <w:rsid w:val="00C2160A"/>
    <w:rsid w:val="00C22A89"/>
    <w:rsid w:val="00C2379D"/>
    <w:rsid w:val="00C253DE"/>
    <w:rsid w:val="00C25C1A"/>
    <w:rsid w:val="00C279B5"/>
    <w:rsid w:val="00C30A0B"/>
    <w:rsid w:val="00C31FBF"/>
    <w:rsid w:val="00C322F9"/>
    <w:rsid w:val="00C32813"/>
    <w:rsid w:val="00C3286B"/>
    <w:rsid w:val="00C342AB"/>
    <w:rsid w:val="00C34411"/>
    <w:rsid w:val="00C344A3"/>
    <w:rsid w:val="00C35527"/>
    <w:rsid w:val="00C36781"/>
    <w:rsid w:val="00C37DE9"/>
    <w:rsid w:val="00C41725"/>
    <w:rsid w:val="00C426BA"/>
    <w:rsid w:val="00C427D1"/>
    <w:rsid w:val="00C43A57"/>
    <w:rsid w:val="00C459F0"/>
    <w:rsid w:val="00C4652C"/>
    <w:rsid w:val="00C46C29"/>
    <w:rsid w:val="00C47334"/>
    <w:rsid w:val="00C52633"/>
    <w:rsid w:val="00C52A03"/>
    <w:rsid w:val="00C52FAC"/>
    <w:rsid w:val="00C550BF"/>
    <w:rsid w:val="00C5636A"/>
    <w:rsid w:val="00C56603"/>
    <w:rsid w:val="00C57292"/>
    <w:rsid w:val="00C57CBE"/>
    <w:rsid w:val="00C600F1"/>
    <w:rsid w:val="00C63492"/>
    <w:rsid w:val="00C63B0C"/>
    <w:rsid w:val="00C64543"/>
    <w:rsid w:val="00C65799"/>
    <w:rsid w:val="00C708DD"/>
    <w:rsid w:val="00C72EBB"/>
    <w:rsid w:val="00C73199"/>
    <w:rsid w:val="00C738AD"/>
    <w:rsid w:val="00C74642"/>
    <w:rsid w:val="00C748A9"/>
    <w:rsid w:val="00C75956"/>
    <w:rsid w:val="00C76ED3"/>
    <w:rsid w:val="00C776FA"/>
    <w:rsid w:val="00C80708"/>
    <w:rsid w:val="00C8310E"/>
    <w:rsid w:val="00C8427C"/>
    <w:rsid w:val="00C84329"/>
    <w:rsid w:val="00C863ED"/>
    <w:rsid w:val="00C90ADF"/>
    <w:rsid w:val="00C91770"/>
    <w:rsid w:val="00C918F9"/>
    <w:rsid w:val="00C92734"/>
    <w:rsid w:val="00C95F9A"/>
    <w:rsid w:val="00C96204"/>
    <w:rsid w:val="00C96AED"/>
    <w:rsid w:val="00CA06F6"/>
    <w:rsid w:val="00CA135D"/>
    <w:rsid w:val="00CA410F"/>
    <w:rsid w:val="00CA4FFA"/>
    <w:rsid w:val="00CB0C08"/>
    <w:rsid w:val="00CB14D5"/>
    <w:rsid w:val="00CB22F2"/>
    <w:rsid w:val="00CB314D"/>
    <w:rsid w:val="00CB3FB0"/>
    <w:rsid w:val="00CB41F5"/>
    <w:rsid w:val="00CB4203"/>
    <w:rsid w:val="00CB4516"/>
    <w:rsid w:val="00CB4D81"/>
    <w:rsid w:val="00CB5954"/>
    <w:rsid w:val="00CB69A5"/>
    <w:rsid w:val="00CC014C"/>
    <w:rsid w:val="00CC3815"/>
    <w:rsid w:val="00CC6CBF"/>
    <w:rsid w:val="00CC6ED4"/>
    <w:rsid w:val="00CC771B"/>
    <w:rsid w:val="00CC7B4B"/>
    <w:rsid w:val="00CD25B2"/>
    <w:rsid w:val="00CD2FDE"/>
    <w:rsid w:val="00CD3BDF"/>
    <w:rsid w:val="00CD418F"/>
    <w:rsid w:val="00CD59C4"/>
    <w:rsid w:val="00CD63AD"/>
    <w:rsid w:val="00CD6B2C"/>
    <w:rsid w:val="00CD6B82"/>
    <w:rsid w:val="00CD730A"/>
    <w:rsid w:val="00CD7B1F"/>
    <w:rsid w:val="00CE0252"/>
    <w:rsid w:val="00CE063F"/>
    <w:rsid w:val="00CE0E6A"/>
    <w:rsid w:val="00CE1302"/>
    <w:rsid w:val="00CE1DFF"/>
    <w:rsid w:val="00CE2EB5"/>
    <w:rsid w:val="00CE3FE2"/>
    <w:rsid w:val="00CE45FA"/>
    <w:rsid w:val="00CE4DDF"/>
    <w:rsid w:val="00CE4FA2"/>
    <w:rsid w:val="00CE7151"/>
    <w:rsid w:val="00CF1C21"/>
    <w:rsid w:val="00CF272E"/>
    <w:rsid w:val="00CF3C9E"/>
    <w:rsid w:val="00CF42A3"/>
    <w:rsid w:val="00CF4698"/>
    <w:rsid w:val="00CF4A16"/>
    <w:rsid w:val="00CF538B"/>
    <w:rsid w:val="00CF5493"/>
    <w:rsid w:val="00D01B55"/>
    <w:rsid w:val="00D020CC"/>
    <w:rsid w:val="00D022C0"/>
    <w:rsid w:val="00D037D6"/>
    <w:rsid w:val="00D042C2"/>
    <w:rsid w:val="00D04955"/>
    <w:rsid w:val="00D065AC"/>
    <w:rsid w:val="00D07986"/>
    <w:rsid w:val="00D103E5"/>
    <w:rsid w:val="00D11757"/>
    <w:rsid w:val="00D11D84"/>
    <w:rsid w:val="00D12132"/>
    <w:rsid w:val="00D12310"/>
    <w:rsid w:val="00D12B99"/>
    <w:rsid w:val="00D1309C"/>
    <w:rsid w:val="00D134FA"/>
    <w:rsid w:val="00D1360F"/>
    <w:rsid w:val="00D14C98"/>
    <w:rsid w:val="00D152CD"/>
    <w:rsid w:val="00D21832"/>
    <w:rsid w:val="00D236D0"/>
    <w:rsid w:val="00D243E4"/>
    <w:rsid w:val="00D25634"/>
    <w:rsid w:val="00D26DAF"/>
    <w:rsid w:val="00D27706"/>
    <w:rsid w:val="00D27716"/>
    <w:rsid w:val="00D30106"/>
    <w:rsid w:val="00D32985"/>
    <w:rsid w:val="00D32ABC"/>
    <w:rsid w:val="00D3518D"/>
    <w:rsid w:val="00D35A0E"/>
    <w:rsid w:val="00D3606F"/>
    <w:rsid w:val="00D411BC"/>
    <w:rsid w:val="00D42680"/>
    <w:rsid w:val="00D42947"/>
    <w:rsid w:val="00D43A60"/>
    <w:rsid w:val="00D458C5"/>
    <w:rsid w:val="00D4632A"/>
    <w:rsid w:val="00D464DF"/>
    <w:rsid w:val="00D47487"/>
    <w:rsid w:val="00D47848"/>
    <w:rsid w:val="00D51885"/>
    <w:rsid w:val="00D51FD8"/>
    <w:rsid w:val="00D534FA"/>
    <w:rsid w:val="00D53BF2"/>
    <w:rsid w:val="00D54BE5"/>
    <w:rsid w:val="00D54D7D"/>
    <w:rsid w:val="00D55100"/>
    <w:rsid w:val="00D5519D"/>
    <w:rsid w:val="00D55ED6"/>
    <w:rsid w:val="00D5675D"/>
    <w:rsid w:val="00D56CFE"/>
    <w:rsid w:val="00D576D6"/>
    <w:rsid w:val="00D57AA6"/>
    <w:rsid w:val="00D621F6"/>
    <w:rsid w:val="00D63F7F"/>
    <w:rsid w:val="00D6463A"/>
    <w:rsid w:val="00D64767"/>
    <w:rsid w:val="00D656CB"/>
    <w:rsid w:val="00D65DB5"/>
    <w:rsid w:val="00D6666C"/>
    <w:rsid w:val="00D66B8A"/>
    <w:rsid w:val="00D66C8F"/>
    <w:rsid w:val="00D67135"/>
    <w:rsid w:val="00D67AE9"/>
    <w:rsid w:val="00D67AF7"/>
    <w:rsid w:val="00D707C9"/>
    <w:rsid w:val="00D70C2F"/>
    <w:rsid w:val="00D722DA"/>
    <w:rsid w:val="00D73C78"/>
    <w:rsid w:val="00D7424B"/>
    <w:rsid w:val="00D74755"/>
    <w:rsid w:val="00D762C3"/>
    <w:rsid w:val="00D76F64"/>
    <w:rsid w:val="00D77231"/>
    <w:rsid w:val="00D81278"/>
    <w:rsid w:val="00D81A94"/>
    <w:rsid w:val="00D826A6"/>
    <w:rsid w:val="00D8461A"/>
    <w:rsid w:val="00D847D1"/>
    <w:rsid w:val="00D84CAE"/>
    <w:rsid w:val="00D85D19"/>
    <w:rsid w:val="00D863B8"/>
    <w:rsid w:val="00D86868"/>
    <w:rsid w:val="00D87ADF"/>
    <w:rsid w:val="00D90901"/>
    <w:rsid w:val="00D90AF7"/>
    <w:rsid w:val="00D9126B"/>
    <w:rsid w:val="00D917F5"/>
    <w:rsid w:val="00D92593"/>
    <w:rsid w:val="00D92AF0"/>
    <w:rsid w:val="00D938DC"/>
    <w:rsid w:val="00D93B9F"/>
    <w:rsid w:val="00D93BDE"/>
    <w:rsid w:val="00D94983"/>
    <w:rsid w:val="00D96A30"/>
    <w:rsid w:val="00D96ECE"/>
    <w:rsid w:val="00D97A4E"/>
    <w:rsid w:val="00DA0376"/>
    <w:rsid w:val="00DA04BE"/>
    <w:rsid w:val="00DA160C"/>
    <w:rsid w:val="00DA1DC0"/>
    <w:rsid w:val="00DA4DC8"/>
    <w:rsid w:val="00DA7B77"/>
    <w:rsid w:val="00DA7CF0"/>
    <w:rsid w:val="00DB070F"/>
    <w:rsid w:val="00DB0ECA"/>
    <w:rsid w:val="00DB0F44"/>
    <w:rsid w:val="00DB3559"/>
    <w:rsid w:val="00DB4D58"/>
    <w:rsid w:val="00DB5A84"/>
    <w:rsid w:val="00DB6E13"/>
    <w:rsid w:val="00DB6F13"/>
    <w:rsid w:val="00DC000F"/>
    <w:rsid w:val="00DC03E9"/>
    <w:rsid w:val="00DC3333"/>
    <w:rsid w:val="00DC4DD1"/>
    <w:rsid w:val="00DC53CC"/>
    <w:rsid w:val="00DC6CC4"/>
    <w:rsid w:val="00DC7689"/>
    <w:rsid w:val="00DD0B89"/>
    <w:rsid w:val="00DD23BB"/>
    <w:rsid w:val="00DD2589"/>
    <w:rsid w:val="00DD265B"/>
    <w:rsid w:val="00DD36C8"/>
    <w:rsid w:val="00DD3AAB"/>
    <w:rsid w:val="00DD4486"/>
    <w:rsid w:val="00DD4619"/>
    <w:rsid w:val="00DD6C95"/>
    <w:rsid w:val="00DD6EF5"/>
    <w:rsid w:val="00DD6F94"/>
    <w:rsid w:val="00DD702B"/>
    <w:rsid w:val="00DE4755"/>
    <w:rsid w:val="00DE4DAA"/>
    <w:rsid w:val="00DE6AD7"/>
    <w:rsid w:val="00DE6BF9"/>
    <w:rsid w:val="00DE7B5C"/>
    <w:rsid w:val="00DF0428"/>
    <w:rsid w:val="00DF0901"/>
    <w:rsid w:val="00DF0EDD"/>
    <w:rsid w:val="00DF1573"/>
    <w:rsid w:val="00DF4272"/>
    <w:rsid w:val="00DF50EA"/>
    <w:rsid w:val="00DF66E0"/>
    <w:rsid w:val="00DF6F52"/>
    <w:rsid w:val="00E00C34"/>
    <w:rsid w:val="00E00F1A"/>
    <w:rsid w:val="00E0209F"/>
    <w:rsid w:val="00E02E6E"/>
    <w:rsid w:val="00E03A91"/>
    <w:rsid w:val="00E0483A"/>
    <w:rsid w:val="00E04C1D"/>
    <w:rsid w:val="00E059A7"/>
    <w:rsid w:val="00E0681A"/>
    <w:rsid w:val="00E0739E"/>
    <w:rsid w:val="00E076AB"/>
    <w:rsid w:val="00E078D4"/>
    <w:rsid w:val="00E07ED5"/>
    <w:rsid w:val="00E1277E"/>
    <w:rsid w:val="00E141B3"/>
    <w:rsid w:val="00E14724"/>
    <w:rsid w:val="00E15581"/>
    <w:rsid w:val="00E17F0C"/>
    <w:rsid w:val="00E20C43"/>
    <w:rsid w:val="00E20CEA"/>
    <w:rsid w:val="00E214C7"/>
    <w:rsid w:val="00E23430"/>
    <w:rsid w:val="00E2635D"/>
    <w:rsid w:val="00E33121"/>
    <w:rsid w:val="00E33D40"/>
    <w:rsid w:val="00E362AF"/>
    <w:rsid w:val="00E37CE3"/>
    <w:rsid w:val="00E40953"/>
    <w:rsid w:val="00E41756"/>
    <w:rsid w:val="00E42731"/>
    <w:rsid w:val="00E45D16"/>
    <w:rsid w:val="00E50638"/>
    <w:rsid w:val="00E5221A"/>
    <w:rsid w:val="00E546A8"/>
    <w:rsid w:val="00E5561F"/>
    <w:rsid w:val="00E55F8E"/>
    <w:rsid w:val="00E56D27"/>
    <w:rsid w:val="00E57715"/>
    <w:rsid w:val="00E6027E"/>
    <w:rsid w:val="00E60560"/>
    <w:rsid w:val="00E60B25"/>
    <w:rsid w:val="00E61767"/>
    <w:rsid w:val="00E629F2"/>
    <w:rsid w:val="00E62AB8"/>
    <w:rsid w:val="00E64A3A"/>
    <w:rsid w:val="00E65056"/>
    <w:rsid w:val="00E6659B"/>
    <w:rsid w:val="00E67A61"/>
    <w:rsid w:val="00E704CB"/>
    <w:rsid w:val="00E716BD"/>
    <w:rsid w:val="00E718DA"/>
    <w:rsid w:val="00E71A0B"/>
    <w:rsid w:val="00E71D41"/>
    <w:rsid w:val="00E71F2F"/>
    <w:rsid w:val="00E72067"/>
    <w:rsid w:val="00E729A6"/>
    <w:rsid w:val="00E72B65"/>
    <w:rsid w:val="00E74EC6"/>
    <w:rsid w:val="00E77B73"/>
    <w:rsid w:val="00E80DC0"/>
    <w:rsid w:val="00E80EA9"/>
    <w:rsid w:val="00E81ECA"/>
    <w:rsid w:val="00E82613"/>
    <w:rsid w:val="00E82AEB"/>
    <w:rsid w:val="00E82BB4"/>
    <w:rsid w:val="00E8388C"/>
    <w:rsid w:val="00E83BA4"/>
    <w:rsid w:val="00E84C0C"/>
    <w:rsid w:val="00E911D2"/>
    <w:rsid w:val="00E91455"/>
    <w:rsid w:val="00E91B0D"/>
    <w:rsid w:val="00E928E8"/>
    <w:rsid w:val="00E94264"/>
    <w:rsid w:val="00E96856"/>
    <w:rsid w:val="00E97893"/>
    <w:rsid w:val="00E97F59"/>
    <w:rsid w:val="00EA0289"/>
    <w:rsid w:val="00EA0935"/>
    <w:rsid w:val="00EA0AC7"/>
    <w:rsid w:val="00EA0DC1"/>
    <w:rsid w:val="00EA1EB8"/>
    <w:rsid w:val="00EA26B1"/>
    <w:rsid w:val="00EA2AEA"/>
    <w:rsid w:val="00EA2BC0"/>
    <w:rsid w:val="00EA3B56"/>
    <w:rsid w:val="00EA49FC"/>
    <w:rsid w:val="00EA4FC0"/>
    <w:rsid w:val="00EA58D8"/>
    <w:rsid w:val="00EA5C7A"/>
    <w:rsid w:val="00EA5E9C"/>
    <w:rsid w:val="00EA7162"/>
    <w:rsid w:val="00EA7335"/>
    <w:rsid w:val="00EB0953"/>
    <w:rsid w:val="00EB0B05"/>
    <w:rsid w:val="00EB2601"/>
    <w:rsid w:val="00EB398E"/>
    <w:rsid w:val="00EB4C3D"/>
    <w:rsid w:val="00EB4D60"/>
    <w:rsid w:val="00EB6738"/>
    <w:rsid w:val="00EB67AD"/>
    <w:rsid w:val="00EB6FF6"/>
    <w:rsid w:val="00EB73FE"/>
    <w:rsid w:val="00EB7A82"/>
    <w:rsid w:val="00EB7F0F"/>
    <w:rsid w:val="00EC07B0"/>
    <w:rsid w:val="00EC0892"/>
    <w:rsid w:val="00EC0A2D"/>
    <w:rsid w:val="00EC0F91"/>
    <w:rsid w:val="00EC0FF4"/>
    <w:rsid w:val="00EC261D"/>
    <w:rsid w:val="00EC39F3"/>
    <w:rsid w:val="00EC52F4"/>
    <w:rsid w:val="00EC581F"/>
    <w:rsid w:val="00EC78DC"/>
    <w:rsid w:val="00ED6CF5"/>
    <w:rsid w:val="00ED7253"/>
    <w:rsid w:val="00ED7425"/>
    <w:rsid w:val="00EE021A"/>
    <w:rsid w:val="00EE2DD8"/>
    <w:rsid w:val="00EE337A"/>
    <w:rsid w:val="00EE3B41"/>
    <w:rsid w:val="00EE5041"/>
    <w:rsid w:val="00EE5413"/>
    <w:rsid w:val="00EE6531"/>
    <w:rsid w:val="00EE72FC"/>
    <w:rsid w:val="00EE784A"/>
    <w:rsid w:val="00EF1736"/>
    <w:rsid w:val="00EF212D"/>
    <w:rsid w:val="00EF235D"/>
    <w:rsid w:val="00EF25E3"/>
    <w:rsid w:val="00EF314F"/>
    <w:rsid w:val="00EF4C8F"/>
    <w:rsid w:val="00EF4EC1"/>
    <w:rsid w:val="00EF5325"/>
    <w:rsid w:val="00EF5C00"/>
    <w:rsid w:val="00EF5CDA"/>
    <w:rsid w:val="00EF691D"/>
    <w:rsid w:val="00EF6EB6"/>
    <w:rsid w:val="00EF7237"/>
    <w:rsid w:val="00F00BAD"/>
    <w:rsid w:val="00F0147F"/>
    <w:rsid w:val="00F023BE"/>
    <w:rsid w:val="00F02768"/>
    <w:rsid w:val="00F04E74"/>
    <w:rsid w:val="00F0545D"/>
    <w:rsid w:val="00F06235"/>
    <w:rsid w:val="00F066FB"/>
    <w:rsid w:val="00F079C8"/>
    <w:rsid w:val="00F102F9"/>
    <w:rsid w:val="00F105C6"/>
    <w:rsid w:val="00F10FF7"/>
    <w:rsid w:val="00F1205C"/>
    <w:rsid w:val="00F123BB"/>
    <w:rsid w:val="00F136B3"/>
    <w:rsid w:val="00F13F49"/>
    <w:rsid w:val="00F1544F"/>
    <w:rsid w:val="00F15797"/>
    <w:rsid w:val="00F15965"/>
    <w:rsid w:val="00F16707"/>
    <w:rsid w:val="00F16A91"/>
    <w:rsid w:val="00F17B03"/>
    <w:rsid w:val="00F20360"/>
    <w:rsid w:val="00F208C6"/>
    <w:rsid w:val="00F20D32"/>
    <w:rsid w:val="00F20E56"/>
    <w:rsid w:val="00F21126"/>
    <w:rsid w:val="00F2226E"/>
    <w:rsid w:val="00F23AA6"/>
    <w:rsid w:val="00F24600"/>
    <w:rsid w:val="00F24DD5"/>
    <w:rsid w:val="00F25165"/>
    <w:rsid w:val="00F2601A"/>
    <w:rsid w:val="00F315F8"/>
    <w:rsid w:val="00F32A01"/>
    <w:rsid w:val="00F35E2E"/>
    <w:rsid w:val="00F3702B"/>
    <w:rsid w:val="00F37E81"/>
    <w:rsid w:val="00F4083D"/>
    <w:rsid w:val="00F42543"/>
    <w:rsid w:val="00F42633"/>
    <w:rsid w:val="00F439F5"/>
    <w:rsid w:val="00F442FE"/>
    <w:rsid w:val="00F45616"/>
    <w:rsid w:val="00F4742D"/>
    <w:rsid w:val="00F478A3"/>
    <w:rsid w:val="00F47CD6"/>
    <w:rsid w:val="00F511C0"/>
    <w:rsid w:val="00F51A0A"/>
    <w:rsid w:val="00F522DE"/>
    <w:rsid w:val="00F528D9"/>
    <w:rsid w:val="00F54422"/>
    <w:rsid w:val="00F55BE7"/>
    <w:rsid w:val="00F563FA"/>
    <w:rsid w:val="00F56ACC"/>
    <w:rsid w:val="00F56F14"/>
    <w:rsid w:val="00F633AB"/>
    <w:rsid w:val="00F63BAA"/>
    <w:rsid w:val="00F64FFB"/>
    <w:rsid w:val="00F663E5"/>
    <w:rsid w:val="00F668D7"/>
    <w:rsid w:val="00F72678"/>
    <w:rsid w:val="00F75B4A"/>
    <w:rsid w:val="00F77166"/>
    <w:rsid w:val="00F77729"/>
    <w:rsid w:val="00F806C9"/>
    <w:rsid w:val="00F809F9"/>
    <w:rsid w:val="00F825AF"/>
    <w:rsid w:val="00F84909"/>
    <w:rsid w:val="00F84E9C"/>
    <w:rsid w:val="00F86DDC"/>
    <w:rsid w:val="00F86F7A"/>
    <w:rsid w:val="00F9185D"/>
    <w:rsid w:val="00F92286"/>
    <w:rsid w:val="00F93878"/>
    <w:rsid w:val="00F94CC3"/>
    <w:rsid w:val="00F95019"/>
    <w:rsid w:val="00F95527"/>
    <w:rsid w:val="00F955AB"/>
    <w:rsid w:val="00F956A5"/>
    <w:rsid w:val="00F95707"/>
    <w:rsid w:val="00F95DF1"/>
    <w:rsid w:val="00F97380"/>
    <w:rsid w:val="00F97599"/>
    <w:rsid w:val="00F9791D"/>
    <w:rsid w:val="00FA0066"/>
    <w:rsid w:val="00FA024B"/>
    <w:rsid w:val="00FA2FBD"/>
    <w:rsid w:val="00FA39DC"/>
    <w:rsid w:val="00FA4124"/>
    <w:rsid w:val="00FB0C01"/>
    <w:rsid w:val="00FB4049"/>
    <w:rsid w:val="00FB4ACE"/>
    <w:rsid w:val="00FB4F43"/>
    <w:rsid w:val="00FB68A1"/>
    <w:rsid w:val="00FB7367"/>
    <w:rsid w:val="00FB79D8"/>
    <w:rsid w:val="00FB7FF7"/>
    <w:rsid w:val="00FC0910"/>
    <w:rsid w:val="00FC0E24"/>
    <w:rsid w:val="00FC18EF"/>
    <w:rsid w:val="00FC31BE"/>
    <w:rsid w:val="00FC4100"/>
    <w:rsid w:val="00FC42F2"/>
    <w:rsid w:val="00FC5D67"/>
    <w:rsid w:val="00FC5FB2"/>
    <w:rsid w:val="00FC6816"/>
    <w:rsid w:val="00FC6C68"/>
    <w:rsid w:val="00FC6F7A"/>
    <w:rsid w:val="00FC7937"/>
    <w:rsid w:val="00FD01D8"/>
    <w:rsid w:val="00FD044A"/>
    <w:rsid w:val="00FD0E8B"/>
    <w:rsid w:val="00FD245B"/>
    <w:rsid w:val="00FD3F0A"/>
    <w:rsid w:val="00FD4A41"/>
    <w:rsid w:val="00FD5028"/>
    <w:rsid w:val="00FD70D1"/>
    <w:rsid w:val="00FD795B"/>
    <w:rsid w:val="00FE008B"/>
    <w:rsid w:val="00FE0EC7"/>
    <w:rsid w:val="00FE2D80"/>
    <w:rsid w:val="00FE3D15"/>
    <w:rsid w:val="00FE4C40"/>
    <w:rsid w:val="00FE61D2"/>
    <w:rsid w:val="00FE63EC"/>
    <w:rsid w:val="00FE64A6"/>
    <w:rsid w:val="00FE64EC"/>
    <w:rsid w:val="00FE64EE"/>
    <w:rsid w:val="00FE6BAB"/>
    <w:rsid w:val="00FE7021"/>
    <w:rsid w:val="00FF1EB7"/>
    <w:rsid w:val="00FF2423"/>
    <w:rsid w:val="00FF242C"/>
    <w:rsid w:val="00FF2889"/>
    <w:rsid w:val="00FF2DD0"/>
    <w:rsid w:val="00FF3040"/>
    <w:rsid w:val="00FF32C6"/>
    <w:rsid w:val="00FF373B"/>
    <w:rsid w:val="00FF3BF6"/>
    <w:rsid w:val="00FF570C"/>
    <w:rsid w:val="00FF6512"/>
    <w:rsid w:val="00FF769C"/>
    <w:rsid w:val="00FF774B"/>
  </w:rsids>
  <m:mathPr>
    <m:mathFont m:val="Cambria Math"/>
    <m:brkBin m:val="before"/>
    <m:brkBinSub m:val="--"/>
    <m:smallFrac/>
    <m:dispDef/>
    <m:lMargin m:val="0"/>
    <m:rMargin m:val="0"/>
    <m:defJc m:val="centerGroup"/>
    <m:wrapIndent m:val="1440"/>
    <m:intLim m:val="subSup"/>
    <m:naryLim m:val="undOvr"/>
  </m:mathPr>
  <w:themeFontLang w:val="pt-BR"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8C62"/>
  <w15:docId w15:val="{0EA3C032-3F45-4AD6-9D28-F642647B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072"/>
    <w:pPr>
      <w:spacing w:after="0" w:line="24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397411"/>
    <w:pPr>
      <w:keepNext/>
      <w:keepLines/>
      <w:ind w:firstLine="0"/>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4652F2"/>
    <w:pPr>
      <w:keepNext/>
      <w:keepLines/>
      <w:spacing w:before="4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6123D2"/>
    <w:pPr>
      <w:keepNext/>
      <w:keepLines/>
      <w:spacing w:before="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97E8C"/>
    <w:rPr>
      <w:rFonts w:ascii="Times New Roman" w:eastAsia="SimSu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figura">
    <w:name w:val="titulo figura"/>
    <w:basedOn w:val="Normal"/>
    <w:link w:val="titulofiguraChar"/>
    <w:qFormat/>
    <w:rsid w:val="003A1474"/>
    <w:pPr>
      <w:ind w:firstLine="0"/>
      <w:jc w:val="center"/>
    </w:pPr>
    <w:rPr>
      <w:rFonts w:eastAsia="Monospace" w:cs="Times New Roman"/>
      <w:b/>
      <w:color w:val="000000" w:themeColor="text1"/>
      <w:szCs w:val="24"/>
    </w:rPr>
  </w:style>
  <w:style w:type="paragraph" w:customStyle="1" w:styleId="fonte">
    <w:name w:val="fonte"/>
    <w:basedOn w:val="Normal"/>
    <w:link w:val="fonteChar"/>
    <w:qFormat/>
    <w:rsid w:val="00897E8C"/>
    <w:pPr>
      <w:spacing w:after="120"/>
      <w:ind w:firstLineChars="200" w:firstLine="200"/>
      <w:jc w:val="right"/>
    </w:pPr>
    <w:rPr>
      <w:rFonts w:eastAsia="SimSun" w:cs="Times New Roman"/>
      <w:color w:val="000000" w:themeColor="text1"/>
      <w:sz w:val="20"/>
      <w:szCs w:val="24"/>
      <w:lang w:eastAsia="zh-CN"/>
    </w:rPr>
  </w:style>
  <w:style w:type="character" w:customStyle="1" w:styleId="titulofiguraChar">
    <w:name w:val="titulo figura Char"/>
    <w:basedOn w:val="Fontepargpadro"/>
    <w:link w:val="titulofigura"/>
    <w:rsid w:val="003A1474"/>
    <w:rPr>
      <w:rFonts w:ascii="Times New Roman" w:eastAsia="Monospace" w:hAnsi="Times New Roman" w:cs="Times New Roman"/>
      <w:b/>
      <w:color w:val="000000" w:themeColor="text1"/>
      <w:sz w:val="24"/>
      <w:szCs w:val="24"/>
    </w:rPr>
  </w:style>
  <w:style w:type="character" w:customStyle="1" w:styleId="fonteChar">
    <w:name w:val="fonte Char"/>
    <w:basedOn w:val="Fontepargpadro"/>
    <w:link w:val="fonte"/>
    <w:rsid w:val="00897E8C"/>
    <w:rPr>
      <w:rFonts w:ascii="Arial" w:eastAsia="SimSun" w:hAnsi="Arial" w:cs="Times New Roman"/>
      <w:color w:val="000000" w:themeColor="text1"/>
      <w:sz w:val="20"/>
      <w:szCs w:val="24"/>
      <w:lang w:eastAsia="zh-CN"/>
    </w:rPr>
  </w:style>
  <w:style w:type="paragraph" w:styleId="Bibliografia">
    <w:name w:val="Bibliography"/>
    <w:basedOn w:val="Normal"/>
    <w:next w:val="Normal"/>
    <w:uiPriority w:val="37"/>
    <w:unhideWhenUsed/>
    <w:rsid w:val="00897E8C"/>
    <w:pPr>
      <w:spacing w:after="120"/>
      <w:ind w:firstLineChars="200" w:firstLine="480"/>
    </w:pPr>
    <w:rPr>
      <w:rFonts w:eastAsia="Monospace"/>
      <w:color w:val="000000" w:themeColor="text1"/>
      <w:szCs w:val="24"/>
    </w:rPr>
  </w:style>
  <w:style w:type="paragraph" w:styleId="Textodenotaderodap">
    <w:name w:val="footnote text"/>
    <w:basedOn w:val="Normal"/>
    <w:link w:val="TextodenotaderodapChar"/>
    <w:uiPriority w:val="99"/>
    <w:unhideWhenUsed/>
    <w:rsid w:val="00D76F64"/>
    <w:rPr>
      <w:sz w:val="20"/>
      <w:szCs w:val="20"/>
    </w:rPr>
  </w:style>
  <w:style w:type="character" w:customStyle="1" w:styleId="TextodenotaderodapChar">
    <w:name w:val="Texto de nota de rodapé Char"/>
    <w:basedOn w:val="Fontepargpadro"/>
    <w:link w:val="Textodenotaderodap"/>
    <w:uiPriority w:val="99"/>
    <w:rsid w:val="00D76F64"/>
    <w:rPr>
      <w:rFonts w:ascii="Arial" w:hAnsi="Arial"/>
      <w:sz w:val="20"/>
      <w:szCs w:val="20"/>
    </w:rPr>
  </w:style>
  <w:style w:type="character" w:styleId="Refdenotaderodap">
    <w:name w:val="footnote reference"/>
    <w:basedOn w:val="Fontepargpadro"/>
    <w:uiPriority w:val="99"/>
    <w:unhideWhenUsed/>
    <w:rsid w:val="00D76F64"/>
    <w:rPr>
      <w:vertAlign w:val="superscript"/>
    </w:rPr>
  </w:style>
  <w:style w:type="character" w:styleId="Refdecomentrio">
    <w:name w:val="annotation reference"/>
    <w:basedOn w:val="Fontepargpadro"/>
    <w:uiPriority w:val="99"/>
    <w:semiHidden/>
    <w:unhideWhenUsed/>
    <w:rsid w:val="00D73C78"/>
    <w:rPr>
      <w:sz w:val="16"/>
      <w:szCs w:val="16"/>
    </w:rPr>
  </w:style>
  <w:style w:type="paragraph" w:styleId="Textodecomentrio">
    <w:name w:val="annotation text"/>
    <w:basedOn w:val="Normal"/>
    <w:link w:val="TextodecomentrioChar"/>
    <w:uiPriority w:val="99"/>
    <w:semiHidden/>
    <w:unhideWhenUsed/>
    <w:rsid w:val="00D73C78"/>
    <w:rPr>
      <w:sz w:val="20"/>
      <w:szCs w:val="20"/>
    </w:rPr>
  </w:style>
  <w:style w:type="character" w:customStyle="1" w:styleId="TextodecomentrioChar">
    <w:name w:val="Texto de comentário Char"/>
    <w:basedOn w:val="Fontepargpadro"/>
    <w:link w:val="Textodecomentrio"/>
    <w:uiPriority w:val="99"/>
    <w:semiHidden/>
    <w:rsid w:val="00D73C78"/>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D73C78"/>
    <w:rPr>
      <w:b/>
      <w:bCs/>
    </w:rPr>
  </w:style>
  <w:style w:type="character" w:customStyle="1" w:styleId="AssuntodocomentrioChar">
    <w:name w:val="Assunto do comentário Char"/>
    <w:basedOn w:val="TextodecomentrioChar"/>
    <w:link w:val="Assuntodocomentrio"/>
    <w:uiPriority w:val="99"/>
    <w:semiHidden/>
    <w:rsid w:val="00D73C78"/>
    <w:rPr>
      <w:rFonts w:ascii="Arial" w:hAnsi="Arial"/>
      <w:b/>
      <w:bCs/>
      <w:sz w:val="20"/>
      <w:szCs w:val="20"/>
    </w:rPr>
  </w:style>
  <w:style w:type="paragraph" w:styleId="Textodebalo">
    <w:name w:val="Balloon Text"/>
    <w:basedOn w:val="Normal"/>
    <w:link w:val="TextodebaloChar"/>
    <w:uiPriority w:val="99"/>
    <w:semiHidden/>
    <w:unhideWhenUsed/>
    <w:rsid w:val="00D73C78"/>
    <w:rPr>
      <w:rFonts w:ascii="Segoe UI" w:hAnsi="Segoe UI" w:cs="Segoe UI"/>
      <w:sz w:val="18"/>
      <w:szCs w:val="18"/>
    </w:rPr>
  </w:style>
  <w:style w:type="character" w:customStyle="1" w:styleId="TextodebaloChar">
    <w:name w:val="Texto de balão Char"/>
    <w:basedOn w:val="Fontepargpadro"/>
    <w:link w:val="Textodebalo"/>
    <w:uiPriority w:val="99"/>
    <w:semiHidden/>
    <w:rsid w:val="00D73C78"/>
    <w:rPr>
      <w:rFonts w:ascii="Segoe UI" w:hAnsi="Segoe UI" w:cs="Segoe UI"/>
      <w:sz w:val="18"/>
      <w:szCs w:val="18"/>
    </w:rPr>
  </w:style>
  <w:style w:type="character" w:customStyle="1" w:styleId="Ttulo2Char">
    <w:name w:val="Título 2 Char"/>
    <w:basedOn w:val="Fontepargpadro"/>
    <w:link w:val="Ttulo2"/>
    <w:uiPriority w:val="9"/>
    <w:rsid w:val="004652F2"/>
    <w:rPr>
      <w:rFonts w:ascii="Arial" w:eastAsiaTheme="majorEastAsia" w:hAnsi="Arial" w:cstheme="majorBidi"/>
      <w:b/>
      <w:sz w:val="24"/>
      <w:szCs w:val="26"/>
    </w:rPr>
  </w:style>
  <w:style w:type="character" w:customStyle="1" w:styleId="Ttulo3Char">
    <w:name w:val="Título 3 Char"/>
    <w:basedOn w:val="Fontepargpadro"/>
    <w:link w:val="Ttulo3"/>
    <w:uiPriority w:val="9"/>
    <w:rsid w:val="006123D2"/>
    <w:rPr>
      <w:rFonts w:ascii="Arial" w:eastAsiaTheme="majorEastAsia" w:hAnsi="Arial" w:cstheme="majorBidi"/>
      <w:b/>
      <w:sz w:val="24"/>
      <w:szCs w:val="24"/>
    </w:rPr>
  </w:style>
  <w:style w:type="table" w:customStyle="1" w:styleId="Tabelacomgrade1">
    <w:name w:val="Tabela com grade1"/>
    <w:basedOn w:val="Tabelanormal"/>
    <w:next w:val="Tabelacomgrade"/>
    <w:uiPriority w:val="39"/>
    <w:rsid w:val="0096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082B60"/>
    <w:rPr>
      <w:rFonts w:ascii="Arial" w:eastAsiaTheme="majorEastAsia" w:hAnsi="Arial" w:cstheme="majorBidi"/>
      <w:b/>
      <w:caps/>
      <w:sz w:val="24"/>
      <w:szCs w:val="32"/>
    </w:rPr>
  </w:style>
  <w:style w:type="paragraph" w:customStyle="1" w:styleId="TABELAs">
    <w:name w:val="TABELAs"/>
    <w:basedOn w:val="Normal"/>
    <w:link w:val="TABELAsChar"/>
    <w:qFormat/>
    <w:rsid w:val="007A3998"/>
    <w:pPr>
      <w:ind w:firstLine="0"/>
      <w:jc w:val="center"/>
    </w:pPr>
    <w:rPr>
      <w:rFonts w:eastAsia="SimSun" w:cs="Times New Roman"/>
      <w:sz w:val="20"/>
      <w:szCs w:val="20"/>
      <w:lang w:eastAsia="pt-BR"/>
    </w:rPr>
  </w:style>
  <w:style w:type="paragraph" w:customStyle="1" w:styleId="FONTE0">
    <w:name w:val="FONTE"/>
    <w:basedOn w:val="Normal"/>
    <w:link w:val="FONTEChar0"/>
    <w:qFormat/>
    <w:rsid w:val="009F3938"/>
    <w:pPr>
      <w:ind w:firstLine="0"/>
      <w:jc w:val="left"/>
    </w:pPr>
    <w:rPr>
      <w:sz w:val="20"/>
      <w:szCs w:val="20"/>
    </w:rPr>
  </w:style>
  <w:style w:type="character" w:customStyle="1" w:styleId="TABELAsChar">
    <w:name w:val="TABELAs Char"/>
    <w:basedOn w:val="Fontepargpadro"/>
    <w:link w:val="TABELAs"/>
    <w:rsid w:val="007A3998"/>
    <w:rPr>
      <w:rFonts w:ascii="Times New Roman" w:eastAsia="SimSun" w:hAnsi="Times New Roman" w:cs="Times New Roman"/>
      <w:sz w:val="20"/>
      <w:szCs w:val="20"/>
      <w:lang w:eastAsia="pt-BR"/>
    </w:rPr>
  </w:style>
  <w:style w:type="paragraph" w:customStyle="1" w:styleId="Default">
    <w:name w:val="Default"/>
    <w:rsid w:val="00D020C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EChar0">
    <w:name w:val="FONTE Char"/>
    <w:basedOn w:val="Fontepargpadro"/>
    <w:link w:val="FONTE0"/>
    <w:rsid w:val="009F3938"/>
    <w:rPr>
      <w:rFonts w:ascii="Times New Roman" w:hAnsi="Times New Roman"/>
      <w:sz w:val="20"/>
      <w:szCs w:val="20"/>
    </w:rPr>
  </w:style>
  <w:style w:type="character" w:styleId="TextodoEspaoReservado">
    <w:name w:val="Placeholder Text"/>
    <w:basedOn w:val="Fontepargpadro"/>
    <w:uiPriority w:val="99"/>
    <w:semiHidden/>
    <w:rsid w:val="0075268F"/>
    <w:rPr>
      <w:color w:val="808080"/>
    </w:rPr>
  </w:style>
  <w:style w:type="paragraph" w:styleId="Corpodetexto">
    <w:name w:val="Body Text"/>
    <w:basedOn w:val="Normal"/>
    <w:link w:val="CorpodetextoChar"/>
    <w:uiPriority w:val="1"/>
    <w:rsid w:val="00FE4C40"/>
    <w:pPr>
      <w:widowControl w:val="0"/>
      <w:autoSpaceDE w:val="0"/>
      <w:autoSpaceDN w:val="0"/>
      <w:ind w:firstLine="0"/>
      <w:jc w:val="left"/>
    </w:pPr>
    <w:rPr>
      <w:rFonts w:eastAsia="Times New Roman" w:cs="Times New Roman"/>
      <w:szCs w:val="24"/>
      <w:lang w:val="en-US"/>
    </w:rPr>
  </w:style>
  <w:style w:type="character" w:customStyle="1" w:styleId="CorpodetextoChar">
    <w:name w:val="Corpo de texto Char"/>
    <w:basedOn w:val="Fontepargpadro"/>
    <w:link w:val="Corpodetexto"/>
    <w:uiPriority w:val="1"/>
    <w:rsid w:val="00FE4C40"/>
    <w:rPr>
      <w:rFonts w:ascii="Times New Roman" w:eastAsia="Times New Roman" w:hAnsi="Times New Roman" w:cs="Times New Roman"/>
      <w:sz w:val="24"/>
      <w:szCs w:val="24"/>
      <w:lang w:val="en-US"/>
    </w:rPr>
  </w:style>
  <w:style w:type="paragraph" w:customStyle="1" w:styleId="Ttulo11">
    <w:name w:val="Título 11"/>
    <w:basedOn w:val="Normal"/>
    <w:uiPriority w:val="1"/>
    <w:rsid w:val="003C3431"/>
    <w:pPr>
      <w:widowControl w:val="0"/>
      <w:autoSpaceDE w:val="0"/>
      <w:autoSpaceDN w:val="0"/>
      <w:spacing w:before="100"/>
      <w:ind w:left="241" w:firstLine="0"/>
      <w:jc w:val="left"/>
      <w:outlineLvl w:val="1"/>
    </w:pPr>
    <w:rPr>
      <w:rFonts w:eastAsia="Times New Roman" w:cs="Times New Roman"/>
      <w:b/>
      <w:bCs/>
      <w:szCs w:val="24"/>
      <w:lang w:val="en-US"/>
    </w:rPr>
  </w:style>
  <w:style w:type="paragraph" w:styleId="Reviso">
    <w:name w:val="Revision"/>
    <w:hidden/>
    <w:uiPriority w:val="99"/>
    <w:semiHidden/>
    <w:rsid w:val="00CA4FFA"/>
    <w:pPr>
      <w:spacing w:after="0" w:line="240" w:lineRule="auto"/>
    </w:pPr>
    <w:rPr>
      <w:rFonts w:ascii="Arial" w:hAnsi="Arial"/>
      <w:sz w:val="24"/>
    </w:rPr>
  </w:style>
  <w:style w:type="paragraph" w:styleId="PargrafodaLista">
    <w:name w:val="List Paragraph"/>
    <w:basedOn w:val="Normal"/>
    <w:uiPriority w:val="34"/>
    <w:qFormat/>
    <w:rsid w:val="001B316A"/>
    <w:pPr>
      <w:ind w:left="720"/>
      <w:contextualSpacing/>
    </w:pPr>
  </w:style>
  <w:style w:type="paragraph" w:styleId="Legenda">
    <w:name w:val="caption"/>
    <w:basedOn w:val="Normal"/>
    <w:next w:val="Normal"/>
    <w:uiPriority w:val="35"/>
    <w:semiHidden/>
    <w:unhideWhenUsed/>
    <w:qFormat/>
    <w:rsid w:val="00FC7937"/>
    <w:pPr>
      <w:spacing w:after="200"/>
    </w:pPr>
    <w:rPr>
      <w:b/>
      <w:bCs/>
      <w:color w:val="5B9BD5" w:themeColor="accent1"/>
      <w:sz w:val="18"/>
      <w:szCs w:val="18"/>
    </w:rPr>
  </w:style>
  <w:style w:type="paragraph" w:styleId="NormalWeb">
    <w:name w:val="Normal (Web)"/>
    <w:basedOn w:val="Normal"/>
    <w:uiPriority w:val="99"/>
    <w:semiHidden/>
    <w:unhideWhenUsed/>
    <w:rsid w:val="00FC7937"/>
    <w:pPr>
      <w:spacing w:before="100" w:beforeAutospacing="1" w:after="100" w:afterAutospacing="1"/>
      <w:ind w:firstLine="0"/>
      <w:jc w:val="left"/>
    </w:pPr>
    <w:rPr>
      <w:rFonts w:eastAsia="Times New Roman" w:cs="Times New Roman"/>
      <w:szCs w:val="24"/>
      <w:lang w:eastAsia="pt-BR"/>
    </w:rPr>
  </w:style>
  <w:style w:type="paragraph" w:styleId="Cabealho">
    <w:name w:val="header"/>
    <w:basedOn w:val="Normal"/>
    <w:link w:val="CabealhoChar"/>
    <w:uiPriority w:val="99"/>
    <w:unhideWhenUsed/>
    <w:rsid w:val="00E546A8"/>
    <w:pPr>
      <w:tabs>
        <w:tab w:val="center" w:pos="4252"/>
        <w:tab w:val="right" w:pos="8504"/>
      </w:tabs>
    </w:pPr>
  </w:style>
  <w:style w:type="character" w:customStyle="1" w:styleId="CabealhoChar">
    <w:name w:val="Cabeçalho Char"/>
    <w:basedOn w:val="Fontepargpadro"/>
    <w:link w:val="Cabealho"/>
    <w:uiPriority w:val="99"/>
    <w:rsid w:val="00E546A8"/>
    <w:rPr>
      <w:rFonts w:ascii="Arial" w:hAnsi="Arial"/>
      <w:sz w:val="24"/>
    </w:rPr>
  </w:style>
  <w:style w:type="paragraph" w:styleId="Rodap">
    <w:name w:val="footer"/>
    <w:basedOn w:val="Normal"/>
    <w:link w:val="RodapChar"/>
    <w:uiPriority w:val="99"/>
    <w:unhideWhenUsed/>
    <w:rsid w:val="00E546A8"/>
    <w:pPr>
      <w:tabs>
        <w:tab w:val="center" w:pos="4252"/>
        <w:tab w:val="right" w:pos="8504"/>
      </w:tabs>
    </w:pPr>
  </w:style>
  <w:style w:type="character" w:customStyle="1" w:styleId="RodapChar">
    <w:name w:val="Rodapé Char"/>
    <w:basedOn w:val="Fontepargpadro"/>
    <w:link w:val="Rodap"/>
    <w:uiPriority w:val="99"/>
    <w:rsid w:val="00E546A8"/>
    <w:rPr>
      <w:rFonts w:ascii="Arial" w:hAnsi="Arial"/>
      <w:sz w:val="24"/>
    </w:rPr>
  </w:style>
  <w:style w:type="paragraph" w:styleId="Pr-formataoHTML">
    <w:name w:val="HTML Preformatted"/>
    <w:basedOn w:val="Normal"/>
    <w:link w:val="Pr-formataoHTMLChar"/>
    <w:uiPriority w:val="99"/>
    <w:semiHidden/>
    <w:unhideWhenUsed/>
    <w:rsid w:val="00DE4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pt-BR" w:bidi="or-IN"/>
    </w:rPr>
  </w:style>
  <w:style w:type="character" w:customStyle="1" w:styleId="Pr-formataoHTMLChar">
    <w:name w:val="Pré-formatação HTML Char"/>
    <w:basedOn w:val="Fontepargpadro"/>
    <w:link w:val="Pr-formataoHTML"/>
    <w:uiPriority w:val="99"/>
    <w:semiHidden/>
    <w:rsid w:val="00DE4DAA"/>
    <w:rPr>
      <w:rFonts w:ascii="Courier New" w:eastAsia="Times New Roman" w:hAnsi="Courier New" w:cs="Courier New"/>
      <w:sz w:val="20"/>
      <w:szCs w:val="20"/>
      <w:lang w:eastAsia="pt-BR" w:bidi="or-IN"/>
    </w:rPr>
  </w:style>
  <w:style w:type="character" w:styleId="Hyperlink">
    <w:name w:val="Hyperlink"/>
    <w:basedOn w:val="Fontepargpadro"/>
    <w:uiPriority w:val="99"/>
    <w:unhideWhenUsed/>
    <w:rsid w:val="00963328"/>
    <w:rPr>
      <w:color w:val="0563C1" w:themeColor="hyperlink"/>
      <w:u w:val="single"/>
    </w:rPr>
  </w:style>
  <w:style w:type="character" w:styleId="Forte">
    <w:name w:val="Strong"/>
    <w:basedOn w:val="Fontepargpadro"/>
    <w:uiPriority w:val="22"/>
    <w:qFormat/>
    <w:rsid w:val="00154C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3712">
      <w:bodyDiv w:val="1"/>
      <w:marLeft w:val="0"/>
      <w:marRight w:val="0"/>
      <w:marTop w:val="0"/>
      <w:marBottom w:val="0"/>
      <w:divBdr>
        <w:top w:val="none" w:sz="0" w:space="0" w:color="auto"/>
        <w:left w:val="none" w:sz="0" w:space="0" w:color="auto"/>
        <w:bottom w:val="none" w:sz="0" w:space="0" w:color="auto"/>
        <w:right w:val="none" w:sz="0" w:space="0" w:color="auto"/>
      </w:divBdr>
    </w:div>
    <w:div w:id="1344089899">
      <w:bodyDiv w:val="1"/>
      <w:marLeft w:val="0"/>
      <w:marRight w:val="0"/>
      <w:marTop w:val="0"/>
      <w:marBottom w:val="0"/>
      <w:divBdr>
        <w:top w:val="none" w:sz="0" w:space="0" w:color="auto"/>
        <w:left w:val="none" w:sz="0" w:space="0" w:color="auto"/>
        <w:bottom w:val="none" w:sz="0" w:space="0" w:color="auto"/>
        <w:right w:val="none" w:sz="0" w:space="0" w:color="auto"/>
      </w:divBdr>
    </w:div>
    <w:div w:id="1787847448">
      <w:bodyDiv w:val="1"/>
      <w:marLeft w:val="0"/>
      <w:marRight w:val="0"/>
      <w:marTop w:val="0"/>
      <w:marBottom w:val="0"/>
      <w:divBdr>
        <w:top w:val="none" w:sz="0" w:space="0" w:color="auto"/>
        <w:left w:val="none" w:sz="0" w:space="0" w:color="auto"/>
        <w:bottom w:val="none" w:sz="0" w:space="0" w:color="auto"/>
        <w:right w:val="none" w:sz="0" w:space="0" w:color="auto"/>
      </w:divBdr>
    </w:div>
    <w:div w:id="19137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s://doi.org/10.1006/jeem.2000.11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iz%20Gustavo\Documents\ACADEMIA\PUBLICA&#199;&#213;ES%20-%20ARTIGOS\2018\DIAMATINA_CKA%20Minas\Gr&#225;ficos\Graficos%20descritiv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Luiz%20Gustavo\Documents\ACADEMIA\PUBLICA&#199;&#213;ES%20-%20ARTIGOS\2018\DIAMATINA_CKA%20Minas\Gr&#225;ficos\Graficos%20descritiva.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Luiz%20Gustavo\Documents\ACADEMIA\PUBLICA&#199;&#213;ES%20-%20ARTIGOS\2018\DIAMATINA_CKA%20Minas\Gr&#225;ficos\Graficos%20descritiv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iz%20Gustavo\Documents\ACADEMIA\PUBLICA&#199;&#213;ES%20-%20ARTIGOS\2018\DIAMATINA_CKA%20Minas\Gr&#225;ficos\Graficos%20descritiv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iz%20Gustavo\Documents\ACADEMIA\PUBLICA&#199;&#213;ES%20-%20ARTIGOS\2018\DIAMATINA_CKA%20Minas\Gr&#225;ficos\Graficos%20descritiva.xlsx" TargetMode="External"/></Relationships>
</file>

<file path=word/charts/_rels/chart4.xml.rels><?xml version="1.0" encoding="UTF-8" standalone="yes"?>
<Relationships xmlns="http://schemas.openxmlformats.org/package/2006/relationships"><Relationship Id="rId2" Type="http://schemas.openxmlformats.org/officeDocument/2006/relationships/oleObject" Target="file:///C:\Users\Luiz%20Gustavo\Documents\ACADEMIA\PUBLICA&#199;&#213;ES%20-%20ARTIGOS\2018\DIAMATINA_CKA%20Minas\Gr&#225;ficos\Graficos%20descritiva.xlsx" TargetMode="External"/><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Luiz%20Gustavo\Documents\ACADEMIA\PUBLICA&#199;&#213;ES%20-%20ARTIGOS\2018\DIAMATINA_CKA%20Minas\Gr&#225;ficos\Graficos%20descritiva.xlsx" TargetMode="External"/><Relationship Id="rId1" Type="http://schemas.openxmlformats.org/officeDocument/2006/relationships/themeOverride" Target="../theme/themeOverride2.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Luiz%20Gustavo\Documents\ACADEMIA\PUBLICA&#199;&#213;ES%20-%20ARTIGOS\2018\DIAMATINA_CKA%20Minas\Gr&#225;ficos\Graficos%20descritiva.xlsx" TargetMode="External"/><Relationship Id="rId1" Type="http://schemas.openxmlformats.org/officeDocument/2006/relationships/themeOverride" Target="../theme/themeOverride3.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Luiz%20Gustavo\Documents\ACADEMIA\PUBLICA&#199;&#213;ES%20-%20ARTIGOS\2018\DIAMATINA_CKA%20Minas\Gr&#225;ficos\Graficos%20descritiva.xlsx" TargetMode="External"/><Relationship Id="rId1" Type="http://schemas.openxmlformats.org/officeDocument/2006/relationships/themeOverride" Target="../theme/themeOverride4.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Luiz%20Gustavo\Documents\ACADEMIA\PUBLICA&#199;&#213;ES%20-%20ARTIGOS\2018\DIAMATINA_CKA%20Minas\Gr&#225;ficos\Graficos%20descritiv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Luiz%20Gustavo\Documents\ACADEMIA\PUBLICA&#199;&#213;ES%20-%20ARTIGOS\2018\DIAMATINA_CKA%20Minas\Gr&#225;ficos\Graficos%20descritiv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22115713796645"/>
          <c:y val="6.0125717409128178E-2"/>
          <c:w val="0.78986361544939199"/>
          <c:h val="0.59378084025367284"/>
        </c:manualLayout>
      </c:layout>
      <c:barChart>
        <c:barDir val="col"/>
        <c:grouping val="clustered"/>
        <c:varyColors val="0"/>
        <c:ser>
          <c:idx val="5"/>
          <c:order val="5"/>
          <c:tx>
            <c:strRef>
              <c:f>Planilha1!$AL$1</c:f>
              <c:strCache>
                <c:ptCount val="1"/>
                <c:pt idx="0">
                  <c:v>Total BR</c:v>
                </c:pt>
              </c:strCache>
            </c:strRef>
          </c:tx>
          <c:spPr>
            <a:solidFill>
              <a:schemeClr val="bg2">
                <a:lumMod val="90000"/>
              </a:schemeClr>
            </a:solidFill>
            <a:ln>
              <a:solidFill>
                <a:schemeClr val="bg2">
                  <a:lumMod val="90000"/>
                </a:schemeClr>
              </a:solid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Planilha1!$AL$14:$AL$27</c:f>
              <c:numCache>
                <c:formatCode>#,##0</c:formatCode>
                <c:ptCount val="14"/>
                <c:pt idx="0">
                  <c:v>2021876894.8193898</c:v>
                </c:pt>
                <c:pt idx="1">
                  <c:v>3192686382.4008999</c:v>
                </c:pt>
                <c:pt idx="2">
                  <c:v>3392461248.5567021</c:v>
                </c:pt>
                <c:pt idx="3">
                  <c:v>2732720167.2666025</c:v>
                </c:pt>
                <c:pt idx="4">
                  <c:v>2355161604.5172358</c:v>
                </c:pt>
                <c:pt idx="5">
                  <c:v>2197876990.3808365</c:v>
                </c:pt>
                <c:pt idx="6">
                  <c:v>2316584111.0681572</c:v>
                </c:pt>
                <c:pt idx="7">
                  <c:v>1529138437.949173</c:v>
                </c:pt>
                <c:pt idx="8">
                  <c:v>1436508587.6920781</c:v>
                </c:pt>
                <c:pt idx="9">
                  <c:v>1429650364.4958267</c:v>
                </c:pt>
                <c:pt idx="10">
                  <c:v>1450001301.7182798</c:v>
                </c:pt>
                <c:pt idx="11">
                  <c:v>1600253246.5106962</c:v>
                </c:pt>
                <c:pt idx="12">
                  <c:v>1506577441.238627</c:v>
                </c:pt>
                <c:pt idx="13">
                  <c:v>1572044800.3671169</c:v>
                </c:pt>
              </c:numCache>
            </c:numRef>
          </c:val>
          <c:extLst>
            <c:ext xmlns:c16="http://schemas.microsoft.com/office/drawing/2014/chart" uri="{C3380CC4-5D6E-409C-BE32-E72D297353CC}">
              <c16:uniqueId val="{00000000-ECF4-4C7C-9CAB-D4E51812731D}"/>
            </c:ext>
          </c:extLst>
        </c:ser>
        <c:dLbls>
          <c:showLegendKey val="0"/>
          <c:showVal val="0"/>
          <c:showCatName val="0"/>
          <c:showSerName val="0"/>
          <c:showPercent val="0"/>
          <c:showBubbleSize val="0"/>
        </c:dLbls>
        <c:gapWidth val="75"/>
        <c:axId val="-1218802096"/>
        <c:axId val="-1218801008"/>
      </c:barChart>
      <c:lineChart>
        <c:grouping val="standard"/>
        <c:varyColors val="0"/>
        <c:ser>
          <c:idx val="3"/>
          <c:order val="0"/>
          <c:tx>
            <c:strRef>
              <c:f>Planilha1!$AE$1</c:f>
              <c:strCache>
                <c:ptCount val="1"/>
                <c:pt idx="0">
                  <c:v>% N</c:v>
                </c:pt>
              </c:strCache>
            </c:strRef>
          </c:tx>
          <c:spPr>
            <a:ln w="19050" cap="rnd">
              <a:solidFill>
                <a:schemeClr val="accent2">
                  <a:lumMod val="60000"/>
                </a:schemeClr>
              </a:solidFill>
              <a:round/>
            </a:ln>
            <a:effectLst/>
          </c:spPr>
          <c:marker>
            <c:symbol val="diamond"/>
            <c:size val="4"/>
            <c:spPr>
              <a:solidFill>
                <a:schemeClr val="accent2">
                  <a:lumMod val="60000"/>
                </a:schemeClr>
              </a:solidFill>
              <a:ln w="9525">
                <a:noFill/>
              </a:ln>
              <a:effectLst/>
            </c:spPr>
          </c:marker>
          <c:cat>
            <c:numRef>
              <c:f>Planilha1!$A$14:$A$27</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Planilha1!$AE$14:$AE$27</c:f>
              <c:numCache>
                <c:formatCode>_(* #,##0.00_);_(* \(#,##0.00\);_(* "-"??_);_(@_)</c:formatCode>
                <c:ptCount val="14"/>
                <c:pt idx="0">
                  <c:v>38.973167140620099</c:v>
                </c:pt>
                <c:pt idx="1">
                  <c:v>36.037715088070229</c:v>
                </c:pt>
                <c:pt idx="2">
                  <c:v>36.741848376043961</c:v>
                </c:pt>
                <c:pt idx="3">
                  <c:v>33.850114207852116</c:v>
                </c:pt>
                <c:pt idx="4">
                  <c:v>33.278550006185334</c:v>
                </c:pt>
                <c:pt idx="5">
                  <c:v>32.497946846002343</c:v>
                </c:pt>
                <c:pt idx="6">
                  <c:v>31.007996571617547</c:v>
                </c:pt>
                <c:pt idx="7">
                  <c:v>32.334397883827648</c:v>
                </c:pt>
                <c:pt idx="8">
                  <c:v>33.243554999931959</c:v>
                </c:pt>
                <c:pt idx="9">
                  <c:v>31.06964438451935</c:v>
                </c:pt>
                <c:pt idx="10">
                  <c:v>24.508951997643912</c:v>
                </c:pt>
                <c:pt idx="11">
                  <c:v>25.940521188640016</c:v>
                </c:pt>
                <c:pt idx="12">
                  <c:v>24.443227930911682</c:v>
                </c:pt>
                <c:pt idx="13">
                  <c:v>26.761474510058857</c:v>
                </c:pt>
              </c:numCache>
            </c:numRef>
          </c:val>
          <c:smooth val="0"/>
          <c:extLst>
            <c:ext xmlns:c16="http://schemas.microsoft.com/office/drawing/2014/chart" uri="{C3380CC4-5D6E-409C-BE32-E72D297353CC}">
              <c16:uniqueId val="{00000001-ECF4-4C7C-9CAB-D4E51812731D}"/>
            </c:ext>
          </c:extLst>
        </c:ser>
        <c:ser>
          <c:idx val="4"/>
          <c:order val="1"/>
          <c:tx>
            <c:strRef>
              <c:f>Planilha1!$AH$1</c:f>
              <c:strCache>
                <c:ptCount val="1"/>
                <c:pt idx="0">
                  <c:v>% NE</c:v>
                </c:pt>
              </c:strCache>
            </c:strRef>
          </c:tx>
          <c:spPr>
            <a:ln w="19050" cap="rnd">
              <a:solidFill>
                <a:schemeClr val="accent1"/>
              </a:solidFill>
              <a:round/>
            </a:ln>
            <a:effectLst/>
          </c:spPr>
          <c:marker>
            <c:symbol val="x"/>
            <c:size val="5"/>
            <c:spPr>
              <a:noFill/>
              <a:ln w="12700">
                <a:solidFill>
                  <a:schemeClr val="accent1"/>
                </a:solidFill>
              </a:ln>
              <a:effectLst/>
            </c:spPr>
          </c:marker>
          <c:cat>
            <c:numRef>
              <c:f>Planilha1!$A$14:$A$27</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Planilha1!$AI$14:$AI$27</c:f>
              <c:numCache>
                <c:formatCode>_(* #,##0.00_);_(* \(#,##0.00\);_(* "-"??_);_(@_)</c:formatCode>
                <c:ptCount val="14"/>
                <c:pt idx="0">
                  <c:v>11.536499319296169</c:v>
                </c:pt>
                <c:pt idx="1">
                  <c:v>11.286565431836944</c:v>
                </c:pt>
                <c:pt idx="2">
                  <c:v>10.192043945678181</c:v>
                </c:pt>
                <c:pt idx="3">
                  <c:v>13.208494426266432</c:v>
                </c:pt>
                <c:pt idx="4">
                  <c:v>14.517996752302464</c:v>
                </c:pt>
                <c:pt idx="5">
                  <c:v>15.75753318811682</c:v>
                </c:pt>
                <c:pt idx="6">
                  <c:v>17.180263639789096</c:v>
                </c:pt>
                <c:pt idx="7">
                  <c:v>20.878428057495089</c:v>
                </c:pt>
                <c:pt idx="8">
                  <c:v>19.29134226337586</c:v>
                </c:pt>
                <c:pt idx="9">
                  <c:v>18.976320131141417</c:v>
                </c:pt>
                <c:pt idx="10">
                  <c:v>22.66828957456293</c:v>
                </c:pt>
                <c:pt idx="11">
                  <c:v>23.961062302739222</c:v>
                </c:pt>
                <c:pt idx="12">
                  <c:v>24.550877594483776</c:v>
                </c:pt>
                <c:pt idx="13">
                  <c:v>21.509912820664386</c:v>
                </c:pt>
              </c:numCache>
            </c:numRef>
          </c:val>
          <c:smooth val="0"/>
          <c:extLst>
            <c:ext xmlns:c16="http://schemas.microsoft.com/office/drawing/2014/chart" uri="{C3380CC4-5D6E-409C-BE32-E72D297353CC}">
              <c16:uniqueId val="{00000002-ECF4-4C7C-9CAB-D4E51812731D}"/>
            </c:ext>
          </c:extLst>
        </c:ser>
        <c:ser>
          <c:idx val="0"/>
          <c:order val="2"/>
          <c:tx>
            <c:strRef>
              <c:f>Planilha1!$C$1</c:f>
              <c:strCache>
                <c:ptCount val="1"/>
                <c:pt idx="0">
                  <c:v>% SE</c:v>
                </c:pt>
              </c:strCache>
            </c:strRef>
          </c:tx>
          <c:spPr>
            <a:ln w="19050" cap="rnd">
              <a:solidFill>
                <a:schemeClr val="accent2"/>
              </a:solidFill>
              <a:round/>
            </a:ln>
            <a:effectLst/>
          </c:spPr>
          <c:marker>
            <c:symbol val="square"/>
            <c:size val="4"/>
            <c:spPr>
              <a:solidFill>
                <a:schemeClr val="accent2"/>
              </a:solidFill>
              <a:ln w="9525">
                <a:noFill/>
              </a:ln>
              <a:effectLst/>
            </c:spPr>
          </c:marker>
          <c:cat>
            <c:numRef>
              <c:f>Planilha1!$A$14:$A$27</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Planilha1!$C$14:$C$27</c:f>
              <c:numCache>
                <c:formatCode>_(* #,##0.00_);_(* \(#,##0.00\);_(* "-"??_);_(@_)</c:formatCode>
                <c:ptCount val="14"/>
                <c:pt idx="0">
                  <c:v>11.933873490866482</c:v>
                </c:pt>
                <c:pt idx="1">
                  <c:v>12.399932658841911</c:v>
                </c:pt>
                <c:pt idx="2">
                  <c:v>11.802863473210062</c:v>
                </c:pt>
                <c:pt idx="3">
                  <c:v>14.906467275320626</c:v>
                </c:pt>
                <c:pt idx="4">
                  <c:v>17.482261317477484</c:v>
                </c:pt>
                <c:pt idx="5">
                  <c:v>19.742967809257596</c:v>
                </c:pt>
                <c:pt idx="6">
                  <c:v>19.127987224604258</c:v>
                </c:pt>
                <c:pt idx="7">
                  <c:v>22.979595665553116</c:v>
                </c:pt>
                <c:pt idx="8">
                  <c:v>23.331658650892511</c:v>
                </c:pt>
                <c:pt idx="9">
                  <c:v>24.982541252242875</c:v>
                </c:pt>
                <c:pt idx="10">
                  <c:v>28.113146707649072</c:v>
                </c:pt>
                <c:pt idx="11">
                  <c:v>24.734976937778882</c:v>
                </c:pt>
                <c:pt idx="12">
                  <c:v>24.780478125072186</c:v>
                </c:pt>
                <c:pt idx="13">
                  <c:v>24.04704996252077</c:v>
                </c:pt>
              </c:numCache>
            </c:numRef>
          </c:val>
          <c:smooth val="0"/>
          <c:extLst>
            <c:ext xmlns:c16="http://schemas.microsoft.com/office/drawing/2014/chart" uri="{C3380CC4-5D6E-409C-BE32-E72D297353CC}">
              <c16:uniqueId val="{00000003-ECF4-4C7C-9CAB-D4E51812731D}"/>
            </c:ext>
          </c:extLst>
        </c:ser>
        <c:ser>
          <c:idx val="1"/>
          <c:order val="3"/>
          <c:tx>
            <c:strRef>
              <c:f>Planilha1!$V$1</c:f>
              <c:strCache>
                <c:ptCount val="1"/>
                <c:pt idx="0">
                  <c:v>% S</c:v>
                </c:pt>
              </c:strCache>
            </c:strRef>
          </c:tx>
          <c:spPr>
            <a:ln w="19050" cap="rnd">
              <a:solidFill>
                <a:schemeClr val="accent4"/>
              </a:solidFill>
              <a:round/>
            </a:ln>
            <a:effectLst/>
          </c:spPr>
          <c:marker>
            <c:symbol val="circle"/>
            <c:size val="4"/>
            <c:spPr>
              <a:solidFill>
                <a:schemeClr val="accent4"/>
              </a:solidFill>
              <a:ln w="9525">
                <a:noFill/>
              </a:ln>
              <a:effectLst/>
            </c:spPr>
          </c:marker>
          <c:cat>
            <c:numRef>
              <c:f>Planilha1!$A$14:$A$27</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Planilha1!$W$14:$W$27</c:f>
              <c:numCache>
                <c:formatCode>_(* #,##0.00_);_(* \(#,##0.00\);_(* "-"??_);_(@_)</c:formatCode>
                <c:ptCount val="14"/>
                <c:pt idx="0">
                  <c:v>6.3438482960811946</c:v>
                </c:pt>
                <c:pt idx="1">
                  <c:v>7.8330694341246314</c:v>
                </c:pt>
                <c:pt idx="2">
                  <c:v>7.4516943866827789</c:v>
                </c:pt>
                <c:pt idx="3">
                  <c:v>9.1897879524978663</c:v>
                </c:pt>
                <c:pt idx="4">
                  <c:v>10.738027824131882</c:v>
                </c:pt>
                <c:pt idx="5">
                  <c:v>11.760363038810491</c:v>
                </c:pt>
                <c:pt idx="6">
                  <c:v>11.493227580792324</c:v>
                </c:pt>
                <c:pt idx="7">
                  <c:v>9.9275557116951028</c:v>
                </c:pt>
                <c:pt idx="8">
                  <c:v>10.937403391901091</c:v>
                </c:pt>
                <c:pt idx="9">
                  <c:v>9.76525279843354</c:v>
                </c:pt>
                <c:pt idx="10">
                  <c:v>10.438809113032972</c:v>
                </c:pt>
                <c:pt idx="11">
                  <c:v>10.182450151277454</c:v>
                </c:pt>
                <c:pt idx="12">
                  <c:v>10.228053919404971</c:v>
                </c:pt>
                <c:pt idx="13">
                  <c:v>10.036866924444963</c:v>
                </c:pt>
              </c:numCache>
            </c:numRef>
          </c:val>
          <c:smooth val="0"/>
          <c:extLst>
            <c:ext xmlns:c16="http://schemas.microsoft.com/office/drawing/2014/chart" uri="{C3380CC4-5D6E-409C-BE32-E72D297353CC}">
              <c16:uniqueId val="{00000004-ECF4-4C7C-9CAB-D4E51812731D}"/>
            </c:ext>
          </c:extLst>
        </c:ser>
        <c:ser>
          <c:idx val="2"/>
          <c:order val="4"/>
          <c:tx>
            <c:strRef>
              <c:f>Planilha1!$AA$1</c:f>
              <c:strCache>
                <c:ptCount val="1"/>
                <c:pt idx="0">
                  <c:v>% CO</c:v>
                </c:pt>
              </c:strCache>
            </c:strRef>
          </c:tx>
          <c:spPr>
            <a:ln w="19050" cap="rnd">
              <a:solidFill>
                <a:schemeClr val="accent6">
                  <a:lumMod val="75000"/>
                </a:schemeClr>
              </a:solidFill>
              <a:prstDash val="solid"/>
              <a:round/>
            </a:ln>
            <a:effectLst/>
          </c:spPr>
          <c:marker>
            <c:symbol val="triangle"/>
            <c:size val="4"/>
            <c:spPr>
              <a:solidFill>
                <a:schemeClr val="accent6">
                  <a:lumMod val="75000"/>
                </a:schemeClr>
              </a:solidFill>
              <a:ln w="9525">
                <a:noFill/>
              </a:ln>
              <a:effectLst/>
            </c:spPr>
          </c:marker>
          <c:cat>
            <c:numRef>
              <c:f>Planilha1!$A$14:$A$27</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Planilha1!$AA$14:$AA$27</c:f>
              <c:numCache>
                <c:formatCode>_(* #,##0.00_);_(* \(#,##0.00\);_(* "-"??_);_(@_)</c:formatCode>
                <c:ptCount val="14"/>
                <c:pt idx="0">
                  <c:v>31.212611753136059</c:v>
                </c:pt>
                <c:pt idx="1">
                  <c:v>32.44271738712628</c:v>
                </c:pt>
                <c:pt idx="2">
                  <c:v>33.811549818385025</c:v>
                </c:pt>
                <c:pt idx="3">
                  <c:v>28.845136138062966</c:v>
                </c:pt>
                <c:pt idx="4">
                  <c:v>23.983164099902844</c:v>
                </c:pt>
                <c:pt idx="5">
                  <c:v>20.241189117812763</c:v>
                </c:pt>
                <c:pt idx="6">
                  <c:v>21.190524983196767</c:v>
                </c:pt>
                <c:pt idx="7">
                  <c:v>13.880022681429047</c:v>
                </c:pt>
                <c:pt idx="8">
                  <c:v>13.196040693898592</c:v>
                </c:pt>
                <c:pt idx="9">
                  <c:v>15.206241433662809</c:v>
                </c:pt>
                <c:pt idx="10">
                  <c:v>14.270802607111113</c:v>
                </c:pt>
                <c:pt idx="11">
                  <c:v>15.180989419564419</c:v>
                </c:pt>
                <c:pt idx="12">
                  <c:v>15.997362430127382</c:v>
                </c:pt>
                <c:pt idx="13">
                  <c:v>17.644695782311022</c:v>
                </c:pt>
              </c:numCache>
            </c:numRef>
          </c:val>
          <c:smooth val="0"/>
          <c:extLst>
            <c:ext xmlns:c16="http://schemas.microsoft.com/office/drawing/2014/chart" uri="{C3380CC4-5D6E-409C-BE32-E72D297353CC}">
              <c16:uniqueId val="{00000005-ECF4-4C7C-9CAB-D4E51812731D}"/>
            </c:ext>
          </c:extLst>
        </c:ser>
        <c:dLbls>
          <c:showLegendKey val="0"/>
          <c:showVal val="0"/>
          <c:showCatName val="0"/>
          <c:showSerName val="0"/>
          <c:showPercent val="0"/>
          <c:showBubbleSize val="0"/>
        </c:dLbls>
        <c:marker val="1"/>
        <c:smooth val="0"/>
        <c:axId val="-1218798832"/>
        <c:axId val="-1218800464"/>
      </c:lineChart>
      <c:dateAx>
        <c:axId val="-1218802096"/>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218801008"/>
        <c:crosses val="autoZero"/>
        <c:auto val="0"/>
        <c:lblOffset val="100"/>
        <c:baseTimeUnit val="days"/>
      </c:dateAx>
      <c:valAx>
        <c:axId val="-12188010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low"/>
        <c:spPr>
          <a:noFill/>
          <a:ln>
            <a:noFill/>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218802096"/>
        <c:crosses val="autoZero"/>
        <c:crossBetween val="between"/>
        <c:dispUnits>
          <c:builtInUnit val="billions"/>
          <c:dispUnitsLbl>
            <c:layout>
              <c:manualLayout>
                <c:xMode val="edge"/>
                <c:yMode val="edge"/>
                <c:x val="0"/>
                <c:y val="6.6598374232347171E-2"/>
              </c:manualLayout>
            </c:layout>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t-BR"/>
                    <a:t>10</a:t>
                  </a:r>
                  <a:r>
                    <a:rPr lang="pt-BR" baseline="30000"/>
                    <a:t>6</a:t>
                  </a:r>
                  <a:r>
                    <a:rPr lang="pt-BR"/>
                    <a:t> Toneladas</a:t>
                  </a:r>
                </a:p>
              </c:rich>
            </c:tx>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dispUnitsLbl>
        </c:dispUnits>
      </c:valAx>
      <c:valAx>
        <c:axId val="-1218800464"/>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218798832"/>
        <c:crosses val="max"/>
        <c:crossBetween val="between"/>
      </c:valAx>
      <c:catAx>
        <c:axId val="-1218798832"/>
        <c:scaling>
          <c:orientation val="minMax"/>
        </c:scaling>
        <c:delete val="1"/>
        <c:axPos val="b"/>
        <c:numFmt formatCode="General" sourceLinked="1"/>
        <c:majorTickMark val="out"/>
        <c:minorTickMark val="none"/>
        <c:tickLblPos val="nextTo"/>
        <c:crossAx val="-1218800464"/>
        <c:crosses val="autoZero"/>
        <c:auto val="1"/>
        <c:lblAlgn val="ctr"/>
        <c:lblOffset val="100"/>
        <c:noMultiLvlLbl val="0"/>
      </c:catAx>
      <c:spPr>
        <a:noFill/>
        <a:ln>
          <a:noFill/>
        </a:ln>
        <a:effectLst/>
      </c:spPr>
    </c:plotArea>
    <c:legend>
      <c:legendPos val="b"/>
      <c:layout>
        <c:manualLayout>
          <c:xMode val="edge"/>
          <c:yMode val="edge"/>
          <c:x val="3.095172742214447E-2"/>
          <c:y val="0.81151498841035163"/>
          <c:w val="0.93809621445366365"/>
          <c:h val="0.155408936617211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6350" cap="flat" cmpd="sng" algn="ctr">
      <a:solidFill>
        <a:schemeClr val="tx1"/>
      </a:solidFill>
      <a:round/>
    </a:ln>
    <a:effectLst/>
  </c:spPr>
  <c:txPr>
    <a:bodyPr/>
    <a:lstStyle/>
    <a:p>
      <a:pPr>
        <a:defRPr sz="900">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55212828044125"/>
          <c:y val="0.10703600613250376"/>
          <c:w val="0.50118304724965135"/>
          <c:h val="0.62644196820296028"/>
        </c:manualLayout>
      </c:layout>
      <c:radarChart>
        <c:radarStyle val="marker"/>
        <c:varyColors val="0"/>
        <c:ser>
          <c:idx val="2"/>
          <c:order val="0"/>
          <c:tx>
            <c:v>Emissões SE</c:v>
          </c:tx>
          <c:spPr>
            <a:ln>
              <a:solidFill>
                <a:schemeClr val="accent4"/>
              </a:solidFill>
              <a:prstDash val="dash"/>
            </a:ln>
          </c:spPr>
          <c:marker>
            <c:symbol val="none"/>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emissões'!$C$16:$C$29</c:f>
              <c:numCache>
                <c:formatCode>0</c:formatCode>
                <c:ptCount val="14"/>
                <c:pt idx="0">
                  <c:v>100</c:v>
                </c:pt>
                <c:pt idx="1">
                  <c:v>139.55833061040443</c:v>
                </c:pt>
                <c:pt idx="2">
                  <c:v>135.87531849978782</c:v>
                </c:pt>
                <c:pt idx="3">
                  <c:v>140.39425558884727</c:v>
                </c:pt>
                <c:pt idx="4">
                  <c:v>135.87736226412002</c:v>
                </c:pt>
                <c:pt idx="5">
                  <c:v>141.59268191085727</c:v>
                </c:pt>
                <c:pt idx="6">
                  <c:v>158.38908750323364</c:v>
                </c:pt>
                <c:pt idx="7">
                  <c:v>129.34917617347571</c:v>
                </c:pt>
                <c:pt idx="8">
                  <c:v>123.13838677061383</c:v>
                </c:pt>
                <c:pt idx="9">
                  <c:v>125.37535631001721</c:v>
                </c:pt>
                <c:pt idx="10">
                  <c:v>141.8581399370585</c:v>
                </c:pt>
                <c:pt idx="11">
                  <c:v>157.97847172268155</c:v>
                </c:pt>
                <c:pt idx="12">
                  <c:v>154.41920821299485</c:v>
                </c:pt>
                <c:pt idx="13">
                  <c:v>144.25348617172989</c:v>
                </c:pt>
              </c:numCache>
            </c:numRef>
          </c:val>
          <c:extLst>
            <c:ext xmlns:c16="http://schemas.microsoft.com/office/drawing/2014/chart" uri="{C3380CC4-5D6E-409C-BE32-E72D297353CC}">
              <c16:uniqueId val="{00000000-6593-423A-91F6-1D3F01CD4D4D}"/>
            </c:ext>
          </c:extLst>
        </c:ser>
        <c:ser>
          <c:idx val="3"/>
          <c:order val="1"/>
          <c:tx>
            <c:v>Intensidade SE</c:v>
          </c:tx>
          <c:spPr>
            <a:ln>
              <a:solidFill>
                <a:schemeClr val="accent4"/>
              </a:solidFill>
            </a:ln>
          </c:spPr>
          <c:marker>
            <c:symbol val="none"/>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emissões'!$E$16:$E$29</c:f>
              <c:numCache>
                <c:formatCode>0</c:formatCode>
                <c:ptCount val="14"/>
                <c:pt idx="0">
                  <c:v>100</c:v>
                </c:pt>
                <c:pt idx="1">
                  <c:v>155.26470582560438</c:v>
                </c:pt>
                <c:pt idx="2">
                  <c:v>140.79147130373272</c:v>
                </c:pt>
                <c:pt idx="3">
                  <c:v>139.87446460075208</c:v>
                </c:pt>
                <c:pt idx="4">
                  <c:v>127.01394444515434</c:v>
                </c:pt>
                <c:pt idx="5">
                  <c:v>122.01903215725713</c:v>
                </c:pt>
                <c:pt idx="6">
                  <c:v>134.3516881032655</c:v>
                </c:pt>
                <c:pt idx="7">
                  <c:v>109.24692349259453</c:v>
                </c:pt>
                <c:pt idx="8">
                  <c:v>88.409680653097794</c:v>
                </c:pt>
                <c:pt idx="9">
                  <c:v>83.268301057548385</c:v>
                </c:pt>
                <c:pt idx="10">
                  <c:v>99.293914490730359</c:v>
                </c:pt>
                <c:pt idx="11">
                  <c:v>113.72736957176618</c:v>
                </c:pt>
                <c:pt idx="12">
                  <c:v>109.893258812228</c:v>
                </c:pt>
                <c:pt idx="13">
                  <c:v>105.93036272354803</c:v>
                </c:pt>
              </c:numCache>
            </c:numRef>
          </c:val>
          <c:extLst>
            <c:ext xmlns:c16="http://schemas.microsoft.com/office/drawing/2014/chart" uri="{C3380CC4-5D6E-409C-BE32-E72D297353CC}">
              <c16:uniqueId val="{00000001-6593-423A-91F6-1D3F01CD4D4D}"/>
            </c:ext>
          </c:extLst>
        </c:ser>
        <c:ser>
          <c:idx val="8"/>
          <c:order val="6"/>
          <c:tx>
            <c:v>Emissões RJ</c:v>
          </c:tx>
          <c:spPr>
            <a:ln>
              <a:solidFill>
                <a:schemeClr val="accent2"/>
              </a:solidFill>
              <a:prstDash val="dash"/>
            </a:ln>
            <a:effectLst/>
          </c:spPr>
          <c:marker>
            <c:symbol val="none"/>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extLst xmlns:c15="http://schemas.microsoft.com/office/drawing/2012/chart"/>
            </c:numRef>
          </c:cat>
          <c:val>
            <c:numRef>
              <c:f>'GTP PIB x emissões'!$P$16:$P$29</c:f>
              <c:numCache>
                <c:formatCode>0</c:formatCode>
                <c:ptCount val="14"/>
                <c:pt idx="0">
                  <c:v>100</c:v>
                </c:pt>
                <c:pt idx="1">
                  <c:v>114.31933286128799</c:v>
                </c:pt>
                <c:pt idx="2">
                  <c:v>116.58467964649931</c:v>
                </c:pt>
                <c:pt idx="3">
                  <c:v>123.46581299208597</c:v>
                </c:pt>
                <c:pt idx="4">
                  <c:v>121.19988935402171</c:v>
                </c:pt>
                <c:pt idx="5">
                  <c:v>137.17360671468288</c:v>
                </c:pt>
                <c:pt idx="6">
                  <c:v>165.69520568184834</c:v>
                </c:pt>
                <c:pt idx="7">
                  <c:v>140.58269322194653</c:v>
                </c:pt>
                <c:pt idx="8">
                  <c:v>158.70289961406135</c:v>
                </c:pt>
                <c:pt idx="9">
                  <c:v>160.61565787771389</c:v>
                </c:pt>
                <c:pt idx="10">
                  <c:v>176.81937016244481</c:v>
                </c:pt>
                <c:pt idx="11">
                  <c:v>191.68719332287947</c:v>
                </c:pt>
                <c:pt idx="12">
                  <c:v>186.48785265346947</c:v>
                </c:pt>
                <c:pt idx="13">
                  <c:v>185.29226818608771</c:v>
                </c:pt>
              </c:numCache>
              <c:extLst xmlns:c15="http://schemas.microsoft.com/office/drawing/2012/chart"/>
            </c:numRef>
          </c:val>
          <c:extLst xmlns:c15="http://schemas.microsoft.com/office/drawing/2012/chart">
            <c:ext xmlns:c16="http://schemas.microsoft.com/office/drawing/2014/chart" uri="{C3380CC4-5D6E-409C-BE32-E72D297353CC}">
              <c16:uniqueId val="{00000002-6593-423A-91F6-1D3F01CD4D4D}"/>
            </c:ext>
          </c:extLst>
        </c:ser>
        <c:ser>
          <c:idx val="9"/>
          <c:order val="7"/>
          <c:tx>
            <c:v>Intensidade RJ</c:v>
          </c:tx>
          <c:spPr>
            <a:ln>
              <a:solidFill>
                <a:schemeClr val="accent2"/>
              </a:solidFill>
            </a:ln>
            <a:effectLst/>
          </c:spPr>
          <c:marker>
            <c:symbol val="none"/>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extLst xmlns:c15="http://schemas.microsoft.com/office/drawing/2012/chart"/>
            </c:numRef>
          </c:cat>
          <c:val>
            <c:numRef>
              <c:f>'GTP PIB x emissões'!$R$16:$R$29</c:f>
              <c:numCache>
                <c:formatCode>0</c:formatCode>
                <c:ptCount val="14"/>
                <c:pt idx="0">
                  <c:v>100</c:v>
                </c:pt>
                <c:pt idx="1">
                  <c:v>118.63015162640909</c:v>
                </c:pt>
                <c:pt idx="2">
                  <c:v>109.51658309212407</c:v>
                </c:pt>
                <c:pt idx="3">
                  <c:v>111.38207975283159</c:v>
                </c:pt>
                <c:pt idx="4">
                  <c:v>105.09592612425354</c:v>
                </c:pt>
                <c:pt idx="5">
                  <c:v>117.2349077831706</c:v>
                </c:pt>
                <c:pt idx="6">
                  <c:v>131.81333691631536</c:v>
                </c:pt>
                <c:pt idx="7">
                  <c:v>115.91952418505541</c:v>
                </c:pt>
                <c:pt idx="8">
                  <c:v>123.52536876524299</c:v>
                </c:pt>
                <c:pt idx="9">
                  <c:v>118.80007608713474</c:v>
                </c:pt>
                <c:pt idx="10">
                  <c:v>125.91967943266596</c:v>
                </c:pt>
                <c:pt idx="11">
                  <c:v>134.2915986264359</c:v>
                </c:pt>
                <c:pt idx="12">
                  <c:v>131.90362932529575</c:v>
                </c:pt>
                <c:pt idx="13">
                  <c:v>143.52775230952938</c:v>
                </c:pt>
              </c:numCache>
              <c:extLst xmlns:c15="http://schemas.microsoft.com/office/drawing/2012/chart"/>
            </c:numRef>
          </c:val>
          <c:extLst xmlns:c15="http://schemas.microsoft.com/office/drawing/2012/chart">
            <c:ext xmlns:c16="http://schemas.microsoft.com/office/drawing/2014/chart" uri="{C3380CC4-5D6E-409C-BE32-E72D297353CC}">
              <c16:uniqueId val="{00000003-6593-423A-91F6-1D3F01CD4D4D}"/>
            </c:ext>
          </c:extLst>
        </c:ser>
        <c:ser>
          <c:idx val="0"/>
          <c:order val="8"/>
          <c:tx>
            <c:v>Emissões SP</c:v>
          </c:tx>
          <c:spPr>
            <a:ln>
              <a:solidFill>
                <a:schemeClr val="accent6">
                  <a:lumMod val="75000"/>
                </a:schemeClr>
              </a:solidFill>
              <a:prstDash val="dash"/>
            </a:ln>
            <a:effectLst/>
          </c:spPr>
          <c:marker>
            <c:symbol val="none"/>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extLst xmlns:c15="http://schemas.microsoft.com/office/drawing/2012/chart"/>
            </c:numRef>
          </c:cat>
          <c:val>
            <c:numRef>
              <c:f>'GTP PIB x emissões'!$T$16:$T$29</c:f>
              <c:numCache>
                <c:formatCode>0</c:formatCode>
                <c:ptCount val="14"/>
                <c:pt idx="0">
                  <c:v>100</c:v>
                </c:pt>
                <c:pt idx="1">
                  <c:v>109.24577985281927</c:v>
                </c:pt>
                <c:pt idx="2">
                  <c:v>109.72359825010763</c:v>
                </c:pt>
                <c:pt idx="3">
                  <c:v>108.80314162206328</c:v>
                </c:pt>
                <c:pt idx="4">
                  <c:v>110.82475629295006</c:v>
                </c:pt>
                <c:pt idx="5">
                  <c:v>118.77927195732904</c:v>
                </c:pt>
                <c:pt idx="6">
                  <c:v>120.72788245969917</c:v>
                </c:pt>
                <c:pt idx="7">
                  <c:v>106.3007265864244</c:v>
                </c:pt>
                <c:pt idx="8">
                  <c:v>115.76007682058726</c:v>
                </c:pt>
                <c:pt idx="9">
                  <c:v>125.53924769155141</c:v>
                </c:pt>
                <c:pt idx="10">
                  <c:v>127.87330450062122</c:v>
                </c:pt>
                <c:pt idx="11">
                  <c:v>127.71880302098209</c:v>
                </c:pt>
                <c:pt idx="12">
                  <c:v>126.40271346590821</c:v>
                </c:pt>
                <c:pt idx="13">
                  <c:v>119.37080915482814</c:v>
                </c:pt>
              </c:numCache>
              <c:extLst xmlns:c15="http://schemas.microsoft.com/office/drawing/2012/chart"/>
            </c:numRef>
          </c:val>
          <c:extLst xmlns:c15="http://schemas.microsoft.com/office/drawing/2012/chart">
            <c:ext xmlns:c16="http://schemas.microsoft.com/office/drawing/2014/chart" uri="{C3380CC4-5D6E-409C-BE32-E72D297353CC}">
              <c16:uniqueId val="{00000004-6593-423A-91F6-1D3F01CD4D4D}"/>
            </c:ext>
          </c:extLst>
        </c:ser>
        <c:ser>
          <c:idx val="1"/>
          <c:order val="9"/>
          <c:tx>
            <c:v>Intensidade SP</c:v>
          </c:tx>
          <c:spPr>
            <a:ln>
              <a:solidFill>
                <a:schemeClr val="accent6">
                  <a:lumMod val="75000"/>
                </a:schemeClr>
              </a:solidFill>
            </a:ln>
            <a:effectLst/>
          </c:spPr>
          <c:marker>
            <c:symbol val="none"/>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extLst xmlns:c15="http://schemas.microsoft.com/office/drawing/2012/chart"/>
            </c:numRef>
          </c:cat>
          <c:val>
            <c:numRef>
              <c:f>'GTP PIB x emissões'!$V$16:$V$29</c:f>
              <c:numCache>
                <c:formatCode>0</c:formatCode>
                <c:ptCount val="14"/>
                <c:pt idx="0">
                  <c:v>100</c:v>
                </c:pt>
                <c:pt idx="1">
                  <c:v>109.34558665249516</c:v>
                </c:pt>
                <c:pt idx="2">
                  <c:v>107.19123438338538</c:v>
                </c:pt>
                <c:pt idx="3">
                  <c:v>100.34625363815543</c:v>
                </c:pt>
                <c:pt idx="4">
                  <c:v>98.349272601713523</c:v>
                </c:pt>
                <c:pt idx="5">
                  <c:v>98.870581400898331</c:v>
                </c:pt>
                <c:pt idx="6">
                  <c:v>98.109683227061169</c:v>
                </c:pt>
                <c:pt idx="7">
                  <c:v>85.746204339572586</c:v>
                </c:pt>
                <c:pt idx="8">
                  <c:v>88.135847400061763</c:v>
                </c:pt>
                <c:pt idx="9">
                  <c:v>93.300975221009296</c:v>
                </c:pt>
                <c:pt idx="10">
                  <c:v>94.533158046129486</c:v>
                </c:pt>
                <c:pt idx="11">
                  <c:v>92.260741458422132</c:v>
                </c:pt>
                <c:pt idx="12">
                  <c:v>90.898824395621233</c:v>
                </c:pt>
                <c:pt idx="13">
                  <c:v>88.448434296088905</c:v>
                </c:pt>
              </c:numCache>
              <c:extLst xmlns:c15="http://schemas.microsoft.com/office/drawing/2012/chart"/>
            </c:numRef>
          </c:val>
          <c:extLst xmlns:c15="http://schemas.microsoft.com/office/drawing/2012/chart">
            <c:ext xmlns:c16="http://schemas.microsoft.com/office/drawing/2014/chart" uri="{C3380CC4-5D6E-409C-BE32-E72D297353CC}">
              <c16:uniqueId val="{00000005-6593-423A-91F6-1D3F01CD4D4D}"/>
            </c:ext>
          </c:extLst>
        </c:ser>
        <c:dLbls>
          <c:showLegendKey val="0"/>
          <c:showVal val="0"/>
          <c:showCatName val="0"/>
          <c:showSerName val="0"/>
          <c:showPercent val="0"/>
          <c:showBubbleSize val="0"/>
        </c:dLbls>
        <c:axId val="-1323575168"/>
        <c:axId val="-1323574624"/>
        <c:extLst>
          <c:ext xmlns:c15="http://schemas.microsoft.com/office/drawing/2012/chart" uri="{02D57815-91ED-43cb-92C2-25804820EDAC}">
            <c15:filteredRadarSeries>
              <c15:ser>
                <c:idx val="4"/>
                <c:order val="2"/>
                <c:tx>
                  <c:v>GTP MG</c:v>
                </c:tx>
                <c:spPr>
                  <a:ln>
                    <a:solidFill>
                      <a:schemeClr val="accent1"/>
                    </a:solidFill>
                    <a:prstDash val="dash"/>
                  </a:ln>
                  <a:effectLst/>
                </c:spPr>
                <c:marker>
                  <c:symbol val="none"/>
                </c:marker>
                <c:cat>
                  <c:numRef>
                    <c:extLst>
                      <c:ext uri="{02D57815-91ED-43cb-92C2-25804820EDAC}">
                        <c15:formulaRef>
                          <c15:sqref>'GTP PIB x emissões'!$A$16:$A$29</c15:sqref>
                        </c15:formulaRef>
                      </c:ext>
                    </c:extLst>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extLst>
                      <c:ext uri="{02D57815-91ED-43cb-92C2-25804820EDAC}">
                        <c15:formulaRef>
                          <c15:sqref>'GTP PIB x emissões'!$H$16:$H$29</c15:sqref>
                        </c15:formulaRef>
                      </c:ext>
                    </c:extLst>
                    <c:numCache>
                      <c:formatCode>0</c:formatCode>
                      <c:ptCount val="14"/>
                      <c:pt idx="0">
                        <c:v>100</c:v>
                      </c:pt>
                      <c:pt idx="1">
                        <c:v>154.48606437875148</c:v>
                      </c:pt>
                      <c:pt idx="2">
                        <c:v>148.23386381365003</c:v>
                      </c:pt>
                      <c:pt idx="3">
                        <c:v>154.7461044547959</c:v>
                      </c:pt>
                      <c:pt idx="4">
                        <c:v>146.58807892016299</c:v>
                      </c:pt>
                      <c:pt idx="5">
                        <c:v>148.47825634466935</c:v>
                      </c:pt>
                      <c:pt idx="6">
                        <c:v>170.62754539324808</c:v>
                      </c:pt>
                      <c:pt idx="7">
                        <c:v>136.87238931160167</c:v>
                      </c:pt>
                      <c:pt idx="8">
                        <c:v>118.80696966761315</c:v>
                      </c:pt>
                      <c:pt idx="9">
                        <c:v>116.3089361878625</c:v>
                      </c:pt>
                      <c:pt idx="10">
                        <c:v>140.91537796485733</c:v>
                      </c:pt>
                      <c:pt idx="11">
                        <c:v>164.38645545850119</c:v>
                      </c:pt>
                      <c:pt idx="12">
                        <c:v>158.57317691491804</c:v>
                      </c:pt>
                      <c:pt idx="13">
                        <c:v>144.96889030909617</c:v>
                      </c:pt>
                    </c:numCache>
                  </c:numRef>
                </c:val>
                <c:extLst>
                  <c:ext xmlns:c16="http://schemas.microsoft.com/office/drawing/2014/chart" uri="{C3380CC4-5D6E-409C-BE32-E72D297353CC}">
                    <c16:uniqueId val="{00000006-6593-423A-91F6-1D3F01CD4D4D}"/>
                  </c:ext>
                </c:extLst>
              </c15:ser>
            </c15:filteredRadarSeries>
            <c15:filteredRadarSeries>
              <c15:ser>
                <c:idx val="5"/>
                <c:order val="3"/>
                <c:tx>
                  <c:v>GTP/PIB MG</c:v>
                </c:tx>
                <c:spPr>
                  <a:ln>
                    <a:solidFill>
                      <a:schemeClr val="accent1"/>
                    </a:solidFill>
                  </a:ln>
                  <a:effectLst/>
                </c:spPr>
                <c:marker>
                  <c:symbol val="none"/>
                </c:marker>
                <c:cat>
                  <c:numRef>
                    <c:extLst xmlns:c15="http://schemas.microsoft.com/office/drawing/2012/chart">
                      <c:ext xmlns:c15="http://schemas.microsoft.com/office/drawing/2012/chart" uri="{02D57815-91ED-43cb-92C2-25804820EDAC}">
                        <c15:formulaRef>
                          <c15:sqref>'GTP PIB x emissões'!$A$16:$A$29</c15:sqref>
                        </c15:formulaRef>
                      </c:ext>
                    </c:extLst>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extLst xmlns:c15="http://schemas.microsoft.com/office/drawing/2012/chart">
                      <c:ext xmlns:c15="http://schemas.microsoft.com/office/drawing/2012/chart" uri="{02D57815-91ED-43cb-92C2-25804820EDAC}">
                        <c15:formulaRef>
                          <c15:sqref>'GTP PIB x emissões'!$J$16:$J$29</c15:sqref>
                        </c15:formulaRef>
                      </c:ext>
                    </c:extLst>
                    <c:numCache>
                      <c:formatCode>0</c:formatCode>
                      <c:ptCount val="14"/>
                      <c:pt idx="0">
                        <c:v>100</c:v>
                      </c:pt>
                      <c:pt idx="1">
                        <c:v>151.66275151130341</c:v>
                      </c:pt>
                      <c:pt idx="2">
                        <c:v>131.55039642304283</c:v>
                      </c:pt>
                      <c:pt idx="3">
                        <c:v>134.61693048433636</c:v>
                      </c:pt>
                      <c:pt idx="4">
                        <c:v>120.60278432893899</c:v>
                      </c:pt>
                      <c:pt idx="5">
                        <c:v>115.04165727033046</c:v>
                      </c:pt>
                      <c:pt idx="6">
                        <c:v>124.06356840291917</c:v>
                      </c:pt>
                      <c:pt idx="7">
                        <c:v>103.51555107419314</c:v>
                      </c:pt>
                      <c:pt idx="8">
                        <c:v>79.753254235411404</c:v>
                      </c:pt>
                      <c:pt idx="9">
                        <c:v>74.214057435348408</c:v>
                      </c:pt>
                      <c:pt idx="10">
                        <c:v>87.805539873746696</c:v>
                      </c:pt>
                      <c:pt idx="11">
                        <c:v>99.800435911393848</c:v>
                      </c:pt>
                      <c:pt idx="12">
                        <c:v>98.071839610529153</c:v>
                      </c:pt>
                      <c:pt idx="13">
                        <c:v>95.941842110606984</c:v>
                      </c:pt>
                    </c:numCache>
                  </c:numRef>
                </c:val>
                <c:extLst xmlns:c15="http://schemas.microsoft.com/office/drawing/2012/chart">
                  <c:ext xmlns:c16="http://schemas.microsoft.com/office/drawing/2014/chart" uri="{C3380CC4-5D6E-409C-BE32-E72D297353CC}">
                    <c16:uniqueId val="{00000007-6593-423A-91F6-1D3F01CD4D4D}"/>
                  </c:ext>
                </c:extLst>
              </c15:ser>
            </c15:filteredRadarSeries>
            <c15:filteredRadarSeries>
              <c15:ser>
                <c:idx val="6"/>
                <c:order val="4"/>
                <c:tx>
                  <c:v>GTP ES</c:v>
                </c:tx>
                <c:spPr>
                  <a:ln>
                    <a:solidFill>
                      <a:schemeClr val="tx2"/>
                    </a:solidFill>
                    <a:prstDash val="dash"/>
                  </a:ln>
                  <a:effectLst/>
                </c:spPr>
                <c:marker>
                  <c:symbol val="none"/>
                </c:marker>
                <c:cat>
                  <c:numRef>
                    <c:extLst xmlns:c15="http://schemas.microsoft.com/office/drawing/2012/chart">
                      <c:ext xmlns:c15="http://schemas.microsoft.com/office/drawing/2012/chart" uri="{02D57815-91ED-43cb-92C2-25804820EDAC}">
                        <c15:formulaRef>
                          <c15:sqref>'GTP PIB x emissões'!$A$16:$A$29</c15:sqref>
                        </c15:formulaRef>
                      </c:ext>
                    </c:extLst>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extLst xmlns:c15="http://schemas.microsoft.com/office/drawing/2012/chart">
                      <c:ext xmlns:c15="http://schemas.microsoft.com/office/drawing/2012/chart" uri="{02D57815-91ED-43cb-92C2-25804820EDAC}">
                        <c15:formulaRef>
                          <c15:sqref>'GTP PIB x emissões'!$L$16:$L$29</c15:sqref>
                        </c15:formulaRef>
                      </c:ext>
                    </c:extLst>
                    <c:numCache>
                      <c:formatCode>0</c:formatCode>
                      <c:ptCount val="14"/>
                      <c:pt idx="0">
                        <c:v>100</c:v>
                      </c:pt>
                      <c:pt idx="1">
                        <c:v>165.85202282638517</c:v>
                      </c:pt>
                      <c:pt idx="2">
                        <c:v>161.51843158820313</c:v>
                      </c:pt>
                      <c:pt idx="3">
                        <c:v>165.51369729883336</c:v>
                      </c:pt>
                      <c:pt idx="4">
                        <c:v>170.86881328989244</c:v>
                      </c:pt>
                      <c:pt idx="5">
                        <c:v>201.76558213524291</c:v>
                      </c:pt>
                      <c:pt idx="6">
                        <c:v>205.36660622271916</c:v>
                      </c:pt>
                      <c:pt idx="7">
                        <c:v>140.42397854840192</c:v>
                      </c:pt>
                      <c:pt idx="8">
                        <c:v>165.56875508343032</c:v>
                      </c:pt>
                      <c:pt idx="9">
                        <c:v>196.06807615095127</c:v>
                      </c:pt>
                      <c:pt idx="10">
                        <c:v>175.24658751169758</c:v>
                      </c:pt>
                      <c:pt idx="11">
                        <c:v>186.20194253680259</c:v>
                      </c:pt>
                      <c:pt idx="12">
                        <c:v>209.96202369271344</c:v>
                      </c:pt>
                      <c:pt idx="13">
                        <c:v>214.6543335399719</c:v>
                      </c:pt>
                    </c:numCache>
                  </c:numRef>
                </c:val>
                <c:extLst xmlns:c15="http://schemas.microsoft.com/office/drawing/2012/chart">
                  <c:ext xmlns:c16="http://schemas.microsoft.com/office/drawing/2014/chart" uri="{C3380CC4-5D6E-409C-BE32-E72D297353CC}">
                    <c16:uniqueId val="{00000008-6593-423A-91F6-1D3F01CD4D4D}"/>
                  </c:ext>
                </c:extLst>
              </c15:ser>
            </c15:filteredRadarSeries>
            <c15:filteredRadarSeries>
              <c15:ser>
                <c:idx val="7"/>
                <c:order val="5"/>
                <c:tx>
                  <c:v>GTP/PIB ES</c:v>
                </c:tx>
                <c:spPr>
                  <a:ln>
                    <a:solidFill>
                      <a:schemeClr val="tx2"/>
                    </a:solidFill>
                  </a:ln>
                  <a:effectLst/>
                </c:spPr>
                <c:marker>
                  <c:symbol val="none"/>
                </c:marker>
                <c:cat>
                  <c:numRef>
                    <c:extLst xmlns:c15="http://schemas.microsoft.com/office/drawing/2012/chart">
                      <c:ext xmlns:c15="http://schemas.microsoft.com/office/drawing/2012/chart" uri="{02D57815-91ED-43cb-92C2-25804820EDAC}">
                        <c15:formulaRef>
                          <c15:sqref>'GTP PIB x emissões'!$A$16:$A$29</c15:sqref>
                        </c15:formulaRef>
                      </c:ext>
                    </c:extLst>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extLst xmlns:c15="http://schemas.microsoft.com/office/drawing/2012/chart">
                      <c:ext xmlns:c15="http://schemas.microsoft.com/office/drawing/2012/chart" uri="{02D57815-91ED-43cb-92C2-25804820EDAC}">
                        <c15:formulaRef>
                          <c15:sqref>'GTP PIB x emissões'!$N$16:$N$29</c15:sqref>
                        </c15:formulaRef>
                      </c:ext>
                    </c:extLst>
                    <c:numCache>
                      <c:formatCode>0</c:formatCode>
                      <c:ptCount val="14"/>
                      <c:pt idx="0">
                        <c:v>100</c:v>
                      </c:pt>
                      <c:pt idx="1">
                        <c:v>162.38691271535419</c:v>
                      </c:pt>
                      <c:pt idx="2">
                        <c:v>135.17581567511814</c:v>
                      </c:pt>
                      <c:pt idx="3">
                        <c:v>125.7479383120513</c:v>
                      </c:pt>
                      <c:pt idx="4">
                        <c:v>121.90647595580347</c:v>
                      </c:pt>
                      <c:pt idx="5">
                        <c:v>135.04713059699068</c:v>
                      </c:pt>
                      <c:pt idx="6">
                        <c:v>125.81094246527101</c:v>
                      </c:pt>
                      <c:pt idx="7">
                        <c:v>96.153473865485864</c:v>
                      </c:pt>
                      <c:pt idx="8">
                        <c:v>99.729845289589292</c:v>
                      </c:pt>
                      <c:pt idx="9">
                        <c:v>102.97909601869273</c:v>
                      </c:pt>
                      <c:pt idx="10">
                        <c:v>90.107687085312278</c:v>
                      </c:pt>
                      <c:pt idx="11">
                        <c:v>102.55434827215349</c:v>
                      </c:pt>
                      <c:pt idx="12">
                        <c:v>113.5683588368007</c:v>
                      </c:pt>
                      <c:pt idx="13">
                        <c:v>133.62905353361791</c:v>
                      </c:pt>
                    </c:numCache>
                  </c:numRef>
                </c:val>
                <c:extLst xmlns:c15="http://schemas.microsoft.com/office/drawing/2012/chart">
                  <c:ext xmlns:c16="http://schemas.microsoft.com/office/drawing/2014/chart" uri="{C3380CC4-5D6E-409C-BE32-E72D297353CC}">
                    <c16:uniqueId val="{00000009-6593-423A-91F6-1D3F01CD4D4D}"/>
                  </c:ext>
                </c:extLst>
              </c15:ser>
            </c15:filteredRadarSeries>
          </c:ext>
        </c:extLst>
      </c:radarChart>
      <c:catAx>
        <c:axId val="-1323575168"/>
        <c:scaling>
          <c:orientation val="minMax"/>
        </c:scaling>
        <c:delete val="0"/>
        <c:axPos val="b"/>
        <c:maj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pt-BR"/>
          </a:p>
        </c:txPr>
        <c:crossAx val="-1323574624"/>
        <c:crosses val="autoZero"/>
        <c:auto val="1"/>
        <c:lblAlgn val="ctr"/>
        <c:lblOffset val="100"/>
        <c:noMultiLvlLbl val="0"/>
      </c:catAx>
      <c:valAx>
        <c:axId val="-1323574624"/>
        <c:scaling>
          <c:orientation val="minMax"/>
          <c:max val="250"/>
          <c:min val="50"/>
        </c:scaling>
        <c:delete val="0"/>
        <c:axPos val="l"/>
        <c:majorGridlines>
          <c:spPr>
            <a:ln w="12700" cap="rnd"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 vert="horz"/>
          <a:lstStyle/>
          <a:p>
            <a:pPr>
              <a:defRPr/>
            </a:pPr>
            <a:endParaRPr lang="pt-BR"/>
          </a:p>
        </c:txPr>
        <c:crossAx val="-1323575168"/>
        <c:crosses val="autoZero"/>
        <c:crossBetween val="between"/>
      </c:valAx>
    </c:plotArea>
    <c:legend>
      <c:legendPos val="b"/>
      <c:layout>
        <c:manualLayout>
          <c:xMode val="edge"/>
          <c:yMode val="edge"/>
          <c:x val="2.7653772926014869E-2"/>
          <c:y val="0.80145914249493677"/>
          <c:w val="0.95441260607916112"/>
          <c:h val="0.16073396534220907"/>
        </c:manualLayout>
      </c:layout>
      <c:overlay val="0"/>
      <c:spPr>
        <a:noFill/>
        <a:ln>
          <a:noFill/>
        </a:ln>
        <a:effectLst/>
      </c:spPr>
      <c:txPr>
        <a:bodyPr rot="0" vert="horz"/>
        <a:lstStyle/>
        <a:p>
          <a:pPr rtl="0">
            <a:defRPr/>
          </a:pPr>
          <a:endParaRPr lang="pt-BR"/>
        </a:p>
      </c:txPr>
    </c:legend>
    <c:plotVisOnly val="1"/>
    <c:dispBlanksAs val="gap"/>
    <c:showDLblsOverMax val="0"/>
  </c:chart>
  <c:spPr>
    <a:noFill/>
    <a:ln>
      <a:solidFill>
        <a:schemeClr val="tx1"/>
      </a:solidFill>
    </a:ln>
  </c:spPr>
  <c:txPr>
    <a:bodyPr/>
    <a:lstStyle/>
    <a:p>
      <a:pPr>
        <a:defRPr sz="900">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4235365775784592E-2"/>
          <c:y val="6.0125717409128178E-2"/>
          <c:w val="0.91702942154064804"/>
          <c:h val="0.72039287000027696"/>
        </c:manualLayout>
      </c:layout>
      <c:lineChart>
        <c:grouping val="standard"/>
        <c:varyColors val="0"/>
        <c:ser>
          <c:idx val="3"/>
          <c:order val="0"/>
          <c:tx>
            <c:v>MG</c:v>
          </c:tx>
          <c:spPr>
            <a:ln w="19050" cap="rnd">
              <a:solidFill>
                <a:schemeClr val="accent2">
                  <a:lumMod val="60000"/>
                </a:schemeClr>
              </a:solidFill>
              <a:round/>
            </a:ln>
            <a:effectLst/>
          </c:spPr>
          <c:marker>
            <c:symbol val="diamond"/>
            <c:size val="4"/>
            <c:spPr>
              <a:solidFill>
                <a:schemeClr val="accent2">
                  <a:lumMod val="60000"/>
                </a:schemeClr>
              </a:solidFill>
              <a:ln w="9525">
                <a:noFill/>
              </a:ln>
              <a:effectLst/>
            </c:spPr>
          </c:marker>
          <c:cat>
            <c:numRef>
              <c:f>exportações!$A$2:$A$15</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exportações!$H$2:$H$15</c:f>
              <c:numCache>
                <c:formatCode>General</c:formatCode>
                <c:ptCount val="14"/>
                <c:pt idx="0">
                  <c:v>47.960005195495555</c:v>
                </c:pt>
                <c:pt idx="1">
                  <c:v>76.946989487573831</c:v>
                </c:pt>
                <c:pt idx="2">
                  <c:v>77.174973359260122</c:v>
                </c:pt>
                <c:pt idx="3">
                  <c:v>73.925955401263323</c:v>
                </c:pt>
                <c:pt idx="4">
                  <c:v>71.139508637134668</c:v>
                </c:pt>
                <c:pt idx="5">
                  <c:v>68.760377019391299</c:v>
                </c:pt>
                <c:pt idx="6">
                  <c:v>78.413841231052004</c:v>
                </c:pt>
                <c:pt idx="7">
                  <c:v>77.689197557310081</c:v>
                </c:pt>
                <c:pt idx="8">
                  <c:v>40.507565336844856</c:v>
                </c:pt>
                <c:pt idx="9">
                  <c:v>81.200934075470457</c:v>
                </c:pt>
                <c:pt idx="10">
                  <c:v>86.554076786366537</c:v>
                </c:pt>
                <c:pt idx="11">
                  <c:v>35.297072029903035</c:v>
                </c:pt>
                <c:pt idx="12">
                  <c:v>78.268252732352465</c:v>
                </c:pt>
                <c:pt idx="13">
                  <c:v>47.073135445410649</c:v>
                </c:pt>
              </c:numCache>
            </c:numRef>
          </c:val>
          <c:smooth val="0"/>
          <c:extLst>
            <c:ext xmlns:c16="http://schemas.microsoft.com/office/drawing/2014/chart" uri="{C3380CC4-5D6E-409C-BE32-E72D297353CC}">
              <c16:uniqueId val="{00000000-A415-43FB-BA94-8D5DF904E2DB}"/>
            </c:ext>
          </c:extLst>
        </c:ser>
        <c:ser>
          <c:idx val="4"/>
          <c:order val="1"/>
          <c:tx>
            <c:v>ES</c:v>
          </c:tx>
          <c:spPr>
            <a:ln w="19050" cap="rnd">
              <a:solidFill>
                <a:schemeClr val="accent1"/>
              </a:solidFill>
              <a:round/>
            </a:ln>
            <a:effectLst/>
          </c:spPr>
          <c:marker>
            <c:symbol val="x"/>
            <c:size val="5"/>
            <c:spPr>
              <a:noFill/>
              <a:ln w="12700">
                <a:solidFill>
                  <a:schemeClr val="accent1"/>
                </a:solidFill>
              </a:ln>
              <a:effectLst/>
            </c:spPr>
          </c:marker>
          <c:cat>
            <c:numRef>
              <c:f>exportações!$A$2:$A$15</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exportações!$O$2:$O$15</c:f>
              <c:numCache>
                <c:formatCode>General</c:formatCode>
                <c:ptCount val="14"/>
                <c:pt idx="0">
                  <c:v>69.282116862913369</c:v>
                </c:pt>
                <c:pt idx="1">
                  <c:v>68.183079337151057</c:v>
                </c:pt>
                <c:pt idx="2">
                  <c:v>79.192436347196875</c:v>
                </c:pt>
                <c:pt idx="3">
                  <c:v>79.059145417051383</c:v>
                </c:pt>
                <c:pt idx="4">
                  <c:v>79.192201566792264</c:v>
                </c:pt>
                <c:pt idx="5">
                  <c:v>81.018858574526192</c:v>
                </c:pt>
                <c:pt idx="6">
                  <c:v>78.961727903353733</c:v>
                </c:pt>
                <c:pt idx="7">
                  <c:v>76.277979965174097</c:v>
                </c:pt>
                <c:pt idx="8">
                  <c:v>80.724530456327756</c:v>
                </c:pt>
                <c:pt idx="9">
                  <c:v>83.757243047857727</c:v>
                </c:pt>
                <c:pt idx="10">
                  <c:v>85.636160533569367</c:v>
                </c:pt>
                <c:pt idx="11">
                  <c:v>22.186556210446252</c:v>
                </c:pt>
                <c:pt idx="12">
                  <c:v>38.442620241211124</c:v>
                </c:pt>
                <c:pt idx="13">
                  <c:v>28.991342935297904</c:v>
                </c:pt>
              </c:numCache>
            </c:numRef>
          </c:val>
          <c:smooth val="0"/>
          <c:extLst>
            <c:ext xmlns:c16="http://schemas.microsoft.com/office/drawing/2014/chart" uri="{C3380CC4-5D6E-409C-BE32-E72D297353CC}">
              <c16:uniqueId val="{00000001-A415-43FB-BA94-8D5DF904E2DB}"/>
            </c:ext>
          </c:extLst>
        </c:ser>
        <c:ser>
          <c:idx val="0"/>
          <c:order val="2"/>
          <c:tx>
            <c:v>RJ</c:v>
          </c:tx>
          <c:spPr>
            <a:ln w="19050" cap="rnd">
              <a:solidFill>
                <a:schemeClr val="accent2"/>
              </a:solidFill>
              <a:round/>
            </a:ln>
            <a:effectLst/>
          </c:spPr>
          <c:marker>
            <c:symbol val="square"/>
            <c:size val="4"/>
            <c:spPr>
              <a:solidFill>
                <a:schemeClr val="accent2"/>
              </a:solidFill>
              <a:ln w="9525">
                <a:noFill/>
              </a:ln>
              <a:effectLst/>
            </c:spPr>
          </c:marker>
          <c:cat>
            <c:numRef>
              <c:f>exportações!$A$2:$A$15</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exportações!$V$2:$V$15</c:f>
              <c:numCache>
                <c:formatCode>General</c:formatCode>
                <c:ptCount val="14"/>
                <c:pt idx="0">
                  <c:v>71.559591629860975</c:v>
                </c:pt>
                <c:pt idx="1">
                  <c:v>71.624082523726202</c:v>
                </c:pt>
                <c:pt idx="2">
                  <c:v>25.464215060387364</c:v>
                </c:pt>
                <c:pt idx="3">
                  <c:v>68.725535523278865</c:v>
                </c:pt>
                <c:pt idx="4">
                  <c:v>75.586409972112151</c:v>
                </c:pt>
                <c:pt idx="5">
                  <c:v>73.884202681498778</c:v>
                </c:pt>
                <c:pt idx="6">
                  <c:v>78.35141761740158</c:v>
                </c:pt>
                <c:pt idx="7">
                  <c:v>18.164535630745281</c:v>
                </c:pt>
                <c:pt idx="8">
                  <c:v>84.702269813016997</c:v>
                </c:pt>
                <c:pt idx="9">
                  <c:v>83.715153807874245</c:v>
                </c:pt>
                <c:pt idx="10">
                  <c:v>81.999463674928037</c:v>
                </c:pt>
                <c:pt idx="11">
                  <c:v>63.109694270875103</c:v>
                </c:pt>
                <c:pt idx="12">
                  <c:v>74.957506431822466</c:v>
                </c:pt>
                <c:pt idx="13">
                  <c:v>19.787253036151277</c:v>
                </c:pt>
              </c:numCache>
            </c:numRef>
          </c:val>
          <c:smooth val="0"/>
          <c:extLst>
            <c:ext xmlns:c16="http://schemas.microsoft.com/office/drawing/2014/chart" uri="{C3380CC4-5D6E-409C-BE32-E72D297353CC}">
              <c16:uniqueId val="{00000002-A415-43FB-BA94-8D5DF904E2DB}"/>
            </c:ext>
          </c:extLst>
        </c:ser>
        <c:ser>
          <c:idx val="1"/>
          <c:order val="3"/>
          <c:tx>
            <c:v>SP</c:v>
          </c:tx>
          <c:spPr>
            <a:ln w="19050" cap="rnd">
              <a:solidFill>
                <a:schemeClr val="accent4"/>
              </a:solidFill>
              <a:round/>
            </a:ln>
            <a:effectLst/>
          </c:spPr>
          <c:marker>
            <c:symbol val="circle"/>
            <c:size val="4"/>
            <c:spPr>
              <a:solidFill>
                <a:schemeClr val="accent4"/>
              </a:solidFill>
              <a:ln w="9525">
                <a:noFill/>
              </a:ln>
              <a:effectLst/>
            </c:spPr>
          </c:marker>
          <c:cat>
            <c:numRef>
              <c:f>exportações!$A$2:$A$15</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exportações!$AC$2:$AC$15</c:f>
              <c:numCache>
                <c:formatCode>General</c:formatCode>
                <c:ptCount val="14"/>
                <c:pt idx="0">
                  <c:v>17.109903176169105</c:v>
                </c:pt>
                <c:pt idx="1">
                  <c:v>27.982002426901275</c:v>
                </c:pt>
                <c:pt idx="2">
                  <c:v>23.504648795174401</c:v>
                </c:pt>
                <c:pt idx="3">
                  <c:v>22.654786692143695</c:v>
                </c:pt>
                <c:pt idx="4">
                  <c:v>16.022016468078661</c:v>
                </c:pt>
                <c:pt idx="5">
                  <c:v>20.764185399638215</c:v>
                </c:pt>
                <c:pt idx="6">
                  <c:v>31.351387759804506</c:v>
                </c:pt>
                <c:pt idx="7">
                  <c:v>24.704735123377947</c:v>
                </c:pt>
                <c:pt idx="8">
                  <c:v>23.758137584193868</c:v>
                </c:pt>
                <c:pt idx="9">
                  <c:v>21.161294317432048</c:v>
                </c:pt>
                <c:pt idx="10">
                  <c:v>29.639677628615701</c:v>
                </c:pt>
                <c:pt idx="11">
                  <c:v>35.05348299281075</c:v>
                </c:pt>
                <c:pt idx="12">
                  <c:v>29.95524742983261</c:v>
                </c:pt>
                <c:pt idx="13">
                  <c:v>29.777603819675257</c:v>
                </c:pt>
              </c:numCache>
            </c:numRef>
          </c:val>
          <c:smooth val="0"/>
          <c:extLst>
            <c:ext xmlns:c16="http://schemas.microsoft.com/office/drawing/2014/chart" uri="{C3380CC4-5D6E-409C-BE32-E72D297353CC}">
              <c16:uniqueId val="{00000003-A415-43FB-BA94-8D5DF904E2DB}"/>
            </c:ext>
          </c:extLst>
        </c:ser>
        <c:ser>
          <c:idx val="2"/>
          <c:order val="4"/>
          <c:tx>
            <c:v>Sudeste</c:v>
          </c:tx>
          <c:spPr>
            <a:ln w="19050" cap="rnd">
              <a:solidFill>
                <a:schemeClr val="accent6">
                  <a:lumMod val="75000"/>
                </a:schemeClr>
              </a:solidFill>
              <a:prstDash val="solid"/>
              <a:round/>
            </a:ln>
            <a:effectLst/>
          </c:spPr>
          <c:marker>
            <c:symbol val="triangle"/>
            <c:size val="4"/>
            <c:spPr>
              <a:solidFill>
                <a:schemeClr val="accent6">
                  <a:lumMod val="75000"/>
                </a:schemeClr>
              </a:solidFill>
              <a:ln w="9525">
                <a:noFill/>
              </a:ln>
              <a:effectLst/>
            </c:spPr>
          </c:marker>
          <c:val>
            <c:numRef>
              <c:f>exportações!$AE$2:$AE$15</c:f>
              <c:numCache>
                <c:formatCode>General</c:formatCode>
                <c:ptCount val="14"/>
                <c:pt idx="0">
                  <c:v>33.307665813492861</c:v>
                </c:pt>
                <c:pt idx="1">
                  <c:v>46.405882997208664</c:v>
                </c:pt>
                <c:pt idx="2">
                  <c:v>38.36636585785844</c:v>
                </c:pt>
                <c:pt idx="3">
                  <c:v>43.834599071004178</c:v>
                </c:pt>
                <c:pt idx="4">
                  <c:v>40.665204114932912</c:v>
                </c:pt>
                <c:pt idx="5">
                  <c:v>43.283490705858235</c:v>
                </c:pt>
                <c:pt idx="6">
                  <c:v>53.979428185734157</c:v>
                </c:pt>
                <c:pt idx="7">
                  <c:v>40.346130435864168</c:v>
                </c:pt>
                <c:pt idx="8">
                  <c:v>44.748838315347996</c:v>
                </c:pt>
                <c:pt idx="9">
                  <c:v>57.325303680432448</c:v>
                </c:pt>
                <c:pt idx="10">
                  <c:v>60.190948578166257</c:v>
                </c:pt>
                <c:pt idx="11">
                  <c:v>38.868437532381748</c:v>
                </c:pt>
                <c:pt idx="12">
                  <c:v>51.854157352262661</c:v>
                </c:pt>
                <c:pt idx="13">
                  <c:v>31.92528760192933</c:v>
                </c:pt>
              </c:numCache>
            </c:numRef>
          </c:val>
          <c:smooth val="0"/>
          <c:extLst>
            <c:ext xmlns:c16="http://schemas.microsoft.com/office/drawing/2014/chart" uri="{C3380CC4-5D6E-409C-BE32-E72D297353CC}">
              <c16:uniqueId val="{00000004-A415-43FB-BA94-8D5DF904E2DB}"/>
            </c:ext>
          </c:extLst>
        </c:ser>
        <c:dLbls>
          <c:showLegendKey val="0"/>
          <c:showVal val="0"/>
          <c:showCatName val="0"/>
          <c:showSerName val="0"/>
          <c:showPercent val="0"/>
          <c:showBubbleSize val="0"/>
        </c:dLbls>
        <c:marker val="1"/>
        <c:smooth val="0"/>
        <c:axId val="-1323572448"/>
        <c:axId val="-1323572992"/>
      </c:lineChart>
      <c:catAx>
        <c:axId val="-13235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323572992"/>
        <c:crosses val="autoZero"/>
        <c:auto val="1"/>
        <c:lblAlgn val="ctr"/>
        <c:lblOffset val="100"/>
        <c:noMultiLvlLbl val="0"/>
      </c:catAx>
      <c:valAx>
        <c:axId val="-1323572992"/>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323572448"/>
        <c:crosses val="autoZero"/>
        <c:crossBetween val="between"/>
      </c:valAx>
      <c:spPr>
        <a:noFill/>
        <a:ln>
          <a:noFill/>
        </a:ln>
        <a:effectLst/>
      </c:spPr>
    </c:plotArea>
    <c:legend>
      <c:legendPos val="b"/>
      <c:layout>
        <c:manualLayout>
          <c:xMode val="edge"/>
          <c:yMode val="edge"/>
          <c:x val="3.0951807879910209E-2"/>
          <c:y val="0.86712203143281796"/>
          <c:w val="0.93809621445366365"/>
          <c:h val="9.9801750916445914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6350" cap="flat" cmpd="sng" algn="ctr">
      <a:solidFill>
        <a:sysClr val="windowText" lastClr="000000"/>
      </a:solid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80776810285704"/>
          <c:y val="6.0639470782800443E-2"/>
          <c:w val="0.79039769422427486"/>
          <c:h val="0.59030983861306197"/>
        </c:manualLayout>
      </c:layout>
      <c:barChart>
        <c:barDir val="col"/>
        <c:grouping val="clustered"/>
        <c:varyColors val="0"/>
        <c:ser>
          <c:idx val="4"/>
          <c:order val="4"/>
          <c:tx>
            <c:strRef>
              <c:f>'Etados setores'!$L$2</c:f>
              <c:strCache>
                <c:ptCount val="1"/>
                <c:pt idx="0">
                  <c:v>SE total</c:v>
                </c:pt>
              </c:strCache>
            </c:strRef>
          </c:tx>
          <c:spPr>
            <a:solidFill>
              <a:schemeClr val="bg2">
                <a:lumMod val="90000"/>
              </a:schemeClr>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setores'!$L$16:$L$29</c:f>
              <c:numCache>
                <c:formatCode>General</c:formatCode>
                <c:ptCount val="14"/>
                <c:pt idx="0">
                  <c:v>378214580.99199718</c:v>
                </c:pt>
                <c:pt idx="1">
                  <c:v>527829955.35756731</c:v>
                </c:pt>
                <c:pt idx="2">
                  <c:v>513900266.53551424</c:v>
                </c:pt>
                <c:pt idx="3">
                  <c:v>530991545.51219243</c:v>
                </c:pt>
                <c:pt idx="4">
                  <c:v>513907996.35021973</c:v>
                </c:pt>
                <c:pt idx="5">
                  <c:v>535524168.60448033</c:v>
                </c:pt>
                <c:pt idx="6">
                  <c:v>599050623.63740301</c:v>
                </c:pt>
                <c:pt idx="7">
                  <c:v>489217444.68111157</c:v>
                </c:pt>
                <c:pt idx="8">
                  <c:v>465727333.56478214</c:v>
                </c:pt>
                <c:pt idx="9">
                  <c:v>474187878.5351553</c:v>
                </c:pt>
                <c:pt idx="10">
                  <c:v>536528169.56598699</c:v>
                </c:pt>
                <c:pt idx="11">
                  <c:v>597497614.88350105</c:v>
                </c:pt>
                <c:pt idx="12">
                  <c:v>584035961.31393838</c:v>
                </c:pt>
                <c:pt idx="13">
                  <c:v>545587718.29075706</c:v>
                </c:pt>
              </c:numCache>
            </c:numRef>
          </c:val>
          <c:extLst>
            <c:ext xmlns:c16="http://schemas.microsoft.com/office/drawing/2014/chart" uri="{C3380CC4-5D6E-409C-BE32-E72D297353CC}">
              <c16:uniqueId val="{00000000-703C-4045-9796-90DF4F9D1856}"/>
            </c:ext>
          </c:extLst>
        </c:ser>
        <c:dLbls>
          <c:showLegendKey val="0"/>
          <c:showVal val="0"/>
          <c:showCatName val="0"/>
          <c:showSerName val="0"/>
          <c:showPercent val="0"/>
          <c:showBubbleSize val="0"/>
        </c:dLbls>
        <c:gapWidth val="75"/>
        <c:axId val="-1218798288"/>
        <c:axId val="-1218797744"/>
      </c:barChart>
      <c:lineChart>
        <c:grouping val="standard"/>
        <c:varyColors val="0"/>
        <c:ser>
          <c:idx val="0"/>
          <c:order val="0"/>
          <c:tx>
            <c:strRef>
              <c:f>'Etados setores'!$AC$2</c:f>
              <c:strCache>
                <c:ptCount val="1"/>
                <c:pt idx="0">
                  <c:v>% MG</c:v>
                </c:pt>
              </c:strCache>
            </c:strRef>
          </c:tx>
          <c:spPr>
            <a:ln w="19050" cap="rnd">
              <a:solidFill>
                <a:schemeClr val="accent4"/>
              </a:solidFill>
              <a:round/>
            </a:ln>
            <a:effectLst/>
          </c:spPr>
          <c:marker>
            <c:symbol val="circle"/>
            <c:size val="4"/>
            <c:spPr>
              <a:solidFill>
                <a:schemeClr val="accent4"/>
              </a:solidFill>
              <a:ln w="12700">
                <a:noFill/>
              </a:ln>
              <a:effectLst/>
            </c:spPr>
          </c:marker>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setores'!$AC$16:$AC$29</c:f>
              <c:numCache>
                <c:formatCode>_(* #,##0.00_);_(* \(#,##0.00\);_(* "-"??_);_(@_)</c:formatCode>
                <c:ptCount val="14"/>
                <c:pt idx="0">
                  <c:v>61.672348431426805</c:v>
                </c:pt>
                <c:pt idx="1">
                  <c:v>68.269076797454133</c:v>
                </c:pt>
                <c:pt idx="2">
                  <c:v>67.281759479123991</c:v>
                </c:pt>
                <c:pt idx="3">
                  <c:v>67.976824495519196</c:v>
                </c:pt>
                <c:pt idx="4">
                  <c:v>66.533754618262904</c:v>
                </c:pt>
                <c:pt idx="5">
                  <c:v>64.671440897942304</c:v>
                </c:pt>
                <c:pt idx="6">
                  <c:v>66.437666870684183</c:v>
                </c:pt>
                <c:pt idx="7">
                  <c:v>65.259338590190012</c:v>
                </c:pt>
                <c:pt idx="8">
                  <c:v>59.503011380782148</c:v>
                </c:pt>
                <c:pt idx="9">
                  <c:v>57.212561139444006</c:v>
                </c:pt>
                <c:pt idx="10">
                  <c:v>61.262485840085255</c:v>
                </c:pt>
                <c:pt idx="11">
                  <c:v>64.173926028607966</c:v>
                </c:pt>
                <c:pt idx="12">
                  <c:v>63.331371347830313</c:v>
                </c:pt>
                <c:pt idx="13">
                  <c:v>61.978203453720049</c:v>
                </c:pt>
              </c:numCache>
            </c:numRef>
          </c:val>
          <c:smooth val="0"/>
          <c:extLst>
            <c:ext xmlns:c16="http://schemas.microsoft.com/office/drawing/2014/chart" uri="{C3380CC4-5D6E-409C-BE32-E72D297353CC}">
              <c16:uniqueId val="{00000001-703C-4045-9796-90DF4F9D1856}"/>
            </c:ext>
          </c:extLst>
        </c:ser>
        <c:ser>
          <c:idx val="1"/>
          <c:order val="1"/>
          <c:tx>
            <c:strRef>
              <c:f>'Etados setores'!$AR$2</c:f>
              <c:strCache>
                <c:ptCount val="1"/>
                <c:pt idx="0">
                  <c:v>% ES</c:v>
                </c:pt>
              </c:strCache>
            </c:strRef>
          </c:tx>
          <c:spPr>
            <a:ln w="19050" cap="rnd">
              <a:solidFill>
                <a:schemeClr val="accent2"/>
              </a:solidFill>
              <a:round/>
            </a:ln>
            <a:effectLst/>
          </c:spPr>
          <c:marker>
            <c:symbol val="square"/>
            <c:size val="4"/>
            <c:spPr>
              <a:solidFill>
                <a:schemeClr val="accent2"/>
              </a:solidFill>
              <a:ln w="9525">
                <a:noFill/>
              </a:ln>
              <a:effectLst/>
            </c:spPr>
          </c:marker>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setores'!$AR$16:$AR$29</c:f>
              <c:numCache>
                <c:formatCode>_(* #,##0.00_);_(* \(#,##0.00\);_(* "-"??_);_(@_)</c:formatCode>
                <c:ptCount val="14"/>
                <c:pt idx="0">
                  <c:v>3.474049017787892</c:v>
                </c:pt>
                <c:pt idx="1">
                  <c:v>4.1285823245236122</c:v>
                </c:pt>
                <c:pt idx="2">
                  <c:v>4.1296900335472921</c:v>
                </c:pt>
                <c:pt idx="3">
                  <c:v>4.095628379663788</c:v>
                </c:pt>
                <c:pt idx="4">
                  <c:v>4.3686941157017296</c:v>
                </c:pt>
                <c:pt idx="5">
                  <c:v>4.9504219637681324</c:v>
                </c:pt>
                <c:pt idx="6">
                  <c:v>4.5044369399495672</c:v>
                </c:pt>
                <c:pt idx="7">
                  <c:v>3.7714951048136611</c:v>
                </c:pt>
                <c:pt idx="8">
                  <c:v>4.671118292668921</c:v>
                </c:pt>
                <c:pt idx="9">
                  <c:v>5.4328867125010207</c:v>
                </c:pt>
                <c:pt idx="10">
                  <c:v>4.2917187232669187</c:v>
                </c:pt>
                <c:pt idx="11">
                  <c:v>4.0947014395462213</c:v>
                </c:pt>
                <c:pt idx="12">
                  <c:v>4.7236245453112362</c:v>
                </c:pt>
                <c:pt idx="13">
                  <c:v>5.1695088721162286</c:v>
                </c:pt>
              </c:numCache>
            </c:numRef>
          </c:val>
          <c:smooth val="0"/>
          <c:extLst>
            <c:ext xmlns:c16="http://schemas.microsoft.com/office/drawing/2014/chart" uri="{C3380CC4-5D6E-409C-BE32-E72D297353CC}">
              <c16:uniqueId val="{00000002-703C-4045-9796-90DF4F9D1856}"/>
            </c:ext>
          </c:extLst>
        </c:ser>
        <c:ser>
          <c:idx val="2"/>
          <c:order val="2"/>
          <c:tx>
            <c:strRef>
              <c:f>'Etados setores'!$BG$2</c:f>
              <c:strCache>
                <c:ptCount val="1"/>
                <c:pt idx="0">
                  <c:v>% RJ</c:v>
                </c:pt>
              </c:strCache>
            </c:strRef>
          </c:tx>
          <c:spPr>
            <a:ln w="19050" cap="rnd">
              <a:solidFill>
                <a:schemeClr val="accent6">
                  <a:lumMod val="75000"/>
                </a:schemeClr>
              </a:solidFill>
              <a:round/>
            </a:ln>
            <a:effectLst/>
          </c:spPr>
          <c:marker>
            <c:symbol val="triangle"/>
            <c:size val="4"/>
            <c:spPr>
              <a:solidFill>
                <a:schemeClr val="accent6">
                  <a:lumMod val="75000"/>
                </a:schemeClr>
              </a:solidFill>
              <a:ln w="9525">
                <a:noFill/>
              </a:ln>
              <a:effectLst/>
            </c:spPr>
          </c:marker>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setores'!$BG$16:$BG$29</c:f>
              <c:numCache>
                <c:formatCode>_(* #,##0.00_);_(* \(#,##0.00\);_(* "-"??_);_(@_)</c:formatCode>
                <c:ptCount val="14"/>
                <c:pt idx="0">
                  <c:v>8.7764181158718362</c:v>
                </c:pt>
                <c:pt idx="1">
                  <c:v>7.1892108448837435</c:v>
                </c:pt>
                <c:pt idx="2">
                  <c:v>7.5304029148181826</c:v>
                </c:pt>
                <c:pt idx="3">
                  <c:v>7.7181761696001061</c:v>
                </c:pt>
                <c:pt idx="4">
                  <c:v>7.8283894156015759</c:v>
                </c:pt>
                <c:pt idx="5">
                  <c:v>8.5025081151309667</c:v>
                </c:pt>
                <c:pt idx="6">
                  <c:v>9.1812537579623026</c:v>
                </c:pt>
                <c:pt idx="7">
                  <c:v>9.5386188924498878</c:v>
                </c:pt>
                <c:pt idx="8">
                  <c:v>11.311200672206875</c:v>
                </c:pt>
                <c:pt idx="9">
                  <c:v>11.243279468773999</c:v>
                </c:pt>
                <c:pt idx="10">
                  <c:v>10.939384403455945</c:v>
                </c:pt>
                <c:pt idx="11">
                  <c:v>10.649089953299047</c:v>
                </c:pt>
                <c:pt idx="12">
                  <c:v>10.599040024608893</c:v>
                </c:pt>
                <c:pt idx="13">
                  <c:v>11.273227860180876</c:v>
                </c:pt>
              </c:numCache>
            </c:numRef>
          </c:val>
          <c:smooth val="0"/>
          <c:extLst>
            <c:ext xmlns:c16="http://schemas.microsoft.com/office/drawing/2014/chart" uri="{C3380CC4-5D6E-409C-BE32-E72D297353CC}">
              <c16:uniqueId val="{00000003-703C-4045-9796-90DF4F9D1856}"/>
            </c:ext>
          </c:extLst>
        </c:ser>
        <c:ser>
          <c:idx val="3"/>
          <c:order val="3"/>
          <c:tx>
            <c:strRef>
              <c:f>'Etados setores'!$BV$2</c:f>
              <c:strCache>
                <c:ptCount val="1"/>
                <c:pt idx="0">
                  <c:v>% SP</c:v>
                </c:pt>
              </c:strCache>
            </c:strRef>
          </c:tx>
          <c:spPr>
            <a:ln w="19050" cap="rnd">
              <a:solidFill>
                <a:schemeClr val="accent1"/>
              </a:solidFill>
              <a:round/>
            </a:ln>
            <a:effectLst/>
          </c:spPr>
          <c:marker>
            <c:symbol val="x"/>
            <c:size val="4"/>
            <c:spPr>
              <a:noFill/>
              <a:ln w="15875">
                <a:solidFill>
                  <a:schemeClr val="accent1"/>
                </a:solidFill>
              </a:ln>
              <a:effectLst/>
            </c:spPr>
          </c:marker>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setores'!$BV$16:$BV$29</c:f>
              <c:numCache>
                <c:formatCode>_(* #,##0.00_);_(* \(#,##0.00\);_(* "-"??_);_(@_)</c:formatCode>
                <c:ptCount val="14"/>
                <c:pt idx="0">
                  <c:v>26.077184434913459</c:v>
                </c:pt>
                <c:pt idx="1">
                  <c:v>20.413130033138511</c:v>
                </c:pt>
                <c:pt idx="2">
                  <c:v>21.058147572510538</c:v>
                </c:pt>
                <c:pt idx="3">
                  <c:v>20.209370955216929</c:v>
                </c:pt>
                <c:pt idx="4">
                  <c:v>21.269161850433793</c:v>
                </c:pt>
                <c:pt idx="5">
                  <c:v>21.875629023158595</c:v>
                </c:pt>
                <c:pt idx="6">
                  <c:v>19.876642431403955</c:v>
                </c:pt>
                <c:pt idx="7">
                  <c:v>21.43054741254646</c:v>
                </c:pt>
                <c:pt idx="8">
                  <c:v>24.514669654342061</c:v>
                </c:pt>
                <c:pt idx="9">
                  <c:v>26.111272679280962</c:v>
                </c:pt>
                <c:pt idx="10">
                  <c:v>23.506411033191863</c:v>
                </c:pt>
                <c:pt idx="11">
                  <c:v>21.082282578546753</c:v>
                </c:pt>
                <c:pt idx="12">
                  <c:v>21.345964082249569</c:v>
                </c:pt>
                <c:pt idx="13">
                  <c:v>21.579059813982852</c:v>
                </c:pt>
              </c:numCache>
            </c:numRef>
          </c:val>
          <c:smooth val="0"/>
          <c:extLst>
            <c:ext xmlns:c16="http://schemas.microsoft.com/office/drawing/2014/chart" uri="{C3380CC4-5D6E-409C-BE32-E72D297353CC}">
              <c16:uniqueId val="{00000004-703C-4045-9796-90DF4F9D1856}"/>
            </c:ext>
          </c:extLst>
        </c:ser>
        <c:dLbls>
          <c:showLegendKey val="0"/>
          <c:showVal val="0"/>
          <c:showCatName val="0"/>
          <c:showSerName val="0"/>
          <c:showPercent val="0"/>
          <c:showBubbleSize val="0"/>
        </c:dLbls>
        <c:marker val="1"/>
        <c:smooth val="0"/>
        <c:axId val="-1371699072"/>
        <c:axId val="-1218804272"/>
      </c:lineChart>
      <c:catAx>
        <c:axId val="-12187982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218797744"/>
        <c:crosses val="autoZero"/>
        <c:auto val="1"/>
        <c:lblAlgn val="ctr"/>
        <c:lblOffset val="100"/>
        <c:noMultiLvlLbl val="0"/>
      </c:catAx>
      <c:valAx>
        <c:axId val="-1218797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218798288"/>
        <c:crosses val="autoZero"/>
        <c:crossBetween val="between"/>
        <c:dispUnits>
          <c:builtInUnit val="hundredMillions"/>
          <c:dispUnitsLbl>
            <c:layout>
              <c:manualLayout>
                <c:xMode val="edge"/>
                <c:yMode val="edge"/>
                <c:x val="0"/>
                <c:y val="1.5317242029757608E-2"/>
              </c:manualLayout>
            </c:layout>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b="0" i="0" u="none" strike="noStrike" baseline="0">
                      <a:effectLst/>
                    </a:rPr>
                    <a:t>1000 Toneladas</a:t>
                  </a:r>
                  <a:endParaRPr lang="en-US"/>
                </a:p>
              </c:rich>
            </c:tx>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dispUnitsLbl>
        </c:dispUnits>
      </c:valAx>
      <c:valAx>
        <c:axId val="-1218804272"/>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371699072"/>
        <c:crosses val="max"/>
        <c:crossBetween val="between"/>
      </c:valAx>
      <c:catAx>
        <c:axId val="-1371699072"/>
        <c:scaling>
          <c:orientation val="minMax"/>
        </c:scaling>
        <c:delete val="1"/>
        <c:axPos val="b"/>
        <c:numFmt formatCode="0" sourceLinked="1"/>
        <c:majorTickMark val="out"/>
        <c:minorTickMark val="none"/>
        <c:tickLblPos val="nextTo"/>
        <c:crossAx val="-1218804272"/>
        <c:crosses val="autoZero"/>
        <c:auto val="1"/>
        <c:lblAlgn val="ctr"/>
        <c:lblOffset val="100"/>
        <c:noMultiLvlLbl val="0"/>
      </c:catAx>
      <c:spPr>
        <a:noFill/>
        <a:ln>
          <a:noFill/>
        </a:ln>
        <a:effectLst/>
      </c:spPr>
    </c:plotArea>
    <c:legend>
      <c:legendPos val="b"/>
      <c:layout>
        <c:manualLayout>
          <c:xMode val="edge"/>
          <c:yMode val="edge"/>
          <c:x val="2.1081924818196544E-2"/>
          <c:y val="0.81151498841035163"/>
          <c:w val="0.96623565166491943"/>
          <c:h val="0.155408936617211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6350" cap="flat" cmpd="sng" algn="ctr">
      <a:solidFill>
        <a:schemeClr val="tx1"/>
      </a:solidFill>
      <a:round/>
    </a:ln>
    <a:effectLst/>
  </c:spPr>
  <c:txPr>
    <a:bodyPr/>
    <a:lstStyle/>
    <a:p>
      <a:pPr>
        <a:defRPr sz="900">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744072245206641E-2"/>
          <c:y val="5.171776874769117E-2"/>
          <c:w val="0.90261755416166201"/>
          <c:h val="0.71845405175849142"/>
        </c:manualLayout>
      </c:layout>
      <c:barChart>
        <c:barDir val="col"/>
        <c:grouping val="stacked"/>
        <c:varyColors val="0"/>
        <c:ser>
          <c:idx val="0"/>
          <c:order val="0"/>
          <c:tx>
            <c:v>Energia</c:v>
          </c:tx>
          <c:spPr>
            <a:solidFill>
              <a:schemeClr val="bg2">
                <a:lumMod val="90000"/>
              </a:schemeClr>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setores'!$B$16:$B$29</c:f>
              <c:numCache>
                <c:formatCode>0</c:formatCode>
                <c:ptCount val="14"/>
                <c:pt idx="0">
                  <c:v>125940481.2635898</c:v>
                </c:pt>
                <c:pt idx="1">
                  <c:v>117388136.0560322</c:v>
                </c:pt>
                <c:pt idx="2">
                  <c:v>119657318.80209661</c:v>
                </c:pt>
                <c:pt idx="3">
                  <c:v>123698896.10329837</c:v>
                </c:pt>
                <c:pt idx="4">
                  <c:v>123939975.75428912</c:v>
                </c:pt>
                <c:pt idx="5">
                  <c:v>149793689.38625878</c:v>
                </c:pt>
                <c:pt idx="6">
                  <c:v>165798825.56321177</c:v>
                </c:pt>
                <c:pt idx="7">
                  <c:v>153198362.94895893</c:v>
                </c:pt>
                <c:pt idx="8">
                  <c:v>181028731.63613617</c:v>
                </c:pt>
                <c:pt idx="9">
                  <c:v>192868569.19987968</c:v>
                </c:pt>
                <c:pt idx="10">
                  <c:v>209666372.07947034</c:v>
                </c:pt>
                <c:pt idx="11">
                  <c:v>231266041.89587927</c:v>
                </c:pt>
                <c:pt idx="12">
                  <c:v>246314125.17720091</c:v>
                </c:pt>
                <c:pt idx="13">
                  <c:v>235935254.31815326</c:v>
                </c:pt>
              </c:numCache>
            </c:numRef>
          </c:val>
          <c:extLst>
            <c:ext xmlns:c16="http://schemas.microsoft.com/office/drawing/2014/chart" uri="{C3380CC4-5D6E-409C-BE32-E72D297353CC}">
              <c16:uniqueId val="{00000000-4C09-4256-8C72-BFE2950929B5}"/>
            </c:ext>
          </c:extLst>
        </c:ser>
        <c:ser>
          <c:idx val="2"/>
          <c:order val="1"/>
          <c:tx>
            <c:v>Processos Industriais</c:v>
          </c:tx>
          <c:spPr>
            <a:solidFill>
              <a:schemeClr val="accent4"/>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setores'!$D$16:$D$29</c:f>
              <c:numCache>
                <c:formatCode>0</c:formatCode>
                <c:ptCount val="14"/>
                <c:pt idx="0">
                  <c:v>30805940.814407729</c:v>
                </c:pt>
                <c:pt idx="1">
                  <c:v>30874155.396392141</c:v>
                </c:pt>
                <c:pt idx="2">
                  <c:v>32269895.273894638</c:v>
                </c:pt>
                <c:pt idx="3">
                  <c:v>31709982.396753073</c:v>
                </c:pt>
                <c:pt idx="4">
                  <c:v>32792982.270318344</c:v>
                </c:pt>
                <c:pt idx="5">
                  <c:v>30897354.458806254</c:v>
                </c:pt>
                <c:pt idx="6">
                  <c:v>31752424.486437008</c:v>
                </c:pt>
                <c:pt idx="7">
                  <c:v>28904668.613141142</c:v>
                </c:pt>
                <c:pt idx="8">
                  <c:v>35402388.135857798</c:v>
                </c:pt>
                <c:pt idx="9">
                  <c:v>39856992.919476129</c:v>
                </c:pt>
                <c:pt idx="10">
                  <c:v>39279049.467252254</c:v>
                </c:pt>
                <c:pt idx="11">
                  <c:v>38985855.051626116</c:v>
                </c:pt>
                <c:pt idx="12">
                  <c:v>34848193.475719146</c:v>
                </c:pt>
                <c:pt idx="13">
                  <c:v>34227124.319972359</c:v>
                </c:pt>
              </c:numCache>
            </c:numRef>
          </c:val>
          <c:extLst>
            <c:ext xmlns:c16="http://schemas.microsoft.com/office/drawing/2014/chart" uri="{C3380CC4-5D6E-409C-BE32-E72D297353CC}">
              <c16:uniqueId val="{00000001-4C09-4256-8C72-BFE2950929B5}"/>
            </c:ext>
          </c:extLst>
        </c:ser>
        <c:ser>
          <c:idx val="4"/>
          <c:order val="2"/>
          <c:tx>
            <c:v>Resíduos</c:v>
          </c:tx>
          <c:spPr>
            <a:solidFill>
              <a:srgbClr val="C00000"/>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setores'!$F$16:$F$29</c:f>
              <c:numCache>
                <c:formatCode>0</c:formatCode>
                <c:ptCount val="14"/>
                <c:pt idx="0">
                  <c:v>6660799.325149144</c:v>
                </c:pt>
                <c:pt idx="1">
                  <c:v>6971144.3048818074</c:v>
                </c:pt>
                <c:pt idx="2">
                  <c:v>7087889.1426579254</c:v>
                </c:pt>
                <c:pt idx="3">
                  <c:v>7298684.175317131</c:v>
                </c:pt>
                <c:pt idx="4">
                  <c:v>7509729.1547012012</c:v>
                </c:pt>
                <c:pt idx="5">
                  <c:v>7578403.1256749667</c:v>
                </c:pt>
                <c:pt idx="6">
                  <c:v>7570379.1661591073</c:v>
                </c:pt>
                <c:pt idx="7">
                  <c:v>7871369.196434523</c:v>
                </c:pt>
                <c:pt idx="8">
                  <c:v>8358868.6525881439</c:v>
                </c:pt>
                <c:pt idx="9">
                  <c:v>8541620.0490048565</c:v>
                </c:pt>
                <c:pt idx="10">
                  <c:v>8644506.1875119135</c:v>
                </c:pt>
                <c:pt idx="11">
                  <c:v>8953371.5341737568</c:v>
                </c:pt>
                <c:pt idx="12">
                  <c:v>9028055.5177417099</c:v>
                </c:pt>
                <c:pt idx="13">
                  <c:v>9083095.2012217622</c:v>
                </c:pt>
              </c:numCache>
            </c:numRef>
          </c:val>
          <c:extLst>
            <c:ext xmlns:c16="http://schemas.microsoft.com/office/drawing/2014/chart" uri="{C3380CC4-5D6E-409C-BE32-E72D297353CC}">
              <c16:uniqueId val="{00000002-4C09-4256-8C72-BFE2950929B5}"/>
            </c:ext>
          </c:extLst>
        </c:ser>
        <c:ser>
          <c:idx val="6"/>
          <c:order val="3"/>
          <c:tx>
            <c:v>Mudanças no uso da terra</c:v>
          </c:tx>
          <c:spPr>
            <a:solidFill>
              <a:schemeClr val="accent6">
                <a:lumMod val="75000"/>
              </a:schemeClr>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setores'!$H$16:$H$29</c:f>
              <c:numCache>
                <c:formatCode>0</c:formatCode>
                <c:ptCount val="14"/>
                <c:pt idx="0">
                  <c:v>179734442.82805681</c:v>
                </c:pt>
                <c:pt idx="1">
                  <c:v>335765556.29968548</c:v>
                </c:pt>
                <c:pt idx="2">
                  <c:v>317332346.3810941</c:v>
                </c:pt>
                <c:pt idx="3">
                  <c:v>329816002.78615612</c:v>
                </c:pt>
                <c:pt idx="4">
                  <c:v>310208204.79825842</c:v>
                </c:pt>
                <c:pt idx="5">
                  <c:v>307327572.17301643</c:v>
                </c:pt>
                <c:pt idx="6">
                  <c:v>354365459.99057263</c:v>
                </c:pt>
                <c:pt idx="7">
                  <c:v>259633014.11870643</c:v>
                </c:pt>
                <c:pt idx="8">
                  <c:v>200529111.72111702</c:v>
                </c:pt>
                <c:pt idx="9">
                  <c:v>191281737.92310959</c:v>
                </c:pt>
                <c:pt idx="10">
                  <c:v>239126684.28619224</c:v>
                </c:pt>
                <c:pt idx="11">
                  <c:v>277753735.84501082</c:v>
                </c:pt>
                <c:pt idx="12">
                  <c:v>252571576.28610295</c:v>
                </c:pt>
                <c:pt idx="13">
                  <c:v>225805007.90325794</c:v>
                </c:pt>
              </c:numCache>
            </c:numRef>
          </c:val>
          <c:extLst>
            <c:ext xmlns:c16="http://schemas.microsoft.com/office/drawing/2014/chart" uri="{C3380CC4-5D6E-409C-BE32-E72D297353CC}">
              <c16:uniqueId val="{00000003-4C09-4256-8C72-BFE2950929B5}"/>
            </c:ext>
          </c:extLst>
        </c:ser>
        <c:ser>
          <c:idx val="8"/>
          <c:order val="4"/>
          <c:tx>
            <c:v>Agropecuária</c:v>
          </c:tx>
          <c:spPr>
            <a:solidFill>
              <a:schemeClr val="accent2"/>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setores'!$J$16:$J$29</c:f>
              <c:numCache>
                <c:formatCode>0</c:formatCode>
                <c:ptCount val="14"/>
                <c:pt idx="0">
                  <c:v>35072916.760793701</c:v>
                </c:pt>
                <c:pt idx="1">
                  <c:v>36830963.300575659</c:v>
                </c:pt>
                <c:pt idx="2">
                  <c:v>37552816.935770966</c:v>
                </c:pt>
                <c:pt idx="3">
                  <c:v>38467980.050667763</c:v>
                </c:pt>
                <c:pt idx="4">
                  <c:v>39457104.372652665</c:v>
                </c:pt>
                <c:pt idx="5">
                  <c:v>39927149.460723862</c:v>
                </c:pt>
                <c:pt idx="6">
                  <c:v>39563534.431022495</c:v>
                </c:pt>
                <c:pt idx="7">
                  <c:v>39610029.803870603</c:v>
                </c:pt>
                <c:pt idx="8">
                  <c:v>40408233.419083014</c:v>
                </c:pt>
                <c:pt idx="9">
                  <c:v>41638958.443685003</c:v>
                </c:pt>
                <c:pt idx="10">
                  <c:v>39811557.545560218</c:v>
                </c:pt>
                <c:pt idx="11">
                  <c:v>40538610.556811102</c:v>
                </c:pt>
                <c:pt idx="12">
                  <c:v>41274010.857173704</c:v>
                </c:pt>
                <c:pt idx="13">
                  <c:v>40537236.548151769</c:v>
                </c:pt>
              </c:numCache>
            </c:numRef>
          </c:val>
          <c:extLst>
            <c:ext xmlns:c16="http://schemas.microsoft.com/office/drawing/2014/chart" uri="{C3380CC4-5D6E-409C-BE32-E72D297353CC}">
              <c16:uniqueId val="{00000004-4C09-4256-8C72-BFE2950929B5}"/>
            </c:ext>
          </c:extLst>
        </c:ser>
        <c:dLbls>
          <c:showLegendKey val="0"/>
          <c:showVal val="0"/>
          <c:showCatName val="0"/>
          <c:showSerName val="0"/>
          <c:showPercent val="0"/>
          <c:showBubbleSize val="0"/>
        </c:dLbls>
        <c:gapWidth val="100"/>
        <c:overlap val="100"/>
        <c:axId val="-1371698528"/>
        <c:axId val="-1371695264"/>
      </c:barChart>
      <c:catAx>
        <c:axId val="-137169852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pt-BR"/>
          </a:p>
        </c:txPr>
        <c:crossAx val="-1371695264"/>
        <c:crosses val="autoZero"/>
        <c:auto val="1"/>
        <c:lblAlgn val="ctr"/>
        <c:lblOffset val="100"/>
        <c:noMultiLvlLbl val="0"/>
      </c:catAx>
      <c:valAx>
        <c:axId val="-13716952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pt-BR"/>
          </a:p>
        </c:txPr>
        <c:crossAx val="-1371698528"/>
        <c:crosses val="autoZero"/>
        <c:crossBetween val="between"/>
        <c:dispUnits>
          <c:builtInUnit val="millions"/>
          <c:dispUnitsLbl>
            <c:layout>
              <c:manualLayout>
                <c:xMode val="edge"/>
                <c:yMode val="edge"/>
                <c:x val="0"/>
                <c:y val="4.4625046176579232E-2"/>
              </c:manualLayout>
            </c:layout>
            <c:tx>
              <c:rich>
                <a:bodyPr/>
                <a:lstStyle/>
                <a:p>
                  <a:pPr>
                    <a:defRPr sz="1000" b="0"/>
                  </a:pPr>
                  <a:r>
                    <a:rPr lang="pt-BR" sz="1000" b="0"/>
                    <a:t>1000 toneladas</a:t>
                  </a:r>
                </a:p>
              </c:rich>
            </c:tx>
          </c:dispUnitsLbl>
        </c:dispUnits>
      </c:valAx>
      <c:spPr>
        <a:noFill/>
        <a:ln>
          <a:noFill/>
        </a:ln>
        <a:effectLst/>
      </c:spPr>
    </c:plotArea>
    <c:legend>
      <c:legendPos val="b"/>
      <c:layout>
        <c:manualLayout>
          <c:xMode val="edge"/>
          <c:yMode val="edge"/>
          <c:x val="0.10710006433390105"/>
          <c:y val="0.86815226781543331"/>
          <c:w val="0.78579987133219786"/>
          <c:h val="0.10968297414984191"/>
        </c:manualLayout>
      </c:layout>
      <c:overlay val="0"/>
      <c:spPr>
        <a:noFill/>
        <a:ln>
          <a:noFill/>
        </a:ln>
        <a:effectLst/>
      </c:spPr>
      <c:txPr>
        <a:bodyPr rot="0" vert="horz"/>
        <a:lstStyle/>
        <a:p>
          <a:pPr>
            <a:defRPr/>
          </a:pPr>
          <a:endParaRPr lang="pt-BR"/>
        </a:p>
      </c:txPr>
    </c:legend>
    <c:plotVisOnly val="1"/>
    <c:dispBlanksAs val="gap"/>
    <c:showDLblsOverMax val="0"/>
  </c:chart>
  <c:spPr>
    <a:solidFill>
      <a:schemeClr val="bg1"/>
    </a:solidFill>
    <a:ln w="6350" cap="flat" cmpd="sng" algn="ctr">
      <a:solidFill>
        <a:schemeClr val="tx1"/>
      </a:solidFill>
      <a:round/>
    </a:ln>
    <a:effectLst/>
  </c:spPr>
  <c:txPr>
    <a:bodyPr/>
    <a:lstStyle/>
    <a:p>
      <a:pPr>
        <a:defRPr sz="900">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950834008426517"/>
          <c:y val="5.171776874769117E-2"/>
          <c:w val="0.83637717480092688"/>
          <c:h val="0.86044198836200236"/>
        </c:manualLayout>
      </c:layout>
      <c:barChart>
        <c:barDir val="col"/>
        <c:grouping val="stacked"/>
        <c:varyColors val="0"/>
        <c:ser>
          <c:idx val="0"/>
          <c:order val="0"/>
          <c:tx>
            <c:strRef>
              <c:f>'Etados setores'!$B$2</c:f>
              <c:strCache>
                <c:ptCount val="1"/>
                <c:pt idx="0">
                  <c:v>ene</c:v>
                </c:pt>
              </c:strCache>
            </c:strRef>
          </c:tx>
          <c:spPr>
            <a:solidFill>
              <a:schemeClr val="bg2">
                <a:lumMod val="90000"/>
              </a:schemeClr>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setores'!$R$16:$R$29</c:f>
              <c:numCache>
                <c:formatCode>0</c:formatCode>
                <c:ptCount val="14"/>
                <c:pt idx="0">
                  <c:v>31281195.17486009</c:v>
                </c:pt>
                <c:pt idx="1">
                  <c:v>29706494.292256117</c:v>
                </c:pt>
                <c:pt idx="2">
                  <c:v>32509851.658733737</c:v>
                </c:pt>
                <c:pt idx="3">
                  <c:v>33886924.882342532</c:v>
                </c:pt>
                <c:pt idx="4">
                  <c:v>33645931.110298902</c:v>
                </c:pt>
                <c:pt idx="5">
                  <c:v>40194785.214416116</c:v>
                </c:pt>
                <c:pt idx="6">
                  <c:v>44116581.900766514</c:v>
                </c:pt>
                <c:pt idx="7">
                  <c:v>42576115.961656108</c:v>
                </c:pt>
                <c:pt idx="8">
                  <c:v>49720446.584317535</c:v>
                </c:pt>
                <c:pt idx="9">
                  <c:v>53422438.270464301</c:v>
                </c:pt>
                <c:pt idx="10">
                  <c:v>60701105.678438395</c:v>
                </c:pt>
                <c:pt idx="11">
                  <c:v>74910134.621246845</c:v>
                </c:pt>
                <c:pt idx="12">
                  <c:v>85510063.968281403</c:v>
                </c:pt>
                <c:pt idx="13">
                  <c:v>82467880.548767373</c:v>
                </c:pt>
              </c:numCache>
            </c:numRef>
          </c:val>
          <c:extLst>
            <c:ext xmlns:c16="http://schemas.microsoft.com/office/drawing/2014/chart" uri="{C3380CC4-5D6E-409C-BE32-E72D297353CC}">
              <c16:uniqueId val="{00000000-2239-4C54-8E0C-0C51345C0067}"/>
            </c:ext>
          </c:extLst>
        </c:ser>
        <c:ser>
          <c:idx val="2"/>
          <c:order val="1"/>
          <c:tx>
            <c:strRef>
              <c:f>'Etados setores'!$D$2</c:f>
              <c:strCache>
                <c:ptCount val="1"/>
                <c:pt idx="0">
                  <c:v>pro</c:v>
                </c:pt>
              </c:strCache>
            </c:strRef>
          </c:tx>
          <c:spPr>
            <a:solidFill>
              <a:schemeClr val="accent4"/>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setores'!$T$16:$T$29</c:f>
              <c:numCache>
                <c:formatCode>0</c:formatCode>
                <c:ptCount val="14"/>
                <c:pt idx="0">
                  <c:v>4807625.7264169296</c:v>
                </c:pt>
                <c:pt idx="1">
                  <c:v>4474013.3073528139</c:v>
                </c:pt>
                <c:pt idx="2">
                  <c:v>4357454.0623245938</c:v>
                </c:pt>
                <c:pt idx="3">
                  <c:v>5095507.0048397426</c:v>
                </c:pt>
                <c:pt idx="4">
                  <c:v>5427657.9524711613</c:v>
                </c:pt>
                <c:pt idx="5">
                  <c:v>5787106.9257726548</c:v>
                </c:pt>
                <c:pt idx="6">
                  <c:v>5949626.2532997662</c:v>
                </c:pt>
                <c:pt idx="7">
                  <c:v>5572459.4510907326</c:v>
                </c:pt>
                <c:pt idx="8">
                  <c:v>5992689.8455718569</c:v>
                </c:pt>
                <c:pt idx="9">
                  <c:v>6301124.3460566318</c:v>
                </c:pt>
                <c:pt idx="10">
                  <c:v>6770810.2664293125</c:v>
                </c:pt>
                <c:pt idx="11">
                  <c:v>6919261.5951864831</c:v>
                </c:pt>
                <c:pt idx="12">
                  <c:v>7099420.5777241001</c:v>
                </c:pt>
                <c:pt idx="13">
                  <c:v>6588867.3191050142</c:v>
                </c:pt>
              </c:numCache>
            </c:numRef>
          </c:val>
          <c:extLst>
            <c:ext xmlns:c16="http://schemas.microsoft.com/office/drawing/2014/chart" uri="{C3380CC4-5D6E-409C-BE32-E72D297353CC}">
              <c16:uniqueId val="{00000001-2239-4C54-8E0C-0C51345C0067}"/>
            </c:ext>
          </c:extLst>
        </c:ser>
        <c:ser>
          <c:idx val="4"/>
          <c:order val="2"/>
          <c:tx>
            <c:strRef>
              <c:f>'Etados setores'!$V$2</c:f>
              <c:strCache>
                <c:ptCount val="1"/>
                <c:pt idx="0">
                  <c:v>res</c:v>
                </c:pt>
              </c:strCache>
            </c:strRef>
          </c:tx>
          <c:spPr>
            <a:solidFill>
              <a:srgbClr val="C00000"/>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setores'!$V$16:$V$29</c:f>
              <c:numCache>
                <c:formatCode>0</c:formatCode>
                <c:ptCount val="14"/>
                <c:pt idx="0">
                  <c:v>2239156.5224210196</c:v>
                </c:pt>
                <c:pt idx="1">
                  <c:v>2324251.790405299</c:v>
                </c:pt>
                <c:pt idx="2">
                  <c:v>2391355.5868897568</c:v>
                </c:pt>
                <c:pt idx="3">
                  <c:v>2447773.2620488694</c:v>
                </c:pt>
                <c:pt idx="4">
                  <c:v>2484498.8857276747</c:v>
                </c:pt>
                <c:pt idx="5">
                  <c:v>2575284.2994176755</c:v>
                </c:pt>
                <c:pt idx="6">
                  <c:v>2632383.9729119586</c:v>
                </c:pt>
                <c:pt idx="7">
                  <c:v>2795835.1874337783</c:v>
                </c:pt>
                <c:pt idx="8">
                  <c:v>2945834.8390298975</c:v>
                </c:pt>
                <c:pt idx="9">
                  <c:v>3005090.5408068737</c:v>
                </c:pt>
                <c:pt idx="10">
                  <c:v>3153653.262805393</c:v>
                </c:pt>
                <c:pt idx="11">
                  <c:v>3218858.0662607457</c:v>
                </c:pt>
                <c:pt idx="12">
                  <c:v>3107901.4674261054</c:v>
                </c:pt>
                <c:pt idx="13">
                  <c:v>3122352.804167524</c:v>
                </c:pt>
              </c:numCache>
            </c:numRef>
          </c:val>
          <c:extLst>
            <c:ext xmlns:c16="http://schemas.microsoft.com/office/drawing/2014/chart" uri="{C3380CC4-5D6E-409C-BE32-E72D297353CC}">
              <c16:uniqueId val="{00000002-2239-4C54-8E0C-0C51345C0067}"/>
            </c:ext>
          </c:extLst>
        </c:ser>
        <c:ser>
          <c:idx val="6"/>
          <c:order val="3"/>
          <c:tx>
            <c:strRef>
              <c:f>'Etados setores'!$H$2</c:f>
              <c:strCache>
                <c:ptCount val="1"/>
                <c:pt idx="0">
                  <c:v>mud</c:v>
                </c:pt>
              </c:strCache>
            </c:strRef>
          </c:tx>
          <c:spPr>
            <a:solidFill>
              <a:schemeClr val="accent6">
                <a:lumMod val="75000"/>
              </a:schemeClr>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setores'!$X$16:$X$29</c:f>
              <c:numCache>
                <c:formatCode>0</c:formatCode>
                <c:ptCount val="14"/>
                <c:pt idx="0">
                  <c:v>175093431.91548097</c:v>
                </c:pt>
                <c:pt idx="1">
                  <c:v>303056310.51049805</c:v>
                </c:pt>
                <c:pt idx="2">
                  <c:v>285017516.59190667</c:v>
                </c:pt>
                <c:pt idx="3">
                  <c:v>297357820.99696869</c:v>
                </c:pt>
                <c:pt idx="4">
                  <c:v>277486067.00907099</c:v>
                </c:pt>
                <c:pt idx="5">
                  <c:v>274458826.383829</c:v>
                </c:pt>
                <c:pt idx="6">
                  <c:v>321898214.2013852</c:v>
                </c:pt>
                <c:pt idx="7">
                  <c:v>245068900.02684349</c:v>
                </c:pt>
                <c:pt idx="8">
                  <c:v>194745392.07746929</c:v>
                </c:pt>
                <c:pt idx="9">
                  <c:v>184180010.40243053</c:v>
                </c:pt>
                <c:pt idx="10">
                  <c:v>234880439.68948928</c:v>
                </c:pt>
                <c:pt idx="11">
                  <c:v>274984021.04420906</c:v>
                </c:pt>
                <c:pt idx="12">
                  <c:v>249850547.37857974</c:v>
                </c:pt>
                <c:pt idx="13">
                  <c:v>222185475.10158825</c:v>
                </c:pt>
              </c:numCache>
            </c:numRef>
          </c:val>
          <c:extLst>
            <c:ext xmlns:c16="http://schemas.microsoft.com/office/drawing/2014/chart" uri="{C3380CC4-5D6E-409C-BE32-E72D297353CC}">
              <c16:uniqueId val="{00000003-2239-4C54-8E0C-0C51345C0067}"/>
            </c:ext>
          </c:extLst>
        </c:ser>
        <c:ser>
          <c:idx val="8"/>
          <c:order val="4"/>
          <c:tx>
            <c:strRef>
              <c:f>'Etados setores'!$J$2</c:f>
              <c:strCache>
                <c:ptCount val="1"/>
                <c:pt idx="0">
                  <c:v>agr</c:v>
                </c:pt>
              </c:strCache>
            </c:strRef>
          </c:tx>
          <c:spPr>
            <a:solidFill>
              <a:schemeClr val="accent2"/>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setores'!$Z$16:$Z$29</c:f>
              <c:numCache>
                <c:formatCode>0</c:formatCode>
                <c:ptCount val="14"/>
                <c:pt idx="0">
                  <c:v>19832404.868666455</c:v>
                </c:pt>
                <c:pt idx="1">
                  <c:v>20783567.6825132</c:v>
                </c:pt>
                <c:pt idx="2">
                  <c:v>21484963.393147051</c:v>
                </c:pt>
                <c:pt idx="3">
                  <c:v>22163164.832668107</c:v>
                </c:pt>
                <c:pt idx="4">
                  <c:v>22878130.297717981</c:v>
                </c:pt>
                <c:pt idx="5">
                  <c:v>23315193.369807974</c:v>
                </c:pt>
                <c:pt idx="6">
                  <c:v>23398451.390610434</c:v>
                </c:pt>
                <c:pt idx="7">
                  <c:v>23246758.039698001</c:v>
                </c:pt>
                <c:pt idx="8">
                  <c:v>23717424.948076986</c:v>
                </c:pt>
                <c:pt idx="9">
                  <c:v>24386366.362999871</c:v>
                </c:pt>
                <c:pt idx="10">
                  <c:v>23184485.011269063</c:v>
                </c:pt>
                <c:pt idx="11">
                  <c:v>23405402.071131784</c:v>
                </c:pt>
                <c:pt idx="12">
                  <c:v>24310050.072589587</c:v>
                </c:pt>
                <c:pt idx="13">
                  <c:v>23780890.287126273</c:v>
                </c:pt>
              </c:numCache>
            </c:numRef>
          </c:val>
          <c:extLst>
            <c:ext xmlns:c16="http://schemas.microsoft.com/office/drawing/2014/chart" uri="{C3380CC4-5D6E-409C-BE32-E72D297353CC}">
              <c16:uniqueId val="{00000004-2239-4C54-8E0C-0C51345C0067}"/>
            </c:ext>
          </c:extLst>
        </c:ser>
        <c:dLbls>
          <c:showLegendKey val="0"/>
          <c:showVal val="0"/>
          <c:showCatName val="0"/>
          <c:showSerName val="0"/>
          <c:showPercent val="0"/>
          <c:showBubbleSize val="0"/>
        </c:dLbls>
        <c:gapWidth val="75"/>
        <c:overlap val="100"/>
        <c:axId val="-1371694176"/>
        <c:axId val="-1371696896"/>
      </c:barChart>
      <c:catAx>
        <c:axId val="-1371694176"/>
        <c:scaling>
          <c:orientation val="minMax"/>
        </c:scaling>
        <c:delete val="1"/>
        <c:axPos val="b"/>
        <c:numFmt formatCode="0" sourceLinked="1"/>
        <c:majorTickMark val="none"/>
        <c:minorTickMark val="none"/>
        <c:tickLblPos val="nextTo"/>
        <c:crossAx val="-1371696896"/>
        <c:crosses val="autoZero"/>
        <c:auto val="1"/>
        <c:lblAlgn val="ctr"/>
        <c:lblOffset val="100"/>
        <c:noMultiLvlLbl val="0"/>
      </c:catAx>
      <c:valAx>
        <c:axId val="-137169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pt-BR" b="0"/>
                  <a:t>1000 toneladas</a:t>
                </a:r>
              </a:p>
            </c:rich>
          </c:tx>
          <c:layout>
            <c:manualLayout>
              <c:xMode val="edge"/>
              <c:yMode val="edge"/>
              <c:x val="3.465177055192681E-3"/>
              <c:y val="4.0001490685875232E-2"/>
            </c:manualLayout>
          </c:layout>
          <c:overlay val="0"/>
        </c:title>
        <c:numFmt formatCode="#,##0" sourceLinked="0"/>
        <c:majorTickMark val="none"/>
        <c:minorTickMark val="none"/>
        <c:tickLblPos val="nextTo"/>
        <c:spPr>
          <a:noFill/>
          <a:ln>
            <a:noFill/>
          </a:ln>
          <a:effectLst/>
        </c:spPr>
        <c:txPr>
          <a:bodyPr rot="-60000000" vert="horz"/>
          <a:lstStyle/>
          <a:p>
            <a:pPr>
              <a:defRPr/>
            </a:pPr>
            <a:endParaRPr lang="pt-BR"/>
          </a:p>
        </c:txPr>
        <c:crossAx val="-1371694176"/>
        <c:crosses val="autoZero"/>
        <c:crossBetween val="between"/>
        <c:dispUnits>
          <c:builtInUnit val="millions"/>
        </c:dispUnits>
      </c:valAx>
      <c:spPr>
        <a:noFill/>
        <a:ln>
          <a:noFill/>
        </a:ln>
        <a:effectLst/>
      </c:spPr>
    </c:plotArea>
    <c:plotVisOnly val="1"/>
    <c:dispBlanksAs val="gap"/>
    <c:showDLblsOverMax val="0"/>
  </c:chart>
  <c:spPr>
    <a:solidFill>
      <a:schemeClr val="bg1"/>
    </a:solidFill>
    <a:ln w="6350" cap="flat" cmpd="sng" algn="ctr">
      <a:solidFill>
        <a:sysClr val="windowText" lastClr="000000"/>
      </a:solidFill>
      <a:round/>
    </a:ln>
    <a:effectLst/>
  </c:spPr>
  <c:txPr>
    <a:bodyPr/>
    <a:lstStyle/>
    <a:p>
      <a:pPr>
        <a:defRPr sz="900">
          <a:latin typeface="Times New Roman" panose="02020603050405020304" pitchFamily="18" charset="0"/>
          <a:cs typeface="Times New Roman" panose="02020603050405020304" pitchFamily="18" charset="0"/>
        </a:defRPr>
      </a:pPr>
      <a:endParaRPr lang="pt-BR"/>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498040167886504"/>
          <c:y val="5.171776874769117E-2"/>
          <c:w val="0.85824482292136406"/>
          <c:h val="0.86044198836200236"/>
        </c:manualLayout>
      </c:layout>
      <c:barChart>
        <c:barDir val="col"/>
        <c:grouping val="stacked"/>
        <c:varyColors val="0"/>
        <c:ser>
          <c:idx val="0"/>
          <c:order val="0"/>
          <c:tx>
            <c:strRef>
              <c:f>'Etados setores'!$B$2</c:f>
              <c:strCache>
                <c:ptCount val="1"/>
                <c:pt idx="0">
                  <c:v>ene</c:v>
                </c:pt>
              </c:strCache>
            </c:strRef>
          </c:tx>
          <c:spPr>
            <a:solidFill>
              <a:schemeClr val="bg2">
                <a:lumMod val="90000"/>
              </a:schemeClr>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setores'!$AV$16:$AV$29</c:f>
              <c:numCache>
                <c:formatCode>0</c:formatCode>
                <c:ptCount val="14"/>
                <c:pt idx="0">
                  <c:v>23754761.015107688</c:v>
                </c:pt>
                <c:pt idx="1">
                  <c:v>21930423.963869043</c:v>
                </c:pt>
                <c:pt idx="2">
                  <c:v>22311715.597919337</c:v>
                </c:pt>
                <c:pt idx="3">
                  <c:v>25348574.152037732</c:v>
                </c:pt>
                <c:pt idx="4">
                  <c:v>24983366.466889597</c:v>
                </c:pt>
                <c:pt idx="5">
                  <c:v>30221300.38094471</c:v>
                </c:pt>
                <c:pt idx="6">
                  <c:v>38827892.379548632</c:v>
                </c:pt>
                <c:pt idx="7">
                  <c:v>37276373.215028711</c:v>
                </c:pt>
                <c:pt idx="8">
                  <c:v>39061528.823070958</c:v>
                </c:pt>
                <c:pt idx="9">
                  <c:v>35976967.255844809</c:v>
                </c:pt>
                <c:pt idx="10">
                  <c:v>41719822.925120793</c:v>
                </c:pt>
                <c:pt idx="11">
                  <c:v>47385596.010216981</c:v>
                </c:pt>
                <c:pt idx="12">
                  <c:v>51175528.62859486</c:v>
                </c:pt>
                <c:pt idx="13">
                  <c:v>50708788.698472843</c:v>
                </c:pt>
              </c:numCache>
            </c:numRef>
          </c:val>
          <c:extLst>
            <c:ext xmlns:c16="http://schemas.microsoft.com/office/drawing/2014/chart" uri="{C3380CC4-5D6E-409C-BE32-E72D297353CC}">
              <c16:uniqueId val="{00000000-6D4C-40EC-B657-4D2EDC2F6834}"/>
            </c:ext>
          </c:extLst>
        </c:ser>
        <c:ser>
          <c:idx val="2"/>
          <c:order val="1"/>
          <c:tx>
            <c:strRef>
              <c:f>'Etados setores'!$D$2</c:f>
              <c:strCache>
                <c:ptCount val="1"/>
                <c:pt idx="0">
                  <c:v>pro</c:v>
                </c:pt>
              </c:strCache>
            </c:strRef>
          </c:tx>
          <c:spPr>
            <a:solidFill>
              <a:schemeClr val="accent4"/>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setores'!$AX$16:$AX$29</c:f>
              <c:numCache>
                <c:formatCode>0</c:formatCode>
                <c:ptCount val="14"/>
                <c:pt idx="0">
                  <c:v>6907554.3360292548</c:v>
                </c:pt>
                <c:pt idx="1">
                  <c:v>7690875.2714665607</c:v>
                </c:pt>
                <c:pt idx="2">
                  <c:v>7982744.6489489097</c:v>
                </c:pt>
                <c:pt idx="3">
                  <c:v>7187272.8928611493</c:v>
                </c:pt>
                <c:pt idx="4">
                  <c:v>6763729.2505265931</c:v>
                </c:pt>
                <c:pt idx="5">
                  <c:v>6855136.2528333804</c:v>
                </c:pt>
                <c:pt idx="6">
                  <c:v>7662173.9973754622</c:v>
                </c:pt>
                <c:pt idx="7">
                  <c:v>6314552.0167785008</c:v>
                </c:pt>
                <c:pt idx="8">
                  <c:v>9792708.5966292638</c:v>
                </c:pt>
                <c:pt idx="9">
                  <c:v>14078214.366476102</c:v>
                </c:pt>
                <c:pt idx="10">
                  <c:v>13782181.096644515</c:v>
                </c:pt>
                <c:pt idx="11">
                  <c:v>13213747.812591122</c:v>
                </c:pt>
                <c:pt idx="12">
                  <c:v>7613374.0471753394</c:v>
                </c:pt>
                <c:pt idx="13">
                  <c:v>7588439.4572511138</c:v>
                </c:pt>
              </c:numCache>
            </c:numRef>
          </c:val>
          <c:extLst>
            <c:ext xmlns:c16="http://schemas.microsoft.com/office/drawing/2014/chart" uri="{C3380CC4-5D6E-409C-BE32-E72D297353CC}">
              <c16:uniqueId val="{00000001-6D4C-40EC-B657-4D2EDC2F6834}"/>
            </c:ext>
          </c:extLst>
        </c:ser>
        <c:ser>
          <c:idx val="4"/>
          <c:order val="2"/>
          <c:tx>
            <c:strRef>
              <c:f>'Etados setores'!$V$2</c:f>
              <c:strCache>
                <c:ptCount val="1"/>
                <c:pt idx="0">
                  <c:v>res</c:v>
                </c:pt>
              </c:strCache>
            </c:strRef>
          </c:tx>
          <c:spPr>
            <a:solidFill>
              <a:srgbClr val="C00000"/>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setores'!$AZ$16:$AZ$29</c:f>
              <c:numCache>
                <c:formatCode>0</c:formatCode>
                <c:ptCount val="14"/>
                <c:pt idx="0">
                  <c:v>1157207.929608108</c:v>
                </c:pt>
                <c:pt idx="1">
                  <c:v>1192068.002053275</c:v>
                </c:pt>
                <c:pt idx="2">
                  <c:v>1222437.071249072</c:v>
                </c:pt>
                <c:pt idx="3">
                  <c:v>1251541.6105762729</c:v>
                </c:pt>
                <c:pt idx="4">
                  <c:v>1275190.2494133282</c:v>
                </c:pt>
                <c:pt idx="5">
                  <c:v>1289101.9048050868</c:v>
                </c:pt>
                <c:pt idx="6">
                  <c:v>1317801.7581335166</c:v>
                </c:pt>
                <c:pt idx="7">
                  <c:v>1348244.9990852985</c:v>
                </c:pt>
                <c:pt idx="8">
                  <c:v>1403973.272810258</c:v>
                </c:pt>
                <c:pt idx="9">
                  <c:v>1425979.3649137293</c:v>
                </c:pt>
                <c:pt idx="10">
                  <c:v>1437574.188544353</c:v>
                </c:pt>
                <c:pt idx="11">
                  <c:v>1458257.5611800884</c:v>
                </c:pt>
                <c:pt idx="12">
                  <c:v>1503349.5107736874</c:v>
                </c:pt>
                <c:pt idx="13">
                  <c:v>1524095.3185819518</c:v>
                </c:pt>
              </c:numCache>
            </c:numRef>
          </c:val>
          <c:extLst>
            <c:ext xmlns:c16="http://schemas.microsoft.com/office/drawing/2014/chart" uri="{C3380CC4-5D6E-409C-BE32-E72D297353CC}">
              <c16:uniqueId val="{00000002-6D4C-40EC-B657-4D2EDC2F6834}"/>
            </c:ext>
          </c:extLst>
        </c:ser>
        <c:ser>
          <c:idx val="6"/>
          <c:order val="3"/>
          <c:tx>
            <c:strRef>
              <c:f>'Etados setores'!$H$2</c:f>
              <c:strCache>
                <c:ptCount val="1"/>
                <c:pt idx="0">
                  <c:v>mud</c:v>
                </c:pt>
              </c:strCache>
            </c:strRef>
          </c:tx>
          <c:spPr>
            <a:solidFill>
              <a:schemeClr val="accent6">
                <a:lumMod val="75000"/>
              </a:schemeClr>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setores'!$BB$16:$BB$29</c:f>
              <c:numCache>
                <c:formatCode>0</c:formatCode>
                <c:ptCount val="14"/>
                <c:pt idx="0">
                  <c:v>74275.368202209022</c:v>
                </c:pt>
                <c:pt idx="1">
                  <c:v>5814744.5377267795</c:v>
                </c:pt>
                <c:pt idx="2">
                  <c:v>5814744.5377267795</c:v>
                </c:pt>
                <c:pt idx="3">
                  <c:v>5814744.5377267795</c:v>
                </c:pt>
                <c:pt idx="4">
                  <c:v>5814744.5377267795</c:v>
                </c:pt>
                <c:pt idx="5">
                  <c:v>5814744.5377267795</c:v>
                </c:pt>
                <c:pt idx="6">
                  <c:v>5814744.5377267795</c:v>
                </c:pt>
                <c:pt idx="7">
                  <c:v>332271.11644153023</c:v>
                </c:pt>
                <c:pt idx="8">
                  <c:v>1021733.6830577054</c:v>
                </c:pt>
                <c:pt idx="9">
                  <c:v>423645.67346295103</c:v>
                </c:pt>
                <c:pt idx="10">
                  <c:v>332271.11644153023</c:v>
                </c:pt>
                <c:pt idx="11">
                  <c:v>91374.557021420813</c:v>
                </c:pt>
                <c:pt idx="12">
                  <c:v>99681.334932459082</c:v>
                </c:pt>
                <c:pt idx="13">
                  <c:v>224139.5324988364</c:v>
                </c:pt>
              </c:numCache>
            </c:numRef>
          </c:val>
          <c:extLst>
            <c:ext xmlns:c16="http://schemas.microsoft.com/office/drawing/2014/chart" uri="{C3380CC4-5D6E-409C-BE32-E72D297353CC}">
              <c16:uniqueId val="{00000003-6D4C-40EC-B657-4D2EDC2F6834}"/>
            </c:ext>
          </c:extLst>
        </c:ser>
        <c:ser>
          <c:idx val="8"/>
          <c:order val="4"/>
          <c:tx>
            <c:strRef>
              <c:f>'Etados setores'!$J$2</c:f>
              <c:strCache>
                <c:ptCount val="1"/>
                <c:pt idx="0">
                  <c:v>agr</c:v>
                </c:pt>
              </c:strCache>
            </c:strRef>
          </c:tx>
          <c:spPr>
            <a:solidFill>
              <a:schemeClr val="accent2"/>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setores'!$BD$16:$BD$29</c:f>
              <c:numCache>
                <c:formatCode>0</c:formatCode>
                <c:ptCount val="14"/>
                <c:pt idx="0">
                  <c:v>1299894.3541031459</c:v>
                </c:pt>
                <c:pt idx="1">
                  <c:v>1318696.6179955925</c:v>
                </c:pt>
                <c:pt idx="2">
                  <c:v>1367118.7946046749</c:v>
                </c:pt>
                <c:pt idx="3">
                  <c:v>1380729.735111397</c:v>
                </c:pt>
                <c:pt idx="4">
                  <c:v>1393688.6876544384</c:v>
                </c:pt>
                <c:pt idx="5">
                  <c:v>1352702.8177736173</c:v>
                </c:pt>
                <c:pt idx="6">
                  <c:v>1377745.2220212815</c:v>
                </c:pt>
                <c:pt idx="7">
                  <c:v>1393146.2561790457</c:v>
                </c:pt>
                <c:pt idx="8">
                  <c:v>1399408.9092626157</c:v>
                </c:pt>
                <c:pt idx="9">
                  <c:v>1409461.7300605008</c:v>
                </c:pt>
                <c:pt idx="10">
                  <c:v>1421029.5748980511</c:v>
                </c:pt>
                <c:pt idx="11">
                  <c:v>1479082.5367507336</c:v>
                </c:pt>
                <c:pt idx="12">
                  <c:v>1510271.776297292</c:v>
                </c:pt>
                <c:pt idx="13">
                  <c:v>1459883.6532740262</c:v>
                </c:pt>
              </c:numCache>
            </c:numRef>
          </c:val>
          <c:extLst>
            <c:ext xmlns:c16="http://schemas.microsoft.com/office/drawing/2014/chart" uri="{C3380CC4-5D6E-409C-BE32-E72D297353CC}">
              <c16:uniqueId val="{00000004-6D4C-40EC-B657-4D2EDC2F6834}"/>
            </c:ext>
          </c:extLst>
        </c:ser>
        <c:dLbls>
          <c:showLegendKey val="0"/>
          <c:showVal val="0"/>
          <c:showCatName val="0"/>
          <c:showSerName val="0"/>
          <c:showPercent val="0"/>
          <c:showBubbleSize val="0"/>
        </c:dLbls>
        <c:gapWidth val="75"/>
        <c:overlap val="100"/>
        <c:axId val="-1371697984"/>
        <c:axId val="-1371697440"/>
      </c:barChart>
      <c:catAx>
        <c:axId val="-1371697984"/>
        <c:scaling>
          <c:orientation val="minMax"/>
        </c:scaling>
        <c:delete val="1"/>
        <c:axPos val="b"/>
        <c:numFmt formatCode="0" sourceLinked="1"/>
        <c:majorTickMark val="none"/>
        <c:minorTickMark val="none"/>
        <c:tickLblPos val="nextTo"/>
        <c:crossAx val="-1371697440"/>
        <c:crosses val="autoZero"/>
        <c:auto val="1"/>
        <c:lblAlgn val="ctr"/>
        <c:lblOffset val="100"/>
        <c:noMultiLvlLbl val="0"/>
      </c:catAx>
      <c:valAx>
        <c:axId val="-137169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pt-BR" b="0"/>
                  <a:t>1000  toneladas</a:t>
                </a:r>
              </a:p>
            </c:rich>
          </c:tx>
          <c:layout>
            <c:manualLayout>
              <c:xMode val="edge"/>
              <c:yMode val="edge"/>
              <c:x val="3.465177055192681E-3"/>
              <c:y val="4.0001490685875232E-2"/>
            </c:manualLayout>
          </c:layout>
          <c:overlay val="0"/>
        </c:title>
        <c:numFmt formatCode="#,##0" sourceLinked="0"/>
        <c:majorTickMark val="none"/>
        <c:minorTickMark val="none"/>
        <c:tickLblPos val="nextTo"/>
        <c:spPr>
          <a:noFill/>
          <a:ln>
            <a:noFill/>
          </a:ln>
          <a:effectLst/>
        </c:spPr>
        <c:txPr>
          <a:bodyPr rot="-60000000" vert="horz"/>
          <a:lstStyle/>
          <a:p>
            <a:pPr>
              <a:defRPr/>
            </a:pPr>
            <a:endParaRPr lang="pt-BR"/>
          </a:p>
        </c:txPr>
        <c:crossAx val="-1371697984"/>
        <c:crosses val="autoZero"/>
        <c:crossBetween val="between"/>
        <c:dispUnits>
          <c:builtInUnit val="millions"/>
        </c:dispUnits>
      </c:valAx>
      <c:spPr>
        <a:noFill/>
        <a:ln>
          <a:noFill/>
        </a:ln>
        <a:effectLst/>
      </c:spPr>
    </c:plotArea>
    <c:plotVisOnly val="1"/>
    <c:dispBlanksAs val="gap"/>
    <c:showDLblsOverMax val="0"/>
  </c:chart>
  <c:spPr>
    <a:solidFill>
      <a:schemeClr val="bg1"/>
    </a:solidFill>
    <a:ln w="6350" cap="flat" cmpd="sng" algn="ctr">
      <a:solidFill>
        <a:sysClr val="windowText" lastClr="000000"/>
      </a:solidFill>
      <a:round/>
    </a:ln>
    <a:effectLst/>
  </c:spPr>
  <c:txPr>
    <a:bodyPr/>
    <a:lstStyle/>
    <a:p>
      <a:pPr>
        <a:defRPr sz="800">
          <a:latin typeface="Arial" panose="020B0604020202020204" pitchFamily="34" charset="0"/>
          <a:cs typeface="Arial" panose="020B0604020202020204" pitchFamily="34" charset="0"/>
        </a:defRPr>
      </a:pPr>
      <a:endParaRPr lang="pt-BR"/>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423871447079072"/>
          <c:y val="5.171776874769117E-2"/>
          <c:w val="0.84810058587418991"/>
          <c:h val="0.86044198836200236"/>
        </c:manualLayout>
      </c:layout>
      <c:barChart>
        <c:barDir val="col"/>
        <c:grouping val="stacked"/>
        <c:varyColors val="0"/>
        <c:ser>
          <c:idx val="0"/>
          <c:order val="0"/>
          <c:tx>
            <c:strRef>
              <c:f>'Etados setores'!$B$2</c:f>
              <c:strCache>
                <c:ptCount val="1"/>
                <c:pt idx="0">
                  <c:v>ene</c:v>
                </c:pt>
              </c:strCache>
            </c:strRef>
          </c:tx>
          <c:spPr>
            <a:solidFill>
              <a:schemeClr val="bg2">
                <a:lumMod val="90000"/>
              </a:schemeClr>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setores'!$AG$16:$AG$29</c:f>
              <c:numCache>
                <c:formatCode>0</c:formatCode>
                <c:ptCount val="14"/>
                <c:pt idx="0">
                  <c:v>4752080.2594879316</c:v>
                </c:pt>
                <c:pt idx="1">
                  <c:v>4229352.4208832402</c:v>
                </c:pt>
                <c:pt idx="2">
                  <c:v>3668036.2465562965</c:v>
                </c:pt>
                <c:pt idx="3">
                  <c:v>4176271.2077415208</c:v>
                </c:pt>
                <c:pt idx="4">
                  <c:v>4703945.6836500997</c:v>
                </c:pt>
                <c:pt idx="5">
                  <c:v>6348922.2665939257</c:v>
                </c:pt>
                <c:pt idx="6">
                  <c:v>6633963.8530541081</c:v>
                </c:pt>
                <c:pt idx="7">
                  <c:v>5921041.182810762</c:v>
                </c:pt>
                <c:pt idx="8">
                  <c:v>8843550.4804455973</c:v>
                </c:pt>
                <c:pt idx="9">
                  <c:v>10411845.2616782</c:v>
                </c:pt>
                <c:pt idx="10">
                  <c:v>11420433.632033831</c:v>
                </c:pt>
                <c:pt idx="11">
                  <c:v>12606832.989028722</c:v>
                </c:pt>
                <c:pt idx="12">
                  <c:v>13707277.14997228</c:v>
                </c:pt>
                <c:pt idx="13">
                  <c:v>13153022.43631593</c:v>
                </c:pt>
              </c:numCache>
            </c:numRef>
          </c:val>
          <c:extLst>
            <c:ext xmlns:c16="http://schemas.microsoft.com/office/drawing/2014/chart" uri="{C3380CC4-5D6E-409C-BE32-E72D297353CC}">
              <c16:uniqueId val="{00000000-F926-46AA-AAFC-75C496DB6EA3}"/>
            </c:ext>
          </c:extLst>
        </c:ser>
        <c:ser>
          <c:idx val="2"/>
          <c:order val="1"/>
          <c:tx>
            <c:strRef>
              <c:f>'Etados setores'!$D$2</c:f>
              <c:strCache>
                <c:ptCount val="1"/>
                <c:pt idx="0">
                  <c:v>pro</c:v>
                </c:pt>
              </c:strCache>
            </c:strRef>
          </c:tx>
          <c:spPr>
            <a:solidFill>
              <a:schemeClr val="accent4"/>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setores'!$AI$16:$AI$29</c:f>
              <c:numCache>
                <c:formatCode>0</c:formatCode>
                <c:ptCount val="14"/>
                <c:pt idx="0">
                  <c:v>6824261.957105251</c:v>
                </c:pt>
                <c:pt idx="1">
                  <c:v>5771186.3841006821</c:v>
                </c:pt>
                <c:pt idx="2">
                  <c:v>5716551.2616162887</c:v>
                </c:pt>
                <c:pt idx="3">
                  <c:v>5537055.3115517935</c:v>
                </c:pt>
                <c:pt idx="4">
                  <c:v>5701913.738615918</c:v>
                </c:pt>
                <c:pt idx="5">
                  <c:v>8014455.8386903051</c:v>
                </c:pt>
                <c:pt idx="6">
                  <c:v>8258070.580717559</c:v>
                </c:pt>
                <c:pt idx="7">
                  <c:v>8786263.5923695359</c:v>
                </c:pt>
                <c:pt idx="8">
                  <c:v>9889838.9815645553</c:v>
                </c:pt>
                <c:pt idx="9">
                  <c:v>10159650.145889657</c:v>
                </c:pt>
                <c:pt idx="10">
                  <c:v>9146858.2766816504</c:v>
                </c:pt>
                <c:pt idx="11">
                  <c:v>9574709.4419983588</c:v>
                </c:pt>
                <c:pt idx="12">
                  <c:v>11304454.153275814</c:v>
                </c:pt>
                <c:pt idx="13">
                  <c:v>11526160.842895839</c:v>
                </c:pt>
              </c:numCache>
            </c:numRef>
          </c:val>
          <c:extLst>
            <c:ext xmlns:c16="http://schemas.microsoft.com/office/drawing/2014/chart" uri="{C3380CC4-5D6E-409C-BE32-E72D297353CC}">
              <c16:uniqueId val="{00000001-F926-46AA-AAFC-75C496DB6EA3}"/>
            </c:ext>
          </c:extLst>
        </c:ser>
        <c:ser>
          <c:idx val="4"/>
          <c:order val="2"/>
          <c:tx>
            <c:strRef>
              <c:f>'Etados setores'!$V$2</c:f>
              <c:strCache>
                <c:ptCount val="1"/>
                <c:pt idx="0">
                  <c:v>res</c:v>
                </c:pt>
              </c:strCache>
            </c:strRef>
          </c:tx>
          <c:spPr>
            <a:solidFill>
              <a:srgbClr val="C00000"/>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setores'!$AK$16:$AK$29</c:f>
              <c:numCache>
                <c:formatCode>0</c:formatCode>
                <c:ptCount val="14"/>
                <c:pt idx="0">
                  <c:v>143558.62484208116</c:v>
                </c:pt>
                <c:pt idx="1">
                  <c:v>150331.90156537021</c:v>
                </c:pt>
                <c:pt idx="2">
                  <c:v>155456.101475337</c:v>
                </c:pt>
                <c:pt idx="3">
                  <c:v>161276.73650686082</c:v>
                </c:pt>
                <c:pt idx="4">
                  <c:v>166057.70623388721</c:v>
                </c:pt>
                <c:pt idx="5">
                  <c:v>168613.06222166415</c:v>
                </c:pt>
                <c:pt idx="6">
                  <c:v>169274.79817390445</c:v>
                </c:pt>
                <c:pt idx="7">
                  <c:v>189935.82575961185</c:v>
                </c:pt>
                <c:pt idx="8">
                  <c:v>196209.51722358441</c:v>
                </c:pt>
                <c:pt idx="9">
                  <c:v>202235.48536067287</c:v>
                </c:pt>
                <c:pt idx="10">
                  <c:v>216079.70249617202</c:v>
                </c:pt>
                <c:pt idx="11">
                  <c:v>229210.3875644964</c:v>
                </c:pt>
                <c:pt idx="12">
                  <c:v>222217.40708470857</c:v>
                </c:pt>
                <c:pt idx="13">
                  <c:v>224243.73545409483</c:v>
                </c:pt>
              </c:numCache>
            </c:numRef>
          </c:val>
          <c:extLst>
            <c:ext xmlns:c16="http://schemas.microsoft.com/office/drawing/2014/chart" uri="{C3380CC4-5D6E-409C-BE32-E72D297353CC}">
              <c16:uniqueId val="{00000002-F926-46AA-AAFC-75C496DB6EA3}"/>
            </c:ext>
          </c:extLst>
        </c:ser>
        <c:ser>
          <c:idx val="6"/>
          <c:order val="3"/>
          <c:tx>
            <c:strRef>
              <c:f>'Etados setores'!$H$2</c:f>
              <c:strCache>
                <c:ptCount val="1"/>
                <c:pt idx="0">
                  <c:v>mud</c:v>
                </c:pt>
              </c:strCache>
            </c:strRef>
          </c:tx>
          <c:spPr>
            <a:solidFill>
              <a:schemeClr val="accent6">
                <a:lumMod val="75000"/>
              </a:schemeClr>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setores'!$AM$16:$AM$29</c:f>
              <c:numCache>
                <c:formatCode>0</c:formatCode>
                <c:ptCount val="14"/>
                <c:pt idx="0">
                  <c:v>163195.97967892545</c:v>
                </c:pt>
                <c:pt idx="1">
                  <c:v>10345786.090280516</c:v>
                </c:pt>
                <c:pt idx="2">
                  <c:v>10315294.090280516</c:v>
                </c:pt>
                <c:pt idx="3">
                  <c:v>10309926.090280516</c:v>
                </c:pt>
                <c:pt idx="4">
                  <c:v>10245026.090280516</c:v>
                </c:pt>
                <c:pt idx="5">
                  <c:v>10331530.090280516</c:v>
                </c:pt>
                <c:pt idx="6">
                  <c:v>10333026.090280516</c:v>
                </c:pt>
                <c:pt idx="7">
                  <c:v>1848615.3613180339</c:v>
                </c:pt>
                <c:pt idx="8">
                  <c:v>1061986.5714135524</c:v>
                </c:pt>
                <c:pt idx="9">
                  <c:v>3107531.1596179246</c:v>
                </c:pt>
                <c:pt idx="10">
                  <c:v>312433.44777595636</c:v>
                </c:pt>
                <c:pt idx="11">
                  <c:v>116294.89075453559</c:v>
                </c:pt>
                <c:pt idx="12">
                  <c:v>305531.81550574739</c:v>
                </c:pt>
                <c:pt idx="13">
                  <c:v>1394637.8321223243</c:v>
                </c:pt>
              </c:numCache>
            </c:numRef>
          </c:val>
          <c:extLst>
            <c:ext xmlns:c16="http://schemas.microsoft.com/office/drawing/2014/chart" uri="{C3380CC4-5D6E-409C-BE32-E72D297353CC}">
              <c16:uniqueId val="{00000003-F926-46AA-AAFC-75C496DB6EA3}"/>
            </c:ext>
          </c:extLst>
        </c:ser>
        <c:ser>
          <c:idx val="8"/>
          <c:order val="4"/>
          <c:tx>
            <c:strRef>
              <c:f>'Etados setores'!$J$2</c:f>
              <c:strCache>
                <c:ptCount val="1"/>
                <c:pt idx="0">
                  <c:v>agr</c:v>
                </c:pt>
              </c:strCache>
            </c:strRef>
          </c:tx>
          <c:spPr>
            <a:solidFill>
              <a:schemeClr val="accent2"/>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setores'!$AO$16:$AO$29</c:f>
              <c:numCache>
                <c:formatCode>0</c:formatCode>
                <c:ptCount val="14"/>
                <c:pt idx="0">
                  <c:v>1256263.1149688798</c:v>
                </c:pt>
                <c:pt idx="1">
                  <c:v>1295237.4436035899</c:v>
                </c:pt>
                <c:pt idx="2">
                  <c:v>1367150.389561659</c:v>
                </c:pt>
                <c:pt idx="3">
                  <c:v>1562911.0855320212</c:v>
                </c:pt>
                <c:pt idx="4">
                  <c:v>1634125.1778922852</c:v>
                </c:pt>
                <c:pt idx="5">
                  <c:v>1647184.806096467</c:v>
                </c:pt>
                <c:pt idx="6">
                  <c:v>1589522.2578953495</c:v>
                </c:pt>
                <c:pt idx="7">
                  <c:v>1704956.0157846585</c:v>
                </c:pt>
                <c:pt idx="8">
                  <c:v>1763089.121456451</c:v>
                </c:pt>
                <c:pt idx="9">
                  <c:v>1880828.192680473</c:v>
                </c:pt>
                <c:pt idx="10">
                  <c:v>1930474.8498771396</c:v>
                </c:pt>
                <c:pt idx="11">
                  <c:v>1938695.7285429444</c:v>
                </c:pt>
                <c:pt idx="12">
                  <c:v>2048185.4962310842</c:v>
                </c:pt>
                <c:pt idx="13">
                  <c:v>1906140.6554289996</c:v>
                </c:pt>
              </c:numCache>
            </c:numRef>
          </c:val>
          <c:extLst>
            <c:ext xmlns:c16="http://schemas.microsoft.com/office/drawing/2014/chart" uri="{C3380CC4-5D6E-409C-BE32-E72D297353CC}">
              <c16:uniqueId val="{00000004-F926-46AA-AAFC-75C496DB6EA3}"/>
            </c:ext>
          </c:extLst>
        </c:ser>
        <c:dLbls>
          <c:showLegendKey val="0"/>
          <c:showVal val="0"/>
          <c:showCatName val="0"/>
          <c:showSerName val="0"/>
          <c:showPercent val="0"/>
          <c:showBubbleSize val="0"/>
        </c:dLbls>
        <c:gapWidth val="75"/>
        <c:overlap val="100"/>
        <c:axId val="-1217873824"/>
        <c:axId val="-1217872736"/>
      </c:barChart>
      <c:catAx>
        <c:axId val="-1217873824"/>
        <c:scaling>
          <c:orientation val="minMax"/>
        </c:scaling>
        <c:delete val="1"/>
        <c:axPos val="b"/>
        <c:numFmt formatCode="0" sourceLinked="1"/>
        <c:majorTickMark val="none"/>
        <c:minorTickMark val="none"/>
        <c:tickLblPos val="nextTo"/>
        <c:crossAx val="-1217872736"/>
        <c:crosses val="autoZero"/>
        <c:auto val="1"/>
        <c:lblAlgn val="ctr"/>
        <c:lblOffset val="100"/>
        <c:noMultiLvlLbl val="0"/>
      </c:catAx>
      <c:valAx>
        <c:axId val="-121787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pt-BR" b="0"/>
                  <a:t>1000 Toneladas</a:t>
                </a:r>
              </a:p>
            </c:rich>
          </c:tx>
          <c:layout>
            <c:manualLayout>
              <c:xMode val="edge"/>
              <c:yMode val="edge"/>
              <c:x val="3.465092739868285E-3"/>
              <c:y val="3.3256521639651829E-2"/>
            </c:manualLayout>
          </c:layout>
          <c:overlay val="0"/>
        </c:title>
        <c:numFmt formatCode="#,##0" sourceLinked="0"/>
        <c:majorTickMark val="none"/>
        <c:minorTickMark val="none"/>
        <c:tickLblPos val="nextTo"/>
        <c:spPr>
          <a:noFill/>
          <a:ln>
            <a:noFill/>
          </a:ln>
          <a:effectLst/>
        </c:spPr>
        <c:txPr>
          <a:bodyPr rot="-60000000" vert="horz"/>
          <a:lstStyle/>
          <a:p>
            <a:pPr>
              <a:defRPr/>
            </a:pPr>
            <a:endParaRPr lang="pt-BR"/>
          </a:p>
        </c:txPr>
        <c:crossAx val="-1217873824"/>
        <c:crosses val="autoZero"/>
        <c:crossBetween val="between"/>
        <c:dispUnits>
          <c:builtInUnit val="millions"/>
        </c:dispUnits>
      </c:valAx>
      <c:spPr>
        <a:noFill/>
        <a:ln>
          <a:noFill/>
        </a:ln>
        <a:effectLst/>
      </c:spPr>
    </c:plotArea>
    <c:plotVisOnly val="1"/>
    <c:dispBlanksAs val="gap"/>
    <c:showDLblsOverMax val="0"/>
  </c:chart>
  <c:spPr>
    <a:solidFill>
      <a:schemeClr val="bg1"/>
    </a:solidFill>
    <a:ln w="6350" cap="flat" cmpd="sng" algn="ctr">
      <a:solidFill>
        <a:sysClr val="windowText" lastClr="000000"/>
      </a:solidFill>
      <a:round/>
    </a:ln>
    <a:effectLst/>
  </c:spPr>
  <c:txPr>
    <a:bodyPr/>
    <a:lstStyle/>
    <a:p>
      <a:pPr>
        <a:defRPr sz="900">
          <a:latin typeface="Times New Roman" panose="02020603050405020304" pitchFamily="18" charset="0"/>
          <a:cs typeface="Times New Roman" panose="02020603050405020304" pitchFamily="18" charset="0"/>
        </a:defRPr>
      </a:pPr>
      <a:endParaRPr lang="pt-BR"/>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52568143403779"/>
          <c:y val="5.171776874769117E-2"/>
          <c:w val="0.83865510106931762"/>
          <c:h val="0.86044198836200236"/>
        </c:manualLayout>
      </c:layout>
      <c:barChart>
        <c:barDir val="col"/>
        <c:grouping val="stacked"/>
        <c:varyColors val="0"/>
        <c:ser>
          <c:idx val="0"/>
          <c:order val="0"/>
          <c:tx>
            <c:strRef>
              <c:f>'Etados setores'!$B$2</c:f>
              <c:strCache>
                <c:ptCount val="1"/>
                <c:pt idx="0">
                  <c:v>ene</c:v>
                </c:pt>
              </c:strCache>
            </c:strRef>
          </c:tx>
          <c:spPr>
            <a:solidFill>
              <a:schemeClr val="bg2">
                <a:lumMod val="90000"/>
              </a:schemeClr>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setores'!$BK$16:$BK$29</c:f>
              <c:numCache>
                <c:formatCode>0</c:formatCode>
                <c:ptCount val="14"/>
                <c:pt idx="0">
                  <c:v>66152444.814134091</c:v>
                </c:pt>
                <c:pt idx="1">
                  <c:v>61521865.379023798</c:v>
                </c:pt>
                <c:pt idx="2">
                  <c:v>61167715.29888723</c:v>
                </c:pt>
                <c:pt idx="3">
                  <c:v>60287125.861176588</c:v>
                </c:pt>
                <c:pt idx="4">
                  <c:v>60606732.493450522</c:v>
                </c:pt>
                <c:pt idx="5">
                  <c:v>73028681.524304032</c:v>
                </c:pt>
                <c:pt idx="6">
                  <c:v>76220387.429842517</c:v>
                </c:pt>
                <c:pt idx="7">
                  <c:v>67424832.589463368</c:v>
                </c:pt>
                <c:pt idx="8">
                  <c:v>83403205.748302102</c:v>
                </c:pt>
                <c:pt idx="9">
                  <c:v>93057318.411892354</c:v>
                </c:pt>
                <c:pt idx="10">
                  <c:v>95825009.843877301</c:v>
                </c:pt>
                <c:pt idx="11">
                  <c:v>96363478.275386706</c:v>
                </c:pt>
                <c:pt idx="12">
                  <c:v>95921255.430352405</c:v>
                </c:pt>
                <c:pt idx="13">
                  <c:v>89605562.634597138</c:v>
                </c:pt>
              </c:numCache>
            </c:numRef>
          </c:val>
          <c:extLst>
            <c:ext xmlns:c16="http://schemas.microsoft.com/office/drawing/2014/chart" uri="{C3380CC4-5D6E-409C-BE32-E72D297353CC}">
              <c16:uniqueId val="{00000000-4ABB-4586-8082-6D79B535BFFE}"/>
            </c:ext>
          </c:extLst>
        </c:ser>
        <c:ser>
          <c:idx val="2"/>
          <c:order val="1"/>
          <c:tx>
            <c:strRef>
              <c:f>'Etados setores'!$D$2</c:f>
              <c:strCache>
                <c:ptCount val="1"/>
                <c:pt idx="0">
                  <c:v>pro</c:v>
                </c:pt>
              </c:strCache>
            </c:strRef>
          </c:tx>
          <c:spPr>
            <a:solidFill>
              <a:schemeClr val="accent4"/>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setores'!$AX$16:$AX$29</c:f>
              <c:numCache>
                <c:formatCode>0</c:formatCode>
                <c:ptCount val="14"/>
                <c:pt idx="0">
                  <c:v>6907554.3360292548</c:v>
                </c:pt>
                <c:pt idx="1">
                  <c:v>7690875.2714665607</c:v>
                </c:pt>
                <c:pt idx="2">
                  <c:v>7982744.6489489097</c:v>
                </c:pt>
                <c:pt idx="3">
                  <c:v>7187272.8928611493</c:v>
                </c:pt>
                <c:pt idx="4">
                  <c:v>6763729.2505265931</c:v>
                </c:pt>
                <c:pt idx="5">
                  <c:v>6855136.2528333804</c:v>
                </c:pt>
                <c:pt idx="6">
                  <c:v>7662173.9973754622</c:v>
                </c:pt>
                <c:pt idx="7">
                  <c:v>6314552.0167785008</c:v>
                </c:pt>
                <c:pt idx="8">
                  <c:v>9792708.5966292638</c:v>
                </c:pt>
                <c:pt idx="9">
                  <c:v>14078214.366476102</c:v>
                </c:pt>
                <c:pt idx="10">
                  <c:v>13782181.096644515</c:v>
                </c:pt>
                <c:pt idx="11">
                  <c:v>13213747.812591122</c:v>
                </c:pt>
                <c:pt idx="12">
                  <c:v>7613374.0471753394</c:v>
                </c:pt>
                <c:pt idx="13">
                  <c:v>7588439.4572511138</c:v>
                </c:pt>
              </c:numCache>
            </c:numRef>
          </c:val>
          <c:extLst>
            <c:ext xmlns:c16="http://schemas.microsoft.com/office/drawing/2014/chart" uri="{C3380CC4-5D6E-409C-BE32-E72D297353CC}">
              <c16:uniqueId val="{00000001-4ABB-4586-8082-6D79B535BFFE}"/>
            </c:ext>
          </c:extLst>
        </c:ser>
        <c:ser>
          <c:idx val="4"/>
          <c:order val="2"/>
          <c:tx>
            <c:strRef>
              <c:f>'Etados setores'!$V$2</c:f>
              <c:strCache>
                <c:ptCount val="1"/>
                <c:pt idx="0">
                  <c:v>res</c:v>
                </c:pt>
              </c:strCache>
            </c:strRef>
          </c:tx>
          <c:spPr>
            <a:solidFill>
              <a:srgbClr val="C00000"/>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setores'!$BO$16:$BO$29</c:f>
              <c:numCache>
                <c:formatCode>0</c:formatCode>
                <c:ptCount val="14"/>
                <c:pt idx="0">
                  <c:v>3120876.2482779352</c:v>
                </c:pt>
                <c:pt idx="1">
                  <c:v>3304492.6108578634</c:v>
                </c:pt>
                <c:pt idx="2">
                  <c:v>3318640.3830437595</c:v>
                </c:pt>
                <c:pt idx="3">
                  <c:v>3438092.5661851284</c:v>
                </c:pt>
                <c:pt idx="4">
                  <c:v>3583982.3133263118</c:v>
                </c:pt>
                <c:pt idx="5">
                  <c:v>3545403.8592305412</c:v>
                </c:pt>
                <c:pt idx="6">
                  <c:v>3450918.6369397277</c:v>
                </c:pt>
                <c:pt idx="7">
                  <c:v>3537353.1841558339</c:v>
                </c:pt>
                <c:pt idx="8">
                  <c:v>3812851.023524404</c:v>
                </c:pt>
                <c:pt idx="9">
                  <c:v>3908314.6579235811</c:v>
                </c:pt>
                <c:pt idx="10">
                  <c:v>3837199.033665997</c:v>
                </c:pt>
                <c:pt idx="11">
                  <c:v>4047045.5191684272</c:v>
                </c:pt>
                <c:pt idx="12">
                  <c:v>4194587.1324572088</c:v>
                </c:pt>
                <c:pt idx="13">
                  <c:v>4212403.3430181919</c:v>
                </c:pt>
              </c:numCache>
            </c:numRef>
          </c:val>
          <c:extLst>
            <c:ext xmlns:c16="http://schemas.microsoft.com/office/drawing/2014/chart" uri="{C3380CC4-5D6E-409C-BE32-E72D297353CC}">
              <c16:uniqueId val="{00000002-4ABB-4586-8082-6D79B535BFFE}"/>
            </c:ext>
          </c:extLst>
        </c:ser>
        <c:ser>
          <c:idx val="6"/>
          <c:order val="3"/>
          <c:tx>
            <c:strRef>
              <c:f>'Etados setores'!$H$2</c:f>
              <c:strCache>
                <c:ptCount val="1"/>
                <c:pt idx="0">
                  <c:v>mud</c:v>
                </c:pt>
              </c:strCache>
            </c:strRef>
          </c:tx>
          <c:spPr>
            <a:solidFill>
              <a:schemeClr val="accent6">
                <a:lumMod val="75000"/>
              </a:schemeClr>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setores'!$BQ$16:$BQ$29</c:f>
              <c:numCache>
                <c:formatCode>0</c:formatCode>
                <c:ptCount val="14"/>
                <c:pt idx="0">
                  <c:v>4403539.5646947036</c:v>
                </c:pt>
                <c:pt idx="1">
                  <c:v>16548715.161180152</c:v>
                </c:pt>
                <c:pt idx="2">
                  <c:v>16184791.161180152</c:v>
                </c:pt>
                <c:pt idx="3">
                  <c:v>16333511.161180152</c:v>
                </c:pt>
                <c:pt idx="4">
                  <c:v>16662367.161180152</c:v>
                </c:pt>
                <c:pt idx="5">
                  <c:v>16722471.161180152</c:v>
                </c:pt>
                <c:pt idx="6">
                  <c:v>16319475.161180152</c:v>
                </c:pt>
                <c:pt idx="7">
                  <c:v>12383227.614103397</c:v>
                </c:pt>
                <c:pt idx="8">
                  <c:v>3699999.3891764861</c:v>
                </c:pt>
                <c:pt idx="9">
                  <c:v>3570550.6875981581</c:v>
                </c:pt>
                <c:pt idx="10">
                  <c:v>3601540.0324854711</c:v>
                </c:pt>
                <c:pt idx="11">
                  <c:v>2562045.3530257987</c:v>
                </c:pt>
                <c:pt idx="12">
                  <c:v>2315815.7570850295</c:v>
                </c:pt>
                <c:pt idx="13">
                  <c:v>2000755.437048536</c:v>
                </c:pt>
              </c:numCache>
            </c:numRef>
          </c:val>
          <c:extLst>
            <c:ext xmlns:c16="http://schemas.microsoft.com/office/drawing/2014/chart" uri="{C3380CC4-5D6E-409C-BE32-E72D297353CC}">
              <c16:uniqueId val="{00000003-4ABB-4586-8082-6D79B535BFFE}"/>
            </c:ext>
          </c:extLst>
        </c:ser>
        <c:ser>
          <c:idx val="8"/>
          <c:order val="4"/>
          <c:tx>
            <c:strRef>
              <c:f>'Etados setores'!$J$2</c:f>
              <c:strCache>
                <c:ptCount val="1"/>
                <c:pt idx="0">
                  <c:v>agr</c:v>
                </c:pt>
              </c:strCache>
            </c:strRef>
          </c:tx>
          <c:spPr>
            <a:solidFill>
              <a:schemeClr val="accent2"/>
            </a:solidFill>
            <a:ln>
              <a:noFill/>
            </a:ln>
            <a:effectLst/>
          </c:spPr>
          <c:invertIfNegative val="0"/>
          <c:cat>
            <c:numRef>
              <c:f>'Etados setores'!$A$16:$A$29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'Etados setores'!$BS$16:$BS$29</c:f>
              <c:numCache>
                <c:formatCode>0</c:formatCode>
                <c:ptCount val="14"/>
                <c:pt idx="0">
                  <c:v>12684354.42305522</c:v>
                </c:pt>
                <c:pt idx="1">
                  <c:v>13433461.556463277</c:v>
                </c:pt>
                <c:pt idx="2">
                  <c:v>13333584.35845758</c:v>
                </c:pt>
                <c:pt idx="3">
                  <c:v>13361174.397356238</c:v>
                </c:pt>
                <c:pt idx="4">
                  <c:v>13551160.209387962</c:v>
                </c:pt>
                <c:pt idx="5">
                  <c:v>13612068.467045806</c:v>
                </c:pt>
                <c:pt idx="6">
                  <c:v>13197815.560495431</c:v>
                </c:pt>
                <c:pt idx="7">
                  <c:v>13265169.4922089</c:v>
                </c:pt>
                <c:pt idx="8">
                  <c:v>13528310.440286962</c:v>
                </c:pt>
                <c:pt idx="9">
                  <c:v>13962302.157944158</c:v>
                </c:pt>
                <c:pt idx="10">
                  <c:v>13275568.109515967</c:v>
                </c:pt>
                <c:pt idx="11">
                  <c:v>13715430.220385643</c:v>
                </c:pt>
                <c:pt idx="12">
                  <c:v>13405503.512055742</c:v>
                </c:pt>
                <c:pt idx="13">
                  <c:v>13390321.952322472</c:v>
                </c:pt>
              </c:numCache>
            </c:numRef>
          </c:val>
          <c:extLst>
            <c:ext xmlns:c16="http://schemas.microsoft.com/office/drawing/2014/chart" uri="{C3380CC4-5D6E-409C-BE32-E72D297353CC}">
              <c16:uniqueId val="{00000004-4ABB-4586-8082-6D79B535BFFE}"/>
            </c:ext>
          </c:extLst>
        </c:ser>
        <c:dLbls>
          <c:showLegendKey val="0"/>
          <c:showVal val="0"/>
          <c:showCatName val="0"/>
          <c:showSerName val="0"/>
          <c:showPercent val="0"/>
          <c:showBubbleSize val="0"/>
        </c:dLbls>
        <c:gapWidth val="75"/>
        <c:overlap val="100"/>
        <c:axId val="-1217876544"/>
        <c:axId val="-1217878720"/>
      </c:barChart>
      <c:catAx>
        <c:axId val="-1217876544"/>
        <c:scaling>
          <c:orientation val="minMax"/>
        </c:scaling>
        <c:delete val="1"/>
        <c:axPos val="b"/>
        <c:numFmt formatCode="0" sourceLinked="1"/>
        <c:majorTickMark val="none"/>
        <c:minorTickMark val="none"/>
        <c:tickLblPos val="nextTo"/>
        <c:crossAx val="-1217878720"/>
        <c:crosses val="autoZero"/>
        <c:auto val="1"/>
        <c:lblAlgn val="ctr"/>
        <c:lblOffset val="100"/>
        <c:noMultiLvlLbl val="0"/>
      </c:catAx>
      <c:valAx>
        <c:axId val="-121787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pt-BR" b="0"/>
                  <a:t>1000 Toneladas</a:t>
                </a:r>
              </a:p>
            </c:rich>
          </c:tx>
          <c:layout>
            <c:manualLayout>
              <c:xMode val="edge"/>
              <c:yMode val="edge"/>
              <c:x val="3.4651665686006288E-3"/>
              <c:y val="4.0001694738488816E-2"/>
            </c:manualLayout>
          </c:layout>
          <c:overlay val="0"/>
        </c:title>
        <c:numFmt formatCode="#,##0" sourceLinked="0"/>
        <c:majorTickMark val="none"/>
        <c:minorTickMark val="none"/>
        <c:tickLblPos val="nextTo"/>
        <c:spPr>
          <a:noFill/>
          <a:ln>
            <a:noFill/>
          </a:ln>
          <a:effectLst/>
        </c:spPr>
        <c:txPr>
          <a:bodyPr rot="-60000000" vert="horz"/>
          <a:lstStyle/>
          <a:p>
            <a:pPr>
              <a:defRPr/>
            </a:pPr>
            <a:endParaRPr lang="pt-BR"/>
          </a:p>
        </c:txPr>
        <c:crossAx val="-1217876544"/>
        <c:crosses val="autoZero"/>
        <c:crossBetween val="between"/>
        <c:dispUnits>
          <c:builtInUnit val="millions"/>
        </c:dispUnits>
      </c:valAx>
      <c:spPr>
        <a:noFill/>
        <a:ln>
          <a:noFill/>
        </a:ln>
        <a:effectLst/>
      </c:spPr>
    </c:plotArea>
    <c:plotVisOnly val="1"/>
    <c:dispBlanksAs val="gap"/>
    <c:showDLblsOverMax val="0"/>
  </c:chart>
  <c:spPr>
    <a:solidFill>
      <a:schemeClr val="bg1"/>
    </a:solidFill>
    <a:ln w="6350" cap="flat" cmpd="sng" algn="ctr">
      <a:solidFill>
        <a:sysClr val="windowText" lastClr="000000"/>
      </a:solidFill>
      <a:round/>
    </a:ln>
    <a:effectLst/>
  </c:spPr>
  <c:txPr>
    <a:bodyPr/>
    <a:lstStyle/>
    <a:p>
      <a:pPr>
        <a:defRPr sz="800">
          <a:latin typeface="Arial" panose="020B0604020202020204" pitchFamily="34" charset="0"/>
          <a:cs typeface="Arial" panose="020B0604020202020204" pitchFamily="34" charset="0"/>
        </a:defRPr>
      </a:pPr>
      <a:endParaRPr lang="pt-BR"/>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3508480984948488E-2"/>
          <c:y val="9.9009900990099015E-2"/>
          <c:w val="0.9233238694784045"/>
          <c:h val="0.71988972508657567"/>
        </c:manualLayout>
      </c:layout>
      <c:lineChart>
        <c:grouping val="standard"/>
        <c:varyColors val="0"/>
        <c:ser>
          <c:idx val="0"/>
          <c:order val="0"/>
          <c:tx>
            <c:v>Sudeste</c:v>
          </c:tx>
          <c:spPr>
            <a:ln w="19050" cap="rnd">
              <a:solidFill>
                <a:schemeClr val="accent6">
                  <a:lumMod val="75000"/>
                </a:schemeClr>
              </a:solidFill>
              <a:round/>
            </a:ln>
            <a:effectLst/>
          </c:spPr>
          <c:marker>
            <c:symbol val="triangle"/>
            <c:size val="5"/>
            <c:spPr>
              <a:solidFill>
                <a:schemeClr val="accent6">
                  <a:lumMod val="75000"/>
                </a:schemeClr>
              </a:solidFill>
              <a:ln>
                <a:noFill/>
              </a:ln>
            </c:spPr>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emissões'!$D$16:$D$29</c:f>
              <c:numCache>
                <c:formatCode>0.00</c:formatCode>
                <c:ptCount val="14"/>
                <c:pt idx="0">
                  <c:v>0.14372018716749335</c:v>
                </c:pt>
                <c:pt idx="1">
                  <c:v>0.22314672581761658</c:v>
                </c:pt>
                <c:pt idx="2">
                  <c:v>0.20234576607359234</c:v>
                </c:pt>
                <c:pt idx="3">
                  <c:v>0.20102784232373008</c:v>
                </c:pt>
                <c:pt idx="4">
                  <c:v>0.18254467868539181</c:v>
                </c:pt>
                <c:pt idx="5">
                  <c:v>0.17536598139637383</c:v>
                </c:pt>
                <c:pt idx="6">
                  <c:v>0.19309049760470007</c:v>
                </c:pt>
                <c:pt idx="7">
                  <c:v>0.1570098829182851</c:v>
                </c:pt>
                <c:pt idx="8">
                  <c:v>0.12706255850881529</c:v>
                </c:pt>
                <c:pt idx="9">
                  <c:v>0.11967335813110036</c:v>
                </c:pt>
                <c:pt idx="10">
                  <c:v>0.14270539975200844</c:v>
                </c:pt>
                <c:pt idx="11">
                  <c:v>0.16344918840920919</c:v>
                </c:pt>
                <c:pt idx="12">
                  <c:v>0.15793879724939192</c:v>
                </c:pt>
                <c:pt idx="13">
                  <c:v>0.1522433155734878</c:v>
                </c:pt>
              </c:numCache>
            </c:numRef>
          </c:val>
          <c:smooth val="0"/>
          <c:extLst>
            <c:ext xmlns:c16="http://schemas.microsoft.com/office/drawing/2014/chart" uri="{C3380CC4-5D6E-409C-BE32-E72D297353CC}">
              <c16:uniqueId val="{00000000-1562-404A-898E-22D7914EF35F}"/>
            </c:ext>
          </c:extLst>
        </c:ser>
        <c:ser>
          <c:idx val="1"/>
          <c:order val="1"/>
          <c:tx>
            <c:v>MG</c:v>
          </c:tx>
          <c:spPr>
            <a:ln w="19050" cap="rnd">
              <a:solidFill>
                <a:schemeClr val="accent2"/>
              </a:solidFill>
              <a:round/>
            </a:ln>
            <a:effectLst/>
          </c:spPr>
          <c:marker>
            <c:symbol val="square"/>
            <c:size val="5"/>
            <c:spPr>
              <a:ln>
                <a:noFill/>
              </a:ln>
            </c:spPr>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emissões'!$I$16:$I$29</c:f>
              <c:numCache>
                <c:formatCode>0.00</c:formatCode>
                <c:ptCount val="14"/>
                <c:pt idx="0">
                  <c:v>0.98960750779038809</c:v>
                </c:pt>
                <c:pt idx="1">
                  <c:v>1.5008659754773388</c:v>
                </c:pt>
                <c:pt idx="2">
                  <c:v>1.3018325995304501</c:v>
                </c:pt>
                <c:pt idx="3">
                  <c:v>1.3321792508299604</c:v>
                </c:pt>
                <c:pt idx="4">
                  <c:v>1.1934942083234299</c:v>
                </c:pt>
                <c:pt idx="5">
                  <c:v>1.1384608774336771</c:v>
                </c:pt>
                <c:pt idx="6">
                  <c:v>1.2277423873479518</c:v>
                </c:pt>
                <c:pt idx="7">
                  <c:v>1.0243976651608091</c:v>
                </c:pt>
                <c:pt idx="8">
                  <c:v>0.78924419162078685</c:v>
                </c:pt>
                <c:pt idx="9">
                  <c:v>0.73442788421607852</c:v>
                </c:pt>
                <c:pt idx="10">
                  <c:v>0.86893021484648014</c:v>
                </c:pt>
                <c:pt idx="11">
                  <c:v>0.98763260658668817</c:v>
                </c:pt>
                <c:pt idx="12">
                  <c:v>0.97052628781394412</c:v>
                </c:pt>
                <c:pt idx="13">
                  <c:v>0.94944767263896679</c:v>
                </c:pt>
              </c:numCache>
            </c:numRef>
          </c:val>
          <c:smooth val="0"/>
          <c:extLst>
            <c:ext xmlns:c16="http://schemas.microsoft.com/office/drawing/2014/chart" uri="{C3380CC4-5D6E-409C-BE32-E72D297353CC}">
              <c16:uniqueId val="{00000001-1562-404A-898E-22D7914EF35F}"/>
            </c:ext>
          </c:extLst>
        </c:ser>
        <c:ser>
          <c:idx val="2"/>
          <c:order val="2"/>
          <c:tx>
            <c:v>ES</c:v>
          </c:tx>
          <c:spPr>
            <a:ln w="19050" cap="rnd">
              <a:solidFill>
                <a:srgbClr val="C00000"/>
              </a:solidFill>
              <a:round/>
            </a:ln>
            <a:effectLst/>
          </c:spPr>
          <c:marker>
            <c:symbol val="diamond"/>
            <c:size val="6"/>
            <c:spPr>
              <a:solidFill>
                <a:srgbClr val="C00000"/>
              </a:solidFill>
              <a:ln>
                <a:noFill/>
              </a:ln>
            </c:spPr>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emissões'!$M$16:$M$29</c:f>
              <c:numCache>
                <c:formatCode>0.00</c:formatCode>
                <c:ptCount val="14"/>
                <c:pt idx="0">
                  <c:v>0.25569810284770245</c:v>
                </c:pt>
                <c:pt idx="1">
                  <c:v>0.41522025508611515</c:v>
                </c:pt>
                <c:pt idx="2">
                  <c:v>0.34564199619018426</c:v>
                </c:pt>
                <c:pt idx="3">
                  <c:v>0.32153509263401436</c:v>
                </c:pt>
                <c:pt idx="4">
                  <c:v>0.31171254626748002</c:v>
                </c:pt>
                <c:pt idx="5">
                  <c:v>0.34531295088676428</c:v>
                </c:pt>
                <c:pt idx="6">
                  <c:v>0.32169619305851244</c:v>
                </c:pt>
                <c:pt idx="7">
                  <c:v>0.24586260849620872</c:v>
                </c:pt>
                <c:pt idx="8">
                  <c:v>0.25500732237842855</c:v>
                </c:pt>
                <c:pt idx="9">
                  <c:v>0.26331559484951117</c:v>
                </c:pt>
                <c:pt idx="10">
                  <c:v>0.23040364639708766</c:v>
                </c:pt>
                <c:pt idx="11">
                  <c:v>0.26222952291972196</c:v>
                </c:pt>
                <c:pt idx="12">
                  <c:v>0.29039213898097038</c:v>
                </c:pt>
                <c:pt idx="13">
                  <c:v>0.34168695473880167</c:v>
                </c:pt>
              </c:numCache>
            </c:numRef>
          </c:val>
          <c:smooth val="0"/>
          <c:extLst>
            <c:ext xmlns:c16="http://schemas.microsoft.com/office/drawing/2014/chart" uri="{C3380CC4-5D6E-409C-BE32-E72D297353CC}">
              <c16:uniqueId val="{00000002-1562-404A-898E-22D7914EF35F}"/>
            </c:ext>
          </c:extLst>
        </c:ser>
        <c:ser>
          <c:idx val="3"/>
          <c:order val="3"/>
          <c:tx>
            <c:v>RJ</c:v>
          </c:tx>
          <c:spPr>
            <a:ln w="19050" cap="rnd">
              <a:solidFill>
                <a:schemeClr val="accent4"/>
              </a:solidFill>
              <a:round/>
            </a:ln>
            <a:effectLst/>
          </c:spPr>
          <c:marker>
            <c:symbol val="circle"/>
            <c:size val="5"/>
            <c:spPr>
              <a:ln>
                <a:noFill/>
              </a:ln>
            </c:spPr>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emissões'!$Q$16:$Q$29</c:f>
              <c:numCache>
                <c:formatCode>0.00</c:formatCode>
                <c:ptCount val="14"/>
                <c:pt idx="0">
                  <c:v>9.480010700346099E-2</c:v>
                </c:pt>
                <c:pt idx="1">
                  <c:v>0.11246151068020382</c:v>
                </c:pt>
                <c:pt idx="2">
                  <c:v>0.10382183795786787</c:v>
                </c:pt>
                <c:pt idx="3">
                  <c:v>0.10559033078836459</c:v>
                </c:pt>
                <c:pt idx="4">
                  <c:v>9.9631050422070655E-2</c:v>
                </c:pt>
                <c:pt idx="5">
                  <c:v>0.11113881802385453</c:v>
                </c:pt>
                <c:pt idx="6">
                  <c:v>0.12495918444149949</c:v>
                </c:pt>
                <c:pt idx="7">
                  <c:v>0.10989183296533535</c:v>
                </c:pt>
                <c:pt idx="8">
                  <c:v>0.1171021817658701</c:v>
                </c:pt>
                <c:pt idx="9">
                  <c:v>0.11262259925079678</c:v>
                </c:pt>
                <c:pt idx="10">
                  <c:v>0.11937199084058235</c:v>
                </c:pt>
                <c:pt idx="11">
                  <c:v>0.12730857919451954</c:v>
                </c:pt>
                <c:pt idx="12">
                  <c:v>0.1250447817418289</c:v>
                </c:pt>
                <c:pt idx="13">
                  <c:v>0.13606446276909626</c:v>
                </c:pt>
              </c:numCache>
            </c:numRef>
          </c:val>
          <c:smooth val="0"/>
          <c:extLst>
            <c:ext xmlns:c16="http://schemas.microsoft.com/office/drawing/2014/chart" uri="{C3380CC4-5D6E-409C-BE32-E72D297353CC}">
              <c16:uniqueId val="{00000003-1562-404A-898E-22D7914EF35F}"/>
            </c:ext>
          </c:extLst>
        </c:ser>
        <c:ser>
          <c:idx val="4"/>
          <c:order val="4"/>
          <c:tx>
            <c:v>Sp</c:v>
          </c:tx>
          <c:spPr>
            <a:ln w="19050" cap="rnd">
              <a:solidFill>
                <a:schemeClr val="accent5"/>
              </a:solidFill>
              <a:round/>
            </a:ln>
            <a:effectLst/>
          </c:spPr>
          <c:marker>
            <c:symbol val="x"/>
            <c:size val="6"/>
            <c:spPr>
              <a:ln w="9525"/>
            </c:spPr>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emissões'!$U$16:$U$29</c:f>
              <c:numCache>
                <c:formatCode>0.00</c:formatCode>
                <c:ptCount val="14"/>
                <c:pt idx="0">
                  <c:v>0.10005467417761552</c:v>
                </c:pt>
                <c:pt idx="1">
                  <c:v>0.10940537045275628</c:v>
                </c:pt>
                <c:pt idx="2">
                  <c:v>0.10724984030926042</c:v>
                </c:pt>
                <c:pt idx="3">
                  <c:v>0.10040111712710008</c:v>
                </c:pt>
                <c:pt idx="4">
                  <c:v>9.8403044257699357E-2</c:v>
                </c:pt>
                <c:pt idx="5">
                  <c:v>9.8924638078182955E-2</c:v>
                </c:pt>
                <c:pt idx="6">
                  <c:v>9.8163323889526755E-2</c:v>
                </c:pt>
                <c:pt idx="7">
                  <c:v>8.5793085371631772E-2</c:v>
                </c:pt>
                <c:pt idx="8">
                  <c:v>8.8184034949812223E-2</c:v>
                </c:pt>
                <c:pt idx="9">
                  <c:v>9.3351986761918651E-2</c:v>
                </c:pt>
                <c:pt idx="10">
                  <c:v>9.4584843272865191E-2</c:v>
                </c:pt>
                <c:pt idx="11">
                  <c:v>9.2311184260076506E-2</c:v>
                </c:pt>
                <c:pt idx="12">
                  <c:v>9.0948522580321711E-2</c:v>
                </c:pt>
                <c:pt idx="13">
                  <c:v>8.8496792750154096E-2</c:v>
                </c:pt>
              </c:numCache>
            </c:numRef>
          </c:val>
          <c:smooth val="0"/>
          <c:extLst>
            <c:ext xmlns:c16="http://schemas.microsoft.com/office/drawing/2014/chart" uri="{C3380CC4-5D6E-409C-BE32-E72D297353CC}">
              <c16:uniqueId val="{00000004-1562-404A-898E-22D7914EF35F}"/>
            </c:ext>
          </c:extLst>
        </c:ser>
        <c:dLbls>
          <c:showLegendKey val="0"/>
          <c:showVal val="0"/>
          <c:showCatName val="0"/>
          <c:showSerName val="0"/>
          <c:showPercent val="0"/>
          <c:showBubbleSize val="0"/>
        </c:dLbls>
        <c:marker val="1"/>
        <c:smooth val="0"/>
        <c:axId val="-1217875456"/>
        <c:axId val="-1217874912"/>
      </c:lineChart>
      <c:catAx>
        <c:axId val="-1217875456"/>
        <c:scaling>
          <c:orientation val="minMax"/>
        </c:scaling>
        <c:delete val="0"/>
        <c:axPos val="b"/>
        <c:numFmt formatCode="0" sourceLinked="1"/>
        <c:majorTickMark val="out"/>
        <c:minorTickMark val="none"/>
        <c:tickLblPos val="nextTo"/>
        <c:spPr>
          <a:noFill/>
          <a:ln w="9525" cap="flat" cmpd="sng" algn="ctr">
            <a:solidFill>
              <a:schemeClr val="tx2">
                <a:lumMod val="15000"/>
                <a:lumOff val="85000"/>
              </a:schemeClr>
            </a:solidFill>
            <a:round/>
          </a:ln>
          <a:effectLst/>
        </c:spPr>
        <c:txPr>
          <a:bodyPr rot="-60000000" vert="horz"/>
          <a:lstStyle/>
          <a:p>
            <a:pPr>
              <a:defRPr/>
            </a:pPr>
            <a:endParaRPr lang="pt-BR"/>
          </a:p>
        </c:txPr>
        <c:crossAx val="-1217874912"/>
        <c:crosses val="autoZero"/>
        <c:auto val="1"/>
        <c:lblAlgn val="ctr"/>
        <c:lblOffset val="100"/>
        <c:noMultiLvlLbl val="0"/>
      </c:catAx>
      <c:valAx>
        <c:axId val="-1217874912"/>
        <c:scaling>
          <c:orientation val="minMax"/>
        </c:scaling>
        <c:delete val="0"/>
        <c:axPos val="l"/>
        <c:majorGridlines>
          <c:spPr>
            <a:ln w="9525" cap="flat" cmpd="sng" algn="ctr">
              <a:solidFill>
                <a:schemeClr val="tx2">
                  <a:lumMod val="15000"/>
                  <a:lumOff val="85000"/>
                </a:schemeClr>
              </a:solidFill>
              <a:round/>
            </a:ln>
            <a:effectLst/>
          </c:spPr>
        </c:majorGridlines>
        <c:numFmt formatCode="0.0" sourceLinked="0"/>
        <c:majorTickMark val="none"/>
        <c:minorTickMark val="none"/>
        <c:tickLblPos val="nextTo"/>
        <c:spPr>
          <a:noFill/>
          <a:ln>
            <a:noFill/>
          </a:ln>
          <a:effectLst/>
        </c:spPr>
        <c:txPr>
          <a:bodyPr rot="-60000000" vert="horz"/>
          <a:lstStyle/>
          <a:p>
            <a:pPr>
              <a:defRPr/>
            </a:pPr>
            <a:endParaRPr lang="pt-BR"/>
          </a:p>
        </c:txPr>
        <c:crossAx val="-1217875456"/>
        <c:crosses val="autoZero"/>
        <c:crossBetween val="between"/>
      </c:valAx>
      <c:spPr>
        <a:noFill/>
        <a:ln>
          <a:noFill/>
        </a:ln>
        <a:effectLst/>
      </c:spPr>
    </c:plotArea>
    <c:legend>
      <c:legendPos val="b"/>
      <c:layout>
        <c:manualLayout>
          <c:xMode val="edge"/>
          <c:yMode val="edge"/>
          <c:x val="0.25314628952762541"/>
          <c:y val="0.85559209889918553"/>
          <c:w val="0.48528282111324123"/>
          <c:h val="0.14280246922330028"/>
        </c:manualLayout>
      </c:layout>
      <c:overlay val="0"/>
      <c:spPr>
        <a:noFill/>
        <a:ln>
          <a:noFill/>
        </a:ln>
        <a:effectLst/>
      </c:spPr>
      <c:txPr>
        <a:bodyPr rot="0" vert="horz"/>
        <a:lstStyle/>
        <a:p>
          <a:pPr>
            <a:defRPr/>
          </a:pPr>
          <a:endParaRPr lang="pt-BR"/>
        </a:p>
      </c:txPr>
    </c:legend>
    <c:plotVisOnly val="1"/>
    <c:dispBlanksAs val="gap"/>
    <c:showDLblsOverMax val="0"/>
  </c:chart>
  <c:spPr>
    <a:solidFill>
      <a:schemeClr val="bg1"/>
    </a:solidFill>
    <a:ln w="6350" cap="flat" cmpd="sng" algn="ctr">
      <a:solidFill>
        <a:schemeClr val="tx1"/>
      </a:solidFill>
      <a:round/>
    </a:ln>
    <a:effectLst/>
  </c:spPr>
  <c:txPr>
    <a:bodyPr/>
    <a:lstStyle/>
    <a:p>
      <a:pPr>
        <a:defRPr sz="900">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915320390985609"/>
          <c:y val="8.9450311602045002E-2"/>
          <c:w val="0.51655469671795617"/>
          <c:h val="0.64565540010233213"/>
        </c:manualLayout>
      </c:layout>
      <c:radarChart>
        <c:radarStyle val="marker"/>
        <c:varyColors val="0"/>
        <c:ser>
          <c:idx val="2"/>
          <c:order val="0"/>
          <c:tx>
            <c:v>Emissões SE</c:v>
          </c:tx>
          <c:spPr>
            <a:ln>
              <a:solidFill>
                <a:schemeClr val="accent4"/>
              </a:solidFill>
              <a:prstDash val="dash"/>
            </a:ln>
          </c:spPr>
          <c:marker>
            <c:symbol val="none"/>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emissões'!$C$16:$C$29</c:f>
              <c:numCache>
                <c:formatCode>0</c:formatCode>
                <c:ptCount val="14"/>
                <c:pt idx="0">
                  <c:v>100</c:v>
                </c:pt>
                <c:pt idx="1">
                  <c:v>139.55833061040443</c:v>
                </c:pt>
                <c:pt idx="2">
                  <c:v>135.87531849978782</c:v>
                </c:pt>
                <c:pt idx="3">
                  <c:v>140.39425558884727</c:v>
                </c:pt>
                <c:pt idx="4">
                  <c:v>135.87736226412002</c:v>
                </c:pt>
                <c:pt idx="5">
                  <c:v>141.59268191085727</c:v>
                </c:pt>
                <c:pt idx="6">
                  <c:v>158.38908750323364</c:v>
                </c:pt>
                <c:pt idx="7">
                  <c:v>129.34917617347571</c:v>
                </c:pt>
                <c:pt idx="8">
                  <c:v>123.13838677061383</c:v>
                </c:pt>
                <c:pt idx="9">
                  <c:v>125.37535631001721</c:v>
                </c:pt>
                <c:pt idx="10">
                  <c:v>141.8581399370585</c:v>
                </c:pt>
                <c:pt idx="11">
                  <c:v>157.97847172268155</c:v>
                </c:pt>
                <c:pt idx="12">
                  <c:v>154.41920821299485</c:v>
                </c:pt>
                <c:pt idx="13">
                  <c:v>144.25348617172989</c:v>
                </c:pt>
              </c:numCache>
            </c:numRef>
          </c:val>
          <c:extLst>
            <c:ext xmlns:c16="http://schemas.microsoft.com/office/drawing/2014/chart" uri="{C3380CC4-5D6E-409C-BE32-E72D297353CC}">
              <c16:uniqueId val="{00000000-4A42-40E7-A918-16CC730A577A}"/>
            </c:ext>
          </c:extLst>
        </c:ser>
        <c:ser>
          <c:idx val="3"/>
          <c:order val="1"/>
          <c:tx>
            <c:v>Intensidade SE</c:v>
          </c:tx>
          <c:spPr>
            <a:ln>
              <a:solidFill>
                <a:schemeClr val="accent4"/>
              </a:solidFill>
            </a:ln>
          </c:spPr>
          <c:marker>
            <c:symbol val="none"/>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emissões'!$E$16:$E$29</c:f>
              <c:numCache>
                <c:formatCode>0</c:formatCode>
                <c:ptCount val="14"/>
                <c:pt idx="0">
                  <c:v>100</c:v>
                </c:pt>
                <c:pt idx="1">
                  <c:v>155.26470582560438</c:v>
                </c:pt>
                <c:pt idx="2">
                  <c:v>140.79147130373272</c:v>
                </c:pt>
                <c:pt idx="3">
                  <c:v>139.87446460075208</c:v>
                </c:pt>
                <c:pt idx="4">
                  <c:v>127.01394444515434</c:v>
                </c:pt>
                <c:pt idx="5">
                  <c:v>122.01903215725713</c:v>
                </c:pt>
                <c:pt idx="6">
                  <c:v>134.3516881032655</c:v>
                </c:pt>
                <c:pt idx="7">
                  <c:v>109.24692349259453</c:v>
                </c:pt>
                <c:pt idx="8">
                  <c:v>88.409680653097794</c:v>
                </c:pt>
                <c:pt idx="9">
                  <c:v>83.268301057548385</c:v>
                </c:pt>
                <c:pt idx="10">
                  <c:v>99.293914490730359</c:v>
                </c:pt>
                <c:pt idx="11">
                  <c:v>113.72736957176618</c:v>
                </c:pt>
                <c:pt idx="12">
                  <c:v>109.893258812228</c:v>
                </c:pt>
                <c:pt idx="13">
                  <c:v>105.93036272354803</c:v>
                </c:pt>
              </c:numCache>
            </c:numRef>
          </c:val>
          <c:extLst>
            <c:ext xmlns:c16="http://schemas.microsoft.com/office/drawing/2014/chart" uri="{C3380CC4-5D6E-409C-BE32-E72D297353CC}">
              <c16:uniqueId val="{00000001-4A42-40E7-A918-16CC730A577A}"/>
            </c:ext>
          </c:extLst>
        </c:ser>
        <c:ser>
          <c:idx val="4"/>
          <c:order val="2"/>
          <c:tx>
            <c:v>Emissões Mg</c:v>
          </c:tx>
          <c:spPr>
            <a:ln>
              <a:solidFill>
                <a:schemeClr val="accent1"/>
              </a:solidFill>
              <a:prstDash val="dash"/>
            </a:ln>
            <a:effectLst/>
          </c:spPr>
          <c:marker>
            <c:symbol val="none"/>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emissões'!$H$16:$H$29</c:f>
              <c:numCache>
                <c:formatCode>0</c:formatCode>
                <c:ptCount val="14"/>
                <c:pt idx="0">
                  <c:v>100</c:v>
                </c:pt>
                <c:pt idx="1">
                  <c:v>154.48606437875148</c:v>
                </c:pt>
                <c:pt idx="2">
                  <c:v>148.23386381365003</c:v>
                </c:pt>
                <c:pt idx="3">
                  <c:v>154.7461044547959</c:v>
                </c:pt>
                <c:pt idx="4">
                  <c:v>146.58807892016299</c:v>
                </c:pt>
                <c:pt idx="5">
                  <c:v>148.47825634466935</c:v>
                </c:pt>
                <c:pt idx="6">
                  <c:v>170.62754539324808</c:v>
                </c:pt>
                <c:pt idx="7">
                  <c:v>136.87238931160167</c:v>
                </c:pt>
                <c:pt idx="8">
                  <c:v>118.80696966761315</c:v>
                </c:pt>
                <c:pt idx="9">
                  <c:v>116.3089361878625</c:v>
                </c:pt>
                <c:pt idx="10">
                  <c:v>140.91537796485733</c:v>
                </c:pt>
                <c:pt idx="11">
                  <c:v>164.38645545850119</c:v>
                </c:pt>
                <c:pt idx="12">
                  <c:v>158.57317691491804</c:v>
                </c:pt>
                <c:pt idx="13">
                  <c:v>144.96889030909617</c:v>
                </c:pt>
              </c:numCache>
            </c:numRef>
          </c:val>
          <c:extLst>
            <c:ext xmlns:c16="http://schemas.microsoft.com/office/drawing/2014/chart" uri="{C3380CC4-5D6E-409C-BE32-E72D297353CC}">
              <c16:uniqueId val="{00000002-4A42-40E7-A918-16CC730A577A}"/>
            </c:ext>
          </c:extLst>
        </c:ser>
        <c:ser>
          <c:idx val="5"/>
          <c:order val="3"/>
          <c:tx>
            <c:v>Intensidade MG</c:v>
          </c:tx>
          <c:spPr>
            <a:ln>
              <a:solidFill>
                <a:schemeClr val="accent1"/>
              </a:solidFill>
            </a:ln>
            <a:effectLst/>
          </c:spPr>
          <c:marker>
            <c:symbol val="none"/>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emissões'!$J$16:$J$29</c:f>
              <c:numCache>
                <c:formatCode>0</c:formatCode>
                <c:ptCount val="14"/>
                <c:pt idx="0">
                  <c:v>100</c:v>
                </c:pt>
                <c:pt idx="1">
                  <c:v>151.66275151130341</c:v>
                </c:pt>
                <c:pt idx="2">
                  <c:v>131.55039642304283</c:v>
                </c:pt>
                <c:pt idx="3">
                  <c:v>134.61693048433636</c:v>
                </c:pt>
                <c:pt idx="4">
                  <c:v>120.60278432893899</c:v>
                </c:pt>
                <c:pt idx="5">
                  <c:v>115.04165727033046</c:v>
                </c:pt>
                <c:pt idx="6">
                  <c:v>124.06356840291917</c:v>
                </c:pt>
                <c:pt idx="7">
                  <c:v>103.51555107419314</c:v>
                </c:pt>
                <c:pt idx="8">
                  <c:v>79.753254235411404</c:v>
                </c:pt>
                <c:pt idx="9">
                  <c:v>74.214057435348408</c:v>
                </c:pt>
                <c:pt idx="10">
                  <c:v>87.805539873746696</c:v>
                </c:pt>
                <c:pt idx="11">
                  <c:v>99.800435911393848</c:v>
                </c:pt>
                <c:pt idx="12">
                  <c:v>98.071839610529153</c:v>
                </c:pt>
                <c:pt idx="13">
                  <c:v>95.941842110606984</c:v>
                </c:pt>
              </c:numCache>
            </c:numRef>
          </c:val>
          <c:extLst>
            <c:ext xmlns:c16="http://schemas.microsoft.com/office/drawing/2014/chart" uri="{C3380CC4-5D6E-409C-BE32-E72D297353CC}">
              <c16:uniqueId val="{00000003-4A42-40E7-A918-16CC730A577A}"/>
            </c:ext>
          </c:extLst>
        </c:ser>
        <c:ser>
          <c:idx val="6"/>
          <c:order val="4"/>
          <c:tx>
            <c:v>Emissões ES</c:v>
          </c:tx>
          <c:spPr>
            <a:ln>
              <a:solidFill>
                <a:schemeClr val="tx2"/>
              </a:solidFill>
              <a:prstDash val="dash"/>
            </a:ln>
            <a:effectLst/>
          </c:spPr>
          <c:marker>
            <c:symbol val="none"/>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emissões'!$L$16:$L$29</c:f>
              <c:numCache>
                <c:formatCode>0</c:formatCode>
                <c:ptCount val="14"/>
                <c:pt idx="0">
                  <c:v>100</c:v>
                </c:pt>
                <c:pt idx="1">
                  <c:v>165.85202282638517</c:v>
                </c:pt>
                <c:pt idx="2">
                  <c:v>161.51843158820313</c:v>
                </c:pt>
                <c:pt idx="3">
                  <c:v>165.51369729883336</c:v>
                </c:pt>
                <c:pt idx="4">
                  <c:v>170.86881328989244</c:v>
                </c:pt>
                <c:pt idx="5">
                  <c:v>201.76558213524291</c:v>
                </c:pt>
                <c:pt idx="6">
                  <c:v>205.36660622271916</c:v>
                </c:pt>
                <c:pt idx="7">
                  <c:v>140.42397854840192</c:v>
                </c:pt>
                <c:pt idx="8">
                  <c:v>165.56875508343032</c:v>
                </c:pt>
                <c:pt idx="9">
                  <c:v>196.06807615095127</c:v>
                </c:pt>
                <c:pt idx="10">
                  <c:v>175.24658751169758</c:v>
                </c:pt>
                <c:pt idx="11">
                  <c:v>186.20194253680259</c:v>
                </c:pt>
                <c:pt idx="12">
                  <c:v>209.96202369271344</c:v>
                </c:pt>
                <c:pt idx="13">
                  <c:v>214.6543335399719</c:v>
                </c:pt>
              </c:numCache>
            </c:numRef>
          </c:val>
          <c:extLst>
            <c:ext xmlns:c16="http://schemas.microsoft.com/office/drawing/2014/chart" uri="{C3380CC4-5D6E-409C-BE32-E72D297353CC}">
              <c16:uniqueId val="{00000004-4A42-40E7-A918-16CC730A577A}"/>
            </c:ext>
          </c:extLst>
        </c:ser>
        <c:ser>
          <c:idx val="7"/>
          <c:order val="5"/>
          <c:tx>
            <c:v>Intensidade ES</c:v>
          </c:tx>
          <c:spPr>
            <a:ln>
              <a:solidFill>
                <a:schemeClr val="tx2"/>
              </a:solidFill>
            </a:ln>
            <a:effectLst/>
          </c:spPr>
          <c:marker>
            <c:symbol val="none"/>
          </c:marker>
          <c:cat>
            <c:numRef>
              <c:f>'GTP PIB x emissões'!$A$16:$A$29</c:f>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'GTP PIB x emissões'!$N$16:$N$29</c:f>
              <c:numCache>
                <c:formatCode>0</c:formatCode>
                <c:ptCount val="14"/>
                <c:pt idx="0">
                  <c:v>100</c:v>
                </c:pt>
                <c:pt idx="1">
                  <c:v>162.38691271535419</c:v>
                </c:pt>
                <c:pt idx="2">
                  <c:v>135.17581567511814</c:v>
                </c:pt>
                <c:pt idx="3">
                  <c:v>125.7479383120513</c:v>
                </c:pt>
                <c:pt idx="4">
                  <c:v>121.90647595580347</c:v>
                </c:pt>
                <c:pt idx="5">
                  <c:v>135.04713059699068</c:v>
                </c:pt>
                <c:pt idx="6">
                  <c:v>125.81094246527101</c:v>
                </c:pt>
                <c:pt idx="7">
                  <c:v>96.153473865485864</c:v>
                </c:pt>
                <c:pt idx="8">
                  <c:v>99.729845289589292</c:v>
                </c:pt>
                <c:pt idx="9">
                  <c:v>102.97909601869273</c:v>
                </c:pt>
                <c:pt idx="10">
                  <c:v>90.107687085312278</c:v>
                </c:pt>
                <c:pt idx="11">
                  <c:v>102.55434827215349</c:v>
                </c:pt>
                <c:pt idx="12">
                  <c:v>113.5683588368007</c:v>
                </c:pt>
                <c:pt idx="13">
                  <c:v>133.62905353361791</c:v>
                </c:pt>
              </c:numCache>
            </c:numRef>
          </c:val>
          <c:extLst>
            <c:ext xmlns:c16="http://schemas.microsoft.com/office/drawing/2014/chart" uri="{C3380CC4-5D6E-409C-BE32-E72D297353CC}">
              <c16:uniqueId val="{00000005-4A42-40E7-A918-16CC730A577A}"/>
            </c:ext>
          </c:extLst>
        </c:ser>
        <c:dLbls>
          <c:showLegendKey val="0"/>
          <c:showVal val="0"/>
          <c:showCatName val="0"/>
          <c:showSerName val="0"/>
          <c:showPercent val="0"/>
          <c:showBubbleSize val="0"/>
        </c:dLbls>
        <c:axId val="-1190161824"/>
        <c:axId val="-1190163456"/>
        <c:extLst>
          <c:ext xmlns:c15="http://schemas.microsoft.com/office/drawing/2012/chart" uri="{02D57815-91ED-43cb-92C2-25804820EDAC}">
            <c15:filteredRadarSeries>
              <c15:ser>
                <c:idx val="8"/>
                <c:order val="6"/>
                <c:tx>
                  <c:v>Emissões RJ</c:v>
                </c:tx>
                <c:spPr>
                  <a:ln>
                    <a:solidFill>
                      <a:schemeClr val="accent2"/>
                    </a:solidFill>
                    <a:prstDash val="dash"/>
                  </a:ln>
                  <a:effectLst/>
                </c:spPr>
                <c:marker>
                  <c:symbol val="none"/>
                </c:marker>
                <c:cat>
                  <c:numRef>
                    <c:extLst>
                      <c:ext uri="{02D57815-91ED-43cb-92C2-25804820EDAC}">
                        <c15:formulaRef>
                          <c15:sqref>'GTP PIB x emissões'!$A$16:$A$29</c15:sqref>
                        </c15:formulaRef>
                      </c:ext>
                    </c:extLst>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extLst>
                      <c:ext uri="{02D57815-91ED-43cb-92C2-25804820EDAC}">
                        <c15:formulaRef>
                          <c15:sqref>'GTP PIB x emissões'!$P$16:$P$29</c15:sqref>
                        </c15:formulaRef>
                      </c:ext>
                    </c:extLst>
                    <c:numCache>
                      <c:formatCode>0</c:formatCode>
                      <c:ptCount val="14"/>
                      <c:pt idx="0">
                        <c:v>100</c:v>
                      </c:pt>
                      <c:pt idx="1">
                        <c:v>114.31933286128799</c:v>
                      </c:pt>
                      <c:pt idx="2">
                        <c:v>116.58467964649931</c:v>
                      </c:pt>
                      <c:pt idx="3">
                        <c:v>123.46581299208597</c:v>
                      </c:pt>
                      <c:pt idx="4">
                        <c:v>121.19988935402171</c:v>
                      </c:pt>
                      <c:pt idx="5">
                        <c:v>137.17360671468288</c:v>
                      </c:pt>
                      <c:pt idx="6">
                        <c:v>165.69520568184834</c:v>
                      </c:pt>
                      <c:pt idx="7">
                        <c:v>140.58269322194653</c:v>
                      </c:pt>
                      <c:pt idx="8">
                        <c:v>158.70289961406135</c:v>
                      </c:pt>
                      <c:pt idx="9">
                        <c:v>160.61565787771389</c:v>
                      </c:pt>
                      <c:pt idx="10">
                        <c:v>176.81937016244481</c:v>
                      </c:pt>
                      <c:pt idx="11">
                        <c:v>191.68719332287947</c:v>
                      </c:pt>
                      <c:pt idx="12">
                        <c:v>186.48785265346947</c:v>
                      </c:pt>
                      <c:pt idx="13">
                        <c:v>185.29226818608771</c:v>
                      </c:pt>
                    </c:numCache>
                  </c:numRef>
                </c:val>
                <c:extLst>
                  <c:ext xmlns:c16="http://schemas.microsoft.com/office/drawing/2014/chart" uri="{C3380CC4-5D6E-409C-BE32-E72D297353CC}">
                    <c16:uniqueId val="{00000006-4A42-40E7-A918-16CC730A577A}"/>
                  </c:ext>
                </c:extLst>
              </c15:ser>
            </c15:filteredRadarSeries>
            <c15:filteredRadarSeries>
              <c15:ser>
                <c:idx val="9"/>
                <c:order val="7"/>
                <c:tx>
                  <c:v>Intensidade RJ</c:v>
                </c:tx>
                <c:spPr>
                  <a:ln>
                    <a:solidFill>
                      <a:schemeClr val="accent2"/>
                    </a:solidFill>
                  </a:ln>
                  <a:effectLst/>
                </c:spPr>
                <c:marker>
                  <c:symbol val="none"/>
                </c:marker>
                <c:cat>
                  <c:numRef>
                    <c:extLst xmlns:c15="http://schemas.microsoft.com/office/drawing/2012/chart">
                      <c:ext xmlns:c15="http://schemas.microsoft.com/office/drawing/2012/chart" uri="{02D57815-91ED-43cb-92C2-25804820EDAC}">
                        <c15:formulaRef>
                          <c15:sqref>'GTP PIB x emissões'!$A$16:$A$29</c15:sqref>
                        </c15:formulaRef>
                      </c:ext>
                    </c:extLst>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extLst xmlns:c15="http://schemas.microsoft.com/office/drawing/2012/chart">
                      <c:ext xmlns:c15="http://schemas.microsoft.com/office/drawing/2012/chart" uri="{02D57815-91ED-43cb-92C2-25804820EDAC}">
                        <c15:formulaRef>
                          <c15:sqref>'GTP PIB x emissões'!$R$16:$R$29</c15:sqref>
                        </c15:formulaRef>
                      </c:ext>
                    </c:extLst>
                    <c:numCache>
                      <c:formatCode>0</c:formatCode>
                      <c:ptCount val="14"/>
                      <c:pt idx="0">
                        <c:v>100</c:v>
                      </c:pt>
                      <c:pt idx="1">
                        <c:v>118.63015162640909</c:v>
                      </c:pt>
                      <c:pt idx="2">
                        <c:v>109.51658309212407</c:v>
                      </c:pt>
                      <c:pt idx="3">
                        <c:v>111.38207975283159</c:v>
                      </c:pt>
                      <c:pt idx="4">
                        <c:v>105.09592612425354</c:v>
                      </c:pt>
                      <c:pt idx="5">
                        <c:v>117.2349077831706</c:v>
                      </c:pt>
                      <c:pt idx="6">
                        <c:v>131.81333691631536</c:v>
                      </c:pt>
                      <c:pt idx="7">
                        <c:v>115.91952418505541</c:v>
                      </c:pt>
                      <c:pt idx="8">
                        <c:v>123.52536876524299</c:v>
                      </c:pt>
                      <c:pt idx="9">
                        <c:v>118.80007608713474</c:v>
                      </c:pt>
                      <c:pt idx="10">
                        <c:v>125.91967943266596</c:v>
                      </c:pt>
                      <c:pt idx="11">
                        <c:v>134.2915986264359</c:v>
                      </c:pt>
                      <c:pt idx="12">
                        <c:v>131.90362932529575</c:v>
                      </c:pt>
                      <c:pt idx="13">
                        <c:v>143.52775230952938</c:v>
                      </c:pt>
                    </c:numCache>
                  </c:numRef>
                </c:val>
                <c:extLst xmlns:c15="http://schemas.microsoft.com/office/drawing/2012/chart">
                  <c:ext xmlns:c16="http://schemas.microsoft.com/office/drawing/2014/chart" uri="{C3380CC4-5D6E-409C-BE32-E72D297353CC}">
                    <c16:uniqueId val="{00000007-4A42-40E7-A918-16CC730A577A}"/>
                  </c:ext>
                </c:extLst>
              </c15:ser>
            </c15:filteredRadarSeries>
            <c15:filteredRadarSeries>
              <c15:ser>
                <c:idx val="0"/>
                <c:order val="8"/>
                <c:tx>
                  <c:v>Emissões SP</c:v>
                </c:tx>
                <c:spPr>
                  <a:ln>
                    <a:solidFill>
                      <a:schemeClr val="accent6">
                        <a:lumMod val="75000"/>
                      </a:schemeClr>
                    </a:solidFill>
                    <a:prstDash val="dash"/>
                  </a:ln>
                  <a:effectLst/>
                </c:spPr>
                <c:marker>
                  <c:symbol val="none"/>
                </c:marker>
                <c:cat>
                  <c:numRef>
                    <c:extLst xmlns:c15="http://schemas.microsoft.com/office/drawing/2012/chart">
                      <c:ext xmlns:c15="http://schemas.microsoft.com/office/drawing/2012/chart" uri="{02D57815-91ED-43cb-92C2-25804820EDAC}">
                        <c15:formulaRef>
                          <c15:sqref>'GTP PIB x emissões'!$A$16:$A$29</c15:sqref>
                        </c15:formulaRef>
                      </c:ext>
                    </c:extLst>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extLst xmlns:c15="http://schemas.microsoft.com/office/drawing/2012/chart">
                      <c:ext xmlns:c15="http://schemas.microsoft.com/office/drawing/2012/chart" uri="{02D57815-91ED-43cb-92C2-25804820EDAC}">
                        <c15:formulaRef>
                          <c15:sqref>'GTP PIB x emissões'!$T$16:$T$29</c15:sqref>
                        </c15:formulaRef>
                      </c:ext>
                    </c:extLst>
                    <c:numCache>
                      <c:formatCode>0</c:formatCode>
                      <c:ptCount val="14"/>
                      <c:pt idx="0">
                        <c:v>100</c:v>
                      </c:pt>
                      <c:pt idx="1">
                        <c:v>109.24577985281927</c:v>
                      </c:pt>
                      <c:pt idx="2">
                        <c:v>109.72359825010763</c:v>
                      </c:pt>
                      <c:pt idx="3">
                        <c:v>108.80314162206328</c:v>
                      </c:pt>
                      <c:pt idx="4">
                        <c:v>110.82475629295006</c:v>
                      </c:pt>
                      <c:pt idx="5">
                        <c:v>118.77927195732904</c:v>
                      </c:pt>
                      <c:pt idx="6">
                        <c:v>120.72788245969917</c:v>
                      </c:pt>
                      <c:pt idx="7">
                        <c:v>106.3007265864244</c:v>
                      </c:pt>
                      <c:pt idx="8">
                        <c:v>115.76007682058726</c:v>
                      </c:pt>
                      <c:pt idx="9">
                        <c:v>125.53924769155141</c:v>
                      </c:pt>
                      <c:pt idx="10">
                        <c:v>127.87330450062122</c:v>
                      </c:pt>
                      <c:pt idx="11">
                        <c:v>127.71880302098209</c:v>
                      </c:pt>
                      <c:pt idx="12">
                        <c:v>126.40271346590821</c:v>
                      </c:pt>
                      <c:pt idx="13">
                        <c:v>119.37080915482814</c:v>
                      </c:pt>
                    </c:numCache>
                  </c:numRef>
                </c:val>
                <c:extLst xmlns:c15="http://schemas.microsoft.com/office/drawing/2012/chart">
                  <c:ext xmlns:c16="http://schemas.microsoft.com/office/drawing/2014/chart" uri="{C3380CC4-5D6E-409C-BE32-E72D297353CC}">
                    <c16:uniqueId val="{00000008-4A42-40E7-A918-16CC730A577A}"/>
                  </c:ext>
                </c:extLst>
              </c15:ser>
            </c15:filteredRadarSeries>
            <c15:filteredRadarSeries>
              <c15:ser>
                <c:idx val="1"/>
                <c:order val="9"/>
                <c:tx>
                  <c:v>Intensidade SP</c:v>
                </c:tx>
                <c:spPr>
                  <a:ln>
                    <a:solidFill>
                      <a:schemeClr val="accent6">
                        <a:lumMod val="75000"/>
                      </a:schemeClr>
                    </a:solidFill>
                  </a:ln>
                  <a:effectLst/>
                </c:spPr>
                <c:marker>
                  <c:symbol val="none"/>
                </c:marker>
                <c:cat>
                  <c:numRef>
                    <c:extLst xmlns:c15="http://schemas.microsoft.com/office/drawing/2012/chart">
                      <c:ext xmlns:c15="http://schemas.microsoft.com/office/drawing/2012/chart" uri="{02D57815-91ED-43cb-92C2-25804820EDAC}">
                        <c15:formulaRef>
                          <c15:sqref>'GTP PIB x emissões'!$A$16:$A$29</c15:sqref>
                        </c15:formulaRef>
                      </c:ext>
                    </c:extLst>
                    <c:numCache>
                      <c:formatCode>0</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extLst xmlns:c15="http://schemas.microsoft.com/office/drawing/2012/chart">
                      <c:ext xmlns:c15="http://schemas.microsoft.com/office/drawing/2012/chart" uri="{02D57815-91ED-43cb-92C2-25804820EDAC}">
                        <c15:formulaRef>
                          <c15:sqref>'GTP PIB x emissões'!$V$16:$V$29</c15:sqref>
                        </c15:formulaRef>
                      </c:ext>
                    </c:extLst>
                    <c:numCache>
                      <c:formatCode>0</c:formatCode>
                      <c:ptCount val="14"/>
                      <c:pt idx="0">
                        <c:v>100</c:v>
                      </c:pt>
                      <c:pt idx="1">
                        <c:v>109.34558665249516</c:v>
                      </c:pt>
                      <c:pt idx="2">
                        <c:v>107.19123438338538</c:v>
                      </c:pt>
                      <c:pt idx="3">
                        <c:v>100.34625363815543</c:v>
                      </c:pt>
                      <c:pt idx="4">
                        <c:v>98.349272601713523</c:v>
                      </c:pt>
                      <c:pt idx="5">
                        <c:v>98.870581400898331</c:v>
                      </c:pt>
                      <c:pt idx="6">
                        <c:v>98.109683227061169</c:v>
                      </c:pt>
                      <c:pt idx="7">
                        <c:v>85.746204339572586</c:v>
                      </c:pt>
                      <c:pt idx="8">
                        <c:v>88.135847400061763</c:v>
                      </c:pt>
                      <c:pt idx="9">
                        <c:v>93.300975221009296</c:v>
                      </c:pt>
                      <c:pt idx="10">
                        <c:v>94.533158046129486</c:v>
                      </c:pt>
                      <c:pt idx="11">
                        <c:v>92.260741458422132</c:v>
                      </c:pt>
                      <c:pt idx="12">
                        <c:v>90.898824395621233</c:v>
                      </c:pt>
                      <c:pt idx="13">
                        <c:v>88.448434296088905</c:v>
                      </c:pt>
                    </c:numCache>
                  </c:numRef>
                </c:val>
                <c:extLst xmlns:c15="http://schemas.microsoft.com/office/drawing/2012/chart">
                  <c:ext xmlns:c16="http://schemas.microsoft.com/office/drawing/2014/chart" uri="{C3380CC4-5D6E-409C-BE32-E72D297353CC}">
                    <c16:uniqueId val="{00000009-4A42-40E7-A918-16CC730A577A}"/>
                  </c:ext>
                </c:extLst>
              </c15:ser>
            </c15:filteredRadarSeries>
          </c:ext>
        </c:extLst>
      </c:radarChart>
      <c:catAx>
        <c:axId val="-1190161824"/>
        <c:scaling>
          <c:orientation val="minMax"/>
        </c:scaling>
        <c:delete val="0"/>
        <c:axPos val="b"/>
        <c:maj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pt-BR"/>
          </a:p>
        </c:txPr>
        <c:crossAx val="-1190163456"/>
        <c:crosses val="autoZero"/>
        <c:auto val="1"/>
        <c:lblAlgn val="ctr"/>
        <c:lblOffset val="100"/>
        <c:noMultiLvlLbl val="0"/>
      </c:catAx>
      <c:valAx>
        <c:axId val="-1190163456"/>
        <c:scaling>
          <c:orientation val="minMax"/>
          <c:max val="250"/>
          <c:min val="5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120000" vert="horz"/>
          <a:lstStyle/>
          <a:p>
            <a:pPr>
              <a:defRPr/>
            </a:pPr>
            <a:endParaRPr lang="pt-BR"/>
          </a:p>
        </c:txPr>
        <c:crossAx val="-1190161824"/>
        <c:crosses val="autoZero"/>
        <c:crossBetween val="between"/>
      </c:valAx>
    </c:plotArea>
    <c:legend>
      <c:legendPos val="b"/>
      <c:layout>
        <c:manualLayout>
          <c:xMode val="edge"/>
          <c:yMode val="edge"/>
          <c:x val="1.5245586741173482E-2"/>
          <c:y val="0.80234907294702329"/>
          <c:w val="0.9342265684531369"/>
          <c:h val="0.15916471794457379"/>
        </c:manualLayout>
      </c:layout>
      <c:overlay val="0"/>
      <c:spPr>
        <a:noFill/>
        <a:ln>
          <a:noFill/>
        </a:ln>
        <a:effectLst/>
      </c:spPr>
      <c:txPr>
        <a:bodyPr rot="0" vert="horz"/>
        <a:lstStyle/>
        <a:p>
          <a:pPr rtl="0">
            <a:defRPr/>
          </a:pPr>
          <a:endParaRPr lang="pt-BR"/>
        </a:p>
      </c:txPr>
    </c:legend>
    <c:plotVisOnly val="1"/>
    <c:dispBlanksAs val="gap"/>
    <c:showDLblsOverMax val="0"/>
  </c:chart>
  <c:spPr>
    <a:noFill/>
    <a:ln>
      <a:solidFill>
        <a:schemeClr val="tx1"/>
      </a:solidFill>
    </a:ln>
  </c:spPr>
  <c:txPr>
    <a:bodyPr/>
    <a:lstStyle/>
    <a:p>
      <a:pPr>
        <a:defRPr sz="900">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
  <b:Source>
    <b:Tag>MUE04</b:Tag>
    <b:SourceType>Book</b:SourceType>
    <b:Guid>{8B60E158-2A4B-45BA-A693-3E5FB7BF5464}</b:Guid>
    <b:Title>Os economistas e as inter-relações entre o sistema econômico e o meio ambiente</b:Title>
    <b:City>Brasília</b:City>
    <b:Year>2004</b:Year>
    <b:Volume>5</b:Volume>
    <b:Author>
      <b:Author>
        <b:NameList>
          <b:Person>
            <b:Last>MUELLER</b:Last>
            <b:First>C.</b:First>
            <b:Middle>C.</b:Middle>
          </b:Person>
        </b:NameList>
      </b:Author>
    </b:Author>
    <b:Publisher>NEPAMA, Universidade de Brasília</b:Publisher>
    <b:RefOrder>17</b:RefOrder>
  </b:Source>
  <b:Source>
    <b:Tag>IPC14</b:Tag>
    <b:SourceType>Report</b:SourceType>
    <b:Guid>{FE21D61B-BE92-47EF-A289-55552794EA4F}</b:Guid>
    <b:Author>
      <b:Author>
        <b:NameList>
          <b:Person>
            <b:Last>IPCC</b:Last>
          </b:Person>
        </b:NameList>
      </b:Author>
    </b:Author>
    <b:Title>Climate Change 2014: Synthesis Report. Contribution of Working Groups I, II and III to the Fifth Assessment Report of the Intergovernmental Panel on Climate Change</b:Title>
    <b:Year>2014</b:Year>
    <b:Institution>IPCC</b:Institution>
    <b:City>Genebra</b:City>
    <b:Pages>151</b:Pages>
    <b:RefOrder>1</b:RefOrder>
  </b:Source>
  <b:Source>
    <b:Tag>IPC95</b:Tag>
    <b:SourceType>Report</b:SourceType>
    <b:Guid>{F434290D-47F0-4B7A-886A-E358C16753CE}</b:Guid>
    <b:Author>
      <b:Author>
        <b:NameList>
          <b:Person>
            <b:Last>IPCC</b:Last>
          </b:Person>
        </b:NameList>
      </b:Author>
    </b:Author>
    <b:Title>IPCC Climate Change 1995: A report of the Intergovernamental Panel on Climate Change</b:Title>
    <b:Year>1995</b:Year>
    <b:City>Genebra</b:City>
    <b:Pages>73</b:Pages>
    <b:Institution>IPCC</b:Institution>
    <b:RefOrder>12</b:RefOrder>
  </b:Source>
  <b:Source>
    <b:Tag>IPC07</b:Tag>
    <b:SourceType>Report</b:SourceType>
    <b:Guid>{0FB4ABB4-629E-4D3E-AFC7-8214912D2348}</b:Guid>
    <b:Author>
      <b:Author>
        <b:NameList>
          <b:Person>
            <b:Last>IPCC</b:Last>
          </b:Person>
        </b:NameList>
      </b:Author>
    </b:Author>
    <b:Title>Climate Change 2007: Synthesis Report. Contribution of Working Groups I, II and III to the Fourth Assessment Report of the Intergovernmental Panel on Climate Change</b:Title>
    <b:City>Genebra</b:City>
    <b:Year>2007</b:Year>
    <b:Pages>104</b:Pages>
    <b:Publisher>IPCC</b:Publisher>
    <b:Institution>IPCC</b:Institution>
    <b:RefOrder>10</b:RefOrder>
  </b:Source>
  <b:Source>
    <b:Tag>EFC16</b:Tag>
    <b:SourceType>Report</b:SourceType>
    <b:Guid>{37E97D0E-C44F-4878-B67F-D8069FF9036B}</b:Guid>
    <b:Author>
      <b:Author>
        <b:NameList>
          <b:Person>
            <b:Last>EFCTC</b:Last>
          </b:Person>
        </b:NameList>
      </b:Author>
    </b:Author>
    <b:Title>Global Temperature change Potential compared to Global Warming Potential</b:Title>
    <b:Year>2016</b:Year>
    <b:Institution>EFCTC</b:Institution>
    <b:Pages>4</b:Pages>
    <b:RefOrder>28</b:RefOrder>
  </b:Source>
  <b:Source>
    <b:Tag>BRA15</b:Tag>
    <b:SourceType>Book</b:SourceType>
    <b:Guid>{4E509162-7B43-4587-AA69-C80E3E96D3CE}</b:Guid>
    <b:Author>
      <b:Author>
        <b:NameList>
          <b:Person>
            <b:Last>BRASIL</b:Last>
          </b:Person>
        </b:NameList>
      </b:Author>
    </b:Author>
    <b:Title>PRETENDIDA CONTRIBUIÇÃO NACIONALMENTE DETERMINADA</b:Title>
    <b:Year>2015</b:Year>
    <b:RefOrder>2</b:RefOrder>
  </b:Source>
  <b:Source>
    <b:Tag>EUL16</b:Tag>
    <b:SourceType>BookSection</b:SourceType>
    <b:Guid>{99080816-C42D-4E5C-95FD-8024F1EC37E5}</b:Guid>
    <b:Author>
      <b:Author>
        <b:NameList>
          <b:Person>
            <b:Last>EULER</b:Last>
            <b:First>A.</b:First>
            <b:Middle>M. C.</b:Middle>
          </b:Person>
        </b:NameList>
      </b:Author>
      <b:BookAuthor>
        <b:NameList>
          <b:Person>
            <b:Last>VICENTE</b:Last>
            <b:First>M.</b:First>
            <b:Middle>C. P. (Org.)</b:Middle>
          </b:Person>
        </b:NameList>
      </b:BookAuthor>
    </b:Author>
    <b:Title>O acordo de Paris e o futuro do REDD+ no Brasil.</b:Title>
    <b:Year>2016</b:Year>
    <b:City>Rio de Janeiro</b:City>
    <b:Publisher>Fundação Konrad Adenaeur</b:Publisher>
    <b:BookTitle>Mudanças climáticas: desafio do século</b:BookTitle>
    <b:Pages> 85-104</b:Pages>
    <b:RefOrder>4</b:RefOrder>
  </b:Source>
  <b:Source>
    <b:Tag>LAR16</b:Tag>
    <b:SourceType>Book</b:SourceType>
    <b:Guid>{D9B0F8E0-E49B-4E2A-BD8C-8A9EEA406E8F}</b:Guid>
    <b:Author>
      <b:Author>
        <b:NameList>
          <b:Person>
            <b:Last>LA ROVERE</b:Last>
            <b:First>Emilio</b:First>
            <b:Middle>Lèbre</b:Middle>
          </b:Person>
        </b:NameList>
      </b:Author>
    </b:Author>
    <b:Title>O Brasil e a COP-211</b:Title>
    <b:Year>2016</b:Year>
    <b:RefOrder>3</b:RefOrder>
  </b:Source>
  <b:Source>
    <b:Tag>MON16</b:Tag>
    <b:SourceType>Report</b:SourceType>
    <b:Guid>{E3CB6727-8259-4B98-8B7E-F390BAC6A225}</b:Guid>
    <b:Author>
      <b:Author>
        <b:NameList>
          <b:Person>
            <b:Last>MONZONI</b:Last>
            <b:First>Mario</b:First>
          </b:Person>
        </b:NameList>
      </b:Author>
    </b:Author>
    <b:Title>Contribuições para análise da viabilidade econômica da implementação do Plano ABC e da INDC no Brasil: resumo executivo</b:Title>
    <b:Year>2016</b:Year>
    <b:City>São Paulo</b:City>
    <b:Institution>Centro de Estudos em Sustentabilidade da Escola de Administração de Empresas</b:Institution>
    <b:Pages>14</b:Pages>
    <b:RefOrder>5</b:RefOrder>
  </b:Source>
  <b:Source>
    <b:Tag>PAS16</b:Tag>
    <b:SourceType>JournalArticle</b:SourceType>
    <b:Guid>{4BEC8007-8917-4332-9F1B-03114EFB6613}</b:Guid>
    <b:Author>
      <b:Author>
        <b:NameList>
          <b:Person>
            <b:Last>PASQUAL</b:Last>
            <b:First>Janaina</b:First>
            <b:Middle>Camile et al</b:Middle>
          </b:Person>
        </b:NameList>
      </b:Author>
    </b:Author>
    <b:Title>Implicações e desafios para o setor energético do Brasil e México para atender às reduções de emissão de dióxido de carbono comprometidas no INDC durante a COP 21-CMP11</b:Title>
    <b:Year>2016</b:Year>
    <b:Volume>37</b:Volume>
    <b:JournalName>Desenvolvimento e Meio Ambiente</b:JournalName>
    <b:RefOrder>6</b:RefOrder>
  </b:Source>
</b:Sources>
</file>

<file path=customXml/itemProps1.xml><?xml version="1.0" encoding="utf-8"?>
<ds:datastoreItem xmlns:ds="http://schemas.openxmlformats.org/officeDocument/2006/customXml" ds:itemID="{873EC56B-BC51-421C-8C80-7B1408CE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10526</Words>
  <Characters>56845</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XXX</cp:lastModifiedBy>
  <cp:revision>6</cp:revision>
  <dcterms:created xsi:type="dcterms:W3CDTF">2018-07-20T00:30:00Z</dcterms:created>
  <dcterms:modified xsi:type="dcterms:W3CDTF">2018-07-20T00:42:00Z</dcterms:modified>
</cp:coreProperties>
</file>