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053" w:rsidRPr="00AC5053" w:rsidRDefault="00AC5053" w:rsidP="00AC5053">
      <w:pPr>
        <w:spacing w:after="200" w:line="360" w:lineRule="auto"/>
        <w:jc w:val="center"/>
        <w:rPr>
          <w:rFonts w:ascii="Times New Roman" w:hAnsi="Times New Roman" w:cs="Times New Roman"/>
          <w:sz w:val="36"/>
          <w:szCs w:val="36"/>
        </w:rPr>
      </w:pPr>
      <w:r w:rsidRPr="00AC5053">
        <w:rPr>
          <w:rFonts w:ascii="Times New Roman" w:hAnsi="Times New Roman" w:cs="Times New Roman"/>
          <w:sz w:val="36"/>
          <w:szCs w:val="36"/>
        </w:rPr>
        <w:t xml:space="preserve">Estimando o Impacto das Habilidades Socioemocionais sobre a Educação e </w:t>
      </w:r>
      <w:r w:rsidR="002752BC">
        <w:rPr>
          <w:rFonts w:ascii="Times New Roman" w:hAnsi="Times New Roman" w:cs="Times New Roman"/>
          <w:sz w:val="36"/>
          <w:szCs w:val="36"/>
        </w:rPr>
        <w:t xml:space="preserve">os </w:t>
      </w:r>
      <w:r w:rsidRPr="00AC5053">
        <w:rPr>
          <w:rFonts w:ascii="Times New Roman" w:hAnsi="Times New Roman" w:cs="Times New Roman"/>
          <w:sz w:val="36"/>
          <w:szCs w:val="36"/>
        </w:rPr>
        <w:t>Salários</w:t>
      </w:r>
    </w:p>
    <w:p w:rsidR="00AC5053" w:rsidRPr="00D06E85" w:rsidRDefault="00AC5053" w:rsidP="00AC5053">
      <w:pPr>
        <w:spacing w:after="200" w:line="360" w:lineRule="auto"/>
        <w:jc w:val="center"/>
        <w:rPr>
          <w:rFonts w:ascii="Times New Roman" w:hAnsi="Times New Roman" w:cs="Times New Roman"/>
          <w:sz w:val="28"/>
          <w:szCs w:val="28"/>
          <w:lang w:val="en-US"/>
        </w:rPr>
      </w:pPr>
      <w:r w:rsidRPr="00D06E85">
        <w:rPr>
          <w:rFonts w:ascii="Times New Roman" w:hAnsi="Times New Roman" w:cs="Times New Roman"/>
          <w:sz w:val="28"/>
          <w:szCs w:val="28"/>
          <w:lang w:val="en-US"/>
        </w:rPr>
        <w:t xml:space="preserve">Marcos </w:t>
      </w:r>
      <w:r w:rsidR="00B15037" w:rsidRPr="00D06E85">
        <w:rPr>
          <w:rFonts w:ascii="Times New Roman" w:hAnsi="Times New Roman" w:cs="Times New Roman"/>
          <w:sz w:val="28"/>
          <w:szCs w:val="28"/>
          <w:lang w:val="en-US"/>
        </w:rPr>
        <w:t xml:space="preserve">Ki Hyung </w:t>
      </w:r>
      <w:r w:rsidRPr="00D06E85">
        <w:rPr>
          <w:rFonts w:ascii="Times New Roman" w:hAnsi="Times New Roman" w:cs="Times New Roman"/>
          <w:sz w:val="28"/>
          <w:szCs w:val="28"/>
          <w:lang w:val="en-US"/>
        </w:rPr>
        <w:t>Lee</w:t>
      </w:r>
    </w:p>
    <w:p w:rsidR="007C27F5" w:rsidRPr="00D06E85" w:rsidRDefault="007C27F5" w:rsidP="00AC5053">
      <w:pPr>
        <w:spacing w:after="200" w:line="360" w:lineRule="auto"/>
        <w:jc w:val="center"/>
        <w:rPr>
          <w:rFonts w:ascii="Times New Roman" w:hAnsi="Times New Roman" w:cs="Times New Roman"/>
          <w:sz w:val="28"/>
          <w:szCs w:val="28"/>
          <w:lang w:val="en-US"/>
        </w:rPr>
      </w:pPr>
      <w:r w:rsidRPr="00D06E85">
        <w:rPr>
          <w:rFonts w:ascii="Times New Roman" w:hAnsi="Times New Roman" w:cs="Times New Roman"/>
          <w:sz w:val="28"/>
          <w:szCs w:val="28"/>
          <w:lang w:val="en-US"/>
        </w:rPr>
        <w:t>Bruno Kawaoka Komatsu</w:t>
      </w:r>
    </w:p>
    <w:p w:rsidR="00AC5053" w:rsidRPr="00AC5053" w:rsidRDefault="00AC5053" w:rsidP="00AC5053">
      <w:pPr>
        <w:spacing w:after="200" w:line="360" w:lineRule="auto"/>
        <w:jc w:val="center"/>
        <w:rPr>
          <w:rFonts w:ascii="Times New Roman" w:hAnsi="Times New Roman" w:cs="Times New Roman"/>
          <w:sz w:val="28"/>
          <w:szCs w:val="28"/>
        </w:rPr>
      </w:pPr>
      <w:r w:rsidRPr="00AC5053">
        <w:rPr>
          <w:rFonts w:ascii="Times New Roman" w:hAnsi="Times New Roman" w:cs="Times New Roman"/>
          <w:sz w:val="28"/>
          <w:szCs w:val="28"/>
        </w:rPr>
        <w:t>Naercio Menezes Filho</w:t>
      </w:r>
    </w:p>
    <w:p w:rsidR="00AC5053" w:rsidRPr="00AC5053" w:rsidRDefault="00AC5053" w:rsidP="00AC5053">
      <w:pPr>
        <w:spacing w:after="20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Centro de Políticas Públicas do </w:t>
      </w:r>
      <w:r w:rsidRPr="00AC5053">
        <w:rPr>
          <w:rFonts w:ascii="Times New Roman" w:hAnsi="Times New Roman" w:cs="Times New Roman"/>
          <w:b/>
          <w:sz w:val="28"/>
          <w:szCs w:val="28"/>
        </w:rPr>
        <w:t>Insper e Universidade de São Paulo</w:t>
      </w:r>
    </w:p>
    <w:p w:rsidR="00D918E1" w:rsidRDefault="000E6746" w:rsidP="00A7572D">
      <w:pPr>
        <w:spacing w:after="200" w:line="360" w:lineRule="auto"/>
        <w:jc w:val="center"/>
        <w:rPr>
          <w:rFonts w:ascii="Times New Roman" w:hAnsi="Times New Roman" w:cs="Times New Roman"/>
          <w:b/>
          <w:sz w:val="28"/>
          <w:szCs w:val="28"/>
        </w:rPr>
      </w:pPr>
      <w:r>
        <w:rPr>
          <w:rFonts w:ascii="Times New Roman" w:hAnsi="Times New Roman" w:cs="Times New Roman"/>
          <w:b/>
          <w:sz w:val="28"/>
          <w:szCs w:val="28"/>
        </w:rPr>
        <w:t>Resumo</w:t>
      </w:r>
    </w:p>
    <w:p w:rsidR="000E6746" w:rsidRDefault="000E6746" w:rsidP="00A7572D">
      <w:pPr>
        <w:spacing w:after="200" w:line="240" w:lineRule="auto"/>
        <w:jc w:val="both"/>
        <w:rPr>
          <w:rFonts w:ascii="Times New Roman" w:hAnsi="Times New Roman" w:cs="Times New Roman"/>
          <w:sz w:val="24"/>
          <w:szCs w:val="28"/>
        </w:rPr>
      </w:pPr>
      <w:r w:rsidRPr="00A7572D">
        <w:rPr>
          <w:rFonts w:ascii="Times New Roman" w:hAnsi="Times New Roman" w:cs="Times New Roman"/>
          <w:sz w:val="24"/>
          <w:szCs w:val="28"/>
        </w:rPr>
        <w:t xml:space="preserve">Nesse artigo, </w:t>
      </w:r>
      <w:r w:rsidR="00A7572D" w:rsidRPr="00A7572D">
        <w:rPr>
          <w:rFonts w:ascii="Times New Roman" w:hAnsi="Times New Roman" w:cs="Times New Roman"/>
          <w:sz w:val="24"/>
          <w:szCs w:val="28"/>
        </w:rPr>
        <w:t xml:space="preserve">procuramos entender </w:t>
      </w:r>
      <w:r w:rsidR="009D5E6F" w:rsidRPr="00A7572D">
        <w:rPr>
          <w:rFonts w:ascii="Times New Roman" w:hAnsi="Times New Roman" w:cs="Times New Roman"/>
          <w:sz w:val="24"/>
          <w:szCs w:val="28"/>
        </w:rPr>
        <w:t xml:space="preserve">os efeitos do ensino superior </w:t>
      </w:r>
      <w:r w:rsidR="009D5E6F">
        <w:rPr>
          <w:rFonts w:ascii="Times New Roman" w:hAnsi="Times New Roman" w:cs="Times New Roman"/>
          <w:sz w:val="24"/>
          <w:szCs w:val="28"/>
        </w:rPr>
        <w:t xml:space="preserve">e das </w:t>
      </w:r>
      <w:r w:rsidR="009D5E6F" w:rsidRPr="00A7572D">
        <w:rPr>
          <w:rFonts w:ascii="Times New Roman" w:hAnsi="Times New Roman" w:cs="Times New Roman"/>
          <w:sz w:val="24"/>
          <w:szCs w:val="28"/>
        </w:rPr>
        <w:t xml:space="preserve">habilidades </w:t>
      </w:r>
      <w:r w:rsidR="009D5E6F">
        <w:rPr>
          <w:rFonts w:ascii="Times New Roman" w:hAnsi="Times New Roman" w:cs="Times New Roman"/>
          <w:sz w:val="24"/>
          <w:szCs w:val="28"/>
        </w:rPr>
        <w:t xml:space="preserve">cognitivas e socioemocionais </w:t>
      </w:r>
      <w:r w:rsidR="009D5E6F" w:rsidRPr="00A7572D">
        <w:rPr>
          <w:rFonts w:ascii="Times New Roman" w:hAnsi="Times New Roman" w:cs="Times New Roman"/>
          <w:sz w:val="24"/>
          <w:szCs w:val="28"/>
        </w:rPr>
        <w:t>sobre a renda individual</w:t>
      </w:r>
      <w:r w:rsidR="009D5E6F">
        <w:rPr>
          <w:rFonts w:ascii="Times New Roman" w:hAnsi="Times New Roman" w:cs="Times New Roman"/>
          <w:sz w:val="24"/>
          <w:szCs w:val="28"/>
        </w:rPr>
        <w:t>, além d</w:t>
      </w:r>
      <w:r w:rsidR="00A7572D" w:rsidRPr="00A7572D">
        <w:rPr>
          <w:rFonts w:ascii="Times New Roman" w:hAnsi="Times New Roman" w:cs="Times New Roman"/>
          <w:sz w:val="24"/>
          <w:szCs w:val="28"/>
        </w:rPr>
        <w:t>o</w:t>
      </w:r>
      <w:r w:rsidR="009D5E6F">
        <w:rPr>
          <w:rFonts w:ascii="Times New Roman" w:hAnsi="Times New Roman" w:cs="Times New Roman"/>
          <w:sz w:val="24"/>
          <w:szCs w:val="28"/>
        </w:rPr>
        <w:t xml:space="preserve"> impacto dessas habilidades </w:t>
      </w:r>
      <w:r w:rsidR="00A7572D" w:rsidRPr="00A7572D">
        <w:rPr>
          <w:rFonts w:ascii="Times New Roman" w:hAnsi="Times New Roman" w:cs="Times New Roman"/>
          <w:sz w:val="24"/>
          <w:szCs w:val="28"/>
        </w:rPr>
        <w:t>sobre a entrada no ensino superior</w:t>
      </w:r>
      <w:r w:rsidRPr="00A7572D">
        <w:rPr>
          <w:rFonts w:ascii="Times New Roman" w:hAnsi="Times New Roman" w:cs="Times New Roman"/>
          <w:sz w:val="24"/>
          <w:szCs w:val="28"/>
        </w:rPr>
        <w:t>. Com dados do Indicador de Alfabetismo Funcional (</w:t>
      </w:r>
      <w:proofErr w:type="spellStart"/>
      <w:r w:rsidRPr="00A7572D">
        <w:rPr>
          <w:rFonts w:ascii="Times New Roman" w:hAnsi="Times New Roman" w:cs="Times New Roman"/>
          <w:sz w:val="24"/>
          <w:szCs w:val="28"/>
        </w:rPr>
        <w:t>Inaf</w:t>
      </w:r>
      <w:proofErr w:type="spellEnd"/>
      <w:r w:rsidRPr="00A7572D">
        <w:rPr>
          <w:rFonts w:ascii="Times New Roman" w:hAnsi="Times New Roman" w:cs="Times New Roman"/>
          <w:sz w:val="24"/>
          <w:szCs w:val="28"/>
        </w:rPr>
        <w:t>), nós implementamos um modelo de heterogeneida</w:t>
      </w:r>
      <w:r w:rsidR="00A7572D" w:rsidRPr="00A7572D">
        <w:rPr>
          <w:rFonts w:ascii="Times New Roman" w:hAnsi="Times New Roman" w:cs="Times New Roman"/>
          <w:sz w:val="24"/>
          <w:szCs w:val="28"/>
        </w:rPr>
        <w:t xml:space="preserve">de não observada, levando em conta que o ingresso no ensino superior é uma escolha individual. Nossos resultados indicam que as habilidades </w:t>
      </w:r>
      <w:r w:rsidR="009D5E6F">
        <w:rPr>
          <w:rFonts w:ascii="Times New Roman" w:hAnsi="Times New Roman" w:cs="Times New Roman"/>
          <w:sz w:val="24"/>
          <w:szCs w:val="28"/>
        </w:rPr>
        <w:t xml:space="preserve">tanto </w:t>
      </w:r>
      <w:r w:rsidR="00A7572D" w:rsidRPr="00A7572D">
        <w:rPr>
          <w:rFonts w:ascii="Times New Roman" w:hAnsi="Times New Roman" w:cs="Times New Roman"/>
          <w:sz w:val="24"/>
          <w:szCs w:val="28"/>
        </w:rPr>
        <w:t xml:space="preserve">cognitivas </w:t>
      </w:r>
      <w:r w:rsidR="009D5E6F">
        <w:rPr>
          <w:rFonts w:ascii="Times New Roman" w:hAnsi="Times New Roman" w:cs="Times New Roman"/>
          <w:sz w:val="24"/>
          <w:szCs w:val="28"/>
        </w:rPr>
        <w:t xml:space="preserve">quanto </w:t>
      </w:r>
      <w:r w:rsidR="00A7572D" w:rsidRPr="00A7572D">
        <w:rPr>
          <w:rFonts w:ascii="Times New Roman" w:hAnsi="Times New Roman" w:cs="Times New Roman"/>
          <w:sz w:val="24"/>
          <w:szCs w:val="28"/>
        </w:rPr>
        <w:t>socioemocionais são importantes para a decisão educacional do indivíduo</w:t>
      </w:r>
      <w:r w:rsidR="009D5E6F">
        <w:rPr>
          <w:rFonts w:ascii="Times New Roman" w:hAnsi="Times New Roman" w:cs="Times New Roman"/>
          <w:sz w:val="24"/>
          <w:szCs w:val="28"/>
        </w:rPr>
        <w:t>, e entre as últimas, a abertura a novas experiências é o aspecto mais relevante.</w:t>
      </w:r>
      <w:r w:rsidR="00A7572D" w:rsidRPr="00A7572D">
        <w:rPr>
          <w:rFonts w:ascii="Times New Roman" w:hAnsi="Times New Roman" w:cs="Times New Roman"/>
          <w:sz w:val="24"/>
          <w:szCs w:val="28"/>
        </w:rPr>
        <w:t xml:space="preserve"> </w:t>
      </w:r>
      <w:r w:rsidR="009D5E6F">
        <w:rPr>
          <w:rFonts w:ascii="Times New Roman" w:hAnsi="Times New Roman" w:cs="Times New Roman"/>
          <w:sz w:val="24"/>
          <w:szCs w:val="28"/>
        </w:rPr>
        <w:t>Além disso, aquelas habilidades</w:t>
      </w:r>
      <w:r w:rsidR="00A7572D" w:rsidRPr="00A7572D">
        <w:rPr>
          <w:rFonts w:ascii="Times New Roman" w:hAnsi="Times New Roman" w:cs="Times New Roman"/>
          <w:sz w:val="24"/>
          <w:szCs w:val="28"/>
        </w:rPr>
        <w:t xml:space="preserve"> possuem efeitos diferenciados sobre a renda dependendo dessa escolha individual. No cenário em que os indivíduos ingressam no ensino superior, as habilidades cognitivas são mais importantes para a determinação da renda. Já no cenário em que os mesmos decidem não estudar mais, as habilidades socioemocionais é que ganham relevância. </w:t>
      </w:r>
      <w:r w:rsidR="009D5E6F">
        <w:rPr>
          <w:rFonts w:ascii="Times New Roman" w:hAnsi="Times New Roman" w:cs="Times New Roman"/>
          <w:sz w:val="24"/>
          <w:szCs w:val="28"/>
        </w:rPr>
        <w:t>Adicionalmente</w:t>
      </w:r>
      <w:r w:rsidR="00A7572D" w:rsidRPr="00A7572D">
        <w:rPr>
          <w:rFonts w:ascii="Times New Roman" w:hAnsi="Times New Roman" w:cs="Times New Roman"/>
          <w:sz w:val="24"/>
          <w:szCs w:val="28"/>
        </w:rPr>
        <w:t>, o efeito médio de fazer o ensino superior é positivo e maior para os extremos da distribuição de habilidades cognitivas.</w:t>
      </w:r>
    </w:p>
    <w:p w:rsidR="00A7572D" w:rsidRPr="00A7572D" w:rsidRDefault="00A7572D" w:rsidP="00A7572D">
      <w:pPr>
        <w:spacing w:after="200" w:line="360" w:lineRule="auto"/>
        <w:jc w:val="center"/>
        <w:rPr>
          <w:rFonts w:ascii="Times New Roman" w:hAnsi="Times New Roman" w:cs="Times New Roman"/>
          <w:b/>
          <w:sz w:val="28"/>
          <w:szCs w:val="28"/>
          <w:lang w:val="en-US"/>
        </w:rPr>
      </w:pPr>
      <w:r w:rsidRPr="00A7572D">
        <w:rPr>
          <w:rFonts w:ascii="Times New Roman" w:hAnsi="Times New Roman" w:cs="Times New Roman"/>
          <w:b/>
          <w:sz w:val="28"/>
          <w:szCs w:val="28"/>
          <w:lang w:val="en-US"/>
        </w:rPr>
        <w:t>Abstract</w:t>
      </w:r>
    </w:p>
    <w:p w:rsidR="00AD4138" w:rsidRDefault="009D5E6F" w:rsidP="005739A9">
      <w:pPr>
        <w:spacing w:after="200" w:line="240" w:lineRule="auto"/>
        <w:jc w:val="both"/>
        <w:rPr>
          <w:rFonts w:ascii="Times New Roman" w:hAnsi="Times New Roman" w:cs="Times New Roman"/>
          <w:sz w:val="24"/>
          <w:szCs w:val="28"/>
          <w:lang w:val="en-US"/>
        </w:rPr>
      </w:pPr>
      <w:r w:rsidRPr="009D5E6F">
        <w:rPr>
          <w:rFonts w:ascii="Times New Roman" w:hAnsi="Times New Roman" w:cs="Times New Roman"/>
          <w:sz w:val="24"/>
          <w:szCs w:val="28"/>
          <w:lang w:val="en-US"/>
        </w:rPr>
        <w:t xml:space="preserve">In this article, we </w:t>
      </w:r>
      <w:r>
        <w:rPr>
          <w:rFonts w:ascii="Times New Roman" w:hAnsi="Times New Roman" w:cs="Times New Roman"/>
          <w:sz w:val="24"/>
          <w:szCs w:val="28"/>
          <w:lang w:val="en-US"/>
        </w:rPr>
        <w:t>aim</w:t>
      </w:r>
      <w:r w:rsidRPr="009D5E6F">
        <w:rPr>
          <w:rFonts w:ascii="Times New Roman" w:hAnsi="Times New Roman" w:cs="Times New Roman"/>
          <w:sz w:val="24"/>
          <w:szCs w:val="28"/>
          <w:lang w:val="en-US"/>
        </w:rPr>
        <w:t xml:space="preserve"> to understand the effects of higher education and cognitive and social-emotional skills on individual income, as well as the impact of these skills on entry into higher education. With data from the Indicator of Functional Literacy (</w:t>
      </w:r>
      <w:proofErr w:type="spellStart"/>
      <w:r w:rsidRPr="009D5E6F">
        <w:rPr>
          <w:rFonts w:ascii="Times New Roman" w:hAnsi="Times New Roman" w:cs="Times New Roman"/>
          <w:sz w:val="24"/>
          <w:szCs w:val="28"/>
          <w:lang w:val="en-US"/>
        </w:rPr>
        <w:t>Inaf</w:t>
      </w:r>
      <w:proofErr w:type="spellEnd"/>
      <w:r w:rsidRPr="009D5E6F">
        <w:rPr>
          <w:rFonts w:ascii="Times New Roman" w:hAnsi="Times New Roman" w:cs="Times New Roman"/>
          <w:sz w:val="24"/>
          <w:szCs w:val="28"/>
          <w:lang w:val="en-US"/>
        </w:rPr>
        <w:t xml:space="preserve">), we implemented a model of </w:t>
      </w:r>
      <w:r w:rsidR="005739A9">
        <w:rPr>
          <w:rFonts w:ascii="Times New Roman" w:hAnsi="Times New Roman" w:cs="Times New Roman"/>
          <w:sz w:val="24"/>
          <w:szCs w:val="28"/>
          <w:lang w:val="en-US"/>
        </w:rPr>
        <w:t xml:space="preserve">unobserved </w:t>
      </w:r>
      <w:r w:rsidRPr="009D5E6F">
        <w:rPr>
          <w:rFonts w:ascii="Times New Roman" w:hAnsi="Times New Roman" w:cs="Times New Roman"/>
          <w:sz w:val="24"/>
          <w:szCs w:val="28"/>
          <w:lang w:val="en-US"/>
        </w:rPr>
        <w:t xml:space="preserve">heterogeneity, taking into account that entry into higher education is an individual choice. Our results indicate that both cognitive and socioemotional skills are important for the individual's educational decision, and among the latter, openness to new experiences is the most relevant aspect. In addition, </w:t>
      </w:r>
      <w:r w:rsidR="005739A9">
        <w:rPr>
          <w:rFonts w:ascii="Times New Roman" w:hAnsi="Times New Roman" w:cs="Times New Roman"/>
          <w:sz w:val="24"/>
          <w:szCs w:val="28"/>
          <w:lang w:val="en-US"/>
        </w:rPr>
        <w:t>those skills have different</w:t>
      </w:r>
      <w:r w:rsidRPr="009D5E6F">
        <w:rPr>
          <w:rFonts w:ascii="Times New Roman" w:hAnsi="Times New Roman" w:cs="Times New Roman"/>
          <w:sz w:val="24"/>
          <w:szCs w:val="28"/>
          <w:lang w:val="en-US"/>
        </w:rPr>
        <w:t xml:space="preserve"> effects on income depending on that individual choice. In the setting in which individuals enter higher education, cognitive skills are more important for determining income. In the scenario in which they decide not to </w:t>
      </w:r>
      <w:r w:rsidR="005739A9">
        <w:rPr>
          <w:rFonts w:ascii="Times New Roman" w:hAnsi="Times New Roman" w:cs="Times New Roman"/>
          <w:sz w:val="24"/>
          <w:szCs w:val="28"/>
          <w:lang w:val="en-US"/>
        </w:rPr>
        <w:t xml:space="preserve">continue </w:t>
      </w:r>
      <w:r w:rsidRPr="009D5E6F">
        <w:rPr>
          <w:rFonts w:ascii="Times New Roman" w:hAnsi="Times New Roman" w:cs="Times New Roman"/>
          <w:sz w:val="24"/>
          <w:szCs w:val="28"/>
          <w:lang w:val="en-US"/>
        </w:rPr>
        <w:t>study</w:t>
      </w:r>
      <w:r w:rsidR="005739A9">
        <w:rPr>
          <w:rFonts w:ascii="Times New Roman" w:hAnsi="Times New Roman" w:cs="Times New Roman"/>
          <w:sz w:val="24"/>
          <w:szCs w:val="28"/>
          <w:lang w:val="en-US"/>
        </w:rPr>
        <w:t>ing</w:t>
      </w:r>
      <w:r w:rsidRPr="009D5E6F">
        <w:rPr>
          <w:rFonts w:ascii="Times New Roman" w:hAnsi="Times New Roman" w:cs="Times New Roman"/>
          <w:sz w:val="24"/>
          <w:szCs w:val="28"/>
          <w:lang w:val="en-US"/>
        </w:rPr>
        <w:t xml:space="preserve">, the social-emotional skills are </w:t>
      </w:r>
      <w:r w:rsidR="005739A9">
        <w:rPr>
          <w:rFonts w:ascii="Times New Roman" w:hAnsi="Times New Roman" w:cs="Times New Roman"/>
          <w:sz w:val="24"/>
          <w:szCs w:val="28"/>
          <w:lang w:val="en-US"/>
        </w:rPr>
        <w:t>more relevant</w:t>
      </w:r>
      <w:r w:rsidRPr="009D5E6F">
        <w:rPr>
          <w:rFonts w:ascii="Times New Roman" w:hAnsi="Times New Roman" w:cs="Times New Roman"/>
          <w:sz w:val="24"/>
          <w:szCs w:val="28"/>
          <w:lang w:val="en-US"/>
        </w:rPr>
        <w:t>. In addition, the average effect of higher education is positive and greater for the extremes of the distribution of cognitive abilities.</w:t>
      </w:r>
    </w:p>
    <w:p w:rsidR="00AD4138" w:rsidRDefault="00AD4138" w:rsidP="005739A9">
      <w:pPr>
        <w:spacing w:after="200" w:line="240" w:lineRule="auto"/>
        <w:jc w:val="both"/>
        <w:rPr>
          <w:rFonts w:ascii="Times New Roman" w:hAnsi="Times New Roman" w:cs="Times New Roman"/>
          <w:sz w:val="24"/>
          <w:szCs w:val="28"/>
        </w:rPr>
      </w:pPr>
      <w:r w:rsidRPr="00AD4138">
        <w:rPr>
          <w:rFonts w:ascii="Times New Roman" w:hAnsi="Times New Roman" w:cs="Times New Roman"/>
          <w:b/>
          <w:sz w:val="24"/>
          <w:szCs w:val="28"/>
        </w:rPr>
        <w:t>Palavras-Chave:</w:t>
      </w:r>
      <w:r w:rsidRPr="00AD4138">
        <w:rPr>
          <w:rFonts w:ascii="Times New Roman" w:hAnsi="Times New Roman" w:cs="Times New Roman"/>
          <w:sz w:val="24"/>
          <w:szCs w:val="28"/>
        </w:rPr>
        <w:t xml:space="preserve"> Habilidades </w:t>
      </w:r>
      <w:proofErr w:type="spellStart"/>
      <w:r w:rsidRPr="00AD4138">
        <w:rPr>
          <w:rFonts w:ascii="Times New Roman" w:hAnsi="Times New Roman" w:cs="Times New Roman"/>
          <w:sz w:val="24"/>
          <w:szCs w:val="28"/>
        </w:rPr>
        <w:t>Socioemocionais</w:t>
      </w:r>
      <w:proofErr w:type="spellEnd"/>
      <w:r w:rsidRPr="00AD4138">
        <w:rPr>
          <w:rFonts w:ascii="Times New Roman" w:hAnsi="Times New Roman" w:cs="Times New Roman"/>
          <w:sz w:val="24"/>
          <w:szCs w:val="28"/>
        </w:rPr>
        <w:t>, Habilidades Cognitivas, Educaç</w:t>
      </w:r>
      <w:r>
        <w:rPr>
          <w:rFonts w:ascii="Times New Roman" w:hAnsi="Times New Roman" w:cs="Times New Roman"/>
          <w:sz w:val="24"/>
          <w:szCs w:val="28"/>
        </w:rPr>
        <w:t>ão.</w:t>
      </w:r>
    </w:p>
    <w:p w:rsidR="00A7572D" w:rsidRPr="00AD4138" w:rsidRDefault="00AD4138" w:rsidP="005739A9">
      <w:pPr>
        <w:spacing w:after="200" w:line="240" w:lineRule="auto"/>
        <w:jc w:val="both"/>
        <w:rPr>
          <w:rFonts w:ascii="Times New Roman" w:hAnsi="Times New Roman" w:cs="Times New Roman"/>
          <w:sz w:val="24"/>
          <w:szCs w:val="28"/>
        </w:rPr>
      </w:pPr>
      <w:r w:rsidRPr="00AD4138">
        <w:rPr>
          <w:rFonts w:ascii="Times New Roman" w:hAnsi="Times New Roman" w:cs="Times New Roman"/>
          <w:b/>
          <w:sz w:val="24"/>
          <w:szCs w:val="28"/>
        </w:rPr>
        <w:t>Códigos JEL</w:t>
      </w:r>
      <w:r>
        <w:rPr>
          <w:rFonts w:ascii="Times New Roman" w:hAnsi="Times New Roman" w:cs="Times New Roman"/>
          <w:sz w:val="24"/>
          <w:szCs w:val="28"/>
        </w:rPr>
        <w:t>: I26, D91</w:t>
      </w:r>
      <w:bookmarkStart w:id="0" w:name="_GoBack"/>
      <w:bookmarkEnd w:id="0"/>
      <w:r w:rsidR="00A7572D" w:rsidRPr="00AD4138">
        <w:rPr>
          <w:rFonts w:ascii="Times New Roman" w:hAnsi="Times New Roman" w:cs="Times New Roman"/>
          <w:sz w:val="24"/>
          <w:szCs w:val="28"/>
        </w:rPr>
        <w:br w:type="page"/>
      </w:r>
    </w:p>
    <w:p w:rsidR="005D4FC2" w:rsidRDefault="005D4FC2" w:rsidP="00410525">
      <w:pPr>
        <w:pStyle w:val="PargrafodaLista"/>
        <w:numPr>
          <w:ilvl w:val="0"/>
          <w:numId w:val="1"/>
        </w:numPr>
        <w:spacing w:after="200" w:line="360" w:lineRule="auto"/>
        <w:ind w:left="714" w:hanging="357"/>
        <w:outlineLvl w:val="0"/>
        <w:rPr>
          <w:rFonts w:ascii="Times New Roman" w:hAnsi="Times New Roman" w:cs="Times New Roman"/>
          <w:b/>
          <w:sz w:val="28"/>
          <w:szCs w:val="28"/>
        </w:rPr>
      </w:pPr>
      <w:r w:rsidRPr="005D4FC2">
        <w:rPr>
          <w:rFonts w:ascii="Times New Roman" w:hAnsi="Times New Roman" w:cs="Times New Roman"/>
          <w:b/>
          <w:sz w:val="28"/>
          <w:szCs w:val="28"/>
        </w:rPr>
        <w:lastRenderedPageBreak/>
        <w:t>Introdução</w:t>
      </w:r>
    </w:p>
    <w:p w:rsidR="00D2654E" w:rsidRDefault="009C6D6F" w:rsidP="006D28ED">
      <w:pPr>
        <w:spacing w:after="200" w:line="360" w:lineRule="auto"/>
        <w:ind w:firstLine="709"/>
        <w:jc w:val="both"/>
        <w:rPr>
          <w:rFonts w:ascii="Times New Roman" w:hAnsi="Times New Roman" w:cs="Times New Roman"/>
          <w:sz w:val="24"/>
          <w:szCs w:val="24"/>
        </w:rPr>
      </w:pPr>
      <w:r w:rsidRPr="009C6D6F">
        <w:rPr>
          <w:rFonts w:ascii="Times New Roman" w:hAnsi="Times New Roman" w:cs="Times New Roman"/>
          <w:sz w:val="24"/>
          <w:szCs w:val="24"/>
        </w:rPr>
        <w:t>O retorno da educação para o salário é uma das principais questões da economia</w:t>
      </w:r>
      <w:r>
        <w:rPr>
          <w:rFonts w:ascii="Times New Roman" w:hAnsi="Times New Roman" w:cs="Times New Roman"/>
          <w:sz w:val="24"/>
          <w:szCs w:val="24"/>
        </w:rPr>
        <w:t xml:space="preserve">. </w:t>
      </w:r>
      <w:r w:rsidR="00D2179A">
        <w:rPr>
          <w:rFonts w:ascii="Times New Roman" w:hAnsi="Times New Roman" w:cs="Times New Roman"/>
          <w:sz w:val="24"/>
          <w:szCs w:val="24"/>
        </w:rPr>
        <w:t xml:space="preserve">Diversos trabalhos empíricos demonstraram que a educação é um motor importante para o aumento salarial ao longo da vida. </w:t>
      </w:r>
      <w:r w:rsidR="004431F5">
        <w:rPr>
          <w:rFonts w:ascii="Times New Roman" w:hAnsi="Times New Roman" w:cs="Times New Roman"/>
          <w:sz w:val="24"/>
          <w:szCs w:val="24"/>
        </w:rPr>
        <w:t xml:space="preserve">No Brasil, </w:t>
      </w:r>
      <w:r w:rsidR="001E67B5">
        <w:rPr>
          <w:rFonts w:ascii="Times New Roman" w:hAnsi="Times New Roman" w:cs="Times New Roman"/>
          <w:sz w:val="24"/>
          <w:szCs w:val="24"/>
        </w:rPr>
        <w:t xml:space="preserve">a diferença </w:t>
      </w:r>
      <w:r w:rsidR="00983314">
        <w:rPr>
          <w:rFonts w:ascii="Times New Roman" w:hAnsi="Times New Roman" w:cs="Times New Roman"/>
          <w:sz w:val="24"/>
          <w:szCs w:val="24"/>
        </w:rPr>
        <w:t xml:space="preserve">salarial </w:t>
      </w:r>
      <w:r w:rsidR="001E67B5">
        <w:rPr>
          <w:rFonts w:ascii="Times New Roman" w:hAnsi="Times New Roman" w:cs="Times New Roman"/>
          <w:sz w:val="24"/>
          <w:szCs w:val="24"/>
        </w:rPr>
        <w:t>entre concluintes do ensino médio e de</w:t>
      </w:r>
      <w:r w:rsidR="00983314">
        <w:rPr>
          <w:rFonts w:ascii="Times New Roman" w:hAnsi="Times New Roman" w:cs="Times New Roman"/>
          <w:sz w:val="24"/>
          <w:szCs w:val="24"/>
        </w:rPr>
        <w:t xml:space="preserve"> graduados no ensino superior </w:t>
      </w:r>
      <w:r w:rsidR="001E67B5">
        <w:rPr>
          <w:rFonts w:ascii="Times New Roman" w:hAnsi="Times New Roman" w:cs="Times New Roman"/>
          <w:sz w:val="24"/>
          <w:szCs w:val="24"/>
        </w:rPr>
        <w:t xml:space="preserve">é grande e </w:t>
      </w:r>
      <w:r w:rsidR="0098300F">
        <w:rPr>
          <w:rFonts w:ascii="Times New Roman" w:hAnsi="Times New Roman" w:cs="Times New Roman"/>
          <w:sz w:val="24"/>
          <w:szCs w:val="24"/>
        </w:rPr>
        <w:t xml:space="preserve">pode </w:t>
      </w:r>
      <w:r w:rsidR="001E67B5">
        <w:rPr>
          <w:rFonts w:ascii="Times New Roman" w:hAnsi="Times New Roman" w:cs="Times New Roman"/>
          <w:sz w:val="24"/>
          <w:szCs w:val="24"/>
        </w:rPr>
        <w:t xml:space="preserve">aumentar ao longo </w:t>
      </w:r>
      <w:r w:rsidR="0098300F">
        <w:rPr>
          <w:rFonts w:ascii="Times New Roman" w:hAnsi="Times New Roman" w:cs="Times New Roman"/>
          <w:sz w:val="24"/>
          <w:szCs w:val="24"/>
        </w:rPr>
        <w:t>do ciclo de vida</w:t>
      </w:r>
      <w:r w:rsidR="001E67B5">
        <w:rPr>
          <w:rFonts w:ascii="Times New Roman" w:hAnsi="Times New Roman" w:cs="Times New Roman"/>
          <w:sz w:val="24"/>
          <w:szCs w:val="24"/>
        </w:rPr>
        <w:t xml:space="preserve">. A Figura 1 </w:t>
      </w:r>
      <w:r w:rsidR="00F975CD">
        <w:rPr>
          <w:rFonts w:ascii="Times New Roman" w:hAnsi="Times New Roman" w:cs="Times New Roman"/>
          <w:sz w:val="24"/>
          <w:szCs w:val="24"/>
        </w:rPr>
        <w:t xml:space="preserve">ilustra esse fato, mostrando a </w:t>
      </w:r>
      <w:r w:rsidR="001E67B5">
        <w:rPr>
          <w:rFonts w:ascii="Times New Roman" w:hAnsi="Times New Roman" w:cs="Times New Roman"/>
          <w:sz w:val="24"/>
          <w:szCs w:val="24"/>
        </w:rPr>
        <w:t>razão entre médias salariais de graduados no ensino superior e concluintes do ensino médio</w:t>
      </w:r>
      <w:r w:rsidR="00F975CD">
        <w:rPr>
          <w:rFonts w:ascii="Times New Roman" w:hAnsi="Times New Roman" w:cs="Times New Roman"/>
          <w:sz w:val="24"/>
          <w:szCs w:val="24"/>
        </w:rPr>
        <w:t>. Essa razão</w:t>
      </w:r>
      <w:r w:rsidR="001E67B5">
        <w:rPr>
          <w:rFonts w:ascii="Times New Roman" w:hAnsi="Times New Roman" w:cs="Times New Roman"/>
          <w:sz w:val="24"/>
          <w:szCs w:val="24"/>
        </w:rPr>
        <w:t xml:space="preserve"> aumenta ao longo das idades, o que </w:t>
      </w:r>
      <w:r w:rsidR="00C6012A">
        <w:rPr>
          <w:rFonts w:ascii="Times New Roman" w:hAnsi="Times New Roman" w:cs="Times New Roman"/>
          <w:sz w:val="24"/>
          <w:szCs w:val="24"/>
        </w:rPr>
        <w:t xml:space="preserve">sugere que a importância do </w:t>
      </w:r>
      <w:r w:rsidR="001E67B5">
        <w:rPr>
          <w:rFonts w:ascii="Times New Roman" w:hAnsi="Times New Roman" w:cs="Times New Roman"/>
          <w:sz w:val="24"/>
          <w:szCs w:val="24"/>
        </w:rPr>
        <w:t xml:space="preserve">diploma do ensino superior no mercado de trabalho </w:t>
      </w:r>
      <w:r w:rsidR="00C6012A">
        <w:rPr>
          <w:rFonts w:ascii="Times New Roman" w:hAnsi="Times New Roman" w:cs="Times New Roman"/>
          <w:sz w:val="24"/>
          <w:szCs w:val="24"/>
        </w:rPr>
        <w:t xml:space="preserve">pode crescer </w:t>
      </w:r>
      <w:r w:rsidR="001E67B5">
        <w:rPr>
          <w:rFonts w:ascii="Times New Roman" w:hAnsi="Times New Roman" w:cs="Times New Roman"/>
          <w:sz w:val="24"/>
          <w:szCs w:val="24"/>
        </w:rPr>
        <w:t>ao longo da vida.</w:t>
      </w:r>
    </w:p>
    <w:p w:rsidR="00D2654E" w:rsidRPr="00402531" w:rsidRDefault="00D2654E" w:rsidP="00D2654E">
      <w:pPr>
        <w:pStyle w:val="Legenda"/>
        <w:jc w:val="center"/>
        <w:rPr>
          <w:rFonts w:ascii="Times New Roman" w:hAnsi="Times New Roman" w:cs="Times New Roman"/>
          <w:b/>
          <w:i w:val="0"/>
          <w:color w:val="auto"/>
          <w:sz w:val="24"/>
          <w:szCs w:val="24"/>
        </w:rPr>
      </w:pPr>
      <w:r w:rsidRPr="00402531">
        <w:rPr>
          <w:rFonts w:ascii="Times New Roman" w:hAnsi="Times New Roman" w:cs="Times New Roman"/>
          <w:b/>
          <w:i w:val="0"/>
          <w:color w:val="auto"/>
          <w:sz w:val="24"/>
          <w:szCs w:val="24"/>
        </w:rPr>
        <w:t xml:space="preserve">Figura </w:t>
      </w:r>
      <w:r w:rsidRPr="00402531">
        <w:rPr>
          <w:rFonts w:ascii="Times New Roman" w:hAnsi="Times New Roman" w:cs="Times New Roman"/>
          <w:b/>
          <w:i w:val="0"/>
          <w:color w:val="auto"/>
          <w:sz w:val="24"/>
          <w:szCs w:val="24"/>
        </w:rPr>
        <w:fldChar w:fldCharType="begin"/>
      </w:r>
      <w:r w:rsidRPr="00402531">
        <w:rPr>
          <w:rFonts w:ascii="Times New Roman" w:hAnsi="Times New Roman" w:cs="Times New Roman"/>
          <w:b/>
          <w:i w:val="0"/>
          <w:color w:val="auto"/>
          <w:sz w:val="24"/>
          <w:szCs w:val="24"/>
        </w:rPr>
        <w:instrText xml:space="preserve"> SEQ Figura \* ARABIC </w:instrText>
      </w:r>
      <w:r w:rsidRPr="00402531">
        <w:rPr>
          <w:rFonts w:ascii="Times New Roman" w:hAnsi="Times New Roman" w:cs="Times New Roman"/>
          <w:b/>
          <w:i w:val="0"/>
          <w:color w:val="auto"/>
          <w:sz w:val="24"/>
          <w:szCs w:val="24"/>
        </w:rPr>
        <w:fldChar w:fldCharType="separate"/>
      </w:r>
      <w:r w:rsidRPr="00402531">
        <w:rPr>
          <w:rFonts w:ascii="Times New Roman" w:hAnsi="Times New Roman" w:cs="Times New Roman"/>
          <w:b/>
          <w:i w:val="0"/>
          <w:noProof/>
          <w:color w:val="auto"/>
          <w:sz w:val="24"/>
          <w:szCs w:val="24"/>
        </w:rPr>
        <w:t>1</w:t>
      </w:r>
      <w:r w:rsidRPr="00402531">
        <w:rPr>
          <w:rFonts w:ascii="Times New Roman" w:hAnsi="Times New Roman" w:cs="Times New Roman"/>
          <w:b/>
          <w:i w:val="0"/>
          <w:color w:val="auto"/>
          <w:sz w:val="24"/>
          <w:szCs w:val="24"/>
        </w:rPr>
        <w:fldChar w:fldCharType="end"/>
      </w:r>
      <w:r w:rsidRPr="00402531">
        <w:rPr>
          <w:rFonts w:ascii="Times New Roman" w:hAnsi="Times New Roman" w:cs="Times New Roman"/>
          <w:b/>
          <w:i w:val="0"/>
          <w:color w:val="auto"/>
          <w:sz w:val="24"/>
          <w:szCs w:val="24"/>
        </w:rPr>
        <w:t xml:space="preserve"> – Razão entre Médias Salariais dos Graduados no Ensino Superior e</w:t>
      </w:r>
      <w:r>
        <w:rPr>
          <w:rFonts w:ascii="Times New Roman" w:hAnsi="Times New Roman" w:cs="Times New Roman"/>
          <w:b/>
          <w:i w:val="0"/>
          <w:color w:val="auto"/>
          <w:sz w:val="24"/>
          <w:szCs w:val="24"/>
        </w:rPr>
        <w:t xml:space="preserve"> Concluintes do Ensino Médio, por Grupos de Idade</w:t>
      </w:r>
      <w:r w:rsidR="00455A96">
        <w:rPr>
          <w:rFonts w:ascii="Times New Roman" w:hAnsi="Times New Roman" w:cs="Times New Roman"/>
          <w:b/>
          <w:i w:val="0"/>
          <w:color w:val="auto"/>
          <w:sz w:val="24"/>
          <w:szCs w:val="24"/>
        </w:rPr>
        <w:t xml:space="preserve"> – 2017</w:t>
      </w:r>
    </w:p>
    <w:p w:rsidR="00D2654E" w:rsidRDefault="00D2654E" w:rsidP="00D2654E">
      <w:pPr>
        <w:spacing w:after="20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E94F4C6" wp14:editId="737F190F">
            <wp:extent cx="2520000" cy="183290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intro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832904"/>
                    </a:xfrm>
                    <a:prstGeom prst="rect">
                      <a:avLst/>
                    </a:prstGeom>
                  </pic:spPr>
                </pic:pic>
              </a:graphicData>
            </a:graphic>
          </wp:inline>
        </w:drawing>
      </w:r>
    </w:p>
    <w:p w:rsidR="00D2654E" w:rsidRPr="00402531" w:rsidRDefault="00D2654E" w:rsidP="00D2654E">
      <w:pPr>
        <w:spacing w:after="200" w:line="360" w:lineRule="auto"/>
        <w:ind w:firstLine="709"/>
        <w:jc w:val="center"/>
        <w:rPr>
          <w:rFonts w:ascii="Times New Roman" w:hAnsi="Times New Roman" w:cs="Times New Roman"/>
          <w:sz w:val="20"/>
          <w:szCs w:val="24"/>
        </w:rPr>
      </w:pPr>
      <w:r w:rsidRPr="00402531">
        <w:rPr>
          <w:rFonts w:ascii="Times New Roman" w:hAnsi="Times New Roman" w:cs="Times New Roman"/>
          <w:sz w:val="20"/>
          <w:szCs w:val="24"/>
        </w:rPr>
        <w:t>Fonte: PNAD Contínua/IBGE. Elaboração dos autores. Dados da primeira entrevista de cada domicílio.</w:t>
      </w:r>
    </w:p>
    <w:p w:rsidR="00F975CD" w:rsidRDefault="006D28ED" w:rsidP="00D2654E">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Apesar desse fato, apenas um percentual relativamente pequeno de adolescentes e jovens adultos na população economicamente ativa possuem algum estudo além do ensino médio. </w:t>
      </w:r>
      <w:r w:rsidR="005B6091">
        <w:rPr>
          <w:rFonts w:ascii="Times New Roman" w:hAnsi="Times New Roman" w:cs="Times New Roman"/>
          <w:sz w:val="24"/>
          <w:szCs w:val="24"/>
        </w:rPr>
        <w:t>A Figura 2 mostra que e</w:t>
      </w:r>
      <w:r>
        <w:rPr>
          <w:rFonts w:ascii="Times New Roman" w:hAnsi="Times New Roman" w:cs="Times New Roman"/>
          <w:sz w:val="24"/>
          <w:szCs w:val="24"/>
        </w:rPr>
        <w:t xml:space="preserve">m 2017, entre os indivíduos economicamente ativos com </w:t>
      </w:r>
      <w:r w:rsidR="0076492B">
        <w:rPr>
          <w:rFonts w:ascii="Times New Roman" w:hAnsi="Times New Roman" w:cs="Times New Roman"/>
          <w:sz w:val="24"/>
          <w:szCs w:val="24"/>
        </w:rPr>
        <w:t xml:space="preserve">idade </w:t>
      </w:r>
      <w:r>
        <w:rPr>
          <w:rFonts w:ascii="Times New Roman" w:hAnsi="Times New Roman" w:cs="Times New Roman"/>
          <w:sz w:val="24"/>
          <w:szCs w:val="24"/>
        </w:rPr>
        <w:t>entre 25 e 30 anos, somente 21,1% tinham completado o ensino superior.</w:t>
      </w:r>
      <w:r w:rsidR="00B46A09">
        <w:rPr>
          <w:rFonts w:ascii="Times New Roman" w:hAnsi="Times New Roman" w:cs="Times New Roman"/>
          <w:sz w:val="24"/>
          <w:szCs w:val="24"/>
        </w:rPr>
        <w:t xml:space="preserve"> </w:t>
      </w:r>
      <w:r w:rsidR="00325D66">
        <w:rPr>
          <w:rFonts w:ascii="Times New Roman" w:hAnsi="Times New Roman" w:cs="Times New Roman"/>
          <w:sz w:val="24"/>
          <w:szCs w:val="24"/>
        </w:rPr>
        <w:t>Esse percentual é menor</w:t>
      </w:r>
      <w:r w:rsidR="005B6091">
        <w:rPr>
          <w:rFonts w:ascii="Times New Roman" w:hAnsi="Times New Roman" w:cs="Times New Roman"/>
          <w:sz w:val="24"/>
          <w:szCs w:val="24"/>
        </w:rPr>
        <w:t xml:space="preserve"> entre aqueles com até 24 anos, devido ao atraso escolar existente entre os estudantes. </w:t>
      </w:r>
      <w:r w:rsidR="006C722C">
        <w:rPr>
          <w:rFonts w:ascii="Times New Roman" w:hAnsi="Times New Roman" w:cs="Times New Roman"/>
          <w:sz w:val="24"/>
          <w:szCs w:val="24"/>
        </w:rPr>
        <w:t>Por que poucos jovens se encaminham à faculdade, apesar dos potenciais retornos positivos ao ensino superior?</w:t>
      </w:r>
    </w:p>
    <w:p w:rsidR="007757DF" w:rsidRDefault="007757DF" w:rsidP="00D2654E">
      <w:pPr>
        <w:spacing w:after="200" w:line="360" w:lineRule="auto"/>
        <w:ind w:firstLine="709"/>
        <w:jc w:val="both"/>
        <w:rPr>
          <w:rFonts w:ascii="Times New Roman" w:hAnsi="Times New Roman" w:cs="Times New Roman"/>
          <w:sz w:val="24"/>
          <w:szCs w:val="24"/>
        </w:rPr>
      </w:pPr>
    </w:p>
    <w:p w:rsidR="007757DF" w:rsidRDefault="007757DF" w:rsidP="00D2654E">
      <w:pPr>
        <w:spacing w:after="200" w:line="360" w:lineRule="auto"/>
        <w:ind w:firstLine="709"/>
        <w:jc w:val="both"/>
        <w:rPr>
          <w:rFonts w:ascii="Times New Roman" w:hAnsi="Times New Roman" w:cs="Times New Roman"/>
          <w:sz w:val="24"/>
          <w:szCs w:val="24"/>
        </w:rPr>
      </w:pPr>
    </w:p>
    <w:p w:rsidR="007757DF" w:rsidRDefault="007757DF" w:rsidP="00D2654E">
      <w:pPr>
        <w:spacing w:after="200" w:line="360" w:lineRule="auto"/>
        <w:ind w:firstLine="709"/>
        <w:jc w:val="both"/>
        <w:rPr>
          <w:rFonts w:ascii="Times New Roman" w:hAnsi="Times New Roman" w:cs="Times New Roman"/>
          <w:sz w:val="24"/>
          <w:szCs w:val="24"/>
        </w:rPr>
      </w:pPr>
    </w:p>
    <w:p w:rsidR="007757DF" w:rsidRDefault="007757DF" w:rsidP="00D2654E">
      <w:pPr>
        <w:spacing w:after="200" w:line="360" w:lineRule="auto"/>
        <w:ind w:firstLine="709"/>
        <w:jc w:val="both"/>
        <w:rPr>
          <w:rFonts w:ascii="Times New Roman" w:hAnsi="Times New Roman" w:cs="Times New Roman"/>
          <w:sz w:val="24"/>
          <w:szCs w:val="24"/>
        </w:rPr>
      </w:pPr>
    </w:p>
    <w:p w:rsidR="006C722C" w:rsidRPr="00402531" w:rsidRDefault="006C722C" w:rsidP="006C722C">
      <w:pPr>
        <w:pStyle w:val="Legenda"/>
        <w:jc w:val="center"/>
        <w:rPr>
          <w:rFonts w:ascii="Times New Roman" w:hAnsi="Times New Roman" w:cs="Times New Roman"/>
          <w:b/>
          <w:i w:val="0"/>
          <w:color w:val="auto"/>
          <w:sz w:val="24"/>
          <w:szCs w:val="24"/>
        </w:rPr>
      </w:pPr>
      <w:r w:rsidRPr="00402531">
        <w:rPr>
          <w:rFonts w:ascii="Times New Roman" w:hAnsi="Times New Roman" w:cs="Times New Roman"/>
          <w:b/>
          <w:i w:val="0"/>
          <w:color w:val="auto"/>
          <w:sz w:val="24"/>
          <w:szCs w:val="24"/>
        </w:rPr>
        <w:lastRenderedPageBreak/>
        <w:t xml:space="preserve">Figura </w:t>
      </w:r>
      <w:r w:rsidRPr="00402531">
        <w:rPr>
          <w:rFonts w:ascii="Times New Roman" w:hAnsi="Times New Roman" w:cs="Times New Roman"/>
          <w:b/>
          <w:i w:val="0"/>
          <w:color w:val="auto"/>
          <w:sz w:val="24"/>
          <w:szCs w:val="24"/>
        </w:rPr>
        <w:fldChar w:fldCharType="begin"/>
      </w:r>
      <w:r w:rsidRPr="00402531">
        <w:rPr>
          <w:rFonts w:ascii="Times New Roman" w:hAnsi="Times New Roman" w:cs="Times New Roman"/>
          <w:b/>
          <w:i w:val="0"/>
          <w:color w:val="auto"/>
          <w:sz w:val="24"/>
          <w:szCs w:val="24"/>
        </w:rPr>
        <w:instrText xml:space="preserve"> SEQ Figura \* ARABIC </w:instrText>
      </w:r>
      <w:r w:rsidRPr="00402531">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2</w:t>
      </w:r>
      <w:r w:rsidRPr="00402531">
        <w:rPr>
          <w:rFonts w:ascii="Times New Roman" w:hAnsi="Times New Roman" w:cs="Times New Roman"/>
          <w:b/>
          <w:i w:val="0"/>
          <w:color w:val="auto"/>
          <w:sz w:val="24"/>
          <w:szCs w:val="24"/>
        </w:rPr>
        <w:fldChar w:fldCharType="end"/>
      </w:r>
      <w:r w:rsidRPr="00402531">
        <w:rPr>
          <w:rFonts w:ascii="Times New Roman" w:hAnsi="Times New Roman" w:cs="Times New Roman"/>
          <w:b/>
          <w:i w:val="0"/>
          <w:color w:val="auto"/>
          <w:sz w:val="24"/>
          <w:szCs w:val="24"/>
        </w:rPr>
        <w:t xml:space="preserve"> – </w:t>
      </w:r>
      <w:r>
        <w:rPr>
          <w:rFonts w:ascii="Times New Roman" w:hAnsi="Times New Roman" w:cs="Times New Roman"/>
          <w:b/>
          <w:i w:val="0"/>
          <w:color w:val="auto"/>
          <w:sz w:val="24"/>
          <w:szCs w:val="24"/>
        </w:rPr>
        <w:t>Distribuição por Escolaridade</w:t>
      </w:r>
      <w:r w:rsidR="00270B78">
        <w:rPr>
          <w:rFonts w:ascii="Times New Roman" w:hAnsi="Times New Roman" w:cs="Times New Roman"/>
          <w:b/>
          <w:i w:val="0"/>
          <w:color w:val="auto"/>
          <w:sz w:val="24"/>
          <w:szCs w:val="24"/>
        </w:rPr>
        <w:t>, Segundo grupos de Idade</w:t>
      </w:r>
      <w:r>
        <w:rPr>
          <w:rFonts w:ascii="Times New Roman" w:hAnsi="Times New Roman" w:cs="Times New Roman"/>
          <w:b/>
          <w:i w:val="0"/>
          <w:color w:val="auto"/>
          <w:sz w:val="24"/>
          <w:szCs w:val="24"/>
        </w:rPr>
        <w:t xml:space="preserve"> – 2017</w:t>
      </w:r>
      <w:r w:rsidR="00325D66">
        <w:rPr>
          <w:rFonts w:ascii="Times New Roman" w:hAnsi="Times New Roman" w:cs="Times New Roman"/>
          <w:b/>
          <w:i w:val="0"/>
          <w:color w:val="auto"/>
          <w:sz w:val="24"/>
          <w:szCs w:val="24"/>
        </w:rPr>
        <w:t xml:space="preserve"> </w:t>
      </w:r>
    </w:p>
    <w:p w:rsidR="005B6091" w:rsidRDefault="005B6091" w:rsidP="006C722C">
      <w:pPr>
        <w:spacing w:after="20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600000" cy="2618434"/>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intro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618434"/>
                    </a:xfrm>
                    <a:prstGeom prst="rect">
                      <a:avLst/>
                    </a:prstGeom>
                  </pic:spPr>
                </pic:pic>
              </a:graphicData>
            </a:graphic>
          </wp:inline>
        </w:drawing>
      </w:r>
    </w:p>
    <w:p w:rsidR="005E142C" w:rsidRPr="00402531" w:rsidRDefault="005E142C" w:rsidP="005E142C">
      <w:pPr>
        <w:spacing w:after="200" w:line="360" w:lineRule="auto"/>
        <w:ind w:firstLine="709"/>
        <w:jc w:val="center"/>
        <w:rPr>
          <w:rFonts w:ascii="Times New Roman" w:hAnsi="Times New Roman" w:cs="Times New Roman"/>
          <w:sz w:val="20"/>
          <w:szCs w:val="24"/>
        </w:rPr>
      </w:pPr>
      <w:r w:rsidRPr="00402531">
        <w:rPr>
          <w:rFonts w:ascii="Times New Roman" w:hAnsi="Times New Roman" w:cs="Times New Roman"/>
          <w:sz w:val="20"/>
          <w:szCs w:val="24"/>
        </w:rPr>
        <w:t>Fonte: PNAD Contínua/IBGE. Elaboração dos autores. Dados da primeira entrevista de cada domicílio.</w:t>
      </w:r>
    </w:p>
    <w:p w:rsidR="00B46A09" w:rsidRDefault="006C722C" w:rsidP="00850406">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B46A09">
        <w:rPr>
          <w:rFonts w:ascii="Times New Roman" w:hAnsi="Times New Roman" w:cs="Times New Roman"/>
          <w:sz w:val="24"/>
          <w:szCs w:val="24"/>
        </w:rPr>
        <w:t xml:space="preserve">s habilidades cognitivas e não-cognitivas </w:t>
      </w:r>
      <w:r w:rsidR="00474668">
        <w:rPr>
          <w:rFonts w:ascii="Times New Roman" w:hAnsi="Times New Roman" w:cs="Times New Roman"/>
          <w:sz w:val="24"/>
          <w:szCs w:val="24"/>
        </w:rPr>
        <w:t xml:space="preserve">são determinantes extremamente relevantes para o sucesso socioeconômico dos indivíduos. </w:t>
      </w:r>
      <w:r w:rsidR="00142440">
        <w:rPr>
          <w:rFonts w:ascii="Times New Roman" w:hAnsi="Times New Roman" w:cs="Times New Roman"/>
          <w:sz w:val="24"/>
          <w:szCs w:val="24"/>
        </w:rPr>
        <w:t xml:space="preserve">Habilidades cognitivas são aquelas que podem ser medidas por testes de QI ou por notas na escola, enquanto as habilidades não-cognitivas incluem características </w:t>
      </w:r>
      <w:r w:rsidR="00F11EAE">
        <w:rPr>
          <w:rFonts w:ascii="Times New Roman" w:hAnsi="Times New Roman" w:cs="Times New Roman"/>
          <w:sz w:val="24"/>
          <w:szCs w:val="24"/>
        </w:rPr>
        <w:t xml:space="preserve">socioemocionais, </w:t>
      </w:r>
      <w:r w:rsidR="00142440">
        <w:rPr>
          <w:rFonts w:ascii="Times New Roman" w:hAnsi="Times New Roman" w:cs="Times New Roman"/>
          <w:sz w:val="24"/>
          <w:szCs w:val="24"/>
        </w:rPr>
        <w:t xml:space="preserve">perseverança, atenção, motivação e </w:t>
      </w:r>
      <w:r w:rsidR="00325D66">
        <w:rPr>
          <w:rFonts w:ascii="Times New Roman" w:hAnsi="Times New Roman" w:cs="Times New Roman"/>
          <w:sz w:val="24"/>
          <w:szCs w:val="24"/>
        </w:rPr>
        <w:t>autoconfiança</w:t>
      </w:r>
      <w:r w:rsidR="00142440">
        <w:rPr>
          <w:rFonts w:ascii="Times New Roman" w:hAnsi="Times New Roman" w:cs="Times New Roman"/>
          <w:sz w:val="24"/>
          <w:szCs w:val="24"/>
        </w:rPr>
        <w:t>. Muito</w:t>
      </w:r>
      <w:r w:rsidR="00474668">
        <w:rPr>
          <w:rFonts w:ascii="Times New Roman" w:hAnsi="Times New Roman" w:cs="Times New Roman"/>
          <w:sz w:val="24"/>
          <w:szCs w:val="24"/>
        </w:rPr>
        <w:t>s dos problemas sociais mais comuns, como o crime, evasão escolar e problemas de saúde, estão relacionados a baixos níveis dessas habilidades</w:t>
      </w:r>
      <w:r w:rsidR="00A96EEB">
        <w:rPr>
          <w:rFonts w:ascii="Times New Roman" w:hAnsi="Times New Roman" w:cs="Times New Roman"/>
          <w:sz w:val="24"/>
          <w:szCs w:val="24"/>
        </w:rPr>
        <w:t xml:space="preserve"> (Heckman, 2008</w:t>
      </w:r>
      <w:r w:rsidR="00474668">
        <w:rPr>
          <w:rFonts w:ascii="Times New Roman" w:hAnsi="Times New Roman" w:cs="Times New Roman"/>
          <w:sz w:val="24"/>
          <w:szCs w:val="24"/>
        </w:rPr>
        <w:t>).</w:t>
      </w:r>
      <w:r w:rsidR="00142440">
        <w:rPr>
          <w:rFonts w:ascii="Times New Roman" w:hAnsi="Times New Roman" w:cs="Times New Roman"/>
          <w:sz w:val="24"/>
          <w:szCs w:val="24"/>
        </w:rPr>
        <w:t xml:space="preserve"> Essas habilidades também </w:t>
      </w:r>
      <w:r w:rsidR="00B46A09">
        <w:rPr>
          <w:rFonts w:ascii="Times New Roman" w:hAnsi="Times New Roman" w:cs="Times New Roman"/>
          <w:sz w:val="24"/>
          <w:szCs w:val="24"/>
        </w:rPr>
        <w:t>influenciam a decisão de fazer o ensino superior, tendo em vista o retorno a esse nível de ensino em relação ao salário e outros resultados na vida adulta. Indivíduos com pouca habilidade podem não se beneficiar de forma relevante do ensino superior, enquanto que indivíduos habilidosos podem ter maior retorno salarial com o curso. Essa heterogeneidade dos retornos ao ensino superior tem sido objeto de estudo de artigos empíricos recentes. Além disso, habilidades cognitivas podem ter influência diferenciada das habilidades socioemocionais.</w:t>
      </w:r>
    </w:p>
    <w:p w:rsidR="000B2C00" w:rsidRDefault="000B2C00" w:rsidP="000B2C00">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presente artigo, temos como objetivo entender a dinâmica entre habilidades, escolha educacional e os retornos à educação no Brasil. Usando dados de uma amostra representativa do Brasil e que traz resultados de teste </w:t>
      </w:r>
      <w:r w:rsidRPr="003D35C1">
        <w:rPr>
          <w:rFonts w:ascii="Times New Roman" w:hAnsi="Times New Roman" w:cs="Times New Roman"/>
          <w:sz w:val="24"/>
          <w:szCs w:val="24"/>
        </w:rPr>
        <w:t xml:space="preserve">cognitivo </w:t>
      </w:r>
      <w:r>
        <w:rPr>
          <w:rFonts w:ascii="Times New Roman" w:hAnsi="Times New Roman" w:cs="Times New Roman"/>
          <w:sz w:val="24"/>
          <w:szCs w:val="24"/>
        </w:rPr>
        <w:t xml:space="preserve">e medidas de habilidades socioemocionais, nós estimamos o retorno à educação superior, levando em consideração essas habilidades e o fato </w:t>
      </w:r>
      <w:r w:rsidR="00EE1BB8">
        <w:rPr>
          <w:rFonts w:ascii="Times New Roman" w:hAnsi="Times New Roman" w:cs="Times New Roman"/>
          <w:sz w:val="24"/>
          <w:szCs w:val="24"/>
        </w:rPr>
        <w:t>d</w:t>
      </w:r>
      <w:r>
        <w:rPr>
          <w:rFonts w:ascii="Times New Roman" w:hAnsi="Times New Roman" w:cs="Times New Roman"/>
          <w:sz w:val="24"/>
          <w:szCs w:val="24"/>
        </w:rPr>
        <w:t xml:space="preserve">o indivíduo escolher fazer ou não aquele nível educacional. </w:t>
      </w:r>
      <w:r w:rsidR="002B309D">
        <w:rPr>
          <w:rFonts w:ascii="Times New Roman" w:hAnsi="Times New Roman" w:cs="Times New Roman"/>
          <w:sz w:val="24"/>
          <w:szCs w:val="24"/>
        </w:rPr>
        <w:t>N</w:t>
      </w:r>
      <w:r>
        <w:rPr>
          <w:rFonts w:ascii="Times New Roman" w:hAnsi="Times New Roman" w:cs="Times New Roman"/>
          <w:sz w:val="24"/>
          <w:szCs w:val="24"/>
        </w:rPr>
        <w:t xml:space="preserve">ós estimamos esse efeito </w:t>
      </w:r>
      <w:r w:rsidR="002B309D">
        <w:rPr>
          <w:rFonts w:ascii="Times New Roman" w:hAnsi="Times New Roman" w:cs="Times New Roman"/>
          <w:sz w:val="24"/>
          <w:szCs w:val="24"/>
        </w:rPr>
        <w:t>do ensino superior permitindo que ele varie</w:t>
      </w:r>
      <w:r>
        <w:rPr>
          <w:rFonts w:ascii="Times New Roman" w:hAnsi="Times New Roman" w:cs="Times New Roman"/>
          <w:sz w:val="24"/>
          <w:szCs w:val="24"/>
        </w:rPr>
        <w:t xml:space="preserve"> ao longo das distribuição das habilidades</w:t>
      </w:r>
      <w:r w:rsidR="002B309D">
        <w:rPr>
          <w:rFonts w:ascii="Times New Roman" w:hAnsi="Times New Roman" w:cs="Times New Roman"/>
          <w:sz w:val="24"/>
          <w:szCs w:val="24"/>
        </w:rPr>
        <w:t>, para entender qual é o grupo mais beneficiado com esse nível educacional</w:t>
      </w:r>
      <w:r>
        <w:rPr>
          <w:rFonts w:ascii="Times New Roman" w:hAnsi="Times New Roman" w:cs="Times New Roman"/>
          <w:sz w:val="24"/>
          <w:szCs w:val="24"/>
        </w:rPr>
        <w:t xml:space="preserve">. Além disso, nós também </w:t>
      </w:r>
      <w:r w:rsidR="002B309D">
        <w:rPr>
          <w:rFonts w:ascii="Times New Roman" w:hAnsi="Times New Roman" w:cs="Times New Roman"/>
          <w:sz w:val="24"/>
          <w:szCs w:val="24"/>
        </w:rPr>
        <w:lastRenderedPageBreak/>
        <w:t>registramos</w:t>
      </w:r>
      <w:r>
        <w:rPr>
          <w:rFonts w:ascii="Times New Roman" w:hAnsi="Times New Roman" w:cs="Times New Roman"/>
          <w:sz w:val="24"/>
          <w:szCs w:val="24"/>
        </w:rPr>
        <w:t xml:space="preserve"> os efeitos desses fatores </w:t>
      </w:r>
      <w:r w:rsidR="002B309D">
        <w:rPr>
          <w:rFonts w:ascii="Times New Roman" w:hAnsi="Times New Roman" w:cs="Times New Roman"/>
          <w:sz w:val="24"/>
          <w:szCs w:val="24"/>
        </w:rPr>
        <w:t xml:space="preserve">cognitivo e socioemocional </w:t>
      </w:r>
      <w:r>
        <w:rPr>
          <w:rFonts w:ascii="Times New Roman" w:hAnsi="Times New Roman" w:cs="Times New Roman"/>
          <w:sz w:val="24"/>
          <w:szCs w:val="24"/>
        </w:rPr>
        <w:t xml:space="preserve">sobre a escolha </w:t>
      </w:r>
      <w:r w:rsidR="002B309D">
        <w:rPr>
          <w:rFonts w:ascii="Times New Roman" w:hAnsi="Times New Roman" w:cs="Times New Roman"/>
          <w:sz w:val="24"/>
          <w:szCs w:val="24"/>
        </w:rPr>
        <w:t>de fazer faculdade, e os seus efeitos diretos sobre a renda individual</w:t>
      </w:r>
      <w:r>
        <w:rPr>
          <w:rFonts w:ascii="Times New Roman" w:hAnsi="Times New Roman" w:cs="Times New Roman"/>
          <w:sz w:val="24"/>
          <w:szCs w:val="24"/>
        </w:rPr>
        <w:t>.</w:t>
      </w:r>
    </w:p>
    <w:p w:rsidR="006C749D" w:rsidRDefault="006C749D" w:rsidP="006C749D">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Nosso artigo conversa diretamente com trabalhos anteriores, que investigam a dinâmica entre as habilidades</w:t>
      </w:r>
      <w:r w:rsidR="004C2868">
        <w:rPr>
          <w:rFonts w:ascii="Times New Roman" w:hAnsi="Times New Roman" w:cs="Times New Roman"/>
          <w:sz w:val="24"/>
          <w:szCs w:val="24"/>
        </w:rPr>
        <w:t xml:space="preserve"> cognitivas e socioemocionais</w:t>
      </w:r>
      <w:r>
        <w:rPr>
          <w:rFonts w:ascii="Times New Roman" w:hAnsi="Times New Roman" w:cs="Times New Roman"/>
          <w:sz w:val="24"/>
          <w:szCs w:val="24"/>
        </w:rPr>
        <w:t xml:space="preserve">, a escolha educacional e resultados socioeconômicos posteriores. Heckman et al. (2014) encontram forte impacto </w:t>
      </w:r>
      <w:r w:rsidR="00F12D2F">
        <w:rPr>
          <w:rFonts w:ascii="Times New Roman" w:hAnsi="Times New Roman" w:cs="Times New Roman"/>
          <w:sz w:val="24"/>
          <w:szCs w:val="24"/>
        </w:rPr>
        <w:t>dessas</w:t>
      </w:r>
      <w:r>
        <w:rPr>
          <w:rFonts w:ascii="Times New Roman" w:hAnsi="Times New Roman" w:cs="Times New Roman"/>
          <w:sz w:val="24"/>
          <w:szCs w:val="24"/>
        </w:rPr>
        <w:t xml:space="preserve"> </w:t>
      </w:r>
      <w:r w:rsidRPr="00FA6415">
        <w:rPr>
          <w:rFonts w:ascii="Times New Roman" w:hAnsi="Times New Roman" w:cs="Times New Roman"/>
          <w:sz w:val="24"/>
          <w:szCs w:val="24"/>
        </w:rPr>
        <w:t>habilidades</w:t>
      </w:r>
      <w:r>
        <w:rPr>
          <w:rFonts w:ascii="Times New Roman" w:hAnsi="Times New Roman" w:cs="Times New Roman"/>
          <w:sz w:val="24"/>
          <w:szCs w:val="24"/>
        </w:rPr>
        <w:t xml:space="preserve"> sobre a auto seleção individual aos níveis educacionais. Utilizando a metodologia descrita por Carneiro et al. (2003), os autores constroem e estimam um modelo de escolhas educacionais sequenciais para identificar o </w:t>
      </w:r>
      <w:r w:rsidRPr="00DB7103">
        <w:rPr>
          <w:rFonts w:ascii="Times New Roman" w:hAnsi="Times New Roman" w:cs="Times New Roman"/>
          <w:sz w:val="24"/>
          <w:szCs w:val="24"/>
        </w:rPr>
        <w:t>impacto causal em diversas variáveis relacionadas a saúde e mercado de trabalho. Eles mostram que indivíduos com baixa dotação cognitiva se beneficiam muito pouco de uma graduação no ensino superior, e o oposto é observado para indivíduos com alto valor cognitivo. Já para a dotação socioemocional, não se</w:t>
      </w:r>
      <w:r w:rsidR="00D5534B">
        <w:rPr>
          <w:rFonts w:ascii="Times New Roman" w:hAnsi="Times New Roman" w:cs="Times New Roman"/>
          <w:sz w:val="24"/>
          <w:szCs w:val="24"/>
        </w:rPr>
        <w:t xml:space="preserve"> vê muita diferença no efeito da graduação</w:t>
      </w:r>
      <w:r w:rsidRPr="00DB7103">
        <w:rPr>
          <w:rFonts w:ascii="Times New Roman" w:hAnsi="Times New Roman" w:cs="Times New Roman"/>
          <w:sz w:val="24"/>
          <w:szCs w:val="24"/>
        </w:rPr>
        <w:t>.</w:t>
      </w:r>
    </w:p>
    <w:p w:rsidR="006C749D" w:rsidRDefault="006C749D" w:rsidP="006C749D">
      <w:pPr>
        <w:spacing w:after="20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Nybom</w:t>
      </w:r>
      <w:proofErr w:type="spellEnd"/>
      <w:r>
        <w:rPr>
          <w:rFonts w:ascii="Times New Roman" w:hAnsi="Times New Roman" w:cs="Times New Roman"/>
          <w:sz w:val="24"/>
          <w:szCs w:val="24"/>
        </w:rPr>
        <w:t xml:space="preserve"> (2014) mostra que a heterogeneidade dos retornos </w:t>
      </w:r>
      <w:r w:rsidR="00252921" w:rsidRPr="002C3F51">
        <w:rPr>
          <w:rFonts w:ascii="Times New Roman" w:hAnsi="Times New Roman" w:cs="Times New Roman"/>
          <w:color w:val="000000" w:themeColor="text1"/>
          <w:sz w:val="24"/>
          <w:szCs w:val="24"/>
        </w:rPr>
        <w:t>marginais</w:t>
      </w:r>
      <w:r w:rsidRPr="002C3F51">
        <w:rPr>
          <w:rFonts w:ascii="Times New Roman" w:hAnsi="Times New Roman" w:cs="Times New Roman"/>
          <w:color w:val="000000" w:themeColor="text1"/>
          <w:sz w:val="24"/>
          <w:szCs w:val="24"/>
        </w:rPr>
        <w:t xml:space="preserve"> </w:t>
      </w:r>
      <w:r>
        <w:rPr>
          <w:rFonts w:ascii="Times New Roman" w:hAnsi="Times New Roman" w:cs="Times New Roman"/>
          <w:sz w:val="24"/>
          <w:szCs w:val="24"/>
        </w:rPr>
        <w:t>à educação superior devido às habilidades cognitivas e não-cognitivas também é relevante e possuem magnitudes semelhantes entre si. O estudo mostra também que as características observáveis capturam boa parte da heterogeneidade total, de modo que as habilidades não-observáveis não possuem peso relevante, o que contraria a literatura anterior.</w:t>
      </w:r>
    </w:p>
    <w:p w:rsidR="007B10FC" w:rsidRDefault="006D28ED" w:rsidP="00850406">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Este artigo </w:t>
      </w:r>
      <w:r w:rsidR="004E1FDF">
        <w:rPr>
          <w:rFonts w:ascii="Times New Roman" w:hAnsi="Times New Roman" w:cs="Times New Roman"/>
          <w:sz w:val="24"/>
          <w:szCs w:val="24"/>
        </w:rPr>
        <w:t xml:space="preserve">também </w:t>
      </w:r>
      <w:r>
        <w:rPr>
          <w:rFonts w:ascii="Times New Roman" w:hAnsi="Times New Roman" w:cs="Times New Roman"/>
          <w:sz w:val="24"/>
          <w:szCs w:val="24"/>
        </w:rPr>
        <w:t xml:space="preserve">está inserido na literatura de economia que </w:t>
      </w:r>
      <w:r w:rsidR="004E1FDF">
        <w:rPr>
          <w:rFonts w:ascii="Times New Roman" w:hAnsi="Times New Roman" w:cs="Times New Roman"/>
          <w:sz w:val="24"/>
          <w:szCs w:val="24"/>
        </w:rPr>
        <w:t>discute os usos e validade d</w:t>
      </w:r>
      <w:r>
        <w:rPr>
          <w:rFonts w:ascii="Times New Roman" w:hAnsi="Times New Roman" w:cs="Times New Roman"/>
          <w:sz w:val="24"/>
          <w:szCs w:val="24"/>
        </w:rPr>
        <w:t>as habilidades cog</w:t>
      </w:r>
      <w:r w:rsidR="004E1FDF">
        <w:rPr>
          <w:rFonts w:ascii="Times New Roman" w:hAnsi="Times New Roman" w:cs="Times New Roman"/>
          <w:sz w:val="24"/>
          <w:szCs w:val="24"/>
        </w:rPr>
        <w:t xml:space="preserve">nitivas e não-cognitivas e </w:t>
      </w:r>
      <w:r>
        <w:rPr>
          <w:rFonts w:ascii="Times New Roman" w:hAnsi="Times New Roman" w:cs="Times New Roman"/>
          <w:sz w:val="24"/>
          <w:szCs w:val="24"/>
        </w:rPr>
        <w:t>em trabalhos empíricos.</w:t>
      </w:r>
      <w:r w:rsidR="00BF2F20">
        <w:rPr>
          <w:rFonts w:ascii="Times New Roman" w:hAnsi="Times New Roman" w:cs="Times New Roman"/>
          <w:sz w:val="24"/>
          <w:szCs w:val="24"/>
        </w:rPr>
        <w:t xml:space="preserve"> </w:t>
      </w:r>
      <w:r>
        <w:rPr>
          <w:rFonts w:ascii="Times New Roman" w:hAnsi="Times New Roman" w:cs="Times New Roman"/>
          <w:sz w:val="24"/>
          <w:szCs w:val="24"/>
        </w:rPr>
        <w:t xml:space="preserve">A preocupação com a validade do uso de notas e testes para medir habilidades individuais foi tratado em alguns artigos recentes. </w:t>
      </w:r>
      <w:r w:rsidR="007B10FC">
        <w:rPr>
          <w:rFonts w:ascii="Times New Roman" w:hAnsi="Times New Roman" w:cs="Times New Roman"/>
          <w:sz w:val="24"/>
          <w:szCs w:val="24"/>
        </w:rPr>
        <w:t xml:space="preserve">Há evidências de que testes de personalidade possuem capacidade preditiva de resultados de salário, saúde e educação na vida adulta </w:t>
      </w:r>
      <w:r w:rsidR="007B10FC" w:rsidRPr="00D3039E">
        <w:rPr>
          <w:rFonts w:ascii="Times New Roman" w:hAnsi="Times New Roman" w:cs="Times New Roman"/>
          <w:sz w:val="24"/>
          <w:szCs w:val="24"/>
        </w:rPr>
        <w:t>relativamente melhor do que de testes de habilidades cognitivas (</w:t>
      </w:r>
      <w:proofErr w:type="spellStart"/>
      <w:r w:rsidRPr="00D3039E">
        <w:rPr>
          <w:rFonts w:ascii="Times New Roman" w:hAnsi="Times New Roman" w:cs="Times New Roman"/>
          <w:sz w:val="24"/>
          <w:szCs w:val="24"/>
        </w:rPr>
        <w:t>Borghans</w:t>
      </w:r>
      <w:proofErr w:type="spellEnd"/>
      <w:r w:rsidRPr="00D3039E">
        <w:rPr>
          <w:rFonts w:ascii="Times New Roman" w:hAnsi="Times New Roman" w:cs="Times New Roman"/>
          <w:sz w:val="24"/>
          <w:szCs w:val="24"/>
        </w:rPr>
        <w:t xml:space="preserve"> et</w:t>
      </w:r>
      <w:r w:rsidR="007B10FC" w:rsidRPr="00D3039E">
        <w:rPr>
          <w:rFonts w:ascii="Times New Roman" w:hAnsi="Times New Roman" w:cs="Times New Roman"/>
          <w:sz w:val="24"/>
          <w:szCs w:val="24"/>
        </w:rPr>
        <w:t xml:space="preserve"> al., 2016). Além disso, os modelos de dois fatores (cognitivo e não-cognitivo) populares na literatura podem estar subestimando o poder explicativo dos fatores não-cognitivos quando comparados com modelos que usam conjuntos bem fundamentados de medidas socioemocionais,</w:t>
      </w:r>
      <w:r w:rsidR="007B10FC" w:rsidRPr="00D3039E">
        <w:rPr>
          <w:rStyle w:val="Refdenotaderodap"/>
          <w:rFonts w:ascii="Times New Roman" w:hAnsi="Times New Roman" w:cs="Times New Roman"/>
          <w:sz w:val="24"/>
          <w:szCs w:val="24"/>
        </w:rPr>
        <w:footnoteReference w:id="1"/>
      </w:r>
      <w:r w:rsidR="007B10FC" w:rsidRPr="00D3039E">
        <w:rPr>
          <w:rFonts w:ascii="Times New Roman" w:hAnsi="Times New Roman" w:cs="Times New Roman"/>
          <w:sz w:val="24"/>
          <w:szCs w:val="24"/>
        </w:rPr>
        <w:t xml:space="preserve"> e que a maneira como se constroem os fatores não-</w:t>
      </w:r>
      <w:r w:rsidR="00252921">
        <w:rPr>
          <w:rFonts w:ascii="Times New Roman" w:hAnsi="Times New Roman" w:cs="Times New Roman"/>
          <w:sz w:val="24"/>
          <w:szCs w:val="24"/>
        </w:rPr>
        <w:t>cognitivos pode</w:t>
      </w:r>
      <w:r w:rsidR="007B10FC" w:rsidRPr="00D3039E">
        <w:rPr>
          <w:rFonts w:ascii="Times New Roman" w:hAnsi="Times New Roman" w:cs="Times New Roman"/>
          <w:sz w:val="24"/>
          <w:szCs w:val="24"/>
        </w:rPr>
        <w:t xml:space="preserve"> influenciar nos resultados finais (</w:t>
      </w:r>
      <w:proofErr w:type="spellStart"/>
      <w:r w:rsidR="007B10FC" w:rsidRPr="00D3039E">
        <w:rPr>
          <w:rFonts w:ascii="Times New Roman" w:hAnsi="Times New Roman" w:cs="Times New Roman"/>
          <w:sz w:val="24"/>
          <w:szCs w:val="24"/>
        </w:rPr>
        <w:t>Humphries</w:t>
      </w:r>
      <w:proofErr w:type="spellEnd"/>
      <w:r w:rsidR="007B10FC" w:rsidRPr="00D3039E">
        <w:rPr>
          <w:rFonts w:ascii="Times New Roman" w:hAnsi="Times New Roman" w:cs="Times New Roman"/>
          <w:sz w:val="24"/>
          <w:szCs w:val="24"/>
        </w:rPr>
        <w:t xml:space="preserve"> e </w:t>
      </w:r>
      <w:proofErr w:type="spellStart"/>
      <w:r w:rsidR="007B10FC" w:rsidRPr="00D3039E">
        <w:rPr>
          <w:rFonts w:ascii="Times New Roman" w:hAnsi="Times New Roman" w:cs="Times New Roman"/>
          <w:sz w:val="24"/>
          <w:szCs w:val="24"/>
        </w:rPr>
        <w:t>Kosse</w:t>
      </w:r>
      <w:proofErr w:type="spellEnd"/>
      <w:r w:rsidR="007B10FC" w:rsidRPr="00D3039E">
        <w:rPr>
          <w:rFonts w:ascii="Times New Roman" w:hAnsi="Times New Roman" w:cs="Times New Roman"/>
          <w:sz w:val="24"/>
          <w:szCs w:val="24"/>
        </w:rPr>
        <w:t>, 2016).</w:t>
      </w:r>
    </w:p>
    <w:p w:rsidR="003D25D3" w:rsidRDefault="003D25D3" w:rsidP="00850406">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Além dessa breve introdução, na seção 2 apresentamos a metodologia utilizada para nossas estimações, seguida de uma descrição de nossa base de dados. Na seção 4 mostramos e discutimos os resultados das estimações, chegando a algumas conclusões na seção 5.</w:t>
      </w:r>
    </w:p>
    <w:p w:rsidR="005D4FC2" w:rsidRDefault="005D4FC2" w:rsidP="00410525">
      <w:pPr>
        <w:pStyle w:val="PargrafodaLista"/>
        <w:numPr>
          <w:ilvl w:val="0"/>
          <w:numId w:val="1"/>
        </w:numPr>
        <w:spacing w:after="200" w:line="360" w:lineRule="auto"/>
        <w:ind w:left="714" w:hanging="357"/>
        <w:outlineLvl w:val="0"/>
        <w:rPr>
          <w:rFonts w:ascii="Times New Roman" w:hAnsi="Times New Roman" w:cs="Times New Roman"/>
          <w:b/>
          <w:sz w:val="28"/>
          <w:szCs w:val="28"/>
        </w:rPr>
      </w:pPr>
      <w:r w:rsidRPr="005D4FC2">
        <w:rPr>
          <w:rFonts w:ascii="Times New Roman" w:hAnsi="Times New Roman" w:cs="Times New Roman"/>
          <w:b/>
          <w:sz w:val="28"/>
          <w:szCs w:val="28"/>
        </w:rPr>
        <w:t>Metodologia</w:t>
      </w:r>
    </w:p>
    <w:p w:rsidR="00D62B5D" w:rsidRDefault="00F43DEA" w:rsidP="0026080C">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Nosso objetivo nesse artigo é o de estimar </w:t>
      </w:r>
      <w:r w:rsidR="00E61754">
        <w:rPr>
          <w:rFonts w:ascii="Times New Roman" w:hAnsi="Times New Roman" w:cs="Times New Roman"/>
          <w:sz w:val="24"/>
          <w:szCs w:val="24"/>
        </w:rPr>
        <w:t>o retorno</w:t>
      </w:r>
      <w:r w:rsidR="00D960DD">
        <w:rPr>
          <w:rFonts w:ascii="Times New Roman" w:hAnsi="Times New Roman" w:cs="Times New Roman"/>
          <w:sz w:val="24"/>
          <w:szCs w:val="24"/>
        </w:rPr>
        <w:t xml:space="preserve"> médio</w:t>
      </w:r>
      <w:r w:rsidR="00E61754">
        <w:rPr>
          <w:rFonts w:ascii="Times New Roman" w:hAnsi="Times New Roman" w:cs="Times New Roman"/>
          <w:sz w:val="24"/>
          <w:szCs w:val="24"/>
        </w:rPr>
        <w:t xml:space="preserve"> à educação no </w:t>
      </w:r>
      <w:r w:rsidR="00867FFD">
        <w:rPr>
          <w:rFonts w:ascii="Times New Roman" w:hAnsi="Times New Roman" w:cs="Times New Roman"/>
          <w:sz w:val="24"/>
          <w:szCs w:val="24"/>
        </w:rPr>
        <w:t>ensino superior</w:t>
      </w:r>
      <w:r w:rsidR="00E61754">
        <w:rPr>
          <w:rFonts w:ascii="Times New Roman" w:hAnsi="Times New Roman" w:cs="Times New Roman"/>
          <w:sz w:val="24"/>
          <w:szCs w:val="24"/>
        </w:rPr>
        <w:t xml:space="preserve"> sobre a renda individual, levando em consideração </w:t>
      </w:r>
      <w:r>
        <w:rPr>
          <w:rFonts w:ascii="Times New Roman" w:hAnsi="Times New Roman" w:cs="Times New Roman"/>
          <w:sz w:val="24"/>
          <w:szCs w:val="24"/>
        </w:rPr>
        <w:t xml:space="preserve">os efeitos dos fatores cognitivo e socioemocional e </w:t>
      </w:r>
      <w:r w:rsidR="00432C56">
        <w:rPr>
          <w:rFonts w:ascii="Times New Roman" w:hAnsi="Times New Roman" w:cs="Times New Roman"/>
          <w:sz w:val="24"/>
          <w:szCs w:val="24"/>
        </w:rPr>
        <w:t>o fato de que o indivíduo escolhe seu nível</w:t>
      </w:r>
      <w:r>
        <w:rPr>
          <w:rFonts w:ascii="Times New Roman" w:hAnsi="Times New Roman" w:cs="Times New Roman"/>
          <w:sz w:val="24"/>
          <w:szCs w:val="24"/>
        </w:rPr>
        <w:t xml:space="preserve"> educacional. </w:t>
      </w:r>
      <w:r w:rsidR="00D62B5D">
        <w:rPr>
          <w:rFonts w:ascii="Times New Roman" w:hAnsi="Times New Roman" w:cs="Times New Roman"/>
          <w:sz w:val="24"/>
          <w:szCs w:val="24"/>
        </w:rPr>
        <w:t xml:space="preserve">Além disso, é também do nosso interesse estimar os efeitos </w:t>
      </w:r>
      <w:r w:rsidR="007A2EFF">
        <w:rPr>
          <w:rFonts w:ascii="Times New Roman" w:hAnsi="Times New Roman" w:cs="Times New Roman"/>
          <w:sz w:val="24"/>
          <w:szCs w:val="24"/>
        </w:rPr>
        <w:t xml:space="preserve">diretos </w:t>
      </w:r>
      <w:r w:rsidR="00D62B5D">
        <w:rPr>
          <w:rFonts w:ascii="Times New Roman" w:hAnsi="Times New Roman" w:cs="Times New Roman"/>
          <w:sz w:val="24"/>
          <w:szCs w:val="24"/>
        </w:rPr>
        <w:t>desses fatores sobre a renda individual.</w:t>
      </w:r>
    </w:p>
    <w:p w:rsidR="0026080C" w:rsidRDefault="00F43DEA" w:rsidP="0026080C">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dificuldade essencial desse tipo de estimação </w:t>
      </w:r>
      <w:r w:rsidR="00D76D12">
        <w:rPr>
          <w:rFonts w:ascii="Times New Roman" w:hAnsi="Times New Roman" w:cs="Times New Roman"/>
          <w:sz w:val="24"/>
          <w:szCs w:val="24"/>
        </w:rPr>
        <w:t xml:space="preserve">é de </w:t>
      </w:r>
      <w:r>
        <w:rPr>
          <w:rFonts w:ascii="Times New Roman" w:hAnsi="Times New Roman" w:cs="Times New Roman"/>
          <w:sz w:val="24"/>
          <w:szCs w:val="24"/>
        </w:rPr>
        <w:t>que esses fatores não são diretamente observáveis nos dados</w:t>
      </w:r>
      <w:r w:rsidR="00D76D12">
        <w:rPr>
          <w:rFonts w:ascii="Times New Roman" w:hAnsi="Times New Roman" w:cs="Times New Roman"/>
          <w:sz w:val="24"/>
          <w:szCs w:val="24"/>
        </w:rPr>
        <w:t xml:space="preserve"> (por isso são chamados também de habilidades latentes)</w:t>
      </w:r>
      <w:r>
        <w:rPr>
          <w:rFonts w:ascii="Times New Roman" w:hAnsi="Times New Roman" w:cs="Times New Roman"/>
          <w:sz w:val="24"/>
          <w:szCs w:val="24"/>
        </w:rPr>
        <w:t xml:space="preserve">, de forma que não é possível </w:t>
      </w:r>
      <w:r w:rsidR="00432C56">
        <w:rPr>
          <w:rFonts w:ascii="Times New Roman" w:hAnsi="Times New Roman" w:cs="Times New Roman"/>
          <w:sz w:val="24"/>
          <w:szCs w:val="24"/>
        </w:rPr>
        <w:t>controlar seus efeitos de forma direta</w:t>
      </w:r>
      <w:r>
        <w:rPr>
          <w:rFonts w:ascii="Times New Roman" w:hAnsi="Times New Roman" w:cs="Times New Roman"/>
          <w:sz w:val="24"/>
          <w:szCs w:val="24"/>
        </w:rPr>
        <w:t>.</w:t>
      </w:r>
      <w:r w:rsidR="00432C56">
        <w:rPr>
          <w:rFonts w:ascii="Times New Roman" w:hAnsi="Times New Roman" w:cs="Times New Roman"/>
          <w:sz w:val="24"/>
          <w:szCs w:val="24"/>
        </w:rPr>
        <w:t xml:space="preserve"> </w:t>
      </w:r>
      <w:r>
        <w:rPr>
          <w:rFonts w:ascii="Times New Roman" w:hAnsi="Times New Roman" w:cs="Times New Roman"/>
          <w:sz w:val="24"/>
          <w:szCs w:val="24"/>
        </w:rPr>
        <w:t>Por esse motivo, utilizamos a</w:t>
      </w:r>
      <w:r w:rsidR="0026080C">
        <w:rPr>
          <w:rFonts w:ascii="Times New Roman" w:hAnsi="Times New Roman" w:cs="Times New Roman"/>
          <w:sz w:val="24"/>
          <w:szCs w:val="24"/>
        </w:rPr>
        <w:t xml:space="preserve"> metodologia desenvolvida por Carneiro et al. (2003)</w:t>
      </w:r>
      <w:r>
        <w:rPr>
          <w:rFonts w:ascii="Times New Roman" w:hAnsi="Times New Roman" w:cs="Times New Roman"/>
          <w:sz w:val="24"/>
          <w:szCs w:val="24"/>
        </w:rPr>
        <w:t xml:space="preserve">, que recupera </w:t>
      </w:r>
      <w:r w:rsidR="00D76D12">
        <w:rPr>
          <w:rFonts w:ascii="Times New Roman" w:hAnsi="Times New Roman" w:cs="Times New Roman"/>
          <w:sz w:val="24"/>
          <w:szCs w:val="24"/>
        </w:rPr>
        <w:t xml:space="preserve">não só esses efeitos, como, </w:t>
      </w:r>
      <w:r>
        <w:rPr>
          <w:rFonts w:ascii="Times New Roman" w:hAnsi="Times New Roman" w:cs="Times New Roman"/>
          <w:sz w:val="24"/>
          <w:szCs w:val="24"/>
        </w:rPr>
        <w:t>de forma mais ampla</w:t>
      </w:r>
      <w:r w:rsidR="00D76D12">
        <w:rPr>
          <w:rFonts w:ascii="Times New Roman" w:hAnsi="Times New Roman" w:cs="Times New Roman"/>
          <w:sz w:val="24"/>
          <w:szCs w:val="24"/>
        </w:rPr>
        <w:t>,</w:t>
      </w:r>
      <w:r>
        <w:rPr>
          <w:rFonts w:ascii="Times New Roman" w:hAnsi="Times New Roman" w:cs="Times New Roman"/>
          <w:sz w:val="24"/>
          <w:szCs w:val="24"/>
        </w:rPr>
        <w:t xml:space="preserve"> </w:t>
      </w:r>
      <w:r w:rsidR="0026080C">
        <w:rPr>
          <w:rFonts w:ascii="Times New Roman" w:hAnsi="Times New Roman" w:cs="Times New Roman"/>
          <w:sz w:val="24"/>
          <w:szCs w:val="24"/>
        </w:rPr>
        <w:t>a distribuição conjunta dos resultados potenciais de diferentes níveis educacionais. A partir de algumas hipóteses sobre a distribuição dos dados</w:t>
      </w:r>
      <w:r>
        <w:rPr>
          <w:rFonts w:ascii="Times New Roman" w:hAnsi="Times New Roman" w:cs="Times New Roman"/>
          <w:sz w:val="24"/>
          <w:szCs w:val="24"/>
        </w:rPr>
        <w:t xml:space="preserve"> e de medidas indiretas dos fatores cognitivos e socioemocionais</w:t>
      </w:r>
      <w:r w:rsidR="0026080C">
        <w:rPr>
          <w:rFonts w:ascii="Times New Roman" w:hAnsi="Times New Roman" w:cs="Times New Roman"/>
          <w:sz w:val="24"/>
          <w:szCs w:val="24"/>
        </w:rPr>
        <w:t xml:space="preserve">, ela permite reconstruir a distribuição </w:t>
      </w:r>
      <w:r>
        <w:rPr>
          <w:rFonts w:ascii="Times New Roman" w:hAnsi="Times New Roman" w:cs="Times New Roman"/>
          <w:sz w:val="24"/>
          <w:szCs w:val="24"/>
        </w:rPr>
        <w:t>da renda</w:t>
      </w:r>
      <w:r w:rsidR="0026080C">
        <w:rPr>
          <w:rFonts w:ascii="Times New Roman" w:hAnsi="Times New Roman" w:cs="Times New Roman"/>
          <w:sz w:val="24"/>
          <w:szCs w:val="24"/>
        </w:rPr>
        <w:t xml:space="preserve">, nos cenários </w:t>
      </w:r>
      <w:proofErr w:type="spellStart"/>
      <w:r w:rsidR="002666C7">
        <w:rPr>
          <w:rFonts w:ascii="Times New Roman" w:hAnsi="Times New Roman" w:cs="Times New Roman"/>
          <w:color w:val="000000" w:themeColor="text1"/>
          <w:sz w:val="24"/>
          <w:szCs w:val="24"/>
        </w:rPr>
        <w:t>contra</w:t>
      </w:r>
      <w:r w:rsidR="002666C7" w:rsidRPr="009F1A74">
        <w:rPr>
          <w:rFonts w:ascii="Times New Roman" w:hAnsi="Times New Roman" w:cs="Times New Roman"/>
          <w:color w:val="000000" w:themeColor="text1"/>
          <w:sz w:val="24"/>
          <w:szCs w:val="24"/>
        </w:rPr>
        <w:t>factuais</w:t>
      </w:r>
      <w:proofErr w:type="spellEnd"/>
      <w:r w:rsidR="0026080C" w:rsidRPr="009F1A74">
        <w:rPr>
          <w:rFonts w:ascii="Times New Roman" w:hAnsi="Times New Roman" w:cs="Times New Roman"/>
          <w:color w:val="000000" w:themeColor="text1"/>
          <w:sz w:val="24"/>
          <w:szCs w:val="24"/>
        </w:rPr>
        <w:t xml:space="preserve"> </w:t>
      </w:r>
      <w:r w:rsidR="0026080C">
        <w:rPr>
          <w:rFonts w:ascii="Times New Roman" w:hAnsi="Times New Roman" w:cs="Times New Roman"/>
          <w:sz w:val="24"/>
          <w:szCs w:val="24"/>
        </w:rPr>
        <w:t>que seriam observados para uma mesma pessoa em níveis diferentes de escolaridade.</w:t>
      </w:r>
    </w:p>
    <w:p w:rsidR="00D76D12" w:rsidRDefault="00BB454D" w:rsidP="0026080C">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Nos dados utilizados, temos </w:t>
      </w:r>
      <w:r w:rsidR="00D76D12">
        <w:rPr>
          <w:rFonts w:ascii="Times New Roman" w:hAnsi="Times New Roman" w:cs="Times New Roman"/>
          <w:sz w:val="24"/>
          <w:szCs w:val="24"/>
        </w:rPr>
        <w:t xml:space="preserve">escores </w:t>
      </w:r>
      <w:r>
        <w:rPr>
          <w:rFonts w:ascii="Times New Roman" w:hAnsi="Times New Roman" w:cs="Times New Roman"/>
          <w:sz w:val="24"/>
          <w:szCs w:val="24"/>
        </w:rPr>
        <w:t>de</w:t>
      </w:r>
      <w:r w:rsidR="00D76D12">
        <w:rPr>
          <w:rFonts w:ascii="Times New Roman" w:hAnsi="Times New Roman" w:cs="Times New Roman"/>
          <w:sz w:val="24"/>
          <w:szCs w:val="24"/>
        </w:rPr>
        <w:t xml:space="preserve"> testes </w:t>
      </w:r>
      <w:r>
        <w:rPr>
          <w:rFonts w:ascii="Times New Roman" w:hAnsi="Times New Roman" w:cs="Times New Roman"/>
          <w:sz w:val="24"/>
          <w:szCs w:val="24"/>
        </w:rPr>
        <w:t xml:space="preserve">cognitivos e socioemocionais, que </w:t>
      </w:r>
      <w:r w:rsidR="00D76D12">
        <w:rPr>
          <w:rFonts w:ascii="Times New Roman" w:hAnsi="Times New Roman" w:cs="Times New Roman"/>
          <w:sz w:val="24"/>
          <w:szCs w:val="24"/>
        </w:rPr>
        <w:t xml:space="preserve">são as nossas medidas das habilidades latentes. Podemos estimar a distribuição </w:t>
      </w:r>
      <w:r>
        <w:rPr>
          <w:rFonts w:ascii="Times New Roman" w:hAnsi="Times New Roman" w:cs="Times New Roman"/>
          <w:sz w:val="24"/>
          <w:szCs w:val="24"/>
        </w:rPr>
        <w:t>dessas habilidades com base naqueles escores</w:t>
      </w:r>
      <w:r w:rsidR="00D76D12">
        <w:rPr>
          <w:rFonts w:ascii="Times New Roman" w:hAnsi="Times New Roman" w:cs="Times New Roman"/>
          <w:sz w:val="24"/>
          <w:szCs w:val="24"/>
        </w:rPr>
        <w:t>, podendo então obter estimativas não enviesadas do retorno da educação nos salários.</w:t>
      </w:r>
    </w:p>
    <w:p w:rsidR="00893B4E" w:rsidRDefault="00BB454D" w:rsidP="00BB454D">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É possível pensar neste modelo como um de resultados potenciais inspirado no modelo de Roy (Roy, 1951). Formalmente, temos uma variável de tratamento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indicando se o indivíduo entrou ou não no </w:t>
      </w:r>
      <w:r w:rsidR="00867FFD">
        <w:rPr>
          <w:rFonts w:ascii="Times New Roman" w:eastAsiaTheme="minorEastAsia" w:hAnsi="Times New Roman" w:cs="Times New Roman"/>
          <w:sz w:val="24"/>
          <w:szCs w:val="24"/>
        </w:rPr>
        <w:t>ensino superior</w:t>
      </w:r>
      <w:r>
        <w:rPr>
          <w:rFonts w:ascii="Times New Roman" w:eastAsiaTheme="minorEastAsia" w:hAnsi="Times New Roman" w:cs="Times New Roman"/>
          <w:sz w:val="24"/>
          <w:szCs w:val="24"/>
        </w:rPr>
        <w:t xml:space="preserve"> e a</w:t>
      </w:r>
      <w:r w:rsidR="00F8396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renda</w:t>
      </w:r>
      <w:r w:rsidR="00F8396A">
        <w:rPr>
          <w:rFonts w:ascii="Times New Roman" w:eastAsiaTheme="minorEastAsia" w:hAnsi="Times New Roman" w:cs="Times New Roman"/>
          <w:sz w:val="24"/>
          <w:szCs w:val="24"/>
        </w:rPr>
        <w:t>s individuais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que teriam sido observadas, respectivamente, </w:t>
      </w:r>
      <w:r w:rsidR="0015698D">
        <w:rPr>
          <w:rFonts w:ascii="Times New Roman" w:eastAsiaTheme="minorEastAsia" w:hAnsi="Times New Roman" w:cs="Times New Roman"/>
          <w:sz w:val="24"/>
          <w:szCs w:val="24"/>
        </w:rPr>
        <w:t xml:space="preserve">no cenário em que </w:t>
      </w:r>
      <w:r>
        <w:rPr>
          <w:rFonts w:ascii="Times New Roman" w:eastAsiaTheme="minorEastAsia" w:hAnsi="Times New Roman" w:cs="Times New Roman"/>
          <w:sz w:val="24"/>
          <w:szCs w:val="24"/>
        </w:rPr>
        <w:t xml:space="preserve">o indivíduo </w:t>
      </w:r>
      <w:r w:rsidR="0015698D">
        <w:rPr>
          <w:rFonts w:ascii="Times New Roman" w:eastAsiaTheme="minorEastAsia" w:hAnsi="Times New Roman" w:cs="Times New Roman"/>
          <w:sz w:val="24"/>
          <w:szCs w:val="24"/>
        </w:rPr>
        <w:t>fez</w:t>
      </w:r>
      <w:r>
        <w:rPr>
          <w:rFonts w:ascii="Times New Roman" w:eastAsiaTheme="minorEastAsia" w:hAnsi="Times New Roman" w:cs="Times New Roman"/>
          <w:sz w:val="24"/>
          <w:szCs w:val="24"/>
        </w:rPr>
        <w:t xml:space="preserve"> </w:t>
      </w:r>
      <w:r w:rsidR="00867FFD">
        <w:rPr>
          <w:rFonts w:ascii="Times New Roman" w:eastAsiaTheme="minorEastAsia" w:hAnsi="Times New Roman" w:cs="Times New Roman"/>
          <w:sz w:val="24"/>
          <w:szCs w:val="24"/>
        </w:rPr>
        <w:t>ensino superior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D=1</m:t>
        </m:r>
      </m:oMath>
      <w:r>
        <w:rPr>
          <w:rFonts w:ascii="Times New Roman" w:eastAsiaTheme="minorEastAsia" w:hAnsi="Times New Roman" w:cs="Times New Roman"/>
          <w:sz w:val="24"/>
          <w:szCs w:val="24"/>
        </w:rPr>
        <w:t xml:space="preserve">) ou </w:t>
      </w:r>
      <w:r w:rsidR="0015698D">
        <w:rPr>
          <w:rFonts w:ascii="Times New Roman" w:eastAsiaTheme="minorEastAsia" w:hAnsi="Times New Roman" w:cs="Times New Roman"/>
          <w:sz w:val="24"/>
          <w:szCs w:val="24"/>
        </w:rPr>
        <w:t xml:space="preserve">no cenário em que </w:t>
      </w:r>
      <w:r>
        <w:rPr>
          <w:rFonts w:ascii="Times New Roman" w:eastAsiaTheme="minorEastAsia" w:hAnsi="Times New Roman" w:cs="Times New Roman"/>
          <w:sz w:val="24"/>
          <w:szCs w:val="24"/>
        </w:rPr>
        <w:t xml:space="preserve">não </w:t>
      </w:r>
      <w:r w:rsidR="0015698D">
        <w:rPr>
          <w:rFonts w:ascii="Times New Roman" w:eastAsiaTheme="minorEastAsia" w:hAnsi="Times New Roman" w:cs="Times New Roman"/>
          <w:sz w:val="24"/>
          <w:szCs w:val="24"/>
        </w:rPr>
        <w:t xml:space="preserve">fez </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representando seus resultados potenciais. </w:t>
      </w:r>
      <w:r w:rsidR="0015698D">
        <w:rPr>
          <w:rFonts w:ascii="Times New Roman" w:eastAsiaTheme="minorEastAsia" w:hAnsi="Times New Roman" w:cs="Times New Roman"/>
          <w:sz w:val="24"/>
          <w:szCs w:val="24"/>
        </w:rPr>
        <w:t>Chamamos cada um desses cenários de estados</w:t>
      </w:r>
      <w:r w:rsidR="003B488A">
        <w:rPr>
          <w:rFonts w:ascii="Times New Roman" w:eastAsiaTheme="minorEastAsia" w:hAnsi="Times New Roman" w:cs="Times New Roman"/>
          <w:sz w:val="24"/>
          <w:szCs w:val="24"/>
        </w:rPr>
        <w:t xml:space="preserve"> do tratamento </w:t>
      </w:r>
      <m:oMath>
        <m:r>
          <w:rPr>
            <w:rFonts w:ascii="Cambria Math" w:eastAsiaTheme="minorEastAsia" w:hAnsi="Cambria Math" w:cs="Times New Roman"/>
            <w:sz w:val="24"/>
            <w:szCs w:val="24"/>
          </w:rPr>
          <m:t>D</m:t>
        </m:r>
      </m:oMath>
      <w:r w:rsidR="0015698D">
        <w:rPr>
          <w:rFonts w:ascii="Times New Roman" w:eastAsiaTheme="minorEastAsia" w:hAnsi="Times New Roman" w:cs="Times New Roman"/>
          <w:sz w:val="24"/>
          <w:szCs w:val="24"/>
        </w:rPr>
        <w:t>.</w:t>
      </w:r>
    </w:p>
    <w:p w:rsidR="00785468" w:rsidRPr="005D4FC2" w:rsidRDefault="004B6A1F" w:rsidP="00410525">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 que define a escolha do indivíduo</w:t>
      </w:r>
      <w:r w:rsidR="009368B7">
        <w:rPr>
          <w:rFonts w:ascii="Times New Roman" w:eastAsiaTheme="minorEastAsia" w:hAnsi="Times New Roman" w:cs="Times New Roman"/>
          <w:sz w:val="24"/>
          <w:szCs w:val="24"/>
        </w:rPr>
        <w:t xml:space="preserve"> entre fazer ou não o </w:t>
      </w:r>
      <w:r w:rsidR="00867FFD">
        <w:rPr>
          <w:rFonts w:ascii="Times New Roman" w:eastAsiaTheme="minorEastAsia" w:hAnsi="Times New Roman" w:cs="Times New Roman"/>
          <w:sz w:val="24"/>
          <w:szCs w:val="24"/>
        </w:rPr>
        <w:t>ensino superior</w:t>
      </w:r>
      <w:r>
        <w:rPr>
          <w:rFonts w:ascii="Times New Roman" w:eastAsiaTheme="minorEastAsia" w:hAnsi="Times New Roman" w:cs="Times New Roman"/>
          <w:sz w:val="24"/>
          <w:szCs w:val="24"/>
        </w:rPr>
        <w:t>?</w:t>
      </w:r>
      <w:r w:rsidR="009368B7">
        <w:rPr>
          <w:rFonts w:ascii="Times New Roman" w:eastAsiaTheme="minorEastAsia" w:hAnsi="Times New Roman" w:cs="Times New Roman"/>
          <w:sz w:val="24"/>
          <w:szCs w:val="24"/>
        </w:rPr>
        <w:t xml:space="preserve"> O</w:t>
      </w:r>
      <w:r w:rsidR="002C1803">
        <w:rPr>
          <w:rFonts w:ascii="Times New Roman" w:eastAsiaTheme="minorEastAsia" w:hAnsi="Times New Roman" w:cs="Times New Roman"/>
          <w:sz w:val="24"/>
          <w:szCs w:val="24"/>
        </w:rPr>
        <w:t xml:space="preserve"> indivíduo </w:t>
      </w:r>
      <w:r w:rsidR="009368B7">
        <w:rPr>
          <w:rFonts w:ascii="Times New Roman" w:eastAsiaTheme="minorEastAsia" w:hAnsi="Times New Roman" w:cs="Times New Roman"/>
          <w:sz w:val="24"/>
          <w:szCs w:val="24"/>
        </w:rPr>
        <w:t xml:space="preserve">faz essa escolha </w:t>
      </w:r>
      <w:r w:rsidR="002C1803">
        <w:rPr>
          <w:rFonts w:ascii="Times New Roman" w:eastAsiaTheme="minorEastAsia" w:hAnsi="Times New Roman" w:cs="Times New Roman"/>
          <w:sz w:val="24"/>
          <w:szCs w:val="24"/>
        </w:rPr>
        <w:t>comparando o nível de utilidade, ou bem-estar,</w:t>
      </w:r>
      <w:r w:rsidR="00F8396A">
        <w:rPr>
          <w:rFonts w:ascii="Times New Roman" w:eastAsiaTheme="minorEastAsia" w:hAnsi="Times New Roman" w:cs="Times New Roman"/>
          <w:sz w:val="24"/>
          <w:szCs w:val="24"/>
        </w:rPr>
        <w:t xml:space="preserve"> </w:t>
      </w:r>
      <w:r w:rsidR="002C1803">
        <w:rPr>
          <w:rFonts w:ascii="Times New Roman" w:eastAsiaTheme="minorEastAsia" w:hAnsi="Times New Roman" w:cs="Times New Roman"/>
          <w:sz w:val="24"/>
          <w:szCs w:val="24"/>
        </w:rPr>
        <w:t xml:space="preserve">que teria </w:t>
      </w:r>
      <w:r w:rsidR="00F8396A">
        <w:rPr>
          <w:rFonts w:ascii="Times New Roman" w:eastAsiaTheme="minorEastAsia" w:hAnsi="Times New Roman" w:cs="Times New Roman"/>
          <w:sz w:val="24"/>
          <w:szCs w:val="24"/>
        </w:rPr>
        <w:t xml:space="preserve">no restante de sua vida </w:t>
      </w:r>
      <w:r w:rsidR="002C1803">
        <w:rPr>
          <w:rFonts w:ascii="Times New Roman" w:eastAsiaTheme="minorEastAsia" w:hAnsi="Times New Roman" w:cs="Times New Roman"/>
          <w:sz w:val="24"/>
          <w:szCs w:val="24"/>
        </w:rPr>
        <w:t xml:space="preserve">fazendo ou não a graduação. Vamos considerar que essa utilidade </w:t>
      </w:r>
      <w:r w:rsidR="00CE4D80">
        <w:rPr>
          <w:rFonts w:ascii="Times New Roman" w:eastAsiaTheme="minorEastAsia" w:hAnsi="Times New Roman" w:cs="Times New Roman"/>
          <w:sz w:val="24"/>
          <w:szCs w:val="24"/>
        </w:rPr>
        <w:t xml:space="preserve">também </w:t>
      </w:r>
      <w:r w:rsidR="002C1803">
        <w:rPr>
          <w:rFonts w:ascii="Times New Roman" w:eastAsiaTheme="minorEastAsia" w:hAnsi="Times New Roman" w:cs="Times New Roman"/>
          <w:sz w:val="24"/>
          <w:szCs w:val="24"/>
        </w:rPr>
        <w:t xml:space="preserve">depende </w:t>
      </w:r>
      <w:r w:rsidR="00CE4D80">
        <w:rPr>
          <w:rFonts w:ascii="Times New Roman" w:eastAsiaTheme="minorEastAsia" w:hAnsi="Times New Roman" w:cs="Times New Roman"/>
          <w:sz w:val="24"/>
          <w:szCs w:val="24"/>
        </w:rPr>
        <w:t xml:space="preserve">das </w:t>
      </w:r>
      <w:r w:rsidR="00893B4E">
        <w:rPr>
          <w:rFonts w:ascii="Times New Roman" w:eastAsiaTheme="minorEastAsia" w:hAnsi="Times New Roman" w:cs="Times New Roman"/>
          <w:sz w:val="24"/>
          <w:szCs w:val="24"/>
        </w:rPr>
        <w:lastRenderedPageBreak/>
        <w:t xml:space="preserve">características observáveis </w:t>
      </w:r>
      <w:r w:rsidR="00F8396A">
        <w:rPr>
          <w:rFonts w:ascii="Times New Roman" w:eastAsiaTheme="minorEastAsia" w:hAnsi="Times New Roman" w:cs="Times New Roman"/>
          <w:sz w:val="24"/>
          <w:szCs w:val="24"/>
        </w:rPr>
        <w:t xml:space="preserve">e das </w:t>
      </w:r>
      <w:r w:rsidR="00893B4E">
        <w:rPr>
          <w:rFonts w:ascii="Times New Roman" w:eastAsiaTheme="minorEastAsia" w:hAnsi="Times New Roman" w:cs="Times New Roman"/>
          <w:sz w:val="24"/>
          <w:szCs w:val="24"/>
        </w:rPr>
        <w:t>habilidades latentes. Caso a c</w:t>
      </w:r>
      <w:r w:rsidR="002C1803">
        <w:rPr>
          <w:rFonts w:ascii="Times New Roman" w:eastAsiaTheme="minorEastAsia" w:hAnsi="Times New Roman" w:cs="Times New Roman"/>
          <w:sz w:val="24"/>
          <w:szCs w:val="24"/>
        </w:rPr>
        <w:t>ombinação desses valores supere</w:t>
      </w:r>
      <w:r w:rsidR="00893B4E">
        <w:rPr>
          <w:rFonts w:ascii="Times New Roman" w:eastAsiaTheme="minorEastAsia" w:hAnsi="Times New Roman" w:cs="Times New Roman"/>
          <w:sz w:val="24"/>
          <w:szCs w:val="24"/>
        </w:rPr>
        <w:t xml:space="preserve"> certo limite, ele escolherá fazer o </w:t>
      </w:r>
      <w:r w:rsidR="00867FFD">
        <w:rPr>
          <w:rFonts w:ascii="Times New Roman" w:eastAsiaTheme="minorEastAsia" w:hAnsi="Times New Roman" w:cs="Times New Roman"/>
          <w:sz w:val="24"/>
          <w:szCs w:val="24"/>
        </w:rPr>
        <w:t>ensino superior</w:t>
      </w:r>
      <w:r w:rsidR="002C1803">
        <w:rPr>
          <w:rFonts w:ascii="Times New Roman" w:eastAsiaTheme="minorEastAsia" w:hAnsi="Times New Roman" w:cs="Times New Roman"/>
          <w:sz w:val="24"/>
          <w:szCs w:val="24"/>
        </w:rPr>
        <w:t>. Caso contrário, ele decidirá não fazê-lo. Como o nível de utilidade não possui uma dimensão</w:t>
      </w:r>
      <w:r w:rsidR="009368B7">
        <w:rPr>
          <w:rFonts w:ascii="Times New Roman" w:eastAsiaTheme="minorEastAsia" w:hAnsi="Times New Roman" w:cs="Times New Roman"/>
          <w:sz w:val="24"/>
          <w:szCs w:val="24"/>
        </w:rPr>
        <w:t xml:space="preserve"> clara</w:t>
      </w:r>
      <w:r w:rsidR="002C1803">
        <w:rPr>
          <w:rFonts w:ascii="Times New Roman" w:eastAsiaTheme="minorEastAsia" w:hAnsi="Times New Roman" w:cs="Times New Roman"/>
          <w:sz w:val="24"/>
          <w:szCs w:val="24"/>
        </w:rPr>
        <w:t>, podemos normalizar o limite de escolha para zero, e vamos também supor que a combinação dessas variáveis é linear.</w:t>
      </w:r>
      <w:r w:rsidR="00893B4E">
        <w:rPr>
          <w:rFonts w:ascii="Times New Roman" w:eastAsiaTheme="minorEastAsia" w:hAnsi="Times New Roman" w:cs="Times New Roman"/>
          <w:sz w:val="24"/>
          <w:szCs w:val="24"/>
        </w:rPr>
        <w:t xml:space="preserve"> </w:t>
      </w:r>
      <w:r w:rsidR="002C1803">
        <w:rPr>
          <w:rFonts w:ascii="Times New Roman" w:eastAsiaTheme="minorEastAsia" w:hAnsi="Times New Roman" w:cs="Times New Roman"/>
          <w:sz w:val="24"/>
          <w:szCs w:val="24"/>
        </w:rPr>
        <w:t xml:space="preserve">Assim, a variável de entrada no </w:t>
      </w:r>
      <w:r w:rsidR="00867FFD">
        <w:rPr>
          <w:rFonts w:ascii="Times New Roman" w:eastAsiaTheme="minorEastAsia" w:hAnsi="Times New Roman" w:cs="Times New Roman"/>
          <w:sz w:val="24"/>
          <w:szCs w:val="24"/>
        </w:rPr>
        <w:t>ensino superior</w:t>
      </w:r>
      <w:r w:rsidR="002C1803">
        <w:rPr>
          <w:rFonts w:ascii="Times New Roman" w:eastAsiaTheme="minorEastAsia" w:hAnsi="Times New Roman" w:cs="Times New Roman"/>
          <w:sz w:val="24"/>
          <w:szCs w:val="24"/>
        </w:rPr>
        <w:t xml:space="preserve"> é definida por:</w:t>
      </w:r>
    </w:p>
    <w:tbl>
      <w:tblPr>
        <w:tblStyle w:val="Tabelacomgrade"/>
        <w:tblW w:w="5000" w:type="pct"/>
        <w:tblLook w:val="04A0" w:firstRow="1" w:lastRow="0" w:firstColumn="1" w:lastColumn="0" w:noHBand="0" w:noVBand="1"/>
      </w:tblPr>
      <w:tblGrid>
        <w:gridCol w:w="337"/>
        <w:gridCol w:w="7978"/>
        <w:gridCol w:w="755"/>
      </w:tblGrid>
      <w:tr w:rsidR="00785468" w:rsidTr="00410525">
        <w:tc>
          <w:tcPr>
            <w:tcW w:w="186" w:type="pct"/>
            <w:tcBorders>
              <w:top w:val="nil"/>
              <w:left w:val="nil"/>
              <w:bottom w:val="nil"/>
              <w:right w:val="nil"/>
            </w:tcBorders>
          </w:tcPr>
          <w:p w:rsidR="00785468" w:rsidRDefault="00785468" w:rsidP="004154DB">
            <w:pPr>
              <w:spacing w:after="200" w:line="360" w:lineRule="auto"/>
              <w:jc w:val="center"/>
              <w:rPr>
                <w:rFonts w:ascii="Times New Roman" w:eastAsiaTheme="minorEastAsia" w:hAnsi="Times New Roman" w:cs="Times New Roman"/>
                <w:sz w:val="24"/>
                <w:szCs w:val="24"/>
              </w:rPr>
            </w:pPr>
          </w:p>
        </w:tc>
        <w:tc>
          <w:tcPr>
            <w:tcW w:w="4398" w:type="pct"/>
            <w:tcBorders>
              <w:top w:val="nil"/>
              <w:left w:val="nil"/>
              <w:bottom w:val="nil"/>
              <w:right w:val="nil"/>
            </w:tcBorders>
          </w:tcPr>
          <w:p w:rsidR="00785468" w:rsidRDefault="00785468" w:rsidP="004154DB">
            <w:pPr>
              <w:spacing w:after="200"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se</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D</m:t>
                            </m:r>
                          </m:sub>
                        </m:sSub>
                        <m:sSup>
                          <m:sSupPr>
                            <m:ctrlPr>
                              <w:rPr>
                                <w:rFonts w:ascii="Cambria Math" w:hAnsi="Cambria Math" w:cs="Times New Roman"/>
                                <w:i/>
                                <w:sz w:val="24"/>
                                <w:szCs w:val="24"/>
                              </w:rPr>
                            </m:ctrlPr>
                          </m:sSupPr>
                          <m:e>
                            <m:r>
                              <w:rPr>
                                <w:rFonts w:ascii="Cambria Math" w:hAnsi="Cambria Math" w:cs="Times New Roman"/>
                                <w:sz w:val="24"/>
                                <w:szCs w:val="24"/>
                              </w:rPr>
                              <m:t>β</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,A</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A</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,B</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D</m:t>
                            </m:r>
                          </m:sup>
                        </m:sSup>
                        <m:r>
                          <w:rPr>
                            <w:rFonts w:ascii="Cambria Math" w:hAnsi="Cambria Math" w:cs="Times New Roman"/>
                            <w:sz w:val="24"/>
                            <w:szCs w:val="24"/>
                          </w:rPr>
                          <m:t>&gt;0</m:t>
                        </m:r>
                      </m:e>
                      <m:e>
                        <m:r>
                          <w:rPr>
                            <w:rFonts w:ascii="Cambria Math" w:hAnsi="Cambria Math" w:cs="Times New Roman"/>
                            <w:sz w:val="24"/>
                            <w:szCs w:val="24"/>
                          </w:rPr>
                          <m:t xml:space="preserve">0, </m:t>
                        </m:r>
                        <m:r>
                          <m:rPr>
                            <m:sty m:val="p"/>
                          </m:rPr>
                          <w:rPr>
                            <w:rFonts w:ascii="Cambria Math" w:hAnsi="Cambria Math" w:cs="Times New Roman"/>
                            <w:sz w:val="24"/>
                            <w:szCs w:val="24"/>
                          </w:rPr>
                          <m:t xml:space="preserve"> caso contrário</m:t>
                        </m:r>
                      </m:e>
                    </m:eqArr>
                  </m:e>
                </m:d>
              </m:oMath>
            </m:oMathPara>
          </w:p>
        </w:tc>
        <w:tc>
          <w:tcPr>
            <w:tcW w:w="416" w:type="pct"/>
            <w:tcBorders>
              <w:top w:val="nil"/>
              <w:left w:val="nil"/>
              <w:bottom w:val="nil"/>
              <w:right w:val="nil"/>
            </w:tcBorders>
          </w:tcPr>
          <w:p w:rsidR="00785468" w:rsidRDefault="00785468" w:rsidP="004154DB">
            <w:pPr>
              <w:spacing w:after="20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rsidR="004154DB" w:rsidRDefault="004154DB" w:rsidP="004154DB">
      <w:pPr>
        <w:spacing w:after="20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sup>
        </m:sSup>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,A</m:t>
            </m:r>
          </m:sup>
        </m:sSup>
      </m:oMath>
      <w:r>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,B</m:t>
            </m:r>
          </m:sup>
        </m:sSup>
      </m:oMath>
      <w:r>
        <w:rPr>
          <w:rFonts w:ascii="Times New Roman" w:eastAsiaTheme="minorEastAsia" w:hAnsi="Times New Roman" w:cs="Times New Roman"/>
          <w:sz w:val="24"/>
          <w:szCs w:val="24"/>
        </w:rPr>
        <w:t xml:space="preserve"> são coeficientes que relacionam as características </w:t>
      </w:r>
      <w:r w:rsidRPr="005E142C">
        <w:rPr>
          <w:rFonts w:ascii="Times New Roman" w:eastAsiaTheme="minorEastAsia" w:hAnsi="Times New Roman" w:cs="Times New Roman"/>
          <w:sz w:val="24"/>
          <w:szCs w:val="24"/>
        </w:rPr>
        <w:t>observáveis</w:t>
      </w:r>
      <w:r w:rsidR="00734EE4" w:rsidRPr="005E142C">
        <w:rPr>
          <w:rFonts w:ascii="Times New Roman" w:eastAsiaTheme="minorEastAsia" w:hAnsi="Times New Roman" w:cs="Times New Roman"/>
          <w:sz w:val="24"/>
          <w:szCs w:val="24"/>
        </w:rPr>
        <w:t xml:space="preserve"> e as habilidades latentes</w:t>
      </w:r>
      <w:r w:rsidRPr="005E142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ao nível de utilidade individual.</w:t>
      </w:r>
      <w:r w:rsidR="0092258C">
        <w:rPr>
          <w:rFonts w:ascii="Times New Roman" w:eastAsiaTheme="minorEastAsia" w:hAnsi="Times New Roman" w:cs="Times New Roman"/>
          <w:sz w:val="24"/>
          <w:szCs w:val="24"/>
        </w:rPr>
        <w:t xml:space="preserve"> </w:t>
      </w:r>
    </w:p>
    <w:p w:rsidR="009368B7" w:rsidRDefault="009368B7" w:rsidP="009368B7">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modelo estrutural a ser estimado, a renda individual será influenciada por algumas características observáveis pelo analista (que representamos por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e habilidades latentes: o fator cognitivo (representado por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A</m:t>
            </m:r>
          </m:sup>
        </m:sSup>
      </m:oMath>
      <w:r>
        <w:rPr>
          <w:rFonts w:ascii="Times New Roman" w:eastAsiaTheme="minorEastAsia" w:hAnsi="Times New Roman" w:cs="Times New Roman"/>
          <w:sz w:val="24"/>
          <w:szCs w:val="24"/>
        </w:rPr>
        <w:t xml:space="preserve">), e o fator socioemocional (representado por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B</m:t>
            </m:r>
          </m:sup>
        </m:sSup>
      </m:oMath>
      <w:r>
        <w:rPr>
          <w:rFonts w:ascii="Times New Roman" w:eastAsiaTheme="minorEastAsia" w:hAnsi="Times New Roman" w:cs="Times New Roman"/>
          <w:sz w:val="24"/>
          <w:szCs w:val="24"/>
        </w:rPr>
        <w:t xml:space="preserve">). Além disso, para cada estado do tratamento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teremos uma relação entre essas variáveis e a renda:</w:t>
      </w:r>
    </w:p>
    <w:tbl>
      <w:tblPr>
        <w:tblStyle w:val="Tabelacomgrade"/>
        <w:tblW w:w="5000" w:type="pct"/>
        <w:tblLook w:val="04A0" w:firstRow="1" w:lastRow="0" w:firstColumn="1" w:lastColumn="0" w:noHBand="0" w:noVBand="1"/>
      </w:tblPr>
      <w:tblGrid>
        <w:gridCol w:w="346"/>
        <w:gridCol w:w="7949"/>
        <w:gridCol w:w="775"/>
      </w:tblGrid>
      <w:tr w:rsidR="00785468" w:rsidTr="00410525">
        <w:tc>
          <w:tcPr>
            <w:tcW w:w="191" w:type="pct"/>
            <w:tcBorders>
              <w:top w:val="nil"/>
              <w:left w:val="nil"/>
              <w:bottom w:val="nil"/>
              <w:right w:val="nil"/>
            </w:tcBorders>
          </w:tcPr>
          <w:p w:rsidR="00785468" w:rsidRDefault="00785468" w:rsidP="009368B7">
            <w:pPr>
              <w:spacing w:after="200" w:line="360" w:lineRule="auto"/>
              <w:jc w:val="both"/>
              <w:rPr>
                <w:rFonts w:ascii="Times New Roman" w:eastAsiaTheme="minorEastAsia" w:hAnsi="Times New Roman" w:cs="Times New Roman"/>
                <w:sz w:val="24"/>
                <w:szCs w:val="24"/>
              </w:rPr>
            </w:pPr>
          </w:p>
        </w:tc>
        <w:tc>
          <w:tcPr>
            <w:tcW w:w="4382" w:type="pct"/>
            <w:tcBorders>
              <w:top w:val="nil"/>
              <w:left w:val="nil"/>
              <w:bottom w:val="nil"/>
              <w:right w:val="nil"/>
            </w:tcBorders>
            <w:vAlign w:val="bottom"/>
          </w:tcPr>
          <w:p w:rsidR="00785468" w:rsidRPr="005D4FC2" w:rsidRDefault="00DF2DAB" w:rsidP="00410525">
            <w:pPr>
              <w:spacing w:after="200"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Y</m:t>
                    </m:r>
                  </m:sub>
                </m:sSub>
                <m:sSup>
                  <m:sSupPr>
                    <m:ctrlPr>
                      <w:rPr>
                        <w:rFonts w:ascii="Cambria Math" w:hAnsi="Cambria Math" w:cs="Times New Roman"/>
                        <w:i/>
                        <w:sz w:val="24"/>
                        <w:szCs w:val="24"/>
                      </w:rPr>
                    </m:ctrlPr>
                  </m:sSupPr>
                  <m:e>
                    <m:r>
                      <w:rPr>
                        <w:rFonts w:ascii="Cambria Math" w:hAnsi="Cambria Math" w:cs="Times New Roman"/>
                        <w:sz w:val="24"/>
                        <w:szCs w:val="24"/>
                      </w:rPr>
                      <m:t>β</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,A</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A</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,B</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p>
                </m:sSup>
                <m:r>
                  <m:rPr>
                    <m:sty m:val="p"/>
                  </m:rPr>
                  <w:rPr>
                    <w:rFonts w:ascii="Cambria Math" w:hAnsi="Cambria Math" w:cs="Times New Roman"/>
                    <w:sz w:val="24"/>
                    <w:szCs w:val="24"/>
                  </w:rPr>
                  <m:t>, se</m:t>
                </m:r>
                <m:r>
                  <w:rPr>
                    <w:rFonts w:ascii="Cambria Math" w:hAnsi="Cambria Math" w:cs="Times New Roman"/>
                    <w:sz w:val="24"/>
                    <w:szCs w:val="24"/>
                  </w:rPr>
                  <m:t xml:space="preserve"> D=1</m:t>
                </m:r>
              </m:oMath>
            </m:oMathPara>
          </w:p>
          <w:p w:rsidR="00785468" w:rsidRDefault="00DF2DAB" w:rsidP="00410525">
            <w:pPr>
              <w:spacing w:after="200" w:line="36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Y</m:t>
                    </m:r>
                  </m:sub>
                </m:sSub>
                <m:sSup>
                  <m:sSupPr>
                    <m:ctrlPr>
                      <w:rPr>
                        <w:rFonts w:ascii="Cambria Math" w:hAnsi="Cambria Math" w:cs="Times New Roman"/>
                        <w:i/>
                        <w:sz w:val="24"/>
                        <w:szCs w:val="24"/>
                      </w:rPr>
                    </m:ctrlPr>
                  </m:sSupPr>
                  <m:e>
                    <m:r>
                      <w:rPr>
                        <w:rFonts w:ascii="Cambria Math" w:hAnsi="Cambria Math" w:cs="Times New Roman"/>
                        <w:sz w:val="24"/>
                        <w:szCs w:val="24"/>
                      </w:rPr>
                      <m:t>β</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,A</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A</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,B</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up>
                </m:sSup>
                <m:r>
                  <w:rPr>
                    <w:rFonts w:ascii="Cambria Math" w:hAnsi="Cambria Math" w:cs="Times New Roman"/>
                    <w:sz w:val="24"/>
                    <w:szCs w:val="24"/>
                  </w:rPr>
                  <m:t xml:space="preserve">, </m:t>
                </m:r>
                <m:r>
                  <m:rPr>
                    <m:sty m:val="p"/>
                  </m:rPr>
                  <w:rPr>
                    <w:rFonts w:ascii="Cambria Math" w:hAnsi="Cambria Math" w:cs="Times New Roman"/>
                    <w:sz w:val="24"/>
                    <w:szCs w:val="24"/>
                  </w:rPr>
                  <m:t>se</m:t>
                </m:r>
                <m:r>
                  <w:rPr>
                    <w:rFonts w:ascii="Cambria Math" w:hAnsi="Cambria Math" w:cs="Times New Roman"/>
                    <w:sz w:val="24"/>
                    <w:szCs w:val="24"/>
                  </w:rPr>
                  <m:t xml:space="preserve"> D=0</m:t>
                </m:r>
              </m:oMath>
            </m:oMathPara>
          </w:p>
        </w:tc>
        <w:tc>
          <w:tcPr>
            <w:tcW w:w="427" w:type="pct"/>
            <w:tcBorders>
              <w:top w:val="nil"/>
              <w:left w:val="nil"/>
              <w:bottom w:val="nil"/>
              <w:right w:val="nil"/>
            </w:tcBorders>
            <w:vAlign w:val="center"/>
          </w:tcPr>
          <w:p w:rsidR="00785468" w:rsidRDefault="00785468" w:rsidP="00410525">
            <w:pPr>
              <w:spacing w:after="20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rsidR="009368B7" w:rsidRDefault="009368B7" w:rsidP="009368B7">
      <w:pPr>
        <w:spacing w:after="20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p>
        </m:sSup>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,A</m:t>
            </m:r>
          </m:sup>
        </m:sSup>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,B</m:t>
            </m:r>
          </m:sup>
        </m:sSup>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p>
        </m:sSup>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,A</m:t>
            </m:r>
          </m:sup>
        </m:sSup>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α</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,B</m:t>
            </m:r>
          </m:sup>
        </m:sSup>
      </m:oMath>
      <w:r>
        <w:rPr>
          <w:rFonts w:ascii="Times New Roman" w:eastAsiaTheme="minorEastAsia" w:hAnsi="Times New Roman" w:cs="Times New Roman"/>
          <w:sz w:val="24"/>
          <w:szCs w:val="24"/>
        </w:rPr>
        <w:t xml:space="preserve"> são coeficientes que relacionam as características observáveis</w:t>
      </w:r>
      <w:r w:rsidRPr="005E142C">
        <w:rPr>
          <w:rFonts w:ascii="Times New Roman" w:eastAsiaTheme="minorEastAsia" w:hAnsi="Times New Roman" w:cs="Times New Roman"/>
          <w:sz w:val="24"/>
          <w:szCs w:val="24"/>
        </w:rPr>
        <w:t xml:space="preserve"> </w:t>
      </w:r>
      <w:r w:rsidR="00734EE4" w:rsidRPr="005E142C">
        <w:rPr>
          <w:rFonts w:ascii="Times New Roman" w:eastAsiaTheme="minorEastAsia" w:hAnsi="Times New Roman" w:cs="Times New Roman"/>
          <w:sz w:val="24"/>
          <w:szCs w:val="24"/>
        </w:rPr>
        <w:t xml:space="preserve">e as habilidades latentes </w:t>
      </w:r>
      <w:r>
        <w:rPr>
          <w:rFonts w:ascii="Times New Roman" w:eastAsiaTheme="minorEastAsia" w:hAnsi="Times New Roman" w:cs="Times New Roman"/>
          <w:sz w:val="24"/>
          <w:szCs w:val="24"/>
        </w:rPr>
        <w:t>ao nível de renda individual.</w:t>
      </w:r>
    </w:p>
    <w:p w:rsidR="00AA3F32" w:rsidRPr="005D4FC2" w:rsidRDefault="00AA3F32" w:rsidP="00AA3F32">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último, o</w:t>
      </w:r>
      <w:r w:rsidR="00D960DD">
        <w:rPr>
          <w:rFonts w:ascii="Times New Roman" w:eastAsiaTheme="minorEastAsia" w:hAnsi="Times New Roman" w:cs="Times New Roman"/>
          <w:sz w:val="24"/>
          <w:szCs w:val="24"/>
        </w:rPr>
        <w:t xml:space="preserve"> modelo é complementado com um</w:t>
      </w:r>
      <w:r w:rsidRPr="005D4FC2">
        <w:rPr>
          <w:rFonts w:ascii="Times New Roman" w:eastAsiaTheme="minorEastAsia" w:hAnsi="Times New Roman" w:cs="Times New Roman"/>
          <w:sz w:val="24"/>
          <w:szCs w:val="24"/>
        </w:rPr>
        <w:t xml:space="preserve"> sistema de </w:t>
      </w:r>
      <w:r w:rsidR="00D960DD">
        <w:rPr>
          <w:rFonts w:ascii="Times New Roman" w:eastAsiaTheme="minorEastAsia" w:hAnsi="Times New Roman" w:cs="Times New Roman"/>
          <w:sz w:val="24"/>
          <w:szCs w:val="24"/>
        </w:rPr>
        <w:t>medidas das habilidades latentes</w:t>
      </w:r>
      <w:r w:rsidR="00AC30EF">
        <w:rPr>
          <w:rFonts w:ascii="Times New Roman" w:eastAsiaTheme="minorEastAsia" w:hAnsi="Times New Roman" w:cs="Times New Roman"/>
          <w:sz w:val="24"/>
          <w:szCs w:val="24"/>
        </w:rPr>
        <w:t>, utilizado para identificar parâmetros da distribuição das habilidades latentes</w:t>
      </w:r>
      <w:r w:rsidR="00D960DD">
        <w:rPr>
          <w:rFonts w:ascii="Times New Roman" w:eastAsiaTheme="minorEastAsia" w:hAnsi="Times New Roman" w:cs="Times New Roman"/>
          <w:sz w:val="24"/>
          <w:szCs w:val="24"/>
        </w:rPr>
        <w:t xml:space="preserve">. Considere que há </w:t>
      </w:r>
      <w:r w:rsidR="00F4783C">
        <w:rPr>
          <w:rFonts w:ascii="Times New Roman" w:eastAsiaTheme="minorEastAsia" w:hAnsi="Times New Roman" w:cs="Times New Roman"/>
          <w:sz w:val="24"/>
          <w:szCs w:val="24"/>
        </w:rPr>
        <w:t xml:space="preserve">uma quantidade </w:t>
      </w:r>
      <m:oMath>
        <m:r>
          <w:rPr>
            <w:rFonts w:ascii="Cambria Math" w:eastAsiaTheme="minorEastAsia" w:hAnsi="Cambria Math" w:cs="Times New Roman"/>
            <w:sz w:val="24"/>
            <w:szCs w:val="24"/>
          </w:rPr>
          <m:t>L</m:t>
        </m:r>
      </m:oMath>
      <w:r w:rsidR="00F4783C">
        <w:rPr>
          <w:rFonts w:ascii="Times New Roman" w:eastAsiaTheme="minorEastAsia" w:hAnsi="Times New Roman" w:cs="Times New Roman"/>
          <w:sz w:val="24"/>
          <w:szCs w:val="24"/>
        </w:rPr>
        <w:t xml:space="preserve"> de medidas das habilidades latentes (por exemplo, a primeira medida é chamada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F4783C">
        <w:rPr>
          <w:rFonts w:ascii="Times New Roman" w:eastAsiaTheme="minorEastAsia" w:hAnsi="Times New Roman" w:cs="Times New Roman"/>
          <w:sz w:val="24"/>
          <w:szCs w:val="24"/>
        </w:rPr>
        <w:t xml:space="preserve">, a segunda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F4783C">
        <w:rPr>
          <w:rFonts w:ascii="Times New Roman" w:eastAsiaTheme="minorEastAsia" w:hAnsi="Times New Roman" w:cs="Times New Roman"/>
          <w:sz w:val="24"/>
          <w:szCs w:val="24"/>
        </w:rPr>
        <w:t>, e assim por diantes)</w:t>
      </w:r>
      <w:r w:rsidR="00D960DD">
        <w:rPr>
          <w:rFonts w:ascii="Times New Roman" w:eastAsiaTheme="minorEastAsia" w:hAnsi="Times New Roman" w:cs="Times New Roman"/>
          <w:sz w:val="24"/>
          <w:szCs w:val="24"/>
        </w:rPr>
        <w:t xml:space="preserve"> </w:t>
      </w:r>
      <w:r w:rsidR="00F4783C">
        <w:rPr>
          <w:rFonts w:ascii="Times New Roman" w:eastAsiaTheme="minorEastAsia" w:hAnsi="Times New Roman" w:cs="Times New Roman"/>
          <w:sz w:val="24"/>
          <w:szCs w:val="24"/>
        </w:rPr>
        <w:t xml:space="preserve">e que agrupamos essas medidas em um vetor </w:t>
      </w:r>
      <m:oMath>
        <m:r>
          <m:rPr>
            <m:sty m:val="bi"/>
          </m:rPr>
          <w:rPr>
            <w:rFonts w:ascii="Cambria Math" w:eastAsiaTheme="minorEastAsia" w:hAnsi="Cambria Math" w:cs="Times New Roman"/>
            <w:sz w:val="24"/>
            <w:szCs w:val="24"/>
          </w:rPr>
          <m:t>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oMath>
      <w:r w:rsidR="00F4783C">
        <w:rPr>
          <w:rFonts w:ascii="Times New Roman" w:eastAsiaTheme="minorEastAsia" w:hAnsi="Times New Roman" w:cs="Times New Roman"/>
          <w:sz w:val="24"/>
          <w:szCs w:val="24"/>
        </w:rPr>
        <w:t>. O sistema tomará a forma</w:t>
      </w:r>
      <w:r w:rsidR="00D960DD">
        <w:rPr>
          <w:rFonts w:ascii="Times New Roman" w:eastAsiaTheme="minorEastAsia" w:hAnsi="Times New Roman" w:cs="Times New Roman"/>
          <w:sz w:val="24"/>
          <w:szCs w:val="2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7764"/>
        <w:gridCol w:w="902"/>
      </w:tblGrid>
      <w:tr w:rsidR="00785468" w:rsidTr="00410525">
        <w:tc>
          <w:tcPr>
            <w:tcW w:w="223" w:type="pct"/>
          </w:tcPr>
          <w:p w:rsidR="00785468" w:rsidRDefault="00785468" w:rsidP="00AA3F32">
            <w:pPr>
              <w:spacing w:after="200" w:line="360" w:lineRule="auto"/>
              <w:jc w:val="both"/>
              <w:rPr>
                <w:rFonts w:ascii="Times New Roman" w:eastAsiaTheme="minorEastAsia" w:hAnsi="Times New Roman" w:cs="Times New Roman"/>
                <w:sz w:val="24"/>
                <w:szCs w:val="24"/>
              </w:rPr>
            </w:pPr>
          </w:p>
        </w:tc>
        <w:tc>
          <w:tcPr>
            <w:tcW w:w="4280" w:type="pct"/>
          </w:tcPr>
          <w:p w:rsidR="00785468" w:rsidRDefault="00785468" w:rsidP="00AA3F32">
            <w:pPr>
              <w:spacing w:after="200" w:line="360" w:lineRule="auto"/>
              <w:jc w:val="both"/>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Y</m:t>
                        </m:r>
                      </m:sub>
                    </m:sSub>
                  </m:e>
                </m:d>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T,A</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A</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T,B</m:t>
                    </m:r>
                  </m:sup>
                </m:sSup>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w:rPr>
                        <w:rFonts w:ascii="Cambria Math" w:hAnsi="Cambria Math" w:cs="Times New Roman"/>
                        <w:sz w:val="24"/>
                        <w:szCs w:val="24"/>
                      </w:rPr>
                      <m:t>T</m:t>
                    </m:r>
                  </m:sup>
                </m:sSup>
              </m:oMath>
            </m:oMathPara>
          </w:p>
        </w:tc>
        <w:tc>
          <w:tcPr>
            <w:tcW w:w="498" w:type="pct"/>
          </w:tcPr>
          <w:p w:rsidR="00785468" w:rsidRDefault="00785468" w:rsidP="00AA3F32">
            <w:pPr>
              <w:spacing w:after="20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rsidR="005009D6" w:rsidRDefault="00AA3F32" w:rsidP="00A220DD">
      <w:pPr>
        <w:spacing w:after="200" w:line="360" w:lineRule="auto"/>
        <w:ind w:firstLine="708"/>
        <w:jc w:val="both"/>
        <w:rPr>
          <w:rFonts w:ascii="Times New Roman" w:eastAsiaTheme="minorEastAsia" w:hAnsi="Times New Roman" w:cs="Times New Roman"/>
          <w:sz w:val="24"/>
          <w:szCs w:val="24"/>
        </w:rPr>
      </w:pPr>
      <w:r w:rsidRPr="005D4FC2">
        <w:rPr>
          <w:rFonts w:ascii="Times New Roman" w:eastAsiaTheme="minorEastAsia" w:hAnsi="Times New Roman" w:cs="Times New Roman"/>
          <w:sz w:val="24"/>
          <w:szCs w:val="24"/>
        </w:rPr>
        <w:t xml:space="preserve">Onde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T,A</m:t>
            </m:r>
          </m:sup>
        </m:sSup>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T,B</m:t>
            </m:r>
          </m:sup>
        </m:sSup>
      </m:oMath>
      <w:r>
        <w:rPr>
          <w:rFonts w:ascii="Times New Roman" w:eastAsiaTheme="minorEastAsia" w:hAnsi="Times New Roman" w:cs="Times New Roman"/>
          <w:sz w:val="24"/>
          <w:szCs w:val="24"/>
        </w:rPr>
        <w:t xml:space="preserve"> são </w:t>
      </w:r>
      <w:r w:rsidR="00265009">
        <w:rPr>
          <w:rFonts w:ascii="Times New Roman" w:eastAsiaTheme="minorEastAsia" w:hAnsi="Times New Roman" w:cs="Times New Roman"/>
          <w:sz w:val="24"/>
          <w:szCs w:val="24"/>
        </w:rPr>
        <w:t>coeficientes que relacionam as habilidades latentes com as medidas</w:t>
      </w:r>
      <w:r w:rsidRPr="005D4FC2">
        <w:rPr>
          <w:rFonts w:ascii="Times New Roman" w:eastAsiaTheme="minorEastAsia" w:hAnsi="Times New Roman" w:cs="Times New Roman"/>
          <w:sz w:val="24"/>
          <w:szCs w:val="24"/>
        </w:rPr>
        <w:t xml:space="preserve">. </w:t>
      </w:r>
      <w:r w:rsidR="00265009">
        <w:rPr>
          <w:rFonts w:ascii="Times New Roman" w:eastAsiaTheme="minorEastAsia" w:hAnsi="Times New Roman" w:cs="Times New Roman"/>
          <w:sz w:val="24"/>
          <w:szCs w:val="24"/>
        </w:rPr>
        <w:t>Supomos</w:t>
      </w:r>
      <w:r w:rsidRPr="005D4FC2">
        <w:rPr>
          <w:rFonts w:ascii="Times New Roman" w:eastAsiaTheme="minorEastAsia" w:hAnsi="Times New Roman" w:cs="Times New Roman"/>
          <w:sz w:val="24"/>
          <w:szCs w:val="24"/>
        </w:rPr>
        <w:t xml:space="preserve"> novamente</w:t>
      </w:r>
      <w:r w:rsidR="006160C2">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B</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oMath>
      <w:r w:rsidR="005009D6">
        <w:rPr>
          <w:rFonts w:ascii="Times New Roman" w:eastAsiaTheme="minorEastAsia" w:hAnsi="Times New Roman" w:cs="Times New Roman"/>
          <w:sz w:val="24"/>
          <w:szCs w:val="24"/>
        </w:rPr>
        <w:t>.</w:t>
      </w:r>
    </w:p>
    <w:p w:rsidR="005009D6" w:rsidRDefault="00265009" w:rsidP="00A220DD">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Há </w:t>
      </w:r>
      <w:r w:rsidR="005009D6">
        <w:rPr>
          <w:rFonts w:ascii="Times New Roman" w:eastAsiaTheme="minorEastAsia" w:hAnsi="Times New Roman" w:cs="Times New Roman"/>
          <w:sz w:val="24"/>
          <w:szCs w:val="24"/>
        </w:rPr>
        <w:t xml:space="preserve">três </w:t>
      </w:r>
      <w:r>
        <w:rPr>
          <w:rFonts w:ascii="Times New Roman" w:eastAsiaTheme="minorEastAsia" w:hAnsi="Times New Roman" w:cs="Times New Roman"/>
          <w:sz w:val="24"/>
          <w:szCs w:val="24"/>
        </w:rPr>
        <w:t xml:space="preserve">hipóteses necessárias para a identificação dos parâmetros da distribuição das habilidades latentes. A primeira é de </w:t>
      </w:r>
      <w:r w:rsidR="00AA3F32">
        <w:rPr>
          <w:rFonts w:ascii="Times New Roman" w:eastAsiaTheme="minorEastAsia" w:hAnsi="Times New Roman" w:cs="Times New Roman"/>
          <w:sz w:val="24"/>
          <w:szCs w:val="24"/>
        </w:rPr>
        <w:t>que</w:t>
      </w:r>
      <w:r w:rsidR="00AA3F32" w:rsidRPr="005D4F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elas são ortogonais entre si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B</m:t>
            </m:r>
          </m:sup>
        </m:sSup>
      </m:oMath>
      <w:r>
        <w:rPr>
          <w:rFonts w:ascii="Times New Roman" w:eastAsiaTheme="minorEastAsia" w:hAnsi="Times New Roman" w:cs="Times New Roman"/>
          <w:sz w:val="24"/>
          <w:szCs w:val="24"/>
        </w:rPr>
        <w:t xml:space="preserve">). </w:t>
      </w:r>
      <w:r w:rsidR="005009D6">
        <w:rPr>
          <w:rFonts w:ascii="Times New Roman" w:eastAsiaTheme="minorEastAsia" w:hAnsi="Times New Roman" w:cs="Times New Roman"/>
          <w:sz w:val="24"/>
          <w:szCs w:val="24"/>
        </w:rPr>
        <w:t>Adicionalmente</w:t>
      </w:r>
      <w:r>
        <w:rPr>
          <w:rFonts w:ascii="Times New Roman" w:eastAsiaTheme="minorEastAsia" w:hAnsi="Times New Roman" w:cs="Times New Roman"/>
          <w:sz w:val="24"/>
          <w:szCs w:val="24"/>
        </w:rPr>
        <w:t>, é necessário que haja um número mínimo de medidas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que deve ser tal que </w:t>
      </w:r>
      <m:oMath>
        <m:r>
          <w:rPr>
            <w:rFonts w:ascii="Cambria Math" w:eastAsiaTheme="minorEastAsia" w:hAnsi="Cambria Math" w:cs="Times New Roman"/>
            <w:sz w:val="24"/>
            <w:szCs w:val="24"/>
          </w:rPr>
          <m:t>L≥ 2k+1</m:t>
        </m:r>
      </m:oMath>
      <w:r w:rsidR="00AA3F32" w:rsidRPr="005D4FC2">
        <w:rPr>
          <w:rFonts w:ascii="Times New Roman" w:eastAsiaTheme="minorEastAsia" w:hAnsi="Times New Roman" w:cs="Times New Roman"/>
          <w:sz w:val="24"/>
          <w:szCs w:val="24"/>
        </w:rPr>
        <w:t xml:space="preserve">, onde </w:t>
      </w:r>
      <m:oMath>
        <m:r>
          <w:rPr>
            <w:rFonts w:ascii="Cambria Math" w:eastAsiaTheme="minorEastAsia" w:hAnsi="Cambria Math" w:cs="Times New Roman"/>
            <w:sz w:val="24"/>
            <w:szCs w:val="24"/>
          </w:rPr>
          <m:t>k</m:t>
        </m:r>
      </m:oMath>
      <w:r w:rsidR="00AA3F32" w:rsidRPr="005D4FC2">
        <w:rPr>
          <w:rFonts w:ascii="Times New Roman" w:eastAsiaTheme="minorEastAsia" w:hAnsi="Times New Roman" w:cs="Times New Roman"/>
          <w:sz w:val="24"/>
          <w:szCs w:val="24"/>
        </w:rPr>
        <w:t xml:space="preserve"> é o número de fatores</w:t>
      </w:r>
      <w:r>
        <w:rPr>
          <w:rFonts w:ascii="Times New Roman" w:eastAsiaTheme="minorEastAsia" w:hAnsi="Times New Roman" w:cs="Times New Roman"/>
          <w:sz w:val="24"/>
          <w:szCs w:val="24"/>
        </w:rPr>
        <w:t xml:space="preserve">. </w:t>
      </w:r>
    </w:p>
    <w:p w:rsidR="005009D6" w:rsidRDefault="005009D6" w:rsidP="005009D6">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terceira hipótese tem a ver com a estrutura do sistema de mensuração. Primeiro</w:t>
      </w:r>
      <w:r w:rsidR="007268AF">
        <w:rPr>
          <w:rFonts w:ascii="Times New Roman" w:eastAsiaTheme="minorEastAsia" w:hAnsi="Times New Roman" w:cs="Times New Roman"/>
          <w:sz w:val="24"/>
          <w:szCs w:val="24"/>
        </w:rPr>
        <w:t>, para que os fatores não possua</w:t>
      </w:r>
      <w:r>
        <w:rPr>
          <w:rFonts w:ascii="Times New Roman" w:eastAsiaTheme="minorEastAsia" w:hAnsi="Times New Roman" w:cs="Times New Roman"/>
          <w:sz w:val="24"/>
          <w:szCs w:val="24"/>
        </w:rPr>
        <w:t>m qualquer tipo de dependência sobre qual métrica utilizamos</w:t>
      </w:r>
      <w:r w:rsidRPr="005D4FC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precisamos normalizar uma entrada do vetor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para cada fator. Então, os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escores utilizados no sistema são divididos em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blocos disjuntos e, sem perda de generalidade, normalizamos para um o último escore de cada bloco (Carneiro et al. 2003).</w:t>
      </w:r>
    </w:p>
    <w:p w:rsidR="005009D6" w:rsidRDefault="005009D6" w:rsidP="005009D6">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Além disso, é preciso tratar da relação de dependência entre fatores e escores. </w:t>
      </w:r>
      <w:r w:rsidR="008532B7">
        <w:rPr>
          <w:rFonts w:ascii="Times New Roman" w:eastAsiaTheme="minorEastAsia" w:hAnsi="Times New Roman" w:cs="Times New Roman"/>
          <w:sz w:val="24"/>
          <w:szCs w:val="24"/>
        </w:rPr>
        <w:t>Nest</w:t>
      </w:r>
      <w:r w:rsidR="00345396">
        <w:rPr>
          <w:rFonts w:ascii="Times New Roman" w:eastAsiaTheme="minorEastAsia" w:hAnsi="Times New Roman" w:cs="Times New Roman"/>
          <w:sz w:val="24"/>
          <w:szCs w:val="24"/>
        </w:rPr>
        <w:t xml:space="preserve">e </w:t>
      </w:r>
      <w:r w:rsidR="008532B7">
        <w:rPr>
          <w:rFonts w:ascii="Times New Roman" w:eastAsiaTheme="minorEastAsia" w:hAnsi="Times New Roman" w:cs="Times New Roman"/>
          <w:sz w:val="24"/>
          <w:szCs w:val="24"/>
        </w:rPr>
        <w:t>estudo</w:t>
      </w:r>
      <w:r w:rsidR="00345396">
        <w:rPr>
          <w:rFonts w:ascii="Times New Roman" w:eastAsiaTheme="minorEastAsia" w:hAnsi="Times New Roman" w:cs="Times New Roman"/>
          <w:sz w:val="24"/>
          <w:szCs w:val="24"/>
        </w:rPr>
        <w:t>, utilizamos</w:t>
      </w:r>
      <w:r w:rsidR="00223787">
        <w:rPr>
          <w:rFonts w:ascii="Times New Roman" w:eastAsiaTheme="minorEastAsia" w:hAnsi="Times New Roman" w:cs="Times New Roman"/>
          <w:sz w:val="24"/>
          <w:szCs w:val="24"/>
        </w:rPr>
        <w:t xml:space="preserve"> uma estrutura </w:t>
      </w:r>
      <w:r w:rsidR="00345396">
        <w:rPr>
          <w:rFonts w:ascii="Times New Roman" w:eastAsiaTheme="minorEastAsia" w:hAnsi="Times New Roman" w:cs="Times New Roman"/>
          <w:sz w:val="24"/>
          <w:szCs w:val="24"/>
        </w:rPr>
        <w:t xml:space="preserve">em que </w:t>
      </w:r>
      <w:r>
        <w:rPr>
          <w:rFonts w:ascii="Times New Roman" w:eastAsiaTheme="minorEastAsia" w:hAnsi="Times New Roman" w:cs="Times New Roman"/>
          <w:sz w:val="24"/>
          <w:szCs w:val="24"/>
        </w:rPr>
        <w:t xml:space="preserve">os escores de mensuração de um fator </w:t>
      </w:r>
      <w:r w:rsidR="00223787">
        <w:rPr>
          <w:rFonts w:ascii="Times New Roman" w:eastAsiaTheme="minorEastAsia" w:hAnsi="Times New Roman" w:cs="Times New Roman"/>
          <w:sz w:val="24"/>
          <w:szCs w:val="24"/>
        </w:rPr>
        <w:t>não dependem</w:t>
      </w:r>
      <w:r>
        <w:rPr>
          <w:rFonts w:ascii="Times New Roman" w:eastAsiaTheme="minorEastAsia" w:hAnsi="Times New Roman" w:cs="Times New Roman"/>
          <w:sz w:val="24"/>
          <w:szCs w:val="24"/>
        </w:rPr>
        <w:t xml:space="preserve"> do outro. Num exemplo com dois fatores e seis escores, a estrutura triangular é definida por</w:t>
      </w:r>
      <w:r w:rsidR="00223787">
        <w:rPr>
          <w:rFonts w:ascii="Times New Roman" w:eastAsiaTheme="minorEastAsia" w:hAnsi="Times New Roman" w:cs="Times New Roman"/>
          <w:sz w:val="24"/>
          <w:szCs w:val="24"/>
        </w:rPr>
        <w:t>:</w:t>
      </w:r>
    </w:p>
    <w:p w:rsidR="005009D6" w:rsidRPr="005D4FC2" w:rsidRDefault="00DF2DAB" w:rsidP="005009D6">
      <w:pPr>
        <w:spacing w:after="200" w:line="360" w:lineRule="auto"/>
        <w:ind w:firstLine="708"/>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Λ</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,B</m:t>
                        </m:r>
                      </m:sup>
                    </m:sSup>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,A</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,B</m:t>
                        </m:r>
                      </m:sup>
                    </m:sSup>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,A</m:t>
                        </m:r>
                      </m:sup>
                    </m:sSup>
                    <m:ctrlPr>
                      <w:rPr>
                        <w:rFonts w:ascii="Cambria Math" w:eastAsia="Cambria Math" w:hAnsi="Cambria Math" w:cs="Cambria Math"/>
                        <w:i/>
                        <w:sz w:val="24"/>
                        <w:szCs w:val="24"/>
                      </w:rPr>
                    </m:ctrlP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,B</m:t>
                        </m:r>
                      </m:sup>
                    </m:s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,A</m:t>
                        </m:r>
                      </m:sup>
                    </m:sSup>
                    <m:ctrlPr>
                      <w:rPr>
                        <w:rFonts w:ascii="Cambria Math" w:eastAsia="Cambria Math" w:hAnsi="Cambria Math" w:cs="Cambria Math"/>
                        <w:i/>
                        <w:sz w:val="24"/>
                        <w:szCs w:val="24"/>
                      </w:rPr>
                    </m:ctrlP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,B</m:t>
                        </m:r>
                      </m:sup>
                    </m:s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,A</m:t>
                        </m:r>
                      </m:sup>
                    </m:sSup>
                    <m:ctrlPr>
                      <w:rPr>
                        <w:rFonts w:ascii="Cambria Math" w:eastAsia="Cambria Math" w:hAnsi="Cambria Math" w:cs="Cambria Math"/>
                        <w:i/>
                        <w:sz w:val="24"/>
                        <w:szCs w:val="24"/>
                      </w:rPr>
                    </m:ctrlP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,B</m:t>
                        </m:r>
                      </m:sup>
                    </m:s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,A</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,B</m:t>
                        </m:r>
                      </m:sup>
                    </m:sSup>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sup>
                    </m:sSup>
                  </m:e>
                  <m:e>
                    <m:r>
                      <w:rPr>
                        <w:rFonts w:ascii="Cambria Math" w:eastAsiaTheme="minorEastAsia" w:hAnsi="Cambria Math" w:cs="Times New Roman"/>
                        <w:sz w:val="24"/>
                        <w:szCs w:val="24"/>
                      </w:rPr>
                      <m:t>0</m:t>
                    </m: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,A</m:t>
                        </m:r>
                      </m:sup>
                    </m:sSup>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,B</m:t>
                        </m:r>
                      </m:sup>
                    </m:sSup>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,B</m:t>
                        </m:r>
                      </m:sup>
                    </m:sSup>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rsidR="00ED5551" w:rsidRDefault="007F4284" w:rsidP="006375AA">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Sob as hipóteses do modelo, a partir dessa estrutura </w:t>
      </w:r>
      <w:r w:rsidR="008532B7" w:rsidRPr="005E142C">
        <w:rPr>
          <w:rFonts w:ascii="Times New Roman" w:eastAsiaTheme="minorEastAsia" w:hAnsi="Times New Roman" w:cs="Times New Roman"/>
          <w:sz w:val="24"/>
          <w:szCs w:val="24"/>
        </w:rPr>
        <w:t xml:space="preserve">é possível </w:t>
      </w:r>
      <w:r w:rsidRPr="005E142C">
        <w:rPr>
          <w:rFonts w:ascii="Times New Roman" w:eastAsiaTheme="minorEastAsia" w:hAnsi="Times New Roman" w:cs="Times New Roman"/>
          <w:sz w:val="24"/>
          <w:szCs w:val="24"/>
        </w:rPr>
        <w:t xml:space="preserve">recuperar </w:t>
      </w:r>
      <w:r>
        <w:rPr>
          <w:rFonts w:ascii="Times New Roman" w:eastAsiaTheme="minorEastAsia" w:hAnsi="Times New Roman" w:cs="Times New Roman"/>
          <w:sz w:val="24"/>
          <w:szCs w:val="24"/>
        </w:rPr>
        <w:t xml:space="preserve">a distribuição conjunta da renda nos cenários </w:t>
      </w:r>
      <w:proofErr w:type="spellStart"/>
      <w:r>
        <w:rPr>
          <w:rFonts w:ascii="Times New Roman" w:eastAsiaTheme="minorEastAsia" w:hAnsi="Times New Roman" w:cs="Times New Roman"/>
          <w:sz w:val="24"/>
          <w:szCs w:val="24"/>
        </w:rPr>
        <w:t>contrafactuais</w:t>
      </w:r>
      <w:proofErr w:type="spellEnd"/>
      <w:r>
        <w:rPr>
          <w:rFonts w:ascii="Times New Roman" w:eastAsiaTheme="minorEastAsia" w:hAnsi="Times New Roman" w:cs="Times New Roman"/>
          <w:sz w:val="24"/>
          <w:szCs w:val="24"/>
        </w:rPr>
        <w:t xml:space="preserve"> em que o indivíduo fez ou não </w:t>
      </w:r>
      <w:r w:rsidR="00867FFD">
        <w:rPr>
          <w:rFonts w:ascii="Times New Roman" w:eastAsiaTheme="minorEastAsia" w:hAnsi="Times New Roman" w:cs="Times New Roman"/>
          <w:sz w:val="24"/>
          <w:szCs w:val="24"/>
        </w:rPr>
        <w:t>ensino superior</w:t>
      </w:r>
      <w:r w:rsidR="00F8396A">
        <w:rPr>
          <w:rFonts w:ascii="Times New Roman" w:eastAsiaTheme="minorEastAsia" w:hAnsi="Times New Roman" w:cs="Times New Roman"/>
          <w:sz w:val="24"/>
          <w:szCs w:val="24"/>
        </w:rPr>
        <w:t>.</w:t>
      </w:r>
      <w:r w:rsidR="00F8396A">
        <w:rPr>
          <w:rStyle w:val="Refdenotaderodap"/>
          <w:rFonts w:ascii="Times New Roman" w:eastAsiaTheme="minorEastAsia" w:hAnsi="Times New Roman" w:cs="Times New Roman"/>
          <w:sz w:val="24"/>
          <w:szCs w:val="24"/>
        </w:rPr>
        <w:footnoteReference w:id="2"/>
      </w:r>
      <w:r w:rsidR="005009D6">
        <w:rPr>
          <w:rFonts w:ascii="Times New Roman" w:eastAsiaTheme="minorEastAsia" w:hAnsi="Times New Roman" w:cs="Times New Roman"/>
          <w:sz w:val="24"/>
          <w:szCs w:val="24"/>
        </w:rPr>
        <w:t xml:space="preserve"> As estimações são realizadas por máxima verossimilhança em dois estágios, sendo que </w:t>
      </w:r>
      <w:r w:rsidR="00524532">
        <w:rPr>
          <w:rFonts w:ascii="Times New Roman" w:eastAsiaTheme="minorEastAsia" w:hAnsi="Times New Roman" w:cs="Times New Roman"/>
          <w:sz w:val="24"/>
          <w:szCs w:val="24"/>
        </w:rPr>
        <w:t>n</w:t>
      </w:r>
      <w:r w:rsidR="005009D6">
        <w:rPr>
          <w:rFonts w:ascii="Times New Roman" w:eastAsiaTheme="minorEastAsia" w:hAnsi="Times New Roman" w:cs="Times New Roman"/>
          <w:sz w:val="24"/>
          <w:szCs w:val="24"/>
        </w:rPr>
        <w:t xml:space="preserve">o primeiro </w:t>
      </w:r>
      <w:r w:rsidR="00524532">
        <w:rPr>
          <w:rFonts w:ascii="Times New Roman" w:eastAsiaTheme="minorEastAsia" w:hAnsi="Times New Roman" w:cs="Times New Roman"/>
          <w:sz w:val="24"/>
          <w:szCs w:val="24"/>
        </w:rPr>
        <w:t xml:space="preserve">obtemos as </w:t>
      </w:r>
      <w:r w:rsidR="006375AA">
        <w:rPr>
          <w:rFonts w:ascii="Times New Roman" w:eastAsiaTheme="minorEastAsia" w:hAnsi="Times New Roman" w:cs="Times New Roman"/>
          <w:sz w:val="24"/>
          <w:szCs w:val="24"/>
        </w:rPr>
        <w:t xml:space="preserve">estimativas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T</m:t>
            </m:r>
          </m:sub>
        </m:sSub>
      </m:oMath>
      <w:r w:rsidR="00FB397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T,A</m:t>
            </m:r>
          </m:sup>
        </m:sSup>
      </m:oMath>
      <w:r w:rsidR="00FB397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T,B</m:t>
            </m:r>
          </m:sup>
        </m:sSup>
      </m:oMath>
      <w:r w:rsidR="006375AA">
        <w:rPr>
          <w:rFonts w:ascii="Times New Roman" w:eastAsiaTheme="minorEastAsia" w:hAnsi="Times New Roman" w:cs="Times New Roman"/>
          <w:sz w:val="24"/>
          <w:szCs w:val="24"/>
        </w:rPr>
        <w:t xml:space="preserve"> e das distribuições das habilidades latentes, e no segundo, obtemos estimativas para os parâmetros</w:t>
      </w:r>
      <w:r w:rsidR="00CA079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p>
        </m:sSup>
      </m:oMath>
      <w:r w:rsidR="00FD629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sup>
        </m:sSup>
      </m:oMath>
      <w:r w:rsidR="005763B4">
        <w:rPr>
          <w:rFonts w:ascii="Times New Roman" w:eastAsiaTheme="minorEastAsia" w:hAnsi="Times New Roman" w:cs="Times New Roman"/>
          <w:sz w:val="24"/>
          <w:szCs w:val="24"/>
        </w:rPr>
        <w:t>,</w:t>
      </w:r>
      <w:r w:rsidR="00300E32">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,A</m:t>
            </m:r>
          </m:sup>
        </m:sSup>
      </m:oMath>
      <w:r w:rsidR="00300E32">
        <w:rPr>
          <w:rFonts w:ascii="Times New Roman" w:eastAsiaTheme="minorEastAsia" w:hAnsi="Times New Roman" w:cs="Times New Roman"/>
          <w:sz w:val="24"/>
          <w:szCs w:val="24"/>
        </w:rPr>
        <w:t>,</w:t>
      </w:r>
      <w:r w:rsidR="00610AA6">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p>
        </m:sSup>
      </m:oMath>
      <w:r w:rsidR="00610AA6">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,A</m:t>
            </m:r>
          </m:sup>
        </m:sSup>
      </m:oMath>
      <w:r w:rsidR="00610AA6">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,B</m:t>
            </m:r>
          </m:sup>
        </m:sSup>
      </m:oMath>
      <w:r w:rsidR="006375AA">
        <w:rPr>
          <w:rFonts w:ascii="Times New Roman" w:eastAsiaTheme="minorEastAsia" w:hAnsi="Times New Roman" w:cs="Times New Roman"/>
          <w:sz w:val="24"/>
          <w:szCs w:val="24"/>
        </w:rPr>
        <w:t>.</w:t>
      </w:r>
    </w:p>
    <w:p w:rsidR="00BB454D" w:rsidRDefault="00B7128B" w:rsidP="00410525">
      <w:pPr>
        <w:spacing w:after="200" w:line="36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 essas estimativas em mãos, é possível </w:t>
      </w:r>
      <w:r w:rsidR="00243CAC">
        <w:rPr>
          <w:rFonts w:ascii="Times New Roman" w:eastAsiaTheme="minorEastAsia" w:hAnsi="Times New Roman" w:cs="Times New Roman"/>
          <w:sz w:val="24"/>
          <w:szCs w:val="24"/>
        </w:rPr>
        <w:t xml:space="preserve">recuperar a distribuição </w:t>
      </w:r>
      <w:r w:rsidR="00ED5551">
        <w:rPr>
          <w:rFonts w:ascii="Times New Roman" w:eastAsiaTheme="minorEastAsia" w:hAnsi="Times New Roman" w:cs="Times New Roman"/>
          <w:sz w:val="24"/>
          <w:szCs w:val="24"/>
        </w:rPr>
        <w:t xml:space="preserve">dos resultados </w:t>
      </w:r>
      <w:proofErr w:type="spellStart"/>
      <w:r w:rsidR="00ED5551">
        <w:rPr>
          <w:rFonts w:ascii="Times New Roman" w:eastAsiaTheme="minorEastAsia" w:hAnsi="Times New Roman" w:cs="Times New Roman"/>
          <w:sz w:val="24"/>
          <w:szCs w:val="24"/>
        </w:rPr>
        <w:t>contrafactuais</w:t>
      </w:r>
      <w:proofErr w:type="spellEnd"/>
      <w:r w:rsidR="00ED555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ED5551">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oMath>
      <w:r w:rsidR="00ED5551">
        <w:rPr>
          <w:rFonts w:ascii="Times New Roman" w:eastAsiaTheme="minorEastAsia" w:hAnsi="Times New Roman" w:cs="Times New Roman"/>
          <w:sz w:val="24"/>
          <w:szCs w:val="24"/>
        </w:rPr>
        <w:t>, e</w:t>
      </w:r>
      <w:r w:rsidR="00156613">
        <w:rPr>
          <w:rFonts w:ascii="Times New Roman" w:eastAsiaTheme="minorEastAsia" w:hAnsi="Times New Roman" w:cs="Times New Roman"/>
          <w:sz w:val="24"/>
          <w:szCs w:val="24"/>
        </w:rPr>
        <w:t xml:space="preserve"> a partir daí calcular</w:t>
      </w:r>
      <w:r w:rsidR="00ED5551">
        <w:rPr>
          <w:rFonts w:ascii="Times New Roman" w:eastAsiaTheme="minorEastAsia" w:hAnsi="Times New Roman" w:cs="Times New Roman"/>
          <w:sz w:val="24"/>
          <w:szCs w:val="24"/>
        </w:rPr>
        <w:t xml:space="preserve"> o efeito médio do tratamento (ATE) de se fazer o </w:t>
      </w:r>
      <w:r w:rsidR="00867FFD">
        <w:rPr>
          <w:rFonts w:ascii="Times New Roman" w:eastAsiaTheme="minorEastAsia" w:hAnsi="Times New Roman" w:cs="Times New Roman"/>
          <w:sz w:val="24"/>
          <w:szCs w:val="24"/>
        </w:rPr>
        <w:t>ensino superior</w:t>
      </w:r>
      <w:r w:rsidR="00BB454D">
        <w:rPr>
          <w:rFonts w:ascii="Times New Roman" w:eastAsiaTheme="minorEastAsia" w:hAnsi="Times New Roman" w:cs="Times New Roman"/>
          <w:sz w:val="24"/>
          <w:szCs w:val="24"/>
        </w:rPr>
        <w:t xml:space="preserve"> </w:t>
      </w:r>
      <w:r w:rsidR="00ED5551">
        <w:rPr>
          <w:rFonts w:ascii="Times New Roman" w:eastAsiaTheme="minorEastAsia" w:hAnsi="Times New Roman" w:cs="Times New Roman"/>
          <w:sz w:val="24"/>
          <w:szCs w:val="24"/>
        </w:rPr>
        <w:t xml:space="preserve">(cf., por exemplo, </w:t>
      </w:r>
      <w:r w:rsidR="00BB454D">
        <w:rPr>
          <w:rFonts w:ascii="Times New Roman" w:eastAsiaTheme="minorEastAsia" w:hAnsi="Times New Roman" w:cs="Times New Roman"/>
          <w:sz w:val="24"/>
          <w:szCs w:val="24"/>
        </w:rPr>
        <w:t xml:space="preserve">Heckman et al. 2014). Condicional em </w:t>
      </w:r>
      <m:oMath>
        <m:r>
          <w:rPr>
            <w:rFonts w:ascii="Cambria Math" w:eastAsiaTheme="minorEastAsia" w:hAnsi="Cambria Math" w:cs="Times New Roman"/>
            <w:sz w:val="24"/>
            <w:szCs w:val="24"/>
          </w:rPr>
          <m:t>X=x</m:t>
        </m:r>
      </m:oMath>
      <w:r w:rsidR="00BB454D">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θ=</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w:r w:rsidR="00BB454D">
        <w:rPr>
          <w:rFonts w:ascii="Times New Roman" w:eastAsiaTheme="minorEastAsia" w:hAnsi="Times New Roman" w:cs="Times New Roman"/>
          <w:sz w:val="24"/>
          <w:szCs w:val="24"/>
        </w:rPr>
        <w:t xml:space="preserve">, o efeito de tratamento médio, sob a população inteira, </w:t>
      </w:r>
      <w:r w:rsidR="00C563F2">
        <w:rPr>
          <w:rFonts w:ascii="Times New Roman" w:eastAsiaTheme="minorEastAsia" w:hAnsi="Times New Roman" w:cs="Times New Roman"/>
          <w:sz w:val="24"/>
          <w:szCs w:val="24"/>
        </w:rPr>
        <w:t>é dado por:</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
        <w:gridCol w:w="7960"/>
        <w:gridCol w:w="767"/>
      </w:tblGrid>
      <w:tr w:rsidR="00785468" w:rsidTr="00410525">
        <w:tc>
          <w:tcPr>
            <w:tcW w:w="189" w:type="pct"/>
          </w:tcPr>
          <w:p w:rsidR="00785468" w:rsidRDefault="00785468" w:rsidP="00BB454D">
            <w:pPr>
              <w:spacing w:after="200" w:line="360" w:lineRule="auto"/>
              <w:jc w:val="both"/>
              <w:rPr>
                <w:rFonts w:ascii="Times New Roman" w:eastAsiaTheme="minorEastAsia" w:hAnsi="Times New Roman" w:cs="Times New Roman"/>
                <w:sz w:val="24"/>
                <w:szCs w:val="24"/>
              </w:rPr>
            </w:pPr>
          </w:p>
        </w:tc>
        <w:tc>
          <w:tcPr>
            <w:tcW w:w="4387" w:type="pct"/>
          </w:tcPr>
          <w:p w:rsidR="00785468" w:rsidRDefault="00785468" w:rsidP="00BB454D">
            <w:pPr>
              <w:spacing w:after="20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ATE=∫∫E</m:t>
                </m:r>
                <m:d>
                  <m:dPr>
                    <m:sep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e>
                    <m:r>
                      <m:rPr>
                        <m:sty m:val="bi"/>
                      </m:rPr>
                      <w:rPr>
                        <w:rFonts w:ascii="Cambria Math" w:eastAsiaTheme="minorEastAsia" w:hAnsi="Cambria Math" w:cs="Times New Roman"/>
                        <w:sz w:val="24"/>
                        <w:szCs w:val="24"/>
                      </w:rPr>
                      <m:t>X=x</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θ=</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θ</m:t>
                        </m:r>
                      </m:e>
                    </m:acc>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X,θ</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θ</m:t>
                    </m:r>
                  </m:e>
                </m:acc>
                <m:r>
                  <w:rPr>
                    <w:rFonts w:ascii="Cambria Math" w:eastAsiaTheme="minorEastAsia" w:hAnsi="Cambria Math" w:cs="Times New Roman"/>
                    <w:sz w:val="24"/>
                    <w:szCs w:val="24"/>
                  </w:rPr>
                  <m:t>)</m:t>
                </m:r>
              </m:oMath>
            </m:oMathPara>
          </w:p>
        </w:tc>
        <w:tc>
          <w:tcPr>
            <w:tcW w:w="423" w:type="pct"/>
          </w:tcPr>
          <w:p w:rsidR="00785468" w:rsidRDefault="00785468" w:rsidP="00BB454D">
            <w:pPr>
              <w:spacing w:after="20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bl>
    <w:p w:rsidR="00727B84" w:rsidRPr="002666C7" w:rsidRDefault="00727B84" w:rsidP="00410525">
      <w:pPr>
        <w:pStyle w:val="PargrafodaLista"/>
        <w:numPr>
          <w:ilvl w:val="0"/>
          <w:numId w:val="1"/>
        </w:numPr>
        <w:spacing w:after="200" w:line="360" w:lineRule="auto"/>
        <w:ind w:left="714" w:hanging="357"/>
        <w:outlineLvl w:val="0"/>
        <w:rPr>
          <w:rFonts w:ascii="Times New Roman" w:hAnsi="Times New Roman" w:cs="Times New Roman"/>
          <w:b/>
          <w:sz w:val="28"/>
          <w:szCs w:val="28"/>
        </w:rPr>
      </w:pPr>
      <w:r w:rsidRPr="002666C7">
        <w:rPr>
          <w:rFonts w:ascii="Times New Roman" w:hAnsi="Times New Roman" w:cs="Times New Roman"/>
          <w:b/>
          <w:sz w:val="28"/>
          <w:szCs w:val="28"/>
        </w:rPr>
        <w:t>Dados</w:t>
      </w:r>
    </w:p>
    <w:p w:rsidR="00727B84" w:rsidRDefault="00727B84" w:rsidP="00727B84">
      <w:pPr>
        <w:spacing w:after="200" w:line="360" w:lineRule="auto"/>
        <w:ind w:firstLine="709"/>
        <w:jc w:val="both"/>
        <w:rPr>
          <w:rFonts w:ascii="Times New Roman" w:hAnsi="Times New Roman" w:cs="Times New Roman"/>
          <w:sz w:val="24"/>
          <w:szCs w:val="24"/>
        </w:rPr>
      </w:pPr>
      <w:r w:rsidRPr="000563F5">
        <w:rPr>
          <w:rFonts w:ascii="Times New Roman" w:hAnsi="Times New Roman" w:cs="Times New Roman"/>
          <w:sz w:val="24"/>
          <w:szCs w:val="24"/>
        </w:rPr>
        <w:t xml:space="preserve">Neste </w:t>
      </w:r>
      <w:r w:rsidR="002666C7">
        <w:rPr>
          <w:rFonts w:ascii="Times New Roman" w:hAnsi="Times New Roman" w:cs="Times New Roman"/>
          <w:sz w:val="24"/>
          <w:szCs w:val="24"/>
        </w:rPr>
        <w:t>estudo</w:t>
      </w:r>
      <w:r w:rsidRPr="000563F5">
        <w:rPr>
          <w:rFonts w:ascii="Times New Roman" w:hAnsi="Times New Roman" w:cs="Times New Roman"/>
          <w:sz w:val="24"/>
          <w:szCs w:val="24"/>
        </w:rPr>
        <w:t>, iremos utilizar a base derivada do Indicador de Alfabetismo Funcional (</w:t>
      </w:r>
      <w:proofErr w:type="spellStart"/>
      <w:r w:rsidRPr="000563F5">
        <w:rPr>
          <w:rFonts w:ascii="Times New Roman" w:hAnsi="Times New Roman" w:cs="Times New Roman"/>
          <w:sz w:val="24"/>
          <w:szCs w:val="24"/>
        </w:rPr>
        <w:t>Inaf</w:t>
      </w:r>
      <w:proofErr w:type="spellEnd"/>
      <w:r w:rsidRPr="000563F5">
        <w:rPr>
          <w:rFonts w:ascii="Times New Roman" w:hAnsi="Times New Roman" w:cs="Times New Roman"/>
          <w:sz w:val="24"/>
          <w:szCs w:val="24"/>
        </w:rPr>
        <w:t xml:space="preserve">). </w:t>
      </w:r>
      <w:r w:rsidR="00AD4138">
        <w:rPr>
          <w:rFonts w:ascii="Times New Roman" w:hAnsi="Times New Roman" w:cs="Times New Roman"/>
          <w:sz w:val="24"/>
          <w:szCs w:val="24"/>
        </w:rPr>
        <w:t>O</w:t>
      </w:r>
      <w:r>
        <w:rPr>
          <w:rFonts w:ascii="Times New Roman" w:hAnsi="Times New Roman" w:cs="Times New Roman"/>
          <w:sz w:val="24"/>
          <w:szCs w:val="24"/>
        </w:rPr>
        <w:t xml:space="preserve"> </w:t>
      </w:r>
      <w:proofErr w:type="spellStart"/>
      <w:r>
        <w:rPr>
          <w:rFonts w:ascii="Times New Roman" w:hAnsi="Times New Roman" w:cs="Times New Roman"/>
          <w:sz w:val="24"/>
          <w:szCs w:val="24"/>
        </w:rPr>
        <w:t>Inaf</w:t>
      </w:r>
      <w:proofErr w:type="spellEnd"/>
      <w:r>
        <w:rPr>
          <w:rFonts w:ascii="Times New Roman" w:hAnsi="Times New Roman" w:cs="Times New Roman"/>
          <w:sz w:val="24"/>
          <w:szCs w:val="24"/>
        </w:rPr>
        <w:t xml:space="preserve"> é resultado</w:t>
      </w:r>
      <w:r w:rsidRPr="000563F5">
        <w:rPr>
          <w:rFonts w:ascii="Times New Roman" w:hAnsi="Times New Roman" w:cs="Times New Roman"/>
          <w:sz w:val="24"/>
          <w:szCs w:val="24"/>
        </w:rPr>
        <w:t xml:space="preserve"> de uma parceria entre o Instituto Paulo Montenegro e a ONG Ação Educativa e mede os níveis de alfabetismo da população adulta brasileira desde 2011. O </w:t>
      </w:r>
      <w:proofErr w:type="spellStart"/>
      <w:r w:rsidRPr="000563F5">
        <w:rPr>
          <w:rFonts w:ascii="Times New Roman" w:hAnsi="Times New Roman" w:cs="Times New Roman"/>
          <w:sz w:val="24"/>
          <w:szCs w:val="24"/>
        </w:rPr>
        <w:t>Inaf</w:t>
      </w:r>
      <w:proofErr w:type="spellEnd"/>
      <w:r w:rsidRPr="000563F5">
        <w:rPr>
          <w:rFonts w:ascii="Times New Roman" w:hAnsi="Times New Roman" w:cs="Times New Roman"/>
          <w:sz w:val="24"/>
          <w:szCs w:val="24"/>
        </w:rPr>
        <w:t xml:space="preserve"> é realizado por meio de entrevista e teste cognitivo aplicado em uma amostra nacional </w:t>
      </w:r>
      <w:r w:rsidRPr="000563F5">
        <w:rPr>
          <w:rFonts w:ascii="Times New Roman" w:hAnsi="Times New Roman" w:cs="Times New Roman"/>
          <w:sz w:val="24"/>
          <w:szCs w:val="24"/>
        </w:rPr>
        <w:lastRenderedPageBreak/>
        <w:t>representativa de 2000 pessoas entre 15 e 64 anos de idade, residentes em zonas urbanas e rurais de todas as regiões do país.</w:t>
      </w:r>
    </w:p>
    <w:p w:rsidR="00727B84" w:rsidRPr="00460B91" w:rsidRDefault="00727B84" w:rsidP="00727B84">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foco da pesquisa é obter uma medida mais confiável do nível de analfabetismo da população brasileira através de testes de Matemática e Português, mas diversos questionários não-cognitivos também são </w:t>
      </w:r>
      <w:r w:rsidR="00E52DCF">
        <w:rPr>
          <w:rFonts w:ascii="Times New Roman" w:hAnsi="Times New Roman" w:cs="Times New Roman"/>
          <w:sz w:val="24"/>
          <w:szCs w:val="24"/>
        </w:rPr>
        <w:t>aplicados</w:t>
      </w:r>
      <w:r>
        <w:rPr>
          <w:rFonts w:ascii="Times New Roman" w:hAnsi="Times New Roman" w:cs="Times New Roman"/>
          <w:sz w:val="24"/>
          <w:szCs w:val="24"/>
        </w:rPr>
        <w:t xml:space="preserve"> para medir as habilidades socioemocionais. Os índices socioemocionais são divididos em três categorias: Abertura</w:t>
      </w:r>
      <w:r w:rsidR="00E52DCF">
        <w:rPr>
          <w:rFonts w:ascii="Times New Roman" w:hAnsi="Times New Roman" w:cs="Times New Roman"/>
          <w:sz w:val="24"/>
          <w:szCs w:val="24"/>
        </w:rPr>
        <w:t xml:space="preserve"> ao Novo</w:t>
      </w:r>
      <w:r>
        <w:rPr>
          <w:rFonts w:ascii="Times New Roman" w:hAnsi="Times New Roman" w:cs="Times New Roman"/>
          <w:sz w:val="24"/>
          <w:szCs w:val="24"/>
        </w:rPr>
        <w:t xml:space="preserve">, Autogestão e Autoestima, construídos pelo próprio </w:t>
      </w:r>
      <w:proofErr w:type="spellStart"/>
      <w:r>
        <w:rPr>
          <w:rFonts w:ascii="Times New Roman" w:hAnsi="Times New Roman" w:cs="Times New Roman"/>
          <w:sz w:val="24"/>
          <w:szCs w:val="24"/>
        </w:rPr>
        <w:t>Inaf</w:t>
      </w:r>
      <w:proofErr w:type="spellEnd"/>
      <w:r w:rsidR="002666C7">
        <w:rPr>
          <w:rFonts w:ascii="Times New Roman" w:hAnsi="Times New Roman" w:cs="Times New Roman"/>
          <w:sz w:val="24"/>
          <w:szCs w:val="24"/>
        </w:rPr>
        <w:t xml:space="preserve"> </w:t>
      </w:r>
      <w:r w:rsidR="002666C7" w:rsidRPr="005E142C">
        <w:rPr>
          <w:rFonts w:ascii="Times New Roman" w:hAnsi="Times New Roman" w:cs="Times New Roman"/>
          <w:sz w:val="24"/>
          <w:szCs w:val="24"/>
        </w:rPr>
        <w:t>em parceria com o Instituto Ayrton Senna</w:t>
      </w:r>
      <w:r w:rsidRPr="005E142C">
        <w:rPr>
          <w:rFonts w:ascii="Times New Roman" w:hAnsi="Times New Roman" w:cs="Times New Roman"/>
          <w:sz w:val="24"/>
          <w:szCs w:val="24"/>
        </w:rPr>
        <w:t xml:space="preserve">. </w:t>
      </w:r>
      <w:r>
        <w:rPr>
          <w:rFonts w:ascii="Times New Roman" w:hAnsi="Times New Roman" w:cs="Times New Roman"/>
          <w:sz w:val="24"/>
          <w:szCs w:val="24"/>
        </w:rPr>
        <w:t>O artigo utilizará a base do ano de 2015 e uma desagregação única dos questionários socioemocionais, junto com os testes cognitivo</w:t>
      </w:r>
      <w:r w:rsidR="00E52DCF">
        <w:rPr>
          <w:rFonts w:ascii="Times New Roman" w:hAnsi="Times New Roman" w:cs="Times New Roman"/>
          <w:sz w:val="24"/>
          <w:szCs w:val="24"/>
        </w:rPr>
        <w:t>s e informações socioeconômic</w:t>
      </w:r>
      <w:r w:rsidR="00670DD4">
        <w:rPr>
          <w:rFonts w:ascii="Times New Roman" w:hAnsi="Times New Roman" w:cs="Times New Roman"/>
          <w:sz w:val="24"/>
          <w:szCs w:val="24"/>
        </w:rPr>
        <w:t xml:space="preserve">as, para avaliar o impacto </w:t>
      </w:r>
      <w:r w:rsidR="00670DD4" w:rsidRPr="00670DD4">
        <w:rPr>
          <w:rFonts w:ascii="Times New Roman" w:hAnsi="Times New Roman" w:cs="Times New Roman"/>
          <w:color w:val="000000" w:themeColor="text1"/>
          <w:sz w:val="24"/>
          <w:szCs w:val="24"/>
        </w:rPr>
        <w:t>desta</w:t>
      </w:r>
      <w:r w:rsidR="00E52DCF" w:rsidRPr="00670DD4">
        <w:rPr>
          <w:rFonts w:ascii="Times New Roman" w:hAnsi="Times New Roman" w:cs="Times New Roman"/>
          <w:color w:val="000000" w:themeColor="text1"/>
          <w:sz w:val="24"/>
          <w:szCs w:val="24"/>
        </w:rPr>
        <w:t xml:space="preserve">s </w:t>
      </w:r>
      <w:r w:rsidR="00670DD4" w:rsidRPr="00670DD4">
        <w:rPr>
          <w:rFonts w:ascii="Times New Roman" w:hAnsi="Times New Roman" w:cs="Times New Roman"/>
          <w:color w:val="000000" w:themeColor="text1"/>
          <w:sz w:val="24"/>
          <w:szCs w:val="24"/>
        </w:rPr>
        <w:t>variáveis</w:t>
      </w:r>
      <w:r w:rsidR="00670DD4" w:rsidRPr="00670DD4">
        <w:rPr>
          <w:rFonts w:ascii="Times New Roman" w:hAnsi="Times New Roman" w:cs="Times New Roman"/>
          <w:color w:val="FF0000"/>
          <w:sz w:val="24"/>
          <w:szCs w:val="24"/>
        </w:rPr>
        <w:t xml:space="preserve"> </w:t>
      </w:r>
      <w:r w:rsidR="00E52DCF">
        <w:rPr>
          <w:rFonts w:ascii="Times New Roman" w:hAnsi="Times New Roman" w:cs="Times New Roman"/>
          <w:sz w:val="24"/>
          <w:szCs w:val="24"/>
        </w:rPr>
        <w:t xml:space="preserve">nos salários e escolhas educacionais dos </w:t>
      </w:r>
      <w:r w:rsidR="00E52DCF" w:rsidRPr="00460B91">
        <w:rPr>
          <w:rFonts w:ascii="Times New Roman" w:hAnsi="Times New Roman" w:cs="Times New Roman"/>
          <w:sz w:val="24"/>
          <w:szCs w:val="24"/>
        </w:rPr>
        <w:t>indivíduos</w:t>
      </w:r>
      <w:r w:rsidR="000076A8" w:rsidRPr="00460B91">
        <w:rPr>
          <w:rFonts w:ascii="Times New Roman" w:hAnsi="Times New Roman" w:cs="Times New Roman"/>
          <w:sz w:val="24"/>
          <w:szCs w:val="24"/>
        </w:rPr>
        <w:t>.</w:t>
      </w:r>
    </w:p>
    <w:p w:rsidR="000076A8" w:rsidRDefault="000076A8" w:rsidP="00727B84">
      <w:pPr>
        <w:spacing w:after="200" w:line="360" w:lineRule="auto"/>
        <w:ind w:firstLine="709"/>
        <w:jc w:val="both"/>
        <w:rPr>
          <w:rFonts w:ascii="Times New Roman" w:hAnsi="Times New Roman" w:cs="Times New Roman"/>
          <w:sz w:val="24"/>
          <w:szCs w:val="24"/>
        </w:rPr>
      </w:pPr>
      <w:r w:rsidRPr="00460B91">
        <w:rPr>
          <w:rFonts w:ascii="Times New Roman" w:hAnsi="Times New Roman" w:cs="Times New Roman"/>
          <w:sz w:val="24"/>
          <w:szCs w:val="24"/>
        </w:rPr>
        <w:t>Uma restrição import</w:t>
      </w:r>
      <w:r w:rsidR="00670DD4">
        <w:rPr>
          <w:rFonts w:ascii="Times New Roman" w:hAnsi="Times New Roman" w:cs="Times New Roman"/>
          <w:sz w:val="24"/>
          <w:szCs w:val="24"/>
        </w:rPr>
        <w:t>ante dest</w:t>
      </w:r>
      <w:r w:rsidRPr="00460B91">
        <w:rPr>
          <w:rFonts w:ascii="Times New Roman" w:hAnsi="Times New Roman" w:cs="Times New Roman"/>
          <w:sz w:val="24"/>
          <w:szCs w:val="24"/>
        </w:rPr>
        <w:t xml:space="preserve">e estudo é de que as habilidades cognitivas e socioemocionais são medidas no instante da entrevista e não no momento em que o indivíduo escolhe se irá ou não ao </w:t>
      </w:r>
      <w:r w:rsidR="00867FFD">
        <w:rPr>
          <w:rFonts w:ascii="Times New Roman" w:hAnsi="Times New Roman" w:cs="Times New Roman"/>
          <w:sz w:val="24"/>
          <w:szCs w:val="24"/>
        </w:rPr>
        <w:t>ensino superior</w:t>
      </w:r>
      <w:r w:rsidRPr="00460B91">
        <w:rPr>
          <w:rFonts w:ascii="Times New Roman" w:hAnsi="Times New Roman" w:cs="Times New Roman"/>
          <w:sz w:val="24"/>
          <w:szCs w:val="24"/>
        </w:rPr>
        <w:t xml:space="preserve">. </w:t>
      </w:r>
      <w:r w:rsidRPr="00670DD4">
        <w:rPr>
          <w:rFonts w:ascii="Times New Roman" w:hAnsi="Times New Roman" w:cs="Times New Roman"/>
          <w:sz w:val="24"/>
          <w:szCs w:val="24"/>
        </w:rPr>
        <w:t xml:space="preserve">Dessa forma, é preciso supor que essas habilidades são constantes ao longo do tempo para interpretarmos </w:t>
      </w:r>
      <w:r w:rsidR="00DD335C" w:rsidRPr="00670DD4">
        <w:rPr>
          <w:rFonts w:ascii="Times New Roman" w:hAnsi="Times New Roman" w:cs="Times New Roman"/>
          <w:sz w:val="24"/>
          <w:szCs w:val="24"/>
        </w:rPr>
        <w:t>as estimativas</w:t>
      </w:r>
      <w:r w:rsidR="003B6E08" w:rsidRPr="00670DD4">
        <w:rPr>
          <w:rFonts w:ascii="Times New Roman" w:hAnsi="Times New Roman" w:cs="Times New Roman"/>
          <w:sz w:val="24"/>
          <w:szCs w:val="24"/>
        </w:rPr>
        <w:t xml:space="preserve"> da forma desejada</w:t>
      </w:r>
      <w:r w:rsidR="00670DD4" w:rsidRPr="00670DD4">
        <w:rPr>
          <w:rStyle w:val="Refdenotaderodap"/>
          <w:rFonts w:ascii="Times New Roman" w:hAnsi="Times New Roman" w:cs="Times New Roman"/>
          <w:sz w:val="24"/>
          <w:szCs w:val="24"/>
        </w:rPr>
        <w:footnoteReference w:id="3"/>
      </w:r>
      <w:r w:rsidR="00DD335C" w:rsidRPr="00460B91">
        <w:rPr>
          <w:rFonts w:ascii="Times New Roman" w:hAnsi="Times New Roman" w:cs="Times New Roman"/>
          <w:sz w:val="24"/>
          <w:szCs w:val="24"/>
        </w:rPr>
        <w:t>.</w:t>
      </w:r>
      <w:r w:rsidR="00DD335C">
        <w:rPr>
          <w:rFonts w:ascii="Times New Roman" w:hAnsi="Times New Roman" w:cs="Times New Roman"/>
          <w:sz w:val="24"/>
          <w:szCs w:val="24"/>
        </w:rPr>
        <w:t xml:space="preserve"> </w:t>
      </w:r>
    </w:p>
    <w:p w:rsidR="001B7BC1" w:rsidRDefault="00A713BD" w:rsidP="00410525">
      <w:pPr>
        <w:spacing w:after="200" w:line="360" w:lineRule="auto"/>
        <w:ind w:firstLine="709"/>
        <w:jc w:val="both"/>
        <w:rPr>
          <w:rFonts w:ascii="Times New Roman" w:hAnsi="Times New Roman" w:cs="Times New Roman"/>
          <w:sz w:val="24"/>
          <w:szCs w:val="24"/>
        </w:rPr>
      </w:pPr>
      <w:r w:rsidRPr="004F10E3">
        <w:rPr>
          <w:rFonts w:ascii="Times New Roman" w:hAnsi="Times New Roman" w:cs="Times New Roman"/>
          <w:sz w:val="24"/>
          <w:szCs w:val="24"/>
        </w:rPr>
        <w:t>Variáveis</w:t>
      </w:r>
      <w:r>
        <w:rPr>
          <w:rFonts w:ascii="Times New Roman" w:hAnsi="Times New Roman" w:cs="Times New Roman"/>
          <w:sz w:val="24"/>
          <w:szCs w:val="24"/>
        </w:rPr>
        <w:t xml:space="preserve"> de caráter socioeconômico serão utilizadas como controle na equação principal e também no s</w:t>
      </w:r>
      <w:r w:rsidR="00995371">
        <w:rPr>
          <w:rFonts w:ascii="Times New Roman" w:hAnsi="Times New Roman" w:cs="Times New Roman"/>
          <w:sz w:val="24"/>
          <w:szCs w:val="24"/>
        </w:rPr>
        <w:t>istema de mensuração. A tabela 1</w:t>
      </w:r>
      <w:r>
        <w:rPr>
          <w:rFonts w:ascii="Times New Roman" w:hAnsi="Times New Roman" w:cs="Times New Roman"/>
          <w:sz w:val="24"/>
          <w:szCs w:val="24"/>
        </w:rPr>
        <w:t xml:space="preserve"> resume essas informações</w:t>
      </w:r>
    </w:p>
    <w:p w:rsidR="000E665F" w:rsidRPr="00410525" w:rsidRDefault="00995371" w:rsidP="000E665F">
      <w:pPr>
        <w:spacing w:after="200" w:line="360" w:lineRule="auto"/>
        <w:jc w:val="center"/>
        <w:rPr>
          <w:rFonts w:ascii="Times New Roman" w:hAnsi="Times New Roman" w:cs="Times New Roman"/>
          <w:b/>
          <w:sz w:val="24"/>
          <w:szCs w:val="24"/>
        </w:rPr>
      </w:pPr>
      <w:r w:rsidRPr="00410525">
        <w:rPr>
          <w:rFonts w:ascii="Times New Roman" w:hAnsi="Times New Roman" w:cs="Times New Roman"/>
          <w:b/>
          <w:sz w:val="24"/>
          <w:szCs w:val="24"/>
        </w:rPr>
        <w:t>Tabela 1</w:t>
      </w:r>
      <w:r w:rsidR="00E544AF" w:rsidRPr="00410525">
        <w:rPr>
          <w:rFonts w:ascii="Times New Roman" w:hAnsi="Times New Roman" w:cs="Times New Roman"/>
          <w:b/>
          <w:sz w:val="24"/>
          <w:szCs w:val="24"/>
        </w:rPr>
        <w:t xml:space="preserve"> – Variáveis utilizadas no modelo</w:t>
      </w:r>
    </w:p>
    <w:p w:rsidR="000777FF" w:rsidRDefault="000E665F" w:rsidP="00A713BD">
      <w:pPr>
        <w:spacing w:after="200" w:line="360" w:lineRule="auto"/>
        <w:jc w:val="both"/>
        <w:rPr>
          <w:rFonts w:ascii="Times New Roman" w:hAnsi="Times New Roman" w:cs="Times New Roman"/>
          <w:sz w:val="24"/>
          <w:szCs w:val="24"/>
        </w:rPr>
      </w:pPr>
      <w:r w:rsidRPr="000E665F">
        <w:rPr>
          <w:noProof/>
          <w:lang w:eastAsia="pt-BR"/>
        </w:rPr>
        <w:drawing>
          <wp:inline distT="0" distB="0" distL="0" distR="0">
            <wp:extent cx="5400040" cy="172489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24892"/>
                    </a:xfrm>
                    <a:prstGeom prst="rect">
                      <a:avLst/>
                    </a:prstGeom>
                    <a:noFill/>
                    <a:ln>
                      <a:noFill/>
                    </a:ln>
                  </pic:spPr>
                </pic:pic>
              </a:graphicData>
            </a:graphic>
          </wp:inline>
        </w:drawing>
      </w:r>
    </w:p>
    <w:p w:rsidR="00F73EFF" w:rsidRDefault="00600D96" w:rsidP="00410525">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 variáveis </w:t>
      </w:r>
      <w:r w:rsidR="00E52DCF">
        <w:rPr>
          <w:rFonts w:ascii="Times New Roman" w:hAnsi="Times New Roman" w:cs="Times New Roman"/>
          <w:sz w:val="24"/>
          <w:szCs w:val="24"/>
        </w:rPr>
        <w:t xml:space="preserve">dependentes </w:t>
      </w:r>
      <w:r>
        <w:rPr>
          <w:rFonts w:ascii="Times New Roman" w:hAnsi="Times New Roman" w:cs="Times New Roman"/>
          <w:sz w:val="24"/>
          <w:szCs w:val="24"/>
        </w:rPr>
        <w:t>do sistema de mensuração variam de acordo com a escolha do número de fatores e o que e</w:t>
      </w:r>
      <w:r w:rsidR="00320623">
        <w:rPr>
          <w:rFonts w:ascii="Times New Roman" w:hAnsi="Times New Roman" w:cs="Times New Roman"/>
          <w:sz w:val="24"/>
          <w:szCs w:val="24"/>
        </w:rPr>
        <w:t>ste</w:t>
      </w:r>
      <w:r>
        <w:rPr>
          <w:rFonts w:ascii="Times New Roman" w:hAnsi="Times New Roman" w:cs="Times New Roman"/>
          <w:sz w:val="24"/>
          <w:szCs w:val="24"/>
        </w:rPr>
        <w:t xml:space="preserve">s representam. O fator cognitivo se mantém igual em todas as especificações, e as variáveis utilizadas são o escore </w:t>
      </w:r>
      <w:r w:rsidR="00E52DCF">
        <w:rPr>
          <w:rFonts w:ascii="Times New Roman" w:hAnsi="Times New Roman" w:cs="Times New Roman"/>
          <w:sz w:val="24"/>
          <w:szCs w:val="24"/>
        </w:rPr>
        <w:t>d</w:t>
      </w:r>
      <w:r>
        <w:rPr>
          <w:rFonts w:ascii="Times New Roman" w:hAnsi="Times New Roman" w:cs="Times New Roman"/>
          <w:sz w:val="24"/>
          <w:szCs w:val="24"/>
        </w:rPr>
        <w:t>o teste cognitivo de matemática e</w:t>
      </w:r>
      <w:r w:rsidR="00E52DCF">
        <w:rPr>
          <w:rFonts w:ascii="Times New Roman" w:hAnsi="Times New Roman" w:cs="Times New Roman"/>
          <w:sz w:val="24"/>
          <w:szCs w:val="24"/>
        </w:rPr>
        <w:t xml:space="preserve"> de</w:t>
      </w:r>
      <w:r>
        <w:rPr>
          <w:rFonts w:ascii="Times New Roman" w:hAnsi="Times New Roman" w:cs="Times New Roman"/>
          <w:sz w:val="24"/>
          <w:szCs w:val="24"/>
        </w:rPr>
        <w:t xml:space="preserve"> português e a habilidade (auto reportada) de utilizar um computador.</w:t>
      </w:r>
      <w:r w:rsidR="00320623">
        <w:rPr>
          <w:rFonts w:ascii="Times New Roman" w:hAnsi="Times New Roman" w:cs="Times New Roman"/>
          <w:sz w:val="24"/>
          <w:szCs w:val="24"/>
        </w:rPr>
        <w:t xml:space="preserve"> Já para o aspecto </w:t>
      </w:r>
      <w:r w:rsidR="00320623">
        <w:rPr>
          <w:rFonts w:ascii="Times New Roman" w:hAnsi="Times New Roman" w:cs="Times New Roman"/>
          <w:sz w:val="24"/>
          <w:szCs w:val="24"/>
        </w:rPr>
        <w:lastRenderedPageBreak/>
        <w:t>socioemocional, podemos utilizar os escores gerais de Abertura, Autogestão e Autoestima para determinar um único fator socioemocional.</w:t>
      </w:r>
    </w:p>
    <w:p w:rsidR="000E5E53" w:rsidRDefault="00600D96" w:rsidP="00410525">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Outra possibilidade é desagregar cada componente, utilizando cada um deles como um fator em si.</w:t>
      </w:r>
      <w:r w:rsidR="000E5E53">
        <w:rPr>
          <w:rFonts w:ascii="Times New Roman" w:hAnsi="Times New Roman" w:cs="Times New Roman"/>
          <w:sz w:val="24"/>
          <w:szCs w:val="24"/>
        </w:rPr>
        <w:t xml:space="preserve"> Assim, é possível combinar diferentes conceitos de habilidade não cognitiva e avaliar se elas possuem diferenças fundamentais na sua relação com a escolha educacional e o nível de salário.</w:t>
      </w:r>
    </w:p>
    <w:p w:rsidR="00600D96" w:rsidRDefault="000E5E53" w:rsidP="00410525">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6D3D5C">
        <w:rPr>
          <w:rFonts w:ascii="Times New Roman" w:hAnsi="Times New Roman" w:cs="Times New Roman"/>
          <w:sz w:val="24"/>
          <w:szCs w:val="24"/>
        </w:rPr>
        <w:t>s</w:t>
      </w:r>
      <w:r>
        <w:rPr>
          <w:rFonts w:ascii="Times New Roman" w:hAnsi="Times New Roman" w:cs="Times New Roman"/>
          <w:sz w:val="24"/>
          <w:szCs w:val="24"/>
        </w:rPr>
        <w:t xml:space="preserve"> </w:t>
      </w:r>
      <w:r w:rsidR="006D3D5C">
        <w:rPr>
          <w:rFonts w:ascii="Times New Roman" w:hAnsi="Times New Roman" w:cs="Times New Roman"/>
          <w:sz w:val="24"/>
          <w:szCs w:val="24"/>
        </w:rPr>
        <w:t>T</w:t>
      </w:r>
      <w:r>
        <w:rPr>
          <w:rFonts w:ascii="Times New Roman" w:hAnsi="Times New Roman" w:cs="Times New Roman"/>
          <w:sz w:val="24"/>
          <w:szCs w:val="24"/>
        </w:rPr>
        <w:t>abela</w:t>
      </w:r>
      <w:r w:rsidR="006D3D5C">
        <w:rPr>
          <w:rFonts w:ascii="Times New Roman" w:hAnsi="Times New Roman" w:cs="Times New Roman"/>
          <w:sz w:val="24"/>
          <w:szCs w:val="24"/>
        </w:rPr>
        <w:t>s</w:t>
      </w:r>
      <w:r>
        <w:rPr>
          <w:rFonts w:ascii="Times New Roman" w:hAnsi="Times New Roman" w:cs="Times New Roman"/>
          <w:sz w:val="24"/>
          <w:szCs w:val="24"/>
        </w:rPr>
        <w:t xml:space="preserve"> </w:t>
      </w:r>
      <w:r w:rsidR="006D3D5C">
        <w:rPr>
          <w:rFonts w:ascii="Times New Roman" w:hAnsi="Times New Roman" w:cs="Times New Roman"/>
          <w:sz w:val="24"/>
          <w:szCs w:val="24"/>
        </w:rPr>
        <w:t>2</w:t>
      </w:r>
      <w:r>
        <w:rPr>
          <w:rFonts w:ascii="Times New Roman" w:hAnsi="Times New Roman" w:cs="Times New Roman"/>
          <w:sz w:val="24"/>
          <w:szCs w:val="24"/>
        </w:rPr>
        <w:t xml:space="preserve"> </w:t>
      </w:r>
      <w:r w:rsidR="006D3D5C">
        <w:rPr>
          <w:rFonts w:ascii="Times New Roman" w:hAnsi="Times New Roman" w:cs="Times New Roman"/>
          <w:sz w:val="24"/>
          <w:szCs w:val="24"/>
        </w:rPr>
        <w:t xml:space="preserve">e 3 </w:t>
      </w:r>
      <w:r>
        <w:rPr>
          <w:rFonts w:ascii="Times New Roman" w:hAnsi="Times New Roman" w:cs="Times New Roman"/>
          <w:sz w:val="24"/>
          <w:szCs w:val="24"/>
        </w:rPr>
        <w:t>descreve</w:t>
      </w:r>
      <w:r w:rsidR="006D3D5C">
        <w:rPr>
          <w:rFonts w:ascii="Times New Roman" w:hAnsi="Times New Roman" w:cs="Times New Roman"/>
          <w:sz w:val="24"/>
          <w:szCs w:val="24"/>
        </w:rPr>
        <w:t>m</w:t>
      </w:r>
      <w:r>
        <w:rPr>
          <w:rFonts w:ascii="Times New Roman" w:hAnsi="Times New Roman" w:cs="Times New Roman"/>
          <w:sz w:val="24"/>
          <w:szCs w:val="24"/>
        </w:rPr>
        <w:t xml:space="preserve"> essas variáveis em maior detalhe. É interessante notar que as variáveis do sistema seguem um padrão esperado, em que indivíduos com maior nível educacional possuem, em média, maiores habilidades cognitivas e não cognitivas.</w:t>
      </w:r>
    </w:p>
    <w:p w:rsidR="00002280" w:rsidRDefault="00995371" w:rsidP="000E665F">
      <w:pPr>
        <w:spacing w:after="200" w:line="360" w:lineRule="auto"/>
        <w:jc w:val="center"/>
        <w:rPr>
          <w:rFonts w:ascii="Times New Roman" w:hAnsi="Times New Roman" w:cs="Times New Roman"/>
          <w:b/>
          <w:sz w:val="24"/>
          <w:szCs w:val="24"/>
        </w:rPr>
      </w:pPr>
      <w:r w:rsidRPr="005E142C">
        <w:rPr>
          <w:rFonts w:ascii="Times New Roman" w:hAnsi="Times New Roman" w:cs="Times New Roman"/>
          <w:b/>
          <w:sz w:val="24"/>
          <w:szCs w:val="24"/>
        </w:rPr>
        <w:t>Tabela 2</w:t>
      </w:r>
      <w:r w:rsidR="00E544AF" w:rsidRPr="005E142C">
        <w:rPr>
          <w:rFonts w:ascii="Times New Roman" w:hAnsi="Times New Roman" w:cs="Times New Roman"/>
          <w:b/>
          <w:sz w:val="24"/>
          <w:szCs w:val="24"/>
        </w:rPr>
        <w:t xml:space="preserve"> – Estatísticas Descritivas</w:t>
      </w:r>
    </w:p>
    <w:p w:rsidR="006A2D38" w:rsidRDefault="005E142C" w:rsidP="006A2D38">
      <w:pPr>
        <w:spacing w:after="200" w:line="360" w:lineRule="auto"/>
        <w:jc w:val="center"/>
        <w:rPr>
          <w:rFonts w:ascii="Times New Roman" w:hAnsi="Times New Roman" w:cs="Times New Roman"/>
          <w:sz w:val="24"/>
          <w:szCs w:val="24"/>
        </w:rPr>
      </w:pPr>
      <w:r w:rsidRPr="005E142C">
        <w:rPr>
          <w:noProof/>
          <w:lang w:eastAsia="pt-BR"/>
        </w:rPr>
        <w:drawing>
          <wp:inline distT="0" distB="0" distL="0" distR="0">
            <wp:extent cx="4029710" cy="2211705"/>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710" cy="2211705"/>
                    </a:xfrm>
                    <a:prstGeom prst="rect">
                      <a:avLst/>
                    </a:prstGeom>
                    <a:noFill/>
                    <a:ln>
                      <a:noFill/>
                    </a:ln>
                  </pic:spPr>
                </pic:pic>
              </a:graphicData>
            </a:graphic>
          </wp:inline>
        </w:drawing>
      </w:r>
    </w:p>
    <w:p w:rsidR="000E665F" w:rsidRPr="00410525" w:rsidRDefault="00995371" w:rsidP="006A2D38">
      <w:pPr>
        <w:spacing w:after="200" w:line="360" w:lineRule="auto"/>
        <w:jc w:val="center"/>
        <w:rPr>
          <w:rFonts w:ascii="Times New Roman" w:hAnsi="Times New Roman" w:cs="Times New Roman"/>
          <w:b/>
          <w:sz w:val="24"/>
          <w:szCs w:val="24"/>
        </w:rPr>
      </w:pPr>
      <w:r w:rsidRPr="00410525">
        <w:rPr>
          <w:rFonts w:ascii="Times New Roman" w:hAnsi="Times New Roman" w:cs="Times New Roman"/>
          <w:b/>
          <w:sz w:val="24"/>
          <w:szCs w:val="24"/>
        </w:rPr>
        <w:t>Tabela 3</w:t>
      </w:r>
      <w:r w:rsidR="00E544AF" w:rsidRPr="00410525">
        <w:rPr>
          <w:rFonts w:ascii="Times New Roman" w:hAnsi="Times New Roman" w:cs="Times New Roman"/>
          <w:b/>
          <w:sz w:val="24"/>
          <w:szCs w:val="24"/>
        </w:rPr>
        <w:t xml:space="preserve"> – Estatísticas Descritivas por nível </w:t>
      </w:r>
      <w:r w:rsidR="007757DF">
        <w:rPr>
          <w:rFonts w:ascii="Times New Roman" w:hAnsi="Times New Roman" w:cs="Times New Roman"/>
          <w:b/>
          <w:sz w:val="24"/>
          <w:szCs w:val="24"/>
        </w:rPr>
        <w:t>E</w:t>
      </w:r>
      <w:r w:rsidR="00E544AF" w:rsidRPr="00410525">
        <w:rPr>
          <w:rFonts w:ascii="Times New Roman" w:hAnsi="Times New Roman" w:cs="Times New Roman"/>
          <w:b/>
          <w:sz w:val="24"/>
          <w:szCs w:val="24"/>
        </w:rPr>
        <w:t>ducacional</w:t>
      </w:r>
    </w:p>
    <w:p w:rsidR="009741D8" w:rsidRDefault="00292BEA" w:rsidP="006A2D38">
      <w:pPr>
        <w:spacing w:after="200" w:line="360" w:lineRule="auto"/>
        <w:jc w:val="center"/>
        <w:rPr>
          <w:rFonts w:ascii="Times New Roman" w:hAnsi="Times New Roman" w:cs="Times New Roman"/>
          <w:sz w:val="24"/>
          <w:szCs w:val="24"/>
        </w:rPr>
      </w:pPr>
      <w:r w:rsidRPr="00292BEA">
        <w:rPr>
          <w:noProof/>
          <w:lang w:eastAsia="pt-BR"/>
        </w:rPr>
        <w:drawing>
          <wp:inline distT="0" distB="0" distL="0" distR="0">
            <wp:extent cx="4253230" cy="241363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230" cy="2413635"/>
                    </a:xfrm>
                    <a:prstGeom prst="rect">
                      <a:avLst/>
                    </a:prstGeom>
                    <a:noFill/>
                    <a:ln>
                      <a:noFill/>
                    </a:ln>
                  </pic:spPr>
                </pic:pic>
              </a:graphicData>
            </a:graphic>
          </wp:inline>
        </w:drawing>
      </w:r>
    </w:p>
    <w:p w:rsidR="009741D8" w:rsidRDefault="009741D8">
      <w:pPr>
        <w:rPr>
          <w:rFonts w:ascii="Times New Roman" w:hAnsi="Times New Roman" w:cs="Times New Roman"/>
          <w:sz w:val="24"/>
          <w:szCs w:val="24"/>
        </w:rPr>
      </w:pPr>
    </w:p>
    <w:p w:rsidR="005A2997" w:rsidRPr="00410525" w:rsidRDefault="005D4FC2" w:rsidP="00410525">
      <w:pPr>
        <w:pStyle w:val="PargrafodaLista"/>
        <w:numPr>
          <w:ilvl w:val="0"/>
          <w:numId w:val="1"/>
        </w:numPr>
        <w:spacing w:after="200" w:line="360" w:lineRule="auto"/>
        <w:ind w:left="714" w:hanging="357"/>
        <w:outlineLvl w:val="0"/>
        <w:rPr>
          <w:rFonts w:ascii="Times New Roman" w:hAnsi="Times New Roman" w:cs="Times New Roman"/>
          <w:b/>
          <w:sz w:val="28"/>
          <w:szCs w:val="28"/>
        </w:rPr>
      </w:pPr>
      <w:r w:rsidRPr="00410525">
        <w:rPr>
          <w:rFonts w:ascii="Times New Roman" w:hAnsi="Times New Roman" w:cs="Times New Roman"/>
          <w:b/>
          <w:sz w:val="28"/>
          <w:szCs w:val="28"/>
        </w:rPr>
        <w:lastRenderedPageBreak/>
        <w:t>Resultados</w:t>
      </w:r>
    </w:p>
    <w:p w:rsidR="00C574FA" w:rsidRPr="00705D1D" w:rsidRDefault="00C574FA" w:rsidP="00705D1D">
      <w:pPr>
        <w:spacing w:after="200" w:line="360" w:lineRule="auto"/>
        <w:ind w:firstLine="709"/>
        <w:jc w:val="both"/>
        <w:outlineLvl w:val="1"/>
        <w:rPr>
          <w:rFonts w:ascii="Times New Roman" w:hAnsi="Times New Roman" w:cs="Times New Roman"/>
          <w:b/>
          <w:sz w:val="24"/>
        </w:rPr>
      </w:pPr>
      <w:r w:rsidRPr="00705D1D">
        <w:rPr>
          <w:rFonts w:ascii="Times New Roman" w:hAnsi="Times New Roman" w:cs="Times New Roman"/>
          <w:b/>
          <w:sz w:val="24"/>
        </w:rPr>
        <w:t>4.1. Importância das Habilidades Latentes</w:t>
      </w:r>
    </w:p>
    <w:p w:rsidR="00314431" w:rsidRDefault="00314431" w:rsidP="00314431">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primeiro lugar, apresentamos um exercício simples para mostrar a importância de se considerar os fatores cognitivo e </w:t>
      </w:r>
      <w:proofErr w:type="spellStart"/>
      <w:r w:rsidR="00002280" w:rsidRPr="005E142C">
        <w:rPr>
          <w:rFonts w:ascii="Times New Roman" w:hAnsi="Times New Roman" w:cs="Times New Roman"/>
          <w:sz w:val="24"/>
          <w:szCs w:val="24"/>
        </w:rPr>
        <w:t>socioemocionais</w:t>
      </w:r>
      <w:proofErr w:type="spellEnd"/>
      <w:r w:rsidR="00002280" w:rsidRPr="005E142C">
        <w:rPr>
          <w:rFonts w:ascii="Times New Roman" w:hAnsi="Times New Roman" w:cs="Times New Roman"/>
          <w:sz w:val="24"/>
          <w:szCs w:val="24"/>
        </w:rPr>
        <w:t xml:space="preserve"> </w:t>
      </w:r>
      <w:r>
        <w:rPr>
          <w:rFonts w:ascii="Times New Roman" w:hAnsi="Times New Roman" w:cs="Times New Roman"/>
          <w:sz w:val="24"/>
          <w:szCs w:val="24"/>
        </w:rPr>
        <w:t>quando se avalia os retornos à educação. E</w:t>
      </w:r>
      <w:r w:rsidRPr="0060583D">
        <w:rPr>
          <w:rFonts w:ascii="Times New Roman" w:hAnsi="Times New Roman" w:cs="Times New Roman"/>
          <w:sz w:val="24"/>
          <w:szCs w:val="24"/>
        </w:rPr>
        <w:t xml:space="preserve">stimamos uma regressão linear simples de </w:t>
      </w:r>
      <w:r>
        <w:rPr>
          <w:rFonts w:ascii="Times New Roman" w:hAnsi="Times New Roman" w:cs="Times New Roman"/>
          <w:sz w:val="24"/>
          <w:szCs w:val="24"/>
        </w:rPr>
        <w:t xml:space="preserve">renda </w:t>
      </w:r>
      <w:r w:rsidRPr="0060583D">
        <w:rPr>
          <w:rFonts w:ascii="Times New Roman" w:hAnsi="Times New Roman" w:cs="Times New Roman"/>
          <w:sz w:val="24"/>
          <w:szCs w:val="24"/>
        </w:rPr>
        <w:t>contra educação utilizando os escores cognitivos e socioemocionais</w:t>
      </w:r>
      <w:r>
        <w:rPr>
          <w:rFonts w:ascii="Times New Roman" w:hAnsi="Times New Roman" w:cs="Times New Roman"/>
          <w:sz w:val="24"/>
          <w:szCs w:val="24"/>
        </w:rPr>
        <w:t xml:space="preserve"> gerais</w:t>
      </w:r>
      <w:r w:rsidRPr="0060583D">
        <w:rPr>
          <w:rFonts w:ascii="Times New Roman" w:hAnsi="Times New Roman" w:cs="Times New Roman"/>
          <w:sz w:val="24"/>
          <w:szCs w:val="24"/>
        </w:rPr>
        <w:t xml:space="preserve"> como v</w:t>
      </w:r>
      <w:r>
        <w:rPr>
          <w:rFonts w:ascii="Times New Roman" w:hAnsi="Times New Roman" w:cs="Times New Roman"/>
          <w:sz w:val="24"/>
          <w:szCs w:val="24"/>
        </w:rPr>
        <w:t>ariável de controle</w:t>
      </w:r>
      <w:r>
        <w:rPr>
          <w:rStyle w:val="Refdenotaderodap"/>
          <w:rFonts w:ascii="Times New Roman" w:hAnsi="Times New Roman" w:cs="Times New Roman"/>
          <w:sz w:val="24"/>
          <w:szCs w:val="24"/>
        </w:rPr>
        <w:footnoteReference w:id="4"/>
      </w:r>
      <w:r>
        <w:rPr>
          <w:rFonts w:ascii="Times New Roman" w:hAnsi="Times New Roman" w:cs="Times New Roman"/>
          <w:sz w:val="24"/>
          <w:szCs w:val="24"/>
        </w:rPr>
        <w:t>, que mostramos na Tabela 4.</w:t>
      </w:r>
    </w:p>
    <w:p w:rsidR="007C27F5" w:rsidRDefault="007C27F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314431" w:rsidRPr="00410525" w:rsidRDefault="00314431" w:rsidP="00314431">
      <w:pPr>
        <w:spacing w:after="200" w:line="360" w:lineRule="auto"/>
        <w:jc w:val="center"/>
        <w:rPr>
          <w:rFonts w:ascii="Times New Roman" w:eastAsiaTheme="minorEastAsia" w:hAnsi="Times New Roman" w:cs="Times New Roman"/>
          <w:b/>
          <w:sz w:val="24"/>
          <w:szCs w:val="24"/>
        </w:rPr>
      </w:pPr>
      <w:r w:rsidRPr="00410525">
        <w:rPr>
          <w:rFonts w:ascii="Times New Roman" w:eastAsiaTheme="minorEastAsia" w:hAnsi="Times New Roman" w:cs="Times New Roman"/>
          <w:b/>
          <w:sz w:val="24"/>
          <w:szCs w:val="24"/>
        </w:rPr>
        <w:lastRenderedPageBreak/>
        <w:t xml:space="preserve">Tabela 4 – </w:t>
      </w:r>
      <w:r w:rsidR="007757DF">
        <w:rPr>
          <w:rFonts w:ascii="Times New Roman" w:eastAsiaTheme="minorEastAsia" w:hAnsi="Times New Roman" w:cs="Times New Roman"/>
          <w:b/>
          <w:sz w:val="24"/>
          <w:szCs w:val="24"/>
        </w:rPr>
        <w:t>Determinantes da Renda – Modelo Simples</w:t>
      </w:r>
    </w:p>
    <w:p w:rsidR="00314431" w:rsidRDefault="00E93D54" w:rsidP="00314431">
      <w:pPr>
        <w:spacing w:after="200" w:line="360" w:lineRule="auto"/>
        <w:jc w:val="center"/>
        <w:rPr>
          <w:rFonts w:ascii="Times New Roman" w:eastAsiaTheme="minorEastAsia" w:hAnsi="Times New Roman" w:cs="Times New Roman"/>
          <w:sz w:val="24"/>
          <w:szCs w:val="24"/>
        </w:rPr>
      </w:pPr>
      <w:r w:rsidRPr="00E93D54">
        <w:rPr>
          <w:noProof/>
          <w:lang w:eastAsia="pt-BR"/>
        </w:rPr>
        <w:drawing>
          <wp:inline distT="0" distB="0" distL="0" distR="0">
            <wp:extent cx="3600000" cy="5882180"/>
            <wp:effectExtent l="0" t="0" r="635"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5882180"/>
                    </a:xfrm>
                    <a:prstGeom prst="rect">
                      <a:avLst/>
                    </a:prstGeom>
                    <a:noFill/>
                    <a:ln>
                      <a:noFill/>
                    </a:ln>
                  </pic:spPr>
                </pic:pic>
              </a:graphicData>
            </a:graphic>
          </wp:inline>
        </w:drawing>
      </w:r>
    </w:p>
    <w:p w:rsidR="00314431" w:rsidRPr="00713C09" w:rsidRDefault="00314431" w:rsidP="00314431">
      <w:pPr>
        <w:spacing w:after="200" w:line="240" w:lineRule="auto"/>
        <w:jc w:val="both"/>
        <w:rPr>
          <w:rFonts w:ascii="Times New Roman" w:eastAsiaTheme="minorEastAsia" w:hAnsi="Times New Roman" w:cs="Times New Roman"/>
          <w:sz w:val="20"/>
          <w:szCs w:val="20"/>
          <w:u w:val="single"/>
        </w:rPr>
      </w:pPr>
      <w:r w:rsidRPr="00713C09">
        <w:rPr>
          <w:rFonts w:ascii="Times New Roman" w:eastAsiaTheme="minorEastAsia" w:hAnsi="Times New Roman" w:cs="Times New Roman"/>
          <w:sz w:val="20"/>
          <w:szCs w:val="20"/>
        </w:rPr>
        <w:t xml:space="preserve">Nota: A base utilizada é o </w:t>
      </w:r>
      <w:proofErr w:type="spellStart"/>
      <w:r w:rsidRPr="00713C09">
        <w:rPr>
          <w:rFonts w:ascii="Times New Roman" w:eastAsiaTheme="minorEastAsia" w:hAnsi="Times New Roman" w:cs="Times New Roman"/>
          <w:sz w:val="20"/>
          <w:szCs w:val="20"/>
        </w:rPr>
        <w:t>Inaf</w:t>
      </w:r>
      <w:proofErr w:type="spellEnd"/>
      <w:r w:rsidRPr="00713C09">
        <w:rPr>
          <w:rFonts w:ascii="Times New Roman" w:eastAsiaTheme="minorEastAsia" w:hAnsi="Times New Roman" w:cs="Times New Roman"/>
          <w:sz w:val="20"/>
          <w:szCs w:val="20"/>
        </w:rPr>
        <w:t xml:space="preserve"> de 2011. ***: p&lt;0,01; **: p&lt;0,05; *: p&lt;0,1. Erros-padrão robustos em parênteses. </w:t>
      </w:r>
      <w:r>
        <w:rPr>
          <w:rFonts w:ascii="Times New Roman" w:eastAsiaTheme="minorEastAsia" w:hAnsi="Times New Roman" w:cs="Times New Roman"/>
          <w:sz w:val="20"/>
          <w:szCs w:val="20"/>
        </w:rPr>
        <w:t>Todas as variáveis foram normalizadas. Coeficientes em termos de desvio padrão.</w:t>
      </w:r>
      <w:r w:rsidRPr="00713C09">
        <w:rPr>
          <w:rFonts w:ascii="Times New Roman" w:eastAsiaTheme="minorEastAsia" w:hAnsi="Times New Roman" w:cs="Times New Roman"/>
          <w:sz w:val="20"/>
          <w:szCs w:val="20"/>
        </w:rPr>
        <w:t xml:space="preserve"> Variáveis Letramento e Numérico são os escores do desempenho do indivíduo no exame aplicado. Computador é variável categórica indicando habilidade com computadores. Abertura, Autoestima e Autogestão são os escores baseados no questionário socioemocional.</w:t>
      </w:r>
    </w:p>
    <w:p w:rsidR="009741D8" w:rsidRDefault="009741D8" w:rsidP="009741D8">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comparação da coluna </w:t>
      </w:r>
      <w:r w:rsidR="00867FFD">
        <w:rPr>
          <w:rFonts w:ascii="Times New Roman" w:hAnsi="Times New Roman" w:cs="Times New Roman"/>
          <w:sz w:val="24"/>
          <w:szCs w:val="24"/>
        </w:rPr>
        <w:t>(</w:t>
      </w:r>
      <w:r>
        <w:rPr>
          <w:rFonts w:ascii="Times New Roman" w:hAnsi="Times New Roman" w:cs="Times New Roman"/>
          <w:sz w:val="24"/>
          <w:szCs w:val="24"/>
        </w:rPr>
        <w:t>1</w:t>
      </w:r>
      <w:r w:rsidR="00867FFD">
        <w:rPr>
          <w:rFonts w:ascii="Times New Roman" w:hAnsi="Times New Roman" w:cs="Times New Roman"/>
          <w:sz w:val="24"/>
          <w:szCs w:val="24"/>
        </w:rPr>
        <w:t>)</w:t>
      </w:r>
      <w:r>
        <w:rPr>
          <w:rFonts w:ascii="Times New Roman" w:hAnsi="Times New Roman" w:cs="Times New Roman"/>
          <w:sz w:val="24"/>
          <w:szCs w:val="24"/>
        </w:rPr>
        <w:t xml:space="preserve"> com as demais mostra que quando não controlamos por habilidades cognitivas e socioemocionais, a</w:t>
      </w:r>
      <w:r w:rsidRPr="00585714">
        <w:rPr>
          <w:rFonts w:ascii="Times New Roman" w:hAnsi="Times New Roman" w:cs="Times New Roman"/>
          <w:sz w:val="24"/>
          <w:szCs w:val="24"/>
        </w:rPr>
        <w:t xml:space="preserve"> variável de educação</w:t>
      </w:r>
      <w:r w:rsidR="00867FFD">
        <w:rPr>
          <w:rFonts w:ascii="Times New Roman" w:hAnsi="Times New Roman" w:cs="Times New Roman"/>
          <w:sz w:val="24"/>
          <w:szCs w:val="24"/>
        </w:rPr>
        <w:t xml:space="preserve"> </w:t>
      </w:r>
      <w:r w:rsidRPr="00585714">
        <w:rPr>
          <w:rFonts w:ascii="Times New Roman" w:hAnsi="Times New Roman" w:cs="Times New Roman"/>
          <w:sz w:val="24"/>
          <w:szCs w:val="24"/>
        </w:rPr>
        <w:t>tem seu valor superestimado por problemas de variável omitida. À medid</w:t>
      </w:r>
      <w:r w:rsidRPr="0060583D">
        <w:rPr>
          <w:rFonts w:ascii="Times New Roman" w:hAnsi="Times New Roman" w:cs="Times New Roman"/>
          <w:sz w:val="24"/>
          <w:szCs w:val="24"/>
        </w:rPr>
        <w:t xml:space="preserve">a que adicionamos essas variáveis, a estimativa do impacto da educação no salário vai caindo e o poder explicativo do modelo vai aumentando, indicando que essas variáveis possuem relevância ao explicar </w:t>
      </w:r>
      <w:r w:rsidR="00867FFD">
        <w:rPr>
          <w:rFonts w:ascii="Times New Roman" w:hAnsi="Times New Roman" w:cs="Times New Roman"/>
          <w:sz w:val="24"/>
          <w:szCs w:val="24"/>
        </w:rPr>
        <w:t>a renda</w:t>
      </w:r>
      <w:r w:rsidRPr="0060583D">
        <w:rPr>
          <w:rFonts w:ascii="Times New Roman" w:hAnsi="Times New Roman" w:cs="Times New Roman"/>
          <w:sz w:val="24"/>
          <w:szCs w:val="24"/>
        </w:rPr>
        <w:t>.</w:t>
      </w:r>
      <w:r>
        <w:rPr>
          <w:rFonts w:ascii="Times New Roman" w:hAnsi="Times New Roman" w:cs="Times New Roman"/>
          <w:sz w:val="24"/>
          <w:szCs w:val="24"/>
        </w:rPr>
        <w:t xml:space="preserve"> Na coluna (4) com todos os controles disponíveis, obtemos que um aumento de um desvio padrão na educação dos </w:t>
      </w:r>
      <w:r>
        <w:rPr>
          <w:rFonts w:ascii="Times New Roman" w:hAnsi="Times New Roman" w:cs="Times New Roman"/>
          <w:sz w:val="24"/>
          <w:szCs w:val="24"/>
        </w:rPr>
        <w:lastRenderedPageBreak/>
        <w:t>indivíduos aumentaria a renda em 0,246 desvio padrão. No entanto, essas regressões sofrem de diversos problemas de identificação.</w:t>
      </w:r>
    </w:p>
    <w:p w:rsidR="00C574FA" w:rsidRPr="00705D1D" w:rsidRDefault="00C574FA" w:rsidP="00705D1D">
      <w:pPr>
        <w:spacing w:after="200" w:line="360" w:lineRule="auto"/>
        <w:ind w:firstLine="709"/>
        <w:jc w:val="both"/>
        <w:outlineLvl w:val="1"/>
        <w:rPr>
          <w:rFonts w:ascii="Times New Roman" w:hAnsi="Times New Roman" w:cs="Times New Roman"/>
          <w:b/>
          <w:sz w:val="24"/>
          <w:szCs w:val="24"/>
        </w:rPr>
      </w:pPr>
      <w:r w:rsidRPr="00705D1D">
        <w:rPr>
          <w:rFonts w:ascii="Times New Roman" w:hAnsi="Times New Roman" w:cs="Times New Roman"/>
          <w:b/>
          <w:sz w:val="24"/>
          <w:szCs w:val="24"/>
        </w:rPr>
        <w:t>4.2. Resultados Principais</w:t>
      </w:r>
    </w:p>
    <w:p w:rsidR="005F30CE" w:rsidRDefault="00957988" w:rsidP="00410525">
      <w:pPr>
        <w:spacing w:after="200" w:line="360" w:lineRule="auto"/>
        <w:ind w:firstLine="709"/>
        <w:jc w:val="both"/>
        <w:rPr>
          <w:rFonts w:ascii="Times New Roman" w:hAnsi="Times New Roman" w:cs="Times New Roman"/>
          <w:sz w:val="24"/>
          <w:szCs w:val="24"/>
        </w:rPr>
      </w:pPr>
      <w:r>
        <w:rPr>
          <w:rFonts w:ascii="Times New Roman" w:hAnsi="Times New Roman" w:cs="Times New Roman"/>
          <w:sz w:val="24"/>
          <w:szCs w:val="24"/>
        </w:rPr>
        <w:t>Nest</w:t>
      </w:r>
      <w:r w:rsidR="00EA05F9" w:rsidRPr="00705D1D">
        <w:rPr>
          <w:rFonts w:ascii="Times New Roman" w:hAnsi="Times New Roman" w:cs="Times New Roman"/>
          <w:sz w:val="24"/>
          <w:szCs w:val="24"/>
        </w:rPr>
        <w:t xml:space="preserve">e </w:t>
      </w:r>
      <w:r>
        <w:rPr>
          <w:rFonts w:ascii="Times New Roman" w:hAnsi="Times New Roman" w:cs="Times New Roman"/>
          <w:sz w:val="24"/>
          <w:szCs w:val="24"/>
        </w:rPr>
        <w:t>estudo</w:t>
      </w:r>
      <w:r w:rsidR="00EA05F9" w:rsidRPr="00705D1D">
        <w:rPr>
          <w:rFonts w:ascii="Times New Roman" w:hAnsi="Times New Roman" w:cs="Times New Roman"/>
          <w:sz w:val="24"/>
          <w:szCs w:val="24"/>
        </w:rPr>
        <w:t xml:space="preserve">, temos dois resultados principais: a estimativa dos </w:t>
      </w:r>
      <w:r w:rsidR="00867FFD">
        <w:rPr>
          <w:rFonts w:ascii="Times New Roman" w:hAnsi="Times New Roman" w:cs="Times New Roman"/>
          <w:sz w:val="24"/>
          <w:szCs w:val="24"/>
        </w:rPr>
        <w:t xml:space="preserve">efeitos diretos dos </w:t>
      </w:r>
      <w:r w:rsidR="00EA05F9" w:rsidRPr="00705D1D">
        <w:rPr>
          <w:rFonts w:ascii="Times New Roman" w:hAnsi="Times New Roman" w:cs="Times New Roman"/>
          <w:sz w:val="24"/>
          <w:szCs w:val="24"/>
        </w:rPr>
        <w:t xml:space="preserve">fatores socioemocional e cognitivo sobre a renda individual, e o efeito médio da entrada no </w:t>
      </w:r>
      <w:r w:rsidR="00867FFD">
        <w:rPr>
          <w:rFonts w:ascii="Times New Roman" w:hAnsi="Times New Roman" w:cs="Times New Roman"/>
          <w:sz w:val="24"/>
          <w:szCs w:val="24"/>
        </w:rPr>
        <w:t>ensino superior</w:t>
      </w:r>
      <w:r w:rsidR="00EA05F9" w:rsidRPr="00705D1D">
        <w:rPr>
          <w:rFonts w:ascii="Times New Roman" w:hAnsi="Times New Roman" w:cs="Times New Roman"/>
          <w:sz w:val="24"/>
          <w:szCs w:val="24"/>
        </w:rPr>
        <w:t xml:space="preserve"> sobre essa mesma renda.</w:t>
      </w:r>
      <w:r w:rsidR="00AD3643">
        <w:rPr>
          <w:rFonts w:ascii="Times New Roman" w:hAnsi="Times New Roman" w:cs="Times New Roman"/>
          <w:sz w:val="24"/>
          <w:szCs w:val="24"/>
        </w:rPr>
        <w:t xml:space="preserve"> </w:t>
      </w:r>
      <w:r w:rsidR="00EA05F9" w:rsidRPr="00705D1D">
        <w:rPr>
          <w:rFonts w:ascii="Times New Roman" w:hAnsi="Times New Roman" w:cs="Times New Roman"/>
          <w:sz w:val="24"/>
          <w:szCs w:val="24"/>
        </w:rPr>
        <w:t xml:space="preserve">O primeiro dos nossos </w:t>
      </w:r>
      <w:r w:rsidR="00785468" w:rsidRPr="00705D1D">
        <w:rPr>
          <w:rFonts w:ascii="Times New Roman" w:hAnsi="Times New Roman" w:cs="Times New Roman"/>
          <w:sz w:val="24"/>
          <w:szCs w:val="24"/>
        </w:rPr>
        <w:t>resultado</w:t>
      </w:r>
      <w:r w:rsidR="00EA05F9" w:rsidRPr="00705D1D">
        <w:rPr>
          <w:rFonts w:ascii="Times New Roman" w:hAnsi="Times New Roman" w:cs="Times New Roman"/>
          <w:sz w:val="24"/>
          <w:szCs w:val="24"/>
        </w:rPr>
        <w:t>s principais</w:t>
      </w:r>
      <w:r w:rsidR="00785468" w:rsidRPr="00705D1D">
        <w:rPr>
          <w:rFonts w:ascii="Times New Roman" w:hAnsi="Times New Roman" w:cs="Times New Roman"/>
          <w:sz w:val="24"/>
          <w:szCs w:val="24"/>
        </w:rPr>
        <w:t xml:space="preserve"> se encontra na Tabela </w:t>
      </w:r>
      <w:r w:rsidR="00A071FE" w:rsidRPr="00705D1D">
        <w:rPr>
          <w:rFonts w:ascii="Times New Roman" w:hAnsi="Times New Roman" w:cs="Times New Roman"/>
          <w:sz w:val="24"/>
          <w:szCs w:val="24"/>
        </w:rPr>
        <w:t>5</w:t>
      </w:r>
      <w:r w:rsidR="00785468" w:rsidRPr="00705D1D">
        <w:rPr>
          <w:rFonts w:ascii="Times New Roman" w:hAnsi="Times New Roman" w:cs="Times New Roman"/>
          <w:sz w:val="24"/>
          <w:szCs w:val="24"/>
        </w:rPr>
        <w:t xml:space="preserve">, que mostra as estimativas dos coeficientes das equações de escolha educacional (equação </w:t>
      </w:r>
      <w:r w:rsidR="00D168C1" w:rsidRPr="00705D1D">
        <w:rPr>
          <w:rFonts w:ascii="Times New Roman" w:hAnsi="Times New Roman" w:cs="Times New Roman"/>
          <w:sz w:val="24"/>
          <w:szCs w:val="24"/>
        </w:rPr>
        <w:t>1)</w:t>
      </w:r>
      <w:r w:rsidR="00785468" w:rsidRPr="00705D1D">
        <w:rPr>
          <w:rFonts w:ascii="Times New Roman" w:hAnsi="Times New Roman" w:cs="Times New Roman"/>
          <w:sz w:val="24"/>
          <w:szCs w:val="24"/>
        </w:rPr>
        <w:t>, e dos efeitos marginais em cada um dos resultados potenciais</w:t>
      </w:r>
      <w:r w:rsidR="00D168C1" w:rsidRPr="00705D1D">
        <w:rPr>
          <w:rFonts w:ascii="Times New Roman" w:hAnsi="Times New Roman" w:cs="Times New Roman"/>
          <w:sz w:val="24"/>
          <w:szCs w:val="24"/>
        </w:rPr>
        <w:t xml:space="preserve"> </w:t>
      </w:r>
      <w:r w:rsidR="00EA05F9" w:rsidRPr="00705D1D">
        <w:rPr>
          <w:rFonts w:ascii="Times New Roman" w:hAnsi="Times New Roman" w:cs="Times New Roman"/>
          <w:sz w:val="24"/>
          <w:szCs w:val="24"/>
        </w:rPr>
        <w:t xml:space="preserve">para a renda individual </w:t>
      </w:r>
      <w:r w:rsidR="00D168C1" w:rsidRPr="00705D1D">
        <w:rPr>
          <w:rFonts w:ascii="Times New Roman" w:hAnsi="Times New Roman" w:cs="Times New Roman"/>
          <w:sz w:val="24"/>
          <w:szCs w:val="24"/>
        </w:rPr>
        <w:t>(equações 2)</w:t>
      </w:r>
      <w:r w:rsidR="00785468" w:rsidRPr="00705D1D">
        <w:rPr>
          <w:rFonts w:ascii="Times New Roman" w:hAnsi="Times New Roman" w:cs="Times New Roman"/>
          <w:sz w:val="24"/>
          <w:szCs w:val="24"/>
        </w:rPr>
        <w:t>.</w:t>
      </w:r>
    </w:p>
    <w:p w:rsidR="000D71F7" w:rsidRPr="000D71F7" w:rsidRDefault="000D71F7" w:rsidP="000D71F7">
      <w:pPr>
        <w:spacing w:after="200" w:line="360" w:lineRule="auto"/>
        <w:ind w:firstLine="709"/>
        <w:jc w:val="both"/>
        <w:rPr>
          <w:rFonts w:ascii="Times New Roman" w:hAnsi="Times New Roman" w:cs="Times New Roman"/>
          <w:sz w:val="24"/>
        </w:rPr>
      </w:pPr>
      <w:r w:rsidRPr="000D71F7">
        <w:rPr>
          <w:rFonts w:ascii="Times New Roman" w:hAnsi="Times New Roman" w:cs="Times New Roman"/>
          <w:sz w:val="24"/>
        </w:rPr>
        <w:t xml:space="preserve">Em primeiro lugar </w:t>
      </w:r>
      <w:r w:rsidR="00262CBD">
        <w:rPr>
          <w:rFonts w:ascii="Times New Roman" w:hAnsi="Times New Roman" w:cs="Times New Roman"/>
          <w:sz w:val="24"/>
        </w:rPr>
        <w:t xml:space="preserve">os indivíduos se auto selecionam para entrar na faculdade com base em ambos os </w:t>
      </w:r>
      <w:r w:rsidRPr="000D71F7">
        <w:rPr>
          <w:rFonts w:ascii="Times New Roman" w:hAnsi="Times New Roman" w:cs="Times New Roman"/>
          <w:sz w:val="24"/>
        </w:rPr>
        <w:t>fatores</w:t>
      </w:r>
      <w:r w:rsidR="00BD1D79">
        <w:rPr>
          <w:rFonts w:ascii="Times New Roman" w:hAnsi="Times New Roman" w:cs="Times New Roman"/>
          <w:sz w:val="24"/>
        </w:rPr>
        <w:t xml:space="preserve"> latentes</w:t>
      </w:r>
      <w:r w:rsidRPr="000D71F7">
        <w:rPr>
          <w:rFonts w:ascii="Times New Roman" w:hAnsi="Times New Roman" w:cs="Times New Roman"/>
          <w:sz w:val="24"/>
        </w:rPr>
        <w:t xml:space="preserve">. Podemos observar que, mantendo as demais características fixas, tanto o fator cognitivo quanto o socioemocional apresentam sinais positivos e significantes para a escolha de entrar no </w:t>
      </w:r>
      <w:r w:rsidR="00867FFD">
        <w:rPr>
          <w:rFonts w:ascii="Times New Roman" w:hAnsi="Times New Roman" w:cs="Times New Roman"/>
          <w:sz w:val="24"/>
        </w:rPr>
        <w:t>ensino superior</w:t>
      </w:r>
      <w:r w:rsidRPr="000D71F7">
        <w:rPr>
          <w:rFonts w:ascii="Times New Roman" w:hAnsi="Times New Roman" w:cs="Times New Roman"/>
          <w:sz w:val="24"/>
        </w:rPr>
        <w:t>.</w:t>
      </w:r>
      <w:r w:rsidR="004E5A20">
        <w:rPr>
          <w:rFonts w:ascii="Times New Roman" w:hAnsi="Times New Roman" w:cs="Times New Roman"/>
          <w:sz w:val="24"/>
        </w:rPr>
        <w:t xml:space="preserve"> Esse resultado é coerente com aqueles obtidos por Heckman et al. (2014), com um modelo de escolha dinâmico, com 5 diferentes níveis educacionais.</w:t>
      </w:r>
    </w:p>
    <w:p w:rsidR="000D71F7" w:rsidRPr="000D71F7" w:rsidRDefault="000D71F7" w:rsidP="000D71F7">
      <w:pPr>
        <w:spacing w:after="200" w:line="360" w:lineRule="auto"/>
        <w:ind w:firstLine="709"/>
        <w:jc w:val="both"/>
        <w:rPr>
          <w:rFonts w:ascii="Times New Roman" w:hAnsi="Times New Roman" w:cs="Times New Roman"/>
          <w:sz w:val="24"/>
        </w:rPr>
      </w:pPr>
      <w:r w:rsidRPr="00AD4306">
        <w:rPr>
          <w:rFonts w:ascii="Times New Roman" w:hAnsi="Times New Roman" w:cs="Times New Roman"/>
          <w:sz w:val="24"/>
        </w:rPr>
        <w:t xml:space="preserve">Já para as estimativas dos efeitos </w:t>
      </w:r>
      <w:r w:rsidR="00CB4B95" w:rsidRPr="00AD4306">
        <w:rPr>
          <w:rFonts w:ascii="Times New Roman" w:hAnsi="Times New Roman" w:cs="Times New Roman"/>
          <w:sz w:val="24"/>
        </w:rPr>
        <w:t xml:space="preserve">diretos dos fatores </w:t>
      </w:r>
      <w:r w:rsidRPr="00AD4306">
        <w:rPr>
          <w:rFonts w:ascii="Times New Roman" w:hAnsi="Times New Roman" w:cs="Times New Roman"/>
          <w:sz w:val="24"/>
        </w:rPr>
        <w:t xml:space="preserve">sobre a renda </w:t>
      </w:r>
      <w:r w:rsidR="00A25CA9" w:rsidRPr="00AD4306">
        <w:rPr>
          <w:rFonts w:ascii="Times New Roman" w:hAnsi="Times New Roman" w:cs="Times New Roman"/>
          <w:sz w:val="24"/>
        </w:rPr>
        <w:t xml:space="preserve">em cada um dos cenários </w:t>
      </w:r>
      <w:proofErr w:type="spellStart"/>
      <w:r w:rsidR="00A25CA9" w:rsidRPr="00AD4306">
        <w:rPr>
          <w:rFonts w:ascii="Times New Roman" w:hAnsi="Times New Roman" w:cs="Times New Roman"/>
          <w:sz w:val="24"/>
        </w:rPr>
        <w:t>contraf</w:t>
      </w:r>
      <w:r w:rsidRPr="00AD4306">
        <w:rPr>
          <w:rFonts w:ascii="Times New Roman" w:hAnsi="Times New Roman" w:cs="Times New Roman"/>
          <w:sz w:val="24"/>
        </w:rPr>
        <w:t>actuais</w:t>
      </w:r>
      <w:proofErr w:type="spellEnd"/>
      <w:r w:rsidRPr="00AD4306">
        <w:rPr>
          <w:rFonts w:ascii="Times New Roman" w:hAnsi="Times New Roman" w:cs="Times New Roman"/>
          <w:sz w:val="24"/>
        </w:rPr>
        <w:t>, há uma diferença dos efeitos em cada um dos estad</w:t>
      </w:r>
      <w:r w:rsidR="00A25CA9" w:rsidRPr="00AD4306">
        <w:rPr>
          <w:rFonts w:ascii="Times New Roman" w:hAnsi="Times New Roman" w:cs="Times New Roman"/>
          <w:sz w:val="24"/>
        </w:rPr>
        <w:t>os.</w:t>
      </w:r>
      <w:r w:rsidR="00A25CA9">
        <w:rPr>
          <w:rFonts w:ascii="Times New Roman" w:hAnsi="Times New Roman" w:cs="Times New Roman"/>
          <w:sz w:val="24"/>
        </w:rPr>
        <w:t xml:space="preserve"> Vemos que no cenário </w:t>
      </w:r>
      <w:proofErr w:type="spellStart"/>
      <w:r w:rsidR="00A25CA9">
        <w:rPr>
          <w:rFonts w:ascii="Times New Roman" w:hAnsi="Times New Roman" w:cs="Times New Roman"/>
          <w:sz w:val="24"/>
        </w:rPr>
        <w:t>contra</w:t>
      </w:r>
      <w:r w:rsidRPr="000D71F7">
        <w:rPr>
          <w:rFonts w:ascii="Times New Roman" w:hAnsi="Times New Roman" w:cs="Times New Roman"/>
          <w:sz w:val="24"/>
        </w:rPr>
        <w:t>factual</w:t>
      </w:r>
      <w:proofErr w:type="spellEnd"/>
      <w:r w:rsidRPr="000D71F7">
        <w:rPr>
          <w:rFonts w:ascii="Times New Roman" w:hAnsi="Times New Roman" w:cs="Times New Roman"/>
          <w:sz w:val="24"/>
        </w:rPr>
        <w:t xml:space="preserve"> em que o indivíduo vai à faculdade, o fator cognitivo importa</w:t>
      </w:r>
      <w:r w:rsidR="009B3280">
        <w:rPr>
          <w:rFonts w:ascii="Times New Roman" w:hAnsi="Times New Roman" w:cs="Times New Roman"/>
          <w:sz w:val="24"/>
        </w:rPr>
        <w:t xml:space="preserve"> mais no que se refere à renda. </w:t>
      </w:r>
      <w:r w:rsidRPr="000D71F7">
        <w:rPr>
          <w:rFonts w:ascii="Times New Roman" w:hAnsi="Times New Roman" w:cs="Times New Roman"/>
          <w:sz w:val="24"/>
        </w:rPr>
        <w:t xml:space="preserve">No entanto, no cenário em que os mesmos indivíduos não vão à faculdade, as </w:t>
      </w:r>
      <w:r w:rsidR="00AD4306">
        <w:rPr>
          <w:rFonts w:ascii="Times New Roman" w:hAnsi="Times New Roman" w:cs="Times New Roman"/>
          <w:sz w:val="24"/>
        </w:rPr>
        <w:t>habilidades socioemocionais tê</w:t>
      </w:r>
      <w:r w:rsidRPr="000D71F7">
        <w:rPr>
          <w:rFonts w:ascii="Times New Roman" w:hAnsi="Times New Roman" w:cs="Times New Roman"/>
          <w:sz w:val="24"/>
        </w:rPr>
        <w:t>m maior peso para a obtenção de uma renda maior.</w:t>
      </w:r>
    </w:p>
    <w:p w:rsidR="000D71F7" w:rsidRPr="000D71F7" w:rsidRDefault="000D71F7" w:rsidP="000D71F7">
      <w:pPr>
        <w:spacing w:after="200" w:line="360" w:lineRule="auto"/>
        <w:ind w:firstLine="709"/>
        <w:jc w:val="both"/>
        <w:rPr>
          <w:rFonts w:ascii="Times New Roman" w:hAnsi="Times New Roman" w:cs="Times New Roman"/>
          <w:sz w:val="24"/>
        </w:rPr>
      </w:pPr>
      <w:r w:rsidRPr="000D71F7">
        <w:rPr>
          <w:rFonts w:ascii="Times New Roman" w:hAnsi="Times New Roman" w:cs="Times New Roman"/>
          <w:sz w:val="24"/>
        </w:rPr>
        <w:t xml:space="preserve">Em relação aos controles </w:t>
      </w:r>
      <w:r w:rsidR="00AD4306">
        <w:rPr>
          <w:rFonts w:ascii="Times New Roman" w:hAnsi="Times New Roman" w:cs="Times New Roman"/>
          <w:sz w:val="24"/>
        </w:rPr>
        <w:t>socioeconômicos, observamos que</w:t>
      </w:r>
      <w:r w:rsidRPr="000D71F7">
        <w:rPr>
          <w:rFonts w:ascii="Times New Roman" w:hAnsi="Times New Roman" w:cs="Times New Roman"/>
          <w:sz w:val="24"/>
        </w:rPr>
        <w:t xml:space="preserve"> a idade aumenta a probabilidade de fazer faculdade e aumenta a renda em qualquer um dos cenários, porém a taxas decrescentes. A variável de cor branca também indica vantagem desses indivíduos em qualquer um desses três resultados. A variável de sexo masculino, no entanto, apresenta sinais opostos em relação à decisão educacional e na determinação da renda, o que reflete a maior propensão das mulheres para continuar os estudos na educação superior, porém a existência da diferença de rendimentos por sexo.</w:t>
      </w:r>
    </w:p>
    <w:p w:rsidR="007C27F5" w:rsidRDefault="007C27F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2D7D8F" w:rsidRDefault="00345396" w:rsidP="00345396">
      <w:pPr>
        <w:spacing w:after="200" w:line="360" w:lineRule="auto"/>
        <w:jc w:val="center"/>
        <w:rPr>
          <w:rFonts w:ascii="Times New Roman" w:eastAsiaTheme="minorEastAsia" w:hAnsi="Times New Roman" w:cs="Times New Roman"/>
          <w:b/>
          <w:sz w:val="24"/>
          <w:szCs w:val="24"/>
        </w:rPr>
      </w:pPr>
      <w:r w:rsidRPr="00410525">
        <w:rPr>
          <w:rFonts w:ascii="Times New Roman" w:eastAsiaTheme="minorEastAsia" w:hAnsi="Times New Roman" w:cs="Times New Roman"/>
          <w:b/>
          <w:sz w:val="24"/>
          <w:szCs w:val="24"/>
        </w:rPr>
        <w:lastRenderedPageBreak/>
        <w:t xml:space="preserve">Tabela 5 – Modelo com escolha educacional </w:t>
      </w:r>
      <w:r w:rsidR="002D7D8F">
        <w:rPr>
          <w:rFonts w:ascii="Times New Roman" w:eastAsiaTheme="minorEastAsia" w:hAnsi="Times New Roman" w:cs="Times New Roman"/>
          <w:b/>
          <w:sz w:val="24"/>
          <w:szCs w:val="24"/>
        </w:rPr>
        <w:t xml:space="preserve"> </w:t>
      </w:r>
    </w:p>
    <w:p w:rsidR="00345396" w:rsidRPr="00736404" w:rsidRDefault="005E142C" w:rsidP="00345396">
      <w:pPr>
        <w:spacing w:after="200" w:line="360" w:lineRule="auto"/>
        <w:jc w:val="center"/>
        <w:rPr>
          <w:rFonts w:ascii="Times New Roman" w:eastAsiaTheme="minorEastAsia" w:hAnsi="Times New Roman" w:cs="Times New Roman"/>
          <w:sz w:val="24"/>
          <w:szCs w:val="24"/>
        </w:rPr>
      </w:pPr>
      <w:r w:rsidRPr="005E142C">
        <w:rPr>
          <w:noProof/>
          <w:lang w:eastAsia="pt-BR"/>
        </w:rPr>
        <w:drawing>
          <wp:inline distT="0" distB="0" distL="0" distR="0">
            <wp:extent cx="2976880" cy="53054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0" cy="5305425"/>
                    </a:xfrm>
                    <a:prstGeom prst="rect">
                      <a:avLst/>
                    </a:prstGeom>
                    <a:noFill/>
                    <a:ln>
                      <a:noFill/>
                    </a:ln>
                  </pic:spPr>
                </pic:pic>
              </a:graphicData>
            </a:graphic>
          </wp:inline>
        </w:drawing>
      </w:r>
    </w:p>
    <w:p w:rsidR="00345396" w:rsidRPr="00713C09" w:rsidRDefault="00345396" w:rsidP="00345396">
      <w:pPr>
        <w:spacing w:after="200" w:line="240" w:lineRule="auto"/>
        <w:jc w:val="both"/>
        <w:rPr>
          <w:rFonts w:ascii="Times New Roman" w:eastAsiaTheme="minorEastAsia" w:hAnsi="Times New Roman" w:cs="Times New Roman"/>
          <w:sz w:val="20"/>
          <w:szCs w:val="20"/>
          <w:u w:val="single"/>
        </w:rPr>
      </w:pPr>
      <w:r w:rsidRPr="00713C09">
        <w:rPr>
          <w:rFonts w:ascii="Times New Roman" w:eastAsiaTheme="minorEastAsia" w:hAnsi="Times New Roman" w:cs="Times New Roman"/>
          <w:sz w:val="20"/>
          <w:szCs w:val="20"/>
        </w:rPr>
        <w:t xml:space="preserve">Nota: A base utilizada é o </w:t>
      </w:r>
      <w:proofErr w:type="spellStart"/>
      <w:r w:rsidRPr="00713C09">
        <w:rPr>
          <w:rFonts w:ascii="Times New Roman" w:eastAsiaTheme="minorEastAsia" w:hAnsi="Times New Roman" w:cs="Times New Roman"/>
          <w:sz w:val="20"/>
          <w:szCs w:val="20"/>
        </w:rPr>
        <w:t>Inaf</w:t>
      </w:r>
      <w:proofErr w:type="spellEnd"/>
      <w:r w:rsidRPr="00713C09">
        <w:rPr>
          <w:rFonts w:ascii="Times New Roman" w:eastAsiaTheme="minorEastAsia" w:hAnsi="Times New Roman" w:cs="Times New Roman"/>
          <w:sz w:val="20"/>
          <w:szCs w:val="20"/>
        </w:rPr>
        <w:t xml:space="preserve"> de 2011. ***: p&lt;0,01; **: p&lt;0,05; *: p&lt;0,1. Erros-padrão robustos em parênteses. </w:t>
      </w:r>
      <w:r>
        <w:rPr>
          <w:rFonts w:ascii="Times New Roman" w:eastAsiaTheme="minorEastAsia" w:hAnsi="Times New Roman" w:cs="Times New Roman"/>
          <w:sz w:val="20"/>
          <w:szCs w:val="20"/>
        </w:rPr>
        <w:t>Modelo fatorial com equação de escolha. Todas as variáveis foram normalizadas, com exceção da variável de escolha (</w:t>
      </w:r>
      <w:r w:rsidR="00867FFD">
        <w:rPr>
          <w:rFonts w:ascii="Times New Roman" w:eastAsiaTheme="minorEastAsia" w:hAnsi="Times New Roman" w:cs="Times New Roman"/>
          <w:sz w:val="20"/>
          <w:szCs w:val="20"/>
        </w:rPr>
        <w:t>ensino superior</w:t>
      </w:r>
      <w:r>
        <w:rPr>
          <w:rFonts w:ascii="Times New Roman" w:eastAsiaTheme="minorEastAsia" w:hAnsi="Times New Roman" w:cs="Times New Roman"/>
          <w:sz w:val="20"/>
          <w:szCs w:val="20"/>
        </w:rPr>
        <w:t xml:space="preserve">). Coeficientes em termos de desvio padrão. Fator socioemocional é definido pelos escores de Abertura, Autoestima e Autogestão. Fator Cognitivo é definido pelo escore de Letramento, </w:t>
      </w:r>
      <w:proofErr w:type="spellStart"/>
      <w:r>
        <w:rPr>
          <w:rFonts w:ascii="Times New Roman" w:eastAsiaTheme="minorEastAsia" w:hAnsi="Times New Roman" w:cs="Times New Roman"/>
          <w:sz w:val="20"/>
          <w:szCs w:val="20"/>
        </w:rPr>
        <w:t>Numeramento</w:t>
      </w:r>
      <w:proofErr w:type="spellEnd"/>
      <w:r>
        <w:rPr>
          <w:rFonts w:ascii="Times New Roman" w:eastAsiaTheme="minorEastAsia" w:hAnsi="Times New Roman" w:cs="Times New Roman"/>
          <w:sz w:val="20"/>
          <w:szCs w:val="20"/>
        </w:rPr>
        <w:t xml:space="preserve"> e</w:t>
      </w:r>
      <w:r w:rsidR="001A209C">
        <w:rPr>
          <w:rFonts w:ascii="Times New Roman" w:eastAsiaTheme="minorEastAsia" w:hAnsi="Times New Roman" w:cs="Times New Roman"/>
          <w:sz w:val="20"/>
          <w:szCs w:val="20"/>
        </w:rPr>
        <w:t xml:space="preserve"> Habilidade com computadores. A coluna</w:t>
      </w:r>
      <w:r>
        <w:rPr>
          <w:rFonts w:ascii="Times New Roman" w:eastAsiaTheme="minorEastAsia" w:hAnsi="Times New Roman" w:cs="Times New Roman"/>
          <w:sz w:val="20"/>
          <w:szCs w:val="20"/>
        </w:rPr>
        <w:t xml:space="preserve"> (1) </w:t>
      </w:r>
      <w:r w:rsidR="001A209C">
        <w:rPr>
          <w:rFonts w:ascii="Times New Roman" w:eastAsiaTheme="minorEastAsia" w:hAnsi="Times New Roman" w:cs="Times New Roman"/>
          <w:sz w:val="20"/>
          <w:szCs w:val="20"/>
        </w:rPr>
        <w:t>apresenta</w:t>
      </w:r>
      <w:r>
        <w:rPr>
          <w:rFonts w:ascii="Times New Roman" w:eastAsiaTheme="minorEastAsia" w:hAnsi="Times New Roman" w:cs="Times New Roman"/>
          <w:sz w:val="20"/>
          <w:szCs w:val="20"/>
        </w:rPr>
        <w:t xml:space="preserve"> os resultados da equação de escolha de ingresso no </w:t>
      </w:r>
      <w:r w:rsidR="00867FFD">
        <w:rPr>
          <w:rFonts w:ascii="Times New Roman" w:eastAsiaTheme="minorEastAsia" w:hAnsi="Times New Roman" w:cs="Times New Roman"/>
          <w:sz w:val="20"/>
          <w:szCs w:val="20"/>
        </w:rPr>
        <w:t>ensino superior</w:t>
      </w:r>
      <w:r w:rsidR="001A209C">
        <w:rPr>
          <w:rFonts w:ascii="Times New Roman" w:eastAsiaTheme="minorEastAsia" w:hAnsi="Times New Roman" w:cs="Times New Roman"/>
          <w:sz w:val="20"/>
          <w:szCs w:val="20"/>
        </w:rPr>
        <w:t>. As colunas (2) e (3</w:t>
      </w:r>
      <w:r>
        <w:rPr>
          <w:rFonts w:ascii="Times New Roman" w:eastAsiaTheme="minorEastAsia" w:hAnsi="Times New Roman" w:cs="Times New Roman"/>
          <w:sz w:val="20"/>
          <w:szCs w:val="20"/>
        </w:rPr>
        <w:t>) mostram as estimativas do modelo</w:t>
      </w:r>
      <w:r w:rsidR="009763E2">
        <w:rPr>
          <w:rFonts w:ascii="Times New Roman" w:eastAsiaTheme="minorEastAsia" w:hAnsi="Times New Roman" w:cs="Times New Roman"/>
          <w:sz w:val="20"/>
          <w:szCs w:val="20"/>
        </w:rPr>
        <w:t>, respectivamente,</w:t>
      </w:r>
      <w:r>
        <w:rPr>
          <w:rFonts w:ascii="Times New Roman" w:eastAsiaTheme="minorEastAsia" w:hAnsi="Times New Roman" w:cs="Times New Roman"/>
          <w:sz w:val="20"/>
          <w:szCs w:val="20"/>
        </w:rPr>
        <w:t xml:space="preserve"> para o grupo de Tratados (ingressos no </w:t>
      </w:r>
      <w:r w:rsidR="00867FFD">
        <w:rPr>
          <w:rFonts w:ascii="Times New Roman" w:eastAsiaTheme="minorEastAsia" w:hAnsi="Times New Roman" w:cs="Times New Roman"/>
          <w:sz w:val="20"/>
          <w:szCs w:val="20"/>
        </w:rPr>
        <w:t>ensino superior</w:t>
      </w:r>
      <w:r>
        <w:rPr>
          <w:rFonts w:ascii="Times New Roman" w:eastAsiaTheme="minorEastAsia" w:hAnsi="Times New Roman" w:cs="Times New Roman"/>
          <w:sz w:val="20"/>
          <w:szCs w:val="20"/>
        </w:rPr>
        <w:t>) e para o grupo de Não-Tratados.</w:t>
      </w:r>
    </w:p>
    <w:p w:rsidR="00D76535" w:rsidRDefault="00585466" w:rsidP="00410525">
      <w:pPr>
        <w:spacing w:after="200" w:line="360" w:lineRule="auto"/>
        <w:ind w:firstLine="709"/>
        <w:jc w:val="both"/>
        <w:rPr>
          <w:rFonts w:ascii="Times New Roman" w:hAnsi="Times New Roman" w:cs="Times New Roman"/>
          <w:sz w:val="24"/>
        </w:rPr>
      </w:pPr>
      <w:r w:rsidRPr="000D71F7">
        <w:rPr>
          <w:rFonts w:ascii="Times New Roman" w:hAnsi="Times New Roman" w:cs="Times New Roman"/>
          <w:sz w:val="24"/>
        </w:rPr>
        <w:t xml:space="preserve">Para testar quais dos aspectos do fator socioemocional possuem mais importância individualmente, é possível considerar cada </w:t>
      </w:r>
      <w:r w:rsidR="00D76535" w:rsidRPr="000D71F7">
        <w:rPr>
          <w:rFonts w:ascii="Times New Roman" w:hAnsi="Times New Roman" w:cs="Times New Roman"/>
          <w:sz w:val="24"/>
        </w:rPr>
        <w:t xml:space="preserve">dimensão captada pelos </w:t>
      </w:r>
      <w:r w:rsidRPr="000D71F7">
        <w:rPr>
          <w:rFonts w:ascii="Times New Roman" w:hAnsi="Times New Roman" w:cs="Times New Roman"/>
          <w:sz w:val="24"/>
        </w:rPr>
        <w:t>escore</w:t>
      </w:r>
      <w:r w:rsidR="00D76535" w:rsidRPr="000D71F7">
        <w:rPr>
          <w:rFonts w:ascii="Times New Roman" w:hAnsi="Times New Roman" w:cs="Times New Roman"/>
          <w:sz w:val="24"/>
        </w:rPr>
        <w:t>s</w:t>
      </w:r>
      <w:r w:rsidRPr="000D71F7">
        <w:rPr>
          <w:rFonts w:ascii="Times New Roman" w:hAnsi="Times New Roman" w:cs="Times New Roman"/>
          <w:sz w:val="24"/>
        </w:rPr>
        <w:t xml:space="preserve"> usado para determina-lo (Abertura, Autogestão e Autoestima), como um fator separado</w:t>
      </w:r>
      <w:r w:rsidR="00D76535" w:rsidRPr="000D71F7">
        <w:rPr>
          <w:rFonts w:ascii="Times New Roman" w:hAnsi="Times New Roman" w:cs="Times New Roman"/>
          <w:sz w:val="24"/>
        </w:rPr>
        <w:t xml:space="preserve">, o que mostramos </w:t>
      </w:r>
      <w:r w:rsidR="00A071FE" w:rsidRPr="000D71F7">
        <w:rPr>
          <w:rFonts w:ascii="Times New Roman" w:hAnsi="Times New Roman" w:cs="Times New Roman"/>
          <w:sz w:val="24"/>
        </w:rPr>
        <w:t>na Tabela 6</w:t>
      </w:r>
      <w:r w:rsidR="00D76535" w:rsidRPr="000D71F7">
        <w:rPr>
          <w:rFonts w:ascii="Times New Roman" w:hAnsi="Times New Roman" w:cs="Times New Roman"/>
          <w:sz w:val="24"/>
        </w:rPr>
        <w:t>.</w:t>
      </w:r>
    </w:p>
    <w:p w:rsidR="000D71F7" w:rsidRPr="000D71F7" w:rsidRDefault="000D71F7" w:rsidP="000D71F7">
      <w:pPr>
        <w:spacing w:after="200" w:line="360" w:lineRule="auto"/>
        <w:ind w:firstLine="709"/>
        <w:jc w:val="both"/>
        <w:rPr>
          <w:rFonts w:ascii="Times New Roman" w:hAnsi="Times New Roman" w:cs="Times New Roman"/>
          <w:sz w:val="24"/>
        </w:rPr>
      </w:pPr>
      <w:r w:rsidRPr="000D71F7">
        <w:rPr>
          <w:rFonts w:ascii="Times New Roman" w:hAnsi="Times New Roman" w:cs="Times New Roman"/>
          <w:sz w:val="24"/>
        </w:rPr>
        <w:t xml:space="preserve">Olhando para as três variáveis socioemocionais, percebemos que, quando consideradas individualmente, elas não possuem muita relevância em nenhum caso. O fator cognitivo </w:t>
      </w:r>
      <w:r w:rsidRPr="000D71F7">
        <w:rPr>
          <w:rFonts w:ascii="Times New Roman" w:hAnsi="Times New Roman" w:cs="Times New Roman"/>
          <w:sz w:val="24"/>
        </w:rPr>
        <w:lastRenderedPageBreak/>
        <w:t xml:space="preserve">apresenta magnitude e sinais similares nas três especificações. De modo geral, este fator parece ser mais importante na contribuição para o salário no grupo mais educado, e muito importante na decisão educacional. </w:t>
      </w:r>
    </w:p>
    <w:p w:rsidR="00223787" w:rsidRPr="00410525" w:rsidRDefault="00223787" w:rsidP="00410525">
      <w:pPr>
        <w:spacing w:after="200" w:line="360" w:lineRule="auto"/>
        <w:jc w:val="center"/>
        <w:rPr>
          <w:rFonts w:ascii="Times New Roman" w:hAnsi="Times New Roman" w:cs="Times New Roman"/>
          <w:b/>
          <w:sz w:val="24"/>
          <w:szCs w:val="24"/>
        </w:rPr>
      </w:pPr>
      <w:r w:rsidRPr="00410525">
        <w:rPr>
          <w:rFonts w:ascii="Times New Roman" w:hAnsi="Times New Roman" w:cs="Times New Roman"/>
          <w:b/>
          <w:sz w:val="24"/>
          <w:szCs w:val="24"/>
        </w:rPr>
        <w:t xml:space="preserve">Tabela 6 – Modelo com escolha educacional </w:t>
      </w:r>
      <w:r w:rsidR="007757DF">
        <w:rPr>
          <w:rFonts w:ascii="Times New Roman" w:hAnsi="Times New Roman" w:cs="Times New Roman"/>
          <w:b/>
          <w:sz w:val="24"/>
          <w:szCs w:val="24"/>
        </w:rPr>
        <w:t>- F</w:t>
      </w:r>
      <w:r w:rsidRPr="00410525">
        <w:rPr>
          <w:rFonts w:ascii="Times New Roman" w:hAnsi="Times New Roman" w:cs="Times New Roman"/>
          <w:b/>
          <w:sz w:val="24"/>
          <w:szCs w:val="24"/>
        </w:rPr>
        <w:t>ator</w:t>
      </w:r>
      <w:r w:rsidR="007757DF">
        <w:rPr>
          <w:rFonts w:ascii="Times New Roman" w:hAnsi="Times New Roman" w:cs="Times New Roman"/>
          <w:b/>
          <w:sz w:val="24"/>
          <w:szCs w:val="24"/>
        </w:rPr>
        <w:t>es</w:t>
      </w:r>
      <w:r w:rsidRPr="00410525">
        <w:rPr>
          <w:rFonts w:ascii="Times New Roman" w:hAnsi="Times New Roman" w:cs="Times New Roman"/>
          <w:b/>
          <w:sz w:val="24"/>
          <w:szCs w:val="24"/>
        </w:rPr>
        <w:t xml:space="preserve"> socioemociona</w:t>
      </w:r>
      <w:r w:rsidR="007757DF">
        <w:rPr>
          <w:rFonts w:ascii="Times New Roman" w:hAnsi="Times New Roman" w:cs="Times New Roman"/>
          <w:b/>
          <w:sz w:val="24"/>
          <w:szCs w:val="24"/>
        </w:rPr>
        <w:t>is</w:t>
      </w:r>
      <w:r w:rsidRPr="00410525">
        <w:rPr>
          <w:rFonts w:ascii="Times New Roman" w:hAnsi="Times New Roman" w:cs="Times New Roman"/>
          <w:b/>
          <w:sz w:val="24"/>
          <w:szCs w:val="24"/>
        </w:rPr>
        <w:t xml:space="preserve"> desagregado</w:t>
      </w:r>
      <w:r w:rsidR="007757DF">
        <w:rPr>
          <w:rFonts w:ascii="Times New Roman" w:hAnsi="Times New Roman" w:cs="Times New Roman"/>
          <w:b/>
          <w:sz w:val="24"/>
          <w:szCs w:val="24"/>
        </w:rPr>
        <w:t>s</w:t>
      </w:r>
    </w:p>
    <w:p w:rsidR="00223787" w:rsidRDefault="007C27F5" w:rsidP="00410525">
      <w:pPr>
        <w:spacing w:after="200" w:line="360" w:lineRule="auto"/>
        <w:ind w:firstLine="709"/>
        <w:jc w:val="center"/>
        <w:rPr>
          <w:rFonts w:ascii="Times New Roman" w:hAnsi="Times New Roman" w:cs="Times New Roman"/>
        </w:rPr>
      </w:pPr>
      <w:r w:rsidRPr="007C27F5">
        <w:rPr>
          <w:noProof/>
          <w:lang w:eastAsia="pt-BR"/>
        </w:rPr>
        <w:drawing>
          <wp:inline distT="0" distB="0" distL="0" distR="0">
            <wp:extent cx="3519170" cy="5805170"/>
            <wp:effectExtent l="0" t="0" r="508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9170" cy="5805170"/>
                    </a:xfrm>
                    <a:prstGeom prst="rect">
                      <a:avLst/>
                    </a:prstGeom>
                    <a:noFill/>
                    <a:ln>
                      <a:noFill/>
                    </a:ln>
                  </pic:spPr>
                </pic:pic>
              </a:graphicData>
            </a:graphic>
          </wp:inline>
        </w:drawing>
      </w:r>
    </w:p>
    <w:p w:rsidR="00223787" w:rsidRDefault="00223787" w:rsidP="00410525">
      <w:pPr>
        <w:spacing w:after="200" w:line="240" w:lineRule="auto"/>
        <w:jc w:val="both"/>
        <w:rPr>
          <w:rFonts w:ascii="Times New Roman" w:hAnsi="Times New Roman" w:cs="Times New Roman"/>
        </w:rPr>
      </w:pPr>
      <w:r w:rsidRPr="00713C09">
        <w:rPr>
          <w:rFonts w:ascii="Times New Roman" w:eastAsiaTheme="minorEastAsia" w:hAnsi="Times New Roman" w:cs="Times New Roman"/>
          <w:sz w:val="20"/>
          <w:szCs w:val="20"/>
        </w:rPr>
        <w:t xml:space="preserve">Nota: A base utilizada é o </w:t>
      </w:r>
      <w:proofErr w:type="spellStart"/>
      <w:r w:rsidRPr="00713C09">
        <w:rPr>
          <w:rFonts w:ascii="Times New Roman" w:eastAsiaTheme="minorEastAsia" w:hAnsi="Times New Roman" w:cs="Times New Roman"/>
          <w:sz w:val="20"/>
          <w:szCs w:val="20"/>
        </w:rPr>
        <w:t>Inaf</w:t>
      </w:r>
      <w:proofErr w:type="spellEnd"/>
      <w:r w:rsidRPr="00713C09">
        <w:rPr>
          <w:rFonts w:ascii="Times New Roman" w:eastAsiaTheme="minorEastAsia" w:hAnsi="Times New Roman" w:cs="Times New Roman"/>
          <w:sz w:val="20"/>
          <w:szCs w:val="20"/>
        </w:rPr>
        <w:t xml:space="preserve"> de 2011.</w:t>
      </w:r>
      <w:r w:rsidR="00F56C69">
        <w:rPr>
          <w:rFonts w:ascii="Times New Roman" w:eastAsiaTheme="minorEastAsia" w:hAnsi="Times New Roman" w:cs="Times New Roman"/>
          <w:sz w:val="20"/>
          <w:szCs w:val="20"/>
        </w:rPr>
        <w:t xml:space="preserve"> Significância:</w:t>
      </w:r>
      <w:r w:rsidRPr="00713C09">
        <w:rPr>
          <w:rFonts w:ascii="Times New Roman" w:eastAsiaTheme="minorEastAsia" w:hAnsi="Times New Roman" w:cs="Times New Roman"/>
          <w:sz w:val="20"/>
          <w:szCs w:val="20"/>
        </w:rPr>
        <w:t xml:space="preserve"> ***: p&lt;0,01; **: p&lt;0,05; *: p&lt;0,1. Erros-padrão robustos em parênteses. </w:t>
      </w:r>
      <w:r w:rsidR="00F56C69">
        <w:rPr>
          <w:rFonts w:ascii="Times New Roman" w:eastAsiaTheme="minorEastAsia" w:hAnsi="Times New Roman" w:cs="Times New Roman"/>
          <w:sz w:val="20"/>
          <w:szCs w:val="20"/>
        </w:rPr>
        <w:t xml:space="preserve">Modelo de </w:t>
      </w:r>
      <w:r>
        <w:rPr>
          <w:rFonts w:ascii="Times New Roman" w:eastAsiaTheme="minorEastAsia" w:hAnsi="Times New Roman" w:cs="Times New Roman"/>
          <w:sz w:val="20"/>
          <w:szCs w:val="20"/>
        </w:rPr>
        <w:t xml:space="preserve">4 fatores com equação de escolha. Fatores Abertura, Autogestão e Autoestima são definidos pelos escores puros provenientes de questionário aplicado. Fator Cognitivo é definido pelo escore de Letramento, </w:t>
      </w:r>
      <w:proofErr w:type="spellStart"/>
      <w:r>
        <w:rPr>
          <w:rFonts w:ascii="Times New Roman" w:eastAsiaTheme="minorEastAsia" w:hAnsi="Times New Roman" w:cs="Times New Roman"/>
          <w:sz w:val="20"/>
          <w:szCs w:val="20"/>
        </w:rPr>
        <w:t>Numeramento</w:t>
      </w:r>
      <w:proofErr w:type="spellEnd"/>
      <w:r>
        <w:rPr>
          <w:rFonts w:ascii="Times New Roman" w:eastAsiaTheme="minorEastAsia" w:hAnsi="Times New Roman" w:cs="Times New Roman"/>
          <w:sz w:val="20"/>
          <w:szCs w:val="20"/>
        </w:rPr>
        <w:t xml:space="preserve"> e Habilidade com computadores. A</w:t>
      </w:r>
      <w:r w:rsidR="00F56C69">
        <w:rPr>
          <w:rFonts w:ascii="Times New Roman" w:eastAsiaTheme="minorEastAsia" w:hAnsi="Times New Roman" w:cs="Times New Roman"/>
          <w:sz w:val="20"/>
          <w:szCs w:val="20"/>
        </w:rPr>
        <w:t xml:space="preserve"> coluna</w:t>
      </w:r>
      <w:r>
        <w:rPr>
          <w:rFonts w:ascii="Times New Roman" w:eastAsiaTheme="minorEastAsia" w:hAnsi="Times New Roman" w:cs="Times New Roman"/>
          <w:sz w:val="20"/>
          <w:szCs w:val="20"/>
        </w:rPr>
        <w:t xml:space="preserve"> (1)</w:t>
      </w:r>
      <w:r w:rsidR="00F56C69">
        <w:rPr>
          <w:rFonts w:ascii="Times New Roman" w:eastAsiaTheme="minorEastAsia" w:hAnsi="Times New Roman" w:cs="Times New Roman"/>
          <w:sz w:val="20"/>
          <w:szCs w:val="20"/>
        </w:rPr>
        <w:t xml:space="preserve"> apresenta</w:t>
      </w:r>
      <w:r>
        <w:rPr>
          <w:rFonts w:ascii="Times New Roman" w:eastAsiaTheme="minorEastAsia" w:hAnsi="Times New Roman" w:cs="Times New Roman"/>
          <w:sz w:val="20"/>
          <w:szCs w:val="20"/>
        </w:rPr>
        <w:t xml:space="preserve"> os resultados da equação de escolha de</w:t>
      </w:r>
      <w:r w:rsidR="00F56C69">
        <w:rPr>
          <w:rFonts w:ascii="Times New Roman" w:eastAsiaTheme="minorEastAsia" w:hAnsi="Times New Roman" w:cs="Times New Roman"/>
          <w:sz w:val="20"/>
          <w:szCs w:val="20"/>
        </w:rPr>
        <w:t xml:space="preserve"> ingresso no </w:t>
      </w:r>
      <w:r w:rsidR="00867FFD">
        <w:rPr>
          <w:rFonts w:ascii="Times New Roman" w:eastAsiaTheme="minorEastAsia" w:hAnsi="Times New Roman" w:cs="Times New Roman"/>
          <w:sz w:val="20"/>
          <w:szCs w:val="20"/>
        </w:rPr>
        <w:t>ensino superior</w:t>
      </w:r>
      <w:r w:rsidR="00F56C69">
        <w:rPr>
          <w:rFonts w:ascii="Times New Roman" w:eastAsiaTheme="minorEastAsia" w:hAnsi="Times New Roman" w:cs="Times New Roman"/>
          <w:sz w:val="20"/>
          <w:szCs w:val="20"/>
        </w:rPr>
        <w:t>. As colunas</w:t>
      </w:r>
      <w:r>
        <w:rPr>
          <w:rFonts w:ascii="Times New Roman" w:eastAsiaTheme="minorEastAsia" w:hAnsi="Times New Roman" w:cs="Times New Roman"/>
          <w:sz w:val="20"/>
          <w:szCs w:val="20"/>
        </w:rPr>
        <w:t xml:space="preserve"> (2)</w:t>
      </w:r>
      <w:r w:rsidR="00F56C69">
        <w:rPr>
          <w:rFonts w:ascii="Times New Roman" w:eastAsiaTheme="minorEastAsia" w:hAnsi="Times New Roman" w:cs="Times New Roman"/>
          <w:sz w:val="20"/>
          <w:szCs w:val="20"/>
        </w:rPr>
        <w:t xml:space="preserve"> e (3) mostram</w:t>
      </w:r>
      <w:r>
        <w:rPr>
          <w:rFonts w:ascii="Times New Roman" w:eastAsiaTheme="minorEastAsia" w:hAnsi="Times New Roman" w:cs="Times New Roman"/>
          <w:sz w:val="20"/>
          <w:szCs w:val="20"/>
        </w:rPr>
        <w:t xml:space="preserve"> as estimativas do modelo</w:t>
      </w:r>
      <w:r w:rsidR="00F56C69">
        <w:rPr>
          <w:rFonts w:ascii="Times New Roman" w:eastAsiaTheme="minorEastAsia" w:hAnsi="Times New Roman" w:cs="Times New Roman"/>
          <w:sz w:val="20"/>
          <w:szCs w:val="20"/>
        </w:rPr>
        <w:t>, respectivamente,</w:t>
      </w:r>
      <w:r>
        <w:rPr>
          <w:rFonts w:ascii="Times New Roman" w:eastAsiaTheme="minorEastAsia" w:hAnsi="Times New Roman" w:cs="Times New Roman"/>
          <w:sz w:val="20"/>
          <w:szCs w:val="20"/>
        </w:rPr>
        <w:t xml:space="preserve"> para o grupo de Tratados (in</w:t>
      </w:r>
      <w:r w:rsidR="00F56C69">
        <w:rPr>
          <w:rFonts w:ascii="Times New Roman" w:eastAsiaTheme="minorEastAsia" w:hAnsi="Times New Roman" w:cs="Times New Roman"/>
          <w:sz w:val="20"/>
          <w:szCs w:val="20"/>
        </w:rPr>
        <w:t xml:space="preserve">gressos no </w:t>
      </w:r>
      <w:r w:rsidR="00867FFD">
        <w:rPr>
          <w:rFonts w:ascii="Times New Roman" w:eastAsiaTheme="minorEastAsia" w:hAnsi="Times New Roman" w:cs="Times New Roman"/>
          <w:sz w:val="20"/>
          <w:szCs w:val="20"/>
        </w:rPr>
        <w:t>ensino superior</w:t>
      </w:r>
      <w:r w:rsidR="00F56C69">
        <w:rPr>
          <w:rFonts w:ascii="Times New Roman" w:eastAsiaTheme="minorEastAsia" w:hAnsi="Times New Roman" w:cs="Times New Roman"/>
          <w:sz w:val="20"/>
          <w:szCs w:val="20"/>
        </w:rPr>
        <w:t xml:space="preserve">) e </w:t>
      </w:r>
      <w:r>
        <w:rPr>
          <w:rFonts w:ascii="Times New Roman" w:eastAsiaTheme="minorEastAsia" w:hAnsi="Times New Roman" w:cs="Times New Roman"/>
          <w:sz w:val="20"/>
          <w:szCs w:val="20"/>
        </w:rPr>
        <w:t>para o grupo de Não-Tratados.</w:t>
      </w:r>
    </w:p>
    <w:p w:rsidR="007C27F5" w:rsidRPr="000D71F7" w:rsidRDefault="007C27F5" w:rsidP="007C27F5">
      <w:pPr>
        <w:spacing w:after="200" w:line="360" w:lineRule="auto"/>
        <w:ind w:firstLine="709"/>
        <w:jc w:val="both"/>
        <w:rPr>
          <w:rFonts w:ascii="Times New Roman" w:hAnsi="Times New Roman" w:cs="Times New Roman"/>
          <w:sz w:val="24"/>
        </w:rPr>
      </w:pPr>
      <w:r w:rsidRPr="000D71F7">
        <w:rPr>
          <w:rFonts w:ascii="Times New Roman" w:hAnsi="Times New Roman" w:cs="Times New Roman"/>
          <w:sz w:val="24"/>
        </w:rPr>
        <w:t xml:space="preserve">Nosso segundo resultado principal é propriamente o efeito médio de se fazer o </w:t>
      </w:r>
      <w:r>
        <w:rPr>
          <w:rFonts w:ascii="Times New Roman" w:hAnsi="Times New Roman" w:cs="Times New Roman"/>
          <w:sz w:val="24"/>
        </w:rPr>
        <w:t>ensino superior</w:t>
      </w:r>
      <w:r w:rsidRPr="000D71F7">
        <w:rPr>
          <w:rFonts w:ascii="Times New Roman" w:hAnsi="Times New Roman" w:cs="Times New Roman"/>
          <w:sz w:val="24"/>
        </w:rPr>
        <w:t xml:space="preserve"> sobre a renda, ou efeito médio do tratamento (ATE), levando em consideração que </w:t>
      </w:r>
      <w:r w:rsidRPr="000D71F7">
        <w:rPr>
          <w:rFonts w:ascii="Times New Roman" w:hAnsi="Times New Roman" w:cs="Times New Roman"/>
          <w:sz w:val="24"/>
        </w:rPr>
        <w:lastRenderedPageBreak/>
        <w:t xml:space="preserve">esse estado é resultado de uma escolha do indivíduo e os efeitos das habilidades latentes. Mostramos esses resultados na Figura 1. Como possuímos a estimativa das distribuições marginais dos fatores, basta calcular o valor previsto da variável dependente para a equação de tratado e não tratado (equações 2) e fazer a diferença de médias. Podemos também calcular esse impacto pelos grupos definidos pelos </w:t>
      </w:r>
      <w:proofErr w:type="spellStart"/>
      <w:r w:rsidRPr="000D71F7">
        <w:rPr>
          <w:rFonts w:ascii="Times New Roman" w:hAnsi="Times New Roman" w:cs="Times New Roman"/>
          <w:sz w:val="24"/>
        </w:rPr>
        <w:t>decis</w:t>
      </w:r>
      <w:proofErr w:type="spellEnd"/>
      <w:r w:rsidRPr="000D71F7">
        <w:rPr>
          <w:rFonts w:ascii="Times New Roman" w:hAnsi="Times New Roman" w:cs="Times New Roman"/>
          <w:sz w:val="24"/>
        </w:rPr>
        <w:t xml:space="preserve"> (também chamados de décimos) de cada um dos fatores.</w:t>
      </w:r>
    </w:p>
    <w:p w:rsidR="00C574FA" w:rsidRPr="000D71F7" w:rsidRDefault="00D76535" w:rsidP="00C574FA">
      <w:pPr>
        <w:spacing w:after="200" w:line="360" w:lineRule="auto"/>
        <w:ind w:firstLine="709"/>
        <w:jc w:val="both"/>
        <w:rPr>
          <w:rFonts w:ascii="Times New Roman" w:hAnsi="Times New Roman" w:cs="Times New Roman"/>
          <w:sz w:val="24"/>
        </w:rPr>
      </w:pPr>
      <w:r w:rsidRPr="000D71F7">
        <w:rPr>
          <w:rFonts w:ascii="Times New Roman" w:hAnsi="Times New Roman" w:cs="Times New Roman"/>
          <w:sz w:val="24"/>
        </w:rPr>
        <w:t xml:space="preserve">Por limitações do código, precisamos manter 3 escores para cada fator para podermos obter essas estimativas, além de nos limitarmos a apenas 2 </w:t>
      </w:r>
      <w:r w:rsidRPr="008112FC">
        <w:rPr>
          <w:rFonts w:ascii="Times New Roman" w:hAnsi="Times New Roman" w:cs="Times New Roman"/>
          <w:sz w:val="24"/>
        </w:rPr>
        <w:t>fatores</w:t>
      </w:r>
      <w:r w:rsidR="008B06DD" w:rsidRPr="008112FC">
        <w:rPr>
          <w:rFonts w:ascii="Times New Roman" w:hAnsi="Times New Roman" w:cs="Times New Roman"/>
          <w:sz w:val="24"/>
        </w:rPr>
        <w:t xml:space="preserve"> (sendo que o cognitivo será sempre um deles)</w:t>
      </w:r>
      <w:r w:rsidRPr="008112FC">
        <w:rPr>
          <w:rFonts w:ascii="Times New Roman" w:hAnsi="Times New Roman" w:cs="Times New Roman"/>
          <w:sz w:val="24"/>
        </w:rPr>
        <w:t xml:space="preserve">. </w:t>
      </w:r>
      <w:r w:rsidR="002C3F51" w:rsidRPr="008112FC">
        <w:rPr>
          <w:rFonts w:ascii="Times New Roman" w:hAnsi="Times New Roman" w:cs="Times New Roman"/>
          <w:sz w:val="24"/>
        </w:rPr>
        <w:t>Assim</w:t>
      </w:r>
      <w:r w:rsidR="00E86566" w:rsidRPr="008112FC">
        <w:rPr>
          <w:rFonts w:ascii="Times New Roman" w:hAnsi="Times New Roman" w:cs="Times New Roman"/>
          <w:sz w:val="24"/>
        </w:rPr>
        <w:t xml:space="preserve">, reportaremos os resultados de 4 modelos: i) cognitivo e </w:t>
      </w:r>
      <w:proofErr w:type="spellStart"/>
      <w:r w:rsidR="00E86566" w:rsidRPr="008112FC">
        <w:rPr>
          <w:rFonts w:ascii="Times New Roman" w:hAnsi="Times New Roman" w:cs="Times New Roman"/>
          <w:sz w:val="24"/>
        </w:rPr>
        <w:t>socioemocional</w:t>
      </w:r>
      <w:proofErr w:type="spellEnd"/>
      <w:r w:rsidR="00E86566" w:rsidRPr="008112FC">
        <w:rPr>
          <w:rFonts w:ascii="Times New Roman" w:hAnsi="Times New Roman" w:cs="Times New Roman"/>
          <w:sz w:val="24"/>
        </w:rPr>
        <w:t xml:space="preserve">; </w:t>
      </w:r>
      <w:proofErr w:type="spellStart"/>
      <w:r w:rsidR="00E86566" w:rsidRPr="008112FC">
        <w:rPr>
          <w:rFonts w:ascii="Times New Roman" w:hAnsi="Times New Roman" w:cs="Times New Roman"/>
          <w:sz w:val="24"/>
        </w:rPr>
        <w:t>ii</w:t>
      </w:r>
      <w:proofErr w:type="spellEnd"/>
      <w:r w:rsidR="00E86566" w:rsidRPr="008112FC">
        <w:rPr>
          <w:rFonts w:ascii="Times New Roman" w:hAnsi="Times New Roman" w:cs="Times New Roman"/>
          <w:sz w:val="24"/>
        </w:rPr>
        <w:t xml:space="preserve">) cognitivo e abertura; </w:t>
      </w:r>
      <w:proofErr w:type="spellStart"/>
      <w:r w:rsidR="00E86566" w:rsidRPr="008112FC">
        <w:rPr>
          <w:rFonts w:ascii="Times New Roman" w:hAnsi="Times New Roman" w:cs="Times New Roman"/>
          <w:sz w:val="24"/>
        </w:rPr>
        <w:t>iii</w:t>
      </w:r>
      <w:proofErr w:type="spellEnd"/>
      <w:r w:rsidR="00E86566" w:rsidRPr="008112FC">
        <w:rPr>
          <w:rFonts w:ascii="Times New Roman" w:hAnsi="Times New Roman" w:cs="Times New Roman"/>
          <w:sz w:val="24"/>
        </w:rPr>
        <w:t xml:space="preserve">) cognitivo e autogestão; e </w:t>
      </w:r>
      <w:proofErr w:type="spellStart"/>
      <w:r w:rsidR="00E86566" w:rsidRPr="008112FC">
        <w:rPr>
          <w:rFonts w:ascii="Times New Roman" w:hAnsi="Times New Roman" w:cs="Times New Roman"/>
          <w:sz w:val="24"/>
        </w:rPr>
        <w:t>iv</w:t>
      </w:r>
      <w:proofErr w:type="spellEnd"/>
      <w:r w:rsidR="00E86566" w:rsidRPr="008112FC">
        <w:rPr>
          <w:rFonts w:ascii="Times New Roman" w:hAnsi="Times New Roman" w:cs="Times New Roman"/>
          <w:sz w:val="24"/>
        </w:rPr>
        <w:t>) cognitivo e autoestima.</w:t>
      </w:r>
      <w:r w:rsidR="00E86566">
        <w:rPr>
          <w:rFonts w:ascii="Times New Roman" w:hAnsi="Times New Roman" w:cs="Times New Roman"/>
          <w:color w:val="FF0000"/>
          <w:sz w:val="24"/>
        </w:rPr>
        <w:t xml:space="preserve"> </w:t>
      </w:r>
      <w:r w:rsidRPr="000D71F7">
        <w:rPr>
          <w:rFonts w:ascii="Times New Roman" w:hAnsi="Times New Roman" w:cs="Times New Roman"/>
          <w:sz w:val="24"/>
        </w:rPr>
        <w:t>Como os fatores de Abertura e Autoestima são determinados por 4 escores, calculamos o efeito para todas as 4 combinações possíveis de 3 escores, sem muita d</w:t>
      </w:r>
      <w:r w:rsidR="00E86566">
        <w:rPr>
          <w:rFonts w:ascii="Times New Roman" w:hAnsi="Times New Roman" w:cs="Times New Roman"/>
          <w:sz w:val="24"/>
        </w:rPr>
        <w:t>iferen</w:t>
      </w:r>
      <w:r w:rsidR="002C3F51">
        <w:rPr>
          <w:rFonts w:ascii="Times New Roman" w:hAnsi="Times New Roman" w:cs="Times New Roman"/>
          <w:sz w:val="24"/>
        </w:rPr>
        <w:t>ça entre esses resultados;</w:t>
      </w:r>
      <w:r w:rsidR="00E86566">
        <w:rPr>
          <w:rFonts w:ascii="Times New Roman" w:hAnsi="Times New Roman" w:cs="Times New Roman"/>
          <w:sz w:val="24"/>
        </w:rPr>
        <w:t xml:space="preserve"> </w:t>
      </w:r>
      <w:r w:rsidR="002C3F51">
        <w:rPr>
          <w:rFonts w:ascii="Times New Roman" w:hAnsi="Times New Roman" w:cs="Times New Roman"/>
          <w:sz w:val="24"/>
        </w:rPr>
        <w:t>s</w:t>
      </w:r>
      <w:r w:rsidRPr="000D71F7">
        <w:rPr>
          <w:rFonts w:ascii="Times New Roman" w:hAnsi="Times New Roman" w:cs="Times New Roman"/>
          <w:sz w:val="24"/>
        </w:rPr>
        <w:t>erão reportados apenas um conjunto de gráficos para cada fator utilizado.</w:t>
      </w:r>
      <w:r w:rsidR="00C574FA" w:rsidRPr="000D71F7">
        <w:rPr>
          <w:rFonts w:ascii="Times New Roman" w:hAnsi="Times New Roman" w:cs="Times New Roman"/>
          <w:sz w:val="24"/>
        </w:rPr>
        <w:t xml:space="preserve"> Além disso, reportamos junto com o gráfico a proporção de pessoas que frequentam o ensino superior por décimo de cada fator. A tendência é de aumento dessa proporção ao longo dos décimos, indicando seleção positiva de educação pelas habilidades cognitivas e socioemocionais.</w:t>
      </w:r>
    </w:p>
    <w:p w:rsidR="000F61D5" w:rsidRDefault="00D76535" w:rsidP="00D76535">
      <w:pPr>
        <w:spacing w:after="200" w:line="360" w:lineRule="auto"/>
        <w:ind w:firstLine="709"/>
        <w:jc w:val="both"/>
        <w:rPr>
          <w:rFonts w:ascii="Times New Roman" w:hAnsi="Times New Roman" w:cs="Times New Roman"/>
          <w:sz w:val="24"/>
        </w:rPr>
      </w:pPr>
      <w:r w:rsidRPr="000D71F7">
        <w:rPr>
          <w:rFonts w:ascii="Times New Roman" w:hAnsi="Times New Roman" w:cs="Times New Roman"/>
          <w:sz w:val="24"/>
        </w:rPr>
        <w:t xml:space="preserve">De modo geral, </w:t>
      </w:r>
      <w:r w:rsidR="00060B20" w:rsidRPr="000D71F7">
        <w:rPr>
          <w:rFonts w:ascii="Times New Roman" w:hAnsi="Times New Roman" w:cs="Times New Roman"/>
          <w:sz w:val="24"/>
        </w:rPr>
        <w:t xml:space="preserve">o ATE aparece com valores positivos e significantes, com magnitudes entre 0.28 e 0.38, dependendo do ponto da distribuição do fator relevante. </w:t>
      </w:r>
      <w:r w:rsidR="00C574FA" w:rsidRPr="000D71F7">
        <w:rPr>
          <w:rFonts w:ascii="Times New Roman" w:hAnsi="Times New Roman" w:cs="Times New Roman"/>
          <w:sz w:val="24"/>
        </w:rPr>
        <w:t>Além disso, há heterogeneidade relevante desse efeito de acordo com o nível do fato</w:t>
      </w:r>
      <w:r w:rsidR="00B5040E">
        <w:rPr>
          <w:rFonts w:ascii="Times New Roman" w:hAnsi="Times New Roman" w:cs="Times New Roman"/>
          <w:sz w:val="24"/>
        </w:rPr>
        <w:t>r</w:t>
      </w:r>
      <w:r w:rsidR="00C574FA" w:rsidRPr="000D71F7">
        <w:rPr>
          <w:rFonts w:ascii="Times New Roman" w:hAnsi="Times New Roman" w:cs="Times New Roman"/>
          <w:sz w:val="24"/>
        </w:rPr>
        <w:t xml:space="preserve"> cognitivo. P</w:t>
      </w:r>
      <w:r w:rsidRPr="000D71F7">
        <w:rPr>
          <w:rFonts w:ascii="Times New Roman" w:hAnsi="Times New Roman" w:cs="Times New Roman"/>
          <w:sz w:val="24"/>
        </w:rPr>
        <w:t xml:space="preserve">ara os primeiros </w:t>
      </w:r>
      <w:r w:rsidR="00C574FA" w:rsidRPr="000D71F7">
        <w:rPr>
          <w:rFonts w:ascii="Times New Roman" w:hAnsi="Times New Roman" w:cs="Times New Roman"/>
          <w:sz w:val="24"/>
        </w:rPr>
        <w:t xml:space="preserve">décimos </w:t>
      </w:r>
      <w:r w:rsidRPr="000D71F7">
        <w:rPr>
          <w:rFonts w:ascii="Times New Roman" w:hAnsi="Times New Roman" w:cs="Times New Roman"/>
          <w:sz w:val="24"/>
        </w:rPr>
        <w:t>da distribuição do fator cognitivo</w:t>
      </w:r>
      <w:r w:rsidR="00C574FA" w:rsidRPr="000D71F7">
        <w:rPr>
          <w:rFonts w:ascii="Times New Roman" w:hAnsi="Times New Roman" w:cs="Times New Roman"/>
          <w:sz w:val="24"/>
        </w:rPr>
        <w:t>, o efeito</w:t>
      </w:r>
      <w:r w:rsidRPr="000D71F7">
        <w:rPr>
          <w:rFonts w:ascii="Times New Roman" w:hAnsi="Times New Roman" w:cs="Times New Roman"/>
          <w:sz w:val="24"/>
        </w:rPr>
        <w:t xml:space="preserve"> é maior, apresentando uma queda para os </w:t>
      </w:r>
      <w:r w:rsidR="00C574FA" w:rsidRPr="000D71F7">
        <w:rPr>
          <w:rFonts w:ascii="Times New Roman" w:hAnsi="Times New Roman" w:cs="Times New Roman"/>
          <w:sz w:val="24"/>
        </w:rPr>
        <w:t xml:space="preserve">grupos </w:t>
      </w:r>
      <w:r w:rsidRPr="000D71F7">
        <w:rPr>
          <w:rFonts w:ascii="Times New Roman" w:hAnsi="Times New Roman" w:cs="Times New Roman"/>
          <w:sz w:val="24"/>
        </w:rPr>
        <w:t>do meio</w:t>
      </w:r>
      <w:r w:rsidR="00C574FA" w:rsidRPr="000D71F7">
        <w:rPr>
          <w:rFonts w:ascii="Times New Roman" w:hAnsi="Times New Roman" w:cs="Times New Roman"/>
          <w:sz w:val="24"/>
        </w:rPr>
        <w:t xml:space="preserve"> da distribuição</w:t>
      </w:r>
      <w:r w:rsidRPr="000D71F7">
        <w:rPr>
          <w:rFonts w:ascii="Times New Roman" w:hAnsi="Times New Roman" w:cs="Times New Roman"/>
          <w:sz w:val="24"/>
        </w:rPr>
        <w:t>, um</w:t>
      </w:r>
      <w:r w:rsidR="00C574FA" w:rsidRPr="000D71F7">
        <w:rPr>
          <w:rFonts w:ascii="Times New Roman" w:hAnsi="Times New Roman" w:cs="Times New Roman"/>
          <w:sz w:val="24"/>
        </w:rPr>
        <w:t>a leve subida nos décimos finais.</w:t>
      </w:r>
      <w:r w:rsidRPr="000D71F7">
        <w:rPr>
          <w:rFonts w:ascii="Times New Roman" w:hAnsi="Times New Roman" w:cs="Times New Roman"/>
          <w:sz w:val="24"/>
        </w:rPr>
        <w:t xml:space="preserve"> </w:t>
      </w:r>
      <w:r w:rsidR="00B507BF">
        <w:rPr>
          <w:rFonts w:ascii="Times New Roman" w:hAnsi="Times New Roman" w:cs="Times New Roman"/>
          <w:sz w:val="24"/>
        </w:rPr>
        <w:t xml:space="preserve">Esse resultado indica que indivíduos nos extremos da distribuição de habilidades cognitivas obtêm maiores benefícios de fazerem curso superior. </w:t>
      </w:r>
      <w:r w:rsidRPr="000D71F7">
        <w:rPr>
          <w:rFonts w:ascii="Times New Roman" w:hAnsi="Times New Roman" w:cs="Times New Roman"/>
          <w:sz w:val="24"/>
        </w:rPr>
        <w:t>Já para os fatores socioemocionais, a distribuição varia</w:t>
      </w:r>
      <w:r w:rsidR="00C574FA" w:rsidRPr="000D71F7">
        <w:rPr>
          <w:rFonts w:ascii="Times New Roman" w:hAnsi="Times New Roman" w:cs="Times New Roman"/>
          <w:sz w:val="24"/>
        </w:rPr>
        <w:t xml:space="preserve"> pouco</w:t>
      </w:r>
      <w:r w:rsidRPr="000D71F7">
        <w:rPr>
          <w:rFonts w:ascii="Times New Roman" w:hAnsi="Times New Roman" w:cs="Times New Roman"/>
          <w:sz w:val="24"/>
        </w:rPr>
        <w:t xml:space="preserve">, sendo </w:t>
      </w:r>
      <w:r w:rsidR="00855F41">
        <w:rPr>
          <w:rFonts w:ascii="Times New Roman" w:hAnsi="Times New Roman" w:cs="Times New Roman"/>
          <w:sz w:val="24"/>
        </w:rPr>
        <w:t xml:space="preserve">relativamente </w:t>
      </w:r>
      <w:r w:rsidRPr="000D71F7">
        <w:rPr>
          <w:rFonts w:ascii="Times New Roman" w:hAnsi="Times New Roman" w:cs="Times New Roman"/>
          <w:sz w:val="24"/>
        </w:rPr>
        <w:t>plana em sua maior parte.</w:t>
      </w:r>
      <w:r w:rsidR="000F61D5">
        <w:rPr>
          <w:rFonts w:ascii="Times New Roman" w:hAnsi="Times New Roman" w:cs="Times New Roman"/>
          <w:sz w:val="24"/>
        </w:rPr>
        <w:t xml:space="preserve"> </w:t>
      </w:r>
      <w:r w:rsidR="000F61D5" w:rsidRPr="0033232F">
        <w:rPr>
          <w:rFonts w:ascii="Times New Roman" w:hAnsi="Times New Roman" w:cs="Times New Roman"/>
          <w:sz w:val="24"/>
        </w:rPr>
        <w:t>Apesar de o resultado para a autoestima ter uma variação positiva significante ao longo dos décimos daquele componente, essa tendência é muito sensível à variação dos escores, de modo que esse não é um resultado robusto.</w:t>
      </w:r>
    </w:p>
    <w:p w:rsidR="00182AC1" w:rsidRDefault="009929DE" w:rsidP="009B78EE">
      <w:pPr>
        <w:spacing w:after="200" w:line="360" w:lineRule="auto"/>
        <w:ind w:firstLine="709"/>
        <w:jc w:val="both"/>
        <w:rPr>
          <w:rFonts w:ascii="Times New Roman" w:hAnsi="Times New Roman" w:cs="Times New Roman"/>
        </w:rPr>
      </w:pPr>
      <w:r>
        <w:rPr>
          <w:rFonts w:ascii="Times New Roman" w:hAnsi="Times New Roman" w:cs="Times New Roman"/>
          <w:sz w:val="24"/>
        </w:rPr>
        <w:t>A diferença entre os fatores cognitivo e socioemocional em relação aos seus efeitos na heterogeneidade do retorno à educação, com maior heterogeneidade ao longo da distribuição do primeiro fator, também foi observada por Heckman et al. (2014)</w:t>
      </w:r>
      <w:r w:rsidR="00EC7B45">
        <w:rPr>
          <w:rFonts w:ascii="Times New Roman" w:hAnsi="Times New Roman" w:cs="Times New Roman"/>
          <w:sz w:val="24"/>
        </w:rPr>
        <w:t xml:space="preserve"> em relação ao</w:t>
      </w:r>
      <w:r w:rsidR="00F2747A">
        <w:rPr>
          <w:rFonts w:ascii="Times New Roman" w:hAnsi="Times New Roman" w:cs="Times New Roman"/>
          <w:sz w:val="24"/>
        </w:rPr>
        <w:t>s</w:t>
      </w:r>
      <w:r w:rsidR="00EC7B45">
        <w:rPr>
          <w:rFonts w:ascii="Times New Roman" w:hAnsi="Times New Roman" w:cs="Times New Roman"/>
          <w:sz w:val="24"/>
        </w:rPr>
        <w:t xml:space="preserve"> salário</w:t>
      </w:r>
      <w:r w:rsidR="00F2747A">
        <w:rPr>
          <w:rFonts w:ascii="Times New Roman" w:hAnsi="Times New Roman" w:cs="Times New Roman"/>
          <w:sz w:val="24"/>
        </w:rPr>
        <w:t>s</w:t>
      </w:r>
      <w:r>
        <w:rPr>
          <w:rFonts w:ascii="Times New Roman" w:hAnsi="Times New Roman" w:cs="Times New Roman"/>
          <w:sz w:val="24"/>
        </w:rPr>
        <w:t xml:space="preserve">. </w:t>
      </w:r>
      <w:r w:rsidR="0033232F">
        <w:rPr>
          <w:rFonts w:ascii="Times New Roman" w:hAnsi="Times New Roman" w:cs="Times New Roman"/>
          <w:sz w:val="24"/>
        </w:rPr>
        <w:t xml:space="preserve">Naquele estudo, a relação encontrada é positiva, enquanto nossos resultados indicam uma </w:t>
      </w:r>
      <w:r w:rsidR="009B6088">
        <w:rPr>
          <w:rFonts w:ascii="Times New Roman" w:hAnsi="Times New Roman" w:cs="Times New Roman"/>
          <w:sz w:val="24"/>
        </w:rPr>
        <w:t>em formato de “U”.</w:t>
      </w:r>
      <w:r w:rsidR="00C346E4">
        <w:rPr>
          <w:rFonts w:ascii="Times New Roman" w:hAnsi="Times New Roman" w:cs="Times New Roman"/>
          <w:sz w:val="24"/>
        </w:rPr>
        <w:t xml:space="preserve"> </w:t>
      </w:r>
      <w:r w:rsidR="00C346E4" w:rsidRPr="0033232F">
        <w:rPr>
          <w:rFonts w:ascii="Times New Roman" w:hAnsi="Times New Roman" w:cs="Times New Roman"/>
          <w:sz w:val="24"/>
        </w:rPr>
        <w:t xml:space="preserve">É possível que haja alguma diferença dos tipos de efeitos gerados pelo ensino </w:t>
      </w:r>
      <w:r w:rsidR="00C346E4" w:rsidRPr="0033232F">
        <w:rPr>
          <w:rFonts w:ascii="Times New Roman" w:hAnsi="Times New Roman" w:cs="Times New Roman"/>
          <w:sz w:val="24"/>
        </w:rPr>
        <w:lastRenderedPageBreak/>
        <w:t>superior entre os indivíduos com mais e menos habilidades, como efeitos de aumento de capital humano e de simples sinalização.</w:t>
      </w:r>
      <w:r w:rsidR="009752E5" w:rsidRPr="0033232F">
        <w:rPr>
          <w:rFonts w:ascii="Times New Roman" w:hAnsi="Times New Roman" w:cs="Times New Roman"/>
          <w:sz w:val="24"/>
        </w:rPr>
        <w:t xml:space="preserve"> </w:t>
      </w:r>
      <w:r w:rsidR="00292BEA" w:rsidRPr="0033232F">
        <w:rPr>
          <w:rFonts w:ascii="Times New Roman" w:hAnsi="Times New Roman" w:cs="Times New Roman"/>
          <w:sz w:val="24"/>
        </w:rPr>
        <w:t>Por exemplo, é possível que a obtenção de capital humano no ensino superior seja proporcional à habilidade cognitiva</w:t>
      </w:r>
      <w:r w:rsidR="0033232F">
        <w:rPr>
          <w:rFonts w:ascii="Times New Roman" w:hAnsi="Times New Roman" w:cs="Times New Roman"/>
          <w:sz w:val="24"/>
        </w:rPr>
        <w:t xml:space="preserve"> e que </w:t>
      </w:r>
      <w:r w:rsidR="00292BEA" w:rsidRPr="0033232F">
        <w:rPr>
          <w:rFonts w:ascii="Times New Roman" w:hAnsi="Times New Roman" w:cs="Times New Roman"/>
          <w:sz w:val="24"/>
        </w:rPr>
        <w:t xml:space="preserve">indivíduos com menor habilidade e que são mais parecidos com aqueles que não seguiram para a faculdade </w:t>
      </w:r>
      <w:r w:rsidR="0033232F">
        <w:rPr>
          <w:rFonts w:ascii="Times New Roman" w:hAnsi="Times New Roman" w:cs="Times New Roman"/>
          <w:sz w:val="24"/>
        </w:rPr>
        <w:t>se beneficiem</w:t>
      </w:r>
      <w:r w:rsidR="00292BEA" w:rsidRPr="0033232F">
        <w:rPr>
          <w:rFonts w:ascii="Times New Roman" w:hAnsi="Times New Roman" w:cs="Times New Roman"/>
          <w:sz w:val="24"/>
        </w:rPr>
        <w:t xml:space="preserve"> de um efeito de sinalização, pelo fato de terem concluído o ensino superior, que os diferencia no mercado de trabalho</w:t>
      </w:r>
      <w:r w:rsidR="0033232F">
        <w:rPr>
          <w:rFonts w:ascii="Times New Roman" w:hAnsi="Times New Roman" w:cs="Times New Roman"/>
          <w:sz w:val="24"/>
        </w:rPr>
        <w:t>.</w:t>
      </w:r>
    </w:p>
    <w:p w:rsidR="00750047" w:rsidRDefault="00750047" w:rsidP="00750047">
      <w:pPr>
        <w:tabs>
          <w:tab w:val="left" w:pos="2461"/>
        </w:tabs>
        <w:jc w:val="center"/>
        <w:rPr>
          <w:rFonts w:ascii="Times New Roman" w:eastAsiaTheme="minorEastAsia" w:hAnsi="Times New Roman" w:cs="Times New Roman"/>
          <w:b/>
          <w:sz w:val="24"/>
          <w:szCs w:val="24"/>
        </w:rPr>
      </w:pPr>
      <w:r w:rsidRPr="00410525">
        <w:rPr>
          <w:rFonts w:ascii="Times New Roman" w:eastAsiaTheme="minorEastAsia" w:hAnsi="Times New Roman" w:cs="Times New Roman"/>
          <w:b/>
          <w:sz w:val="24"/>
          <w:szCs w:val="24"/>
        </w:rPr>
        <w:t xml:space="preserve">Figura </w:t>
      </w:r>
      <w:r w:rsidR="00995371" w:rsidRPr="00410525">
        <w:rPr>
          <w:rFonts w:ascii="Times New Roman" w:eastAsiaTheme="minorEastAsia" w:hAnsi="Times New Roman" w:cs="Times New Roman"/>
          <w:b/>
          <w:sz w:val="24"/>
          <w:szCs w:val="24"/>
        </w:rPr>
        <w:t>1</w:t>
      </w:r>
      <w:r w:rsidRPr="00410525">
        <w:rPr>
          <w:rFonts w:ascii="Times New Roman" w:eastAsiaTheme="minorEastAsia" w:hAnsi="Times New Roman" w:cs="Times New Roman"/>
          <w:b/>
          <w:sz w:val="24"/>
          <w:szCs w:val="24"/>
        </w:rPr>
        <w:t xml:space="preserve"> – Distribuição dos </w:t>
      </w:r>
      <w:proofErr w:type="spellStart"/>
      <w:r w:rsidRPr="00410525">
        <w:rPr>
          <w:rFonts w:ascii="Times New Roman" w:eastAsiaTheme="minorEastAsia" w:hAnsi="Times New Roman" w:cs="Times New Roman"/>
          <w:b/>
          <w:sz w:val="24"/>
          <w:szCs w:val="24"/>
        </w:rPr>
        <w:t>ATEs</w:t>
      </w:r>
      <w:proofErr w:type="spellEnd"/>
      <w:r w:rsidRPr="00410525">
        <w:rPr>
          <w:rFonts w:ascii="Times New Roman" w:eastAsiaTheme="minorEastAsia" w:hAnsi="Times New Roman" w:cs="Times New Roman"/>
          <w:b/>
          <w:sz w:val="24"/>
          <w:szCs w:val="24"/>
        </w:rPr>
        <w:t xml:space="preserve"> para cada fator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182AC1" w:rsidTr="00410525">
        <w:tc>
          <w:tcPr>
            <w:tcW w:w="5228" w:type="dxa"/>
          </w:tcPr>
          <w:p w:rsidR="00182AC1" w:rsidRDefault="00182AC1" w:rsidP="00750047">
            <w:pPr>
              <w:tabs>
                <w:tab w:val="left" w:pos="2461"/>
              </w:tabs>
              <w:jc w:val="center"/>
              <w:rPr>
                <w:rFonts w:ascii="Times New Roman" w:eastAsiaTheme="minorEastAsia" w:hAnsi="Times New Roman" w:cs="Times New Roman"/>
                <w:sz w:val="24"/>
                <w:szCs w:val="24"/>
              </w:rPr>
            </w:pPr>
            <w:r>
              <w:rPr>
                <w:noProof/>
                <w:lang w:eastAsia="pt-BR"/>
              </w:rPr>
              <w:drawing>
                <wp:inline distT="0" distB="0" distL="0" distR="0">
                  <wp:extent cx="2520000" cy="1830322"/>
                  <wp:effectExtent l="0" t="0" r="0" b="0"/>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1830322"/>
                          </a:xfrm>
                          <a:prstGeom prst="rect">
                            <a:avLst/>
                          </a:prstGeom>
                        </pic:spPr>
                      </pic:pic>
                    </a:graphicData>
                  </a:graphic>
                </wp:inline>
              </w:drawing>
            </w:r>
          </w:p>
        </w:tc>
        <w:tc>
          <w:tcPr>
            <w:tcW w:w="5228" w:type="dxa"/>
          </w:tcPr>
          <w:p w:rsidR="00182AC1" w:rsidRDefault="00182AC1" w:rsidP="00750047">
            <w:pPr>
              <w:tabs>
                <w:tab w:val="left" w:pos="2461"/>
              </w:tabs>
              <w:jc w:val="center"/>
              <w:rPr>
                <w:rFonts w:ascii="Times New Roman" w:eastAsiaTheme="minorEastAsia" w:hAnsi="Times New Roman" w:cs="Times New Roman"/>
                <w:sz w:val="24"/>
                <w:szCs w:val="24"/>
              </w:rPr>
            </w:pPr>
            <w:r>
              <w:rPr>
                <w:rFonts w:ascii="Times New Roman" w:hAnsi="Times New Roman" w:cs="Times New Roman"/>
                <w:b/>
                <w:noProof/>
                <w:lang w:eastAsia="pt-BR"/>
              </w:rPr>
              <w:drawing>
                <wp:inline distT="0" distB="0" distL="0" distR="0">
                  <wp:extent cx="2520000" cy="183032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0000" cy="1830322"/>
                          </a:xfrm>
                          <a:prstGeom prst="rect">
                            <a:avLst/>
                          </a:prstGeom>
                        </pic:spPr>
                      </pic:pic>
                    </a:graphicData>
                  </a:graphic>
                </wp:inline>
              </w:drawing>
            </w:r>
          </w:p>
        </w:tc>
      </w:tr>
      <w:tr w:rsidR="00182AC1" w:rsidTr="00410525">
        <w:tc>
          <w:tcPr>
            <w:tcW w:w="5228" w:type="dxa"/>
          </w:tcPr>
          <w:p w:rsidR="00182AC1" w:rsidRDefault="00182AC1" w:rsidP="00750047">
            <w:pPr>
              <w:tabs>
                <w:tab w:val="left" w:pos="2461"/>
              </w:tabs>
              <w:jc w:val="center"/>
              <w:rPr>
                <w:rFonts w:ascii="Times New Roman" w:eastAsiaTheme="minorEastAsia" w:hAnsi="Times New Roman" w:cs="Times New Roman"/>
                <w:sz w:val="24"/>
                <w:szCs w:val="24"/>
              </w:rPr>
            </w:pPr>
            <w:r>
              <w:rPr>
                <w:noProof/>
                <w:lang w:eastAsia="pt-BR"/>
              </w:rPr>
              <w:drawing>
                <wp:inline distT="0" distB="0" distL="0" distR="0">
                  <wp:extent cx="2520000" cy="1830322"/>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0" cy="1830322"/>
                          </a:xfrm>
                          <a:prstGeom prst="rect">
                            <a:avLst/>
                          </a:prstGeom>
                        </pic:spPr>
                      </pic:pic>
                    </a:graphicData>
                  </a:graphic>
                </wp:inline>
              </w:drawing>
            </w:r>
          </w:p>
        </w:tc>
        <w:tc>
          <w:tcPr>
            <w:tcW w:w="5228" w:type="dxa"/>
          </w:tcPr>
          <w:p w:rsidR="00182AC1" w:rsidRDefault="00182AC1" w:rsidP="00750047">
            <w:pPr>
              <w:tabs>
                <w:tab w:val="left" w:pos="2461"/>
              </w:tabs>
              <w:jc w:val="center"/>
              <w:rPr>
                <w:rFonts w:ascii="Times New Roman" w:eastAsiaTheme="minorEastAsia" w:hAnsi="Times New Roman" w:cs="Times New Roman"/>
                <w:sz w:val="24"/>
                <w:szCs w:val="24"/>
              </w:rPr>
            </w:pPr>
            <w:r>
              <w:rPr>
                <w:rFonts w:ascii="Times New Roman" w:hAnsi="Times New Roman" w:cs="Times New Roman"/>
                <w:b/>
                <w:noProof/>
                <w:lang w:eastAsia="pt-BR"/>
              </w:rPr>
              <w:drawing>
                <wp:inline distT="0" distB="0" distL="0" distR="0">
                  <wp:extent cx="2520000" cy="1830322"/>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000" cy="1830322"/>
                          </a:xfrm>
                          <a:prstGeom prst="rect">
                            <a:avLst/>
                          </a:prstGeom>
                        </pic:spPr>
                      </pic:pic>
                    </a:graphicData>
                  </a:graphic>
                </wp:inline>
              </w:drawing>
            </w:r>
          </w:p>
        </w:tc>
      </w:tr>
      <w:tr w:rsidR="00182AC1" w:rsidTr="00410525">
        <w:tc>
          <w:tcPr>
            <w:tcW w:w="5228" w:type="dxa"/>
          </w:tcPr>
          <w:p w:rsidR="00182AC1" w:rsidRDefault="00182AC1" w:rsidP="00750047">
            <w:pPr>
              <w:tabs>
                <w:tab w:val="left" w:pos="2461"/>
              </w:tabs>
              <w:jc w:val="center"/>
              <w:rPr>
                <w:rFonts w:ascii="Times New Roman" w:eastAsiaTheme="minorEastAsia" w:hAnsi="Times New Roman" w:cs="Times New Roman"/>
                <w:sz w:val="24"/>
                <w:szCs w:val="24"/>
              </w:rPr>
            </w:pPr>
            <w:r>
              <w:rPr>
                <w:noProof/>
                <w:lang w:eastAsia="pt-BR"/>
              </w:rPr>
              <w:drawing>
                <wp:inline distT="0" distB="0" distL="0" distR="0">
                  <wp:extent cx="2520000" cy="1830322"/>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000" cy="1830322"/>
                          </a:xfrm>
                          <a:prstGeom prst="rect">
                            <a:avLst/>
                          </a:prstGeom>
                        </pic:spPr>
                      </pic:pic>
                    </a:graphicData>
                  </a:graphic>
                </wp:inline>
              </w:drawing>
            </w:r>
          </w:p>
        </w:tc>
        <w:tc>
          <w:tcPr>
            <w:tcW w:w="5228" w:type="dxa"/>
          </w:tcPr>
          <w:p w:rsidR="00182AC1" w:rsidRDefault="00182AC1" w:rsidP="00750047">
            <w:pPr>
              <w:tabs>
                <w:tab w:val="left" w:pos="2461"/>
              </w:tabs>
              <w:jc w:val="center"/>
              <w:rPr>
                <w:rFonts w:ascii="Times New Roman" w:eastAsiaTheme="minorEastAsia" w:hAnsi="Times New Roman" w:cs="Times New Roman"/>
                <w:sz w:val="24"/>
                <w:szCs w:val="24"/>
              </w:rPr>
            </w:pPr>
            <w:r>
              <w:rPr>
                <w:rFonts w:ascii="Times New Roman" w:hAnsi="Times New Roman" w:cs="Times New Roman"/>
                <w:b/>
                <w:noProof/>
                <w:lang w:eastAsia="pt-BR"/>
              </w:rPr>
              <w:drawing>
                <wp:inline distT="0" distB="0" distL="0" distR="0">
                  <wp:extent cx="2520000" cy="183032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0000" cy="1830322"/>
                          </a:xfrm>
                          <a:prstGeom prst="rect">
                            <a:avLst/>
                          </a:prstGeom>
                        </pic:spPr>
                      </pic:pic>
                    </a:graphicData>
                  </a:graphic>
                </wp:inline>
              </w:drawing>
            </w:r>
          </w:p>
        </w:tc>
      </w:tr>
      <w:tr w:rsidR="00182AC1" w:rsidTr="00410525">
        <w:tc>
          <w:tcPr>
            <w:tcW w:w="5228" w:type="dxa"/>
          </w:tcPr>
          <w:p w:rsidR="00182AC1" w:rsidRDefault="00182AC1" w:rsidP="00750047">
            <w:pPr>
              <w:tabs>
                <w:tab w:val="left" w:pos="2461"/>
              </w:tabs>
              <w:jc w:val="center"/>
              <w:rPr>
                <w:rFonts w:ascii="Times New Roman" w:eastAsiaTheme="minorEastAsia" w:hAnsi="Times New Roman" w:cs="Times New Roman"/>
                <w:sz w:val="24"/>
                <w:szCs w:val="24"/>
              </w:rPr>
            </w:pPr>
            <w:r>
              <w:rPr>
                <w:noProof/>
                <w:lang w:eastAsia="pt-BR"/>
              </w:rPr>
              <w:lastRenderedPageBreak/>
              <w:drawing>
                <wp:inline distT="0" distB="0" distL="0" distR="0">
                  <wp:extent cx="2520000" cy="1830322"/>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0000" cy="1830322"/>
                          </a:xfrm>
                          <a:prstGeom prst="rect">
                            <a:avLst/>
                          </a:prstGeom>
                        </pic:spPr>
                      </pic:pic>
                    </a:graphicData>
                  </a:graphic>
                </wp:inline>
              </w:drawing>
            </w:r>
          </w:p>
        </w:tc>
        <w:tc>
          <w:tcPr>
            <w:tcW w:w="5228" w:type="dxa"/>
          </w:tcPr>
          <w:p w:rsidR="00182AC1" w:rsidRDefault="00182AC1" w:rsidP="00750047">
            <w:pPr>
              <w:tabs>
                <w:tab w:val="left" w:pos="2461"/>
              </w:tabs>
              <w:jc w:val="center"/>
              <w:rPr>
                <w:rFonts w:ascii="Times New Roman" w:eastAsiaTheme="minorEastAsia" w:hAnsi="Times New Roman" w:cs="Times New Roman"/>
                <w:sz w:val="24"/>
                <w:szCs w:val="24"/>
              </w:rPr>
            </w:pPr>
            <w:r>
              <w:rPr>
                <w:rFonts w:ascii="Times New Roman" w:hAnsi="Times New Roman" w:cs="Times New Roman"/>
                <w:b/>
                <w:noProof/>
                <w:lang w:eastAsia="pt-BR"/>
              </w:rPr>
              <w:drawing>
                <wp:inline distT="0" distB="0" distL="0" distR="0">
                  <wp:extent cx="2520000" cy="183032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0000" cy="1830322"/>
                          </a:xfrm>
                          <a:prstGeom prst="rect">
                            <a:avLst/>
                          </a:prstGeom>
                        </pic:spPr>
                      </pic:pic>
                    </a:graphicData>
                  </a:graphic>
                </wp:inline>
              </w:drawing>
            </w:r>
          </w:p>
        </w:tc>
      </w:tr>
    </w:tbl>
    <w:p w:rsidR="00182AC1" w:rsidRPr="00750047" w:rsidRDefault="00182AC1" w:rsidP="00750047">
      <w:pPr>
        <w:tabs>
          <w:tab w:val="left" w:pos="2461"/>
        </w:tabs>
        <w:jc w:val="center"/>
        <w:rPr>
          <w:rFonts w:ascii="Times New Roman" w:eastAsiaTheme="minorEastAsia" w:hAnsi="Times New Roman" w:cs="Times New Roman"/>
          <w:sz w:val="24"/>
          <w:szCs w:val="24"/>
        </w:rPr>
      </w:pPr>
    </w:p>
    <w:p w:rsidR="002C5F5F" w:rsidRDefault="0043131D" w:rsidP="009522B6">
      <w:pPr>
        <w:spacing w:after="200" w:line="240" w:lineRule="auto"/>
        <w:jc w:val="both"/>
        <w:rPr>
          <w:rFonts w:ascii="Times New Roman" w:eastAsiaTheme="minorEastAsia" w:hAnsi="Times New Roman" w:cs="Times New Roman"/>
          <w:sz w:val="20"/>
          <w:szCs w:val="20"/>
        </w:rPr>
      </w:pPr>
      <w:r w:rsidRPr="00713C09">
        <w:rPr>
          <w:rFonts w:ascii="Times New Roman" w:eastAsiaTheme="minorEastAsia" w:hAnsi="Times New Roman" w:cs="Times New Roman"/>
          <w:sz w:val="20"/>
          <w:szCs w:val="20"/>
        </w:rPr>
        <w:t xml:space="preserve">Nota: A base utilizada é o </w:t>
      </w:r>
      <w:proofErr w:type="spellStart"/>
      <w:r w:rsidRPr="00713C09">
        <w:rPr>
          <w:rFonts w:ascii="Times New Roman" w:eastAsiaTheme="minorEastAsia" w:hAnsi="Times New Roman" w:cs="Times New Roman"/>
          <w:sz w:val="20"/>
          <w:szCs w:val="20"/>
        </w:rPr>
        <w:t>Inaf</w:t>
      </w:r>
      <w:proofErr w:type="spellEnd"/>
      <w:r w:rsidRPr="00713C09">
        <w:rPr>
          <w:rFonts w:ascii="Times New Roman" w:eastAsiaTheme="minorEastAsia" w:hAnsi="Times New Roman" w:cs="Times New Roman"/>
          <w:sz w:val="20"/>
          <w:szCs w:val="20"/>
        </w:rPr>
        <w:t xml:space="preserve"> de 2011. </w:t>
      </w:r>
      <w:r>
        <w:rPr>
          <w:rFonts w:ascii="Times New Roman" w:eastAsiaTheme="minorEastAsia" w:hAnsi="Times New Roman" w:cs="Times New Roman"/>
          <w:sz w:val="20"/>
          <w:szCs w:val="20"/>
        </w:rPr>
        <w:t xml:space="preserve">Efeito de Tratamento Médio, com intervalo de confiança de 95%, no eixo esquerdo e proporção de ingressos no </w:t>
      </w:r>
      <w:r w:rsidR="00867FFD">
        <w:rPr>
          <w:rFonts w:ascii="Times New Roman" w:eastAsiaTheme="minorEastAsia" w:hAnsi="Times New Roman" w:cs="Times New Roman"/>
          <w:sz w:val="20"/>
          <w:szCs w:val="20"/>
        </w:rPr>
        <w:t>ensino superior</w:t>
      </w:r>
      <w:r>
        <w:rPr>
          <w:rFonts w:ascii="Times New Roman" w:eastAsiaTheme="minorEastAsia" w:hAnsi="Times New Roman" w:cs="Times New Roman"/>
          <w:sz w:val="20"/>
          <w:szCs w:val="20"/>
        </w:rPr>
        <w:t xml:space="preserve"> por </w:t>
      </w:r>
      <w:proofErr w:type="spellStart"/>
      <w:r>
        <w:rPr>
          <w:rFonts w:ascii="Times New Roman" w:eastAsiaTheme="minorEastAsia" w:hAnsi="Times New Roman" w:cs="Times New Roman"/>
          <w:sz w:val="20"/>
          <w:szCs w:val="20"/>
        </w:rPr>
        <w:t>decil</w:t>
      </w:r>
      <w:proofErr w:type="spellEnd"/>
      <w:r>
        <w:rPr>
          <w:rFonts w:ascii="Times New Roman" w:eastAsiaTheme="minorEastAsia" w:hAnsi="Times New Roman" w:cs="Times New Roman"/>
          <w:sz w:val="20"/>
          <w:szCs w:val="20"/>
        </w:rPr>
        <w:t xml:space="preserve"> da distribuição dos fatores Cognitivos e Socioemocional</w:t>
      </w:r>
      <w:r w:rsidR="006C0B5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00C62DD0">
        <w:rPr>
          <w:rFonts w:ascii="Times New Roman" w:eastAsiaTheme="minorEastAsia" w:hAnsi="Times New Roman" w:cs="Times New Roman"/>
          <w:sz w:val="20"/>
          <w:szCs w:val="20"/>
        </w:rPr>
        <w:t>Variáveis não-normalizadas foram util</w:t>
      </w:r>
      <w:r w:rsidR="002E4BFF">
        <w:rPr>
          <w:rFonts w:ascii="Times New Roman" w:eastAsiaTheme="minorEastAsia" w:hAnsi="Times New Roman" w:cs="Times New Roman"/>
          <w:sz w:val="20"/>
          <w:szCs w:val="20"/>
        </w:rPr>
        <w:t>iz</w:t>
      </w:r>
      <w:r w:rsidR="00C62DD0">
        <w:rPr>
          <w:rFonts w:ascii="Times New Roman" w:eastAsiaTheme="minorEastAsia" w:hAnsi="Times New Roman" w:cs="Times New Roman"/>
          <w:sz w:val="20"/>
          <w:szCs w:val="20"/>
        </w:rPr>
        <w:t xml:space="preserve">adas. </w:t>
      </w:r>
      <w:r>
        <w:rPr>
          <w:rFonts w:ascii="Times New Roman" w:eastAsiaTheme="minorEastAsia" w:hAnsi="Times New Roman" w:cs="Times New Roman"/>
          <w:sz w:val="20"/>
          <w:szCs w:val="20"/>
        </w:rPr>
        <w:t xml:space="preserve">ATE é definido como </w:t>
      </w:r>
      <m:oMath>
        <m:r>
          <w:rPr>
            <w:rFonts w:ascii="Cambria Math" w:eastAsiaTheme="minorEastAsia" w:hAnsi="Cambria Math" w:cs="Times New Roman"/>
            <w:sz w:val="16"/>
            <w:szCs w:val="16"/>
          </w:rPr>
          <m:t>ATE=∫∫E</m:t>
        </m:r>
        <m:d>
          <m:dPr>
            <m:sepChr m:val="∣"/>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r>
                  <w:rPr>
                    <w:rFonts w:ascii="Cambria Math" w:eastAsiaTheme="minorEastAsia" w:hAnsi="Cambria Math" w:cs="Times New Roman"/>
                    <w:sz w:val="16"/>
                    <w:szCs w:val="16"/>
                  </w:rPr>
                  <m:t>s</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Y</m:t>
                </m:r>
              </m:e>
              <m:sub>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m:t>
                    </m:r>
                  </m:sup>
                </m:sSup>
              </m:sub>
            </m:sSub>
          </m:e>
          <m:e>
            <m:r>
              <m:rPr>
                <m:sty m:val="bi"/>
              </m:rPr>
              <w:rPr>
                <w:rFonts w:ascii="Cambria Math" w:eastAsiaTheme="minorEastAsia" w:hAnsi="Cambria Math" w:cs="Times New Roman"/>
                <w:sz w:val="16"/>
                <w:szCs w:val="16"/>
              </w:rPr>
              <m:t>X=x</m:t>
            </m:r>
            <m:r>
              <w:rPr>
                <w:rFonts w:ascii="Cambria Math" w:eastAsiaTheme="minorEastAsia" w:hAnsi="Cambria Math" w:cs="Times New Roman"/>
                <w:sz w:val="16"/>
                <w:szCs w:val="16"/>
              </w:rPr>
              <m:t>,</m:t>
            </m:r>
            <m:r>
              <m:rPr>
                <m:sty m:val="bi"/>
              </m:rPr>
              <w:rPr>
                <w:rFonts w:ascii="Cambria Math" w:eastAsiaTheme="minorEastAsia" w:hAnsi="Cambria Math" w:cs="Times New Roman"/>
                <w:sz w:val="16"/>
                <w:szCs w:val="16"/>
              </w:rPr>
              <m:t>θ=</m:t>
            </m:r>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θ</m:t>
                </m:r>
              </m:e>
            </m:acc>
          </m:e>
        </m:d>
        <m:r>
          <w:rPr>
            <w:rFonts w:ascii="Cambria Math" w:eastAsiaTheme="minorEastAsia" w:hAnsi="Cambria Math" w:cs="Times New Roman"/>
            <w:sz w:val="16"/>
            <w:szCs w:val="16"/>
          </w:rPr>
          <m:t>d</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m:rPr>
                <m:sty m:val="bi"/>
              </m:rPr>
              <w:rPr>
                <w:rFonts w:ascii="Cambria Math" w:eastAsiaTheme="minorEastAsia" w:hAnsi="Cambria Math" w:cs="Times New Roman"/>
                <w:sz w:val="16"/>
                <w:szCs w:val="16"/>
              </w:rPr>
              <m:t>X,θ</m:t>
            </m:r>
          </m:sub>
        </m:sSub>
        <m:r>
          <w:rPr>
            <w:rFonts w:ascii="Cambria Math" w:eastAsiaTheme="minorEastAsia" w:hAnsi="Cambria Math" w:cs="Times New Roman"/>
            <w:sz w:val="16"/>
            <w:szCs w:val="16"/>
          </w:rPr>
          <m:t>(</m:t>
        </m:r>
        <m:r>
          <m:rPr>
            <m:sty m:val="bi"/>
          </m:rPr>
          <w:rPr>
            <w:rFonts w:ascii="Cambria Math" w:eastAsiaTheme="minorEastAsia" w:hAnsi="Cambria Math" w:cs="Times New Roman"/>
            <w:sz w:val="16"/>
            <w:szCs w:val="16"/>
          </w:rPr>
          <m:t>x,</m:t>
        </m:r>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θ</m:t>
            </m:r>
          </m:e>
        </m:acc>
        <m:r>
          <w:rPr>
            <w:rFonts w:ascii="Cambria Math" w:eastAsiaTheme="minorEastAsia" w:hAnsi="Cambria Math" w:cs="Times New Roman"/>
            <w:sz w:val="16"/>
            <w:szCs w:val="16"/>
          </w:rPr>
          <m:t>)</m:t>
        </m:r>
      </m:oMath>
      <w:r w:rsidR="006C0B50">
        <w:rPr>
          <w:rFonts w:ascii="Times New Roman" w:eastAsiaTheme="minorEastAsia" w:hAnsi="Times New Roman" w:cs="Times New Roman"/>
          <w:sz w:val="16"/>
          <w:szCs w:val="16"/>
        </w:rPr>
        <w:t xml:space="preserve">. </w:t>
      </w:r>
      <w:r w:rsidR="006C0B50" w:rsidRPr="006C0B50">
        <w:rPr>
          <w:rFonts w:ascii="Times New Roman" w:eastAsiaTheme="minorEastAsia" w:hAnsi="Times New Roman" w:cs="Times New Roman"/>
          <w:sz w:val="20"/>
          <w:szCs w:val="20"/>
        </w:rPr>
        <w:t>Neste</w:t>
      </w:r>
      <w:r w:rsidR="006C0B50" w:rsidRPr="004F0E51">
        <w:rPr>
          <w:rFonts w:ascii="Times New Roman" w:eastAsiaTheme="minorEastAsia" w:hAnsi="Times New Roman" w:cs="Times New Roman"/>
          <w:sz w:val="20"/>
          <w:szCs w:val="20"/>
        </w:rPr>
        <w:t xml:space="preserve"> caso, o efeito de tratamento é a diferença do salário dos que ingressaram no </w:t>
      </w:r>
      <w:r w:rsidR="00867FFD">
        <w:rPr>
          <w:rFonts w:ascii="Times New Roman" w:eastAsiaTheme="minorEastAsia" w:hAnsi="Times New Roman" w:cs="Times New Roman"/>
          <w:sz w:val="20"/>
          <w:szCs w:val="20"/>
        </w:rPr>
        <w:t>ensino superior</w:t>
      </w:r>
      <w:r w:rsidR="006C0B50" w:rsidRPr="004F0E51">
        <w:rPr>
          <w:rFonts w:ascii="Times New Roman" w:eastAsiaTheme="minorEastAsia" w:hAnsi="Times New Roman" w:cs="Times New Roman"/>
          <w:sz w:val="20"/>
          <w:szCs w:val="20"/>
        </w:rPr>
        <w:t xml:space="preserve"> e dos que apenas concluíram o Ensino Médio.</w:t>
      </w:r>
      <w:r w:rsidR="0031398A">
        <w:rPr>
          <w:rFonts w:ascii="Times New Roman" w:eastAsiaTheme="minorEastAsia" w:hAnsi="Times New Roman" w:cs="Times New Roman"/>
          <w:sz w:val="20"/>
          <w:szCs w:val="20"/>
        </w:rPr>
        <w:t xml:space="preserve"> Por limitações do código, apenas 3 escores foram utilizados para cada fator.</w:t>
      </w:r>
    </w:p>
    <w:p w:rsidR="009522B6" w:rsidRDefault="009522B6" w:rsidP="009522B6">
      <w:pPr>
        <w:spacing w:after="200" w:line="240" w:lineRule="auto"/>
        <w:jc w:val="both"/>
        <w:rPr>
          <w:rFonts w:ascii="Times New Roman" w:eastAsiaTheme="minorEastAsia" w:hAnsi="Times New Roman" w:cs="Times New Roman"/>
          <w:sz w:val="20"/>
          <w:szCs w:val="20"/>
        </w:rPr>
        <w:sectPr w:rsidR="009522B6" w:rsidSect="00410525">
          <w:pgSz w:w="11906" w:h="16838" w:code="9"/>
          <w:pgMar w:top="1418" w:right="1418" w:bottom="1418" w:left="1418" w:header="709" w:footer="709" w:gutter="0"/>
          <w:cols w:space="708"/>
          <w:docGrid w:linePitch="360"/>
        </w:sectPr>
      </w:pPr>
    </w:p>
    <w:p w:rsidR="009522B6" w:rsidRPr="00410525" w:rsidRDefault="009522B6" w:rsidP="00410525">
      <w:pPr>
        <w:pStyle w:val="PargrafodaLista"/>
        <w:numPr>
          <w:ilvl w:val="0"/>
          <w:numId w:val="1"/>
        </w:numPr>
        <w:spacing w:after="200" w:line="360" w:lineRule="auto"/>
        <w:ind w:left="714" w:hanging="357"/>
        <w:outlineLvl w:val="0"/>
        <w:rPr>
          <w:rFonts w:ascii="Times New Roman" w:hAnsi="Times New Roman" w:cs="Times New Roman"/>
          <w:b/>
          <w:sz w:val="28"/>
          <w:szCs w:val="28"/>
        </w:rPr>
      </w:pPr>
      <w:r w:rsidRPr="00410525">
        <w:rPr>
          <w:rFonts w:ascii="Times New Roman" w:hAnsi="Times New Roman" w:cs="Times New Roman"/>
          <w:b/>
          <w:sz w:val="28"/>
          <w:szCs w:val="28"/>
        </w:rPr>
        <w:lastRenderedPageBreak/>
        <w:t>Conclusão</w:t>
      </w:r>
    </w:p>
    <w:p w:rsidR="009522B6" w:rsidRDefault="00DC6701" w:rsidP="00410525">
      <w:pPr>
        <w:spacing w:after="200" w:line="360" w:lineRule="auto"/>
        <w:ind w:firstLine="709"/>
        <w:jc w:val="both"/>
        <w:rPr>
          <w:rFonts w:ascii="Times New Roman" w:eastAsiaTheme="minorEastAsia" w:hAnsi="Times New Roman" w:cs="Times New Roman"/>
          <w:sz w:val="24"/>
          <w:szCs w:val="24"/>
        </w:rPr>
      </w:pPr>
      <w:r w:rsidRPr="00DC6701">
        <w:rPr>
          <w:rFonts w:ascii="Times New Roman" w:eastAsiaTheme="minorEastAsia" w:hAnsi="Times New Roman" w:cs="Times New Roman"/>
          <w:sz w:val="24"/>
          <w:szCs w:val="24"/>
        </w:rPr>
        <w:t xml:space="preserve">Este </w:t>
      </w:r>
      <w:r w:rsidR="00CB09A4">
        <w:rPr>
          <w:rFonts w:ascii="Times New Roman" w:eastAsiaTheme="minorEastAsia" w:hAnsi="Times New Roman" w:cs="Times New Roman"/>
          <w:sz w:val="24"/>
          <w:szCs w:val="24"/>
        </w:rPr>
        <w:t>estudo</w:t>
      </w:r>
      <w:r>
        <w:rPr>
          <w:rFonts w:ascii="Times New Roman" w:eastAsiaTheme="minorEastAsia" w:hAnsi="Times New Roman" w:cs="Times New Roman"/>
          <w:sz w:val="24"/>
          <w:szCs w:val="24"/>
        </w:rPr>
        <w:t xml:space="preserve"> tem como objetivo entender a dinâmica entre salários, escolha educacional e habilidades cognitivas e não-cognitivas.</w:t>
      </w:r>
      <w:r w:rsidR="00BE020B">
        <w:rPr>
          <w:rFonts w:ascii="Times New Roman" w:eastAsiaTheme="minorEastAsia" w:hAnsi="Times New Roman" w:cs="Times New Roman"/>
          <w:sz w:val="24"/>
          <w:szCs w:val="24"/>
        </w:rPr>
        <w:t xml:space="preserve"> Estimamos um modelo de heterogeneidade não-observada com equação de escolha, permitindo obter as distribuições de habilidades cognitivas e não-cognitivas d</w:t>
      </w:r>
      <w:r w:rsidR="00195101">
        <w:rPr>
          <w:rFonts w:ascii="Times New Roman" w:eastAsiaTheme="minorEastAsia" w:hAnsi="Times New Roman" w:cs="Times New Roman"/>
          <w:sz w:val="24"/>
          <w:szCs w:val="24"/>
        </w:rPr>
        <w:t>e</w:t>
      </w:r>
      <w:r w:rsidR="00BE020B">
        <w:rPr>
          <w:rFonts w:ascii="Times New Roman" w:eastAsiaTheme="minorEastAsia" w:hAnsi="Times New Roman" w:cs="Times New Roman"/>
          <w:sz w:val="24"/>
          <w:szCs w:val="24"/>
        </w:rPr>
        <w:t xml:space="preserve"> nossa amostra.</w:t>
      </w:r>
      <w:r w:rsidR="00195101">
        <w:rPr>
          <w:rFonts w:ascii="Times New Roman" w:eastAsiaTheme="minorEastAsia" w:hAnsi="Times New Roman" w:cs="Times New Roman"/>
          <w:sz w:val="24"/>
          <w:szCs w:val="24"/>
        </w:rPr>
        <w:t xml:space="preserve"> Desse modo, podemos estimar o efeito de tratamento de ingressar no </w:t>
      </w:r>
      <w:r w:rsidR="00867FFD">
        <w:rPr>
          <w:rFonts w:ascii="Times New Roman" w:eastAsiaTheme="minorEastAsia" w:hAnsi="Times New Roman" w:cs="Times New Roman"/>
          <w:sz w:val="24"/>
          <w:szCs w:val="24"/>
        </w:rPr>
        <w:t>ensino superior</w:t>
      </w:r>
      <w:r w:rsidR="00195101">
        <w:rPr>
          <w:rFonts w:ascii="Times New Roman" w:eastAsiaTheme="minorEastAsia" w:hAnsi="Times New Roman" w:cs="Times New Roman"/>
          <w:sz w:val="24"/>
          <w:szCs w:val="24"/>
        </w:rPr>
        <w:t xml:space="preserve"> sobre o salário desses indivíduos, levando em consideração as dotações de habilidades cognitivas e socioemocionais. Além disso, a base de dados permite decompor essas habilidades socioemocionais em três variáveis, Abertura, Autoestima e Autogestão. Assim, é possível entender qual faceta não-cognitiva é mais importante tanto para a escolha educacional quanto para a determinação do salário.</w:t>
      </w:r>
    </w:p>
    <w:p w:rsidR="0051066F" w:rsidRDefault="00BE0707" w:rsidP="00410525">
      <w:pPr>
        <w:spacing w:after="20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modo </w:t>
      </w:r>
      <w:r w:rsidRPr="00410525">
        <w:rPr>
          <w:rFonts w:ascii="Times New Roman" w:hAnsi="Times New Roman" w:cs="Times New Roman"/>
          <w:sz w:val="24"/>
          <w:szCs w:val="24"/>
        </w:rPr>
        <w:t>geral</w:t>
      </w:r>
      <w:r>
        <w:rPr>
          <w:rFonts w:ascii="Times New Roman" w:eastAsiaTheme="minorEastAsia" w:hAnsi="Times New Roman" w:cs="Times New Roman"/>
          <w:sz w:val="24"/>
          <w:szCs w:val="24"/>
        </w:rPr>
        <w:t>, nossos resultados mostram que a</w:t>
      </w:r>
      <w:r w:rsidR="00EC770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habilidade</w:t>
      </w:r>
      <w:r w:rsidR="00EC770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cognitiva</w:t>
      </w:r>
      <w:r w:rsidR="00EC770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EC7702">
        <w:rPr>
          <w:rFonts w:ascii="Times New Roman" w:eastAsiaTheme="minorEastAsia" w:hAnsi="Times New Roman" w:cs="Times New Roman"/>
          <w:sz w:val="24"/>
          <w:szCs w:val="24"/>
        </w:rPr>
        <w:t xml:space="preserve">e socioemocionais </w:t>
      </w:r>
      <w:r>
        <w:rPr>
          <w:rFonts w:ascii="Times New Roman" w:eastAsiaTheme="minorEastAsia" w:hAnsi="Times New Roman" w:cs="Times New Roman"/>
          <w:sz w:val="24"/>
          <w:szCs w:val="24"/>
        </w:rPr>
        <w:t>do indivíduo</w:t>
      </w:r>
      <w:r w:rsidR="00EC7702">
        <w:rPr>
          <w:rFonts w:ascii="Times New Roman" w:eastAsiaTheme="minorEastAsia" w:hAnsi="Times New Roman" w:cs="Times New Roman"/>
          <w:sz w:val="24"/>
          <w:szCs w:val="24"/>
        </w:rPr>
        <w:t xml:space="preserve"> são relevantes para sua </w:t>
      </w:r>
      <w:r>
        <w:rPr>
          <w:rFonts w:ascii="Times New Roman" w:eastAsiaTheme="minorEastAsia" w:hAnsi="Times New Roman" w:cs="Times New Roman"/>
          <w:sz w:val="24"/>
          <w:szCs w:val="24"/>
        </w:rPr>
        <w:t>escolha educacional</w:t>
      </w:r>
      <w:r w:rsidR="00553198">
        <w:rPr>
          <w:rFonts w:ascii="Times New Roman" w:eastAsiaTheme="minorEastAsia" w:hAnsi="Times New Roman" w:cs="Times New Roman"/>
          <w:sz w:val="24"/>
          <w:szCs w:val="24"/>
        </w:rPr>
        <w:t xml:space="preserve"> de fazer faculdade</w:t>
      </w:r>
      <w:r w:rsidR="00EC7702">
        <w:rPr>
          <w:rFonts w:ascii="Times New Roman" w:eastAsiaTheme="minorEastAsia" w:hAnsi="Times New Roman" w:cs="Times New Roman"/>
          <w:sz w:val="24"/>
          <w:szCs w:val="24"/>
        </w:rPr>
        <w:t>, com maior peso para as primeiras.</w:t>
      </w:r>
      <w:r w:rsidR="0051066F">
        <w:rPr>
          <w:rFonts w:ascii="Times New Roman" w:eastAsiaTheme="minorEastAsia" w:hAnsi="Times New Roman" w:cs="Times New Roman"/>
          <w:sz w:val="24"/>
          <w:szCs w:val="24"/>
        </w:rPr>
        <w:t xml:space="preserve"> Esses resultados são coerentes com aqueles observados por Heckman et al. (2014).</w:t>
      </w:r>
      <w:r w:rsidR="00D165E8">
        <w:rPr>
          <w:rFonts w:ascii="Times New Roman" w:eastAsiaTheme="minorEastAsia" w:hAnsi="Times New Roman" w:cs="Times New Roman"/>
          <w:sz w:val="24"/>
          <w:szCs w:val="24"/>
        </w:rPr>
        <w:t xml:space="preserve"> </w:t>
      </w:r>
      <w:r w:rsidR="00DE0302">
        <w:rPr>
          <w:rFonts w:ascii="Times New Roman" w:eastAsiaTheme="minorEastAsia" w:hAnsi="Times New Roman" w:cs="Times New Roman"/>
          <w:sz w:val="24"/>
          <w:szCs w:val="24"/>
        </w:rPr>
        <w:t xml:space="preserve">As habilidades </w:t>
      </w:r>
      <w:r w:rsidR="00F45424">
        <w:rPr>
          <w:rFonts w:ascii="Times New Roman" w:eastAsiaTheme="minorEastAsia" w:hAnsi="Times New Roman" w:cs="Times New Roman"/>
          <w:sz w:val="24"/>
          <w:szCs w:val="24"/>
        </w:rPr>
        <w:t>socioemocionais</w:t>
      </w:r>
      <w:r w:rsidR="00EC7702">
        <w:rPr>
          <w:rFonts w:ascii="Times New Roman" w:eastAsiaTheme="minorEastAsia" w:hAnsi="Times New Roman" w:cs="Times New Roman"/>
          <w:sz w:val="24"/>
          <w:szCs w:val="24"/>
        </w:rPr>
        <w:t>, além disso,</w:t>
      </w:r>
      <w:r w:rsidR="00DE0302">
        <w:rPr>
          <w:rFonts w:ascii="Times New Roman" w:eastAsiaTheme="minorEastAsia" w:hAnsi="Times New Roman" w:cs="Times New Roman"/>
          <w:sz w:val="24"/>
          <w:szCs w:val="24"/>
        </w:rPr>
        <w:t xml:space="preserve"> aparentam ter mais impacto no grupo daqueles que apenas concluíram o ensino médio, para </w:t>
      </w:r>
      <w:r w:rsidR="000A16C3">
        <w:rPr>
          <w:rFonts w:ascii="Times New Roman" w:eastAsiaTheme="minorEastAsia" w:hAnsi="Times New Roman" w:cs="Times New Roman"/>
          <w:sz w:val="24"/>
          <w:szCs w:val="24"/>
        </w:rPr>
        <w:t>determinar seus níveis</w:t>
      </w:r>
      <w:r w:rsidR="00941CE8">
        <w:rPr>
          <w:rFonts w:ascii="Times New Roman" w:eastAsiaTheme="minorEastAsia" w:hAnsi="Times New Roman" w:cs="Times New Roman"/>
          <w:sz w:val="24"/>
          <w:szCs w:val="24"/>
        </w:rPr>
        <w:t xml:space="preserve"> de </w:t>
      </w:r>
      <w:r w:rsidR="00EC7702">
        <w:rPr>
          <w:rFonts w:ascii="Times New Roman" w:eastAsiaTheme="minorEastAsia" w:hAnsi="Times New Roman" w:cs="Times New Roman"/>
          <w:sz w:val="24"/>
          <w:szCs w:val="24"/>
        </w:rPr>
        <w:t>renda</w:t>
      </w:r>
      <w:r w:rsidR="00941CE8">
        <w:rPr>
          <w:rFonts w:ascii="Times New Roman" w:eastAsiaTheme="minorEastAsia" w:hAnsi="Times New Roman" w:cs="Times New Roman"/>
          <w:sz w:val="24"/>
          <w:szCs w:val="24"/>
        </w:rPr>
        <w:t xml:space="preserve">. Dessa forma, aqueles que não </w:t>
      </w:r>
      <w:r w:rsidR="00EC7702">
        <w:rPr>
          <w:rFonts w:ascii="Times New Roman" w:eastAsiaTheme="minorEastAsia" w:hAnsi="Times New Roman" w:cs="Times New Roman"/>
          <w:sz w:val="24"/>
          <w:szCs w:val="24"/>
        </w:rPr>
        <w:t>s</w:t>
      </w:r>
      <w:r w:rsidR="00B37883">
        <w:rPr>
          <w:rFonts w:ascii="Times New Roman" w:eastAsiaTheme="minorEastAsia" w:hAnsi="Times New Roman" w:cs="Times New Roman"/>
          <w:sz w:val="24"/>
          <w:szCs w:val="24"/>
        </w:rPr>
        <w:t>e encaminham à faculdade depende</w:t>
      </w:r>
      <w:r w:rsidR="00EC7702">
        <w:rPr>
          <w:rFonts w:ascii="Times New Roman" w:eastAsiaTheme="minorEastAsia" w:hAnsi="Times New Roman" w:cs="Times New Roman"/>
          <w:sz w:val="24"/>
          <w:szCs w:val="24"/>
        </w:rPr>
        <w:t xml:space="preserve">m mais </w:t>
      </w:r>
      <w:r w:rsidR="00925C7F">
        <w:rPr>
          <w:rFonts w:ascii="Times New Roman" w:eastAsiaTheme="minorEastAsia" w:hAnsi="Times New Roman" w:cs="Times New Roman"/>
          <w:sz w:val="24"/>
          <w:szCs w:val="24"/>
        </w:rPr>
        <w:t>desse tipo de habilidade</w:t>
      </w:r>
      <w:r w:rsidR="00EC7702">
        <w:rPr>
          <w:rFonts w:ascii="Times New Roman" w:eastAsiaTheme="minorEastAsia" w:hAnsi="Times New Roman" w:cs="Times New Roman"/>
          <w:sz w:val="24"/>
          <w:szCs w:val="24"/>
        </w:rPr>
        <w:t xml:space="preserve"> para alcançarem maiores níveis de renda.</w:t>
      </w:r>
      <w:r w:rsidR="00B37883">
        <w:rPr>
          <w:rFonts w:ascii="Times New Roman" w:eastAsiaTheme="minorEastAsia" w:hAnsi="Times New Roman" w:cs="Times New Roman"/>
          <w:sz w:val="24"/>
          <w:szCs w:val="24"/>
        </w:rPr>
        <w:t xml:space="preserve"> Por outro lado, entre aqueles que fizeram faculdade, o fator cognitivo é o que importa para alcançar maiores salários.</w:t>
      </w:r>
      <w:r w:rsidR="00CB09A4">
        <w:rPr>
          <w:rFonts w:ascii="Times New Roman" w:eastAsiaTheme="minorEastAsia" w:hAnsi="Times New Roman" w:cs="Times New Roman"/>
          <w:sz w:val="24"/>
          <w:szCs w:val="24"/>
        </w:rPr>
        <w:t xml:space="preserve"> </w:t>
      </w:r>
      <w:r w:rsidR="0051066F">
        <w:rPr>
          <w:rFonts w:ascii="Times New Roman" w:eastAsiaTheme="minorEastAsia" w:hAnsi="Times New Roman" w:cs="Times New Roman"/>
          <w:sz w:val="24"/>
          <w:szCs w:val="24"/>
        </w:rPr>
        <w:t>Entre as habilidades socioemocionais, a Abertura parece importar mais para a auto seleção para o ensino superior. No entanto, nenhum desses componentes parece importar separadamente para a determinação da renda individual.</w:t>
      </w:r>
    </w:p>
    <w:p w:rsidR="00444569" w:rsidRDefault="004C798E" w:rsidP="00410525">
      <w:pPr>
        <w:spacing w:after="20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Em relação aos retornos ao ensino superior na renda individual, nossas estimativas indicam que são </w:t>
      </w:r>
      <w:r w:rsidRPr="008112FC">
        <w:rPr>
          <w:rFonts w:ascii="Times New Roman" w:eastAsiaTheme="minorEastAsia" w:hAnsi="Times New Roman" w:cs="Times New Roman"/>
          <w:sz w:val="24"/>
          <w:szCs w:val="24"/>
        </w:rPr>
        <w:t xml:space="preserve">positivos, mesmo levando em conta as habilidades cognitivas e socioemocionais. </w:t>
      </w:r>
      <w:r w:rsidR="00715B72" w:rsidRPr="008112FC">
        <w:rPr>
          <w:rFonts w:ascii="Times New Roman" w:eastAsiaTheme="minorEastAsia" w:hAnsi="Times New Roman" w:cs="Times New Roman"/>
          <w:sz w:val="24"/>
          <w:szCs w:val="24"/>
        </w:rPr>
        <w:t xml:space="preserve">Isto é, mesmo quando se comparam indivíduos com a mesma dotação cognitiva e socioemocional, o retorno ao ensino superior na renda é positivo. </w:t>
      </w:r>
      <w:r w:rsidRPr="008112FC">
        <w:rPr>
          <w:rFonts w:ascii="Times New Roman" w:eastAsiaTheme="minorEastAsia" w:hAnsi="Times New Roman" w:cs="Times New Roman"/>
          <w:sz w:val="24"/>
          <w:szCs w:val="24"/>
        </w:rPr>
        <w:t>Adicionalmente</w:t>
      </w:r>
      <w:r>
        <w:rPr>
          <w:rFonts w:ascii="Times New Roman" w:eastAsiaTheme="minorEastAsia" w:hAnsi="Times New Roman" w:cs="Times New Roman"/>
          <w:sz w:val="24"/>
          <w:szCs w:val="24"/>
        </w:rPr>
        <w:t xml:space="preserve">, esse efeito é diferenciado de acordo com o nível da habilidade. </w:t>
      </w:r>
      <w:r w:rsidR="00B37883">
        <w:rPr>
          <w:rFonts w:ascii="Times New Roman" w:eastAsiaTheme="minorEastAsia" w:hAnsi="Times New Roman" w:cs="Times New Roman"/>
          <w:sz w:val="24"/>
          <w:szCs w:val="24"/>
        </w:rPr>
        <w:t xml:space="preserve">Quando </w:t>
      </w:r>
      <w:r w:rsidR="00DE0302">
        <w:rPr>
          <w:rFonts w:ascii="Times New Roman" w:eastAsiaTheme="minorEastAsia" w:hAnsi="Times New Roman" w:cs="Times New Roman"/>
          <w:sz w:val="24"/>
          <w:szCs w:val="24"/>
        </w:rPr>
        <w:t xml:space="preserve">analisamos a distribuição do impacto no salário ao longo dos </w:t>
      </w:r>
      <w:r>
        <w:rPr>
          <w:rFonts w:ascii="Times New Roman" w:eastAsiaTheme="minorEastAsia" w:hAnsi="Times New Roman" w:cs="Times New Roman"/>
          <w:sz w:val="24"/>
          <w:szCs w:val="24"/>
        </w:rPr>
        <w:t>décimos</w:t>
      </w:r>
      <w:r w:rsidR="00DE0302">
        <w:rPr>
          <w:rFonts w:ascii="Times New Roman" w:eastAsiaTheme="minorEastAsia" w:hAnsi="Times New Roman" w:cs="Times New Roman"/>
          <w:sz w:val="24"/>
          <w:szCs w:val="24"/>
        </w:rPr>
        <w:t xml:space="preserve"> da distribuição de fatores, vemos que para o fator socioemocional esse impacto é </w:t>
      </w:r>
      <w:r>
        <w:rPr>
          <w:rFonts w:ascii="Times New Roman" w:eastAsiaTheme="minorEastAsia" w:hAnsi="Times New Roman" w:cs="Times New Roman"/>
          <w:sz w:val="24"/>
          <w:szCs w:val="24"/>
        </w:rPr>
        <w:t xml:space="preserve">relativamente </w:t>
      </w:r>
      <w:r w:rsidR="00DE0302">
        <w:rPr>
          <w:rFonts w:ascii="Times New Roman" w:eastAsiaTheme="minorEastAsia" w:hAnsi="Times New Roman" w:cs="Times New Roman"/>
          <w:sz w:val="24"/>
          <w:szCs w:val="24"/>
        </w:rPr>
        <w:t xml:space="preserve">plano, enquanto para </w:t>
      </w:r>
      <w:r>
        <w:rPr>
          <w:rFonts w:ascii="Times New Roman" w:eastAsiaTheme="minorEastAsia" w:hAnsi="Times New Roman" w:cs="Times New Roman"/>
          <w:sz w:val="24"/>
          <w:szCs w:val="24"/>
        </w:rPr>
        <w:t>o cognitivo, vemos um formato de</w:t>
      </w:r>
      <w:r w:rsidR="00DE030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DE0302">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com efeitos maiores nos extremos da distribuição</w:t>
      </w:r>
      <w:r w:rsidR="00F65B50">
        <w:rPr>
          <w:rFonts w:ascii="Times New Roman" w:eastAsiaTheme="minorEastAsia" w:hAnsi="Times New Roman" w:cs="Times New Roman"/>
          <w:sz w:val="24"/>
          <w:szCs w:val="24"/>
        </w:rPr>
        <w:t xml:space="preserve">. </w:t>
      </w:r>
      <w:r w:rsidR="00444569">
        <w:rPr>
          <w:rFonts w:ascii="Times New Roman" w:eastAsiaTheme="minorEastAsia" w:hAnsi="Times New Roman" w:cs="Times New Roman"/>
          <w:sz w:val="24"/>
          <w:szCs w:val="24"/>
        </w:rPr>
        <w:t>Isso significa que os mais habilidosos se beneficiam mais do curso superior, porém os menos habilidosos também têm benefício relevante.</w:t>
      </w:r>
    </w:p>
    <w:p w:rsidR="00D06579" w:rsidRDefault="00F65B50" w:rsidP="00410525">
      <w:pPr>
        <w:spacing w:after="20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Apesar da importância maior do fator cognitivo para a heterogeneidade do efeito do ensino superior ter sido registrado também por Heckman et al. (2014), aquele estudo não encontra o padrão em formato de “U” ao longo da distribuição. É possível que os efeitos da faculdade sejam diferenciados para indivíduos mais e menos habilidosos, com </w:t>
      </w:r>
      <w:r w:rsidR="00494610">
        <w:rPr>
          <w:rFonts w:ascii="Times New Roman" w:eastAsiaTheme="minorEastAsia" w:hAnsi="Times New Roman" w:cs="Times New Roman"/>
          <w:sz w:val="24"/>
          <w:szCs w:val="24"/>
        </w:rPr>
        <w:t>combinações diferentes de maior ganho de capital humano e</w:t>
      </w:r>
      <w:r>
        <w:rPr>
          <w:rFonts w:ascii="Times New Roman" w:eastAsiaTheme="minorEastAsia" w:hAnsi="Times New Roman" w:cs="Times New Roman"/>
          <w:sz w:val="24"/>
          <w:szCs w:val="24"/>
        </w:rPr>
        <w:t xml:space="preserve"> efeito sinalização.</w:t>
      </w:r>
    </w:p>
    <w:p w:rsidR="00D06579" w:rsidRDefault="00D06579">
      <w:pPr>
        <w:rPr>
          <w:rFonts w:ascii="Times New Roman" w:eastAsiaTheme="minorEastAsia" w:hAnsi="Times New Roman" w:cs="Times New Roman"/>
          <w:sz w:val="24"/>
          <w:szCs w:val="24"/>
        </w:rPr>
      </w:pPr>
    </w:p>
    <w:p w:rsidR="000374E4" w:rsidRPr="00410525" w:rsidRDefault="000374E4" w:rsidP="00410525">
      <w:pPr>
        <w:pStyle w:val="PargrafodaLista"/>
        <w:numPr>
          <w:ilvl w:val="0"/>
          <w:numId w:val="1"/>
        </w:numPr>
        <w:spacing w:after="200" w:line="360" w:lineRule="auto"/>
        <w:ind w:left="714" w:hanging="357"/>
        <w:outlineLvl w:val="0"/>
        <w:rPr>
          <w:rFonts w:ascii="Times New Roman" w:hAnsi="Times New Roman" w:cs="Times New Roman"/>
          <w:b/>
          <w:sz w:val="28"/>
          <w:szCs w:val="28"/>
        </w:rPr>
      </w:pPr>
      <w:r w:rsidRPr="00410525">
        <w:rPr>
          <w:rFonts w:ascii="Times New Roman" w:hAnsi="Times New Roman" w:cs="Times New Roman"/>
          <w:b/>
          <w:sz w:val="28"/>
          <w:szCs w:val="28"/>
        </w:rPr>
        <w:t>Referências</w:t>
      </w:r>
    </w:p>
    <w:p w:rsidR="000374E4" w:rsidRDefault="000374E4" w:rsidP="000374E4">
      <w:pPr>
        <w:spacing w:after="200" w:line="360" w:lineRule="auto"/>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Borghans</w:t>
      </w:r>
      <w:proofErr w:type="spellEnd"/>
      <w:r>
        <w:rPr>
          <w:rFonts w:ascii="Times New Roman" w:eastAsiaTheme="minorEastAsia" w:hAnsi="Times New Roman" w:cs="Times New Roman"/>
          <w:sz w:val="24"/>
          <w:szCs w:val="24"/>
          <w:lang w:val="en-US"/>
        </w:rPr>
        <w:t xml:space="preserve">, L.; </w:t>
      </w:r>
      <w:proofErr w:type="spellStart"/>
      <w:r>
        <w:rPr>
          <w:rFonts w:ascii="Times New Roman" w:eastAsiaTheme="minorEastAsia" w:hAnsi="Times New Roman" w:cs="Times New Roman"/>
          <w:sz w:val="24"/>
          <w:szCs w:val="24"/>
          <w:lang w:val="en-US"/>
        </w:rPr>
        <w:t>Golsteyn</w:t>
      </w:r>
      <w:proofErr w:type="spellEnd"/>
      <w:r>
        <w:rPr>
          <w:rFonts w:ascii="Times New Roman" w:eastAsiaTheme="minorEastAsia" w:hAnsi="Times New Roman" w:cs="Times New Roman"/>
          <w:sz w:val="24"/>
          <w:szCs w:val="24"/>
          <w:lang w:val="en-US"/>
        </w:rPr>
        <w:t xml:space="preserve">, B. H. H.; Heckman, J. J.; Humphries, J. E. </w:t>
      </w:r>
      <w:r w:rsidRPr="00541328">
        <w:rPr>
          <w:rFonts w:ascii="Times New Roman" w:eastAsiaTheme="minorEastAsia" w:hAnsi="Times New Roman" w:cs="Times New Roman"/>
          <w:i/>
          <w:sz w:val="24"/>
          <w:szCs w:val="24"/>
          <w:lang w:val="en-US"/>
        </w:rPr>
        <w:t>What Grades and Achievement Tests Measure</w:t>
      </w:r>
      <w:r>
        <w:rPr>
          <w:rFonts w:ascii="Times New Roman" w:eastAsiaTheme="minorEastAsia" w:hAnsi="Times New Roman" w:cs="Times New Roman"/>
          <w:sz w:val="24"/>
          <w:szCs w:val="24"/>
          <w:lang w:val="en-US"/>
        </w:rPr>
        <w:t>. Discussion Paper No. 10356. IZA, 2016.</w:t>
      </w:r>
    </w:p>
    <w:p w:rsidR="00374C4F" w:rsidRDefault="00374C4F" w:rsidP="000374E4">
      <w:pPr>
        <w:spacing w:after="20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Carneiro, P.; Hansen, K. T.; </w:t>
      </w:r>
      <w:proofErr w:type="spellStart"/>
      <w:r>
        <w:rPr>
          <w:rFonts w:ascii="Times New Roman" w:eastAsiaTheme="minorEastAsia" w:hAnsi="Times New Roman" w:cs="Times New Roman"/>
          <w:sz w:val="24"/>
          <w:szCs w:val="24"/>
          <w:lang w:val="en-US"/>
        </w:rPr>
        <w:t>Heckamn</w:t>
      </w:r>
      <w:proofErr w:type="spellEnd"/>
      <w:r>
        <w:rPr>
          <w:rFonts w:ascii="Times New Roman" w:eastAsiaTheme="minorEastAsia" w:hAnsi="Times New Roman" w:cs="Times New Roman"/>
          <w:sz w:val="24"/>
          <w:szCs w:val="24"/>
          <w:lang w:val="en-US"/>
        </w:rPr>
        <w:t xml:space="preserve">, J. J. Estimating Distributions of Treatment Effects With an Application to the Returns to Schooling and Measurement of the Effects of Uncertainty on College Choice. </w:t>
      </w:r>
      <w:r w:rsidRPr="00541328">
        <w:rPr>
          <w:rFonts w:ascii="Times New Roman" w:eastAsiaTheme="minorEastAsia" w:hAnsi="Times New Roman" w:cs="Times New Roman"/>
          <w:i/>
          <w:sz w:val="24"/>
          <w:szCs w:val="24"/>
          <w:lang w:val="en-US"/>
        </w:rPr>
        <w:t>International Economic Review</w:t>
      </w:r>
      <w:r>
        <w:rPr>
          <w:rFonts w:ascii="Times New Roman" w:eastAsiaTheme="minorEastAsia" w:hAnsi="Times New Roman" w:cs="Times New Roman"/>
          <w:sz w:val="24"/>
          <w:szCs w:val="24"/>
          <w:lang w:val="en-US"/>
        </w:rPr>
        <w:t>, May 2003, 44(2): 361-422, 2003</w:t>
      </w:r>
    </w:p>
    <w:p w:rsidR="00B071F6" w:rsidRDefault="00B071F6" w:rsidP="000374E4">
      <w:pPr>
        <w:spacing w:after="20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Carneiro, P.; Heckman, J. J.; </w:t>
      </w:r>
      <w:proofErr w:type="spellStart"/>
      <w:r>
        <w:rPr>
          <w:rFonts w:ascii="Times New Roman" w:eastAsiaTheme="minorEastAsia" w:hAnsi="Times New Roman" w:cs="Times New Roman"/>
          <w:sz w:val="24"/>
          <w:szCs w:val="24"/>
          <w:lang w:val="en-US"/>
        </w:rPr>
        <w:t>Vytlacil</w:t>
      </w:r>
      <w:proofErr w:type="spellEnd"/>
      <w:r>
        <w:rPr>
          <w:rFonts w:ascii="Times New Roman" w:eastAsiaTheme="minorEastAsia" w:hAnsi="Times New Roman" w:cs="Times New Roman"/>
          <w:sz w:val="24"/>
          <w:szCs w:val="24"/>
          <w:lang w:val="en-US"/>
        </w:rPr>
        <w:t xml:space="preserve">, E. J. Estimating Marginal Returns to Education. </w:t>
      </w:r>
      <w:r w:rsidRPr="009A3C47">
        <w:rPr>
          <w:rFonts w:ascii="Times New Roman" w:eastAsiaTheme="minorEastAsia" w:hAnsi="Times New Roman" w:cs="Times New Roman"/>
          <w:i/>
          <w:sz w:val="24"/>
          <w:szCs w:val="24"/>
          <w:lang w:val="en-US"/>
        </w:rPr>
        <w:t>American Economic Review</w:t>
      </w:r>
      <w:r>
        <w:rPr>
          <w:rFonts w:ascii="Times New Roman" w:eastAsiaTheme="minorEastAsia" w:hAnsi="Times New Roman" w:cs="Times New Roman"/>
          <w:sz w:val="24"/>
          <w:szCs w:val="24"/>
          <w:lang w:val="en-US"/>
        </w:rPr>
        <w:t>, October 2011, 101: 2754-2781, 2011</w:t>
      </w:r>
    </w:p>
    <w:p w:rsidR="009D551C" w:rsidRDefault="009D551C" w:rsidP="000374E4">
      <w:pPr>
        <w:spacing w:after="20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Heckman, James J. </w:t>
      </w:r>
      <w:r w:rsidRPr="009D551C">
        <w:rPr>
          <w:rFonts w:ascii="Times New Roman" w:eastAsiaTheme="minorEastAsia" w:hAnsi="Times New Roman" w:cs="Times New Roman"/>
          <w:i/>
          <w:sz w:val="24"/>
          <w:szCs w:val="24"/>
          <w:lang w:val="en-US"/>
        </w:rPr>
        <w:t>The case for investing in disadvantaged young children</w:t>
      </w:r>
      <w:r w:rsidRPr="009D551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CESifo</w:t>
      </w:r>
      <w:proofErr w:type="spellEnd"/>
      <w:r>
        <w:rPr>
          <w:rFonts w:ascii="Times New Roman" w:eastAsiaTheme="minorEastAsia" w:hAnsi="Times New Roman" w:cs="Times New Roman"/>
          <w:sz w:val="24"/>
          <w:szCs w:val="24"/>
          <w:lang w:val="en-US"/>
        </w:rPr>
        <w:t xml:space="preserve"> DICE Report 6.2, p. 3-8, 2008.</w:t>
      </w:r>
    </w:p>
    <w:p w:rsidR="00B071F6" w:rsidRDefault="00B071F6" w:rsidP="00B071F6">
      <w:pPr>
        <w:spacing w:after="200" w:line="360" w:lineRule="auto"/>
        <w:jc w:val="both"/>
        <w:rPr>
          <w:rFonts w:ascii="Times New Roman" w:eastAsiaTheme="minorEastAsia" w:hAnsi="Times New Roman" w:cs="Times New Roman"/>
          <w:sz w:val="24"/>
          <w:szCs w:val="24"/>
          <w:lang w:val="en-US"/>
        </w:rPr>
      </w:pPr>
      <w:r w:rsidRPr="000374E4">
        <w:rPr>
          <w:rFonts w:ascii="Times New Roman" w:eastAsiaTheme="minorEastAsia" w:hAnsi="Times New Roman" w:cs="Times New Roman"/>
          <w:sz w:val="24"/>
          <w:szCs w:val="24"/>
          <w:lang w:val="en-US"/>
        </w:rPr>
        <w:t xml:space="preserve">Heckman, J. J.; </w:t>
      </w:r>
      <w:proofErr w:type="spellStart"/>
      <w:r w:rsidRPr="000374E4">
        <w:rPr>
          <w:rFonts w:ascii="Times New Roman" w:eastAsiaTheme="minorEastAsia" w:hAnsi="Times New Roman" w:cs="Times New Roman"/>
          <w:sz w:val="24"/>
          <w:szCs w:val="24"/>
          <w:lang w:val="en-US"/>
        </w:rPr>
        <w:t>Humpries</w:t>
      </w:r>
      <w:proofErr w:type="spellEnd"/>
      <w:r w:rsidRPr="000374E4">
        <w:rPr>
          <w:rFonts w:ascii="Times New Roman" w:eastAsiaTheme="minorEastAsia" w:hAnsi="Times New Roman" w:cs="Times New Roman"/>
          <w:sz w:val="24"/>
          <w:szCs w:val="24"/>
          <w:lang w:val="en-US"/>
        </w:rPr>
        <w:t xml:space="preserve">, J. E.; </w:t>
      </w:r>
      <w:proofErr w:type="spellStart"/>
      <w:r w:rsidRPr="000374E4">
        <w:rPr>
          <w:rFonts w:ascii="Times New Roman" w:eastAsiaTheme="minorEastAsia" w:hAnsi="Times New Roman" w:cs="Times New Roman"/>
          <w:sz w:val="24"/>
          <w:szCs w:val="24"/>
          <w:lang w:val="en-US"/>
        </w:rPr>
        <w:t>Veramendi</w:t>
      </w:r>
      <w:proofErr w:type="spellEnd"/>
      <w:r w:rsidRPr="000374E4">
        <w:rPr>
          <w:rFonts w:ascii="Times New Roman" w:eastAsiaTheme="minorEastAsia" w:hAnsi="Times New Roman" w:cs="Times New Roman"/>
          <w:sz w:val="24"/>
          <w:szCs w:val="24"/>
          <w:lang w:val="en-US"/>
        </w:rPr>
        <w:t xml:space="preserve">, G.; </w:t>
      </w:r>
      <w:proofErr w:type="spellStart"/>
      <w:r w:rsidRPr="000374E4">
        <w:rPr>
          <w:rFonts w:ascii="Times New Roman" w:eastAsiaTheme="minorEastAsia" w:hAnsi="Times New Roman" w:cs="Times New Roman"/>
          <w:sz w:val="24"/>
          <w:szCs w:val="24"/>
          <w:lang w:val="en-US"/>
        </w:rPr>
        <w:t>Urzúa</w:t>
      </w:r>
      <w:proofErr w:type="spellEnd"/>
      <w:r w:rsidRPr="000374E4">
        <w:rPr>
          <w:rFonts w:ascii="Times New Roman" w:eastAsiaTheme="minorEastAsia" w:hAnsi="Times New Roman" w:cs="Times New Roman"/>
          <w:sz w:val="24"/>
          <w:szCs w:val="24"/>
          <w:lang w:val="en-US"/>
        </w:rPr>
        <w:t xml:space="preserve">, S. </w:t>
      </w:r>
      <w:r w:rsidRPr="00541328">
        <w:rPr>
          <w:rFonts w:ascii="Times New Roman" w:eastAsiaTheme="minorEastAsia" w:hAnsi="Times New Roman" w:cs="Times New Roman"/>
          <w:i/>
          <w:sz w:val="24"/>
          <w:szCs w:val="24"/>
          <w:lang w:val="en-US"/>
        </w:rPr>
        <w:t>Education, Health and Wages</w:t>
      </w:r>
      <w:r>
        <w:rPr>
          <w:rFonts w:ascii="Times New Roman" w:eastAsiaTheme="minorEastAsia" w:hAnsi="Times New Roman" w:cs="Times New Roman"/>
          <w:sz w:val="24"/>
          <w:szCs w:val="24"/>
          <w:lang w:val="en-US"/>
        </w:rPr>
        <w:t xml:space="preserve">. Working </w:t>
      </w:r>
      <w:r w:rsidR="00B074C2">
        <w:rPr>
          <w:rFonts w:ascii="Times New Roman" w:eastAsiaTheme="minorEastAsia" w:hAnsi="Times New Roman" w:cs="Times New Roman"/>
          <w:sz w:val="24"/>
          <w:szCs w:val="24"/>
          <w:lang w:val="en-US"/>
        </w:rPr>
        <w:t>Paper 19971. National Bureau of</w:t>
      </w:r>
      <w:r>
        <w:rPr>
          <w:rFonts w:ascii="Times New Roman" w:eastAsiaTheme="minorEastAsia" w:hAnsi="Times New Roman" w:cs="Times New Roman"/>
          <w:sz w:val="24"/>
          <w:szCs w:val="24"/>
          <w:lang w:val="en-US"/>
        </w:rPr>
        <w:t xml:space="preserve"> Economic Research, 2014.</w:t>
      </w:r>
    </w:p>
    <w:p w:rsidR="00B071F6" w:rsidRDefault="00B071F6" w:rsidP="00B071F6">
      <w:pPr>
        <w:spacing w:after="20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Humphries, J. E.; </w:t>
      </w:r>
      <w:proofErr w:type="spellStart"/>
      <w:r>
        <w:rPr>
          <w:rFonts w:ascii="Times New Roman" w:eastAsiaTheme="minorEastAsia" w:hAnsi="Times New Roman" w:cs="Times New Roman"/>
          <w:sz w:val="24"/>
          <w:szCs w:val="24"/>
          <w:lang w:val="en-US"/>
        </w:rPr>
        <w:t>Kosse</w:t>
      </w:r>
      <w:proofErr w:type="spellEnd"/>
      <w:r>
        <w:rPr>
          <w:rFonts w:ascii="Times New Roman" w:eastAsiaTheme="minorEastAsia" w:hAnsi="Times New Roman" w:cs="Times New Roman"/>
          <w:sz w:val="24"/>
          <w:szCs w:val="24"/>
          <w:lang w:val="en-US"/>
        </w:rPr>
        <w:t xml:space="preserve">, F. </w:t>
      </w:r>
      <w:r w:rsidRPr="00541328">
        <w:rPr>
          <w:rFonts w:ascii="Times New Roman" w:eastAsiaTheme="minorEastAsia" w:hAnsi="Times New Roman" w:cs="Times New Roman"/>
          <w:i/>
          <w:sz w:val="24"/>
          <w:szCs w:val="24"/>
          <w:lang w:val="en-US"/>
        </w:rPr>
        <w:t xml:space="preserve">On the Interpretation of Non-cognitive Skills: </w:t>
      </w:r>
      <w:r w:rsidRPr="006242B3">
        <w:rPr>
          <w:rFonts w:ascii="Times New Roman" w:eastAsiaTheme="minorEastAsia" w:hAnsi="Times New Roman" w:cs="Times New Roman"/>
          <w:sz w:val="24"/>
          <w:szCs w:val="24"/>
          <w:lang w:val="en-US"/>
        </w:rPr>
        <w:t xml:space="preserve">What is Being Measured and </w:t>
      </w:r>
      <w:proofErr w:type="gramStart"/>
      <w:r w:rsidRPr="006242B3">
        <w:rPr>
          <w:rFonts w:ascii="Times New Roman" w:eastAsiaTheme="minorEastAsia" w:hAnsi="Times New Roman" w:cs="Times New Roman"/>
          <w:sz w:val="24"/>
          <w:szCs w:val="24"/>
          <w:lang w:val="en-US"/>
        </w:rPr>
        <w:t>Why</w:t>
      </w:r>
      <w:proofErr w:type="gramEnd"/>
      <w:r w:rsidRPr="006242B3">
        <w:rPr>
          <w:rFonts w:ascii="Times New Roman" w:eastAsiaTheme="minorEastAsia" w:hAnsi="Times New Roman" w:cs="Times New Roman"/>
          <w:sz w:val="24"/>
          <w:szCs w:val="24"/>
          <w:lang w:val="en-US"/>
        </w:rPr>
        <w:t xml:space="preserve"> it Matters</w:t>
      </w:r>
      <w:r>
        <w:rPr>
          <w:rFonts w:ascii="Times New Roman" w:eastAsiaTheme="minorEastAsia" w:hAnsi="Times New Roman" w:cs="Times New Roman"/>
          <w:sz w:val="24"/>
          <w:szCs w:val="24"/>
          <w:lang w:val="en-US"/>
        </w:rPr>
        <w:t>. Working Paper 2016-025. Human Capital and Economic Opportunity, 2016</w:t>
      </w:r>
    </w:p>
    <w:p w:rsidR="00B071F6" w:rsidRDefault="00B071F6" w:rsidP="000374E4">
      <w:pPr>
        <w:spacing w:after="200" w:line="360" w:lineRule="auto"/>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Nybom</w:t>
      </w:r>
      <w:proofErr w:type="spellEnd"/>
      <w:r>
        <w:rPr>
          <w:rFonts w:ascii="Times New Roman" w:eastAsiaTheme="minorEastAsia" w:hAnsi="Times New Roman" w:cs="Times New Roman"/>
          <w:sz w:val="24"/>
          <w:szCs w:val="24"/>
          <w:lang w:val="en-US"/>
        </w:rPr>
        <w:t xml:space="preserve">, M. </w:t>
      </w:r>
      <w:r w:rsidRPr="00541328">
        <w:rPr>
          <w:rFonts w:ascii="Times New Roman" w:eastAsiaTheme="minorEastAsia" w:hAnsi="Times New Roman" w:cs="Times New Roman"/>
          <w:i/>
          <w:sz w:val="24"/>
          <w:szCs w:val="24"/>
          <w:lang w:val="en-US"/>
        </w:rPr>
        <w:t>The Distribution of Lifetime Earnings Returns to College</w:t>
      </w:r>
      <w:r>
        <w:rPr>
          <w:rFonts w:ascii="Times New Roman" w:eastAsiaTheme="minorEastAsia" w:hAnsi="Times New Roman" w:cs="Times New Roman"/>
          <w:sz w:val="24"/>
          <w:szCs w:val="24"/>
          <w:lang w:val="en-US"/>
        </w:rPr>
        <w:t xml:space="preserve">. Working Paper 2/2014. </w:t>
      </w:r>
      <w:proofErr w:type="spellStart"/>
      <w:r>
        <w:rPr>
          <w:rFonts w:ascii="Times New Roman" w:eastAsiaTheme="minorEastAsia" w:hAnsi="Times New Roman" w:cs="Times New Roman"/>
          <w:sz w:val="24"/>
          <w:szCs w:val="24"/>
          <w:lang w:val="en-US"/>
        </w:rPr>
        <w:t>Sweding</w:t>
      </w:r>
      <w:proofErr w:type="spellEnd"/>
      <w:r>
        <w:rPr>
          <w:rFonts w:ascii="Times New Roman" w:eastAsiaTheme="minorEastAsia" w:hAnsi="Times New Roman" w:cs="Times New Roman"/>
          <w:sz w:val="24"/>
          <w:szCs w:val="24"/>
          <w:lang w:val="en-US"/>
        </w:rPr>
        <w:t xml:space="preserve"> Institute for Social Research, 2014</w:t>
      </w:r>
    </w:p>
    <w:p w:rsidR="006A4802" w:rsidRDefault="006A4802" w:rsidP="000374E4">
      <w:pPr>
        <w:spacing w:after="20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Roy, A. D. Some thoughts on the distribution of earnings. </w:t>
      </w:r>
      <w:r w:rsidRPr="006A4802">
        <w:rPr>
          <w:rFonts w:ascii="Times New Roman" w:eastAsiaTheme="minorEastAsia" w:hAnsi="Times New Roman" w:cs="Times New Roman"/>
          <w:i/>
          <w:sz w:val="24"/>
          <w:szCs w:val="24"/>
          <w:lang w:val="en-US"/>
        </w:rPr>
        <w:t xml:space="preserve">Oxford Economics Papers </w:t>
      </w:r>
      <w:r>
        <w:rPr>
          <w:rFonts w:ascii="Times New Roman" w:eastAsiaTheme="minorEastAsia" w:hAnsi="Times New Roman" w:cs="Times New Roman"/>
          <w:sz w:val="24"/>
          <w:szCs w:val="24"/>
          <w:lang w:val="en-US"/>
        </w:rPr>
        <w:t>3: 135-146, 1951</w:t>
      </w:r>
    </w:p>
    <w:p w:rsidR="00057A52" w:rsidRDefault="00057A52" w:rsidP="000374E4">
      <w:pPr>
        <w:spacing w:after="200" w:line="360" w:lineRule="auto"/>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Sarzosa</w:t>
      </w:r>
      <w:proofErr w:type="spellEnd"/>
      <w:r>
        <w:rPr>
          <w:rFonts w:ascii="Times New Roman" w:eastAsiaTheme="minorEastAsia" w:hAnsi="Times New Roman" w:cs="Times New Roman"/>
          <w:sz w:val="24"/>
          <w:szCs w:val="24"/>
          <w:lang w:val="en-US"/>
        </w:rPr>
        <w:t xml:space="preserve">, M.; </w:t>
      </w:r>
      <w:proofErr w:type="spellStart"/>
      <w:r>
        <w:rPr>
          <w:rFonts w:ascii="Times New Roman" w:eastAsiaTheme="minorEastAsia" w:hAnsi="Times New Roman" w:cs="Times New Roman"/>
          <w:sz w:val="24"/>
          <w:szCs w:val="24"/>
          <w:lang w:val="en-US"/>
        </w:rPr>
        <w:t>Urzúa</w:t>
      </w:r>
      <w:proofErr w:type="spellEnd"/>
      <w:r>
        <w:rPr>
          <w:rFonts w:ascii="Times New Roman" w:eastAsiaTheme="minorEastAsia" w:hAnsi="Times New Roman" w:cs="Times New Roman"/>
          <w:sz w:val="24"/>
          <w:szCs w:val="24"/>
          <w:lang w:val="en-US"/>
        </w:rPr>
        <w:t xml:space="preserve">, S. Implementing factor models for unobserved heterogeneity in Stata. </w:t>
      </w:r>
      <w:r w:rsidRPr="00541328">
        <w:rPr>
          <w:rFonts w:ascii="Times New Roman" w:eastAsiaTheme="minorEastAsia" w:hAnsi="Times New Roman" w:cs="Times New Roman"/>
          <w:i/>
          <w:sz w:val="24"/>
          <w:szCs w:val="24"/>
          <w:lang w:val="en-US"/>
        </w:rPr>
        <w:t>Stata Journal</w:t>
      </w:r>
      <w:r>
        <w:rPr>
          <w:rFonts w:ascii="Times New Roman" w:eastAsiaTheme="minorEastAsia" w:hAnsi="Times New Roman" w:cs="Times New Roman"/>
          <w:sz w:val="24"/>
          <w:szCs w:val="24"/>
          <w:lang w:val="en-US"/>
        </w:rPr>
        <w:t>, 16(1): 197-228, 2016</w:t>
      </w:r>
    </w:p>
    <w:sectPr w:rsidR="00057A52" w:rsidSect="00BE020B">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42C" w:rsidRDefault="005E142C" w:rsidP="00924D70">
      <w:pPr>
        <w:spacing w:after="0" w:line="240" w:lineRule="auto"/>
      </w:pPr>
      <w:r>
        <w:separator/>
      </w:r>
    </w:p>
  </w:endnote>
  <w:endnote w:type="continuationSeparator" w:id="0">
    <w:p w:rsidR="005E142C" w:rsidRDefault="005E142C" w:rsidP="0092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42C" w:rsidRDefault="005E142C" w:rsidP="00924D70">
      <w:pPr>
        <w:spacing w:after="0" w:line="240" w:lineRule="auto"/>
      </w:pPr>
      <w:r>
        <w:separator/>
      </w:r>
    </w:p>
  </w:footnote>
  <w:footnote w:type="continuationSeparator" w:id="0">
    <w:p w:rsidR="005E142C" w:rsidRDefault="005E142C" w:rsidP="00924D70">
      <w:pPr>
        <w:spacing w:after="0" w:line="240" w:lineRule="auto"/>
      </w:pPr>
      <w:r>
        <w:continuationSeparator/>
      </w:r>
    </w:p>
  </w:footnote>
  <w:footnote w:id="1">
    <w:p w:rsidR="005E142C" w:rsidRDefault="005E142C" w:rsidP="007B10FC">
      <w:pPr>
        <w:pStyle w:val="Textodenotaderodap"/>
      </w:pPr>
      <w:r>
        <w:rPr>
          <w:rStyle w:val="Refdenotaderodap"/>
        </w:rPr>
        <w:footnoteRef/>
      </w:r>
      <w:r>
        <w:t xml:space="preserve"> Como é o caso das medidas de personalidade chamadas de </w:t>
      </w:r>
      <w:r w:rsidRPr="00DF6631">
        <w:rPr>
          <w:i/>
        </w:rPr>
        <w:t>Big Five</w:t>
      </w:r>
      <w:r>
        <w:t xml:space="preserve"> na literatura. Em português, são denominadas de </w:t>
      </w:r>
      <w:r w:rsidR="00DF3433" w:rsidRPr="0033232F">
        <w:t>Estabilidade Emocional</w:t>
      </w:r>
      <w:r w:rsidRPr="0033232F">
        <w:t xml:space="preserve">, Extroversão, Amabilidade, </w:t>
      </w:r>
      <w:proofErr w:type="spellStart"/>
      <w:r w:rsidR="00DF3433" w:rsidRPr="0033232F">
        <w:t>Conscienciosidade</w:t>
      </w:r>
      <w:proofErr w:type="spellEnd"/>
      <w:r w:rsidR="00DF3433" w:rsidRPr="0033232F">
        <w:t xml:space="preserve"> </w:t>
      </w:r>
      <w:r w:rsidRPr="0033232F">
        <w:t>e Abertura a Experiência</w:t>
      </w:r>
      <w:r w:rsidR="00DF3433" w:rsidRPr="0033232F">
        <w:t>s</w:t>
      </w:r>
      <w:r w:rsidRPr="0033232F">
        <w:t>.</w:t>
      </w:r>
    </w:p>
  </w:footnote>
  <w:footnote w:id="2">
    <w:p w:rsidR="005E142C" w:rsidRPr="00D32FE5" w:rsidRDefault="005E142C">
      <w:pPr>
        <w:pStyle w:val="Textodenotaderodap"/>
      </w:pPr>
      <w:r>
        <w:rPr>
          <w:rStyle w:val="Refdenotaderodap"/>
        </w:rPr>
        <w:footnoteRef/>
      </w:r>
      <w:r>
        <w:t xml:space="preserve"> As hipóteses técnicas são</w:t>
      </w:r>
      <w:r w:rsidRPr="00D32FE5">
        <w:t>:</w:t>
      </w:r>
      <w:r>
        <w:t xml:space="preserve"> i)</w:t>
      </w:r>
      <w:r w:rsidRPr="00D32FE5">
        <w:t xml:space="preserve"> </w:t>
      </w:r>
      <w:r w:rsidRPr="00410525">
        <w:rPr>
          <w:rFonts w:ascii="Times New Roman" w:eastAsiaTheme="minorEastAsia" w:hAnsi="Times New Roman" w:cs="Times New Roman"/>
        </w:rPr>
        <w:t>E(</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)=0</m:t>
        </m:r>
      </m:oMath>
      <w:r w:rsidRPr="00D32FE5">
        <w:rPr>
          <w:rFonts w:ascii="Times New Roman" w:eastAsiaTheme="minorEastAsia" w:hAnsi="Times New Roman" w:cs="Times New Roman"/>
        </w:rPr>
        <w:t xml:space="preserv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ctrlPr>
              <w:rPr>
                <w:rFonts w:ascii="Cambria Math" w:hAnsi="Cambria Math"/>
                <w:i/>
              </w:rPr>
            </m:ctrlPr>
          </m:e>
        </m:d>
        <m:r>
          <w:rPr>
            <w:rFonts w:ascii="Cambria Math" w:hAnsi="Cambria Math"/>
          </w:rPr>
          <m:t>=0</m:t>
        </m:r>
      </m:oMath>
      <w:r w:rsidRPr="00D32FE5">
        <w:rPr>
          <w:rFonts w:ascii="Times New Roman" w:eastAsiaTheme="minorEastAsia" w:hAnsi="Times New Roman" w:cs="Times New Roman"/>
        </w:rPr>
        <w:t>; ii)</w:t>
      </w:r>
      <w:r w:rsidRPr="00410525">
        <w:rPr>
          <w:rFonts w:ascii="Times New Roman" w:eastAsiaTheme="minorEastAsia" w:hAnsi="Times New Roman" w:cs="Times New Roman"/>
        </w:rP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e>
        </m:d>
        <m:r>
          <w:rPr>
            <w:rFonts w:ascii="Cambria Math" w:eastAsiaTheme="minorEastAsia" w:hAnsi="Cambria Math" w:cs="Times New Roman" w:hint="eastAsia"/>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hint="eastAsia"/>
                  </w:rPr>
                  <m:t>θ</m:t>
                </m:r>
              </m:e>
              <m:sup>
                <m:r>
                  <w:rPr>
                    <w:rFonts w:ascii="Cambria Math" w:eastAsiaTheme="minorEastAsia" w:hAnsi="Cambria Math" w:cs="Times New Roman" w:hint="eastAsia"/>
                  </w:rPr>
                  <m:t>A</m:t>
                </m:r>
              </m:sup>
            </m:sSup>
            <m:r>
              <w:rPr>
                <w:rFonts w:ascii="Cambria Math" w:eastAsiaTheme="minorEastAsia" w:hAnsi="Cambria Math" w:cs="Times New Roman" w:hint="eastAsia"/>
              </w:rPr>
              <m:t>,</m:t>
            </m:r>
            <m:sSup>
              <m:sSupPr>
                <m:ctrlPr>
                  <w:rPr>
                    <w:rFonts w:ascii="Cambria Math" w:eastAsiaTheme="minorEastAsia" w:hAnsi="Cambria Math" w:cs="Times New Roman"/>
                    <w:i/>
                  </w:rPr>
                </m:ctrlPr>
              </m:sSupPr>
              <m:e>
                <m:r>
                  <w:rPr>
                    <w:rFonts w:ascii="Cambria Math" w:eastAsiaTheme="minorEastAsia" w:hAnsi="Cambria Math" w:cs="Times New Roman" w:hint="eastAsia"/>
                  </w:rPr>
                  <m:t>θ</m:t>
                </m:r>
              </m:e>
              <m:sup>
                <m:r>
                  <w:rPr>
                    <w:rFonts w:ascii="Cambria Math" w:eastAsiaTheme="minorEastAsia" w:hAnsi="Cambria Math" w:cs="Times New Roman" w:hint="eastAsia"/>
                  </w:rPr>
                  <m:t>B</m:t>
                </m:r>
              </m:sup>
            </m:sSup>
          </m:e>
        </m:d>
      </m:oMath>
      <w:r>
        <w:rPr>
          <w:rFonts w:ascii="Times New Roman" w:eastAsiaTheme="minorEastAsia" w:hAnsi="Times New Roman" w:cs="Times New Roman"/>
        </w:rPr>
        <w:t>; os dois termos de erro seguem distribuições normais</w:t>
      </w:r>
      <w:r>
        <w:rPr>
          <w:rFonts w:eastAsiaTheme="minorEastAsia"/>
        </w:rPr>
        <w:t>;</w:t>
      </w:r>
      <w:r w:rsidRPr="00D32FE5">
        <w:rPr>
          <w:rFonts w:eastAsiaTheme="minorEastAsia"/>
        </w:rPr>
        <w:t xml:space="preserve"> </w:t>
      </w:r>
      <w:proofErr w:type="spellStart"/>
      <w:r>
        <w:rPr>
          <w:rFonts w:eastAsiaTheme="minorEastAsia"/>
        </w:rPr>
        <w:t>iii</w:t>
      </w:r>
      <w:proofErr w:type="spellEnd"/>
      <w:r>
        <w:rPr>
          <w:rFonts w:eastAsiaTheme="minorEastAsia"/>
        </w:rPr>
        <w:t>)</w:t>
      </w:r>
      <w:r w:rsidRPr="00D32FE5">
        <w:rPr>
          <w:rFonts w:eastAsiaTheme="minorEastAsia"/>
        </w:rP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eastAsiaTheme="minorEastAsia" w:hAnsi="Cambria Math" w:cs="Times New Roman"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oMath>
      <w:r w:rsidRPr="00D32FE5">
        <w:rPr>
          <w:rFonts w:eastAsiaTheme="minorEastAsia"/>
        </w:rPr>
        <w:t>;</w:t>
      </w:r>
      <w:r w:rsidRPr="00D32FE5">
        <w:t xml:space="preserve"> </w:t>
      </w:r>
      <w:proofErr w:type="spellStart"/>
      <w:r>
        <w:t>iv</w:t>
      </w:r>
      <w:proofErr w:type="spellEnd"/>
      <w:r>
        <w:t>)</w:t>
      </w:r>
      <w:r w:rsidRPr="00410525">
        <w:rPr>
          <w:rFonts w:ascii="Times New Roman" w:eastAsiaTheme="minorEastAsia" w:hAnsi="Times New Roman" w:cs="Times New Roman"/>
        </w:rPr>
        <w:t xml:space="preserve"> </w:t>
      </w:r>
      <m:oMath>
        <m:r>
          <w:rPr>
            <w:rFonts w:ascii="Cambria Math" w:eastAsiaTheme="minorEastAsia" w:hAnsi="Cambria Math" w:cs="Times New Roman" w:hint="eastAsia"/>
          </w:rPr>
          <m:t>θ</m:t>
        </m:r>
        <m:r>
          <w:rPr>
            <w:rFonts w:ascii="Cambria Math" w:eastAsiaTheme="minorEastAsia" w:hAnsi="Cambria Math" w:cs="Times New Roman" w:hint="eastAsia"/>
          </w:rPr>
          <m:t>⊥</m:t>
        </m:r>
        <m:sSup>
          <m:sSupPr>
            <m:ctrlPr>
              <w:rPr>
                <w:rFonts w:ascii="Cambria Math" w:eastAsiaTheme="minorEastAsia" w:hAnsi="Cambria Math" w:cs="Times New Roman"/>
                <w:i/>
              </w:rPr>
            </m:ctrlPr>
          </m:sSupPr>
          <m:e>
            <m:r>
              <w:rPr>
                <w:rFonts w:ascii="Cambria Math" w:eastAsiaTheme="minorEastAsia" w:hAnsi="Cambria Math" w:cs="Times New Roman" w:hint="eastAsia"/>
              </w:rPr>
              <m:t>e</m:t>
            </m:r>
          </m:e>
          <m:sup>
            <m:r>
              <w:rPr>
                <w:rFonts w:ascii="Cambria Math" w:eastAsiaTheme="minorEastAsia" w:hAnsi="Cambria Math" w:cs="Times New Roman" w:hint="eastAsia"/>
              </w:rPr>
              <m:t>D</m:t>
            </m:r>
          </m:sup>
        </m:sSup>
      </m:oMath>
      <w:r w:rsidRPr="00410525">
        <w:rPr>
          <w:rFonts w:ascii="Times New Roman" w:eastAsiaTheme="minorEastAsia" w:hAnsi="Times New Roman" w:cs="Times New Roman"/>
        </w:rPr>
        <w:t xml:space="preserve">, </w:t>
      </w:r>
      <m:oMath>
        <m:r>
          <w:rPr>
            <w:rFonts w:ascii="Cambria Math" w:eastAsiaTheme="minorEastAsia" w:hAnsi="Cambria Math" w:cs="Times New Roman" w:hint="eastAsia"/>
          </w:rPr>
          <m:t>E</m:t>
        </m:r>
        <m:d>
          <m:dPr>
            <m:ctrlPr>
              <w:rPr>
                <w:rFonts w:ascii="Cambria Math" w:eastAsiaTheme="minorEastAsia" w:hAnsi="Cambria Math" w:cs="Times New Roman"/>
                <w:i/>
              </w:rPr>
            </m:ctrlPr>
          </m:dPr>
          <m:e>
            <m:r>
              <w:rPr>
                <w:rFonts w:ascii="Cambria Math" w:eastAsiaTheme="minorEastAsia" w:hAnsi="Cambria Math" w:cs="Times New Roman" w:hint="eastAsia"/>
              </w:rPr>
              <m:t>θ</m:t>
            </m:r>
          </m:e>
        </m:d>
        <m:r>
          <w:rPr>
            <w:rFonts w:ascii="Cambria Math" w:eastAsiaTheme="minorEastAsia" w:hAnsi="Cambria Math" w:cs="Times New Roman" w:hint="eastAsia"/>
          </w:rPr>
          <m:t>=0</m:t>
        </m:r>
      </m:oMath>
      <w:r w:rsidRPr="00D32FE5">
        <w:rPr>
          <w:rFonts w:ascii="Times New Roman" w:eastAsiaTheme="minorEastAsia" w:hAnsi="Times New Roman" w:cs="Times New Roman"/>
        </w:rPr>
        <w:t>;</w:t>
      </w:r>
      <w:r>
        <w:rPr>
          <w:rFonts w:ascii="Times New Roman" w:eastAsiaTheme="minorEastAsia" w:hAnsi="Times New Roman" w:cs="Times New Roman"/>
        </w:rPr>
        <w:t xml:space="preserve"> v)</w:t>
      </w:r>
      <w:r w:rsidRPr="00410525">
        <w:rPr>
          <w:rFonts w:ascii="Times New Roman" w:eastAsiaTheme="minorEastAsia" w:hAnsi="Times New Roman" w:cs="Times New Roman"/>
        </w:rPr>
        <w:t xml:space="preserve"> </w:t>
      </w:r>
      <m:oMath>
        <m:r>
          <w:rPr>
            <w:rFonts w:ascii="Cambria Math" w:eastAsiaTheme="minorEastAsia" w:hAnsi="Cambria Math" w:cs="Times New Roman" w:hint="eastAsia"/>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hint="eastAsia"/>
                  </w:rPr>
                  <m:t>e</m:t>
                </m:r>
              </m:e>
              <m:sup>
                <m:r>
                  <w:rPr>
                    <w:rFonts w:ascii="Cambria Math" w:eastAsiaTheme="minorEastAsia" w:hAnsi="Cambria Math" w:cs="Times New Roman" w:hint="eastAsia"/>
                  </w:rPr>
                  <m:t>D</m:t>
                </m:r>
              </m:sup>
            </m:sSup>
          </m:e>
        </m:d>
        <m:r>
          <w:rPr>
            <w:rFonts w:ascii="Cambria Math" w:eastAsiaTheme="minorEastAsia" w:hAnsi="Cambria Math" w:cs="Times New Roman" w:hint="eastAsia"/>
          </w:rPr>
          <m:t>=0</m:t>
        </m:r>
      </m:oMath>
      <w:r w:rsidRPr="00410525">
        <w:rPr>
          <w:rFonts w:ascii="Times New Roman" w:eastAsiaTheme="minorEastAsia" w:hAnsi="Times New Roman" w:cs="Times New Roman"/>
        </w:rPr>
        <w:t>;</w:t>
      </w:r>
      <w:r w:rsidRPr="00D32FE5">
        <w:t xml:space="preserve"> </w:t>
      </w:r>
      <w:r>
        <w:t>vi</w:t>
      </w:r>
      <w:r w:rsidRPr="00D32FE5">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e>
        </m:d>
        <m:r>
          <w:rPr>
            <w:rFonts w:ascii="Cambria Math" w:eastAsiaTheme="minorEastAsia" w:hAnsi="Cambria Math" w:cs="Times New Roman" w:hint="eastAsia"/>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hint="eastAsia"/>
                  </w:rPr>
                  <m:t>e</m:t>
                </m:r>
              </m:e>
              <m:sup>
                <m:r>
                  <w:rPr>
                    <w:rFonts w:ascii="Cambria Math" w:eastAsiaTheme="minorEastAsia" w:hAnsi="Cambria Math" w:cs="Times New Roman" w:hint="eastAsia"/>
                  </w:rPr>
                  <m:t>D</m:t>
                </m:r>
              </m:sup>
            </m:sSup>
          </m:e>
        </m:d>
      </m:oMath>
      <w:r>
        <w:rPr>
          <w:rFonts w:eastAsiaTheme="minorEastAsia"/>
        </w:rPr>
        <w:t>;</w:t>
      </w:r>
      <w:r w:rsidRPr="00D32FE5">
        <w:t xml:space="preserve"> </w:t>
      </w:r>
      <w:proofErr w:type="spellStart"/>
      <w:r>
        <w:t>v</w:t>
      </w:r>
      <w:r w:rsidRPr="00D32FE5">
        <w:rPr>
          <w:rFonts w:eastAsiaTheme="minorEastAsia"/>
        </w:rPr>
        <w:t>ii</w:t>
      </w:r>
      <w:proofErr w:type="spellEnd"/>
      <w:r w:rsidRPr="00D32FE5">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e>
        </m:d>
        <m:r>
          <w:rPr>
            <w:rFonts w:ascii="Cambria Math" w:eastAsiaTheme="minorEastAsia" w:hAnsi="Cambria Math" w:cs="Times New Roman" w:hint="eastAsia"/>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hint="eastAsia"/>
                  </w:rPr>
                  <m:t>θ</m:t>
                </m:r>
              </m:e>
              <m:sup>
                <m:r>
                  <w:rPr>
                    <w:rFonts w:ascii="Cambria Math" w:eastAsiaTheme="minorEastAsia" w:hAnsi="Cambria Math" w:cs="Times New Roman" w:hint="eastAsia"/>
                  </w:rPr>
                  <m:t>A</m:t>
                </m:r>
              </m:sup>
            </m:sSup>
            <m:r>
              <w:rPr>
                <w:rFonts w:ascii="Cambria Math" w:eastAsiaTheme="minorEastAsia" w:hAnsi="Cambria Math" w:cs="Times New Roman" w:hint="eastAsia"/>
              </w:rPr>
              <m:t>,</m:t>
            </m:r>
            <m:sSup>
              <m:sSupPr>
                <m:ctrlPr>
                  <w:rPr>
                    <w:rFonts w:ascii="Cambria Math" w:eastAsiaTheme="minorEastAsia" w:hAnsi="Cambria Math" w:cs="Times New Roman"/>
                    <w:i/>
                  </w:rPr>
                </m:ctrlPr>
              </m:sSupPr>
              <m:e>
                <m:r>
                  <w:rPr>
                    <w:rFonts w:ascii="Cambria Math" w:eastAsiaTheme="minorEastAsia" w:hAnsi="Cambria Math" w:cs="Times New Roman" w:hint="eastAsia"/>
                  </w:rPr>
                  <m:t>θ</m:t>
                </m:r>
              </m:e>
              <m:sup>
                <m:r>
                  <w:rPr>
                    <w:rFonts w:ascii="Cambria Math" w:eastAsiaTheme="minorEastAsia" w:hAnsi="Cambria Math" w:cs="Times New Roman" w:hint="eastAsia"/>
                  </w:rPr>
                  <m:t>B</m:t>
                </m:r>
              </m:sup>
            </m:sSup>
            <m:r>
              <w:rPr>
                <w:rFonts w:ascii="Cambria Math" w:eastAsiaTheme="minorEastAsia" w:hAnsi="Cambria Math" w:cs="Times New Roman"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e>
        </m:d>
      </m:oMath>
      <w:r>
        <w:rPr>
          <w:rFonts w:eastAsiaTheme="minorEastAsia"/>
        </w:rPr>
        <w:t>.</w:t>
      </w:r>
    </w:p>
  </w:footnote>
  <w:footnote w:id="3">
    <w:p w:rsidR="005E142C" w:rsidRPr="00670DD4" w:rsidRDefault="005E142C">
      <w:pPr>
        <w:pStyle w:val="Textodenotaderodap"/>
      </w:pPr>
      <w:r w:rsidRPr="005E142C">
        <w:rPr>
          <w:rStyle w:val="Refdenotaderodap"/>
        </w:rPr>
        <w:footnoteRef/>
      </w:r>
      <w:r w:rsidRPr="005E142C">
        <w:t xml:space="preserve"> Embora necessária para a realização do exercício proposto neste estudo, tal hipótese é contrária aos achados da literatura </w:t>
      </w:r>
      <w:r w:rsidRPr="00AD4138">
        <w:t xml:space="preserve">sobre a questão. </w:t>
      </w:r>
    </w:p>
  </w:footnote>
  <w:footnote w:id="4">
    <w:p w:rsidR="005E142C" w:rsidRDefault="005E142C" w:rsidP="00314431">
      <w:pPr>
        <w:pStyle w:val="Textodenotaderodap"/>
      </w:pPr>
      <w:r>
        <w:rPr>
          <w:rStyle w:val="Refdenotaderodap"/>
        </w:rPr>
        <w:footnoteRef/>
      </w:r>
      <w:r>
        <w:t xml:space="preserve"> Todas as estimativas foram feitas com variáveis normalizadas, de modo a obtermos uma interpretação em termos de Desvio-padrão.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80248"/>
    <w:multiLevelType w:val="multilevel"/>
    <w:tmpl w:val="6FB4A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12EBE"/>
    <w:multiLevelType w:val="multilevel"/>
    <w:tmpl w:val="15BE745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39B056BF"/>
    <w:multiLevelType w:val="multilevel"/>
    <w:tmpl w:val="3690BC18"/>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 w15:restartNumberingAfterBreak="0">
    <w:nsid w:val="711E50D7"/>
    <w:multiLevelType w:val="multilevel"/>
    <w:tmpl w:val="3690BC18"/>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77414566"/>
    <w:multiLevelType w:val="multilevel"/>
    <w:tmpl w:val="FA7AB47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C4"/>
    <w:rsid w:val="00002280"/>
    <w:rsid w:val="000076A8"/>
    <w:rsid w:val="000132C6"/>
    <w:rsid w:val="00017036"/>
    <w:rsid w:val="000374E4"/>
    <w:rsid w:val="000563F5"/>
    <w:rsid w:val="00057A52"/>
    <w:rsid w:val="00060B20"/>
    <w:rsid w:val="000644C4"/>
    <w:rsid w:val="00066B7C"/>
    <w:rsid w:val="00067877"/>
    <w:rsid w:val="000777FF"/>
    <w:rsid w:val="00080D54"/>
    <w:rsid w:val="000A16C3"/>
    <w:rsid w:val="000A2BE4"/>
    <w:rsid w:val="000A2EB8"/>
    <w:rsid w:val="000A64E4"/>
    <w:rsid w:val="000B2C00"/>
    <w:rsid w:val="000B2CD8"/>
    <w:rsid w:val="000B573F"/>
    <w:rsid w:val="000C202D"/>
    <w:rsid w:val="000C28E4"/>
    <w:rsid w:val="000D69CD"/>
    <w:rsid w:val="000D70EF"/>
    <w:rsid w:val="000D71F7"/>
    <w:rsid w:val="000E3100"/>
    <w:rsid w:val="000E383D"/>
    <w:rsid w:val="000E3F81"/>
    <w:rsid w:val="000E5E53"/>
    <w:rsid w:val="000E665F"/>
    <w:rsid w:val="000E6746"/>
    <w:rsid w:val="000F61D5"/>
    <w:rsid w:val="0010194B"/>
    <w:rsid w:val="00103F1D"/>
    <w:rsid w:val="00115739"/>
    <w:rsid w:val="001265E2"/>
    <w:rsid w:val="0013538B"/>
    <w:rsid w:val="00137010"/>
    <w:rsid w:val="00140B3C"/>
    <w:rsid w:val="00142440"/>
    <w:rsid w:val="00156613"/>
    <w:rsid w:val="0015698D"/>
    <w:rsid w:val="0017113E"/>
    <w:rsid w:val="00176F67"/>
    <w:rsid w:val="0018116B"/>
    <w:rsid w:val="00182AC1"/>
    <w:rsid w:val="00183315"/>
    <w:rsid w:val="00185571"/>
    <w:rsid w:val="0018713B"/>
    <w:rsid w:val="00194192"/>
    <w:rsid w:val="00195101"/>
    <w:rsid w:val="0019674E"/>
    <w:rsid w:val="001A209C"/>
    <w:rsid w:val="001B7BC1"/>
    <w:rsid w:val="001C1048"/>
    <w:rsid w:val="001C6630"/>
    <w:rsid w:val="001D4AE1"/>
    <w:rsid w:val="001E67B5"/>
    <w:rsid w:val="001F1EA0"/>
    <w:rsid w:val="0020745D"/>
    <w:rsid w:val="00216F5B"/>
    <w:rsid w:val="00222897"/>
    <w:rsid w:val="00223701"/>
    <w:rsid w:val="00223787"/>
    <w:rsid w:val="002269CB"/>
    <w:rsid w:val="00234A80"/>
    <w:rsid w:val="002377B9"/>
    <w:rsid w:val="00241386"/>
    <w:rsid w:val="00243CAC"/>
    <w:rsid w:val="00252921"/>
    <w:rsid w:val="00253841"/>
    <w:rsid w:val="0025648E"/>
    <w:rsid w:val="0026080C"/>
    <w:rsid w:val="00262CBD"/>
    <w:rsid w:val="00265009"/>
    <w:rsid w:val="002666C7"/>
    <w:rsid w:val="00270B78"/>
    <w:rsid w:val="002744E3"/>
    <w:rsid w:val="002752BC"/>
    <w:rsid w:val="00292BEA"/>
    <w:rsid w:val="002B309D"/>
    <w:rsid w:val="002C1803"/>
    <w:rsid w:val="002C23BF"/>
    <w:rsid w:val="002C3F51"/>
    <w:rsid w:val="002C5F5F"/>
    <w:rsid w:val="002C655F"/>
    <w:rsid w:val="002D7D8F"/>
    <w:rsid w:val="002E32EF"/>
    <w:rsid w:val="002E3BDE"/>
    <w:rsid w:val="002E4BFF"/>
    <w:rsid w:val="00300E32"/>
    <w:rsid w:val="0031398A"/>
    <w:rsid w:val="00314431"/>
    <w:rsid w:val="0031545A"/>
    <w:rsid w:val="00320623"/>
    <w:rsid w:val="00325D66"/>
    <w:rsid w:val="0033232F"/>
    <w:rsid w:val="00340A8F"/>
    <w:rsid w:val="00345396"/>
    <w:rsid w:val="003509EE"/>
    <w:rsid w:val="00374C4F"/>
    <w:rsid w:val="00376361"/>
    <w:rsid w:val="0038289D"/>
    <w:rsid w:val="003B488A"/>
    <w:rsid w:val="003B6E08"/>
    <w:rsid w:val="003C3CD9"/>
    <w:rsid w:val="003D1CAC"/>
    <w:rsid w:val="003D25D3"/>
    <w:rsid w:val="003D35C1"/>
    <w:rsid w:val="003E1232"/>
    <w:rsid w:val="00402531"/>
    <w:rsid w:val="00410434"/>
    <w:rsid w:val="00410525"/>
    <w:rsid w:val="00412693"/>
    <w:rsid w:val="004154DB"/>
    <w:rsid w:val="004253F2"/>
    <w:rsid w:val="0043131D"/>
    <w:rsid w:val="00432C56"/>
    <w:rsid w:val="00435377"/>
    <w:rsid w:val="004358ED"/>
    <w:rsid w:val="004415E4"/>
    <w:rsid w:val="004431F5"/>
    <w:rsid w:val="00444569"/>
    <w:rsid w:val="00446360"/>
    <w:rsid w:val="00455A96"/>
    <w:rsid w:val="00460B91"/>
    <w:rsid w:val="0046571E"/>
    <w:rsid w:val="00472E01"/>
    <w:rsid w:val="00474668"/>
    <w:rsid w:val="004944BC"/>
    <w:rsid w:val="00494610"/>
    <w:rsid w:val="004A7D6B"/>
    <w:rsid w:val="004B3A0B"/>
    <w:rsid w:val="004B6A1F"/>
    <w:rsid w:val="004C201A"/>
    <w:rsid w:val="004C2868"/>
    <w:rsid w:val="004C798E"/>
    <w:rsid w:val="004E1FDF"/>
    <w:rsid w:val="004E340F"/>
    <w:rsid w:val="004E4085"/>
    <w:rsid w:val="004E5A20"/>
    <w:rsid w:val="004E5A6A"/>
    <w:rsid w:val="004F0E51"/>
    <w:rsid w:val="004F10E3"/>
    <w:rsid w:val="004F2110"/>
    <w:rsid w:val="004F4B55"/>
    <w:rsid w:val="004F706F"/>
    <w:rsid w:val="005009D6"/>
    <w:rsid w:val="00502553"/>
    <w:rsid w:val="00506022"/>
    <w:rsid w:val="00506B1D"/>
    <w:rsid w:val="0051066F"/>
    <w:rsid w:val="00510818"/>
    <w:rsid w:val="005208A6"/>
    <w:rsid w:val="00524532"/>
    <w:rsid w:val="00533C0B"/>
    <w:rsid w:val="005344F1"/>
    <w:rsid w:val="00541328"/>
    <w:rsid w:val="00553198"/>
    <w:rsid w:val="00561379"/>
    <w:rsid w:val="005657FE"/>
    <w:rsid w:val="00572732"/>
    <w:rsid w:val="005739A9"/>
    <w:rsid w:val="005763B4"/>
    <w:rsid w:val="0057751F"/>
    <w:rsid w:val="0058152F"/>
    <w:rsid w:val="00585466"/>
    <w:rsid w:val="005857DA"/>
    <w:rsid w:val="00586A24"/>
    <w:rsid w:val="0059135A"/>
    <w:rsid w:val="00597732"/>
    <w:rsid w:val="005A2997"/>
    <w:rsid w:val="005A687F"/>
    <w:rsid w:val="005A6C4A"/>
    <w:rsid w:val="005A6F07"/>
    <w:rsid w:val="005A7D9E"/>
    <w:rsid w:val="005B6091"/>
    <w:rsid w:val="005B66F1"/>
    <w:rsid w:val="005D413F"/>
    <w:rsid w:val="005D4FC2"/>
    <w:rsid w:val="005E142C"/>
    <w:rsid w:val="005E29D7"/>
    <w:rsid w:val="005E6284"/>
    <w:rsid w:val="005E742E"/>
    <w:rsid w:val="005F30CE"/>
    <w:rsid w:val="00600D96"/>
    <w:rsid w:val="0060583D"/>
    <w:rsid w:val="00610AA6"/>
    <w:rsid w:val="006160C2"/>
    <w:rsid w:val="006242B3"/>
    <w:rsid w:val="006375AA"/>
    <w:rsid w:val="00651C34"/>
    <w:rsid w:val="00670DD4"/>
    <w:rsid w:val="006929C4"/>
    <w:rsid w:val="006A2D38"/>
    <w:rsid w:val="006A3919"/>
    <w:rsid w:val="006A4802"/>
    <w:rsid w:val="006A6F00"/>
    <w:rsid w:val="006A7793"/>
    <w:rsid w:val="006C0B50"/>
    <w:rsid w:val="006C1227"/>
    <w:rsid w:val="006C374B"/>
    <w:rsid w:val="006C722C"/>
    <w:rsid w:val="006C749D"/>
    <w:rsid w:val="006D28ED"/>
    <w:rsid w:val="006D3D5C"/>
    <w:rsid w:val="006D4B3D"/>
    <w:rsid w:val="006F3102"/>
    <w:rsid w:val="006F340C"/>
    <w:rsid w:val="00705D1D"/>
    <w:rsid w:val="00706B95"/>
    <w:rsid w:val="00713C09"/>
    <w:rsid w:val="00715B72"/>
    <w:rsid w:val="00721A50"/>
    <w:rsid w:val="007268AF"/>
    <w:rsid w:val="00727B84"/>
    <w:rsid w:val="00733D79"/>
    <w:rsid w:val="00734EE4"/>
    <w:rsid w:val="007357CD"/>
    <w:rsid w:val="00736404"/>
    <w:rsid w:val="00750047"/>
    <w:rsid w:val="00750866"/>
    <w:rsid w:val="00757378"/>
    <w:rsid w:val="0076176D"/>
    <w:rsid w:val="0076492B"/>
    <w:rsid w:val="0077041D"/>
    <w:rsid w:val="007713DE"/>
    <w:rsid w:val="007757DF"/>
    <w:rsid w:val="007779AD"/>
    <w:rsid w:val="00785468"/>
    <w:rsid w:val="007961D1"/>
    <w:rsid w:val="007A18A2"/>
    <w:rsid w:val="007A2EFF"/>
    <w:rsid w:val="007A2F43"/>
    <w:rsid w:val="007B10FC"/>
    <w:rsid w:val="007B2349"/>
    <w:rsid w:val="007B612D"/>
    <w:rsid w:val="007C27F5"/>
    <w:rsid w:val="007E3685"/>
    <w:rsid w:val="007E653F"/>
    <w:rsid w:val="007F04E3"/>
    <w:rsid w:val="007F4284"/>
    <w:rsid w:val="0080445D"/>
    <w:rsid w:val="00805782"/>
    <w:rsid w:val="008112FC"/>
    <w:rsid w:val="00817A8A"/>
    <w:rsid w:val="00845729"/>
    <w:rsid w:val="00850406"/>
    <w:rsid w:val="0085292D"/>
    <w:rsid w:val="008532B7"/>
    <w:rsid w:val="00855F41"/>
    <w:rsid w:val="00856A74"/>
    <w:rsid w:val="008570AE"/>
    <w:rsid w:val="00861945"/>
    <w:rsid w:val="00865C52"/>
    <w:rsid w:val="00867FFD"/>
    <w:rsid w:val="00876399"/>
    <w:rsid w:val="00880CE0"/>
    <w:rsid w:val="008823F0"/>
    <w:rsid w:val="00893B4E"/>
    <w:rsid w:val="008A29EE"/>
    <w:rsid w:val="008B06DD"/>
    <w:rsid w:val="008D3EED"/>
    <w:rsid w:val="00912F0A"/>
    <w:rsid w:val="0092258C"/>
    <w:rsid w:val="00923190"/>
    <w:rsid w:val="00924D70"/>
    <w:rsid w:val="00925C7F"/>
    <w:rsid w:val="00935467"/>
    <w:rsid w:val="0093628E"/>
    <w:rsid w:val="0093629F"/>
    <w:rsid w:val="009368B7"/>
    <w:rsid w:val="00941A8E"/>
    <w:rsid w:val="00941CE8"/>
    <w:rsid w:val="0094682F"/>
    <w:rsid w:val="00946ED9"/>
    <w:rsid w:val="009522B6"/>
    <w:rsid w:val="00954E16"/>
    <w:rsid w:val="00955CE1"/>
    <w:rsid w:val="00957988"/>
    <w:rsid w:val="009605C9"/>
    <w:rsid w:val="00960D51"/>
    <w:rsid w:val="009614BF"/>
    <w:rsid w:val="009741D8"/>
    <w:rsid w:val="009752E5"/>
    <w:rsid w:val="009763E2"/>
    <w:rsid w:val="00977756"/>
    <w:rsid w:val="0098032F"/>
    <w:rsid w:val="0098159C"/>
    <w:rsid w:val="0098300F"/>
    <w:rsid w:val="00983314"/>
    <w:rsid w:val="00984046"/>
    <w:rsid w:val="009929DE"/>
    <w:rsid w:val="00995371"/>
    <w:rsid w:val="009A3C47"/>
    <w:rsid w:val="009B1927"/>
    <w:rsid w:val="009B3280"/>
    <w:rsid w:val="009B6088"/>
    <w:rsid w:val="009B78EE"/>
    <w:rsid w:val="009B7C78"/>
    <w:rsid w:val="009C452C"/>
    <w:rsid w:val="009C6D6F"/>
    <w:rsid w:val="009D551C"/>
    <w:rsid w:val="009D5E6F"/>
    <w:rsid w:val="009F1A74"/>
    <w:rsid w:val="00A071FE"/>
    <w:rsid w:val="00A127C4"/>
    <w:rsid w:val="00A220DD"/>
    <w:rsid w:val="00A2513A"/>
    <w:rsid w:val="00A25CA9"/>
    <w:rsid w:val="00A25E28"/>
    <w:rsid w:val="00A264D0"/>
    <w:rsid w:val="00A27C42"/>
    <w:rsid w:val="00A47722"/>
    <w:rsid w:val="00A5428F"/>
    <w:rsid w:val="00A6354E"/>
    <w:rsid w:val="00A713BD"/>
    <w:rsid w:val="00A7572D"/>
    <w:rsid w:val="00A778EB"/>
    <w:rsid w:val="00A9396B"/>
    <w:rsid w:val="00A93F33"/>
    <w:rsid w:val="00A96EEB"/>
    <w:rsid w:val="00AA36BA"/>
    <w:rsid w:val="00AA3F32"/>
    <w:rsid w:val="00AC30EF"/>
    <w:rsid w:val="00AC5053"/>
    <w:rsid w:val="00AC5907"/>
    <w:rsid w:val="00AC5BB0"/>
    <w:rsid w:val="00AD3643"/>
    <w:rsid w:val="00AD4138"/>
    <w:rsid w:val="00AD4306"/>
    <w:rsid w:val="00AD7354"/>
    <w:rsid w:val="00AE0DEA"/>
    <w:rsid w:val="00B071F6"/>
    <w:rsid w:val="00B074C2"/>
    <w:rsid w:val="00B15037"/>
    <w:rsid w:val="00B158FA"/>
    <w:rsid w:val="00B171B6"/>
    <w:rsid w:val="00B26EA8"/>
    <w:rsid w:val="00B323F6"/>
    <w:rsid w:val="00B37883"/>
    <w:rsid w:val="00B4389C"/>
    <w:rsid w:val="00B447A7"/>
    <w:rsid w:val="00B45CC5"/>
    <w:rsid w:val="00B46A09"/>
    <w:rsid w:val="00B5040E"/>
    <w:rsid w:val="00B507BF"/>
    <w:rsid w:val="00B54E41"/>
    <w:rsid w:val="00B569F6"/>
    <w:rsid w:val="00B57FB1"/>
    <w:rsid w:val="00B652C7"/>
    <w:rsid w:val="00B66B71"/>
    <w:rsid w:val="00B7128B"/>
    <w:rsid w:val="00B807FE"/>
    <w:rsid w:val="00B8221F"/>
    <w:rsid w:val="00B871E7"/>
    <w:rsid w:val="00BA5B89"/>
    <w:rsid w:val="00BB454D"/>
    <w:rsid w:val="00BB4CD3"/>
    <w:rsid w:val="00BC3199"/>
    <w:rsid w:val="00BD1D79"/>
    <w:rsid w:val="00BD67B7"/>
    <w:rsid w:val="00BD6C4E"/>
    <w:rsid w:val="00BE020B"/>
    <w:rsid w:val="00BE0707"/>
    <w:rsid w:val="00BE2B66"/>
    <w:rsid w:val="00BE5610"/>
    <w:rsid w:val="00BF0EF8"/>
    <w:rsid w:val="00BF2F20"/>
    <w:rsid w:val="00BF47E0"/>
    <w:rsid w:val="00C06394"/>
    <w:rsid w:val="00C15677"/>
    <w:rsid w:val="00C17358"/>
    <w:rsid w:val="00C315FD"/>
    <w:rsid w:val="00C33CA2"/>
    <w:rsid w:val="00C346E4"/>
    <w:rsid w:val="00C471E3"/>
    <w:rsid w:val="00C555F6"/>
    <w:rsid w:val="00C5562A"/>
    <w:rsid w:val="00C559D8"/>
    <w:rsid w:val="00C563F2"/>
    <w:rsid w:val="00C574FA"/>
    <w:rsid w:val="00C6012A"/>
    <w:rsid w:val="00C62DD0"/>
    <w:rsid w:val="00C65253"/>
    <w:rsid w:val="00C744B2"/>
    <w:rsid w:val="00C816F0"/>
    <w:rsid w:val="00C94AAA"/>
    <w:rsid w:val="00CA045A"/>
    <w:rsid w:val="00CA0790"/>
    <w:rsid w:val="00CA1ED4"/>
    <w:rsid w:val="00CA3747"/>
    <w:rsid w:val="00CA599B"/>
    <w:rsid w:val="00CB09A4"/>
    <w:rsid w:val="00CB4B95"/>
    <w:rsid w:val="00CB73E1"/>
    <w:rsid w:val="00CC1992"/>
    <w:rsid w:val="00CD254F"/>
    <w:rsid w:val="00CD5CF2"/>
    <w:rsid w:val="00CD7B4C"/>
    <w:rsid w:val="00CE10D6"/>
    <w:rsid w:val="00CE4D80"/>
    <w:rsid w:val="00CE59F2"/>
    <w:rsid w:val="00CE7A0F"/>
    <w:rsid w:val="00CF1AF2"/>
    <w:rsid w:val="00D06579"/>
    <w:rsid w:val="00D06E85"/>
    <w:rsid w:val="00D165E8"/>
    <w:rsid w:val="00D168C1"/>
    <w:rsid w:val="00D20CBE"/>
    <w:rsid w:val="00D2179A"/>
    <w:rsid w:val="00D2215F"/>
    <w:rsid w:val="00D241FF"/>
    <w:rsid w:val="00D2590B"/>
    <w:rsid w:val="00D25E11"/>
    <w:rsid w:val="00D2654E"/>
    <w:rsid w:val="00D3039E"/>
    <w:rsid w:val="00D3268D"/>
    <w:rsid w:val="00D32FE5"/>
    <w:rsid w:val="00D33728"/>
    <w:rsid w:val="00D50218"/>
    <w:rsid w:val="00D5534B"/>
    <w:rsid w:val="00D62B5B"/>
    <w:rsid w:val="00D62B5D"/>
    <w:rsid w:val="00D651EC"/>
    <w:rsid w:val="00D67859"/>
    <w:rsid w:val="00D72636"/>
    <w:rsid w:val="00D75C4B"/>
    <w:rsid w:val="00D76535"/>
    <w:rsid w:val="00D76D12"/>
    <w:rsid w:val="00D829FB"/>
    <w:rsid w:val="00D8595B"/>
    <w:rsid w:val="00D87CCA"/>
    <w:rsid w:val="00D918E1"/>
    <w:rsid w:val="00D951BE"/>
    <w:rsid w:val="00D960DD"/>
    <w:rsid w:val="00DA0CEF"/>
    <w:rsid w:val="00DA5A22"/>
    <w:rsid w:val="00DA79D4"/>
    <w:rsid w:val="00DB7103"/>
    <w:rsid w:val="00DC6701"/>
    <w:rsid w:val="00DD0DA4"/>
    <w:rsid w:val="00DD335C"/>
    <w:rsid w:val="00DE0302"/>
    <w:rsid w:val="00DE152A"/>
    <w:rsid w:val="00DE2E37"/>
    <w:rsid w:val="00DF2DAB"/>
    <w:rsid w:val="00DF3433"/>
    <w:rsid w:val="00DF6631"/>
    <w:rsid w:val="00E002F0"/>
    <w:rsid w:val="00E10819"/>
    <w:rsid w:val="00E22BB8"/>
    <w:rsid w:val="00E36934"/>
    <w:rsid w:val="00E47E5F"/>
    <w:rsid w:val="00E51EBB"/>
    <w:rsid w:val="00E52DCF"/>
    <w:rsid w:val="00E544AF"/>
    <w:rsid w:val="00E55DB5"/>
    <w:rsid w:val="00E61754"/>
    <w:rsid w:val="00E77374"/>
    <w:rsid w:val="00E81E54"/>
    <w:rsid w:val="00E85500"/>
    <w:rsid w:val="00E86566"/>
    <w:rsid w:val="00E92CD1"/>
    <w:rsid w:val="00E93D54"/>
    <w:rsid w:val="00EA05F9"/>
    <w:rsid w:val="00EA4F5A"/>
    <w:rsid w:val="00EC0F1D"/>
    <w:rsid w:val="00EC1005"/>
    <w:rsid w:val="00EC2A7B"/>
    <w:rsid w:val="00EC36B3"/>
    <w:rsid w:val="00EC7702"/>
    <w:rsid w:val="00EC7B45"/>
    <w:rsid w:val="00ED434C"/>
    <w:rsid w:val="00ED5551"/>
    <w:rsid w:val="00ED7573"/>
    <w:rsid w:val="00EE1BB8"/>
    <w:rsid w:val="00EF2ABC"/>
    <w:rsid w:val="00EF3064"/>
    <w:rsid w:val="00F0716A"/>
    <w:rsid w:val="00F11EAE"/>
    <w:rsid w:val="00F12A4A"/>
    <w:rsid w:val="00F12D2F"/>
    <w:rsid w:val="00F2747A"/>
    <w:rsid w:val="00F433B2"/>
    <w:rsid w:val="00F43DEA"/>
    <w:rsid w:val="00F45420"/>
    <w:rsid w:val="00F45424"/>
    <w:rsid w:val="00F4783C"/>
    <w:rsid w:val="00F56C69"/>
    <w:rsid w:val="00F65B50"/>
    <w:rsid w:val="00F73EFF"/>
    <w:rsid w:val="00F81197"/>
    <w:rsid w:val="00F8396A"/>
    <w:rsid w:val="00F873F1"/>
    <w:rsid w:val="00F87905"/>
    <w:rsid w:val="00F975CD"/>
    <w:rsid w:val="00FA098F"/>
    <w:rsid w:val="00FA578A"/>
    <w:rsid w:val="00FA6415"/>
    <w:rsid w:val="00FB397E"/>
    <w:rsid w:val="00FD6297"/>
    <w:rsid w:val="00FE4AC5"/>
    <w:rsid w:val="00FF406F"/>
    <w:rsid w:val="00FF76D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9536F-042D-4E4C-AB74-FF9E90B8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929C4"/>
    <w:rPr>
      <w:color w:val="808080"/>
    </w:rPr>
  </w:style>
  <w:style w:type="paragraph" w:styleId="PargrafodaLista">
    <w:name w:val="List Paragraph"/>
    <w:basedOn w:val="Normal"/>
    <w:uiPriority w:val="34"/>
    <w:qFormat/>
    <w:rsid w:val="005D4FC2"/>
    <w:pPr>
      <w:ind w:left="720"/>
      <w:contextualSpacing/>
    </w:pPr>
  </w:style>
  <w:style w:type="paragraph" w:styleId="Textodenotaderodap">
    <w:name w:val="footnote text"/>
    <w:basedOn w:val="Normal"/>
    <w:link w:val="TextodenotaderodapChar"/>
    <w:uiPriority w:val="99"/>
    <w:semiHidden/>
    <w:unhideWhenUsed/>
    <w:rsid w:val="00924D7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24D70"/>
    <w:rPr>
      <w:sz w:val="20"/>
      <w:szCs w:val="20"/>
    </w:rPr>
  </w:style>
  <w:style w:type="character" w:styleId="Refdenotaderodap">
    <w:name w:val="footnote reference"/>
    <w:basedOn w:val="Fontepargpadro"/>
    <w:uiPriority w:val="99"/>
    <w:semiHidden/>
    <w:unhideWhenUsed/>
    <w:rsid w:val="00924D70"/>
    <w:rPr>
      <w:vertAlign w:val="superscript"/>
    </w:rPr>
  </w:style>
  <w:style w:type="paragraph" w:styleId="Textodebalo">
    <w:name w:val="Balloon Text"/>
    <w:basedOn w:val="Normal"/>
    <w:link w:val="TextodebaloChar"/>
    <w:uiPriority w:val="99"/>
    <w:semiHidden/>
    <w:unhideWhenUsed/>
    <w:rsid w:val="002C23B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23BF"/>
    <w:rPr>
      <w:rFonts w:ascii="Tahoma" w:hAnsi="Tahoma" w:cs="Tahoma"/>
      <w:sz w:val="16"/>
      <w:szCs w:val="16"/>
    </w:rPr>
  </w:style>
  <w:style w:type="table" w:styleId="Tabelacomgrade">
    <w:name w:val="Table Grid"/>
    <w:basedOn w:val="Tabelanormal"/>
    <w:uiPriority w:val="39"/>
    <w:rsid w:val="00785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E67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7677">
      <w:bodyDiv w:val="1"/>
      <w:marLeft w:val="0"/>
      <w:marRight w:val="0"/>
      <w:marTop w:val="0"/>
      <w:marBottom w:val="0"/>
      <w:divBdr>
        <w:top w:val="none" w:sz="0" w:space="0" w:color="auto"/>
        <w:left w:val="none" w:sz="0" w:space="0" w:color="auto"/>
        <w:bottom w:val="none" w:sz="0" w:space="0" w:color="auto"/>
        <w:right w:val="none" w:sz="0" w:space="0" w:color="auto"/>
      </w:divBdr>
    </w:div>
    <w:div w:id="247158675">
      <w:bodyDiv w:val="1"/>
      <w:marLeft w:val="0"/>
      <w:marRight w:val="0"/>
      <w:marTop w:val="0"/>
      <w:marBottom w:val="0"/>
      <w:divBdr>
        <w:top w:val="none" w:sz="0" w:space="0" w:color="auto"/>
        <w:left w:val="none" w:sz="0" w:space="0" w:color="auto"/>
        <w:bottom w:val="none" w:sz="0" w:space="0" w:color="auto"/>
        <w:right w:val="none" w:sz="0" w:space="0" w:color="auto"/>
      </w:divBdr>
    </w:div>
    <w:div w:id="1653024404">
      <w:bodyDiv w:val="1"/>
      <w:marLeft w:val="0"/>
      <w:marRight w:val="0"/>
      <w:marTop w:val="0"/>
      <w:marBottom w:val="0"/>
      <w:divBdr>
        <w:top w:val="none" w:sz="0" w:space="0" w:color="auto"/>
        <w:left w:val="none" w:sz="0" w:space="0" w:color="auto"/>
        <w:bottom w:val="none" w:sz="0" w:space="0" w:color="auto"/>
        <w:right w:val="none" w:sz="0" w:space="0" w:color="auto"/>
      </w:divBdr>
    </w:div>
    <w:div w:id="1762411933">
      <w:bodyDiv w:val="1"/>
      <w:marLeft w:val="0"/>
      <w:marRight w:val="0"/>
      <w:marTop w:val="0"/>
      <w:marBottom w:val="0"/>
      <w:divBdr>
        <w:top w:val="none" w:sz="0" w:space="0" w:color="auto"/>
        <w:left w:val="none" w:sz="0" w:space="0" w:color="auto"/>
        <w:bottom w:val="none" w:sz="0" w:space="0" w:color="auto"/>
        <w:right w:val="none" w:sz="0" w:space="0" w:color="auto"/>
      </w:divBdr>
    </w:div>
    <w:div w:id="19347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1E804-661D-404A-9072-78B7422D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19</Pages>
  <Words>4985</Words>
  <Characters>26925</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INSPER</Company>
  <LinksUpToDate>false</LinksUpToDate>
  <CharactersWithSpaces>31847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Ki Hyung Lee</dc:creator>
  <cp:keywords/>
  <dc:description/>
  <cp:lastModifiedBy>Bruno Kawaoka Komatsu</cp:lastModifiedBy>
  <cp:revision>32</cp:revision>
  <dcterms:created xsi:type="dcterms:W3CDTF">2018-03-14T13:05:00Z</dcterms:created>
  <dcterms:modified xsi:type="dcterms:W3CDTF">2018-07-18T12:46:00Z</dcterms:modified>
</cp:coreProperties>
</file>