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C6AAE2" w14:textId="0DADEEA3" w:rsidR="00D75B11" w:rsidRPr="00244CDA" w:rsidRDefault="00D75B11" w:rsidP="00D75B11">
      <w:pPr>
        <w:spacing w:after="200" w:line="276" w:lineRule="auto"/>
        <w:ind w:firstLine="0"/>
        <w:jc w:val="center"/>
        <w:rPr>
          <w:rFonts w:eastAsia="Calibri" w:cs="Times New Roman"/>
          <w:b/>
        </w:rPr>
      </w:pPr>
      <w:r>
        <w:rPr>
          <w:rFonts w:eastAsia="Calibri" w:cs="Times New Roman"/>
          <w:b/>
        </w:rPr>
        <w:t>DINÂMICA DOS CICLOS ECONÔMICOS NO MERCADO DE TRABALHO FORMAL DOS ESTADOS BRASILEIROS</w:t>
      </w:r>
    </w:p>
    <w:p w14:paraId="2F4E94A8" w14:textId="749D905A" w:rsidR="00C15E7A" w:rsidRDefault="00C15E7A" w:rsidP="00C15E7A">
      <w:pPr>
        <w:ind w:firstLine="0"/>
        <w:jc w:val="right"/>
      </w:pPr>
      <w:r>
        <w:t>Cristiano da Costa da Silva – UERN &amp; CAEN/UFC</w:t>
      </w:r>
      <w:r w:rsidR="00E00F3B">
        <w:rPr>
          <w:rStyle w:val="FootnoteReference"/>
        </w:rPr>
        <w:footnoteReference w:id="1"/>
      </w:r>
    </w:p>
    <w:p w14:paraId="74A9AE3F" w14:textId="77777777" w:rsidR="00C15E7A" w:rsidRDefault="00C15E7A" w:rsidP="00C15E7A">
      <w:pPr>
        <w:ind w:firstLine="0"/>
        <w:jc w:val="right"/>
      </w:pPr>
      <w:r>
        <w:t>Nicolino Trompieri Neto – IPECE &amp; UNIFOR</w:t>
      </w:r>
    </w:p>
    <w:p w14:paraId="60ABD24B" w14:textId="77777777" w:rsidR="00C15E7A" w:rsidRDefault="00C15E7A" w:rsidP="00C15E7A">
      <w:pPr>
        <w:ind w:firstLine="0"/>
        <w:jc w:val="right"/>
      </w:pPr>
      <w:r>
        <w:t>Ivan Castelar – CAEN/UFC</w:t>
      </w:r>
    </w:p>
    <w:p w14:paraId="2C8E9016" w14:textId="68BD45D0" w:rsidR="00C15E7A" w:rsidRDefault="00C15E7A" w:rsidP="00C15E7A">
      <w:pPr>
        <w:ind w:firstLine="0"/>
        <w:jc w:val="right"/>
      </w:pPr>
      <w:r>
        <w:t xml:space="preserve">Matheus Borges Gonçalves Lima – CAEN/UFC  </w:t>
      </w:r>
    </w:p>
    <w:p w14:paraId="32968ABA" w14:textId="485ADDBA" w:rsidR="00D75B11" w:rsidRPr="00244CDA" w:rsidRDefault="00C15E7A" w:rsidP="00D75B11">
      <w:pPr>
        <w:spacing w:after="200" w:line="276" w:lineRule="auto"/>
        <w:ind w:firstLine="0"/>
        <w:jc w:val="center"/>
        <w:rPr>
          <w:rFonts w:eastAsia="Calibri" w:cs="Times New Roman"/>
          <w:b/>
        </w:rPr>
      </w:pPr>
      <w:r>
        <w:rPr>
          <w:rFonts w:eastAsia="Calibri" w:cs="Times New Roman"/>
          <w:b/>
        </w:rPr>
        <w:t>Área 4: Macroeconomia, Economia Monetária e Finaças</w:t>
      </w:r>
    </w:p>
    <w:p w14:paraId="5454C754" w14:textId="77777777" w:rsidR="00D75B11" w:rsidRPr="00244CDA" w:rsidRDefault="00D75B11" w:rsidP="00D75B11">
      <w:pPr>
        <w:spacing w:line="276" w:lineRule="auto"/>
        <w:ind w:firstLine="0"/>
        <w:rPr>
          <w:rFonts w:eastAsia="Calibri" w:cs="Times New Roman"/>
          <w:b/>
        </w:rPr>
      </w:pPr>
    </w:p>
    <w:p w14:paraId="536FBF7A" w14:textId="64A888C1" w:rsidR="00D75B11" w:rsidRDefault="00D75B11" w:rsidP="00D75B11">
      <w:pPr>
        <w:spacing w:line="276" w:lineRule="auto"/>
        <w:ind w:firstLine="0"/>
        <w:jc w:val="both"/>
        <w:rPr>
          <w:rFonts w:eastAsia="Calibri" w:cs="Times New Roman"/>
          <w:b/>
        </w:rPr>
      </w:pPr>
      <w:r w:rsidRPr="00244CDA">
        <w:rPr>
          <w:rFonts w:eastAsia="Calibri" w:cs="Times New Roman"/>
          <w:b/>
        </w:rPr>
        <w:t>Resumo</w:t>
      </w:r>
    </w:p>
    <w:p w14:paraId="30932E07" w14:textId="209EA81D" w:rsidR="00D75B11" w:rsidRPr="00D75B11" w:rsidRDefault="00D75B11" w:rsidP="00D75B11">
      <w:pPr>
        <w:spacing w:line="276" w:lineRule="auto"/>
        <w:ind w:firstLine="0"/>
        <w:jc w:val="both"/>
        <w:rPr>
          <w:rFonts w:eastAsia="Calibri" w:cs="Times New Roman"/>
          <w:bCs/>
        </w:rPr>
      </w:pPr>
      <w:r>
        <w:rPr>
          <w:rFonts w:eastAsia="Calibri" w:cs="Times New Roman"/>
          <w:bCs/>
        </w:rPr>
        <w:t>O artigo analisa a interdependência entre os ciclos econômicos no mercado de trabalho formal das unidades sub-nacionais do Brasil no intervalo de 1999.Q1 – 2018.Q1. Nós documentamos uma forte integração entre os ciclos econômicos das Unidades Federativas em análise, tal sincronização deve-se predominantemente aos ciclos de médio (8 ~ 16 trimestres) e longo prazos (16 ~32 trimestres). A composição da matriz produtiva é importante para explicar a sincronização e o grau de volatilidade dos ciclos econômicos estaduais. O teste condicional de Granger no domínio da frequência indicou ausência de causalidade entre os ciclos econômicos no mercado de trabalho formal intrarregional em um horizonte de curtíssimo prazo (2 ~ 4 trimestres), enquanto foi observada a periódica presença de causalidade bidirecional em frequências médias e baixas</w:t>
      </w:r>
      <w:r w:rsidR="00663BB8">
        <w:rPr>
          <w:rFonts w:eastAsia="Calibri" w:cs="Times New Roman"/>
          <w:bCs/>
        </w:rPr>
        <w:t>, sugerindo que o efeito transbordamento de choques regionais é recorrente em ciclos com intervalo de frequência iguais ou superiores à 1 ano.</w:t>
      </w:r>
    </w:p>
    <w:p w14:paraId="16E69650" w14:textId="77777777" w:rsidR="00D75B11" w:rsidRDefault="00D75B11" w:rsidP="00D75B11">
      <w:pPr>
        <w:spacing w:line="276" w:lineRule="auto"/>
        <w:ind w:firstLine="0"/>
        <w:jc w:val="both"/>
        <w:rPr>
          <w:b/>
        </w:rPr>
      </w:pPr>
    </w:p>
    <w:p w14:paraId="27213788" w14:textId="2A0C8316" w:rsidR="00D75B11" w:rsidRDefault="00D75B11" w:rsidP="00D75B11">
      <w:pPr>
        <w:spacing w:line="276" w:lineRule="auto"/>
        <w:ind w:firstLine="0"/>
        <w:jc w:val="both"/>
        <w:rPr>
          <w:rFonts w:cs="Times New Roman"/>
          <w:szCs w:val="24"/>
        </w:rPr>
      </w:pPr>
      <w:r>
        <w:rPr>
          <w:rFonts w:cs="Times New Roman"/>
          <w:szCs w:val="24"/>
        </w:rPr>
        <w:t xml:space="preserve">Palavras-Chave: </w:t>
      </w:r>
      <w:r w:rsidR="00663BB8">
        <w:rPr>
          <w:rFonts w:cs="Times New Roman"/>
          <w:szCs w:val="24"/>
        </w:rPr>
        <w:t>Mercado de Trabalho</w:t>
      </w:r>
      <w:r>
        <w:rPr>
          <w:rFonts w:cs="Times New Roman"/>
          <w:szCs w:val="24"/>
        </w:rPr>
        <w:t xml:space="preserve">, </w:t>
      </w:r>
      <w:r>
        <w:rPr>
          <w:rFonts w:cs="Times New Roman"/>
          <w:i/>
          <w:szCs w:val="24"/>
        </w:rPr>
        <w:t>Wavelet</w:t>
      </w:r>
      <w:r>
        <w:rPr>
          <w:rFonts w:cs="Times New Roman"/>
          <w:szCs w:val="24"/>
        </w:rPr>
        <w:t xml:space="preserve">, </w:t>
      </w:r>
      <w:r w:rsidR="00663BB8">
        <w:rPr>
          <w:rFonts w:cs="Times New Roman"/>
          <w:szCs w:val="24"/>
        </w:rPr>
        <w:t>Granger</w:t>
      </w:r>
      <w:r>
        <w:rPr>
          <w:rFonts w:cs="Times New Roman"/>
          <w:szCs w:val="24"/>
        </w:rPr>
        <w:t>, Ciclos de Negócios.</w:t>
      </w:r>
    </w:p>
    <w:p w14:paraId="405C31CA" w14:textId="77777777" w:rsidR="00D75B11" w:rsidRDefault="00D75B11" w:rsidP="00D75B11">
      <w:pPr>
        <w:spacing w:line="276" w:lineRule="auto"/>
        <w:ind w:firstLine="0"/>
        <w:jc w:val="both"/>
        <w:rPr>
          <w:rFonts w:cs="Times New Roman"/>
          <w:szCs w:val="24"/>
        </w:rPr>
      </w:pPr>
      <w:r>
        <w:rPr>
          <w:rFonts w:cs="Times New Roman"/>
          <w:szCs w:val="24"/>
        </w:rPr>
        <w:t>Código JEL: C31, E23, E32.</w:t>
      </w:r>
    </w:p>
    <w:p w14:paraId="2BEED841" w14:textId="77777777" w:rsidR="00D75B11" w:rsidRDefault="00D75B11" w:rsidP="00D75B11">
      <w:pPr>
        <w:spacing w:line="276" w:lineRule="auto"/>
        <w:ind w:firstLine="0"/>
        <w:jc w:val="both"/>
        <w:rPr>
          <w:rFonts w:cs="Times New Roman"/>
          <w:szCs w:val="24"/>
        </w:rPr>
      </w:pPr>
    </w:p>
    <w:p w14:paraId="04EB0AE3" w14:textId="77777777" w:rsidR="00D75B11" w:rsidRPr="00D61D30" w:rsidRDefault="00D75B11" w:rsidP="00D75B11">
      <w:pPr>
        <w:spacing w:line="276" w:lineRule="auto"/>
        <w:ind w:firstLine="0"/>
        <w:jc w:val="both"/>
        <w:rPr>
          <w:rFonts w:cs="Times New Roman"/>
          <w:b/>
          <w:szCs w:val="24"/>
          <w:lang w:val="en-US"/>
        </w:rPr>
      </w:pPr>
      <w:r>
        <w:rPr>
          <w:rFonts w:cs="Times New Roman"/>
          <w:b/>
          <w:szCs w:val="24"/>
          <w:lang w:val="en-US"/>
        </w:rPr>
        <w:t>Abstract</w:t>
      </w:r>
    </w:p>
    <w:p w14:paraId="4191179F" w14:textId="68380BC5" w:rsidR="00D75B11" w:rsidRPr="00CB4A83" w:rsidRDefault="00663BB8" w:rsidP="00D75B11">
      <w:pPr>
        <w:ind w:firstLine="0"/>
        <w:jc w:val="both"/>
        <w:rPr>
          <w:rFonts w:cs="Times New Roman"/>
          <w:szCs w:val="24"/>
          <w:lang w:val="en-US"/>
        </w:rPr>
      </w:pPr>
      <w:r w:rsidRPr="00663BB8">
        <w:rPr>
          <w:rFonts w:cs="Times New Roman"/>
          <w:szCs w:val="24"/>
          <w:lang w:val="en-US"/>
        </w:rPr>
        <w:t xml:space="preserve">The </w:t>
      </w:r>
      <w:r>
        <w:rPr>
          <w:rFonts w:cs="Times New Roman"/>
          <w:szCs w:val="24"/>
          <w:lang w:val="en-US"/>
        </w:rPr>
        <w:t>paper</w:t>
      </w:r>
      <w:r w:rsidRPr="00663BB8">
        <w:rPr>
          <w:rFonts w:cs="Times New Roman"/>
          <w:szCs w:val="24"/>
          <w:lang w:val="en-US"/>
        </w:rPr>
        <w:t xml:space="preserve"> </w:t>
      </w:r>
      <w:r>
        <w:rPr>
          <w:rFonts w:cs="Times New Roman"/>
          <w:szCs w:val="24"/>
          <w:lang w:val="en-US"/>
        </w:rPr>
        <w:t>examines</w:t>
      </w:r>
      <w:r w:rsidRPr="00663BB8">
        <w:rPr>
          <w:rFonts w:cs="Times New Roman"/>
          <w:szCs w:val="24"/>
          <w:lang w:val="en-US"/>
        </w:rPr>
        <w:t xml:space="preserve"> the interdependence between the economic cycles in the formal labor market of the Brazilian </w:t>
      </w:r>
      <w:r>
        <w:rPr>
          <w:rFonts w:cs="Times New Roman"/>
          <w:szCs w:val="24"/>
          <w:lang w:val="en-US"/>
        </w:rPr>
        <w:t>states</w:t>
      </w:r>
      <w:r w:rsidRPr="00663BB8">
        <w:rPr>
          <w:rFonts w:cs="Times New Roman"/>
          <w:szCs w:val="24"/>
          <w:lang w:val="en-US"/>
        </w:rPr>
        <w:t xml:space="preserve"> in the interval of 1999.Q1 - 2018.Q1. We documented a strong integration between the </w:t>
      </w:r>
      <w:r>
        <w:rPr>
          <w:rFonts w:cs="Times New Roman"/>
          <w:szCs w:val="24"/>
          <w:lang w:val="en-US"/>
        </w:rPr>
        <w:t>business</w:t>
      </w:r>
      <w:r w:rsidRPr="00663BB8">
        <w:rPr>
          <w:rFonts w:cs="Times New Roman"/>
          <w:szCs w:val="24"/>
          <w:lang w:val="en-US"/>
        </w:rPr>
        <w:t xml:space="preserve"> cycles of the </w:t>
      </w:r>
      <w:r>
        <w:rPr>
          <w:rFonts w:cs="Times New Roman"/>
          <w:szCs w:val="24"/>
          <w:lang w:val="en-US"/>
        </w:rPr>
        <w:t>States</w:t>
      </w:r>
      <w:r w:rsidRPr="00663BB8">
        <w:rPr>
          <w:rFonts w:cs="Times New Roman"/>
          <w:szCs w:val="24"/>
          <w:lang w:val="en-US"/>
        </w:rPr>
        <w:t xml:space="preserve"> under analysis, such synchronization is predominantly due to medium (8 ~ 16 quarters) and long (16 ~ 32 quarters) cycles. The composition of the productive matrix is ​​important to explain the synchronization and degree of volatility of the state </w:t>
      </w:r>
      <w:r>
        <w:rPr>
          <w:rFonts w:cs="Times New Roman"/>
          <w:szCs w:val="24"/>
          <w:lang w:val="en-US"/>
        </w:rPr>
        <w:t>business</w:t>
      </w:r>
      <w:r w:rsidRPr="00663BB8">
        <w:rPr>
          <w:rFonts w:cs="Times New Roman"/>
          <w:szCs w:val="24"/>
          <w:lang w:val="en-US"/>
        </w:rPr>
        <w:t xml:space="preserve"> cycles.</w:t>
      </w:r>
      <w:r>
        <w:rPr>
          <w:rFonts w:cs="Times New Roman"/>
          <w:szCs w:val="24"/>
          <w:lang w:val="en-US"/>
        </w:rPr>
        <w:t xml:space="preserve"> The test conditional of</w:t>
      </w:r>
      <w:r w:rsidRPr="00663BB8">
        <w:rPr>
          <w:rFonts w:cs="Times New Roman"/>
          <w:szCs w:val="24"/>
          <w:lang w:val="en-US"/>
        </w:rPr>
        <w:t xml:space="preserve"> Granger's </w:t>
      </w:r>
      <w:r>
        <w:rPr>
          <w:rFonts w:cs="Times New Roman"/>
          <w:szCs w:val="24"/>
          <w:lang w:val="en-US"/>
        </w:rPr>
        <w:t>spectra</w:t>
      </w:r>
      <w:r w:rsidRPr="00663BB8">
        <w:rPr>
          <w:rFonts w:cs="Times New Roman"/>
          <w:szCs w:val="24"/>
          <w:lang w:val="en-US"/>
        </w:rPr>
        <w:t xml:space="preserve"> indicated no causality between the business cycles in the intraregional formal labor market over a very short-term horizon (2 ~ 4 quarters),</w:t>
      </w:r>
      <w:r>
        <w:rPr>
          <w:rFonts w:cs="Times New Roman"/>
          <w:szCs w:val="24"/>
          <w:lang w:val="en-US"/>
        </w:rPr>
        <w:t xml:space="preserve"> on the other hand, we find </w:t>
      </w:r>
      <w:r w:rsidRPr="00663BB8">
        <w:rPr>
          <w:rFonts w:cs="Times New Roman"/>
          <w:szCs w:val="24"/>
          <w:lang w:val="en-US"/>
        </w:rPr>
        <w:t>bidirectional causality in medium and low frequencies, suggesting that the regional shock overflow effect is recurrent in cycles with frequency intervals equal to or greater than 1 year.</w:t>
      </w:r>
    </w:p>
    <w:p w14:paraId="76440C7E" w14:textId="63C801F5" w:rsidR="00D75B11" w:rsidRDefault="00D75B11" w:rsidP="00D75B11">
      <w:pPr>
        <w:ind w:firstLine="0"/>
        <w:jc w:val="both"/>
        <w:rPr>
          <w:rFonts w:cs="Times New Roman"/>
          <w:szCs w:val="24"/>
          <w:lang w:val="en-US"/>
        </w:rPr>
      </w:pPr>
      <w:r w:rsidRPr="00CB4A83">
        <w:rPr>
          <w:rFonts w:cs="Times New Roman"/>
          <w:szCs w:val="24"/>
          <w:lang w:val="en-US"/>
        </w:rPr>
        <w:t xml:space="preserve">Keywords: </w:t>
      </w:r>
      <w:r w:rsidR="00663BB8">
        <w:rPr>
          <w:rFonts w:cs="Times New Roman"/>
          <w:szCs w:val="24"/>
          <w:lang w:val="en-US"/>
        </w:rPr>
        <w:t>Job Market</w:t>
      </w:r>
      <w:r>
        <w:rPr>
          <w:rFonts w:cs="Times New Roman"/>
          <w:szCs w:val="24"/>
          <w:lang w:val="en-US"/>
        </w:rPr>
        <w:t xml:space="preserve">, Wavelet, </w:t>
      </w:r>
      <w:r w:rsidR="00663BB8">
        <w:rPr>
          <w:rFonts w:cs="Times New Roman"/>
          <w:szCs w:val="24"/>
          <w:lang w:val="en-US"/>
        </w:rPr>
        <w:t>Granger</w:t>
      </w:r>
      <w:r>
        <w:rPr>
          <w:rFonts w:cs="Times New Roman"/>
          <w:szCs w:val="24"/>
          <w:lang w:val="en-US"/>
        </w:rPr>
        <w:t>, Business Cycle</w:t>
      </w:r>
      <w:r w:rsidRPr="00CB4A83">
        <w:rPr>
          <w:rFonts w:cs="Times New Roman"/>
          <w:szCs w:val="24"/>
          <w:lang w:val="en-US"/>
        </w:rPr>
        <w:t>.</w:t>
      </w:r>
    </w:p>
    <w:p w14:paraId="69F20FA9" w14:textId="12CDDD66" w:rsidR="00D75B11" w:rsidRDefault="00D75B11" w:rsidP="00D75B11">
      <w:pPr>
        <w:spacing w:after="160" w:line="259" w:lineRule="auto"/>
        <w:ind w:firstLine="0"/>
        <w:rPr>
          <w:rFonts w:cs="Times New Roman"/>
          <w:szCs w:val="24"/>
        </w:rPr>
      </w:pPr>
      <w:r w:rsidRPr="006C7E59">
        <w:rPr>
          <w:rFonts w:cs="Times New Roman"/>
          <w:szCs w:val="24"/>
        </w:rPr>
        <w:t xml:space="preserve">JEL Code: </w:t>
      </w:r>
      <w:r>
        <w:rPr>
          <w:rFonts w:cs="Times New Roman"/>
          <w:szCs w:val="24"/>
        </w:rPr>
        <w:t>C31, E23, E32.</w:t>
      </w:r>
    </w:p>
    <w:p w14:paraId="7EB33B1D" w14:textId="42AB2AF1" w:rsidR="00D75B11" w:rsidRDefault="00D75B11" w:rsidP="00D75B11">
      <w:pPr>
        <w:spacing w:after="160" w:line="259" w:lineRule="auto"/>
        <w:ind w:firstLine="0"/>
        <w:rPr>
          <w:rFonts w:cs="Times New Roman"/>
          <w:szCs w:val="24"/>
        </w:rPr>
      </w:pPr>
    </w:p>
    <w:p w14:paraId="3B9B4454" w14:textId="77777777" w:rsidR="00D75B11" w:rsidRDefault="00D75B11">
      <w:pPr>
        <w:spacing w:after="160" w:line="259" w:lineRule="auto"/>
        <w:ind w:firstLine="0"/>
        <w:rPr>
          <w:rFonts w:cs="Times New Roman"/>
          <w:szCs w:val="24"/>
        </w:rPr>
      </w:pPr>
      <w:r>
        <w:rPr>
          <w:rFonts w:cs="Times New Roman"/>
          <w:szCs w:val="24"/>
        </w:rPr>
        <w:lastRenderedPageBreak/>
        <w:br w:type="page"/>
      </w:r>
    </w:p>
    <w:p w14:paraId="678B05D2" w14:textId="77777777" w:rsidR="002B2C5D" w:rsidRPr="00CB4A83" w:rsidRDefault="002B2C5D" w:rsidP="002B2C5D">
      <w:pPr>
        <w:pStyle w:val="Heading1"/>
        <w:numPr>
          <w:ilvl w:val="0"/>
          <w:numId w:val="3"/>
        </w:numPr>
      </w:pPr>
      <w:bookmarkStart w:id="1" w:name="_Toc499556469"/>
      <w:bookmarkStart w:id="2" w:name="_Toc528156556"/>
      <w:r w:rsidRPr="00CB4A83">
        <w:lastRenderedPageBreak/>
        <w:t>INTRODUÇÃO</w:t>
      </w:r>
      <w:bookmarkEnd w:id="1"/>
      <w:bookmarkEnd w:id="2"/>
    </w:p>
    <w:p w14:paraId="39578D57" w14:textId="77777777" w:rsidR="002B2C5D" w:rsidRDefault="002B2C5D" w:rsidP="002B2C5D">
      <w:pPr>
        <w:spacing w:line="240" w:lineRule="auto"/>
        <w:jc w:val="both"/>
      </w:pPr>
      <w:r>
        <w:t xml:space="preserve">A literatura de ciclos de negócios instaurada a partir do artigo seminal de Burns e Mitchell (1946) tem centrado a análise das flutuações econômicas de curto prazo, em grande parte, com base em indicadores que servem como </w:t>
      </w:r>
      <w:r>
        <w:rPr>
          <w:i/>
        </w:rPr>
        <w:t xml:space="preserve">proxy </w:t>
      </w:r>
      <w:r>
        <w:t>da atividade econômica em termos de produção. No caso brasileiro os índices de curto prazo mais comuns aplicados são o Índice Banco Central de atividade econômica (IBC-Br), levantado pelo Banco Central do Brasil, e o Índice de Produção Industrial (IPI), construído a partir da Pesquisa Industrial Mensal Produção Física (PIM-PF), disponibilizado pelo IBGE.</w:t>
      </w:r>
    </w:p>
    <w:p w14:paraId="6ED61985" w14:textId="77777777" w:rsidR="002B2C5D" w:rsidRDefault="002B2C5D" w:rsidP="002B2C5D">
      <w:pPr>
        <w:spacing w:line="240" w:lineRule="auto"/>
        <w:jc w:val="both"/>
      </w:pPr>
      <w:r>
        <w:t>Embora esses índices de curto prazo tenham se caracterizados como bons indicadores coincidentes para a atividade econômica nacional, os mesmos possuem adequabilidade restrita na caracterização da dinâmica do mercado de trabalho.</w:t>
      </w:r>
    </w:p>
    <w:p w14:paraId="269DF822" w14:textId="77777777" w:rsidR="002B2C5D" w:rsidRDefault="002B2C5D" w:rsidP="002B2C5D">
      <w:pPr>
        <w:spacing w:line="240" w:lineRule="auto"/>
        <w:jc w:val="both"/>
      </w:pPr>
      <w:r>
        <w:t>Cardinale e Taylor (2009) ressaltam que embora os períodos de recessão na atividade econômica possam antecipar um nível alto de desemprego, as séries de produto e de mercado de trabalho possuem idiossincracias informacionais as quais não garantem a perfeita sincronização em seus ciclos econômicos.</w:t>
      </w:r>
    </w:p>
    <w:p w14:paraId="1544EAB9" w14:textId="3CE889AD" w:rsidR="002B2C5D" w:rsidRPr="00CE6619" w:rsidRDefault="0019735C" w:rsidP="002B2C5D">
      <w:pPr>
        <w:spacing w:line="240" w:lineRule="auto"/>
        <w:jc w:val="both"/>
      </w:pPr>
      <w:r>
        <w:t xml:space="preserve">Rogerson e </w:t>
      </w:r>
      <w:r w:rsidR="002B2C5D" w:rsidRPr="00D85C3A">
        <w:t>Shimer (</w:t>
      </w:r>
      <w:r>
        <w:t>2011</w:t>
      </w:r>
      <w:r w:rsidR="002B2C5D" w:rsidRPr="00D85C3A">
        <w:t>) evidencia</w:t>
      </w:r>
      <w:r>
        <w:t>m</w:t>
      </w:r>
      <w:r w:rsidR="002B2C5D" w:rsidRPr="00D85C3A">
        <w:t xml:space="preserve"> que os c</w:t>
      </w:r>
      <w:r w:rsidR="002B2C5D">
        <w:t xml:space="preserve">iclos no mercado de trabalho são caracterizados pela alta intensidade na destruição de postos de trabalho, e pela baixa duração dos ciclos de desemprego na economia. </w:t>
      </w:r>
      <w:r w:rsidR="002B2C5D" w:rsidRPr="00CE6619">
        <w:t>Este movimento ocorre em função das fricções existentes no merca</w:t>
      </w:r>
      <w:r w:rsidR="002B2C5D">
        <w:t xml:space="preserve">do de trabalho, que causam uma maior volatilidade no nível de emprego do que no número de horas trabalhadas. </w:t>
      </w:r>
    </w:p>
    <w:p w14:paraId="0FED81CB" w14:textId="7FED83BA" w:rsidR="002B2C5D" w:rsidRDefault="002B2C5D" w:rsidP="002B2C5D">
      <w:pPr>
        <w:spacing w:line="240" w:lineRule="auto"/>
        <w:jc w:val="both"/>
        <w:rPr>
          <w:color w:val="000000"/>
          <w:szCs w:val="24"/>
        </w:rPr>
      </w:pPr>
      <w:r w:rsidRPr="00CE6619">
        <w:rPr>
          <w:color w:val="000000"/>
          <w:szCs w:val="24"/>
        </w:rPr>
        <w:t xml:space="preserve">No contexto nacional, </w:t>
      </w:r>
      <w:r>
        <w:rPr>
          <w:color w:val="000000"/>
          <w:szCs w:val="24"/>
        </w:rPr>
        <w:t>apesar dos esforços realizados em períodos recentes, o mercado de trabalho formal ainda é caracterizado pelo excesso de burocracia em sua legislação, o que acentua as rigidezes presentes nas relações trabalhistas. Em tal contexto, os ciclos econômicos no mercado de trabalho formal tendem a tornar-se mais integrados espacialmente se comparado</w:t>
      </w:r>
      <w:r w:rsidR="008D52D5">
        <w:rPr>
          <w:color w:val="000000"/>
          <w:szCs w:val="24"/>
        </w:rPr>
        <w:t>s</w:t>
      </w:r>
      <w:r>
        <w:rPr>
          <w:color w:val="000000"/>
          <w:szCs w:val="24"/>
        </w:rPr>
        <w:t xml:space="preserve"> aos ciclos da atividade econômica em si.</w:t>
      </w:r>
    </w:p>
    <w:p w14:paraId="25990045" w14:textId="77777777" w:rsidR="002B2C5D" w:rsidRDefault="002B2C5D" w:rsidP="002B2C5D">
      <w:pPr>
        <w:spacing w:line="240" w:lineRule="auto"/>
        <w:jc w:val="both"/>
        <w:rPr>
          <w:color w:val="000000"/>
          <w:szCs w:val="24"/>
        </w:rPr>
      </w:pPr>
      <w:r>
        <w:rPr>
          <w:color w:val="000000"/>
          <w:szCs w:val="24"/>
        </w:rPr>
        <w:t>Outra discussão que vêm se aprofundando na literatura diz respeito sobre a interdependência dos ciclos de negócios em diferentes amplitudes das flutuações econômicas. Nessa linha, a análise espectral é útil na identificação das relações entre as variáveis em diferentes bandas frequênciais. As métricas propostas para a análise da sincronização entre os ciclos econômicos do mercado de trabalho formal no domínio da frequência serão a coerência, diferença de fase e função condicional de Granger entre os espectros.</w:t>
      </w:r>
    </w:p>
    <w:p w14:paraId="79AC2164" w14:textId="6C9EDC2F" w:rsidR="002B2C5D" w:rsidRDefault="002B2C5D" w:rsidP="002B2C5D">
      <w:pPr>
        <w:spacing w:line="240" w:lineRule="auto"/>
        <w:jc w:val="both"/>
        <w:rPr>
          <w:color w:val="000000"/>
          <w:szCs w:val="24"/>
        </w:rPr>
      </w:pPr>
      <w:r>
        <w:rPr>
          <w:color w:val="000000"/>
          <w:szCs w:val="24"/>
        </w:rPr>
        <w:t>Do ponto de vista prático, informações desagregadas tanto em nível espacial quanto em nível frequencial são importantes para o processo de tomada de decisão dos diversos agentes que compõem a economia. Agentes privados delimitam suas estratégias de investimento de acordo com o horizonte de tempo proposto, reagindo de forma mais ou menos agressiva de acordo com a escala-temporal das flutuações observadas (</w:t>
      </w:r>
      <w:r w:rsidRPr="000F3ED6">
        <w:rPr>
          <w:color w:val="000000"/>
          <w:szCs w:val="24"/>
        </w:rPr>
        <w:t>Bronnenberg, Mela</w:t>
      </w:r>
      <w:r w:rsidR="0019735C">
        <w:rPr>
          <w:color w:val="000000"/>
          <w:szCs w:val="24"/>
        </w:rPr>
        <w:t xml:space="preserve"> e</w:t>
      </w:r>
      <w:r w:rsidRPr="000F3ED6">
        <w:rPr>
          <w:color w:val="000000"/>
          <w:szCs w:val="24"/>
        </w:rPr>
        <w:t xml:space="preserve"> Boulding, 2006</w:t>
      </w:r>
      <w:r>
        <w:rPr>
          <w:color w:val="000000"/>
          <w:szCs w:val="24"/>
        </w:rPr>
        <w:t xml:space="preserve">).  Na mesma linha,  </w:t>
      </w:r>
      <w:r>
        <w:rPr>
          <w:i/>
          <w:iCs/>
          <w:color w:val="000000"/>
          <w:szCs w:val="24"/>
        </w:rPr>
        <w:t>policymakers</w:t>
      </w:r>
      <w:r>
        <w:rPr>
          <w:color w:val="000000"/>
          <w:szCs w:val="24"/>
        </w:rPr>
        <w:t xml:space="preserve"> enfrentam </w:t>
      </w:r>
      <w:r>
        <w:rPr>
          <w:i/>
          <w:iCs/>
          <w:color w:val="000000"/>
          <w:szCs w:val="24"/>
        </w:rPr>
        <w:t>trade-offs</w:t>
      </w:r>
      <w:r>
        <w:rPr>
          <w:color w:val="000000"/>
          <w:szCs w:val="24"/>
        </w:rPr>
        <w:t xml:space="preserve"> recorrentes para a estabilização de diferentes ciclos (Aguiar-Conraria, Martins e Soares, 201</w:t>
      </w:r>
      <w:r w:rsidR="0019735C">
        <w:rPr>
          <w:color w:val="000000"/>
          <w:szCs w:val="24"/>
        </w:rPr>
        <w:t>8</w:t>
      </w:r>
      <w:r>
        <w:rPr>
          <w:color w:val="000000"/>
          <w:szCs w:val="24"/>
        </w:rPr>
        <w:t>), de forma que os mesmos tendem a adaptar suas estratégias de acordo com a amplitude das flutuações econômicas;</w:t>
      </w:r>
    </w:p>
    <w:p w14:paraId="7382FB45" w14:textId="491821CE" w:rsidR="007B06A6" w:rsidRDefault="002B2C5D" w:rsidP="007B06A6">
      <w:pPr>
        <w:spacing w:line="240" w:lineRule="auto"/>
        <w:jc w:val="both"/>
        <w:rPr>
          <w:color w:val="000000"/>
          <w:szCs w:val="24"/>
        </w:rPr>
      </w:pPr>
      <w:r>
        <w:rPr>
          <w:color w:val="000000"/>
          <w:szCs w:val="24"/>
        </w:rPr>
        <w:t xml:space="preserve">Portanto, o presente </w:t>
      </w:r>
      <w:r w:rsidR="008D52D5">
        <w:rPr>
          <w:color w:val="000000"/>
          <w:szCs w:val="24"/>
        </w:rPr>
        <w:t xml:space="preserve">trabalho </w:t>
      </w:r>
      <w:r>
        <w:rPr>
          <w:color w:val="000000"/>
          <w:szCs w:val="24"/>
        </w:rPr>
        <w:t>contribui ao avaliar a interdependência dos ciclos no mercado de trabalho das Unidades Federativas (UFs) em dois estágios</w:t>
      </w:r>
      <w:r w:rsidR="007B06A6">
        <w:rPr>
          <w:color w:val="000000"/>
          <w:szCs w:val="24"/>
        </w:rPr>
        <w:t>.</w:t>
      </w:r>
    </w:p>
    <w:p w14:paraId="4F9AEBE1" w14:textId="3DEF7435" w:rsidR="007B06A6" w:rsidRDefault="002B2C5D" w:rsidP="007B06A6">
      <w:pPr>
        <w:spacing w:line="240" w:lineRule="auto"/>
        <w:jc w:val="both"/>
        <w:rPr>
          <w:color w:val="000000"/>
          <w:szCs w:val="24"/>
        </w:rPr>
      </w:pPr>
      <w:r w:rsidRPr="007B06A6">
        <w:rPr>
          <w:color w:val="000000"/>
          <w:szCs w:val="24"/>
        </w:rPr>
        <w:t xml:space="preserve"> Para estudar a interdependência dos ciclos econômicos estaduais no mercado de trabalho, </w:t>
      </w:r>
      <w:r w:rsidR="008D52D5">
        <w:rPr>
          <w:color w:val="000000"/>
          <w:szCs w:val="24"/>
        </w:rPr>
        <w:t>utiliza-se</w:t>
      </w:r>
      <w:r w:rsidRPr="007B06A6">
        <w:rPr>
          <w:color w:val="000000"/>
          <w:szCs w:val="24"/>
        </w:rPr>
        <w:t xml:space="preserve"> a análise multiresoulação </w:t>
      </w:r>
      <w:r w:rsidRPr="007B06A6">
        <w:rPr>
          <w:i/>
          <w:iCs/>
          <w:color w:val="000000"/>
          <w:szCs w:val="24"/>
        </w:rPr>
        <w:t>Wavelet,</w:t>
      </w:r>
      <w:r w:rsidRPr="007B06A6">
        <w:rPr>
          <w:color w:val="000000"/>
          <w:szCs w:val="24"/>
        </w:rPr>
        <w:t xml:space="preserve"> a qual </w:t>
      </w:r>
      <w:r w:rsidR="008D52D5">
        <w:rPr>
          <w:color w:val="000000"/>
          <w:szCs w:val="24"/>
        </w:rPr>
        <w:t>permite-se</w:t>
      </w:r>
      <w:r w:rsidRPr="007B06A6">
        <w:rPr>
          <w:color w:val="000000"/>
          <w:szCs w:val="24"/>
        </w:rPr>
        <w:t xml:space="preserve"> construir os ciclos econômicos das séries de acordo com a concepção clássica, capturando flutuações cíclicas com periodicidade entre 4 e 32 trimestres.</w:t>
      </w:r>
    </w:p>
    <w:p w14:paraId="3EC1C64C" w14:textId="12BBF461" w:rsidR="002B2C5D" w:rsidRPr="007B06A6" w:rsidRDefault="002B2C5D" w:rsidP="007B06A6">
      <w:pPr>
        <w:spacing w:line="240" w:lineRule="auto"/>
        <w:jc w:val="both"/>
        <w:rPr>
          <w:color w:val="000000"/>
          <w:szCs w:val="24"/>
        </w:rPr>
      </w:pPr>
      <w:r w:rsidRPr="007B06A6">
        <w:rPr>
          <w:color w:val="000000"/>
          <w:szCs w:val="24"/>
        </w:rPr>
        <w:t>O uso de técnicas espectrais, aliado as ferramentas clássicas de análise no domínio do tempo, auxiliará a realizar uma investigação rigorosa do ponto de vista intrarregional, o que nos permitirá identificar variações no padrão da sincronização entre os Estados, sendo uma informação importante para a identificação da capacidade de propagação dos distúrbios regionais de acordo com a sua natuareaza.</w:t>
      </w:r>
    </w:p>
    <w:p w14:paraId="2AE13843" w14:textId="616023C8" w:rsidR="002B2C5D" w:rsidRDefault="002B2C5D" w:rsidP="002B2C5D">
      <w:pPr>
        <w:spacing w:line="240" w:lineRule="auto"/>
        <w:jc w:val="both"/>
        <w:rPr>
          <w:color w:val="000000"/>
          <w:szCs w:val="24"/>
        </w:rPr>
      </w:pPr>
      <w:r>
        <w:rPr>
          <w:color w:val="000000"/>
          <w:szCs w:val="24"/>
        </w:rPr>
        <w:t xml:space="preserve">O artigo está dividido em cinco capítulos. Além </w:t>
      </w:r>
      <w:r w:rsidR="008D52D5">
        <w:rPr>
          <w:color w:val="000000"/>
          <w:szCs w:val="24"/>
        </w:rPr>
        <w:t>desta introdução</w:t>
      </w:r>
      <w:r>
        <w:rPr>
          <w:color w:val="000000"/>
          <w:szCs w:val="24"/>
        </w:rPr>
        <w:t>, o segundo capítulo apresenta a literatura relacio</w:t>
      </w:r>
      <w:r w:rsidR="008D52D5">
        <w:rPr>
          <w:color w:val="000000"/>
          <w:szCs w:val="24"/>
        </w:rPr>
        <w:t>n</w:t>
      </w:r>
      <w:r>
        <w:rPr>
          <w:color w:val="000000"/>
          <w:szCs w:val="24"/>
        </w:rPr>
        <w:t>ada. Em seguida, o terceiro capítulo apresenta a base de dados e a metodologia proposta. No quarto capítulo aborda-se os principais resultados e a última seção apresenta as considerações finais.</w:t>
      </w:r>
    </w:p>
    <w:p w14:paraId="1D383656" w14:textId="77777777" w:rsidR="002B2C5D" w:rsidRDefault="002B2C5D" w:rsidP="002B2C5D">
      <w:pPr>
        <w:ind w:firstLine="0"/>
        <w:jc w:val="both"/>
      </w:pPr>
    </w:p>
    <w:p w14:paraId="7E477F84" w14:textId="0744C06B" w:rsidR="002B2C5D" w:rsidRPr="00675CB4" w:rsidRDefault="008D52D5" w:rsidP="002B2C5D">
      <w:pPr>
        <w:pStyle w:val="Heading1"/>
        <w:rPr>
          <w:lang w:val="pt-BR"/>
        </w:rPr>
      </w:pPr>
      <w:r>
        <w:rPr>
          <w:lang w:val="pt-BR"/>
        </w:rPr>
        <w:lastRenderedPageBreak/>
        <w:t>LITERATURA RELACIONADA</w:t>
      </w:r>
    </w:p>
    <w:p w14:paraId="3CBED0A1" w14:textId="77777777" w:rsidR="002B2C5D" w:rsidRDefault="002B2C5D" w:rsidP="002B2C5D">
      <w:pPr>
        <w:spacing w:line="240" w:lineRule="auto"/>
        <w:jc w:val="both"/>
        <w:rPr>
          <w:szCs w:val="24"/>
        </w:rPr>
      </w:pPr>
      <w:r>
        <w:rPr>
          <w:szCs w:val="24"/>
        </w:rPr>
        <w:t>A modelagem das interações regionais e/ou setoriais no mercado de trabalho a partir da decomposição em componentes permanentes e transitórios tem ganhado ainda pouca atenção na literatura de séries temporais.</w:t>
      </w:r>
    </w:p>
    <w:p w14:paraId="7F569078" w14:textId="148B7FAA" w:rsidR="002B2C5D" w:rsidRDefault="002B2C5D" w:rsidP="002B2C5D">
      <w:pPr>
        <w:spacing w:line="240" w:lineRule="auto"/>
        <w:jc w:val="both"/>
        <w:rPr>
          <w:szCs w:val="24"/>
        </w:rPr>
      </w:pPr>
      <w:r>
        <w:rPr>
          <w:szCs w:val="24"/>
        </w:rPr>
        <w:t xml:space="preserve">Dixon e Sheperd (2001) investigaram a presença de restrições comuns de curto e longo prazos na taxa de desemprego das regiões da Austrália durante o período de 1978 a 1999. A partir de dados trimestrais, os autores observaram a ausência de componentes comuns de longo prazo entre as séries referentes a taxa de desemprego regionais, indicando que os movimentos de longo prazo das regiões em direção à taxa de desemprego de equilíbrio divergem entre </w:t>
      </w:r>
      <w:r w:rsidR="008D52D5">
        <w:rPr>
          <w:szCs w:val="24"/>
        </w:rPr>
        <w:t>si</w:t>
      </w:r>
      <w:r>
        <w:rPr>
          <w:szCs w:val="24"/>
        </w:rPr>
        <w:t xml:space="preserve">. </w:t>
      </w:r>
    </w:p>
    <w:p w14:paraId="36F15696" w14:textId="77777777" w:rsidR="002B2C5D" w:rsidRDefault="002B2C5D" w:rsidP="002B2C5D">
      <w:pPr>
        <w:spacing w:line="240" w:lineRule="auto"/>
        <w:jc w:val="both"/>
        <w:rPr>
          <w:szCs w:val="24"/>
        </w:rPr>
      </w:pPr>
      <w:r>
        <w:rPr>
          <w:szCs w:val="24"/>
        </w:rPr>
        <w:t>Por outro lado, a análise de curto prazo confirmou a presença de movimentos transitórios comuns entre os estados mais populosos, indicando uma maior similaridade no processo de ajustamento nos mercados de trabalhos regionais no curto prazo. Com base nos resultados observados, os autores sugerem uma menor capacidade de balizamento de políticas nacionais com foco no ajustamento estrutural, se comparada com a eficácia de políticas contra-cíclicas, com foco no ajustamento do desemprego cíclico observado nas regiões.</w:t>
      </w:r>
    </w:p>
    <w:p w14:paraId="6393903B" w14:textId="1BDAF007" w:rsidR="002B2C5D" w:rsidRDefault="002B2C5D" w:rsidP="002B2C5D">
      <w:pPr>
        <w:spacing w:line="240" w:lineRule="auto"/>
        <w:jc w:val="both"/>
        <w:rPr>
          <w:szCs w:val="24"/>
        </w:rPr>
      </w:pPr>
      <w:r>
        <w:rPr>
          <w:szCs w:val="24"/>
        </w:rPr>
        <w:t>Analisando a interação entre os ciclos econômicos na taxa de desemprego e no nível de atividade econômica para a economia dos Estados Unidos durante o período de 1948-2006, Cardinale e Taylor (2009) indicou que os ciclos de redução na taxa de desemprego estão associados a</w:t>
      </w:r>
      <w:r w:rsidR="008D52D5">
        <w:rPr>
          <w:szCs w:val="24"/>
        </w:rPr>
        <w:t>os</w:t>
      </w:r>
      <w:r>
        <w:rPr>
          <w:szCs w:val="24"/>
        </w:rPr>
        <w:t xml:space="preserve"> ciclos de expansão na atividade </w:t>
      </w:r>
      <w:r w:rsidR="008D52D5">
        <w:rPr>
          <w:szCs w:val="24"/>
        </w:rPr>
        <w:t>econômica</w:t>
      </w:r>
      <w:r>
        <w:rPr>
          <w:szCs w:val="24"/>
        </w:rPr>
        <w:t>, no entanto, o inverso não é válido; Ou seja, do ponto de vista estatístico não</w:t>
      </w:r>
      <w:r w:rsidR="008D52D5">
        <w:rPr>
          <w:szCs w:val="24"/>
        </w:rPr>
        <w:t xml:space="preserve"> há</w:t>
      </w:r>
      <w:r>
        <w:rPr>
          <w:szCs w:val="24"/>
        </w:rPr>
        <w:t xml:space="preserve"> evidências de que os ciclos de expansão na taxa de desemprego estejam associados a períodos de recessão na atividade econômica.</w:t>
      </w:r>
    </w:p>
    <w:p w14:paraId="2F111C2C" w14:textId="3AC75F21" w:rsidR="002B2C5D" w:rsidRDefault="002B2C5D" w:rsidP="002B2C5D">
      <w:pPr>
        <w:spacing w:line="240" w:lineRule="auto"/>
        <w:jc w:val="both"/>
        <w:rPr>
          <w:szCs w:val="24"/>
        </w:rPr>
      </w:pPr>
      <w:r w:rsidRPr="004C43CC">
        <w:rPr>
          <w:szCs w:val="24"/>
        </w:rPr>
        <w:t xml:space="preserve">Com relação </w:t>
      </w:r>
      <w:r w:rsidR="008D52D5">
        <w:rPr>
          <w:szCs w:val="24"/>
        </w:rPr>
        <w:t>à</w:t>
      </w:r>
      <w:r w:rsidRPr="004C43CC">
        <w:rPr>
          <w:szCs w:val="24"/>
        </w:rPr>
        <w:t xml:space="preserve"> literatur</w:t>
      </w:r>
      <w:r w:rsidR="008D52D5">
        <w:rPr>
          <w:szCs w:val="24"/>
        </w:rPr>
        <w:t>a</w:t>
      </w:r>
      <w:r w:rsidRPr="004C43CC">
        <w:rPr>
          <w:szCs w:val="24"/>
        </w:rPr>
        <w:t xml:space="preserve"> </w:t>
      </w:r>
      <w:r>
        <w:rPr>
          <w:szCs w:val="24"/>
        </w:rPr>
        <w:t xml:space="preserve">nacional, Ferreira (2018) utilizou a abordagem GVAR para a dinâmica setorial do nível de emprego no Brasil. Com base em dados trimestrais para o período de 1998 a 2016, o autor avaliou 12 subsetores econômicos. </w:t>
      </w:r>
    </w:p>
    <w:p w14:paraId="3E729DAD" w14:textId="77777777" w:rsidR="002B2C5D" w:rsidRDefault="002B2C5D" w:rsidP="002B2C5D">
      <w:pPr>
        <w:spacing w:line="240" w:lineRule="auto"/>
        <w:jc w:val="both"/>
        <w:rPr>
          <w:szCs w:val="24"/>
        </w:rPr>
      </w:pPr>
      <w:r>
        <w:rPr>
          <w:szCs w:val="24"/>
        </w:rPr>
        <w:t>Dentre os principais resultados encontrados, destaca-se que os subsetores mais comericalizáveis sofrem maior influência de choques exógenos ao sistema (externos) e uma forte interdependência entre os subsetores Indústria da Transformação, Comércio, Transporte e Serviços de Informação.</w:t>
      </w:r>
    </w:p>
    <w:p w14:paraId="7F376AC2" w14:textId="4A7B0ED4" w:rsidR="002B2C5D" w:rsidRDefault="002B2C5D" w:rsidP="002B2C5D">
      <w:pPr>
        <w:spacing w:line="240" w:lineRule="auto"/>
        <w:jc w:val="both"/>
        <w:rPr>
          <w:szCs w:val="24"/>
        </w:rPr>
      </w:pPr>
      <w:r>
        <w:rPr>
          <w:szCs w:val="24"/>
        </w:rPr>
        <w:t>Estudos voltados a caracterização dos ciclos econômicos no domínio da frequência também são relativamente escassos na literatura. Em uma proposta alinhada à do presente artigo,  Wang (2013) analisou a sincronização dos ciclos econômicos em nível setorial para a economia britânic</w:t>
      </w:r>
      <w:r w:rsidR="008D52D5">
        <w:rPr>
          <w:szCs w:val="24"/>
        </w:rPr>
        <w:t>a</w:t>
      </w:r>
      <w:r>
        <w:rPr>
          <w:szCs w:val="24"/>
        </w:rPr>
        <w:t xml:space="preserve">. Dentre os principais resultados, o autor observa que o grau de similaridade tende a diferir de acordo com o grau de comercialização dos setores, bem como em função do intervalo de frequência analisado. É importante pontuar que o grau a sincronização entre as flutuações cíclicas dos setores produtivos apresentou-se robustamente superior no longo prazo (frequência igual ou superior a 5 trimestres), existindo forte assimetria nos horizontes de curto e longo prazos. </w:t>
      </w:r>
    </w:p>
    <w:p w14:paraId="0C078852" w14:textId="77777777" w:rsidR="002B2C5D" w:rsidRDefault="002B2C5D" w:rsidP="002B2C5D">
      <w:pPr>
        <w:spacing w:line="240" w:lineRule="auto"/>
        <w:jc w:val="both"/>
        <w:rPr>
          <w:szCs w:val="24"/>
        </w:rPr>
      </w:pPr>
      <w:r>
        <w:rPr>
          <w:szCs w:val="24"/>
        </w:rPr>
        <w:t xml:space="preserve">Trompieri Neto </w:t>
      </w:r>
      <w:r>
        <w:rPr>
          <w:i/>
          <w:iCs/>
          <w:szCs w:val="24"/>
        </w:rPr>
        <w:t>et al</w:t>
      </w:r>
      <w:r>
        <w:rPr>
          <w:szCs w:val="24"/>
        </w:rPr>
        <w:t xml:space="preserve"> (2018), realizaram um estudo similar para investigar a interdependência das flutuações cíclicas entre os sub-setores da Indústria brasileira. Os resultados observados rejeitam a hipótese de maior interdependência entre os setores no horizonte de longo prazo (8 ~ 16 trimestres). A baixa interdependência entre os setores, mesmo em baixas frequências, prejudica o balizamento de políticas públicas horizontais voltadas para a promoção da Indústria nacional, indicando a proeminência de políticas setoriais específicas.</w:t>
      </w:r>
    </w:p>
    <w:p w14:paraId="18055E60" w14:textId="6344122B" w:rsidR="002B2C5D" w:rsidRDefault="002B2C5D" w:rsidP="002B2C5D">
      <w:pPr>
        <w:spacing w:line="240" w:lineRule="auto"/>
        <w:jc w:val="both"/>
        <w:rPr>
          <w:szCs w:val="24"/>
        </w:rPr>
      </w:pPr>
      <w:r>
        <w:rPr>
          <w:szCs w:val="24"/>
        </w:rPr>
        <w:t xml:space="preserve">Silva </w:t>
      </w:r>
      <w:r>
        <w:rPr>
          <w:i/>
          <w:iCs/>
          <w:szCs w:val="24"/>
        </w:rPr>
        <w:t>et. al</w:t>
      </w:r>
      <w:r>
        <w:rPr>
          <w:szCs w:val="24"/>
        </w:rPr>
        <w:t xml:space="preserve"> (2016) aplicaram ferramentas espectrais para discutir a natureza dos co-movimentos entre os ciclos econômicos da atividade industrial em termos regionais. Os resultados reportam interpendência na dinâmica industrial do ciclo paranaense com os ciclos de São Paulo e Minas Gerais, resultado confirmado segundo a análise espectral entre Paraná e São Paulo, mas não entre Paraná e Minas Gerais.  </w:t>
      </w:r>
    </w:p>
    <w:p w14:paraId="4579D83C" w14:textId="6E693CC0" w:rsidR="008D52D5" w:rsidRDefault="008D52D5" w:rsidP="002B2C5D">
      <w:pPr>
        <w:spacing w:line="240" w:lineRule="auto"/>
        <w:jc w:val="both"/>
        <w:rPr>
          <w:szCs w:val="24"/>
        </w:rPr>
      </w:pPr>
    </w:p>
    <w:p w14:paraId="564C927A" w14:textId="529C2E8E" w:rsidR="008D52D5" w:rsidRDefault="008D52D5" w:rsidP="002B2C5D">
      <w:pPr>
        <w:spacing w:line="240" w:lineRule="auto"/>
        <w:jc w:val="both"/>
        <w:rPr>
          <w:szCs w:val="24"/>
        </w:rPr>
      </w:pPr>
    </w:p>
    <w:p w14:paraId="4CB2EE6D" w14:textId="77777777" w:rsidR="008D52D5" w:rsidRDefault="008D52D5" w:rsidP="002B2C5D">
      <w:pPr>
        <w:spacing w:line="240" w:lineRule="auto"/>
        <w:jc w:val="both"/>
        <w:rPr>
          <w:szCs w:val="24"/>
        </w:rPr>
      </w:pPr>
    </w:p>
    <w:p w14:paraId="18DAB945" w14:textId="1A024564" w:rsidR="007B06A6" w:rsidRDefault="007B06A6" w:rsidP="002B2C5D">
      <w:pPr>
        <w:spacing w:line="240" w:lineRule="auto"/>
        <w:jc w:val="both"/>
        <w:rPr>
          <w:szCs w:val="24"/>
        </w:rPr>
      </w:pPr>
    </w:p>
    <w:p w14:paraId="2432A37F" w14:textId="49DF3D20" w:rsidR="005433CD" w:rsidRDefault="005433CD" w:rsidP="005433CD">
      <w:pPr>
        <w:pStyle w:val="Heading1"/>
        <w:spacing w:line="240" w:lineRule="auto"/>
        <w:rPr>
          <w:lang w:val="pt-BR"/>
        </w:rPr>
      </w:pPr>
      <w:bookmarkStart w:id="3" w:name="_Toc482104692"/>
      <w:bookmarkStart w:id="4" w:name="_Toc496278361"/>
      <w:bookmarkStart w:id="5" w:name="_Toc502166294"/>
      <w:r w:rsidRPr="00A639F7">
        <w:rPr>
          <w:lang w:val="pt-BR"/>
        </w:rPr>
        <w:lastRenderedPageBreak/>
        <w:t>METODOLOGIA</w:t>
      </w:r>
      <w:bookmarkEnd w:id="3"/>
      <w:bookmarkEnd w:id="4"/>
      <w:bookmarkEnd w:id="5"/>
    </w:p>
    <w:p w14:paraId="1438D4B0" w14:textId="77777777" w:rsidR="008D52D5" w:rsidRPr="008D52D5" w:rsidRDefault="008D52D5" w:rsidP="008D52D5"/>
    <w:p w14:paraId="606798DE" w14:textId="0695D22D" w:rsidR="005433CD" w:rsidRDefault="005433CD" w:rsidP="005433CD">
      <w:pPr>
        <w:pStyle w:val="Heading2"/>
      </w:pPr>
      <w:bookmarkStart w:id="6" w:name="_Toc482104693"/>
      <w:bookmarkStart w:id="7" w:name="_Toc502166295"/>
      <w:r>
        <w:t>Base de Dados</w:t>
      </w:r>
      <w:bookmarkEnd w:id="6"/>
      <w:bookmarkEnd w:id="7"/>
    </w:p>
    <w:p w14:paraId="4D4FF43F" w14:textId="310F26E4" w:rsidR="00F76F80" w:rsidRDefault="00F76F80" w:rsidP="002B2C5D">
      <w:pPr>
        <w:spacing w:line="240" w:lineRule="auto"/>
        <w:jc w:val="both"/>
      </w:pPr>
      <w:r>
        <w:t>Foram utilizados dados trimestrais para o período entre 1999:01 até 2018</w:t>
      </w:r>
      <w:r w:rsidR="008D52D5">
        <w:t>:</w:t>
      </w:r>
      <w:r>
        <w:t xml:space="preserve">01. Este período foi escolhido devido à restrição na disponibilidade de dados para algumas unidades federativas de interesse. A periodicidade trimestral é ideal para a extração dos ciclos econômicos das séries a partir da metodologia </w:t>
      </w:r>
      <w:r>
        <w:rPr>
          <w:i/>
          <w:iCs/>
        </w:rPr>
        <w:t>Wavelet</w:t>
      </w:r>
      <w:r>
        <w:t>, destacando-se os trabalhos de Yogo (2008) e Trompieri Neto</w:t>
      </w:r>
      <w:r w:rsidR="00813107">
        <w:t xml:space="preserve"> </w:t>
      </w:r>
      <w:r w:rsidR="00813107">
        <w:rPr>
          <w:i/>
          <w:iCs/>
        </w:rPr>
        <w:t>et. al</w:t>
      </w:r>
      <w:r>
        <w:t xml:space="preserve"> (2018).</w:t>
      </w:r>
    </w:p>
    <w:p w14:paraId="4AB26DF1" w14:textId="0AFF5747" w:rsidR="002B2C5D" w:rsidRDefault="0089476E" w:rsidP="00871C79">
      <w:pPr>
        <w:spacing w:line="240" w:lineRule="auto"/>
        <w:jc w:val="both"/>
        <w:rPr>
          <w:rFonts w:cs="Times New Roman"/>
          <w:szCs w:val="24"/>
        </w:rPr>
      </w:pPr>
      <w:r>
        <w:t>As séries de saldo de emprego utilizadas foram extraídas do Cadastro Geral de Empregados e Desempregados (CAGED) do Ministério do Trabalho e Emprego (MTE)</w:t>
      </w:r>
      <w:r w:rsidR="00E17530">
        <w:t xml:space="preserve">. A pesquisa com periodicidade mensal cobre os vinte e seis estados e o Distrito Federal, sendo a principal fonte de informações do mercado de trabalho formal no Brasil. </w:t>
      </w:r>
      <w:r w:rsidR="00AD11BA">
        <w:t>Os dados foram agregados de forma trimestral para nove Unidades Federativas:</w:t>
      </w:r>
    </w:p>
    <w:p w14:paraId="0B72B128" w14:textId="4CEEBF55" w:rsidR="006B33A2" w:rsidRPr="00C17EE3" w:rsidRDefault="00C17EE3" w:rsidP="00C17EE3">
      <w:pPr>
        <w:pStyle w:val="NoSpacing"/>
        <w:jc w:val="center"/>
        <w:rPr>
          <w:rFonts w:ascii="Times New Roman" w:hAnsi="Times New Roman"/>
          <w:sz w:val="24"/>
          <w:szCs w:val="24"/>
        </w:rPr>
      </w:pPr>
      <w:r w:rsidRPr="00C17EE3">
        <w:rPr>
          <w:rFonts w:ascii="Times New Roman" w:hAnsi="Times New Roman"/>
          <w:sz w:val="24"/>
          <w:szCs w:val="24"/>
        </w:rPr>
        <w:t xml:space="preserve">Tabela 1: </w:t>
      </w:r>
      <w:r w:rsidR="006B33A2" w:rsidRPr="00C17EE3">
        <w:rPr>
          <w:rFonts w:ascii="Times New Roman" w:hAnsi="Times New Roman"/>
          <w:sz w:val="24"/>
          <w:szCs w:val="24"/>
        </w:rPr>
        <w:t xml:space="preserve">Descrição dos </w:t>
      </w:r>
      <w:r w:rsidR="00ED2DE3" w:rsidRPr="00C17EE3">
        <w:rPr>
          <w:rFonts w:ascii="Times New Roman" w:hAnsi="Times New Roman"/>
          <w:sz w:val="24"/>
          <w:szCs w:val="24"/>
        </w:rPr>
        <w:t>Estados e Emprego Formal em 2017</w:t>
      </w:r>
    </w:p>
    <w:tbl>
      <w:tblPr>
        <w:tblStyle w:val="TableGrid"/>
        <w:tblW w:w="10334" w:type="dxa"/>
        <w:jc w:val="center"/>
        <w:tblBorders>
          <w:left w:val="none" w:sz="0" w:space="0" w:color="auto"/>
          <w:right w:val="none" w:sz="0" w:space="0" w:color="auto"/>
        </w:tblBorders>
        <w:tblLook w:val="04A0" w:firstRow="1" w:lastRow="0" w:firstColumn="1" w:lastColumn="0" w:noHBand="0" w:noVBand="1"/>
      </w:tblPr>
      <w:tblGrid>
        <w:gridCol w:w="2127"/>
        <w:gridCol w:w="2409"/>
        <w:gridCol w:w="1560"/>
        <w:gridCol w:w="2119"/>
        <w:gridCol w:w="2119"/>
      </w:tblGrid>
      <w:tr w:rsidR="00BA3C97" w14:paraId="0F792CB6" w14:textId="77777777" w:rsidTr="006E2A70">
        <w:trPr>
          <w:trHeight w:val="57"/>
          <w:jc w:val="center"/>
        </w:trPr>
        <w:tc>
          <w:tcPr>
            <w:tcW w:w="2127" w:type="dxa"/>
            <w:tcBorders>
              <w:bottom w:val="single" w:sz="4" w:space="0" w:color="auto"/>
              <w:right w:val="nil"/>
            </w:tcBorders>
            <w:vAlign w:val="center"/>
          </w:tcPr>
          <w:p w14:paraId="6C34227E" w14:textId="034E3983" w:rsidR="00BA3C97" w:rsidRPr="00413531" w:rsidRDefault="00BA3C97" w:rsidP="00C17EE3">
            <w:pPr>
              <w:spacing w:line="240" w:lineRule="auto"/>
              <w:ind w:firstLine="0"/>
              <w:jc w:val="center"/>
              <w:rPr>
                <w:rFonts w:cs="Times New Roman"/>
                <w:sz w:val="20"/>
                <w:szCs w:val="20"/>
              </w:rPr>
            </w:pPr>
            <w:r w:rsidRPr="00413531">
              <w:rPr>
                <w:rFonts w:cs="Times New Roman"/>
                <w:sz w:val="20"/>
                <w:szCs w:val="20"/>
              </w:rPr>
              <w:t>Regiões</w:t>
            </w:r>
          </w:p>
        </w:tc>
        <w:tc>
          <w:tcPr>
            <w:tcW w:w="2409" w:type="dxa"/>
            <w:tcBorders>
              <w:left w:val="nil"/>
              <w:bottom w:val="single" w:sz="4" w:space="0" w:color="auto"/>
              <w:right w:val="nil"/>
            </w:tcBorders>
            <w:vAlign w:val="center"/>
          </w:tcPr>
          <w:p w14:paraId="4A02F591" w14:textId="5E07CC44" w:rsidR="00BA3C97" w:rsidRPr="00413531" w:rsidRDefault="00BA3C97" w:rsidP="00C17EE3">
            <w:pPr>
              <w:spacing w:line="240" w:lineRule="auto"/>
              <w:ind w:firstLine="0"/>
              <w:jc w:val="center"/>
              <w:rPr>
                <w:rFonts w:cs="Times New Roman"/>
                <w:sz w:val="20"/>
                <w:szCs w:val="20"/>
              </w:rPr>
            </w:pPr>
            <w:r w:rsidRPr="00413531">
              <w:rPr>
                <w:rFonts w:cs="Times New Roman"/>
                <w:sz w:val="20"/>
                <w:szCs w:val="20"/>
              </w:rPr>
              <w:t>Estados</w:t>
            </w:r>
          </w:p>
        </w:tc>
        <w:tc>
          <w:tcPr>
            <w:tcW w:w="1560" w:type="dxa"/>
            <w:tcBorders>
              <w:left w:val="nil"/>
              <w:bottom w:val="single" w:sz="4" w:space="0" w:color="auto"/>
              <w:right w:val="nil"/>
            </w:tcBorders>
            <w:vAlign w:val="center"/>
          </w:tcPr>
          <w:p w14:paraId="6E9391B1" w14:textId="66619F3B" w:rsidR="00BA3C97" w:rsidRPr="00413531" w:rsidRDefault="00BA3C97" w:rsidP="00C17EE3">
            <w:pPr>
              <w:spacing w:line="240" w:lineRule="auto"/>
              <w:ind w:firstLine="0"/>
              <w:jc w:val="center"/>
              <w:rPr>
                <w:rFonts w:cs="Times New Roman"/>
                <w:sz w:val="20"/>
                <w:szCs w:val="20"/>
              </w:rPr>
            </w:pPr>
            <w:r w:rsidRPr="00413531">
              <w:rPr>
                <w:rFonts w:cs="Times New Roman"/>
                <w:sz w:val="20"/>
                <w:szCs w:val="20"/>
              </w:rPr>
              <w:t>Emprego Formal</w:t>
            </w:r>
          </w:p>
        </w:tc>
        <w:tc>
          <w:tcPr>
            <w:tcW w:w="2119" w:type="dxa"/>
            <w:tcBorders>
              <w:left w:val="nil"/>
              <w:bottom w:val="single" w:sz="4" w:space="0" w:color="auto"/>
              <w:right w:val="nil"/>
            </w:tcBorders>
            <w:vAlign w:val="center"/>
          </w:tcPr>
          <w:p w14:paraId="4A43E38A" w14:textId="343115DA" w:rsidR="00BA3C97" w:rsidRPr="00413531" w:rsidRDefault="00C17EE3" w:rsidP="00C17EE3">
            <w:pPr>
              <w:spacing w:line="240" w:lineRule="auto"/>
              <w:ind w:firstLine="0"/>
              <w:jc w:val="center"/>
              <w:rPr>
                <w:rFonts w:cs="Times New Roman"/>
                <w:sz w:val="20"/>
                <w:szCs w:val="20"/>
              </w:rPr>
            </w:pPr>
            <w:r>
              <w:rPr>
                <w:rFonts w:cs="Times New Roman"/>
                <w:sz w:val="20"/>
                <w:szCs w:val="20"/>
              </w:rPr>
              <w:t>Parcela do Emprego Formal Nacional</w:t>
            </w:r>
          </w:p>
        </w:tc>
        <w:tc>
          <w:tcPr>
            <w:tcW w:w="2119" w:type="dxa"/>
            <w:tcBorders>
              <w:left w:val="nil"/>
              <w:bottom w:val="single" w:sz="4" w:space="0" w:color="auto"/>
              <w:right w:val="nil"/>
            </w:tcBorders>
            <w:vAlign w:val="center"/>
          </w:tcPr>
          <w:p w14:paraId="2E492139" w14:textId="5A201699" w:rsidR="00BA3C97" w:rsidRPr="00413531" w:rsidRDefault="00BA3C97" w:rsidP="00C17EE3">
            <w:pPr>
              <w:spacing w:line="240" w:lineRule="auto"/>
              <w:ind w:firstLine="0"/>
              <w:jc w:val="center"/>
              <w:rPr>
                <w:rFonts w:cs="Times New Roman"/>
                <w:sz w:val="20"/>
                <w:szCs w:val="20"/>
              </w:rPr>
            </w:pPr>
            <w:r>
              <w:rPr>
                <w:rFonts w:cs="Times New Roman"/>
                <w:sz w:val="20"/>
                <w:szCs w:val="20"/>
              </w:rPr>
              <w:t xml:space="preserve">Posição </w:t>
            </w:r>
          </w:p>
        </w:tc>
      </w:tr>
      <w:tr w:rsidR="00BA3C97" w14:paraId="167A24E8" w14:textId="77777777" w:rsidTr="006E2A70">
        <w:trPr>
          <w:trHeight w:val="57"/>
          <w:jc w:val="center"/>
        </w:trPr>
        <w:tc>
          <w:tcPr>
            <w:tcW w:w="2127" w:type="dxa"/>
            <w:vMerge w:val="restart"/>
            <w:tcBorders>
              <w:top w:val="single" w:sz="4" w:space="0" w:color="auto"/>
              <w:left w:val="nil"/>
              <w:right w:val="nil"/>
            </w:tcBorders>
            <w:vAlign w:val="center"/>
          </w:tcPr>
          <w:p w14:paraId="011618EB" w14:textId="250CB111" w:rsidR="00BA3C97" w:rsidRPr="00413531" w:rsidRDefault="00BA3C97" w:rsidP="00C17EE3">
            <w:pPr>
              <w:spacing w:line="240" w:lineRule="auto"/>
              <w:ind w:firstLine="0"/>
              <w:jc w:val="center"/>
              <w:rPr>
                <w:rFonts w:cs="Times New Roman"/>
                <w:color w:val="000000"/>
                <w:sz w:val="20"/>
                <w:szCs w:val="20"/>
              </w:rPr>
            </w:pPr>
            <w:r w:rsidRPr="00413531">
              <w:rPr>
                <w:rFonts w:cs="Times New Roman"/>
                <w:color w:val="000000"/>
                <w:sz w:val="20"/>
                <w:szCs w:val="20"/>
              </w:rPr>
              <w:t>Nordeste</w:t>
            </w:r>
          </w:p>
        </w:tc>
        <w:tc>
          <w:tcPr>
            <w:tcW w:w="2409" w:type="dxa"/>
            <w:tcBorders>
              <w:top w:val="single" w:sz="4" w:space="0" w:color="auto"/>
              <w:left w:val="nil"/>
              <w:bottom w:val="nil"/>
              <w:right w:val="nil"/>
            </w:tcBorders>
            <w:shd w:val="clear" w:color="auto" w:fill="auto"/>
            <w:vAlign w:val="bottom"/>
          </w:tcPr>
          <w:p w14:paraId="36B4FD89" w14:textId="271C3B27" w:rsidR="00BA3C97" w:rsidRPr="00413531" w:rsidRDefault="00BA3C97" w:rsidP="00C17EE3">
            <w:pPr>
              <w:spacing w:line="240" w:lineRule="auto"/>
              <w:ind w:firstLine="0"/>
              <w:jc w:val="center"/>
              <w:rPr>
                <w:rFonts w:cs="Times New Roman"/>
                <w:sz w:val="20"/>
                <w:szCs w:val="20"/>
              </w:rPr>
            </w:pPr>
            <w:r w:rsidRPr="00413531">
              <w:rPr>
                <w:rFonts w:cs="Times New Roman"/>
                <w:color w:val="000000"/>
                <w:sz w:val="20"/>
                <w:szCs w:val="20"/>
              </w:rPr>
              <w:t>Bahia</w:t>
            </w:r>
          </w:p>
        </w:tc>
        <w:tc>
          <w:tcPr>
            <w:tcW w:w="1560" w:type="dxa"/>
            <w:tcBorders>
              <w:top w:val="single" w:sz="4" w:space="0" w:color="auto"/>
              <w:left w:val="nil"/>
              <w:bottom w:val="nil"/>
              <w:right w:val="nil"/>
            </w:tcBorders>
            <w:shd w:val="clear" w:color="auto" w:fill="auto"/>
            <w:vAlign w:val="bottom"/>
          </w:tcPr>
          <w:p w14:paraId="586F4C2E" w14:textId="15243926" w:rsidR="00BA3C97" w:rsidRPr="00413531" w:rsidRDefault="00BA3C97" w:rsidP="00C17EE3">
            <w:pPr>
              <w:spacing w:line="240" w:lineRule="auto"/>
              <w:ind w:firstLine="0"/>
              <w:jc w:val="center"/>
              <w:rPr>
                <w:rFonts w:cs="Times New Roman"/>
                <w:sz w:val="20"/>
                <w:szCs w:val="20"/>
              </w:rPr>
            </w:pPr>
            <w:r w:rsidRPr="00413531">
              <w:rPr>
                <w:rFonts w:cs="Times New Roman"/>
                <w:color w:val="000000"/>
                <w:sz w:val="20"/>
                <w:szCs w:val="20"/>
              </w:rPr>
              <w:t>2.223.775</w:t>
            </w:r>
          </w:p>
        </w:tc>
        <w:tc>
          <w:tcPr>
            <w:tcW w:w="2119" w:type="dxa"/>
            <w:tcBorders>
              <w:top w:val="single" w:sz="4" w:space="0" w:color="auto"/>
              <w:left w:val="nil"/>
              <w:bottom w:val="nil"/>
              <w:right w:val="nil"/>
            </w:tcBorders>
            <w:vAlign w:val="bottom"/>
          </w:tcPr>
          <w:p w14:paraId="3E3CA660" w14:textId="361FD8E2" w:rsidR="00BA3C97" w:rsidRPr="00413531" w:rsidRDefault="00BA3C97" w:rsidP="00C17EE3">
            <w:pPr>
              <w:spacing w:line="240" w:lineRule="auto"/>
              <w:ind w:firstLine="0"/>
              <w:jc w:val="center"/>
              <w:rPr>
                <w:rFonts w:cs="Times New Roman"/>
                <w:color w:val="000000"/>
                <w:sz w:val="20"/>
                <w:szCs w:val="20"/>
              </w:rPr>
            </w:pPr>
            <w:r w:rsidRPr="00413531">
              <w:rPr>
                <w:rFonts w:cs="Times New Roman"/>
                <w:color w:val="000000"/>
                <w:sz w:val="20"/>
                <w:szCs w:val="20"/>
              </w:rPr>
              <w:t>4.80%</w:t>
            </w:r>
          </w:p>
        </w:tc>
        <w:tc>
          <w:tcPr>
            <w:tcW w:w="2119" w:type="dxa"/>
            <w:tcBorders>
              <w:top w:val="single" w:sz="4" w:space="0" w:color="auto"/>
              <w:left w:val="nil"/>
              <w:bottom w:val="nil"/>
              <w:right w:val="nil"/>
            </w:tcBorders>
            <w:shd w:val="clear" w:color="auto" w:fill="auto"/>
            <w:vAlign w:val="bottom"/>
          </w:tcPr>
          <w:p w14:paraId="40CA71A1" w14:textId="7BE87E31" w:rsidR="00BA3C97" w:rsidRPr="00413531" w:rsidRDefault="00BA3C97" w:rsidP="00C17EE3">
            <w:pPr>
              <w:spacing w:line="240" w:lineRule="auto"/>
              <w:ind w:firstLine="0"/>
              <w:jc w:val="center"/>
              <w:rPr>
                <w:rFonts w:cs="Times New Roman"/>
                <w:sz w:val="20"/>
                <w:szCs w:val="20"/>
              </w:rPr>
            </w:pPr>
            <w:r>
              <w:rPr>
                <w:rFonts w:cs="Times New Roman"/>
                <w:color w:val="000000"/>
                <w:sz w:val="20"/>
                <w:szCs w:val="20"/>
              </w:rPr>
              <w:t>6º</w:t>
            </w:r>
          </w:p>
        </w:tc>
      </w:tr>
      <w:tr w:rsidR="00BA3C97" w14:paraId="46D72A4A" w14:textId="77777777" w:rsidTr="006E2A70">
        <w:trPr>
          <w:trHeight w:val="57"/>
          <w:jc w:val="center"/>
        </w:trPr>
        <w:tc>
          <w:tcPr>
            <w:tcW w:w="2127" w:type="dxa"/>
            <w:vMerge/>
            <w:tcBorders>
              <w:left w:val="nil"/>
              <w:right w:val="nil"/>
            </w:tcBorders>
            <w:vAlign w:val="center"/>
          </w:tcPr>
          <w:p w14:paraId="2B5C4541" w14:textId="16D4CBCE" w:rsidR="00BA3C97" w:rsidRPr="00413531" w:rsidRDefault="00BA3C97" w:rsidP="00C17EE3">
            <w:pPr>
              <w:spacing w:line="240" w:lineRule="auto"/>
              <w:ind w:firstLine="0"/>
              <w:jc w:val="center"/>
              <w:rPr>
                <w:rFonts w:cs="Times New Roman"/>
                <w:color w:val="000000"/>
                <w:sz w:val="20"/>
                <w:szCs w:val="20"/>
              </w:rPr>
            </w:pPr>
          </w:p>
        </w:tc>
        <w:tc>
          <w:tcPr>
            <w:tcW w:w="2409" w:type="dxa"/>
            <w:tcBorders>
              <w:top w:val="nil"/>
              <w:left w:val="nil"/>
              <w:bottom w:val="nil"/>
              <w:right w:val="nil"/>
            </w:tcBorders>
            <w:shd w:val="clear" w:color="auto" w:fill="auto"/>
            <w:vAlign w:val="bottom"/>
          </w:tcPr>
          <w:p w14:paraId="66E6A6CE" w14:textId="47C6A95E" w:rsidR="00BA3C97" w:rsidRPr="00413531" w:rsidRDefault="00BA3C97" w:rsidP="00C17EE3">
            <w:pPr>
              <w:spacing w:line="240" w:lineRule="auto"/>
              <w:ind w:firstLine="0"/>
              <w:jc w:val="center"/>
              <w:rPr>
                <w:rFonts w:cs="Times New Roman"/>
                <w:sz w:val="20"/>
                <w:szCs w:val="20"/>
              </w:rPr>
            </w:pPr>
            <w:r w:rsidRPr="00413531">
              <w:rPr>
                <w:rFonts w:cs="Times New Roman"/>
                <w:color w:val="000000"/>
                <w:sz w:val="20"/>
                <w:szCs w:val="20"/>
              </w:rPr>
              <w:t>Ceará</w:t>
            </w:r>
          </w:p>
        </w:tc>
        <w:tc>
          <w:tcPr>
            <w:tcW w:w="1560" w:type="dxa"/>
            <w:tcBorders>
              <w:top w:val="nil"/>
              <w:left w:val="nil"/>
              <w:bottom w:val="nil"/>
              <w:right w:val="nil"/>
            </w:tcBorders>
            <w:shd w:val="clear" w:color="auto" w:fill="auto"/>
            <w:vAlign w:val="bottom"/>
          </w:tcPr>
          <w:p w14:paraId="399A1476" w14:textId="0A69AC69" w:rsidR="00BA3C97" w:rsidRPr="00413531" w:rsidRDefault="00BA3C97" w:rsidP="00C17EE3">
            <w:pPr>
              <w:spacing w:line="240" w:lineRule="auto"/>
              <w:ind w:firstLine="0"/>
              <w:jc w:val="center"/>
              <w:rPr>
                <w:rFonts w:cs="Times New Roman"/>
                <w:sz w:val="20"/>
                <w:szCs w:val="20"/>
              </w:rPr>
            </w:pPr>
            <w:r w:rsidRPr="00413531">
              <w:rPr>
                <w:rFonts w:cs="Times New Roman"/>
                <w:color w:val="000000"/>
                <w:sz w:val="20"/>
                <w:szCs w:val="20"/>
              </w:rPr>
              <w:t>1.464.948</w:t>
            </w:r>
          </w:p>
        </w:tc>
        <w:tc>
          <w:tcPr>
            <w:tcW w:w="2119" w:type="dxa"/>
            <w:tcBorders>
              <w:top w:val="nil"/>
              <w:left w:val="nil"/>
              <w:bottom w:val="nil"/>
              <w:right w:val="nil"/>
            </w:tcBorders>
            <w:vAlign w:val="bottom"/>
          </w:tcPr>
          <w:p w14:paraId="7CD98362" w14:textId="7ED0364E" w:rsidR="00BA3C97" w:rsidRPr="00413531" w:rsidRDefault="00BA3C97" w:rsidP="00C17EE3">
            <w:pPr>
              <w:spacing w:line="240" w:lineRule="auto"/>
              <w:ind w:firstLine="0"/>
              <w:jc w:val="center"/>
              <w:rPr>
                <w:rFonts w:cs="Times New Roman"/>
                <w:color w:val="000000"/>
                <w:sz w:val="20"/>
                <w:szCs w:val="20"/>
              </w:rPr>
            </w:pPr>
            <w:r w:rsidRPr="00413531">
              <w:rPr>
                <w:rFonts w:cs="Times New Roman"/>
                <w:color w:val="000000"/>
                <w:sz w:val="20"/>
                <w:szCs w:val="20"/>
              </w:rPr>
              <w:t>3.17%</w:t>
            </w:r>
          </w:p>
        </w:tc>
        <w:tc>
          <w:tcPr>
            <w:tcW w:w="2119" w:type="dxa"/>
            <w:tcBorders>
              <w:top w:val="nil"/>
              <w:left w:val="nil"/>
              <w:bottom w:val="nil"/>
              <w:right w:val="nil"/>
            </w:tcBorders>
            <w:shd w:val="clear" w:color="auto" w:fill="auto"/>
            <w:vAlign w:val="bottom"/>
          </w:tcPr>
          <w:p w14:paraId="670FD4B9" w14:textId="50EA7046" w:rsidR="00BA3C97" w:rsidRPr="00413531" w:rsidRDefault="00BA3C97" w:rsidP="00C17EE3">
            <w:pPr>
              <w:spacing w:line="240" w:lineRule="auto"/>
              <w:ind w:firstLine="0"/>
              <w:jc w:val="center"/>
              <w:rPr>
                <w:rFonts w:cs="Times New Roman"/>
                <w:sz w:val="20"/>
                <w:szCs w:val="20"/>
              </w:rPr>
            </w:pPr>
            <w:r>
              <w:rPr>
                <w:rFonts w:cs="Times New Roman"/>
                <w:color w:val="000000"/>
                <w:sz w:val="20"/>
                <w:szCs w:val="20"/>
              </w:rPr>
              <w:t>10º</w:t>
            </w:r>
          </w:p>
        </w:tc>
      </w:tr>
      <w:tr w:rsidR="00BA3C97" w14:paraId="65751A06" w14:textId="77777777" w:rsidTr="006E2A70">
        <w:trPr>
          <w:trHeight w:val="57"/>
          <w:jc w:val="center"/>
        </w:trPr>
        <w:tc>
          <w:tcPr>
            <w:tcW w:w="2127" w:type="dxa"/>
            <w:vMerge/>
            <w:tcBorders>
              <w:left w:val="nil"/>
              <w:bottom w:val="single" w:sz="4" w:space="0" w:color="auto"/>
              <w:right w:val="nil"/>
            </w:tcBorders>
            <w:vAlign w:val="center"/>
          </w:tcPr>
          <w:p w14:paraId="71C9FFB1" w14:textId="7C9B5009" w:rsidR="00BA3C97" w:rsidRPr="00413531" w:rsidRDefault="00BA3C97" w:rsidP="00C17EE3">
            <w:pPr>
              <w:spacing w:line="240" w:lineRule="auto"/>
              <w:ind w:firstLine="0"/>
              <w:jc w:val="center"/>
              <w:rPr>
                <w:rFonts w:cs="Times New Roman"/>
                <w:color w:val="000000"/>
                <w:sz w:val="20"/>
                <w:szCs w:val="20"/>
              </w:rPr>
            </w:pPr>
          </w:p>
        </w:tc>
        <w:tc>
          <w:tcPr>
            <w:tcW w:w="2409" w:type="dxa"/>
            <w:tcBorders>
              <w:top w:val="nil"/>
              <w:left w:val="nil"/>
              <w:bottom w:val="single" w:sz="4" w:space="0" w:color="auto"/>
              <w:right w:val="nil"/>
            </w:tcBorders>
            <w:shd w:val="clear" w:color="auto" w:fill="auto"/>
            <w:vAlign w:val="bottom"/>
          </w:tcPr>
          <w:p w14:paraId="477E28D5" w14:textId="0DD9A635" w:rsidR="00BA3C97" w:rsidRPr="00413531" w:rsidRDefault="00BA3C97" w:rsidP="00C17EE3">
            <w:pPr>
              <w:spacing w:line="240" w:lineRule="auto"/>
              <w:ind w:firstLine="0"/>
              <w:jc w:val="center"/>
              <w:rPr>
                <w:rFonts w:cs="Times New Roman"/>
                <w:sz w:val="20"/>
                <w:szCs w:val="20"/>
              </w:rPr>
            </w:pPr>
            <w:r w:rsidRPr="00413531">
              <w:rPr>
                <w:rFonts w:cs="Times New Roman"/>
                <w:color w:val="000000"/>
                <w:sz w:val="20"/>
                <w:szCs w:val="20"/>
              </w:rPr>
              <w:t>Pernambuco</w:t>
            </w:r>
          </w:p>
        </w:tc>
        <w:tc>
          <w:tcPr>
            <w:tcW w:w="1560" w:type="dxa"/>
            <w:tcBorders>
              <w:top w:val="nil"/>
              <w:left w:val="nil"/>
              <w:bottom w:val="single" w:sz="4" w:space="0" w:color="auto"/>
              <w:right w:val="nil"/>
            </w:tcBorders>
            <w:shd w:val="clear" w:color="auto" w:fill="auto"/>
            <w:vAlign w:val="bottom"/>
          </w:tcPr>
          <w:p w14:paraId="4DF145F3" w14:textId="30CA713D" w:rsidR="00BA3C97" w:rsidRPr="00413531" w:rsidRDefault="00BA3C97" w:rsidP="00C17EE3">
            <w:pPr>
              <w:spacing w:line="240" w:lineRule="auto"/>
              <w:ind w:firstLine="0"/>
              <w:jc w:val="center"/>
              <w:rPr>
                <w:rFonts w:cs="Times New Roman"/>
                <w:sz w:val="20"/>
                <w:szCs w:val="20"/>
              </w:rPr>
            </w:pPr>
            <w:r w:rsidRPr="00413531">
              <w:rPr>
                <w:rFonts w:cs="Times New Roman"/>
                <w:color w:val="000000"/>
                <w:sz w:val="20"/>
                <w:szCs w:val="20"/>
              </w:rPr>
              <w:t>1.584.780</w:t>
            </w:r>
          </w:p>
        </w:tc>
        <w:tc>
          <w:tcPr>
            <w:tcW w:w="2119" w:type="dxa"/>
            <w:tcBorders>
              <w:top w:val="nil"/>
              <w:left w:val="nil"/>
              <w:bottom w:val="single" w:sz="4" w:space="0" w:color="auto"/>
              <w:right w:val="nil"/>
            </w:tcBorders>
            <w:vAlign w:val="bottom"/>
          </w:tcPr>
          <w:p w14:paraId="67D3141A" w14:textId="14C0573C" w:rsidR="00BA3C97" w:rsidRPr="00413531" w:rsidRDefault="00BA3C97" w:rsidP="00C17EE3">
            <w:pPr>
              <w:spacing w:line="240" w:lineRule="auto"/>
              <w:ind w:firstLine="0"/>
              <w:jc w:val="center"/>
              <w:rPr>
                <w:rFonts w:cs="Times New Roman"/>
                <w:color w:val="000000"/>
                <w:sz w:val="20"/>
                <w:szCs w:val="20"/>
              </w:rPr>
            </w:pPr>
            <w:r w:rsidRPr="00413531">
              <w:rPr>
                <w:rFonts w:cs="Times New Roman"/>
                <w:color w:val="000000"/>
                <w:sz w:val="20"/>
                <w:szCs w:val="20"/>
              </w:rPr>
              <w:t>3.42%</w:t>
            </w:r>
          </w:p>
        </w:tc>
        <w:tc>
          <w:tcPr>
            <w:tcW w:w="2119" w:type="dxa"/>
            <w:tcBorders>
              <w:top w:val="nil"/>
              <w:left w:val="nil"/>
              <w:bottom w:val="single" w:sz="4" w:space="0" w:color="auto"/>
              <w:right w:val="nil"/>
            </w:tcBorders>
            <w:shd w:val="clear" w:color="auto" w:fill="auto"/>
            <w:vAlign w:val="bottom"/>
          </w:tcPr>
          <w:p w14:paraId="3C155B90" w14:textId="3BBCBA31" w:rsidR="00BA3C97" w:rsidRPr="00413531" w:rsidRDefault="00BA3C97" w:rsidP="00C17EE3">
            <w:pPr>
              <w:spacing w:line="240" w:lineRule="auto"/>
              <w:ind w:firstLine="0"/>
              <w:jc w:val="center"/>
              <w:rPr>
                <w:rFonts w:cs="Times New Roman"/>
                <w:sz w:val="20"/>
                <w:szCs w:val="20"/>
              </w:rPr>
            </w:pPr>
            <w:r>
              <w:rPr>
                <w:rFonts w:cs="Times New Roman"/>
                <w:color w:val="000000"/>
                <w:sz w:val="20"/>
                <w:szCs w:val="20"/>
              </w:rPr>
              <w:t>8º</w:t>
            </w:r>
          </w:p>
        </w:tc>
      </w:tr>
      <w:tr w:rsidR="00BA3C97" w14:paraId="71388253" w14:textId="77777777" w:rsidTr="006E2A70">
        <w:trPr>
          <w:trHeight w:val="57"/>
          <w:jc w:val="center"/>
        </w:trPr>
        <w:tc>
          <w:tcPr>
            <w:tcW w:w="2127" w:type="dxa"/>
            <w:vMerge w:val="restart"/>
            <w:tcBorders>
              <w:top w:val="single" w:sz="4" w:space="0" w:color="auto"/>
              <w:left w:val="nil"/>
              <w:right w:val="nil"/>
            </w:tcBorders>
            <w:vAlign w:val="center"/>
          </w:tcPr>
          <w:p w14:paraId="0BB2BFDC" w14:textId="3CA95491" w:rsidR="00BA3C97" w:rsidRPr="00413531" w:rsidRDefault="00BA3C97" w:rsidP="00C17EE3">
            <w:pPr>
              <w:spacing w:line="240" w:lineRule="auto"/>
              <w:ind w:firstLine="0"/>
              <w:jc w:val="center"/>
              <w:rPr>
                <w:rFonts w:cs="Times New Roman"/>
                <w:color w:val="000000"/>
                <w:sz w:val="20"/>
                <w:szCs w:val="20"/>
              </w:rPr>
            </w:pPr>
            <w:r w:rsidRPr="00413531">
              <w:rPr>
                <w:rFonts w:cs="Times New Roman"/>
                <w:color w:val="000000"/>
                <w:sz w:val="20"/>
                <w:szCs w:val="20"/>
              </w:rPr>
              <w:t>Sul</w:t>
            </w:r>
          </w:p>
        </w:tc>
        <w:tc>
          <w:tcPr>
            <w:tcW w:w="2409" w:type="dxa"/>
            <w:tcBorders>
              <w:top w:val="single" w:sz="4" w:space="0" w:color="auto"/>
              <w:left w:val="nil"/>
              <w:bottom w:val="nil"/>
              <w:right w:val="nil"/>
            </w:tcBorders>
            <w:shd w:val="clear" w:color="auto" w:fill="auto"/>
            <w:vAlign w:val="bottom"/>
          </w:tcPr>
          <w:p w14:paraId="5874469F" w14:textId="6D630B3B" w:rsidR="00BA3C97" w:rsidRPr="00413531" w:rsidRDefault="00BA3C97" w:rsidP="00C17EE3">
            <w:pPr>
              <w:spacing w:line="240" w:lineRule="auto"/>
              <w:ind w:firstLine="0"/>
              <w:jc w:val="center"/>
              <w:rPr>
                <w:rFonts w:cs="Times New Roman"/>
                <w:sz w:val="20"/>
                <w:szCs w:val="20"/>
              </w:rPr>
            </w:pPr>
            <w:r w:rsidRPr="00413531">
              <w:rPr>
                <w:rFonts w:cs="Times New Roman"/>
                <w:color w:val="000000"/>
                <w:sz w:val="20"/>
                <w:szCs w:val="20"/>
              </w:rPr>
              <w:t>Paraná</w:t>
            </w:r>
          </w:p>
        </w:tc>
        <w:tc>
          <w:tcPr>
            <w:tcW w:w="1560" w:type="dxa"/>
            <w:tcBorders>
              <w:top w:val="single" w:sz="4" w:space="0" w:color="auto"/>
              <w:left w:val="nil"/>
              <w:bottom w:val="nil"/>
              <w:right w:val="nil"/>
            </w:tcBorders>
            <w:shd w:val="clear" w:color="auto" w:fill="auto"/>
            <w:vAlign w:val="bottom"/>
          </w:tcPr>
          <w:p w14:paraId="7FC637EC" w14:textId="46F309A2" w:rsidR="00BA3C97" w:rsidRPr="00413531" w:rsidRDefault="00BA3C97" w:rsidP="00C17EE3">
            <w:pPr>
              <w:spacing w:line="240" w:lineRule="auto"/>
              <w:ind w:firstLine="0"/>
              <w:jc w:val="center"/>
              <w:rPr>
                <w:rFonts w:cs="Times New Roman"/>
                <w:sz w:val="20"/>
                <w:szCs w:val="20"/>
              </w:rPr>
            </w:pPr>
            <w:r w:rsidRPr="00413531">
              <w:rPr>
                <w:rFonts w:cs="Times New Roman"/>
                <w:color w:val="000000"/>
                <w:sz w:val="20"/>
                <w:szCs w:val="20"/>
              </w:rPr>
              <w:t>3.028.192</w:t>
            </w:r>
          </w:p>
        </w:tc>
        <w:tc>
          <w:tcPr>
            <w:tcW w:w="2119" w:type="dxa"/>
            <w:tcBorders>
              <w:top w:val="single" w:sz="4" w:space="0" w:color="auto"/>
              <w:left w:val="nil"/>
              <w:bottom w:val="nil"/>
              <w:right w:val="nil"/>
            </w:tcBorders>
            <w:vAlign w:val="bottom"/>
          </w:tcPr>
          <w:p w14:paraId="385B3BC3" w14:textId="31DF46E1" w:rsidR="00BA3C97" w:rsidRPr="00413531" w:rsidRDefault="00BA3C97" w:rsidP="00C17EE3">
            <w:pPr>
              <w:spacing w:line="240" w:lineRule="auto"/>
              <w:ind w:firstLine="0"/>
              <w:jc w:val="center"/>
              <w:rPr>
                <w:rFonts w:cs="Times New Roman"/>
                <w:color w:val="000000"/>
                <w:sz w:val="20"/>
                <w:szCs w:val="20"/>
              </w:rPr>
            </w:pPr>
            <w:r w:rsidRPr="00413531">
              <w:rPr>
                <w:rFonts w:cs="Times New Roman"/>
                <w:color w:val="000000"/>
                <w:sz w:val="20"/>
                <w:szCs w:val="20"/>
              </w:rPr>
              <w:t>6.54%</w:t>
            </w:r>
          </w:p>
        </w:tc>
        <w:tc>
          <w:tcPr>
            <w:tcW w:w="2119" w:type="dxa"/>
            <w:tcBorders>
              <w:top w:val="single" w:sz="4" w:space="0" w:color="auto"/>
              <w:left w:val="nil"/>
              <w:bottom w:val="nil"/>
              <w:right w:val="nil"/>
            </w:tcBorders>
            <w:shd w:val="clear" w:color="auto" w:fill="auto"/>
            <w:vAlign w:val="bottom"/>
          </w:tcPr>
          <w:p w14:paraId="725C43BB" w14:textId="1ADE2DCF" w:rsidR="00BA3C97" w:rsidRPr="00413531" w:rsidRDefault="00BA3C97" w:rsidP="00C17EE3">
            <w:pPr>
              <w:spacing w:line="240" w:lineRule="auto"/>
              <w:ind w:firstLine="0"/>
              <w:jc w:val="center"/>
              <w:rPr>
                <w:rFonts w:cs="Times New Roman"/>
                <w:sz w:val="20"/>
                <w:szCs w:val="20"/>
              </w:rPr>
            </w:pPr>
            <w:r>
              <w:rPr>
                <w:rFonts w:cs="Times New Roman"/>
                <w:color w:val="000000"/>
                <w:sz w:val="20"/>
                <w:szCs w:val="20"/>
              </w:rPr>
              <w:t>5º</w:t>
            </w:r>
          </w:p>
        </w:tc>
      </w:tr>
      <w:tr w:rsidR="00BA3C97" w14:paraId="77A0433D" w14:textId="77777777" w:rsidTr="006E2A70">
        <w:trPr>
          <w:trHeight w:val="57"/>
          <w:jc w:val="center"/>
        </w:trPr>
        <w:tc>
          <w:tcPr>
            <w:tcW w:w="2127" w:type="dxa"/>
            <w:vMerge/>
            <w:tcBorders>
              <w:left w:val="nil"/>
              <w:right w:val="nil"/>
            </w:tcBorders>
            <w:vAlign w:val="center"/>
          </w:tcPr>
          <w:p w14:paraId="6CB78AF6" w14:textId="3ED26C9F" w:rsidR="00BA3C97" w:rsidRPr="00413531" w:rsidRDefault="00BA3C97" w:rsidP="00C17EE3">
            <w:pPr>
              <w:spacing w:line="240" w:lineRule="auto"/>
              <w:ind w:firstLine="0"/>
              <w:jc w:val="center"/>
              <w:rPr>
                <w:rFonts w:cs="Times New Roman"/>
                <w:color w:val="000000"/>
                <w:sz w:val="20"/>
                <w:szCs w:val="20"/>
              </w:rPr>
            </w:pPr>
          </w:p>
        </w:tc>
        <w:tc>
          <w:tcPr>
            <w:tcW w:w="2409" w:type="dxa"/>
            <w:tcBorders>
              <w:top w:val="nil"/>
              <w:left w:val="nil"/>
              <w:bottom w:val="nil"/>
              <w:right w:val="nil"/>
            </w:tcBorders>
            <w:shd w:val="clear" w:color="auto" w:fill="auto"/>
            <w:vAlign w:val="bottom"/>
          </w:tcPr>
          <w:p w14:paraId="1FECAEC7" w14:textId="63772446" w:rsidR="00BA3C97" w:rsidRPr="00413531" w:rsidRDefault="00BA3C97" w:rsidP="00C17EE3">
            <w:pPr>
              <w:spacing w:line="240" w:lineRule="auto"/>
              <w:ind w:firstLine="0"/>
              <w:jc w:val="center"/>
              <w:rPr>
                <w:rFonts w:cs="Times New Roman"/>
                <w:sz w:val="20"/>
                <w:szCs w:val="20"/>
              </w:rPr>
            </w:pPr>
            <w:r w:rsidRPr="00413531">
              <w:rPr>
                <w:rFonts w:cs="Times New Roman"/>
                <w:color w:val="000000"/>
                <w:sz w:val="20"/>
                <w:szCs w:val="20"/>
              </w:rPr>
              <w:t>Rio Grande do Sul</w:t>
            </w:r>
          </w:p>
        </w:tc>
        <w:tc>
          <w:tcPr>
            <w:tcW w:w="1560" w:type="dxa"/>
            <w:tcBorders>
              <w:top w:val="nil"/>
              <w:left w:val="nil"/>
              <w:bottom w:val="nil"/>
              <w:right w:val="nil"/>
            </w:tcBorders>
            <w:shd w:val="clear" w:color="auto" w:fill="auto"/>
            <w:vAlign w:val="bottom"/>
          </w:tcPr>
          <w:p w14:paraId="55F9CF40" w14:textId="523FFB77" w:rsidR="00BA3C97" w:rsidRPr="00413531" w:rsidRDefault="00BA3C97" w:rsidP="00C17EE3">
            <w:pPr>
              <w:spacing w:line="240" w:lineRule="auto"/>
              <w:ind w:firstLine="0"/>
              <w:jc w:val="center"/>
              <w:rPr>
                <w:rFonts w:cs="Times New Roman"/>
                <w:sz w:val="20"/>
                <w:szCs w:val="20"/>
              </w:rPr>
            </w:pPr>
            <w:r w:rsidRPr="00413531">
              <w:rPr>
                <w:rFonts w:cs="Times New Roman"/>
                <w:color w:val="000000"/>
                <w:sz w:val="20"/>
                <w:szCs w:val="20"/>
              </w:rPr>
              <w:t>2.902.373</w:t>
            </w:r>
          </w:p>
        </w:tc>
        <w:tc>
          <w:tcPr>
            <w:tcW w:w="2119" w:type="dxa"/>
            <w:tcBorders>
              <w:top w:val="nil"/>
              <w:left w:val="nil"/>
              <w:bottom w:val="nil"/>
              <w:right w:val="nil"/>
            </w:tcBorders>
            <w:vAlign w:val="bottom"/>
          </w:tcPr>
          <w:p w14:paraId="57152457" w14:textId="5DAEF469" w:rsidR="00BA3C97" w:rsidRPr="00413531" w:rsidRDefault="00BA3C97" w:rsidP="00C17EE3">
            <w:pPr>
              <w:spacing w:line="240" w:lineRule="auto"/>
              <w:ind w:firstLine="0"/>
              <w:jc w:val="center"/>
              <w:rPr>
                <w:rFonts w:cs="Times New Roman"/>
                <w:color w:val="000000"/>
                <w:sz w:val="20"/>
                <w:szCs w:val="20"/>
              </w:rPr>
            </w:pPr>
            <w:r w:rsidRPr="00413531">
              <w:rPr>
                <w:rFonts w:cs="Times New Roman"/>
                <w:color w:val="000000"/>
                <w:sz w:val="20"/>
                <w:szCs w:val="20"/>
              </w:rPr>
              <w:t>6.27%</w:t>
            </w:r>
          </w:p>
        </w:tc>
        <w:tc>
          <w:tcPr>
            <w:tcW w:w="2119" w:type="dxa"/>
            <w:tcBorders>
              <w:top w:val="nil"/>
              <w:left w:val="nil"/>
              <w:bottom w:val="nil"/>
              <w:right w:val="nil"/>
            </w:tcBorders>
            <w:shd w:val="clear" w:color="auto" w:fill="auto"/>
            <w:vAlign w:val="bottom"/>
          </w:tcPr>
          <w:p w14:paraId="6B90A49C" w14:textId="2396F2B7" w:rsidR="00BA3C97" w:rsidRPr="00413531" w:rsidRDefault="00BA3C97" w:rsidP="00C17EE3">
            <w:pPr>
              <w:spacing w:line="240" w:lineRule="auto"/>
              <w:ind w:firstLine="0"/>
              <w:jc w:val="center"/>
              <w:rPr>
                <w:rFonts w:cs="Times New Roman"/>
                <w:sz w:val="20"/>
                <w:szCs w:val="20"/>
              </w:rPr>
            </w:pPr>
            <w:r>
              <w:rPr>
                <w:rFonts w:cs="Times New Roman"/>
                <w:color w:val="000000"/>
                <w:sz w:val="20"/>
                <w:szCs w:val="20"/>
              </w:rPr>
              <w:t>4º</w:t>
            </w:r>
          </w:p>
        </w:tc>
      </w:tr>
      <w:tr w:rsidR="00BA3C97" w:rsidRPr="00B123F2" w14:paraId="6914AC28" w14:textId="77777777" w:rsidTr="006E2A70">
        <w:trPr>
          <w:trHeight w:val="57"/>
          <w:jc w:val="center"/>
        </w:trPr>
        <w:tc>
          <w:tcPr>
            <w:tcW w:w="2127" w:type="dxa"/>
            <w:vMerge/>
            <w:tcBorders>
              <w:left w:val="nil"/>
              <w:bottom w:val="single" w:sz="4" w:space="0" w:color="auto"/>
              <w:right w:val="nil"/>
            </w:tcBorders>
            <w:vAlign w:val="center"/>
          </w:tcPr>
          <w:p w14:paraId="33DDAEE0" w14:textId="299DDEAA" w:rsidR="00BA3C97" w:rsidRPr="00413531" w:rsidRDefault="00BA3C97" w:rsidP="00C17EE3">
            <w:pPr>
              <w:spacing w:line="240" w:lineRule="auto"/>
              <w:ind w:firstLine="0"/>
              <w:jc w:val="center"/>
              <w:rPr>
                <w:rFonts w:cs="Times New Roman"/>
                <w:color w:val="000000"/>
                <w:sz w:val="20"/>
                <w:szCs w:val="20"/>
              </w:rPr>
            </w:pPr>
          </w:p>
        </w:tc>
        <w:tc>
          <w:tcPr>
            <w:tcW w:w="2409" w:type="dxa"/>
            <w:tcBorders>
              <w:top w:val="nil"/>
              <w:left w:val="nil"/>
              <w:bottom w:val="single" w:sz="4" w:space="0" w:color="auto"/>
              <w:right w:val="nil"/>
            </w:tcBorders>
            <w:shd w:val="clear" w:color="auto" w:fill="auto"/>
            <w:vAlign w:val="bottom"/>
          </w:tcPr>
          <w:p w14:paraId="2F0C689A" w14:textId="585AF108" w:rsidR="00BA3C97" w:rsidRPr="00413531" w:rsidRDefault="00BA3C97" w:rsidP="00C17EE3">
            <w:pPr>
              <w:spacing w:line="240" w:lineRule="auto"/>
              <w:ind w:firstLine="0"/>
              <w:jc w:val="center"/>
              <w:rPr>
                <w:rFonts w:cs="Times New Roman"/>
                <w:sz w:val="20"/>
                <w:szCs w:val="20"/>
              </w:rPr>
            </w:pPr>
            <w:r w:rsidRPr="00413531">
              <w:rPr>
                <w:rFonts w:cs="Times New Roman"/>
                <w:color w:val="000000"/>
                <w:sz w:val="20"/>
                <w:szCs w:val="20"/>
              </w:rPr>
              <w:t>Santa Catarina</w:t>
            </w:r>
          </w:p>
        </w:tc>
        <w:tc>
          <w:tcPr>
            <w:tcW w:w="1560" w:type="dxa"/>
            <w:tcBorders>
              <w:top w:val="nil"/>
              <w:left w:val="nil"/>
              <w:bottom w:val="single" w:sz="4" w:space="0" w:color="auto"/>
              <w:right w:val="nil"/>
            </w:tcBorders>
            <w:shd w:val="clear" w:color="auto" w:fill="auto"/>
            <w:vAlign w:val="bottom"/>
          </w:tcPr>
          <w:p w14:paraId="0A15A262" w14:textId="1ABF92EF" w:rsidR="00BA3C97" w:rsidRPr="00413531" w:rsidRDefault="00BA3C97" w:rsidP="00C17EE3">
            <w:pPr>
              <w:spacing w:line="240" w:lineRule="auto"/>
              <w:ind w:firstLine="0"/>
              <w:jc w:val="center"/>
              <w:rPr>
                <w:rFonts w:cs="Times New Roman"/>
                <w:sz w:val="20"/>
                <w:szCs w:val="20"/>
              </w:rPr>
            </w:pPr>
            <w:r w:rsidRPr="00413531">
              <w:rPr>
                <w:rFonts w:cs="Times New Roman"/>
                <w:color w:val="000000"/>
                <w:sz w:val="20"/>
                <w:szCs w:val="20"/>
              </w:rPr>
              <w:t>2.205.738</w:t>
            </w:r>
          </w:p>
        </w:tc>
        <w:tc>
          <w:tcPr>
            <w:tcW w:w="2119" w:type="dxa"/>
            <w:tcBorders>
              <w:top w:val="nil"/>
              <w:left w:val="nil"/>
              <w:bottom w:val="single" w:sz="4" w:space="0" w:color="auto"/>
              <w:right w:val="nil"/>
            </w:tcBorders>
            <w:vAlign w:val="bottom"/>
          </w:tcPr>
          <w:p w14:paraId="228FC026" w14:textId="1BE355B6" w:rsidR="00BA3C97" w:rsidRPr="00413531" w:rsidRDefault="00BA3C97" w:rsidP="00C17EE3">
            <w:pPr>
              <w:spacing w:line="240" w:lineRule="auto"/>
              <w:ind w:firstLine="0"/>
              <w:jc w:val="center"/>
              <w:rPr>
                <w:rFonts w:cs="Times New Roman"/>
                <w:color w:val="000000"/>
                <w:sz w:val="20"/>
                <w:szCs w:val="20"/>
              </w:rPr>
            </w:pPr>
            <w:r w:rsidRPr="00413531">
              <w:rPr>
                <w:rFonts w:cs="Times New Roman"/>
                <w:color w:val="000000"/>
                <w:sz w:val="20"/>
                <w:szCs w:val="20"/>
              </w:rPr>
              <w:t>4.77%</w:t>
            </w:r>
          </w:p>
        </w:tc>
        <w:tc>
          <w:tcPr>
            <w:tcW w:w="2119" w:type="dxa"/>
            <w:tcBorders>
              <w:top w:val="nil"/>
              <w:left w:val="nil"/>
              <w:bottom w:val="single" w:sz="4" w:space="0" w:color="auto"/>
              <w:right w:val="nil"/>
            </w:tcBorders>
            <w:shd w:val="clear" w:color="auto" w:fill="auto"/>
            <w:vAlign w:val="bottom"/>
          </w:tcPr>
          <w:p w14:paraId="7B03332F" w14:textId="100B99E9" w:rsidR="00BA3C97" w:rsidRPr="00413531" w:rsidRDefault="00BA3C97" w:rsidP="00C17EE3">
            <w:pPr>
              <w:spacing w:line="240" w:lineRule="auto"/>
              <w:ind w:firstLine="0"/>
              <w:jc w:val="center"/>
              <w:rPr>
                <w:rFonts w:cs="Times New Roman"/>
                <w:sz w:val="20"/>
                <w:szCs w:val="20"/>
              </w:rPr>
            </w:pPr>
            <w:r>
              <w:rPr>
                <w:rFonts w:cs="Times New Roman"/>
                <w:color w:val="000000"/>
                <w:sz w:val="20"/>
                <w:szCs w:val="20"/>
              </w:rPr>
              <w:t>7º</w:t>
            </w:r>
          </w:p>
        </w:tc>
      </w:tr>
      <w:tr w:rsidR="00BA3C97" w14:paraId="5FCA7967" w14:textId="77777777" w:rsidTr="006E2A70">
        <w:trPr>
          <w:trHeight w:val="57"/>
          <w:jc w:val="center"/>
        </w:trPr>
        <w:tc>
          <w:tcPr>
            <w:tcW w:w="2127" w:type="dxa"/>
            <w:vMerge w:val="restart"/>
            <w:tcBorders>
              <w:top w:val="single" w:sz="4" w:space="0" w:color="auto"/>
              <w:left w:val="nil"/>
              <w:right w:val="nil"/>
            </w:tcBorders>
            <w:vAlign w:val="center"/>
          </w:tcPr>
          <w:p w14:paraId="1365EC02" w14:textId="2AA36FD7" w:rsidR="00BA3C97" w:rsidRPr="00413531" w:rsidRDefault="00BA3C97" w:rsidP="00C17EE3">
            <w:pPr>
              <w:spacing w:line="240" w:lineRule="auto"/>
              <w:ind w:firstLine="0"/>
              <w:jc w:val="center"/>
              <w:rPr>
                <w:rFonts w:cs="Times New Roman"/>
                <w:color w:val="000000"/>
                <w:sz w:val="20"/>
                <w:szCs w:val="20"/>
              </w:rPr>
            </w:pPr>
            <w:r w:rsidRPr="00413531">
              <w:rPr>
                <w:rFonts w:cs="Times New Roman"/>
                <w:color w:val="000000"/>
                <w:sz w:val="20"/>
                <w:szCs w:val="20"/>
              </w:rPr>
              <w:t>Sudeste</w:t>
            </w:r>
          </w:p>
        </w:tc>
        <w:tc>
          <w:tcPr>
            <w:tcW w:w="2409" w:type="dxa"/>
            <w:tcBorders>
              <w:top w:val="single" w:sz="4" w:space="0" w:color="auto"/>
              <w:left w:val="nil"/>
              <w:bottom w:val="nil"/>
              <w:right w:val="nil"/>
            </w:tcBorders>
            <w:shd w:val="clear" w:color="auto" w:fill="auto"/>
            <w:vAlign w:val="bottom"/>
          </w:tcPr>
          <w:p w14:paraId="5A407957" w14:textId="5A8AA196" w:rsidR="00BA3C97" w:rsidRPr="00413531" w:rsidRDefault="00BA3C97" w:rsidP="00C17EE3">
            <w:pPr>
              <w:spacing w:line="240" w:lineRule="auto"/>
              <w:ind w:firstLine="0"/>
              <w:jc w:val="center"/>
              <w:rPr>
                <w:rFonts w:cs="Times New Roman"/>
                <w:sz w:val="20"/>
                <w:szCs w:val="20"/>
              </w:rPr>
            </w:pPr>
            <w:r w:rsidRPr="00413531">
              <w:rPr>
                <w:rFonts w:cs="Times New Roman"/>
                <w:color w:val="000000"/>
                <w:sz w:val="20"/>
                <w:szCs w:val="20"/>
              </w:rPr>
              <w:t>Minas Gerais</w:t>
            </w:r>
          </w:p>
        </w:tc>
        <w:tc>
          <w:tcPr>
            <w:tcW w:w="1560" w:type="dxa"/>
            <w:tcBorders>
              <w:top w:val="single" w:sz="4" w:space="0" w:color="auto"/>
              <w:left w:val="nil"/>
              <w:bottom w:val="nil"/>
              <w:right w:val="nil"/>
            </w:tcBorders>
            <w:shd w:val="clear" w:color="auto" w:fill="auto"/>
            <w:vAlign w:val="bottom"/>
          </w:tcPr>
          <w:p w14:paraId="767BD3F2" w14:textId="1049C632" w:rsidR="00BA3C97" w:rsidRPr="00413531" w:rsidRDefault="00BA3C97" w:rsidP="00C17EE3">
            <w:pPr>
              <w:spacing w:line="240" w:lineRule="auto"/>
              <w:ind w:firstLine="0"/>
              <w:jc w:val="center"/>
              <w:rPr>
                <w:rFonts w:cs="Times New Roman"/>
                <w:sz w:val="20"/>
                <w:szCs w:val="20"/>
              </w:rPr>
            </w:pPr>
            <w:r w:rsidRPr="00413531">
              <w:rPr>
                <w:rFonts w:cs="Times New Roman"/>
                <w:color w:val="000000"/>
                <w:sz w:val="20"/>
                <w:szCs w:val="20"/>
              </w:rPr>
              <w:t>4.710.919</w:t>
            </w:r>
          </w:p>
        </w:tc>
        <w:tc>
          <w:tcPr>
            <w:tcW w:w="2119" w:type="dxa"/>
            <w:tcBorders>
              <w:top w:val="single" w:sz="4" w:space="0" w:color="auto"/>
              <w:left w:val="nil"/>
              <w:bottom w:val="nil"/>
              <w:right w:val="nil"/>
            </w:tcBorders>
            <w:vAlign w:val="bottom"/>
          </w:tcPr>
          <w:p w14:paraId="318CD3DF" w14:textId="7B5BDA5D" w:rsidR="00BA3C97" w:rsidRPr="00413531" w:rsidRDefault="00BA3C97" w:rsidP="00C17EE3">
            <w:pPr>
              <w:spacing w:line="240" w:lineRule="auto"/>
              <w:ind w:firstLine="0"/>
              <w:jc w:val="center"/>
              <w:rPr>
                <w:rFonts w:cs="Times New Roman"/>
                <w:color w:val="000000"/>
                <w:sz w:val="20"/>
                <w:szCs w:val="20"/>
              </w:rPr>
            </w:pPr>
            <w:r w:rsidRPr="00413531">
              <w:rPr>
                <w:rFonts w:cs="Times New Roman"/>
                <w:color w:val="000000"/>
                <w:sz w:val="20"/>
                <w:szCs w:val="20"/>
              </w:rPr>
              <w:t>10.18%</w:t>
            </w:r>
          </w:p>
        </w:tc>
        <w:tc>
          <w:tcPr>
            <w:tcW w:w="2119" w:type="dxa"/>
            <w:tcBorders>
              <w:top w:val="single" w:sz="4" w:space="0" w:color="auto"/>
              <w:left w:val="nil"/>
              <w:bottom w:val="nil"/>
              <w:right w:val="nil"/>
            </w:tcBorders>
            <w:shd w:val="clear" w:color="auto" w:fill="auto"/>
            <w:vAlign w:val="bottom"/>
          </w:tcPr>
          <w:p w14:paraId="077EE6D9" w14:textId="1BDECB5A" w:rsidR="00BA3C97" w:rsidRPr="00413531" w:rsidRDefault="00BA3C97" w:rsidP="00C17EE3">
            <w:pPr>
              <w:spacing w:line="240" w:lineRule="auto"/>
              <w:ind w:firstLine="0"/>
              <w:jc w:val="center"/>
              <w:rPr>
                <w:rFonts w:cs="Times New Roman"/>
                <w:sz w:val="20"/>
                <w:szCs w:val="20"/>
              </w:rPr>
            </w:pPr>
            <w:r>
              <w:rPr>
                <w:rFonts w:cs="Times New Roman"/>
                <w:color w:val="000000"/>
                <w:sz w:val="20"/>
                <w:szCs w:val="20"/>
              </w:rPr>
              <w:t>2º</w:t>
            </w:r>
          </w:p>
        </w:tc>
      </w:tr>
      <w:tr w:rsidR="00BA3C97" w:rsidRPr="00B123F2" w14:paraId="0BC4B803" w14:textId="77777777" w:rsidTr="006E2A70">
        <w:trPr>
          <w:trHeight w:val="57"/>
          <w:jc w:val="center"/>
        </w:trPr>
        <w:tc>
          <w:tcPr>
            <w:tcW w:w="2127" w:type="dxa"/>
            <w:vMerge/>
            <w:tcBorders>
              <w:left w:val="nil"/>
              <w:right w:val="nil"/>
            </w:tcBorders>
            <w:vAlign w:val="bottom"/>
          </w:tcPr>
          <w:p w14:paraId="6DA7EAB0" w14:textId="000544C1" w:rsidR="00BA3C97" w:rsidRPr="00413531" w:rsidRDefault="00BA3C97" w:rsidP="00C17EE3">
            <w:pPr>
              <w:spacing w:line="240" w:lineRule="auto"/>
              <w:ind w:firstLine="0"/>
              <w:jc w:val="center"/>
              <w:rPr>
                <w:rFonts w:cs="Times New Roman"/>
                <w:color w:val="000000"/>
                <w:sz w:val="20"/>
                <w:szCs w:val="20"/>
              </w:rPr>
            </w:pPr>
          </w:p>
        </w:tc>
        <w:tc>
          <w:tcPr>
            <w:tcW w:w="2409" w:type="dxa"/>
            <w:tcBorders>
              <w:top w:val="nil"/>
              <w:left w:val="nil"/>
              <w:bottom w:val="nil"/>
              <w:right w:val="nil"/>
            </w:tcBorders>
            <w:shd w:val="clear" w:color="auto" w:fill="auto"/>
            <w:vAlign w:val="bottom"/>
          </w:tcPr>
          <w:p w14:paraId="591D71F7" w14:textId="481BCD83" w:rsidR="00BA3C97" w:rsidRPr="00413531" w:rsidRDefault="00BA3C97" w:rsidP="00C17EE3">
            <w:pPr>
              <w:spacing w:line="240" w:lineRule="auto"/>
              <w:ind w:firstLine="0"/>
              <w:jc w:val="center"/>
              <w:rPr>
                <w:rFonts w:cs="Times New Roman"/>
                <w:sz w:val="20"/>
                <w:szCs w:val="20"/>
              </w:rPr>
            </w:pPr>
            <w:r w:rsidRPr="00413531">
              <w:rPr>
                <w:rFonts w:cs="Times New Roman"/>
                <w:color w:val="000000"/>
                <w:sz w:val="20"/>
                <w:szCs w:val="20"/>
              </w:rPr>
              <w:t>Rio de Janeiro</w:t>
            </w:r>
          </w:p>
        </w:tc>
        <w:tc>
          <w:tcPr>
            <w:tcW w:w="1560" w:type="dxa"/>
            <w:tcBorders>
              <w:top w:val="nil"/>
              <w:left w:val="nil"/>
              <w:bottom w:val="nil"/>
              <w:right w:val="nil"/>
            </w:tcBorders>
            <w:shd w:val="clear" w:color="auto" w:fill="auto"/>
            <w:vAlign w:val="bottom"/>
          </w:tcPr>
          <w:p w14:paraId="59A9FF19" w14:textId="6B406F3B" w:rsidR="00BA3C97" w:rsidRPr="00413531" w:rsidRDefault="00BA3C97" w:rsidP="00C17EE3">
            <w:pPr>
              <w:spacing w:line="240" w:lineRule="auto"/>
              <w:ind w:firstLine="0"/>
              <w:jc w:val="center"/>
              <w:rPr>
                <w:rFonts w:cs="Times New Roman"/>
                <w:sz w:val="20"/>
                <w:szCs w:val="20"/>
              </w:rPr>
            </w:pPr>
            <w:r w:rsidRPr="00413531">
              <w:rPr>
                <w:rFonts w:cs="Times New Roman"/>
                <w:color w:val="000000"/>
                <w:sz w:val="20"/>
                <w:szCs w:val="20"/>
              </w:rPr>
              <w:t>4.044.736</w:t>
            </w:r>
          </w:p>
        </w:tc>
        <w:tc>
          <w:tcPr>
            <w:tcW w:w="2119" w:type="dxa"/>
            <w:tcBorders>
              <w:top w:val="nil"/>
              <w:left w:val="nil"/>
              <w:bottom w:val="nil"/>
              <w:right w:val="nil"/>
            </w:tcBorders>
            <w:vAlign w:val="bottom"/>
          </w:tcPr>
          <w:p w14:paraId="21288D03" w14:textId="0DD52B48" w:rsidR="00BA3C97" w:rsidRPr="00413531" w:rsidRDefault="00BA3C97" w:rsidP="00C17EE3">
            <w:pPr>
              <w:spacing w:line="240" w:lineRule="auto"/>
              <w:ind w:firstLine="0"/>
              <w:jc w:val="center"/>
              <w:rPr>
                <w:rFonts w:cs="Times New Roman"/>
                <w:color w:val="000000"/>
                <w:sz w:val="20"/>
                <w:szCs w:val="20"/>
              </w:rPr>
            </w:pPr>
            <w:r w:rsidRPr="00413531">
              <w:rPr>
                <w:rFonts w:cs="Times New Roman"/>
                <w:color w:val="000000"/>
                <w:sz w:val="20"/>
                <w:szCs w:val="20"/>
              </w:rPr>
              <w:t>8.74%</w:t>
            </w:r>
          </w:p>
        </w:tc>
        <w:tc>
          <w:tcPr>
            <w:tcW w:w="2119" w:type="dxa"/>
            <w:tcBorders>
              <w:top w:val="nil"/>
              <w:left w:val="nil"/>
              <w:bottom w:val="nil"/>
              <w:right w:val="nil"/>
            </w:tcBorders>
            <w:shd w:val="clear" w:color="auto" w:fill="auto"/>
            <w:vAlign w:val="bottom"/>
          </w:tcPr>
          <w:p w14:paraId="69AC5146" w14:textId="39D2D5D3" w:rsidR="00BA3C97" w:rsidRPr="00413531" w:rsidRDefault="00BA3C97" w:rsidP="00C17EE3">
            <w:pPr>
              <w:spacing w:line="240" w:lineRule="auto"/>
              <w:ind w:firstLine="0"/>
              <w:jc w:val="center"/>
              <w:rPr>
                <w:rFonts w:cs="Times New Roman"/>
                <w:sz w:val="20"/>
                <w:szCs w:val="20"/>
              </w:rPr>
            </w:pPr>
            <w:r>
              <w:rPr>
                <w:rFonts w:cs="Times New Roman"/>
                <w:color w:val="000000"/>
                <w:sz w:val="20"/>
                <w:szCs w:val="20"/>
              </w:rPr>
              <w:t>3º</w:t>
            </w:r>
          </w:p>
        </w:tc>
      </w:tr>
      <w:tr w:rsidR="00BA3C97" w14:paraId="3E93B88F" w14:textId="77777777" w:rsidTr="006E2A70">
        <w:trPr>
          <w:trHeight w:val="57"/>
          <w:jc w:val="center"/>
        </w:trPr>
        <w:tc>
          <w:tcPr>
            <w:tcW w:w="2127" w:type="dxa"/>
            <w:vMerge/>
            <w:tcBorders>
              <w:left w:val="nil"/>
              <w:bottom w:val="single" w:sz="4" w:space="0" w:color="auto"/>
              <w:right w:val="nil"/>
            </w:tcBorders>
            <w:vAlign w:val="bottom"/>
          </w:tcPr>
          <w:p w14:paraId="7278E774" w14:textId="652B5E01" w:rsidR="00BA3C97" w:rsidRPr="00413531" w:rsidRDefault="00BA3C97" w:rsidP="00C17EE3">
            <w:pPr>
              <w:spacing w:line="240" w:lineRule="auto"/>
              <w:ind w:firstLine="0"/>
              <w:jc w:val="center"/>
              <w:rPr>
                <w:rFonts w:cs="Times New Roman"/>
                <w:color w:val="000000"/>
                <w:sz w:val="20"/>
                <w:szCs w:val="20"/>
              </w:rPr>
            </w:pPr>
          </w:p>
        </w:tc>
        <w:tc>
          <w:tcPr>
            <w:tcW w:w="2409" w:type="dxa"/>
            <w:tcBorders>
              <w:top w:val="nil"/>
              <w:left w:val="nil"/>
              <w:bottom w:val="single" w:sz="4" w:space="0" w:color="auto"/>
              <w:right w:val="nil"/>
            </w:tcBorders>
            <w:shd w:val="clear" w:color="auto" w:fill="auto"/>
            <w:vAlign w:val="bottom"/>
          </w:tcPr>
          <w:p w14:paraId="75A03B68" w14:textId="5DE34272" w:rsidR="00BA3C97" w:rsidRPr="00413531" w:rsidRDefault="00BA3C97" w:rsidP="00C17EE3">
            <w:pPr>
              <w:spacing w:line="240" w:lineRule="auto"/>
              <w:ind w:firstLine="0"/>
              <w:jc w:val="center"/>
              <w:rPr>
                <w:rFonts w:cs="Times New Roman"/>
                <w:sz w:val="20"/>
                <w:szCs w:val="20"/>
              </w:rPr>
            </w:pPr>
            <w:r w:rsidRPr="00413531">
              <w:rPr>
                <w:rFonts w:cs="Times New Roman"/>
                <w:color w:val="000000"/>
                <w:sz w:val="20"/>
                <w:szCs w:val="20"/>
              </w:rPr>
              <w:t>São Paulo</w:t>
            </w:r>
          </w:p>
        </w:tc>
        <w:tc>
          <w:tcPr>
            <w:tcW w:w="1560" w:type="dxa"/>
            <w:tcBorders>
              <w:top w:val="nil"/>
              <w:left w:val="nil"/>
              <w:bottom w:val="single" w:sz="4" w:space="0" w:color="auto"/>
              <w:right w:val="nil"/>
            </w:tcBorders>
            <w:shd w:val="clear" w:color="auto" w:fill="auto"/>
            <w:vAlign w:val="bottom"/>
          </w:tcPr>
          <w:p w14:paraId="1F140091" w14:textId="47520EEE" w:rsidR="00BA3C97" w:rsidRPr="00413531" w:rsidRDefault="00BA3C97" w:rsidP="00C17EE3">
            <w:pPr>
              <w:spacing w:line="240" w:lineRule="auto"/>
              <w:ind w:firstLine="0"/>
              <w:jc w:val="center"/>
              <w:rPr>
                <w:rFonts w:cs="Times New Roman"/>
                <w:sz w:val="20"/>
                <w:szCs w:val="20"/>
              </w:rPr>
            </w:pPr>
            <w:r w:rsidRPr="00413531">
              <w:rPr>
                <w:rFonts w:cs="Times New Roman"/>
                <w:color w:val="000000"/>
                <w:sz w:val="20"/>
                <w:szCs w:val="20"/>
              </w:rPr>
              <w:t>13.128.278</w:t>
            </w:r>
          </w:p>
        </w:tc>
        <w:tc>
          <w:tcPr>
            <w:tcW w:w="2119" w:type="dxa"/>
            <w:tcBorders>
              <w:top w:val="nil"/>
              <w:left w:val="nil"/>
              <w:bottom w:val="single" w:sz="4" w:space="0" w:color="auto"/>
              <w:right w:val="nil"/>
            </w:tcBorders>
            <w:vAlign w:val="bottom"/>
          </w:tcPr>
          <w:p w14:paraId="132330D0" w14:textId="45EA289F" w:rsidR="00BA3C97" w:rsidRPr="00413531" w:rsidRDefault="00BA3C97" w:rsidP="00C17EE3">
            <w:pPr>
              <w:spacing w:line="240" w:lineRule="auto"/>
              <w:ind w:firstLine="0"/>
              <w:jc w:val="center"/>
              <w:rPr>
                <w:rFonts w:cs="Times New Roman"/>
                <w:color w:val="000000"/>
                <w:sz w:val="20"/>
                <w:szCs w:val="20"/>
              </w:rPr>
            </w:pPr>
            <w:r w:rsidRPr="00413531">
              <w:rPr>
                <w:rFonts w:cs="Times New Roman"/>
                <w:color w:val="000000"/>
                <w:sz w:val="20"/>
                <w:szCs w:val="20"/>
              </w:rPr>
              <w:t>28.37%</w:t>
            </w:r>
          </w:p>
        </w:tc>
        <w:tc>
          <w:tcPr>
            <w:tcW w:w="2119" w:type="dxa"/>
            <w:tcBorders>
              <w:top w:val="nil"/>
              <w:left w:val="nil"/>
              <w:bottom w:val="single" w:sz="4" w:space="0" w:color="auto"/>
              <w:right w:val="nil"/>
            </w:tcBorders>
            <w:shd w:val="clear" w:color="auto" w:fill="auto"/>
            <w:vAlign w:val="bottom"/>
          </w:tcPr>
          <w:p w14:paraId="5D6670D9" w14:textId="04F8D666" w:rsidR="00BA3C97" w:rsidRPr="00413531" w:rsidRDefault="00BA3C97" w:rsidP="00C17EE3">
            <w:pPr>
              <w:spacing w:line="240" w:lineRule="auto"/>
              <w:ind w:firstLine="0"/>
              <w:jc w:val="center"/>
              <w:rPr>
                <w:rFonts w:cs="Times New Roman"/>
                <w:sz w:val="20"/>
                <w:szCs w:val="20"/>
              </w:rPr>
            </w:pPr>
            <w:r>
              <w:rPr>
                <w:rFonts w:cs="Times New Roman"/>
                <w:color w:val="000000"/>
                <w:sz w:val="20"/>
                <w:szCs w:val="20"/>
              </w:rPr>
              <w:t>1º</w:t>
            </w:r>
          </w:p>
        </w:tc>
      </w:tr>
    </w:tbl>
    <w:p w14:paraId="441C21A9" w14:textId="5CCA33C0" w:rsidR="006B33A2" w:rsidRPr="00813107" w:rsidRDefault="006B33A2" w:rsidP="00413531">
      <w:pPr>
        <w:pStyle w:val="NoSpacing"/>
        <w:jc w:val="center"/>
        <w:rPr>
          <w:rFonts w:ascii="Times New Roman" w:hAnsi="Times New Roman"/>
          <w:sz w:val="16"/>
          <w:szCs w:val="16"/>
        </w:rPr>
      </w:pPr>
      <w:r w:rsidRPr="00813107">
        <w:rPr>
          <w:rFonts w:ascii="Times New Roman" w:hAnsi="Times New Roman"/>
          <w:sz w:val="16"/>
          <w:szCs w:val="16"/>
        </w:rPr>
        <w:t xml:space="preserve">Fonte: Elaborado pelo Autor. </w:t>
      </w:r>
      <w:r w:rsidR="00413531" w:rsidRPr="00813107">
        <w:rPr>
          <w:rFonts w:ascii="Times New Roman" w:hAnsi="Times New Roman"/>
          <w:sz w:val="16"/>
          <w:szCs w:val="16"/>
        </w:rPr>
        <w:t>RAIS/MTE</w:t>
      </w:r>
    </w:p>
    <w:p w14:paraId="015FEBDF" w14:textId="77777777" w:rsidR="00965459" w:rsidRDefault="00965459" w:rsidP="00965459">
      <w:pPr>
        <w:spacing w:line="240" w:lineRule="auto"/>
        <w:jc w:val="both"/>
      </w:pPr>
    </w:p>
    <w:p w14:paraId="7413A1F0" w14:textId="303877FD" w:rsidR="00965459" w:rsidRDefault="00965459" w:rsidP="00965459">
      <w:pPr>
        <w:spacing w:line="240" w:lineRule="auto"/>
        <w:jc w:val="both"/>
      </w:pPr>
      <w:r>
        <w:t>Segundo os dados da Relação Anual de Informações Sociais (RAIS) do MTE, os nove estados selecionados representam 76,2% do mercado de trabalho formal brasileiro, totalizando 35,294 milhões de postos formais. Dos dez maiores mercados de trabalho formais brasileiros, somente Goiás (9º colocado) foi excluído da amostra. Justifica-se a ausência do mesmo em decorrência da opção de homogeinização da amostra, mantendo somente os Estados oriundos das regiões Nordeste, Sul e Sudeste.</w:t>
      </w:r>
    </w:p>
    <w:p w14:paraId="4BB80BA1" w14:textId="034862B4" w:rsidR="00FD6718" w:rsidRDefault="009C3210" w:rsidP="007B06A6">
      <w:pPr>
        <w:spacing w:line="240" w:lineRule="auto"/>
        <w:jc w:val="both"/>
      </w:pPr>
      <w:r>
        <w:t>A Figura 1 reporta a dinâmica do saldo de emprego para os Estados selecionados durante o período avaliado. As áreas sombreadas representam as recessões econômicas</w:t>
      </w:r>
      <w:r w:rsidR="005C2F71">
        <w:rPr>
          <w:rStyle w:val="FootnoteReference"/>
        </w:rPr>
        <w:footnoteReference w:id="2"/>
      </w:r>
      <w:r>
        <w:t xml:space="preserve"> </w:t>
      </w:r>
      <w:r w:rsidR="005C2F71">
        <w:t>enfrentadas pela economia brasileira segundo o Comitê de Datação do Ciclo Econômico (Codace) da Fundação Getúlio Vargas (FGV)</w:t>
      </w:r>
      <w:r>
        <w:t xml:space="preserve"> </w:t>
      </w:r>
      <w:r w:rsidR="005C2F71">
        <w:t>entre os anos de 1999 até 2018.</w:t>
      </w:r>
    </w:p>
    <w:p w14:paraId="501208E9" w14:textId="0DC2F8C4" w:rsidR="005A7952" w:rsidRDefault="00FD6718" w:rsidP="00813107">
      <w:pPr>
        <w:pStyle w:val="TtuloFigura"/>
        <w:spacing w:line="240" w:lineRule="auto"/>
      </w:pPr>
      <w:r>
        <w:t>Figura 1: Evolução Temporal do Saldo de Emprego dos Estados – 1999:01/2018:01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8805"/>
      </w:tblGrid>
      <w:tr w:rsidR="00FD6718" w14:paraId="11C5940B" w14:textId="77777777" w:rsidTr="005C2F71">
        <w:trPr>
          <w:jc w:val="center"/>
        </w:trPr>
        <w:tc>
          <w:tcPr>
            <w:tcW w:w="377" w:type="dxa"/>
            <w:vAlign w:val="center"/>
          </w:tcPr>
          <w:p w14:paraId="14589EC7" w14:textId="77777777" w:rsidR="00FD6718" w:rsidRDefault="00FD6718" w:rsidP="00FD6718">
            <w:pPr>
              <w:ind w:firstLine="0"/>
            </w:pPr>
            <w:r>
              <w:rPr>
                <w:noProof/>
              </w:rPr>
              <w:drawing>
                <wp:inline distT="0" distB="0" distL="0" distR="0" wp14:anchorId="63CD23B0" wp14:editId="4FDF11E5">
                  <wp:extent cx="102574" cy="6382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7483" cy="731008"/>
                          </a:xfrm>
                          <a:prstGeom prst="rect">
                            <a:avLst/>
                          </a:prstGeom>
                        </pic:spPr>
                      </pic:pic>
                    </a:graphicData>
                  </a:graphic>
                </wp:inline>
              </w:drawing>
            </w:r>
          </w:p>
        </w:tc>
        <w:tc>
          <w:tcPr>
            <w:tcW w:w="8805" w:type="dxa"/>
            <w:vAlign w:val="center"/>
          </w:tcPr>
          <w:p w14:paraId="26CFED0B" w14:textId="77777777" w:rsidR="00FD6718" w:rsidRDefault="00FD6718" w:rsidP="00813107">
            <w:pPr>
              <w:ind w:firstLine="0"/>
              <w:jc w:val="center"/>
            </w:pPr>
            <w:r>
              <w:rPr>
                <w:noProof/>
              </w:rPr>
              <w:drawing>
                <wp:inline distT="0" distB="0" distL="0" distR="0" wp14:anchorId="3BBE5ACE" wp14:editId="5EFDF1A0">
                  <wp:extent cx="4444290" cy="13760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8391" cy="1408270"/>
                          </a:xfrm>
                          <a:prstGeom prst="rect">
                            <a:avLst/>
                          </a:prstGeom>
                        </pic:spPr>
                      </pic:pic>
                    </a:graphicData>
                  </a:graphic>
                </wp:inline>
              </w:drawing>
            </w:r>
          </w:p>
        </w:tc>
      </w:tr>
    </w:tbl>
    <w:p w14:paraId="726330E3" w14:textId="09454887" w:rsidR="005C2F71" w:rsidRPr="00C17EE3" w:rsidRDefault="005C2F71" w:rsidP="00813107">
      <w:pPr>
        <w:pStyle w:val="NoSpacing"/>
        <w:jc w:val="center"/>
        <w:rPr>
          <w:rFonts w:ascii="Times New Roman" w:hAnsi="Times New Roman"/>
          <w:sz w:val="16"/>
          <w:szCs w:val="16"/>
        </w:rPr>
      </w:pPr>
      <w:r w:rsidRPr="00C17EE3">
        <w:rPr>
          <w:rFonts w:ascii="Times New Roman" w:hAnsi="Times New Roman"/>
          <w:sz w:val="16"/>
          <w:szCs w:val="16"/>
        </w:rPr>
        <w:t>Fonte: Elaborado pelo Autor. CAGED/MTE</w:t>
      </w:r>
    </w:p>
    <w:p w14:paraId="3B06272C" w14:textId="716624EF" w:rsidR="005A7952" w:rsidRDefault="005A7952" w:rsidP="003E2BBE"/>
    <w:p w14:paraId="76A3D703" w14:textId="21A98034" w:rsidR="005C2F71" w:rsidRDefault="00931EE9" w:rsidP="002B2C5D">
      <w:pPr>
        <w:spacing w:line="240" w:lineRule="auto"/>
        <w:jc w:val="both"/>
      </w:pPr>
      <w:r>
        <w:t xml:space="preserve">É possível observar que os Estados apresentam uma trajetória fortemente similar no saldo de emprego trimestral ao longo do intervalo temporal analisado. </w:t>
      </w:r>
      <w:r w:rsidR="00E9446F">
        <w:t xml:space="preserve">Note que as oscilações comuns apresentavam, em média, valores superiores à zero ( saldo trimestral positivo, ou seja, criação de novos postos de trabalho superior a destruição de vagas empregatícias) até a crise internacional instaurada no terceiro trimestre de </w:t>
      </w:r>
      <w:r w:rsidR="00E9446F">
        <w:lastRenderedPageBreak/>
        <w:t>2008</w:t>
      </w:r>
      <w:r w:rsidR="00DC61DB">
        <w:t>, onde ocorreu uma forte depressão na trajetória das séries, com o vale ocorrendo no último trimestre de 2008</w:t>
      </w:r>
      <w:r w:rsidR="00FB2F20">
        <w:t>, com destaque para as quedas na taxa em São Paulo e Minas Gerais.</w:t>
      </w:r>
    </w:p>
    <w:p w14:paraId="6098B63F" w14:textId="02054FF9" w:rsidR="00400403" w:rsidRDefault="00FB2F20" w:rsidP="002B2C5D">
      <w:pPr>
        <w:spacing w:line="240" w:lineRule="auto"/>
        <w:jc w:val="both"/>
      </w:pPr>
      <w:r>
        <w:t xml:space="preserve">As políticas anticíclicas adotadas pelo governo federal foram efetivas durante o período da crise internacional, já a partir de 2009:01 as economias estaduais voltaram a crescer e o saldo de emprego tornou a alcançar um pico entre 2009:04 até 2010:04. A partir daí </w:t>
      </w:r>
      <w:r w:rsidR="00830EEA">
        <w:t xml:space="preserve">a trajetória das séries apresentam uma tendência de crescimento negativo, com o coeficiente de inclinação tornando-se ainda mais inelástico a partir de 2014:03, um trimestre antes do advento da última recessão econômica nacional, segundo a Codace. </w:t>
      </w:r>
      <w:r w:rsidR="00400403">
        <w:t>Em alinhamento a recessão econômica de 2014, a crise financeira dos estados implicou em um ciclo de depressão mais vigoroso e duradouro no saldo de emprego. Dos nove estados em análise, oito encontraram seu vale entre 2015:03/2015:04, no entanto, o Estado do Rio de Janeiro, marcado por forte deterioração das contas financeiras e forte participação da atividade petrolífera na composição de suas receitas, mante</w:t>
      </w:r>
      <w:r w:rsidR="008D52D5">
        <w:t>ve</w:t>
      </w:r>
      <w:r w:rsidR="00400403">
        <w:t xml:space="preserve"> uma trajetória descendente até 2016:03. Por fim, os estados apresentaram uma relativa recuperação até o último trimestre de 2017, com uma nova queda sendo observada para todos os estados em 2018:01, último trimestre em análise.</w:t>
      </w:r>
    </w:p>
    <w:p w14:paraId="30A3D098" w14:textId="77777777" w:rsidR="00CE2F94" w:rsidRDefault="00CE2F94" w:rsidP="00871C79">
      <w:pPr>
        <w:spacing w:line="240" w:lineRule="auto"/>
        <w:jc w:val="both"/>
        <w:rPr>
          <w:rFonts w:cs="Times New Roman"/>
          <w:szCs w:val="24"/>
        </w:rPr>
      </w:pPr>
    </w:p>
    <w:p w14:paraId="25F24F30" w14:textId="5CCBA537" w:rsidR="00AD11BA" w:rsidRDefault="00CE2F94" w:rsidP="00CE2F94">
      <w:pPr>
        <w:pStyle w:val="Heading2"/>
      </w:pPr>
      <w:r>
        <w:t>Estrutura Produtiva dos Estados</w:t>
      </w:r>
      <w:r w:rsidR="00915953">
        <w:t xml:space="preserve"> </w:t>
      </w:r>
    </w:p>
    <w:p w14:paraId="13F8F0B6" w14:textId="2B33F3EF" w:rsidR="00CE2F94" w:rsidRDefault="00CE2F94" w:rsidP="002B2C5D">
      <w:pPr>
        <w:spacing w:line="240" w:lineRule="auto"/>
        <w:jc w:val="both"/>
      </w:pPr>
      <w:r>
        <w:t>Um aspecto importante na identificação de padrões nos ciclos econômicos no mercado de trabalho formal consiste na estrutura de produção dos Estados. Na medida em que períodos de crises e expansões econômicas afetam os setores da economia de forma heterogênea, similirades na matriz produtiva das U</w:t>
      </w:r>
      <w:r w:rsidR="00813107">
        <w:t>F</w:t>
      </w:r>
      <w:r>
        <w:t xml:space="preserve">s tende a ampliar a sincronização entre </w:t>
      </w:r>
      <w:r w:rsidR="006B7406">
        <w:t>os ciclos de negócios das mesmas</w:t>
      </w:r>
      <w:r w:rsidR="006B7406">
        <w:rPr>
          <w:rStyle w:val="FootnoteReference"/>
          <w:rFonts w:cs="Times New Roman"/>
          <w:szCs w:val="24"/>
        </w:rPr>
        <w:footnoteReference w:id="3"/>
      </w:r>
      <w:r w:rsidR="006B7406">
        <w:t>, o que deve ser refletido também no mercado de trabalho.</w:t>
      </w:r>
    </w:p>
    <w:p w14:paraId="038D6B72" w14:textId="77777777" w:rsidR="00C17EE3" w:rsidRPr="00F76F80" w:rsidRDefault="00C17EE3" w:rsidP="00871C79">
      <w:pPr>
        <w:spacing w:line="240" w:lineRule="auto"/>
        <w:jc w:val="both"/>
        <w:rPr>
          <w:rFonts w:cs="Times New Roman"/>
          <w:szCs w:val="24"/>
        </w:rPr>
      </w:pPr>
    </w:p>
    <w:p w14:paraId="5A898F62" w14:textId="43B2E6B4" w:rsidR="00413531" w:rsidRPr="000E0BF3" w:rsidRDefault="00C46B09" w:rsidP="00FD6718">
      <w:pPr>
        <w:pStyle w:val="NoSpacing"/>
        <w:jc w:val="center"/>
        <w:rPr>
          <w:rFonts w:ascii="Times New Roman" w:hAnsi="Times New Roman"/>
        </w:rPr>
      </w:pPr>
      <w:r w:rsidRPr="000E0BF3">
        <w:rPr>
          <w:rFonts w:ascii="Times New Roman" w:hAnsi="Times New Roman"/>
        </w:rPr>
        <w:t>Tabela 2: Valor Adicionado Bruto</w:t>
      </w:r>
      <w:r w:rsidR="00813107">
        <w:rPr>
          <w:rFonts w:ascii="Times New Roman" w:hAnsi="Times New Roman"/>
        </w:rPr>
        <w:t xml:space="preserve"> Médio da Matriz Produtiva dos Estados – 2002/2016</w:t>
      </w:r>
    </w:p>
    <w:tbl>
      <w:tblPr>
        <w:tblStyle w:val="TableGrid"/>
        <w:tblW w:w="3711" w:type="pct"/>
        <w:jc w:val="center"/>
        <w:tblBorders>
          <w:left w:val="none" w:sz="0" w:space="0" w:color="auto"/>
          <w:right w:val="none" w:sz="0" w:space="0" w:color="auto"/>
        </w:tblBorders>
        <w:tblLook w:val="04A0" w:firstRow="1" w:lastRow="0" w:firstColumn="1" w:lastColumn="0" w:noHBand="0" w:noVBand="1"/>
      </w:tblPr>
      <w:tblGrid>
        <w:gridCol w:w="1126"/>
        <w:gridCol w:w="1306"/>
        <w:gridCol w:w="1274"/>
        <w:gridCol w:w="1290"/>
        <w:gridCol w:w="1427"/>
        <w:gridCol w:w="1150"/>
      </w:tblGrid>
      <w:tr w:rsidR="00813107" w14:paraId="757FB49C" w14:textId="77777777" w:rsidTr="00813107">
        <w:trPr>
          <w:trHeight w:val="57"/>
          <w:jc w:val="center"/>
        </w:trPr>
        <w:tc>
          <w:tcPr>
            <w:tcW w:w="744" w:type="pct"/>
            <w:tcBorders>
              <w:bottom w:val="single" w:sz="4" w:space="0" w:color="auto"/>
              <w:right w:val="nil"/>
            </w:tcBorders>
            <w:vAlign w:val="center"/>
          </w:tcPr>
          <w:p w14:paraId="677A00C1" w14:textId="6CAFDF54" w:rsidR="00813107" w:rsidRPr="00413531" w:rsidRDefault="00813107" w:rsidP="00BD1E9D">
            <w:pPr>
              <w:spacing w:line="240" w:lineRule="auto"/>
              <w:ind w:firstLine="0"/>
              <w:jc w:val="center"/>
              <w:rPr>
                <w:rFonts w:cs="Times New Roman"/>
                <w:sz w:val="20"/>
                <w:szCs w:val="20"/>
              </w:rPr>
            </w:pPr>
            <w:r>
              <w:rPr>
                <w:rFonts w:cs="Times New Roman"/>
                <w:sz w:val="20"/>
                <w:szCs w:val="20"/>
              </w:rPr>
              <w:t>Estado</w:t>
            </w:r>
          </w:p>
        </w:tc>
        <w:tc>
          <w:tcPr>
            <w:tcW w:w="862" w:type="pct"/>
            <w:tcBorders>
              <w:left w:val="nil"/>
              <w:bottom w:val="single" w:sz="4" w:space="0" w:color="auto"/>
              <w:right w:val="nil"/>
            </w:tcBorders>
            <w:vAlign w:val="center"/>
          </w:tcPr>
          <w:p w14:paraId="32227E8D" w14:textId="59AC4915" w:rsidR="00813107" w:rsidRDefault="00813107" w:rsidP="00BD1E9D">
            <w:pPr>
              <w:spacing w:line="240" w:lineRule="auto"/>
              <w:ind w:firstLine="0"/>
              <w:jc w:val="center"/>
              <w:rPr>
                <w:rFonts w:cs="Times New Roman"/>
                <w:sz w:val="20"/>
                <w:szCs w:val="20"/>
              </w:rPr>
            </w:pPr>
            <w:r>
              <w:rPr>
                <w:rFonts w:cs="Times New Roman"/>
                <w:sz w:val="20"/>
                <w:szCs w:val="20"/>
              </w:rPr>
              <w:t>Agropecuária</w:t>
            </w:r>
          </w:p>
        </w:tc>
        <w:tc>
          <w:tcPr>
            <w:tcW w:w="841" w:type="pct"/>
            <w:tcBorders>
              <w:left w:val="nil"/>
              <w:bottom w:val="single" w:sz="4" w:space="0" w:color="auto"/>
              <w:right w:val="nil"/>
            </w:tcBorders>
            <w:vAlign w:val="center"/>
          </w:tcPr>
          <w:p w14:paraId="430E437E" w14:textId="28C21C52" w:rsidR="00813107" w:rsidRDefault="00813107" w:rsidP="00BD1E9D">
            <w:pPr>
              <w:spacing w:line="240" w:lineRule="auto"/>
              <w:ind w:firstLine="0"/>
              <w:jc w:val="center"/>
              <w:rPr>
                <w:rFonts w:cs="Times New Roman"/>
                <w:sz w:val="20"/>
                <w:szCs w:val="20"/>
              </w:rPr>
            </w:pPr>
            <w:r>
              <w:rPr>
                <w:rFonts w:cs="Times New Roman"/>
                <w:sz w:val="20"/>
                <w:szCs w:val="20"/>
              </w:rPr>
              <w:t>Indústria</w:t>
            </w:r>
          </w:p>
        </w:tc>
        <w:tc>
          <w:tcPr>
            <w:tcW w:w="852" w:type="pct"/>
            <w:tcBorders>
              <w:left w:val="nil"/>
              <w:bottom w:val="single" w:sz="4" w:space="0" w:color="auto"/>
              <w:right w:val="nil"/>
            </w:tcBorders>
            <w:vAlign w:val="center"/>
          </w:tcPr>
          <w:p w14:paraId="4E7BE7AB" w14:textId="35D8E733" w:rsidR="00813107" w:rsidRPr="00413531" w:rsidRDefault="00813107" w:rsidP="00BD1E9D">
            <w:pPr>
              <w:spacing w:line="240" w:lineRule="auto"/>
              <w:ind w:firstLine="0"/>
              <w:jc w:val="center"/>
              <w:rPr>
                <w:rFonts w:cs="Times New Roman"/>
                <w:sz w:val="20"/>
                <w:szCs w:val="20"/>
              </w:rPr>
            </w:pPr>
            <w:r>
              <w:rPr>
                <w:rFonts w:cs="Times New Roman"/>
                <w:sz w:val="20"/>
                <w:szCs w:val="20"/>
              </w:rPr>
              <w:t>Indústria Extrativa</w:t>
            </w:r>
          </w:p>
        </w:tc>
        <w:tc>
          <w:tcPr>
            <w:tcW w:w="942" w:type="pct"/>
            <w:tcBorders>
              <w:left w:val="nil"/>
              <w:bottom w:val="single" w:sz="4" w:space="0" w:color="auto"/>
              <w:right w:val="nil"/>
            </w:tcBorders>
            <w:vAlign w:val="center"/>
          </w:tcPr>
          <w:p w14:paraId="0273791F" w14:textId="0AEAAC9D" w:rsidR="00813107" w:rsidRPr="00413531" w:rsidRDefault="00813107" w:rsidP="00BD1E9D">
            <w:pPr>
              <w:spacing w:line="240" w:lineRule="auto"/>
              <w:ind w:firstLine="0"/>
              <w:jc w:val="center"/>
              <w:rPr>
                <w:rFonts w:cs="Times New Roman"/>
                <w:sz w:val="20"/>
                <w:szCs w:val="20"/>
              </w:rPr>
            </w:pPr>
            <w:r>
              <w:rPr>
                <w:rFonts w:cs="Times New Roman"/>
                <w:sz w:val="20"/>
                <w:szCs w:val="20"/>
              </w:rPr>
              <w:t>Indústria Transformação</w:t>
            </w:r>
          </w:p>
        </w:tc>
        <w:tc>
          <w:tcPr>
            <w:tcW w:w="759" w:type="pct"/>
            <w:tcBorders>
              <w:left w:val="nil"/>
              <w:bottom w:val="single" w:sz="4" w:space="0" w:color="auto"/>
              <w:right w:val="nil"/>
            </w:tcBorders>
            <w:vAlign w:val="center"/>
          </w:tcPr>
          <w:p w14:paraId="22FA4041" w14:textId="672255B8" w:rsidR="00813107" w:rsidRPr="00413531" w:rsidRDefault="00813107" w:rsidP="00BD1E9D">
            <w:pPr>
              <w:spacing w:line="240" w:lineRule="auto"/>
              <w:ind w:firstLine="0"/>
              <w:jc w:val="center"/>
              <w:rPr>
                <w:rFonts w:cs="Times New Roman"/>
                <w:sz w:val="20"/>
                <w:szCs w:val="20"/>
              </w:rPr>
            </w:pPr>
            <w:r>
              <w:rPr>
                <w:rFonts w:cs="Times New Roman"/>
                <w:sz w:val="20"/>
                <w:szCs w:val="20"/>
              </w:rPr>
              <w:t>Serviços</w:t>
            </w:r>
          </w:p>
        </w:tc>
      </w:tr>
      <w:tr w:rsidR="00813107" w:rsidRPr="00413531" w14:paraId="3C63631C" w14:textId="77777777" w:rsidTr="00813107">
        <w:trPr>
          <w:trHeight w:val="57"/>
          <w:jc w:val="center"/>
        </w:trPr>
        <w:tc>
          <w:tcPr>
            <w:tcW w:w="744" w:type="pct"/>
            <w:tcBorders>
              <w:top w:val="single" w:sz="4" w:space="0" w:color="auto"/>
              <w:left w:val="nil"/>
              <w:bottom w:val="nil"/>
              <w:right w:val="nil"/>
            </w:tcBorders>
            <w:vAlign w:val="center"/>
          </w:tcPr>
          <w:p w14:paraId="1E6E3FCD" w14:textId="77777777" w:rsidR="00813107" w:rsidRPr="000035CB" w:rsidRDefault="00813107" w:rsidP="006E2A70">
            <w:pPr>
              <w:spacing w:line="240" w:lineRule="auto"/>
              <w:ind w:firstLine="0"/>
              <w:jc w:val="center"/>
              <w:rPr>
                <w:rFonts w:cs="Times New Roman"/>
                <w:color w:val="000000"/>
                <w:sz w:val="20"/>
                <w:szCs w:val="20"/>
              </w:rPr>
            </w:pPr>
            <w:bookmarkStart w:id="8" w:name="_Hlk13754812"/>
            <w:r w:rsidRPr="000035CB">
              <w:rPr>
                <w:rFonts w:cs="Times New Roman"/>
                <w:color w:val="000000"/>
                <w:sz w:val="20"/>
                <w:szCs w:val="20"/>
              </w:rPr>
              <w:t>BA</w:t>
            </w:r>
          </w:p>
        </w:tc>
        <w:tc>
          <w:tcPr>
            <w:tcW w:w="862" w:type="pct"/>
            <w:tcBorders>
              <w:top w:val="single" w:sz="4" w:space="0" w:color="auto"/>
              <w:left w:val="nil"/>
              <w:bottom w:val="nil"/>
              <w:right w:val="nil"/>
            </w:tcBorders>
            <w:shd w:val="clear" w:color="auto" w:fill="auto"/>
            <w:vAlign w:val="bottom"/>
          </w:tcPr>
          <w:p w14:paraId="39C86576" w14:textId="77777777" w:rsidR="00813107" w:rsidRPr="000035CB" w:rsidRDefault="00813107" w:rsidP="006E2A70">
            <w:pPr>
              <w:spacing w:line="276" w:lineRule="auto"/>
              <w:ind w:firstLine="0"/>
              <w:jc w:val="center"/>
              <w:rPr>
                <w:rFonts w:cs="Times New Roman"/>
                <w:sz w:val="20"/>
                <w:szCs w:val="20"/>
              </w:rPr>
            </w:pPr>
            <w:r w:rsidRPr="000035CB">
              <w:rPr>
                <w:rFonts w:cs="Times New Roman"/>
                <w:color w:val="000000"/>
                <w:sz w:val="20"/>
                <w:szCs w:val="20"/>
              </w:rPr>
              <w:t>9.56%</w:t>
            </w:r>
          </w:p>
        </w:tc>
        <w:tc>
          <w:tcPr>
            <w:tcW w:w="841" w:type="pct"/>
            <w:tcBorders>
              <w:top w:val="single" w:sz="4" w:space="0" w:color="auto"/>
              <w:left w:val="nil"/>
              <w:bottom w:val="nil"/>
              <w:right w:val="nil"/>
            </w:tcBorders>
            <w:shd w:val="clear" w:color="auto" w:fill="auto"/>
            <w:vAlign w:val="bottom"/>
          </w:tcPr>
          <w:p w14:paraId="57E93B0E" w14:textId="77777777" w:rsidR="00813107" w:rsidRPr="000035CB" w:rsidRDefault="00813107" w:rsidP="006E2A70">
            <w:pPr>
              <w:spacing w:line="276" w:lineRule="auto"/>
              <w:ind w:firstLine="0"/>
              <w:jc w:val="center"/>
              <w:rPr>
                <w:rFonts w:cs="Times New Roman"/>
                <w:sz w:val="20"/>
                <w:szCs w:val="20"/>
              </w:rPr>
            </w:pPr>
            <w:r w:rsidRPr="000035CB">
              <w:rPr>
                <w:rFonts w:cs="Times New Roman"/>
                <w:color w:val="000000"/>
                <w:sz w:val="20"/>
                <w:szCs w:val="20"/>
              </w:rPr>
              <w:t>23.98%</w:t>
            </w:r>
          </w:p>
        </w:tc>
        <w:tc>
          <w:tcPr>
            <w:tcW w:w="852" w:type="pct"/>
            <w:tcBorders>
              <w:top w:val="single" w:sz="4" w:space="0" w:color="auto"/>
              <w:left w:val="nil"/>
              <w:bottom w:val="nil"/>
              <w:right w:val="nil"/>
            </w:tcBorders>
            <w:shd w:val="clear" w:color="auto" w:fill="auto"/>
            <w:vAlign w:val="bottom"/>
          </w:tcPr>
          <w:p w14:paraId="298B6419" w14:textId="77777777" w:rsidR="00813107" w:rsidRPr="000035CB" w:rsidRDefault="00813107" w:rsidP="006E2A70">
            <w:pPr>
              <w:spacing w:line="276" w:lineRule="auto"/>
              <w:ind w:firstLine="0"/>
              <w:jc w:val="center"/>
              <w:rPr>
                <w:rFonts w:cs="Times New Roman"/>
                <w:sz w:val="20"/>
                <w:szCs w:val="20"/>
              </w:rPr>
            </w:pPr>
            <w:r w:rsidRPr="000035CB">
              <w:rPr>
                <w:rFonts w:cs="Times New Roman"/>
                <w:color w:val="000000"/>
                <w:sz w:val="20"/>
                <w:szCs w:val="20"/>
              </w:rPr>
              <w:t>2.58%</w:t>
            </w:r>
          </w:p>
        </w:tc>
        <w:tc>
          <w:tcPr>
            <w:tcW w:w="942" w:type="pct"/>
            <w:tcBorders>
              <w:top w:val="single" w:sz="4" w:space="0" w:color="auto"/>
              <w:left w:val="nil"/>
              <w:bottom w:val="nil"/>
              <w:right w:val="nil"/>
            </w:tcBorders>
            <w:shd w:val="clear" w:color="auto" w:fill="auto"/>
            <w:vAlign w:val="bottom"/>
          </w:tcPr>
          <w:p w14:paraId="638BEF04" w14:textId="77777777" w:rsidR="00813107" w:rsidRPr="000035CB" w:rsidRDefault="00813107" w:rsidP="006E2A70">
            <w:pPr>
              <w:spacing w:line="276" w:lineRule="auto"/>
              <w:ind w:firstLine="0"/>
              <w:jc w:val="center"/>
              <w:rPr>
                <w:rFonts w:cs="Times New Roman"/>
                <w:sz w:val="20"/>
                <w:szCs w:val="20"/>
              </w:rPr>
            </w:pPr>
            <w:r w:rsidRPr="000035CB">
              <w:rPr>
                <w:rFonts w:cs="Times New Roman"/>
                <w:color w:val="000000"/>
                <w:sz w:val="20"/>
                <w:szCs w:val="20"/>
              </w:rPr>
              <w:t>10.82%</w:t>
            </w:r>
          </w:p>
        </w:tc>
        <w:tc>
          <w:tcPr>
            <w:tcW w:w="759" w:type="pct"/>
            <w:tcBorders>
              <w:top w:val="single" w:sz="4" w:space="0" w:color="auto"/>
              <w:left w:val="nil"/>
              <w:bottom w:val="nil"/>
              <w:right w:val="nil"/>
            </w:tcBorders>
            <w:shd w:val="clear" w:color="auto" w:fill="auto"/>
            <w:vAlign w:val="bottom"/>
          </w:tcPr>
          <w:p w14:paraId="0A5D67CA" w14:textId="77777777" w:rsidR="00813107" w:rsidRPr="000035CB" w:rsidRDefault="00813107" w:rsidP="006E2A70">
            <w:pPr>
              <w:spacing w:line="276" w:lineRule="auto"/>
              <w:ind w:firstLine="0"/>
              <w:jc w:val="center"/>
              <w:rPr>
                <w:rFonts w:cs="Times New Roman"/>
                <w:sz w:val="20"/>
                <w:szCs w:val="20"/>
              </w:rPr>
            </w:pPr>
            <w:r w:rsidRPr="000035CB">
              <w:rPr>
                <w:rFonts w:cs="Times New Roman"/>
                <w:color w:val="000000"/>
                <w:sz w:val="20"/>
                <w:szCs w:val="20"/>
              </w:rPr>
              <w:t>66.47%</w:t>
            </w:r>
          </w:p>
        </w:tc>
      </w:tr>
      <w:tr w:rsidR="00813107" w:rsidRPr="00413531" w14:paraId="7DDEEC55" w14:textId="77777777" w:rsidTr="00813107">
        <w:trPr>
          <w:trHeight w:val="57"/>
          <w:jc w:val="center"/>
        </w:trPr>
        <w:tc>
          <w:tcPr>
            <w:tcW w:w="744" w:type="pct"/>
            <w:tcBorders>
              <w:top w:val="nil"/>
              <w:left w:val="nil"/>
              <w:bottom w:val="nil"/>
              <w:right w:val="nil"/>
            </w:tcBorders>
            <w:vAlign w:val="center"/>
          </w:tcPr>
          <w:p w14:paraId="2F8FA34B" w14:textId="77777777" w:rsidR="00813107" w:rsidRPr="000035CB" w:rsidRDefault="00813107" w:rsidP="006E2A70">
            <w:pPr>
              <w:spacing w:line="240" w:lineRule="auto"/>
              <w:ind w:firstLine="0"/>
              <w:jc w:val="center"/>
              <w:rPr>
                <w:rFonts w:cs="Times New Roman"/>
                <w:color w:val="000000"/>
                <w:sz w:val="20"/>
                <w:szCs w:val="20"/>
              </w:rPr>
            </w:pPr>
            <w:r w:rsidRPr="000035CB">
              <w:rPr>
                <w:rFonts w:cs="Times New Roman"/>
                <w:color w:val="000000"/>
                <w:sz w:val="20"/>
                <w:szCs w:val="20"/>
              </w:rPr>
              <w:t>CE</w:t>
            </w:r>
          </w:p>
        </w:tc>
        <w:tc>
          <w:tcPr>
            <w:tcW w:w="862" w:type="pct"/>
            <w:tcBorders>
              <w:top w:val="nil"/>
              <w:left w:val="nil"/>
              <w:bottom w:val="nil"/>
              <w:right w:val="nil"/>
            </w:tcBorders>
            <w:shd w:val="clear" w:color="auto" w:fill="auto"/>
            <w:vAlign w:val="bottom"/>
          </w:tcPr>
          <w:p w14:paraId="05F6C391" w14:textId="77777777" w:rsidR="00813107" w:rsidRPr="000035CB" w:rsidRDefault="00813107" w:rsidP="006E2A70">
            <w:pPr>
              <w:spacing w:line="276" w:lineRule="auto"/>
              <w:ind w:firstLine="0"/>
              <w:jc w:val="center"/>
              <w:rPr>
                <w:rFonts w:cs="Times New Roman"/>
                <w:sz w:val="20"/>
                <w:szCs w:val="20"/>
              </w:rPr>
            </w:pPr>
            <w:r w:rsidRPr="000035CB">
              <w:rPr>
                <w:rFonts w:cs="Times New Roman"/>
                <w:color w:val="000000"/>
                <w:sz w:val="20"/>
                <w:szCs w:val="20"/>
              </w:rPr>
              <w:t>6.33%</w:t>
            </w:r>
          </w:p>
        </w:tc>
        <w:tc>
          <w:tcPr>
            <w:tcW w:w="841" w:type="pct"/>
            <w:tcBorders>
              <w:top w:val="nil"/>
              <w:left w:val="nil"/>
              <w:bottom w:val="nil"/>
              <w:right w:val="nil"/>
            </w:tcBorders>
            <w:shd w:val="clear" w:color="auto" w:fill="auto"/>
            <w:vAlign w:val="bottom"/>
          </w:tcPr>
          <w:p w14:paraId="66B94603" w14:textId="77777777" w:rsidR="00813107" w:rsidRPr="000035CB" w:rsidRDefault="00813107" w:rsidP="006E2A70">
            <w:pPr>
              <w:spacing w:line="276" w:lineRule="auto"/>
              <w:ind w:firstLine="0"/>
              <w:jc w:val="center"/>
              <w:rPr>
                <w:rFonts w:cs="Times New Roman"/>
                <w:sz w:val="20"/>
                <w:szCs w:val="20"/>
              </w:rPr>
            </w:pPr>
            <w:r w:rsidRPr="000035CB">
              <w:rPr>
                <w:rFonts w:cs="Times New Roman"/>
                <w:color w:val="000000"/>
                <w:sz w:val="20"/>
                <w:szCs w:val="20"/>
              </w:rPr>
              <w:t>21.22%</w:t>
            </w:r>
          </w:p>
        </w:tc>
        <w:tc>
          <w:tcPr>
            <w:tcW w:w="852" w:type="pct"/>
            <w:tcBorders>
              <w:top w:val="nil"/>
              <w:left w:val="nil"/>
              <w:bottom w:val="nil"/>
              <w:right w:val="nil"/>
            </w:tcBorders>
            <w:shd w:val="clear" w:color="auto" w:fill="auto"/>
            <w:vAlign w:val="bottom"/>
          </w:tcPr>
          <w:p w14:paraId="6CBFC95A" w14:textId="77777777" w:rsidR="00813107" w:rsidRPr="000035CB" w:rsidRDefault="00813107" w:rsidP="006E2A70">
            <w:pPr>
              <w:spacing w:line="276" w:lineRule="auto"/>
              <w:ind w:firstLine="0"/>
              <w:jc w:val="center"/>
              <w:rPr>
                <w:rFonts w:cs="Times New Roman"/>
                <w:sz w:val="20"/>
                <w:szCs w:val="20"/>
              </w:rPr>
            </w:pPr>
            <w:r w:rsidRPr="000035CB">
              <w:rPr>
                <w:rFonts w:cs="Times New Roman"/>
                <w:color w:val="000000"/>
                <w:sz w:val="20"/>
                <w:szCs w:val="20"/>
              </w:rPr>
              <w:t>0.65%</w:t>
            </w:r>
          </w:p>
        </w:tc>
        <w:tc>
          <w:tcPr>
            <w:tcW w:w="942" w:type="pct"/>
            <w:tcBorders>
              <w:top w:val="nil"/>
              <w:left w:val="nil"/>
              <w:bottom w:val="nil"/>
              <w:right w:val="nil"/>
            </w:tcBorders>
            <w:shd w:val="clear" w:color="auto" w:fill="auto"/>
            <w:vAlign w:val="bottom"/>
          </w:tcPr>
          <w:p w14:paraId="149C6534" w14:textId="77777777" w:rsidR="00813107" w:rsidRPr="000035CB" w:rsidRDefault="00813107" w:rsidP="006E2A70">
            <w:pPr>
              <w:spacing w:line="276" w:lineRule="auto"/>
              <w:ind w:firstLine="0"/>
              <w:jc w:val="center"/>
              <w:rPr>
                <w:rFonts w:cs="Times New Roman"/>
                <w:sz w:val="20"/>
                <w:szCs w:val="20"/>
              </w:rPr>
            </w:pPr>
            <w:r w:rsidRPr="000035CB">
              <w:rPr>
                <w:rFonts w:cs="Times New Roman"/>
                <w:color w:val="000000"/>
                <w:sz w:val="20"/>
                <w:szCs w:val="20"/>
              </w:rPr>
              <w:t>11.40%</w:t>
            </w:r>
          </w:p>
        </w:tc>
        <w:tc>
          <w:tcPr>
            <w:tcW w:w="759" w:type="pct"/>
            <w:tcBorders>
              <w:top w:val="nil"/>
              <w:left w:val="nil"/>
              <w:bottom w:val="nil"/>
              <w:right w:val="nil"/>
            </w:tcBorders>
            <w:shd w:val="clear" w:color="auto" w:fill="auto"/>
            <w:vAlign w:val="bottom"/>
          </w:tcPr>
          <w:p w14:paraId="4EE337C2" w14:textId="77777777" w:rsidR="00813107" w:rsidRPr="000035CB" w:rsidRDefault="00813107" w:rsidP="006E2A70">
            <w:pPr>
              <w:spacing w:line="276" w:lineRule="auto"/>
              <w:ind w:firstLine="0"/>
              <w:jc w:val="center"/>
              <w:rPr>
                <w:rFonts w:cs="Times New Roman"/>
                <w:sz w:val="20"/>
                <w:szCs w:val="20"/>
              </w:rPr>
            </w:pPr>
            <w:r w:rsidRPr="000035CB">
              <w:rPr>
                <w:rFonts w:cs="Times New Roman"/>
                <w:color w:val="000000"/>
                <w:sz w:val="20"/>
                <w:szCs w:val="20"/>
              </w:rPr>
              <w:t>72.45%</w:t>
            </w:r>
          </w:p>
        </w:tc>
      </w:tr>
      <w:tr w:rsidR="00813107" w:rsidRPr="00413531" w14:paraId="31BC6326" w14:textId="77777777" w:rsidTr="00813107">
        <w:trPr>
          <w:trHeight w:val="57"/>
          <w:jc w:val="center"/>
        </w:trPr>
        <w:tc>
          <w:tcPr>
            <w:tcW w:w="744" w:type="pct"/>
            <w:tcBorders>
              <w:top w:val="nil"/>
              <w:left w:val="nil"/>
              <w:bottom w:val="nil"/>
              <w:right w:val="nil"/>
            </w:tcBorders>
            <w:vAlign w:val="center"/>
          </w:tcPr>
          <w:p w14:paraId="64AD1B8D" w14:textId="77777777" w:rsidR="00813107" w:rsidRPr="000035CB" w:rsidRDefault="00813107" w:rsidP="006E2A70">
            <w:pPr>
              <w:spacing w:line="240" w:lineRule="auto"/>
              <w:ind w:firstLine="0"/>
              <w:jc w:val="center"/>
              <w:rPr>
                <w:rFonts w:cs="Times New Roman"/>
                <w:color w:val="000000"/>
                <w:sz w:val="20"/>
                <w:szCs w:val="20"/>
              </w:rPr>
            </w:pPr>
            <w:r w:rsidRPr="000035CB">
              <w:rPr>
                <w:rFonts w:cs="Times New Roman"/>
                <w:color w:val="000000"/>
                <w:sz w:val="20"/>
                <w:szCs w:val="20"/>
              </w:rPr>
              <w:t>PE</w:t>
            </w:r>
          </w:p>
        </w:tc>
        <w:tc>
          <w:tcPr>
            <w:tcW w:w="862" w:type="pct"/>
            <w:tcBorders>
              <w:top w:val="nil"/>
              <w:left w:val="nil"/>
              <w:bottom w:val="nil"/>
              <w:right w:val="nil"/>
            </w:tcBorders>
            <w:shd w:val="clear" w:color="auto" w:fill="auto"/>
            <w:vAlign w:val="bottom"/>
          </w:tcPr>
          <w:p w14:paraId="020C3C43" w14:textId="77777777" w:rsidR="00813107" w:rsidRPr="000035CB" w:rsidRDefault="00813107" w:rsidP="006E2A70">
            <w:pPr>
              <w:spacing w:line="276" w:lineRule="auto"/>
              <w:ind w:firstLine="0"/>
              <w:jc w:val="center"/>
              <w:rPr>
                <w:rFonts w:cs="Times New Roman"/>
                <w:sz w:val="20"/>
                <w:szCs w:val="20"/>
              </w:rPr>
            </w:pPr>
            <w:r w:rsidRPr="000035CB">
              <w:rPr>
                <w:rFonts w:cs="Times New Roman"/>
                <w:color w:val="000000"/>
                <w:sz w:val="20"/>
                <w:szCs w:val="20"/>
              </w:rPr>
              <w:t>5.15%</w:t>
            </w:r>
          </w:p>
        </w:tc>
        <w:tc>
          <w:tcPr>
            <w:tcW w:w="841" w:type="pct"/>
            <w:tcBorders>
              <w:top w:val="nil"/>
              <w:left w:val="nil"/>
              <w:bottom w:val="nil"/>
              <w:right w:val="nil"/>
            </w:tcBorders>
            <w:shd w:val="clear" w:color="auto" w:fill="auto"/>
            <w:vAlign w:val="bottom"/>
          </w:tcPr>
          <w:p w14:paraId="2A707EBA" w14:textId="77777777" w:rsidR="00813107" w:rsidRPr="000035CB" w:rsidRDefault="00813107" w:rsidP="006E2A70">
            <w:pPr>
              <w:spacing w:line="276" w:lineRule="auto"/>
              <w:ind w:firstLine="0"/>
              <w:jc w:val="center"/>
              <w:rPr>
                <w:rFonts w:cs="Times New Roman"/>
                <w:sz w:val="20"/>
                <w:szCs w:val="20"/>
              </w:rPr>
            </w:pPr>
            <w:r w:rsidRPr="000035CB">
              <w:rPr>
                <w:rFonts w:cs="Times New Roman"/>
                <w:color w:val="000000"/>
                <w:sz w:val="20"/>
                <w:szCs w:val="20"/>
              </w:rPr>
              <w:t>20.63%</w:t>
            </w:r>
          </w:p>
        </w:tc>
        <w:tc>
          <w:tcPr>
            <w:tcW w:w="852" w:type="pct"/>
            <w:tcBorders>
              <w:top w:val="nil"/>
              <w:left w:val="nil"/>
              <w:bottom w:val="nil"/>
              <w:right w:val="nil"/>
            </w:tcBorders>
            <w:shd w:val="clear" w:color="auto" w:fill="auto"/>
            <w:vAlign w:val="bottom"/>
          </w:tcPr>
          <w:p w14:paraId="38BA7BBE" w14:textId="77777777" w:rsidR="00813107" w:rsidRPr="000035CB" w:rsidRDefault="00813107" w:rsidP="006E2A70">
            <w:pPr>
              <w:spacing w:line="276" w:lineRule="auto"/>
              <w:ind w:firstLine="0"/>
              <w:jc w:val="center"/>
              <w:rPr>
                <w:rFonts w:cs="Times New Roman"/>
                <w:sz w:val="20"/>
                <w:szCs w:val="20"/>
              </w:rPr>
            </w:pPr>
            <w:r w:rsidRPr="000035CB">
              <w:rPr>
                <w:rFonts w:cs="Times New Roman"/>
                <w:color w:val="000000"/>
                <w:sz w:val="20"/>
                <w:szCs w:val="20"/>
              </w:rPr>
              <w:t>0.07%</w:t>
            </w:r>
          </w:p>
        </w:tc>
        <w:tc>
          <w:tcPr>
            <w:tcW w:w="942" w:type="pct"/>
            <w:tcBorders>
              <w:top w:val="nil"/>
              <w:left w:val="nil"/>
              <w:bottom w:val="nil"/>
              <w:right w:val="nil"/>
            </w:tcBorders>
            <w:shd w:val="clear" w:color="auto" w:fill="auto"/>
            <w:vAlign w:val="bottom"/>
          </w:tcPr>
          <w:p w14:paraId="6529EE28" w14:textId="77777777" w:rsidR="00813107" w:rsidRPr="000035CB" w:rsidRDefault="00813107" w:rsidP="006E2A70">
            <w:pPr>
              <w:spacing w:line="276" w:lineRule="auto"/>
              <w:ind w:firstLine="0"/>
              <w:jc w:val="center"/>
              <w:rPr>
                <w:rFonts w:cs="Times New Roman"/>
                <w:sz w:val="20"/>
                <w:szCs w:val="20"/>
              </w:rPr>
            </w:pPr>
            <w:r w:rsidRPr="000035CB">
              <w:rPr>
                <w:rFonts w:cs="Times New Roman"/>
                <w:color w:val="000000"/>
                <w:sz w:val="20"/>
                <w:szCs w:val="20"/>
              </w:rPr>
              <w:t>10.50%</w:t>
            </w:r>
          </w:p>
        </w:tc>
        <w:tc>
          <w:tcPr>
            <w:tcW w:w="759" w:type="pct"/>
            <w:tcBorders>
              <w:top w:val="nil"/>
              <w:left w:val="nil"/>
              <w:bottom w:val="nil"/>
              <w:right w:val="nil"/>
            </w:tcBorders>
            <w:shd w:val="clear" w:color="auto" w:fill="auto"/>
            <w:vAlign w:val="bottom"/>
          </w:tcPr>
          <w:p w14:paraId="14A24EF9" w14:textId="77777777" w:rsidR="00813107" w:rsidRPr="000035CB" w:rsidRDefault="00813107" w:rsidP="006E2A70">
            <w:pPr>
              <w:spacing w:line="276" w:lineRule="auto"/>
              <w:ind w:firstLine="0"/>
              <w:jc w:val="center"/>
              <w:rPr>
                <w:rFonts w:cs="Times New Roman"/>
                <w:sz w:val="20"/>
                <w:szCs w:val="20"/>
              </w:rPr>
            </w:pPr>
            <w:r w:rsidRPr="000035CB">
              <w:rPr>
                <w:rFonts w:cs="Times New Roman"/>
                <w:color w:val="000000"/>
                <w:sz w:val="20"/>
                <w:szCs w:val="20"/>
              </w:rPr>
              <w:t>74.23%</w:t>
            </w:r>
          </w:p>
        </w:tc>
      </w:tr>
      <w:tr w:rsidR="00813107" w:rsidRPr="00413531" w14:paraId="2D9BBA28" w14:textId="77777777" w:rsidTr="00813107">
        <w:trPr>
          <w:trHeight w:val="57"/>
          <w:jc w:val="center"/>
        </w:trPr>
        <w:tc>
          <w:tcPr>
            <w:tcW w:w="744" w:type="pct"/>
            <w:tcBorders>
              <w:top w:val="nil"/>
              <w:left w:val="nil"/>
              <w:bottom w:val="nil"/>
              <w:right w:val="nil"/>
            </w:tcBorders>
            <w:vAlign w:val="center"/>
          </w:tcPr>
          <w:p w14:paraId="3D71DDD5" w14:textId="72A723DC" w:rsidR="00813107" w:rsidRPr="000035CB" w:rsidRDefault="00813107" w:rsidP="000035CB">
            <w:pPr>
              <w:spacing w:line="240" w:lineRule="auto"/>
              <w:ind w:firstLine="0"/>
              <w:jc w:val="center"/>
              <w:rPr>
                <w:rFonts w:cs="Times New Roman"/>
                <w:color w:val="000000"/>
                <w:sz w:val="20"/>
                <w:szCs w:val="20"/>
              </w:rPr>
            </w:pPr>
            <w:r w:rsidRPr="000035CB">
              <w:rPr>
                <w:rFonts w:cs="Times New Roman"/>
                <w:color w:val="000000"/>
                <w:sz w:val="20"/>
                <w:szCs w:val="20"/>
              </w:rPr>
              <w:t>MG</w:t>
            </w:r>
          </w:p>
        </w:tc>
        <w:tc>
          <w:tcPr>
            <w:tcW w:w="862" w:type="pct"/>
            <w:tcBorders>
              <w:top w:val="nil"/>
              <w:left w:val="nil"/>
              <w:bottom w:val="nil"/>
              <w:right w:val="nil"/>
            </w:tcBorders>
            <w:shd w:val="clear" w:color="auto" w:fill="auto"/>
            <w:vAlign w:val="bottom"/>
          </w:tcPr>
          <w:p w14:paraId="52319FFD" w14:textId="5CC0C933"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6.25%</w:t>
            </w:r>
          </w:p>
        </w:tc>
        <w:tc>
          <w:tcPr>
            <w:tcW w:w="841" w:type="pct"/>
            <w:tcBorders>
              <w:top w:val="nil"/>
              <w:left w:val="nil"/>
              <w:bottom w:val="nil"/>
              <w:right w:val="nil"/>
            </w:tcBorders>
            <w:shd w:val="clear" w:color="auto" w:fill="auto"/>
            <w:vAlign w:val="bottom"/>
          </w:tcPr>
          <w:p w14:paraId="54D386AC" w14:textId="1D3F8516"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30.28%</w:t>
            </w:r>
          </w:p>
        </w:tc>
        <w:tc>
          <w:tcPr>
            <w:tcW w:w="852" w:type="pct"/>
            <w:tcBorders>
              <w:top w:val="nil"/>
              <w:left w:val="nil"/>
              <w:bottom w:val="nil"/>
              <w:right w:val="nil"/>
            </w:tcBorders>
            <w:shd w:val="clear" w:color="auto" w:fill="auto"/>
            <w:vAlign w:val="bottom"/>
          </w:tcPr>
          <w:p w14:paraId="51E2658D" w14:textId="6A5F74A8"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3.95%</w:t>
            </w:r>
          </w:p>
        </w:tc>
        <w:tc>
          <w:tcPr>
            <w:tcW w:w="942" w:type="pct"/>
            <w:tcBorders>
              <w:top w:val="nil"/>
              <w:left w:val="nil"/>
              <w:bottom w:val="nil"/>
              <w:right w:val="nil"/>
            </w:tcBorders>
            <w:shd w:val="clear" w:color="auto" w:fill="auto"/>
            <w:vAlign w:val="bottom"/>
          </w:tcPr>
          <w:p w14:paraId="755EAFBB" w14:textId="27F3ED9D"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16.42%</w:t>
            </w:r>
          </w:p>
        </w:tc>
        <w:tc>
          <w:tcPr>
            <w:tcW w:w="759" w:type="pct"/>
            <w:tcBorders>
              <w:top w:val="nil"/>
              <w:left w:val="nil"/>
              <w:bottom w:val="nil"/>
              <w:right w:val="nil"/>
            </w:tcBorders>
            <w:shd w:val="clear" w:color="auto" w:fill="auto"/>
            <w:vAlign w:val="bottom"/>
          </w:tcPr>
          <w:p w14:paraId="4C888D26" w14:textId="240F6477"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63.48%</w:t>
            </w:r>
          </w:p>
        </w:tc>
      </w:tr>
      <w:tr w:rsidR="00813107" w:rsidRPr="00413531" w14:paraId="31596361" w14:textId="77777777" w:rsidTr="00813107">
        <w:trPr>
          <w:trHeight w:val="57"/>
          <w:jc w:val="center"/>
        </w:trPr>
        <w:tc>
          <w:tcPr>
            <w:tcW w:w="744" w:type="pct"/>
            <w:tcBorders>
              <w:top w:val="nil"/>
              <w:left w:val="nil"/>
              <w:bottom w:val="nil"/>
              <w:right w:val="nil"/>
            </w:tcBorders>
            <w:vAlign w:val="center"/>
          </w:tcPr>
          <w:p w14:paraId="1A50E1B7" w14:textId="2C8D4ED1" w:rsidR="00813107" w:rsidRPr="000035CB" w:rsidRDefault="00813107" w:rsidP="000035CB">
            <w:pPr>
              <w:spacing w:line="240" w:lineRule="auto"/>
              <w:ind w:firstLine="0"/>
              <w:jc w:val="center"/>
              <w:rPr>
                <w:rFonts w:cs="Times New Roman"/>
                <w:color w:val="000000"/>
                <w:sz w:val="20"/>
                <w:szCs w:val="20"/>
              </w:rPr>
            </w:pPr>
            <w:r w:rsidRPr="000035CB">
              <w:rPr>
                <w:rFonts w:cs="Times New Roman"/>
                <w:color w:val="000000"/>
                <w:sz w:val="20"/>
                <w:szCs w:val="20"/>
              </w:rPr>
              <w:t>RJ</w:t>
            </w:r>
          </w:p>
        </w:tc>
        <w:tc>
          <w:tcPr>
            <w:tcW w:w="862" w:type="pct"/>
            <w:tcBorders>
              <w:top w:val="nil"/>
              <w:left w:val="nil"/>
              <w:bottom w:val="nil"/>
              <w:right w:val="nil"/>
            </w:tcBorders>
            <w:shd w:val="clear" w:color="auto" w:fill="auto"/>
            <w:vAlign w:val="bottom"/>
          </w:tcPr>
          <w:p w14:paraId="30382F6C" w14:textId="6221794D"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0.50%</w:t>
            </w:r>
          </w:p>
        </w:tc>
        <w:tc>
          <w:tcPr>
            <w:tcW w:w="841" w:type="pct"/>
            <w:tcBorders>
              <w:top w:val="nil"/>
              <w:left w:val="nil"/>
              <w:bottom w:val="nil"/>
              <w:right w:val="nil"/>
            </w:tcBorders>
            <w:shd w:val="clear" w:color="auto" w:fill="auto"/>
            <w:vAlign w:val="bottom"/>
          </w:tcPr>
          <w:p w14:paraId="7680172A" w14:textId="1FDD611E"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29.56%</w:t>
            </w:r>
          </w:p>
        </w:tc>
        <w:tc>
          <w:tcPr>
            <w:tcW w:w="852" w:type="pct"/>
            <w:tcBorders>
              <w:top w:val="nil"/>
              <w:left w:val="nil"/>
              <w:bottom w:val="nil"/>
              <w:right w:val="nil"/>
            </w:tcBorders>
            <w:shd w:val="clear" w:color="auto" w:fill="auto"/>
            <w:vAlign w:val="bottom"/>
          </w:tcPr>
          <w:p w14:paraId="2B058F0C" w14:textId="5636B960"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13.56%</w:t>
            </w:r>
          </w:p>
        </w:tc>
        <w:tc>
          <w:tcPr>
            <w:tcW w:w="942" w:type="pct"/>
            <w:tcBorders>
              <w:top w:val="nil"/>
              <w:left w:val="nil"/>
              <w:bottom w:val="nil"/>
              <w:right w:val="nil"/>
            </w:tcBorders>
            <w:shd w:val="clear" w:color="auto" w:fill="auto"/>
            <w:vAlign w:val="bottom"/>
          </w:tcPr>
          <w:p w14:paraId="0F4D8712" w14:textId="212D40DD"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7.87%</w:t>
            </w:r>
          </w:p>
        </w:tc>
        <w:tc>
          <w:tcPr>
            <w:tcW w:w="759" w:type="pct"/>
            <w:tcBorders>
              <w:top w:val="nil"/>
              <w:left w:val="nil"/>
              <w:bottom w:val="nil"/>
              <w:right w:val="nil"/>
            </w:tcBorders>
            <w:shd w:val="clear" w:color="auto" w:fill="auto"/>
            <w:vAlign w:val="bottom"/>
          </w:tcPr>
          <w:p w14:paraId="2C436A7F" w14:textId="018FDE7C"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69.94%</w:t>
            </w:r>
          </w:p>
        </w:tc>
      </w:tr>
      <w:tr w:rsidR="00813107" w:rsidRPr="00413531" w14:paraId="3376B1EA" w14:textId="77777777" w:rsidTr="00813107">
        <w:trPr>
          <w:trHeight w:val="57"/>
          <w:jc w:val="center"/>
        </w:trPr>
        <w:tc>
          <w:tcPr>
            <w:tcW w:w="744" w:type="pct"/>
            <w:tcBorders>
              <w:top w:val="nil"/>
              <w:left w:val="nil"/>
              <w:bottom w:val="nil"/>
              <w:right w:val="nil"/>
            </w:tcBorders>
            <w:vAlign w:val="center"/>
          </w:tcPr>
          <w:p w14:paraId="1FA6C94F" w14:textId="706687DA" w:rsidR="00813107" w:rsidRPr="000035CB" w:rsidRDefault="00813107" w:rsidP="000035CB">
            <w:pPr>
              <w:spacing w:line="240" w:lineRule="auto"/>
              <w:ind w:firstLine="0"/>
              <w:jc w:val="center"/>
              <w:rPr>
                <w:rFonts w:cs="Times New Roman"/>
                <w:color w:val="000000"/>
                <w:sz w:val="20"/>
                <w:szCs w:val="20"/>
              </w:rPr>
            </w:pPr>
            <w:r w:rsidRPr="000035CB">
              <w:rPr>
                <w:rFonts w:cs="Times New Roman"/>
                <w:color w:val="000000"/>
                <w:sz w:val="20"/>
                <w:szCs w:val="20"/>
              </w:rPr>
              <w:t>SP</w:t>
            </w:r>
          </w:p>
        </w:tc>
        <w:tc>
          <w:tcPr>
            <w:tcW w:w="862" w:type="pct"/>
            <w:tcBorders>
              <w:top w:val="nil"/>
              <w:left w:val="nil"/>
              <w:bottom w:val="nil"/>
              <w:right w:val="nil"/>
            </w:tcBorders>
            <w:shd w:val="clear" w:color="auto" w:fill="auto"/>
            <w:vAlign w:val="bottom"/>
          </w:tcPr>
          <w:p w14:paraId="0D05E9AD" w14:textId="4CE150FE"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2.34%</w:t>
            </w:r>
          </w:p>
        </w:tc>
        <w:tc>
          <w:tcPr>
            <w:tcW w:w="841" w:type="pct"/>
            <w:tcBorders>
              <w:top w:val="nil"/>
              <w:left w:val="nil"/>
              <w:bottom w:val="nil"/>
              <w:right w:val="nil"/>
            </w:tcBorders>
            <w:shd w:val="clear" w:color="auto" w:fill="auto"/>
            <w:vAlign w:val="bottom"/>
          </w:tcPr>
          <w:p w14:paraId="36E242C7" w14:textId="710D3327"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26.05%</w:t>
            </w:r>
          </w:p>
        </w:tc>
        <w:tc>
          <w:tcPr>
            <w:tcW w:w="852" w:type="pct"/>
            <w:tcBorders>
              <w:top w:val="nil"/>
              <w:left w:val="nil"/>
              <w:bottom w:val="nil"/>
              <w:right w:val="nil"/>
            </w:tcBorders>
            <w:shd w:val="clear" w:color="auto" w:fill="auto"/>
            <w:vAlign w:val="bottom"/>
          </w:tcPr>
          <w:p w14:paraId="21289739" w14:textId="48F9B46F"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0.25%</w:t>
            </w:r>
          </w:p>
        </w:tc>
        <w:tc>
          <w:tcPr>
            <w:tcW w:w="942" w:type="pct"/>
            <w:tcBorders>
              <w:top w:val="nil"/>
              <w:left w:val="nil"/>
              <w:bottom w:val="nil"/>
              <w:right w:val="nil"/>
            </w:tcBorders>
            <w:shd w:val="clear" w:color="auto" w:fill="auto"/>
            <w:vAlign w:val="bottom"/>
          </w:tcPr>
          <w:p w14:paraId="2D3E31C3" w14:textId="495F8332"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18.99%</w:t>
            </w:r>
          </w:p>
        </w:tc>
        <w:tc>
          <w:tcPr>
            <w:tcW w:w="759" w:type="pct"/>
            <w:tcBorders>
              <w:top w:val="nil"/>
              <w:left w:val="nil"/>
              <w:bottom w:val="nil"/>
              <w:right w:val="nil"/>
            </w:tcBorders>
            <w:shd w:val="clear" w:color="auto" w:fill="auto"/>
            <w:vAlign w:val="bottom"/>
          </w:tcPr>
          <w:p w14:paraId="4607C754" w14:textId="50F9C4C5"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71.61%</w:t>
            </w:r>
          </w:p>
        </w:tc>
      </w:tr>
      <w:tr w:rsidR="00813107" w14:paraId="5CEA5A2E" w14:textId="77777777" w:rsidTr="00813107">
        <w:trPr>
          <w:trHeight w:val="57"/>
          <w:jc w:val="center"/>
        </w:trPr>
        <w:tc>
          <w:tcPr>
            <w:tcW w:w="744" w:type="pct"/>
            <w:tcBorders>
              <w:top w:val="nil"/>
              <w:left w:val="nil"/>
              <w:bottom w:val="nil"/>
              <w:right w:val="nil"/>
            </w:tcBorders>
            <w:vAlign w:val="center"/>
          </w:tcPr>
          <w:p w14:paraId="3F40C1F4" w14:textId="7982D4AF" w:rsidR="00813107" w:rsidRPr="000035CB" w:rsidRDefault="00813107" w:rsidP="000035CB">
            <w:pPr>
              <w:spacing w:line="240" w:lineRule="auto"/>
              <w:ind w:firstLine="0"/>
              <w:jc w:val="center"/>
              <w:rPr>
                <w:rFonts w:cs="Times New Roman"/>
                <w:color w:val="000000"/>
                <w:sz w:val="20"/>
                <w:szCs w:val="20"/>
              </w:rPr>
            </w:pPr>
            <w:r w:rsidRPr="000035CB">
              <w:rPr>
                <w:rFonts w:cs="Times New Roman"/>
                <w:color w:val="000000"/>
                <w:sz w:val="20"/>
                <w:szCs w:val="20"/>
              </w:rPr>
              <w:t>PR</w:t>
            </w:r>
          </w:p>
        </w:tc>
        <w:tc>
          <w:tcPr>
            <w:tcW w:w="862" w:type="pct"/>
            <w:tcBorders>
              <w:top w:val="nil"/>
              <w:left w:val="nil"/>
              <w:bottom w:val="nil"/>
              <w:right w:val="nil"/>
            </w:tcBorders>
            <w:shd w:val="clear" w:color="auto" w:fill="auto"/>
            <w:vAlign w:val="bottom"/>
          </w:tcPr>
          <w:p w14:paraId="539FA434" w14:textId="306B1A19"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9.83%</w:t>
            </w:r>
          </w:p>
        </w:tc>
        <w:tc>
          <w:tcPr>
            <w:tcW w:w="841" w:type="pct"/>
            <w:tcBorders>
              <w:top w:val="nil"/>
              <w:left w:val="nil"/>
              <w:bottom w:val="nil"/>
              <w:right w:val="nil"/>
            </w:tcBorders>
            <w:shd w:val="clear" w:color="auto" w:fill="auto"/>
            <w:vAlign w:val="bottom"/>
          </w:tcPr>
          <w:p w14:paraId="55F18463" w14:textId="6327D05F"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28.12%</w:t>
            </w:r>
          </w:p>
        </w:tc>
        <w:tc>
          <w:tcPr>
            <w:tcW w:w="852" w:type="pct"/>
            <w:tcBorders>
              <w:top w:val="nil"/>
              <w:left w:val="nil"/>
              <w:bottom w:val="nil"/>
              <w:right w:val="nil"/>
            </w:tcBorders>
            <w:shd w:val="clear" w:color="auto" w:fill="auto"/>
            <w:vAlign w:val="bottom"/>
          </w:tcPr>
          <w:p w14:paraId="325D7C17" w14:textId="68C553D4"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0.18%</w:t>
            </w:r>
          </w:p>
        </w:tc>
        <w:tc>
          <w:tcPr>
            <w:tcW w:w="942" w:type="pct"/>
            <w:tcBorders>
              <w:top w:val="nil"/>
              <w:left w:val="nil"/>
              <w:bottom w:val="nil"/>
              <w:right w:val="nil"/>
            </w:tcBorders>
            <w:shd w:val="clear" w:color="auto" w:fill="auto"/>
            <w:vAlign w:val="bottom"/>
          </w:tcPr>
          <w:p w14:paraId="476E5F03" w14:textId="7D3678BD"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17.65%</w:t>
            </w:r>
          </w:p>
        </w:tc>
        <w:tc>
          <w:tcPr>
            <w:tcW w:w="759" w:type="pct"/>
            <w:tcBorders>
              <w:top w:val="nil"/>
              <w:left w:val="nil"/>
              <w:bottom w:val="nil"/>
              <w:right w:val="nil"/>
            </w:tcBorders>
            <w:shd w:val="clear" w:color="auto" w:fill="auto"/>
            <w:vAlign w:val="bottom"/>
          </w:tcPr>
          <w:p w14:paraId="703FDC11" w14:textId="274C0DF8"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62.04%</w:t>
            </w:r>
          </w:p>
        </w:tc>
      </w:tr>
      <w:tr w:rsidR="00813107" w14:paraId="67B16E1F" w14:textId="77777777" w:rsidTr="00813107">
        <w:trPr>
          <w:trHeight w:val="57"/>
          <w:jc w:val="center"/>
        </w:trPr>
        <w:tc>
          <w:tcPr>
            <w:tcW w:w="744" w:type="pct"/>
            <w:tcBorders>
              <w:top w:val="nil"/>
              <w:left w:val="nil"/>
              <w:bottom w:val="nil"/>
              <w:right w:val="nil"/>
            </w:tcBorders>
            <w:vAlign w:val="center"/>
          </w:tcPr>
          <w:p w14:paraId="64D47124" w14:textId="41E41C84" w:rsidR="00813107" w:rsidRPr="000035CB" w:rsidRDefault="00813107" w:rsidP="000035CB">
            <w:pPr>
              <w:spacing w:line="240" w:lineRule="auto"/>
              <w:ind w:firstLine="0"/>
              <w:jc w:val="center"/>
              <w:rPr>
                <w:rFonts w:cs="Times New Roman"/>
                <w:color w:val="000000"/>
                <w:sz w:val="20"/>
                <w:szCs w:val="20"/>
              </w:rPr>
            </w:pPr>
            <w:r w:rsidRPr="000035CB">
              <w:rPr>
                <w:rFonts w:cs="Times New Roman"/>
                <w:color w:val="000000"/>
                <w:sz w:val="20"/>
                <w:szCs w:val="20"/>
              </w:rPr>
              <w:t>RS</w:t>
            </w:r>
          </w:p>
        </w:tc>
        <w:tc>
          <w:tcPr>
            <w:tcW w:w="862" w:type="pct"/>
            <w:tcBorders>
              <w:top w:val="nil"/>
              <w:left w:val="nil"/>
              <w:bottom w:val="nil"/>
              <w:right w:val="nil"/>
            </w:tcBorders>
            <w:shd w:val="clear" w:color="auto" w:fill="auto"/>
            <w:vAlign w:val="bottom"/>
          </w:tcPr>
          <w:p w14:paraId="2F02F600" w14:textId="21EBA166"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7.55%</w:t>
            </w:r>
          </w:p>
        </w:tc>
        <w:tc>
          <w:tcPr>
            <w:tcW w:w="841" w:type="pct"/>
            <w:tcBorders>
              <w:top w:val="nil"/>
              <w:left w:val="nil"/>
              <w:bottom w:val="nil"/>
              <w:right w:val="nil"/>
            </w:tcBorders>
            <w:shd w:val="clear" w:color="auto" w:fill="auto"/>
            <w:vAlign w:val="bottom"/>
          </w:tcPr>
          <w:p w14:paraId="01A45F4A" w14:textId="57D64B6C"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31.56%</w:t>
            </w:r>
          </w:p>
        </w:tc>
        <w:tc>
          <w:tcPr>
            <w:tcW w:w="852" w:type="pct"/>
            <w:tcBorders>
              <w:top w:val="nil"/>
              <w:left w:val="nil"/>
              <w:bottom w:val="nil"/>
              <w:right w:val="nil"/>
            </w:tcBorders>
            <w:shd w:val="clear" w:color="auto" w:fill="auto"/>
            <w:vAlign w:val="bottom"/>
          </w:tcPr>
          <w:p w14:paraId="45056325" w14:textId="690FCA5A"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0.35%</w:t>
            </w:r>
          </w:p>
        </w:tc>
        <w:tc>
          <w:tcPr>
            <w:tcW w:w="942" w:type="pct"/>
            <w:tcBorders>
              <w:top w:val="nil"/>
              <w:left w:val="nil"/>
              <w:bottom w:val="nil"/>
              <w:right w:val="nil"/>
            </w:tcBorders>
            <w:shd w:val="clear" w:color="auto" w:fill="auto"/>
            <w:vAlign w:val="bottom"/>
          </w:tcPr>
          <w:p w14:paraId="7AB95FF3" w14:textId="3B53EB08"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23.48%</w:t>
            </w:r>
          </w:p>
        </w:tc>
        <w:tc>
          <w:tcPr>
            <w:tcW w:w="759" w:type="pct"/>
            <w:tcBorders>
              <w:top w:val="nil"/>
              <w:left w:val="nil"/>
              <w:bottom w:val="nil"/>
              <w:right w:val="nil"/>
            </w:tcBorders>
            <w:shd w:val="clear" w:color="auto" w:fill="auto"/>
            <w:vAlign w:val="bottom"/>
          </w:tcPr>
          <w:p w14:paraId="34A2E17E" w14:textId="63E9EA7F"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60.89%</w:t>
            </w:r>
          </w:p>
        </w:tc>
      </w:tr>
      <w:tr w:rsidR="00813107" w14:paraId="5C18CC67" w14:textId="77777777" w:rsidTr="00813107">
        <w:trPr>
          <w:trHeight w:val="57"/>
          <w:jc w:val="center"/>
        </w:trPr>
        <w:tc>
          <w:tcPr>
            <w:tcW w:w="744" w:type="pct"/>
            <w:tcBorders>
              <w:top w:val="nil"/>
              <w:left w:val="nil"/>
              <w:bottom w:val="single" w:sz="4" w:space="0" w:color="auto"/>
              <w:right w:val="nil"/>
            </w:tcBorders>
            <w:vAlign w:val="center"/>
          </w:tcPr>
          <w:p w14:paraId="2C72C99D" w14:textId="474B04E4" w:rsidR="00813107" w:rsidRPr="000035CB" w:rsidRDefault="00813107" w:rsidP="000035CB">
            <w:pPr>
              <w:spacing w:line="240" w:lineRule="auto"/>
              <w:ind w:firstLine="0"/>
              <w:jc w:val="center"/>
              <w:rPr>
                <w:rFonts w:cs="Times New Roman"/>
                <w:color w:val="000000"/>
                <w:sz w:val="20"/>
                <w:szCs w:val="20"/>
              </w:rPr>
            </w:pPr>
            <w:r w:rsidRPr="000035CB">
              <w:rPr>
                <w:rFonts w:cs="Times New Roman"/>
                <w:color w:val="000000"/>
                <w:sz w:val="20"/>
                <w:szCs w:val="20"/>
              </w:rPr>
              <w:t>SC</w:t>
            </w:r>
          </w:p>
        </w:tc>
        <w:tc>
          <w:tcPr>
            <w:tcW w:w="862" w:type="pct"/>
            <w:tcBorders>
              <w:top w:val="nil"/>
              <w:left w:val="nil"/>
              <w:bottom w:val="single" w:sz="4" w:space="0" w:color="auto"/>
              <w:right w:val="nil"/>
            </w:tcBorders>
            <w:shd w:val="clear" w:color="auto" w:fill="auto"/>
            <w:vAlign w:val="bottom"/>
          </w:tcPr>
          <w:p w14:paraId="27A1696E" w14:textId="207DA17B"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9.45%</w:t>
            </w:r>
          </w:p>
        </w:tc>
        <w:tc>
          <w:tcPr>
            <w:tcW w:w="841" w:type="pct"/>
            <w:tcBorders>
              <w:top w:val="nil"/>
              <w:left w:val="nil"/>
              <w:bottom w:val="single" w:sz="4" w:space="0" w:color="auto"/>
              <w:right w:val="nil"/>
            </w:tcBorders>
            <w:shd w:val="clear" w:color="auto" w:fill="auto"/>
            <w:vAlign w:val="bottom"/>
          </w:tcPr>
          <w:p w14:paraId="43D009B2" w14:textId="7930540F"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26.08%</w:t>
            </w:r>
          </w:p>
        </w:tc>
        <w:tc>
          <w:tcPr>
            <w:tcW w:w="852" w:type="pct"/>
            <w:tcBorders>
              <w:top w:val="nil"/>
              <w:left w:val="nil"/>
              <w:bottom w:val="single" w:sz="4" w:space="0" w:color="auto"/>
              <w:right w:val="nil"/>
            </w:tcBorders>
            <w:shd w:val="clear" w:color="auto" w:fill="auto"/>
            <w:vAlign w:val="bottom"/>
          </w:tcPr>
          <w:p w14:paraId="4AAD498D" w14:textId="330E3A47"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0.18%</w:t>
            </w:r>
          </w:p>
        </w:tc>
        <w:tc>
          <w:tcPr>
            <w:tcW w:w="942" w:type="pct"/>
            <w:tcBorders>
              <w:top w:val="nil"/>
              <w:left w:val="nil"/>
              <w:bottom w:val="single" w:sz="4" w:space="0" w:color="auto"/>
              <w:right w:val="nil"/>
            </w:tcBorders>
            <w:shd w:val="clear" w:color="auto" w:fill="auto"/>
            <w:vAlign w:val="bottom"/>
          </w:tcPr>
          <w:p w14:paraId="74EB84EE" w14:textId="4D559EB8"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19.17%</w:t>
            </w:r>
          </w:p>
        </w:tc>
        <w:tc>
          <w:tcPr>
            <w:tcW w:w="759" w:type="pct"/>
            <w:tcBorders>
              <w:top w:val="nil"/>
              <w:left w:val="nil"/>
              <w:bottom w:val="single" w:sz="4" w:space="0" w:color="auto"/>
              <w:right w:val="nil"/>
            </w:tcBorders>
            <w:shd w:val="clear" w:color="auto" w:fill="auto"/>
            <w:vAlign w:val="bottom"/>
          </w:tcPr>
          <w:p w14:paraId="0A578F15" w14:textId="4AC59DD6" w:rsidR="00813107" w:rsidRPr="000035CB" w:rsidRDefault="00813107" w:rsidP="000035CB">
            <w:pPr>
              <w:spacing w:line="276" w:lineRule="auto"/>
              <w:ind w:firstLine="0"/>
              <w:jc w:val="center"/>
              <w:rPr>
                <w:rFonts w:cs="Times New Roman"/>
                <w:sz w:val="20"/>
                <w:szCs w:val="20"/>
              </w:rPr>
            </w:pPr>
            <w:r w:rsidRPr="000035CB">
              <w:rPr>
                <w:rFonts w:cs="Times New Roman"/>
                <w:color w:val="000000"/>
                <w:sz w:val="20"/>
                <w:szCs w:val="20"/>
              </w:rPr>
              <w:t>64.48%</w:t>
            </w:r>
          </w:p>
        </w:tc>
      </w:tr>
    </w:tbl>
    <w:bookmarkEnd w:id="8"/>
    <w:p w14:paraId="4DE7402F" w14:textId="66DC7B28" w:rsidR="00B84B60" w:rsidRPr="00C17EE3" w:rsidRDefault="00B84B60" w:rsidP="00B84B60">
      <w:pPr>
        <w:pStyle w:val="NoSpacing"/>
        <w:jc w:val="center"/>
        <w:rPr>
          <w:rFonts w:ascii="Times New Roman" w:hAnsi="Times New Roman"/>
          <w:sz w:val="16"/>
          <w:szCs w:val="16"/>
        </w:rPr>
      </w:pPr>
      <w:r w:rsidRPr="00C17EE3">
        <w:rPr>
          <w:rFonts w:ascii="Times New Roman" w:hAnsi="Times New Roman"/>
          <w:sz w:val="16"/>
          <w:szCs w:val="16"/>
        </w:rPr>
        <w:t>Fonte: Elaborado pelo Autor. IBGE</w:t>
      </w:r>
    </w:p>
    <w:p w14:paraId="33B3E33F" w14:textId="77777777" w:rsidR="00413531" w:rsidRDefault="00413531" w:rsidP="00871C79">
      <w:pPr>
        <w:spacing w:line="240" w:lineRule="auto"/>
        <w:jc w:val="both"/>
        <w:rPr>
          <w:rFonts w:cs="Times New Roman"/>
          <w:szCs w:val="24"/>
        </w:rPr>
      </w:pPr>
    </w:p>
    <w:p w14:paraId="0C597467" w14:textId="1BAF0662" w:rsidR="00B84B60" w:rsidRPr="00497D07" w:rsidRDefault="00D93950" w:rsidP="002B2C5D">
      <w:pPr>
        <w:spacing w:line="240" w:lineRule="auto"/>
        <w:jc w:val="both"/>
        <w:rPr>
          <w:color w:val="000000"/>
          <w:szCs w:val="24"/>
        </w:rPr>
      </w:pPr>
      <w:r w:rsidRPr="00497D07">
        <w:rPr>
          <w:szCs w:val="24"/>
        </w:rPr>
        <w:t>Em referência aos principais setores econômicos, os valores médios do</w:t>
      </w:r>
      <w:r w:rsidR="008D52D5">
        <w:rPr>
          <w:szCs w:val="24"/>
        </w:rPr>
        <w:t xml:space="preserve"> Valor Adicionado Bruto (</w:t>
      </w:r>
      <w:r w:rsidRPr="00497D07">
        <w:rPr>
          <w:szCs w:val="24"/>
        </w:rPr>
        <w:t>VAB</w:t>
      </w:r>
      <w:r w:rsidR="008D52D5">
        <w:rPr>
          <w:szCs w:val="24"/>
        </w:rPr>
        <w:t>)</w:t>
      </w:r>
      <w:r w:rsidRPr="00497D07">
        <w:rPr>
          <w:szCs w:val="24"/>
        </w:rPr>
        <w:t xml:space="preserve"> entre 2002/2016 revelam a existência de heterogeneidades na matriz produtiva do ponto de vista regional.</w:t>
      </w:r>
      <w:r w:rsidR="001E26CE" w:rsidRPr="00497D07">
        <w:rPr>
          <w:szCs w:val="24"/>
        </w:rPr>
        <w:t xml:space="preserve"> Os Estados do Ceará e Pernambuco são caracterizados pela forte presença do setor de serviços, representando 72.45% e 74.24% da composição do </w:t>
      </w:r>
      <w:r w:rsidR="008D52D5">
        <w:rPr>
          <w:szCs w:val="24"/>
        </w:rPr>
        <w:t>VAB</w:t>
      </w:r>
      <w:r w:rsidR="001E26CE" w:rsidRPr="00497D07">
        <w:rPr>
          <w:szCs w:val="24"/>
        </w:rPr>
        <w:t xml:space="preserve">, enquanto a </w:t>
      </w:r>
      <w:r w:rsidR="004B5F51" w:rsidRPr="00497D07">
        <w:rPr>
          <w:szCs w:val="24"/>
        </w:rPr>
        <w:t>Bahia é caracterizada pela maior participação do setor agropecuário (</w:t>
      </w:r>
      <w:r w:rsidR="004B5F51" w:rsidRPr="00497D07">
        <w:rPr>
          <w:color w:val="000000"/>
          <w:szCs w:val="24"/>
        </w:rPr>
        <w:t>9.56%) em toda a amostra, além de apresentar uma maior taxa de participação do setor industrial e em especial da indústria extrativa mineral.</w:t>
      </w:r>
    </w:p>
    <w:p w14:paraId="019221BC" w14:textId="596F3CA6" w:rsidR="003E2BBE" w:rsidRDefault="00BC43FD" w:rsidP="002B2C5D">
      <w:pPr>
        <w:spacing w:line="240" w:lineRule="auto"/>
        <w:jc w:val="both"/>
      </w:pPr>
      <w:r>
        <w:t xml:space="preserve">A região sudeste apresenta um parque industrial mais desenvolvido, considerando a média de 2002/2016, o setor representa entre 26.05% à 30.28%  do </w:t>
      </w:r>
      <w:r w:rsidR="008D52D5">
        <w:t>VAB</w:t>
      </w:r>
      <w:r>
        <w:t xml:space="preserve">. Destaca-se, no entanto, que a composição do setor industrial difere robustamente entre os Estados. Enquanto a indústria de transformação representa 18.99% e 16.42% do </w:t>
      </w:r>
      <w:r w:rsidR="008D52D5">
        <w:t>VAB</w:t>
      </w:r>
      <w:r>
        <w:t xml:space="preserve"> de São Paulo e Minas Gerais, respectivamente, o Rio de Janeiro apresenta o setor extrativo mineral como o principal indutor de sua indústria,</w:t>
      </w:r>
      <w:r w:rsidR="003E2BBE">
        <w:t xml:space="preserve"> apresentando um peso relativo de </w:t>
      </w:r>
      <w:r w:rsidR="003E2BBE" w:rsidRPr="000035CB">
        <w:t>13.56%</w:t>
      </w:r>
      <w:r w:rsidR="003E2BBE">
        <w:t xml:space="preserve">, enquanto a indústria de transformação representa apenas </w:t>
      </w:r>
      <w:r w:rsidR="003E2BBE" w:rsidRPr="000035CB">
        <w:t>7.87%</w:t>
      </w:r>
      <w:r w:rsidR="003E2BBE">
        <w:t xml:space="preserve"> de tudo o que é produzido no Estado.</w:t>
      </w:r>
    </w:p>
    <w:p w14:paraId="2AE1EA1D" w14:textId="5E8AA1B4" w:rsidR="003E2BBE" w:rsidRDefault="003E2BBE" w:rsidP="002B2C5D">
      <w:pPr>
        <w:spacing w:line="240" w:lineRule="auto"/>
        <w:jc w:val="both"/>
      </w:pPr>
      <w:r>
        <w:t xml:space="preserve">Por fim, os Estados do Paraná, Rio Grande do Sul e Santa Catarina apresentam maior similaridade em suas matrizes produtivas. De forma global, a região sul apresenta os setores agropecuário, </w:t>
      </w:r>
      <w:r>
        <w:lastRenderedPageBreak/>
        <w:t xml:space="preserve">industrial e  da indústria de transformação com maiores pesos relativos na composição do </w:t>
      </w:r>
      <w:r w:rsidR="008D52D5">
        <w:t>VAB</w:t>
      </w:r>
      <w:r>
        <w:t>, e uma menor participação média do setor de serviços.</w:t>
      </w:r>
    </w:p>
    <w:p w14:paraId="488005E7" w14:textId="77777777" w:rsidR="005433CD" w:rsidRDefault="005433CD" w:rsidP="00946230">
      <w:pPr>
        <w:spacing w:line="240" w:lineRule="auto"/>
        <w:ind w:firstLine="0"/>
      </w:pPr>
    </w:p>
    <w:p w14:paraId="726F478E" w14:textId="77777777" w:rsidR="005433CD" w:rsidRPr="009E3F48" w:rsidRDefault="005433CD" w:rsidP="005433CD">
      <w:pPr>
        <w:pStyle w:val="Heading2"/>
      </w:pPr>
      <w:bookmarkStart w:id="9" w:name="_Toc502166296"/>
      <w:r>
        <w:t xml:space="preserve">Decomposição dos ciclos de negócios </w:t>
      </w:r>
      <w:bookmarkEnd w:id="9"/>
      <w:r>
        <w:t xml:space="preserve">– Transformada de Wavelet </w:t>
      </w:r>
    </w:p>
    <w:p w14:paraId="5DE09DA4" w14:textId="56D16707" w:rsidR="005433CD" w:rsidRDefault="005433CD" w:rsidP="00680532">
      <w:pPr>
        <w:spacing w:line="240" w:lineRule="auto"/>
        <w:jc w:val="both"/>
        <w:rPr>
          <w:rFonts w:eastAsiaTheme="minorEastAsia" w:cs="Times New Roman"/>
          <w:szCs w:val="24"/>
        </w:rPr>
      </w:pPr>
      <w:r w:rsidRPr="00FA2FCD">
        <w:rPr>
          <w:rFonts w:eastAsiaTheme="minorEastAsia" w:cs="Times New Roman"/>
          <w:szCs w:val="24"/>
        </w:rPr>
        <w:t>A análise multi</w:t>
      </w:r>
      <w:r w:rsidR="00657B08">
        <w:rPr>
          <w:rFonts w:eastAsiaTheme="minorEastAsia" w:cs="Times New Roman"/>
          <w:szCs w:val="24"/>
        </w:rPr>
        <w:t>r</w:t>
      </w:r>
      <w:r w:rsidRPr="00FA2FCD">
        <w:rPr>
          <w:rFonts w:eastAsiaTheme="minorEastAsia" w:cs="Times New Roman"/>
          <w:szCs w:val="24"/>
        </w:rPr>
        <w:t xml:space="preserve">resolução Wavelet realiza a reconstrução da série temporal </w:t>
      </w:r>
      <m:oMath>
        <m:r>
          <w:rPr>
            <w:rFonts w:ascii="Cambria Math" w:hAnsi="Cambria Math" w:cs="Times New Roman"/>
            <w:szCs w:val="24"/>
          </w:rPr>
          <m:t>x</m:t>
        </m:r>
        <m:d>
          <m:dPr>
            <m:ctrlPr>
              <w:rPr>
                <w:rFonts w:ascii="Cambria Math" w:hAnsi="Cambria Math" w:cs="Times New Roman"/>
                <w:i/>
                <w:szCs w:val="24"/>
              </w:rPr>
            </m:ctrlPr>
          </m:dPr>
          <m:e>
            <m:r>
              <w:rPr>
                <w:rFonts w:ascii="Cambria Math" w:hAnsi="Cambria Math" w:cs="Times New Roman"/>
                <w:szCs w:val="24"/>
              </w:rPr>
              <m:t>t</m:t>
            </m:r>
          </m:e>
        </m:d>
      </m:oMath>
      <w:r w:rsidRPr="00FA2FCD">
        <w:rPr>
          <w:rFonts w:eastAsiaTheme="minorEastAsia" w:cs="Times New Roman"/>
          <w:szCs w:val="24"/>
        </w:rPr>
        <w:t xml:space="preserve"> a partir dos filtros </w:t>
      </w:r>
      <w:r w:rsidRPr="00FA2FCD">
        <w:rPr>
          <w:rFonts w:eastAsiaTheme="minorEastAsia" w:cs="Times New Roman"/>
          <w:i/>
          <w:szCs w:val="24"/>
        </w:rPr>
        <w:t>lowpass</w:t>
      </w:r>
      <w:r w:rsidRPr="00FA2FCD">
        <w:rPr>
          <w:rFonts w:eastAsiaTheme="minorEastAsia" w:cs="Times New Roman"/>
          <w:szCs w:val="24"/>
        </w:rPr>
        <w:t xml:space="preserve"> e </w:t>
      </w:r>
      <w:r w:rsidRPr="00FA2FCD">
        <w:rPr>
          <w:rFonts w:eastAsiaTheme="minorEastAsia" w:cs="Times New Roman"/>
          <w:i/>
          <w:szCs w:val="24"/>
        </w:rPr>
        <w:t xml:space="preserve">highpass, </w:t>
      </w:r>
      <w:r w:rsidRPr="00FA2FCD">
        <w:rPr>
          <w:rFonts w:eastAsiaTheme="minorEastAsia" w:cs="Times New Roman"/>
          <w:szCs w:val="24"/>
        </w:rPr>
        <w:t xml:space="preserve">os quais são dados por </w:t>
      </w: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0</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k</m:t>
                </m:r>
              </m:e>
            </m:d>
            <m:r>
              <w:rPr>
                <w:rFonts w:ascii="Cambria Math" w:eastAsiaTheme="minorEastAsia" w:hAnsi="Cambria Math" w:cs="Times New Roman"/>
                <w:szCs w:val="24"/>
              </w:rPr>
              <m:t>}</m:t>
            </m:r>
          </m:e>
          <m:sub>
            <m:r>
              <w:rPr>
                <w:rFonts w:ascii="Cambria Math" w:eastAsiaTheme="minorEastAsia" w:hAnsi="Cambria Math" w:cs="Times New Roman"/>
                <w:szCs w:val="24"/>
              </w:rPr>
              <m:t>k=0</m:t>
            </m:r>
          </m:sub>
          <m:sup>
            <m:r>
              <w:rPr>
                <w:rFonts w:ascii="Cambria Math" w:eastAsiaTheme="minorEastAsia" w:hAnsi="Cambria Math" w:cs="Times New Roman"/>
                <w:szCs w:val="24"/>
              </w:rPr>
              <m:t>N</m:t>
            </m:r>
          </m:sup>
        </m:sSubSup>
      </m:oMath>
      <w:r w:rsidRPr="00FA2FCD">
        <w:rPr>
          <w:rFonts w:eastAsiaTheme="minorEastAsia" w:cs="Times New Roman"/>
          <w:szCs w:val="24"/>
        </w:rPr>
        <w:t xml:space="preserve"> e </w:t>
      </w: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1</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k</m:t>
                </m:r>
              </m:e>
            </m:d>
            <m:r>
              <w:rPr>
                <w:rFonts w:ascii="Cambria Math" w:eastAsiaTheme="minorEastAsia" w:hAnsi="Cambria Math" w:cs="Times New Roman"/>
                <w:szCs w:val="24"/>
              </w:rPr>
              <m:t>}</m:t>
            </m:r>
          </m:e>
          <m:sub>
            <m:r>
              <w:rPr>
                <w:rFonts w:ascii="Cambria Math" w:eastAsiaTheme="minorEastAsia" w:hAnsi="Cambria Math" w:cs="Times New Roman"/>
                <w:szCs w:val="24"/>
              </w:rPr>
              <m:t>k=0</m:t>
            </m:r>
          </m:sub>
          <m:sup>
            <m:r>
              <w:rPr>
                <w:rFonts w:ascii="Cambria Math" w:eastAsiaTheme="minorEastAsia" w:hAnsi="Cambria Math" w:cs="Times New Roman"/>
                <w:szCs w:val="24"/>
              </w:rPr>
              <m:t>Ñ</m:t>
            </m:r>
          </m:sup>
        </m:sSubSup>
      </m:oMath>
      <w:r w:rsidRPr="00FA2FCD">
        <w:rPr>
          <w:rFonts w:eastAsiaTheme="minorEastAsia" w:cs="Times New Roman"/>
          <w:szCs w:val="24"/>
        </w:rPr>
        <w:t xml:space="preserve">, respectivamente. </w:t>
      </w:r>
      <w:r w:rsidR="00680532">
        <w:rPr>
          <w:rFonts w:eastAsiaTheme="minorEastAsia" w:cs="Times New Roman"/>
          <w:szCs w:val="24"/>
        </w:rPr>
        <w:t>Defina</w:t>
      </w:r>
      <w:r w:rsidRPr="00FA2FCD">
        <w:rPr>
          <w:rFonts w:eastAsiaTheme="minorEastAsia" w:cs="Times New Roman"/>
          <w:szCs w:val="24"/>
        </w:rPr>
        <w:t xml:space="preserve"> </w:t>
      </w:r>
      <m:oMath>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ϕ</m:t>
            </m:r>
          </m:e>
        </m:acc>
        <m:r>
          <w:rPr>
            <w:rFonts w:ascii="Cambria Math" w:eastAsiaTheme="minorEastAsia" w:hAnsi="Cambria Math" w:cs="Times New Roman"/>
            <w:szCs w:val="24"/>
          </w:rPr>
          <m:t>(t)</m:t>
        </m:r>
      </m:oMath>
      <w:r w:rsidRPr="00FA2FCD">
        <w:rPr>
          <w:rFonts w:eastAsiaTheme="minorEastAsia" w:cs="Times New Roman"/>
          <w:szCs w:val="24"/>
        </w:rPr>
        <w:t xml:space="preserve"> </w:t>
      </w:r>
      <w:r w:rsidR="00680532">
        <w:rPr>
          <w:rFonts w:eastAsiaTheme="minorEastAsia" w:cs="Times New Roman"/>
          <w:szCs w:val="24"/>
        </w:rPr>
        <w:t xml:space="preserve">como </w:t>
      </w:r>
      <w:r w:rsidRPr="00FA2FCD">
        <w:rPr>
          <w:rFonts w:eastAsiaTheme="minorEastAsia" w:cs="Times New Roman"/>
          <w:szCs w:val="24"/>
        </w:rPr>
        <w:t>uma função dimensionamento (</w:t>
      </w:r>
      <w:r w:rsidRPr="00FA2FCD">
        <w:rPr>
          <w:rFonts w:eastAsiaTheme="minorEastAsia" w:cs="Times New Roman"/>
          <w:i/>
          <w:szCs w:val="24"/>
        </w:rPr>
        <w:t>scaling function)</w:t>
      </w:r>
      <w:r w:rsidRPr="00FA2FCD">
        <w:rPr>
          <w:rFonts w:eastAsiaTheme="minorEastAsia" w:cs="Times New Roman"/>
          <w:szCs w:val="24"/>
        </w:rPr>
        <w:t xml:space="preserve"> expressa como:</w:t>
      </w:r>
    </w:p>
    <w:p w14:paraId="69D4016E" w14:textId="0547B93F" w:rsidR="00680532" w:rsidRDefault="00680532" w:rsidP="00680532">
      <w:pPr>
        <w:spacing w:line="240" w:lineRule="auto"/>
        <w:jc w:val="both"/>
        <w:rPr>
          <w:rFonts w:eastAsiaTheme="minorEastAsia"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364"/>
        <w:gridCol w:w="701"/>
      </w:tblGrid>
      <w:tr w:rsidR="00680532" w14:paraId="53329791" w14:textId="77777777" w:rsidTr="00680532">
        <w:tc>
          <w:tcPr>
            <w:tcW w:w="1129" w:type="dxa"/>
          </w:tcPr>
          <w:p w14:paraId="4CE8E344" w14:textId="77777777" w:rsidR="00680532" w:rsidRDefault="00680532" w:rsidP="00680532">
            <w:pPr>
              <w:spacing w:line="240" w:lineRule="auto"/>
              <w:ind w:firstLine="0"/>
              <w:jc w:val="both"/>
              <w:rPr>
                <w:rFonts w:eastAsiaTheme="minorEastAsia" w:cs="Times New Roman"/>
                <w:szCs w:val="24"/>
              </w:rPr>
            </w:pPr>
          </w:p>
        </w:tc>
        <w:tc>
          <w:tcPr>
            <w:tcW w:w="8364" w:type="dxa"/>
          </w:tcPr>
          <w:p w14:paraId="1D637841" w14:textId="5F7C2E2B" w:rsidR="00680532" w:rsidRDefault="008D52D5" w:rsidP="00680532">
            <w:pPr>
              <w:spacing w:line="240" w:lineRule="auto"/>
              <w:jc w:val="both"/>
              <w:rPr>
                <w:rFonts w:eastAsiaTheme="minorEastAsia" w:cs="Times New Roman"/>
                <w:szCs w:val="24"/>
              </w:rPr>
            </w:pPr>
            <m:oMathPara>
              <m:oMath>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ϕ</m:t>
                    </m:r>
                  </m:e>
                </m:acc>
                <m:d>
                  <m:dPr>
                    <m:ctrlPr>
                      <w:rPr>
                        <w:rFonts w:ascii="Cambria Math" w:eastAsiaTheme="minorEastAsia" w:hAnsi="Cambria Math" w:cs="Times New Roman"/>
                        <w:i/>
                        <w:szCs w:val="24"/>
                      </w:rPr>
                    </m:ctrlPr>
                  </m:dPr>
                  <m:e>
                    <m:r>
                      <w:rPr>
                        <w:rFonts w:ascii="Cambria Math" w:eastAsiaTheme="minorEastAsia" w:hAnsi="Cambria Math" w:cs="Times New Roman"/>
                        <w:szCs w:val="24"/>
                      </w:rPr>
                      <m:t>t</m:t>
                    </m:r>
                  </m:e>
                </m:d>
                <m:r>
                  <w:rPr>
                    <w:rFonts w:ascii="Cambria Math" w:eastAsiaTheme="minorEastAsia" w:hAnsi="Cambria Math" w:cs="Times New Roman"/>
                    <w:szCs w:val="24"/>
                  </w:rPr>
                  <m:t>=</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k=0</m:t>
                    </m:r>
                  </m:sub>
                  <m:sup>
                    <m:r>
                      <w:rPr>
                        <w:rFonts w:ascii="Cambria Math" w:eastAsiaTheme="minorEastAsia" w:hAnsi="Cambria Math" w:cs="Times New Roman"/>
                        <w:szCs w:val="24"/>
                      </w:rPr>
                      <m:t>Ñ</m:t>
                    </m:r>
                  </m:sup>
                  <m:e>
                    <m:r>
                      <w:rPr>
                        <w:rFonts w:ascii="Cambria Math" w:eastAsiaTheme="minorEastAsia" w:hAnsi="Cambria Math" w:cs="Times New Roman"/>
                        <w:szCs w:val="24"/>
                      </w:rPr>
                      <m:t>2</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k</m:t>
                        </m:r>
                      </m:e>
                    </m:d>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ϕ</m:t>
                        </m:r>
                      </m:e>
                    </m:acc>
                    <m:d>
                      <m:dPr>
                        <m:ctrlPr>
                          <w:rPr>
                            <w:rFonts w:ascii="Cambria Math" w:eastAsiaTheme="minorEastAsia" w:hAnsi="Cambria Math" w:cs="Times New Roman"/>
                            <w:i/>
                            <w:szCs w:val="24"/>
                          </w:rPr>
                        </m:ctrlPr>
                      </m:dPr>
                      <m:e>
                        <m:r>
                          <w:rPr>
                            <w:rFonts w:ascii="Cambria Math" w:eastAsiaTheme="minorEastAsia" w:hAnsi="Cambria Math" w:cs="Times New Roman"/>
                            <w:szCs w:val="24"/>
                          </w:rPr>
                          <m:t>2t-k</m:t>
                        </m:r>
                      </m:e>
                    </m:d>
                  </m:e>
                </m:nary>
              </m:oMath>
            </m:oMathPara>
          </w:p>
        </w:tc>
        <w:tc>
          <w:tcPr>
            <w:tcW w:w="701" w:type="dxa"/>
            <w:vAlign w:val="center"/>
          </w:tcPr>
          <w:p w14:paraId="0C091335" w14:textId="31CB0965" w:rsidR="00680532" w:rsidRDefault="00680532" w:rsidP="00680532">
            <w:pPr>
              <w:spacing w:line="240" w:lineRule="auto"/>
              <w:ind w:firstLine="0"/>
              <w:jc w:val="both"/>
              <w:rPr>
                <w:rFonts w:eastAsiaTheme="minorEastAsia" w:cs="Times New Roman"/>
                <w:szCs w:val="24"/>
              </w:rPr>
            </w:pPr>
            <w:r>
              <w:rPr>
                <w:rFonts w:eastAsiaTheme="minorEastAsia" w:cs="Times New Roman"/>
                <w:szCs w:val="24"/>
              </w:rPr>
              <w:t>(1)</w:t>
            </w:r>
          </w:p>
        </w:tc>
      </w:tr>
    </w:tbl>
    <w:p w14:paraId="2B9A6906" w14:textId="77777777" w:rsidR="00680532" w:rsidRPr="00FA2FCD" w:rsidRDefault="00680532" w:rsidP="00680532">
      <w:pPr>
        <w:spacing w:line="240" w:lineRule="auto"/>
        <w:jc w:val="both"/>
        <w:rPr>
          <w:rFonts w:eastAsiaTheme="minorEastAsia" w:cs="Times New Roman"/>
          <w:szCs w:val="24"/>
        </w:rPr>
      </w:pPr>
    </w:p>
    <w:p w14:paraId="28676265" w14:textId="2831CDCA" w:rsidR="00023C5B" w:rsidRDefault="00680532" w:rsidP="005433CD">
      <w:pPr>
        <w:spacing w:line="240" w:lineRule="auto"/>
        <w:jc w:val="both"/>
        <w:rPr>
          <w:rFonts w:eastAsiaTheme="minorEastAsia" w:cs="Times New Roman"/>
          <w:szCs w:val="24"/>
        </w:rPr>
      </w:pPr>
      <w:r>
        <w:rPr>
          <w:rFonts w:eastAsiaTheme="minorEastAsia" w:cs="Times New Roman"/>
          <w:szCs w:val="24"/>
        </w:rPr>
        <w:t xml:space="preserve">E defina </w:t>
      </w:r>
      <w:r w:rsidR="005433CD" w:rsidRPr="00FA2FCD">
        <w:rPr>
          <w:rFonts w:eastAsiaTheme="minorEastAsia" w:cs="Times New Roman"/>
          <w:szCs w:val="24"/>
        </w:rPr>
        <w:t xml:space="preserve">a </w:t>
      </w:r>
      <w:r>
        <w:rPr>
          <w:rFonts w:eastAsiaTheme="minorEastAsia" w:cs="Times New Roman"/>
          <w:szCs w:val="24"/>
        </w:rPr>
        <w:t>transformada</w:t>
      </w:r>
      <w:r w:rsidR="005433CD" w:rsidRPr="00FA2FCD">
        <w:rPr>
          <w:rFonts w:eastAsiaTheme="minorEastAsia" w:cs="Times New Roman"/>
          <w:szCs w:val="24"/>
        </w:rPr>
        <w:t xml:space="preserve"> </w:t>
      </w:r>
      <w:r>
        <w:rPr>
          <w:rFonts w:eastAsiaTheme="minorEastAsia" w:cs="Times New Roman"/>
          <w:i/>
          <w:szCs w:val="24"/>
        </w:rPr>
        <w:t xml:space="preserve">wavelet </w:t>
      </w:r>
      <m:oMath>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w</m:t>
            </m:r>
          </m:e>
        </m:acc>
        <m:r>
          <w:rPr>
            <w:rFonts w:ascii="Cambria Math" w:eastAsiaTheme="minorEastAsia" w:hAnsi="Cambria Math" w:cs="Times New Roman"/>
            <w:szCs w:val="24"/>
          </w:rPr>
          <m:t>(t)</m:t>
        </m:r>
      </m:oMath>
      <w:r w:rsidR="005433CD" w:rsidRPr="00FA2FCD">
        <w:rPr>
          <w:rFonts w:eastAsiaTheme="minorEastAsia" w:cs="Times New Roman"/>
          <w:szCs w:val="24"/>
        </w:rPr>
        <w:t xml:space="preserve"> pela equação:</w:t>
      </w:r>
    </w:p>
    <w:p w14:paraId="19B08FD5" w14:textId="77777777" w:rsidR="00813107" w:rsidRDefault="00813107" w:rsidP="005433CD">
      <w:pPr>
        <w:spacing w:line="240" w:lineRule="auto"/>
        <w:jc w:val="both"/>
        <w:rPr>
          <w:rFonts w:eastAsiaTheme="minorEastAsia"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364"/>
        <w:gridCol w:w="701"/>
      </w:tblGrid>
      <w:tr w:rsidR="00680532" w14:paraId="078D5F7C" w14:textId="77777777" w:rsidTr="00AC34E6">
        <w:tc>
          <w:tcPr>
            <w:tcW w:w="1129" w:type="dxa"/>
          </w:tcPr>
          <w:p w14:paraId="49CF070B" w14:textId="77777777" w:rsidR="00680532" w:rsidRDefault="00680532" w:rsidP="00AC34E6">
            <w:pPr>
              <w:spacing w:line="240" w:lineRule="auto"/>
              <w:ind w:firstLine="0"/>
              <w:jc w:val="both"/>
              <w:rPr>
                <w:rFonts w:eastAsiaTheme="minorEastAsia" w:cs="Times New Roman"/>
                <w:szCs w:val="24"/>
              </w:rPr>
            </w:pPr>
          </w:p>
        </w:tc>
        <w:tc>
          <w:tcPr>
            <w:tcW w:w="8364" w:type="dxa"/>
          </w:tcPr>
          <w:p w14:paraId="264E1567" w14:textId="77D4B680" w:rsidR="00680532" w:rsidRDefault="008D52D5" w:rsidP="00AC34E6">
            <w:pPr>
              <w:spacing w:line="240" w:lineRule="auto"/>
              <w:jc w:val="both"/>
              <w:rPr>
                <w:rFonts w:eastAsiaTheme="minorEastAsia" w:cs="Times New Roman"/>
                <w:szCs w:val="24"/>
              </w:rPr>
            </w:pPr>
            <m:oMathPara>
              <m:oMath>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w</m:t>
                    </m:r>
                  </m:e>
                </m:acc>
                <m:d>
                  <m:dPr>
                    <m:ctrlPr>
                      <w:rPr>
                        <w:rFonts w:ascii="Cambria Math" w:eastAsiaTheme="minorEastAsia" w:hAnsi="Cambria Math" w:cs="Times New Roman"/>
                        <w:i/>
                        <w:szCs w:val="24"/>
                      </w:rPr>
                    </m:ctrlPr>
                  </m:dPr>
                  <m:e>
                    <m:r>
                      <w:rPr>
                        <w:rFonts w:ascii="Cambria Math" w:eastAsiaTheme="minorEastAsia" w:hAnsi="Cambria Math" w:cs="Times New Roman"/>
                        <w:szCs w:val="24"/>
                      </w:rPr>
                      <m:t>t</m:t>
                    </m:r>
                  </m:e>
                </m:d>
                <m:r>
                  <w:rPr>
                    <w:rFonts w:ascii="Cambria Math" w:eastAsiaTheme="minorEastAsia" w:hAnsi="Cambria Math" w:cs="Times New Roman"/>
                    <w:szCs w:val="24"/>
                  </w:rPr>
                  <m:t>=</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k=0</m:t>
                    </m:r>
                  </m:sub>
                  <m:sup>
                    <m:r>
                      <w:rPr>
                        <w:rFonts w:ascii="Cambria Math" w:eastAsiaTheme="minorEastAsia" w:hAnsi="Cambria Math" w:cs="Times New Roman"/>
                        <w:szCs w:val="24"/>
                      </w:rPr>
                      <m:t>Ñ</m:t>
                    </m:r>
                  </m:sup>
                  <m:e>
                    <m:r>
                      <w:rPr>
                        <w:rFonts w:ascii="Cambria Math" w:eastAsiaTheme="minorEastAsia" w:hAnsi="Cambria Math" w:cs="Times New Roman"/>
                        <w:szCs w:val="24"/>
                      </w:rPr>
                      <m:t>2</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1</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k</m:t>
                        </m:r>
                      </m:e>
                    </m:d>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ϕ</m:t>
                        </m:r>
                      </m:e>
                    </m:acc>
                    <m:d>
                      <m:dPr>
                        <m:ctrlPr>
                          <w:rPr>
                            <w:rFonts w:ascii="Cambria Math" w:eastAsiaTheme="minorEastAsia" w:hAnsi="Cambria Math" w:cs="Times New Roman"/>
                            <w:i/>
                            <w:szCs w:val="24"/>
                          </w:rPr>
                        </m:ctrlPr>
                      </m:dPr>
                      <m:e>
                        <m:r>
                          <w:rPr>
                            <w:rFonts w:ascii="Cambria Math" w:eastAsiaTheme="minorEastAsia" w:hAnsi="Cambria Math" w:cs="Times New Roman"/>
                            <w:szCs w:val="24"/>
                          </w:rPr>
                          <m:t>2t-k</m:t>
                        </m:r>
                      </m:e>
                    </m:d>
                  </m:e>
                </m:nary>
              </m:oMath>
            </m:oMathPara>
          </w:p>
        </w:tc>
        <w:tc>
          <w:tcPr>
            <w:tcW w:w="701" w:type="dxa"/>
            <w:vAlign w:val="center"/>
          </w:tcPr>
          <w:p w14:paraId="1C97D32E" w14:textId="48BDE070" w:rsidR="00680532" w:rsidRDefault="00680532" w:rsidP="00AC34E6">
            <w:pPr>
              <w:spacing w:line="240" w:lineRule="auto"/>
              <w:ind w:firstLine="0"/>
              <w:jc w:val="both"/>
              <w:rPr>
                <w:rFonts w:eastAsiaTheme="minorEastAsia" w:cs="Times New Roman"/>
                <w:szCs w:val="24"/>
              </w:rPr>
            </w:pPr>
            <w:r>
              <w:rPr>
                <w:rFonts w:eastAsiaTheme="minorEastAsia" w:cs="Times New Roman"/>
                <w:szCs w:val="24"/>
              </w:rPr>
              <w:t>(2)</w:t>
            </w:r>
          </w:p>
        </w:tc>
      </w:tr>
    </w:tbl>
    <w:p w14:paraId="5DFFD79B" w14:textId="77777777" w:rsidR="00680532" w:rsidRPr="00FA2FCD" w:rsidRDefault="00680532" w:rsidP="005433CD">
      <w:pPr>
        <w:spacing w:line="240" w:lineRule="auto"/>
        <w:jc w:val="both"/>
        <w:rPr>
          <w:rFonts w:eastAsiaTheme="minorEastAsia" w:cs="Times New Roman"/>
          <w:szCs w:val="24"/>
        </w:rPr>
      </w:pPr>
    </w:p>
    <w:p w14:paraId="44458795" w14:textId="4BA10E89" w:rsidR="00023C5B" w:rsidRDefault="005433CD" w:rsidP="005433CD">
      <w:pPr>
        <w:spacing w:line="240" w:lineRule="auto"/>
        <w:jc w:val="both"/>
        <w:rPr>
          <w:rFonts w:eastAsiaTheme="minorEastAsia" w:cs="Times New Roman"/>
          <w:szCs w:val="24"/>
        </w:rPr>
      </w:pPr>
      <w:r w:rsidRPr="00FA2FCD">
        <w:rPr>
          <w:rFonts w:eastAsiaTheme="minorEastAsia" w:cs="Times New Roman"/>
          <w:szCs w:val="24"/>
        </w:rPr>
        <w:t xml:space="preserve">Sejam </w:t>
      </w:r>
      <m:oMath>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ϕ</m:t>
                </m:r>
              </m:e>
            </m:acc>
          </m:e>
          <m:sub>
            <m:r>
              <w:rPr>
                <w:rFonts w:ascii="Cambria Math" w:eastAsiaTheme="minorEastAsia" w:hAnsi="Cambria Math" w:cs="Times New Roman"/>
                <w:szCs w:val="24"/>
              </w:rPr>
              <m:t>jk</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t</m:t>
            </m:r>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m:t>
            </m:r>
          </m:e>
          <m:sup>
            <m:r>
              <w:rPr>
                <w:rFonts w:ascii="Cambria Math" w:eastAsiaTheme="minorEastAsia" w:hAnsi="Cambria Math" w:cs="Times New Roman"/>
                <w:szCs w:val="24"/>
              </w:rPr>
              <m:t>j/2</m:t>
            </m:r>
          </m:sup>
        </m:sSup>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ϕ</m:t>
            </m:r>
          </m:e>
        </m:acc>
        <m:d>
          <m:dPr>
            <m:ctrlPr>
              <w:rPr>
                <w:rFonts w:ascii="Cambria Math" w:eastAsiaTheme="minorEastAsia" w:hAnsi="Cambria Math" w:cs="Times New Roman"/>
                <w:i/>
                <w:szCs w:val="24"/>
              </w:rPr>
            </m:ctrlPr>
          </m:dPr>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m:t>
                </m:r>
              </m:e>
              <m:sup>
                <m:r>
                  <w:rPr>
                    <w:rFonts w:ascii="Cambria Math" w:eastAsiaTheme="minorEastAsia" w:hAnsi="Cambria Math" w:cs="Times New Roman"/>
                    <w:szCs w:val="24"/>
                  </w:rPr>
                  <m:t>j</m:t>
                </m:r>
              </m:sup>
            </m:sSup>
            <m:r>
              <w:rPr>
                <w:rFonts w:ascii="Cambria Math" w:eastAsiaTheme="minorEastAsia" w:hAnsi="Cambria Math" w:cs="Times New Roman"/>
                <w:szCs w:val="24"/>
              </w:rPr>
              <m:t>t-k</m:t>
            </m:r>
          </m:e>
        </m:d>
      </m:oMath>
      <w:r w:rsidRPr="00FA2FCD">
        <w:rPr>
          <w:rFonts w:eastAsiaTheme="minorEastAsia" w:cs="Times New Roman"/>
          <w:szCs w:val="24"/>
        </w:rPr>
        <w:t xml:space="preserve"> e </w:t>
      </w:r>
      <m:oMath>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w</m:t>
                </m:r>
              </m:e>
            </m:acc>
          </m:e>
          <m:sub>
            <m:r>
              <w:rPr>
                <w:rFonts w:ascii="Cambria Math" w:eastAsiaTheme="minorEastAsia" w:hAnsi="Cambria Math" w:cs="Times New Roman"/>
                <w:szCs w:val="24"/>
              </w:rPr>
              <m:t>jk</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t</m:t>
            </m:r>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m:t>
            </m:r>
          </m:e>
          <m:sup>
            <m:r>
              <w:rPr>
                <w:rFonts w:ascii="Cambria Math" w:eastAsiaTheme="minorEastAsia" w:hAnsi="Cambria Math" w:cs="Times New Roman"/>
                <w:szCs w:val="24"/>
              </w:rPr>
              <m:t>j/2</m:t>
            </m:r>
          </m:sup>
        </m:sSup>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w</m:t>
            </m:r>
          </m:e>
        </m:acc>
        <m:d>
          <m:dPr>
            <m:ctrlPr>
              <w:rPr>
                <w:rFonts w:ascii="Cambria Math" w:eastAsiaTheme="minorEastAsia" w:hAnsi="Cambria Math" w:cs="Times New Roman"/>
                <w:i/>
                <w:szCs w:val="24"/>
              </w:rPr>
            </m:ctrlPr>
          </m:dPr>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m:t>
                </m:r>
              </m:e>
              <m:sup>
                <m:r>
                  <w:rPr>
                    <w:rFonts w:ascii="Cambria Math" w:eastAsiaTheme="minorEastAsia" w:hAnsi="Cambria Math" w:cs="Times New Roman"/>
                    <w:szCs w:val="24"/>
                  </w:rPr>
                  <m:t>j</m:t>
                </m:r>
              </m:sup>
            </m:sSup>
            <m:r>
              <w:rPr>
                <w:rFonts w:ascii="Cambria Math" w:eastAsiaTheme="minorEastAsia" w:hAnsi="Cambria Math" w:cs="Times New Roman"/>
                <w:szCs w:val="24"/>
              </w:rPr>
              <m:t>t-k</m:t>
            </m:r>
          </m:e>
        </m:d>
      </m:oMath>
      <w:r w:rsidR="0059058E">
        <w:rPr>
          <w:rFonts w:eastAsiaTheme="minorEastAsia" w:cs="Times New Roman"/>
          <w:szCs w:val="24"/>
        </w:rPr>
        <w:t>,</w:t>
      </w:r>
      <w:r w:rsidRPr="00FA2FCD">
        <w:rPr>
          <w:rFonts w:eastAsiaTheme="minorEastAsia" w:cs="Times New Roman"/>
          <w:szCs w:val="24"/>
        </w:rPr>
        <w:t xml:space="preserve"> as funções dimensionamento e </w:t>
      </w:r>
      <w:r w:rsidRPr="00FA2FCD">
        <w:rPr>
          <w:rFonts w:eastAsiaTheme="minorEastAsia" w:cs="Times New Roman"/>
          <w:i/>
          <w:szCs w:val="24"/>
        </w:rPr>
        <w:t xml:space="preserve">wavelet </w:t>
      </w:r>
      <w:r w:rsidRPr="00FA2FCD">
        <w:rPr>
          <w:rFonts w:eastAsiaTheme="minorEastAsia" w:cs="Times New Roman"/>
          <w:szCs w:val="24"/>
        </w:rPr>
        <w:t xml:space="preserve">na escala </w:t>
      </w:r>
      <m:oMath>
        <m:r>
          <w:rPr>
            <w:rFonts w:ascii="Cambria Math" w:eastAsiaTheme="minorEastAsia" w:hAnsi="Cambria Math" w:cs="Times New Roman"/>
            <w:szCs w:val="24"/>
          </w:rPr>
          <m:t>j</m:t>
        </m:r>
      </m:oMath>
      <w:r w:rsidRPr="00FA2FCD">
        <w:rPr>
          <w:rFonts w:eastAsiaTheme="minorEastAsia" w:cs="Times New Roman"/>
          <w:szCs w:val="24"/>
        </w:rPr>
        <w:t xml:space="preserve"> e localização </w:t>
      </w:r>
      <m:oMath>
        <m:r>
          <w:rPr>
            <w:rFonts w:ascii="Cambria Math" w:eastAsiaTheme="minorEastAsia" w:hAnsi="Cambria Math" w:cs="Times New Roman"/>
            <w:szCs w:val="24"/>
          </w:rPr>
          <m:t>k</m:t>
        </m:r>
      </m:oMath>
      <w:r w:rsidRPr="00FA2FCD">
        <w:rPr>
          <w:rFonts w:eastAsiaTheme="minorEastAsia" w:cs="Times New Roman"/>
          <w:szCs w:val="24"/>
        </w:rPr>
        <w:t xml:space="preserve">. O </w:t>
      </w:r>
      <w:r w:rsidR="0059058E">
        <w:rPr>
          <w:rFonts w:eastAsiaTheme="minorEastAsia" w:cs="Times New Roman"/>
          <w:szCs w:val="24"/>
        </w:rPr>
        <w:t>j</w:t>
      </w:r>
      <w:r w:rsidRPr="00FA2FCD">
        <w:rPr>
          <w:rFonts w:eastAsiaTheme="minorEastAsia" w:cs="Times New Roman"/>
          <w:szCs w:val="24"/>
        </w:rPr>
        <w:t xml:space="preserve">-ésimo nível da decomposição wavelet de um sinal contínuo temporal </w:t>
      </w:r>
      <m:oMath>
        <m:r>
          <w:rPr>
            <w:rFonts w:ascii="Cambria Math" w:eastAsiaTheme="minorEastAsia" w:hAnsi="Cambria Math" w:cs="Times New Roman"/>
            <w:szCs w:val="24"/>
          </w:rPr>
          <m:t>x(t)</m:t>
        </m:r>
      </m:oMath>
      <w:r w:rsidRPr="00FA2FCD">
        <w:rPr>
          <w:rFonts w:eastAsiaTheme="minorEastAsia" w:cs="Times New Roman"/>
          <w:szCs w:val="24"/>
        </w:rPr>
        <w:t xml:space="preserve"> é dado por: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364"/>
        <w:gridCol w:w="701"/>
      </w:tblGrid>
      <w:tr w:rsidR="00023C5B" w14:paraId="275C0817" w14:textId="77777777" w:rsidTr="00AC34E6">
        <w:tc>
          <w:tcPr>
            <w:tcW w:w="1129" w:type="dxa"/>
          </w:tcPr>
          <w:p w14:paraId="698E4C83" w14:textId="77777777" w:rsidR="00023C5B" w:rsidRDefault="00023C5B" w:rsidP="00AC34E6">
            <w:pPr>
              <w:spacing w:line="240" w:lineRule="auto"/>
              <w:ind w:firstLine="0"/>
              <w:jc w:val="both"/>
              <w:rPr>
                <w:rFonts w:eastAsiaTheme="minorEastAsia" w:cs="Times New Roman"/>
                <w:szCs w:val="24"/>
              </w:rPr>
            </w:pPr>
          </w:p>
        </w:tc>
        <w:tc>
          <w:tcPr>
            <w:tcW w:w="8364" w:type="dxa"/>
          </w:tcPr>
          <w:p w14:paraId="131A1BDB" w14:textId="565FB730" w:rsidR="00023C5B" w:rsidRDefault="00023C5B" w:rsidP="00AC34E6">
            <w:pPr>
              <w:spacing w:line="240" w:lineRule="auto"/>
              <w:jc w:val="both"/>
              <w:rPr>
                <w:rFonts w:eastAsiaTheme="minorEastAsia" w:cs="Times New Roman"/>
                <w:szCs w:val="24"/>
              </w:rPr>
            </w:pPr>
            <m:oMathPara>
              <m:oMath>
                <m:r>
                  <w:rPr>
                    <w:rFonts w:ascii="Cambria Math" w:eastAsiaTheme="minorEastAsia" w:hAnsi="Cambria Math" w:cs="Times New Roman"/>
                    <w:szCs w:val="24"/>
                  </w:rPr>
                  <m:t>x</m:t>
                </m:r>
                <m:d>
                  <m:dPr>
                    <m:ctrlPr>
                      <w:rPr>
                        <w:rFonts w:ascii="Cambria Math" w:eastAsiaTheme="minorEastAsia" w:hAnsi="Cambria Math" w:cs="Times New Roman"/>
                        <w:i/>
                        <w:szCs w:val="24"/>
                      </w:rPr>
                    </m:ctrlPr>
                  </m:dPr>
                  <m:e>
                    <m:r>
                      <w:rPr>
                        <w:rFonts w:ascii="Cambria Math" w:eastAsiaTheme="minorEastAsia" w:hAnsi="Cambria Math" w:cs="Times New Roman"/>
                        <w:szCs w:val="24"/>
                      </w:rPr>
                      <m:t>t</m:t>
                    </m:r>
                  </m:e>
                </m:d>
                <m:r>
                  <w:rPr>
                    <w:rFonts w:ascii="Cambria Math" w:eastAsiaTheme="minorEastAsia" w:hAnsi="Cambria Math" w:cs="Times New Roman"/>
                    <w:szCs w:val="24"/>
                  </w:rPr>
                  <m:t>=</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k</m:t>
                    </m:r>
                  </m:sub>
                  <m:sup/>
                  <m:e>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α</m:t>
                            </m:r>
                          </m:e>
                        </m:acc>
                      </m:e>
                      <m:sub>
                        <m:r>
                          <w:rPr>
                            <w:rFonts w:ascii="Cambria Math" w:eastAsiaTheme="minorEastAsia" w:hAnsi="Cambria Math" w:cs="Times New Roman"/>
                            <w:szCs w:val="24"/>
                          </w:rPr>
                          <m:t>0k</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ϕ</m:t>
                        </m:r>
                      </m:e>
                      <m:sub>
                        <m:r>
                          <w:rPr>
                            <w:rFonts w:ascii="Cambria Math" w:eastAsiaTheme="minorEastAsia" w:hAnsi="Cambria Math" w:cs="Times New Roman"/>
                            <w:szCs w:val="24"/>
                          </w:rPr>
                          <m:t>0k</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t</m:t>
                        </m:r>
                      </m:e>
                    </m:d>
                  </m:e>
                </m:nary>
                <m:r>
                  <w:rPr>
                    <w:rFonts w:ascii="Cambria Math" w:eastAsiaTheme="minorEastAsia" w:hAnsi="Cambria Math" w:cs="Times New Roman"/>
                    <w:szCs w:val="24"/>
                  </w:rPr>
                  <m:t xml:space="preserve">+ </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j=0</m:t>
                    </m:r>
                  </m:sub>
                  <m:sup>
                    <m:r>
                      <w:rPr>
                        <w:rFonts w:ascii="Cambria Math" w:eastAsiaTheme="minorEastAsia" w:hAnsi="Cambria Math" w:cs="Times New Roman"/>
                        <w:szCs w:val="24"/>
                      </w:rPr>
                      <m:t>J-1</m:t>
                    </m:r>
                  </m:sup>
                  <m:e>
                    <m:nary>
                      <m:naryPr>
                        <m:chr m:val="∑"/>
                        <m:limLoc m:val="undOvr"/>
                        <m:supHide m:val="1"/>
                        <m:ctrlPr>
                          <w:rPr>
                            <w:rFonts w:ascii="Cambria Math" w:eastAsiaTheme="minorEastAsia" w:hAnsi="Cambria Math" w:cs="Times New Roman"/>
                            <w:i/>
                            <w:szCs w:val="24"/>
                          </w:rPr>
                        </m:ctrlPr>
                      </m:naryPr>
                      <m:sub>
                        <m:r>
                          <w:rPr>
                            <w:rFonts w:ascii="Cambria Math" w:eastAsiaTheme="minorEastAsia" w:hAnsi="Cambria Math" w:cs="Times New Roman"/>
                            <w:szCs w:val="24"/>
                          </w:rPr>
                          <m:t>k</m:t>
                        </m:r>
                      </m:sub>
                      <m:sup/>
                      <m:e>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b</m:t>
                                </m:r>
                              </m:e>
                            </m:acc>
                          </m:e>
                          <m:sub>
                            <m:r>
                              <w:rPr>
                                <w:rFonts w:ascii="Cambria Math" w:eastAsiaTheme="minorEastAsia" w:hAnsi="Cambria Math" w:cs="Times New Roman"/>
                                <w:szCs w:val="24"/>
                              </w:rPr>
                              <m:t>jk</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jk</m:t>
                            </m:r>
                          </m:sub>
                        </m:sSub>
                        <m:r>
                          <w:rPr>
                            <w:rFonts w:ascii="Cambria Math" w:eastAsiaTheme="minorEastAsia" w:hAnsi="Cambria Math" w:cs="Times New Roman"/>
                            <w:szCs w:val="24"/>
                          </w:rPr>
                          <m:t>(t)</m:t>
                        </m:r>
                      </m:e>
                    </m:nary>
                  </m:e>
                </m:nary>
              </m:oMath>
            </m:oMathPara>
          </w:p>
        </w:tc>
        <w:tc>
          <w:tcPr>
            <w:tcW w:w="701" w:type="dxa"/>
            <w:vAlign w:val="center"/>
          </w:tcPr>
          <w:p w14:paraId="6BAB5801" w14:textId="297B1276" w:rsidR="00023C5B" w:rsidRDefault="00023C5B" w:rsidP="00AC34E6">
            <w:pPr>
              <w:spacing w:line="240" w:lineRule="auto"/>
              <w:ind w:firstLine="0"/>
              <w:jc w:val="both"/>
              <w:rPr>
                <w:rFonts w:eastAsiaTheme="minorEastAsia" w:cs="Times New Roman"/>
                <w:szCs w:val="24"/>
              </w:rPr>
            </w:pPr>
            <w:r>
              <w:rPr>
                <w:rFonts w:eastAsiaTheme="minorEastAsia" w:cs="Times New Roman"/>
                <w:szCs w:val="24"/>
              </w:rPr>
              <w:t>(3)</w:t>
            </w:r>
          </w:p>
        </w:tc>
      </w:tr>
    </w:tbl>
    <w:p w14:paraId="02935771" w14:textId="77777777" w:rsidR="00023C5B" w:rsidRPr="00FA2FCD" w:rsidRDefault="00023C5B" w:rsidP="005433CD">
      <w:pPr>
        <w:spacing w:line="240" w:lineRule="auto"/>
        <w:jc w:val="both"/>
        <w:rPr>
          <w:rFonts w:eastAsiaTheme="minorEastAsia" w:cs="Times New Roman"/>
          <w:szCs w:val="24"/>
        </w:rPr>
      </w:pPr>
    </w:p>
    <w:p w14:paraId="666FA4A5" w14:textId="77777777" w:rsidR="005433CD" w:rsidRPr="00FA2FCD" w:rsidRDefault="005433CD" w:rsidP="005433CD">
      <w:pPr>
        <w:spacing w:line="240" w:lineRule="auto"/>
        <w:jc w:val="both"/>
        <w:rPr>
          <w:rFonts w:eastAsiaTheme="minorEastAsia" w:cs="Times New Roman"/>
          <w:szCs w:val="24"/>
        </w:rPr>
      </w:pPr>
      <w:r w:rsidRPr="00FA2FCD">
        <w:rPr>
          <w:rFonts w:eastAsiaTheme="minorEastAsia" w:cs="Times New Roman"/>
          <w:szCs w:val="24"/>
        </w:rPr>
        <w:t xml:space="preserve">Onde </w:t>
      </w:r>
      <m:oMath>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α</m:t>
                </m:r>
              </m:e>
            </m:acc>
          </m:e>
          <m:sub>
            <m:r>
              <w:rPr>
                <w:rFonts w:ascii="Cambria Math" w:eastAsiaTheme="minorEastAsia" w:hAnsi="Cambria Math" w:cs="Times New Roman"/>
                <w:szCs w:val="24"/>
              </w:rPr>
              <m:t>0k</m:t>
            </m:r>
          </m:sub>
        </m:sSub>
        <m:r>
          <w:rPr>
            <w:rFonts w:ascii="Cambria Math" w:eastAsiaTheme="minorEastAsia" w:hAnsi="Cambria Math" w:cs="Times New Roman"/>
            <w:szCs w:val="24"/>
          </w:rPr>
          <m:t>=</m:t>
        </m:r>
        <m:nary>
          <m:naryPr>
            <m:limLoc m:val="undOvr"/>
            <m:subHide m:val="1"/>
            <m:supHide m:val="1"/>
            <m:ctrlPr>
              <w:rPr>
                <w:rFonts w:ascii="Cambria Math" w:eastAsiaTheme="minorEastAsia" w:hAnsi="Cambria Math" w:cs="Times New Roman"/>
                <w:i/>
                <w:szCs w:val="24"/>
              </w:rPr>
            </m:ctrlPr>
          </m:naryPr>
          <m:sub/>
          <m:sup/>
          <m:e>
            <m:r>
              <w:rPr>
                <w:rFonts w:ascii="Cambria Math" w:eastAsiaTheme="minorEastAsia" w:hAnsi="Cambria Math" w:cs="Times New Roman"/>
                <w:szCs w:val="24"/>
              </w:rPr>
              <m:t>x</m:t>
            </m:r>
            <m:d>
              <m:dPr>
                <m:ctrlPr>
                  <w:rPr>
                    <w:rFonts w:ascii="Cambria Math" w:eastAsiaTheme="minorEastAsia" w:hAnsi="Cambria Math" w:cs="Times New Roman"/>
                    <w:i/>
                    <w:szCs w:val="24"/>
                  </w:rPr>
                </m:ctrlPr>
              </m:dPr>
              <m:e>
                <m:r>
                  <w:rPr>
                    <w:rFonts w:ascii="Cambria Math" w:eastAsiaTheme="minorEastAsia" w:hAnsi="Cambria Math" w:cs="Times New Roman"/>
                    <w:szCs w:val="24"/>
                  </w:rPr>
                  <m:t>t</m:t>
                </m:r>
              </m:e>
            </m:d>
          </m:e>
        </m:nary>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ϕ</m:t>
                </m:r>
              </m:e>
            </m:acc>
          </m:e>
          <m:sub>
            <m:r>
              <w:rPr>
                <w:rFonts w:ascii="Cambria Math" w:eastAsiaTheme="minorEastAsia" w:hAnsi="Cambria Math" w:cs="Times New Roman"/>
                <w:szCs w:val="24"/>
              </w:rPr>
              <m:t>0k</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t</m:t>
            </m:r>
          </m:e>
        </m:d>
        <m:r>
          <w:rPr>
            <w:rFonts w:ascii="Cambria Math" w:eastAsiaTheme="minorEastAsia" w:hAnsi="Cambria Math" w:cs="Times New Roman"/>
            <w:szCs w:val="24"/>
          </w:rPr>
          <m:t>dt</m:t>
        </m:r>
      </m:oMath>
      <w:r w:rsidRPr="00FA2FCD">
        <w:rPr>
          <w:rFonts w:eastAsiaTheme="minorEastAsia" w:cs="Times New Roman"/>
          <w:szCs w:val="24"/>
        </w:rPr>
        <w:t xml:space="preserve"> e </w:t>
      </w:r>
      <m:oMath>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b</m:t>
                </m:r>
              </m:e>
            </m:acc>
          </m:e>
          <m:sub>
            <m:r>
              <w:rPr>
                <w:rFonts w:ascii="Cambria Math" w:eastAsiaTheme="minorEastAsia" w:hAnsi="Cambria Math" w:cs="Times New Roman"/>
                <w:szCs w:val="24"/>
              </w:rPr>
              <m:t>jk</m:t>
            </m:r>
          </m:sub>
        </m:sSub>
        <m:r>
          <w:rPr>
            <w:rFonts w:ascii="Cambria Math" w:eastAsiaTheme="minorEastAsia" w:hAnsi="Cambria Math" w:cs="Times New Roman"/>
            <w:szCs w:val="24"/>
          </w:rPr>
          <m:t>=</m:t>
        </m:r>
        <m:nary>
          <m:naryPr>
            <m:limLoc m:val="undOvr"/>
            <m:subHide m:val="1"/>
            <m:supHide m:val="1"/>
            <m:ctrlPr>
              <w:rPr>
                <w:rFonts w:ascii="Cambria Math" w:eastAsiaTheme="minorEastAsia" w:hAnsi="Cambria Math" w:cs="Times New Roman"/>
                <w:i/>
                <w:szCs w:val="24"/>
              </w:rPr>
            </m:ctrlPr>
          </m:naryPr>
          <m:sub/>
          <m:sup/>
          <m:e>
            <m:r>
              <w:rPr>
                <w:rFonts w:ascii="Cambria Math" w:eastAsiaTheme="minorEastAsia" w:hAnsi="Cambria Math" w:cs="Times New Roman"/>
                <w:szCs w:val="24"/>
              </w:rPr>
              <m:t>x</m:t>
            </m:r>
            <m:d>
              <m:dPr>
                <m:ctrlPr>
                  <w:rPr>
                    <w:rFonts w:ascii="Cambria Math" w:eastAsiaTheme="minorEastAsia" w:hAnsi="Cambria Math" w:cs="Times New Roman"/>
                    <w:i/>
                    <w:szCs w:val="24"/>
                  </w:rPr>
                </m:ctrlPr>
              </m:dPr>
              <m:e>
                <m:r>
                  <w:rPr>
                    <w:rFonts w:ascii="Cambria Math" w:eastAsiaTheme="minorEastAsia" w:hAnsi="Cambria Math" w:cs="Times New Roman"/>
                    <w:szCs w:val="24"/>
                  </w:rPr>
                  <m:t>t</m:t>
                </m:r>
              </m:e>
            </m:d>
          </m:e>
        </m:nary>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w</m:t>
                </m:r>
              </m:e>
            </m:acc>
          </m:e>
          <m:sub>
            <m:r>
              <w:rPr>
                <w:rFonts w:ascii="Cambria Math" w:eastAsiaTheme="minorEastAsia" w:hAnsi="Cambria Math" w:cs="Times New Roman"/>
                <w:szCs w:val="24"/>
              </w:rPr>
              <m:t>jk</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t</m:t>
            </m:r>
          </m:e>
        </m:d>
        <m:r>
          <w:rPr>
            <w:rFonts w:ascii="Cambria Math" w:eastAsiaTheme="minorEastAsia" w:hAnsi="Cambria Math" w:cs="Times New Roman"/>
            <w:szCs w:val="24"/>
          </w:rPr>
          <m:t>dt</m:t>
        </m:r>
      </m:oMath>
      <w:r w:rsidRPr="00FA2FCD">
        <w:rPr>
          <w:rFonts w:eastAsiaTheme="minorEastAsia" w:cs="Times New Roman"/>
          <w:szCs w:val="24"/>
        </w:rPr>
        <w:t xml:space="preserve">. </w:t>
      </w:r>
    </w:p>
    <w:p w14:paraId="58071A69" w14:textId="076A6C8E" w:rsidR="00023C5B" w:rsidRDefault="00023C5B" w:rsidP="005433CD">
      <w:pPr>
        <w:spacing w:line="240" w:lineRule="auto"/>
        <w:jc w:val="both"/>
        <w:rPr>
          <w:rFonts w:eastAsiaTheme="minorEastAsia" w:cs="Times New Roman"/>
          <w:szCs w:val="24"/>
        </w:rPr>
      </w:pPr>
      <w:r>
        <w:rPr>
          <w:rFonts w:eastAsiaTheme="minorEastAsia" w:cs="Times New Roman"/>
          <w:szCs w:val="24"/>
        </w:rPr>
        <w:t>Definindo</w:t>
      </w:r>
      <w:r w:rsidR="005433CD" w:rsidRPr="00FA2FC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w</m:t>
            </m:r>
          </m:e>
        </m:d>
      </m:oMath>
      <w:r w:rsidR="005433CD" w:rsidRPr="00FA2FCD">
        <w:rPr>
          <w:rFonts w:eastAsiaTheme="minorEastAsia" w:cs="Times New Roman"/>
          <w:szCs w:val="24"/>
        </w:rPr>
        <w:t xml:space="preserve"> 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1</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w</m:t>
            </m:r>
          </m:e>
        </m:d>
      </m:oMath>
      <w:r w:rsidR="005433CD" w:rsidRPr="00FA2FCD">
        <w:rPr>
          <w:rFonts w:eastAsiaTheme="minorEastAsia" w:cs="Times New Roman"/>
          <w:szCs w:val="24"/>
        </w:rPr>
        <w:t xml:space="preserve"> </w:t>
      </w:r>
      <w:r>
        <w:rPr>
          <w:rFonts w:eastAsiaTheme="minorEastAsia" w:cs="Times New Roman"/>
          <w:szCs w:val="24"/>
        </w:rPr>
        <w:t xml:space="preserve">como </w:t>
      </w:r>
      <w:r w:rsidR="005433CD" w:rsidRPr="00FA2FCD">
        <w:rPr>
          <w:rFonts w:eastAsiaTheme="minorEastAsia" w:cs="Times New Roman"/>
          <w:szCs w:val="24"/>
        </w:rPr>
        <w:t xml:space="preserve">as respostas em frequência dos filtros </w:t>
      </w:r>
      <w:r w:rsidR="005433CD" w:rsidRPr="00FA2FCD">
        <w:rPr>
          <w:rFonts w:eastAsiaTheme="minorEastAsia" w:cs="Times New Roman"/>
          <w:i/>
          <w:szCs w:val="24"/>
        </w:rPr>
        <w:t xml:space="preserve">lowpass </w:t>
      </w:r>
      <w:r w:rsidR="005433CD" w:rsidRPr="00FA2FCD">
        <w:rPr>
          <w:rFonts w:eastAsiaTheme="minorEastAsia" w:cs="Times New Roman"/>
          <w:szCs w:val="24"/>
        </w:rPr>
        <w:t xml:space="preserve">e </w:t>
      </w:r>
      <w:r w:rsidR="005433CD" w:rsidRPr="00FA2FCD">
        <w:rPr>
          <w:rFonts w:eastAsiaTheme="minorEastAsia" w:cs="Times New Roman"/>
          <w:i/>
          <w:szCs w:val="24"/>
        </w:rPr>
        <w:t>highpass</w:t>
      </w:r>
      <w:r w:rsidR="005433CD" w:rsidRPr="00FA2FCD">
        <w:rPr>
          <w:rFonts w:eastAsiaTheme="minorEastAsia" w:cs="Times New Roman"/>
          <w:szCs w:val="24"/>
        </w:rPr>
        <w:t>, respectivamente</w:t>
      </w:r>
      <w:r>
        <w:rPr>
          <w:rFonts w:eastAsiaTheme="minorEastAsia" w:cs="Times New Roman"/>
          <w:szCs w:val="24"/>
        </w:rPr>
        <w:t>, o</w:t>
      </w:r>
      <w:r w:rsidR="005433CD" w:rsidRPr="00FA2FCD">
        <w:rPr>
          <w:rFonts w:eastAsiaTheme="minorEastAsia" w:cs="Times New Roman"/>
          <w:szCs w:val="24"/>
        </w:rPr>
        <w:t xml:space="preserve"> filtro que relaciona os coeficiente</w:t>
      </w:r>
      <w:r w:rsidR="008D52D5">
        <w:rPr>
          <w:rFonts w:eastAsiaTheme="minorEastAsia" w:cs="Times New Roman"/>
          <w:szCs w:val="24"/>
        </w:rPr>
        <w:t>s</w:t>
      </w:r>
      <w:r w:rsidR="005433CD" w:rsidRPr="00FA2FCD">
        <w:rPr>
          <w:rFonts w:eastAsiaTheme="minorEastAsia" w:cs="Times New Roman"/>
          <w:szCs w:val="24"/>
        </w:rPr>
        <w:t xml:space="preserve"> de dimensionamento </w:t>
      </w:r>
      <m:oMath>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α</m:t>
                </m:r>
              </m:e>
            </m:acc>
          </m:e>
          <m:sub>
            <m:r>
              <w:rPr>
                <w:rFonts w:ascii="Cambria Math" w:eastAsiaTheme="minorEastAsia" w:hAnsi="Cambria Math" w:cs="Times New Roman"/>
                <w:szCs w:val="24"/>
              </w:rPr>
              <m:t>0k</m:t>
            </m:r>
          </m:sub>
        </m:sSub>
      </m:oMath>
      <w:r w:rsidR="005433CD" w:rsidRPr="00FA2FCD">
        <w:rPr>
          <w:rFonts w:eastAsiaTheme="minorEastAsia" w:cs="Times New Roman"/>
          <w:szCs w:val="24"/>
        </w:rPr>
        <w:t xml:space="preserve"> ao sina</w:t>
      </w:r>
      <w:r>
        <w:rPr>
          <w:rFonts w:eastAsiaTheme="minorEastAsia" w:cs="Times New Roman"/>
          <w:szCs w:val="24"/>
        </w:rPr>
        <w:t>l</w:t>
      </w:r>
      <w:r w:rsidR="005433CD" w:rsidRPr="00FA2FCD">
        <w:rPr>
          <w:rFonts w:eastAsiaTheme="minorEastAsia" w:cs="Times New Roman"/>
          <w:szCs w:val="24"/>
        </w:rPr>
        <w:t xml:space="preserve"> origina</w:t>
      </w:r>
      <w:r>
        <w:rPr>
          <w:rFonts w:eastAsiaTheme="minorEastAsia" w:cs="Times New Roman"/>
          <w:szCs w:val="24"/>
        </w:rPr>
        <w:t>l</w:t>
      </w:r>
      <w:r w:rsidR="005433CD" w:rsidRPr="00FA2FCD">
        <w:rPr>
          <w:rFonts w:eastAsiaTheme="minorEastAsia" w:cs="Times New Roman"/>
          <w:szCs w:val="24"/>
        </w:rPr>
        <w:t xml:space="preserve"> </w:t>
      </w:r>
      <w:r>
        <w:rPr>
          <w:rFonts w:eastAsiaTheme="minorEastAsia" w:cs="Times New Roman"/>
          <w:szCs w:val="24"/>
        </w:rPr>
        <w:t>posui</w:t>
      </w:r>
      <w:r w:rsidR="005433CD" w:rsidRPr="00FA2FCD">
        <w:rPr>
          <w:rFonts w:eastAsiaTheme="minorEastAsia" w:cs="Times New Roman"/>
          <w:szCs w:val="24"/>
        </w:rPr>
        <w:t xml:space="preserve"> uma resposta em frequência dada por: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364"/>
        <w:gridCol w:w="701"/>
      </w:tblGrid>
      <w:tr w:rsidR="00023C5B" w14:paraId="61D5241B" w14:textId="77777777" w:rsidTr="00AC34E6">
        <w:tc>
          <w:tcPr>
            <w:tcW w:w="1129" w:type="dxa"/>
          </w:tcPr>
          <w:p w14:paraId="1F953F6E" w14:textId="77777777" w:rsidR="00023C5B" w:rsidRDefault="00023C5B" w:rsidP="00AC34E6">
            <w:pPr>
              <w:spacing w:line="240" w:lineRule="auto"/>
              <w:ind w:firstLine="0"/>
              <w:jc w:val="both"/>
              <w:rPr>
                <w:rFonts w:eastAsiaTheme="minorEastAsia" w:cs="Times New Roman"/>
                <w:szCs w:val="24"/>
              </w:rPr>
            </w:pPr>
          </w:p>
        </w:tc>
        <w:tc>
          <w:tcPr>
            <w:tcW w:w="8364" w:type="dxa"/>
          </w:tcPr>
          <w:p w14:paraId="3BAF2CF6" w14:textId="5819A14B" w:rsidR="00023C5B" w:rsidRDefault="008D52D5" w:rsidP="00AC34E6">
            <w:pPr>
              <w:spacing w:line="24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0</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w</m:t>
                    </m:r>
                  </m:e>
                </m:d>
                <m:r>
                  <w:rPr>
                    <w:rFonts w:ascii="Cambria Math" w:eastAsiaTheme="minorEastAsia" w:hAnsi="Cambria Math" w:cs="Times New Roman"/>
                    <w:szCs w:val="24"/>
                  </w:rPr>
                  <m:t xml:space="preserve">= </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l=0</m:t>
                    </m:r>
                  </m:sub>
                  <m:sup>
                    <m:r>
                      <w:rPr>
                        <w:rFonts w:ascii="Cambria Math" w:eastAsiaTheme="minorEastAsia" w:hAnsi="Cambria Math" w:cs="Times New Roman"/>
                        <w:szCs w:val="24"/>
                      </w:rPr>
                      <m:t>J-1</m:t>
                    </m:r>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m:t>
                        </m:r>
                      </m:e>
                      <m:sup>
                        <m:r>
                          <w:rPr>
                            <w:rFonts w:ascii="Cambria Math" w:eastAsiaTheme="minorEastAsia" w:hAnsi="Cambria Math" w:cs="Times New Roman"/>
                            <w:szCs w:val="24"/>
                          </w:rPr>
                          <m:t>l</m:t>
                        </m:r>
                      </m:sup>
                    </m:sSup>
                    <m:r>
                      <w:rPr>
                        <w:rFonts w:ascii="Cambria Math" w:eastAsiaTheme="minorEastAsia" w:hAnsi="Cambria Math" w:cs="Times New Roman"/>
                        <w:szCs w:val="24"/>
                      </w:rPr>
                      <m:t>w)</m:t>
                    </m:r>
                  </m:e>
                </m:nary>
              </m:oMath>
            </m:oMathPara>
          </w:p>
        </w:tc>
        <w:tc>
          <w:tcPr>
            <w:tcW w:w="701" w:type="dxa"/>
            <w:vAlign w:val="center"/>
          </w:tcPr>
          <w:p w14:paraId="4A5CB694" w14:textId="7B173CC2" w:rsidR="00023C5B" w:rsidRDefault="00023C5B" w:rsidP="00AC34E6">
            <w:pPr>
              <w:spacing w:line="240" w:lineRule="auto"/>
              <w:ind w:firstLine="0"/>
              <w:jc w:val="both"/>
              <w:rPr>
                <w:rFonts w:eastAsiaTheme="minorEastAsia" w:cs="Times New Roman"/>
                <w:szCs w:val="24"/>
              </w:rPr>
            </w:pPr>
            <w:r>
              <w:rPr>
                <w:rFonts w:eastAsiaTheme="minorEastAsia" w:cs="Times New Roman"/>
                <w:szCs w:val="24"/>
              </w:rPr>
              <w:t>(4)</w:t>
            </w:r>
          </w:p>
        </w:tc>
      </w:tr>
    </w:tbl>
    <w:p w14:paraId="44DCED1C" w14:textId="45C88BDC" w:rsidR="005433CD" w:rsidRPr="00FA2FCD" w:rsidRDefault="005433CD" w:rsidP="005433CD">
      <w:pPr>
        <w:spacing w:line="240" w:lineRule="auto"/>
        <w:jc w:val="both"/>
        <w:rPr>
          <w:rFonts w:eastAsiaTheme="minorEastAsia" w:cs="Times New Roman"/>
          <w:szCs w:val="24"/>
        </w:rPr>
      </w:pPr>
    </w:p>
    <w:p w14:paraId="6A8114E6" w14:textId="6B813D80" w:rsidR="005433CD" w:rsidRDefault="005433CD" w:rsidP="005433CD">
      <w:pPr>
        <w:spacing w:line="240" w:lineRule="auto"/>
        <w:jc w:val="both"/>
        <w:rPr>
          <w:rFonts w:eastAsiaTheme="minorEastAsia" w:cs="Times New Roman"/>
          <w:szCs w:val="24"/>
        </w:rPr>
      </w:pPr>
      <w:r w:rsidRPr="00FA2FCD">
        <w:rPr>
          <w:rFonts w:eastAsiaTheme="minorEastAsia" w:cs="Times New Roman"/>
          <w:szCs w:val="24"/>
        </w:rPr>
        <w:t xml:space="preserve">Logo, o filtro relacionado trata-se de um filtro </w:t>
      </w:r>
      <w:r w:rsidRPr="00FA2FCD">
        <w:rPr>
          <w:rFonts w:eastAsiaTheme="minorEastAsia" w:cs="Times New Roman"/>
          <w:i/>
          <w:szCs w:val="24"/>
        </w:rPr>
        <w:t>lowpass</w:t>
      </w:r>
      <w:r w:rsidRPr="00FA2FCD">
        <w:rPr>
          <w:rFonts w:eastAsiaTheme="minorEastAsia" w:cs="Times New Roman"/>
          <w:szCs w:val="24"/>
        </w:rPr>
        <w:t xml:space="preserve"> com uma aproximação </w:t>
      </w:r>
      <w:r w:rsidRPr="00FA2FCD">
        <w:rPr>
          <w:rFonts w:eastAsiaTheme="minorEastAsia" w:cs="Times New Roman"/>
          <w:i/>
          <w:szCs w:val="24"/>
        </w:rPr>
        <w:t xml:space="preserve">passband </w:t>
      </w:r>
      <m:oMath>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w</m:t>
            </m:r>
          </m:e>
        </m:d>
        <m:r>
          <w:rPr>
            <w:rFonts w:ascii="Cambria Math" w:eastAsiaTheme="minorEastAsia" w:hAnsi="Cambria Math" w:cs="Times New Roman"/>
            <w:szCs w:val="24"/>
          </w:rPr>
          <m:t>∈[0,</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π</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m:t>
                </m:r>
              </m:e>
              <m:sup>
                <m:r>
                  <w:rPr>
                    <w:rFonts w:ascii="Cambria Math" w:eastAsiaTheme="minorEastAsia" w:hAnsi="Cambria Math" w:cs="Times New Roman"/>
                    <w:szCs w:val="24"/>
                  </w:rPr>
                  <m:t>J</m:t>
                </m:r>
              </m:sup>
            </m:sSup>
          </m:den>
        </m:f>
        <m:r>
          <w:rPr>
            <w:rFonts w:ascii="Cambria Math" w:eastAsiaTheme="minorEastAsia" w:hAnsi="Cambria Math" w:cs="Times New Roman"/>
            <w:szCs w:val="24"/>
          </w:rPr>
          <m:t>]</m:t>
        </m:r>
      </m:oMath>
      <w:r w:rsidRPr="00FA2FCD">
        <w:rPr>
          <w:rFonts w:eastAsiaTheme="minorEastAsia" w:cs="Times New Roman"/>
          <w:szCs w:val="24"/>
        </w:rPr>
        <w:t xml:space="preserve">. </w:t>
      </w:r>
      <w:r w:rsidR="00023C5B">
        <w:rPr>
          <w:rFonts w:eastAsiaTheme="minorEastAsia" w:cs="Times New Roman"/>
          <w:szCs w:val="24"/>
        </w:rPr>
        <w:t>De forma análoga, o</w:t>
      </w:r>
      <w:r w:rsidRPr="00FA2FCD">
        <w:rPr>
          <w:rFonts w:eastAsiaTheme="minorEastAsia" w:cs="Times New Roman"/>
          <w:szCs w:val="24"/>
        </w:rPr>
        <w:t xml:space="preserve"> filtro que relaciona o coeficiente </w:t>
      </w:r>
      <w:r w:rsidRPr="00FA2FCD">
        <w:rPr>
          <w:rFonts w:eastAsiaTheme="minorEastAsia" w:cs="Times New Roman"/>
          <w:i/>
          <w:szCs w:val="24"/>
        </w:rPr>
        <w:t>wavelet</w:t>
      </w:r>
      <w:r w:rsidRPr="00FA2FCD">
        <w:rPr>
          <w:rFonts w:eastAsiaTheme="minorEastAsia" w:cs="Times New Roman"/>
          <w:szCs w:val="24"/>
        </w:rPr>
        <w:t xml:space="preserve"> </w:t>
      </w:r>
      <m:oMath>
        <m:sSub>
          <m:sSubPr>
            <m:ctrlPr>
              <w:rPr>
                <w:rFonts w:ascii="Cambria Math" w:eastAsiaTheme="minorEastAsia" w:hAnsi="Cambria Math" w:cs="Times New Roman"/>
                <w:i/>
                <w:szCs w:val="24"/>
              </w:rPr>
            </m:ctrlPr>
          </m:sSubPr>
          <m:e>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b</m:t>
                </m:r>
              </m:e>
            </m:acc>
          </m:e>
          <m:sub>
            <m:r>
              <w:rPr>
                <w:rFonts w:ascii="Cambria Math" w:eastAsiaTheme="minorEastAsia" w:hAnsi="Cambria Math" w:cs="Times New Roman"/>
                <w:szCs w:val="24"/>
              </w:rPr>
              <m:t>jk</m:t>
            </m:r>
          </m:sub>
        </m:sSub>
      </m:oMath>
      <w:r w:rsidRPr="00FA2FCD">
        <w:rPr>
          <w:rFonts w:eastAsiaTheme="minorEastAsia" w:cs="Times New Roman"/>
          <w:szCs w:val="24"/>
        </w:rPr>
        <w:t xml:space="preserve"> a nível </w:t>
      </w:r>
      <m:oMath>
        <m:r>
          <w:rPr>
            <w:rFonts w:ascii="Cambria Math" w:eastAsiaTheme="minorEastAsia" w:hAnsi="Cambria Math" w:cs="Times New Roman"/>
            <w:szCs w:val="24"/>
          </w:rPr>
          <m:t>j</m:t>
        </m:r>
      </m:oMath>
      <w:r w:rsidR="00023C5B">
        <w:rPr>
          <w:rFonts w:eastAsiaTheme="minorEastAsia" w:cs="Times New Roman"/>
          <w:szCs w:val="24"/>
        </w:rPr>
        <w:t xml:space="preserve">, </w:t>
      </w:r>
      <w:r w:rsidRPr="00FA2FCD">
        <w:rPr>
          <w:rFonts w:eastAsiaTheme="minorEastAsia" w:cs="Times New Roman"/>
          <w:szCs w:val="24"/>
        </w:rPr>
        <w:t xml:space="preserve">ao sinal original possui  a resposta em frequência dada por: </w:t>
      </w:r>
    </w:p>
    <w:p w14:paraId="6272E5B8" w14:textId="6CE3B25C" w:rsidR="00023C5B" w:rsidRDefault="00023C5B" w:rsidP="005433CD">
      <w:pPr>
        <w:spacing w:line="240" w:lineRule="auto"/>
        <w:jc w:val="both"/>
        <w:rPr>
          <w:rFonts w:eastAsiaTheme="minorEastAsia"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364"/>
        <w:gridCol w:w="701"/>
      </w:tblGrid>
      <w:tr w:rsidR="00023C5B" w14:paraId="72F2A07D" w14:textId="77777777" w:rsidTr="00AC34E6">
        <w:tc>
          <w:tcPr>
            <w:tcW w:w="1129" w:type="dxa"/>
          </w:tcPr>
          <w:p w14:paraId="5470B840" w14:textId="77777777" w:rsidR="00023C5B" w:rsidRDefault="00023C5B" w:rsidP="00AC34E6">
            <w:pPr>
              <w:spacing w:line="240" w:lineRule="auto"/>
              <w:ind w:firstLine="0"/>
              <w:jc w:val="both"/>
              <w:rPr>
                <w:rFonts w:eastAsiaTheme="minorEastAsia" w:cs="Times New Roman"/>
                <w:szCs w:val="24"/>
              </w:rPr>
            </w:pPr>
          </w:p>
        </w:tc>
        <w:tc>
          <w:tcPr>
            <w:tcW w:w="8364" w:type="dxa"/>
          </w:tcPr>
          <w:p w14:paraId="03593FCD" w14:textId="43DFB4D4" w:rsidR="00023C5B" w:rsidRDefault="008D52D5" w:rsidP="00AC34E6">
            <w:pPr>
              <w:spacing w:line="24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B</m:t>
                    </m:r>
                  </m:e>
                  <m:sub>
                    <m:r>
                      <w:rPr>
                        <w:rFonts w:ascii="Cambria Math" w:eastAsiaTheme="minorEastAsia" w:hAnsi="Cambria Math" w:cs="Times New Roman"/>
                        <w:szCs w:val="24"/>
                      </w:rPr>
                      <m:t>j</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w</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m:t>
                    </m:r>
                  </m:e>
                  <m:sup>
                    <m:r>
                      <w:rPr>
                        <w:rFonts w:ascii="Cambria Math" w:eastAsiaTheme="minorEastAsia" w:hAnsi="Cambria Math" w:cs="Times New Roman"/>
                        <w:szCs w:val="24"/>
                      </w:rPr>
                      <m:t>J-j-1</m:t>
                    </m:r>
                  </m:sup>
                </m:sSup>
                <m:r>
                  <w:rPr>
                    <w:rFonts w:ascii="Cambria Math" w:eastAsiaTheme="minorEastAsia" w:hAnsi="Cambria Math" w:cs="Times New Roman"/>
                    <w:szCs w:val="24"/>
                  </w:rPr>
                  <m:t>w)</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l=0</m:t>
                    </m:r>
                  </m:sub>
                  <m:sup>
                    <m:r>
                      <w:rPr>
                        <w:rFonts w:ascii="Cambria Math" w:eastAsiaTheme="minorEastAsia" w:hAnsi="Cambria Math" w:cs="Times New Roman"/>
                        <w:szCs w:val="24"/>
                      </w:rPr>
                      <m:t>J-j-2</m:t>
                    </m:r>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m:t>
                        </m:r>
                      </m:e>
                      <m:sup>
                        <m:r>
                          <w:rPr>
                            <w:rFonts w:ascii="Cambria Math" w:eastAsiaTheme="minorEastAsia" w:hAnsi="Cambria Math" w:cs="Times New Roman"/>
                            <w:szCs w:val="24"/>
                          </w:rPr>
                          <m:t>l</m:t>
                        </m:r>
                      </m:sup>
                    </m:sSup>
                    <m:r>
                      <w:rPr>
                        <w:rFonts w:ascii="Cambria Math" w:eastAsiaTheme="minorEastAsia" w:hAnsi="Cambria Math" w:cs="Times New Roman"/>
                        <w:szCs w:val="24"/>
                      </w:rPr>
                      <m:t>w)</m:t>
                    </m:r>
                  </m:e>
                </m:nary>
              </m:oMath>
            </m:oMathPara>
          </w:p>
        </w:tc>
        <w:tc>
          <w:tcPr>
            <w:tcW w:w="701" w:type="dxa"/>
            <w:vAlign w:val="center"/>
          </w:tcPr>
          <w:p w14:paraId="11F15911" w14:textId="6918E9B8" w:rsidR="00023C5B" w:rsidRDefault="00023C5B" w:rsidP="00AC34E6">
            <w:pPr>
              <w:spacing w:line="240" w:lineRule="auto"/>
              <w:ind w:firstLine="0"/>
              <w:jc w:val="both"/>
              <w:rPr>
                <w:rFonts w:eastAsiaTheme="minorEastAsia" w:cs="Times New Roman"/>
                <w:szCs w:val="24"/>
              </w:rPr>
            </w:pPr>
            <w:r>
              <w:rPr>
                <w:rFonts w:eastAsiaTheme="minorEastAsia" w:cs="Times New Roman"/>
                <w:szCs w:val="24"/>
              </w:rPr>
              <w:t>(5)</w:t>
            </w:r>
          </w:p>
        </w:tc>
      </w:tr>
    </w:tbl>
    <w:p w14:paraId="763E708D" w14:textId="77777777" w:rsidR="00023C5B" w:rsidRPr="00FA2FCD" w:rsidRDefault="00023C5B" w:rsidP="005433CD">
      <w:pPr>
        <w:spacing w:line="240" w:lineRule="auto"/>
        <w:jc w:val="both"/>
        <w:rPr>
          <w:rFonts w:eastAsiaTheme="minorEastAsia" w:cs="Times New Roman"/>
          <w:szCs w:val="24"/>
        </w:rPr>
      </w:pPr>
    </w:p>
    <w:p w14:paraId="750BB190" w14:textId="39D3C857" w:rsidR="005433CD" w:rsidRPr="00FA2FCD" w:rsidRDefault="005433CD" w:rsidP="005433CD">
      <w:pPr>
        <w:spacing w:line="240" w:lineRule="auto"/>
        <w:jc w:val="both"/>
        <w:rPr>
          <w:rFonts w:eastAsiaTheme="minorEastAsia" w:cs="Times New Roman"/>
          <w:szCs w:val="24"/>
        </w:rPr>
      </w:pPr>
    </w:p>
    <w:p w14:paraId="5CA7E4BC" w14:textId="77777777" w:rsidR="005433CD" w:rsidRPr="00FA2FCD" w:rsidRDefault="005433CD" w:rsidP="005433CD">
      <w:pPr>
        <w:spacing w:line="240" w:lineRule="auto"/>
        <w:jc w:val="both"/>
        <w:rPr>
          <w:rFonts w:eastAsiaTheme="minorEastAsia" w:cs="Times New Roman"/>
          <w:i/>
          <w:szCs w:val="24"/>
        </w:rPr>
      </w:pPr>
      <w:r w:rsidRPr="00FA2FCD">
        <w:rPr>
          <w:rFonts w:eastAsiaTheme="minorEastAsia" w:cs="Times New Roman"/>
          <w:szCs w:val="24"/>
        </w:rPr>
        <w:t xml:space="preserve">O qual caracteriza-se como um filtro </w:t>
      </w:r>
      <w:r w:rsidRPr="00FA2FCD">
        <w:rPr>
          <w:rFonts w:eastAsiaTheme="minorEastAsia" w:cs="Times New Roman"/>
          <w:i/>
          <w:szCs w:val="24"/>
        </w:rPr>
        <w:t>bandpass</w:t>
      </w:r>
      <w:r w:rsidRPr="00FA2FCD">
        <w:rPr>
          <w:rFonts w:eastAsiaTheme="minorEastAsia" w:cs="Times New Roman"/>
          <w:szCs w:val="24"/>
        </w:rPr>
        <w:t xml:space="preserve"> com uma aproximação </w:t>
      </w:r>
      <w:r w:rsidRPr="00FA2FCD">
        <w:rPr>
          <w:rFonts w:eastAsiaTheme="minorEastAsia" w:cs="Times New Roman"/>
          <w:i/>
          <w:szCs w:val="24"/>
        </w:rPr>
        <w:t xml:space="preserve">passband </w:t>
      </w:r>
      <m:oMath>
        <m:d>
          <m:dPr>
            <m:begChr m:val="|"/>
            <m:endChr m:val="|"/>
            <m:ctrlPr>
              <w:rPr>
                <w:rFonts w:ascii="Cambria Math" w:eastAsiaTheme="minorEastAsia" w:hAnsi="Cambria Math" w:cs="Times New Roman"/>
                <w:i/>
                <w:szCs w:val="24"/>
              </w:rPr>
            </m:ctrlPr>
          </m:dPr>
          <m:e>
            <m:r>
              <w:rPr>
                <w:rFonts w:ascii="Cambria Math" w:eastAsiaTheme="minorEastAsia" w:hAnsi="Cambria Math" w:cs="Times New Roman"/>
                <w:szCs w:val="24"/>
              </w:rPr>
              <m:t>w</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π</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m:t>
                </m:r>
              </m:e>
              <m:sup>
                <m:r>
                  <w:rPr>
                    <w:rFonts w:ascii="Cambria Math" w:eastAsiaTheme="minorEastAsia" w:hAnsi="Cambria Math" w:cs="Times New Roman"/>
                    <w:szCs w:val="24"/>
                  </w:rPr>
                  <m:t>J-j</m:t>
                </m:r>
              </m:sup>
            </m:sSup>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π</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m:t>
                </m:r>
              </m:e>
              <m:sup>
                <m:r>
                  <w:rPr>
                    <w:rFonts w:ascii="Cambria Math" w:eastAsiaTheme="minorEastAsia" w:hAnsi="Cambria Math" w:cs="Times New Roman"/>
                    <w:szCs w:val="24"/>
                  </w:rPr>
                  <m:t>J-j-1</m:t>
                </m:r>
              </m:sup>
            </m:sSup>
          </m:den>
        </m:f>
        <m:r>
          <w:rPr>
            <w:rFonts w:ascii="Cambria Math" w:eastAsiaTheme="minorEastAsia" w:hAnsi="Cambria Math" w:cs="Times New Roman"/>
            <w:szCs w:val="24"/>
          </w:rPr>
          <m:t>]</m:t>
        </m:r>
      </m:oMath>
      <w:r w:rsidRPr="00FA2FCD">
        <w:rPr>
          <w:rFonts w:eastAsiaTheme="minorEastAsia" w:cs="Times New Roman"/>
          <w:i/>
          <w:szCs w:val="24"/>
        </w:rPr>
        <w:t>.</w:t>
      </w:r>
    </w:p>
    <w:p w14:paraId="2FFEF137" w14:textId="083BF72D" w:rsidR="005433CD" w:rsidRPr="00FA2FCD" w:rsidRDefault="00023C5B" w:rsidP="005433CD">
      <w:pPr>
        <w:spacing w:line="240" w:lineRule="auto"/>
        <w:jc w:val="both"/>
        <w:rPr>
          <w:rFonts w:eastAsiaTheme="minorEastAsia" w:cs="Times New Roman"/>
          <w:i/>
          <w:szCs w:val="24"/>
        </w:rPr>
      </w:pPr>
      <w:r>
        <w:rPr>
          <w:rFonts w:eastAsiaTheme="minorEastAsia" w:cs="Times New Roman"/>
          <w:szCs w:val="24"/>
        </w:rPr>
        <w:t>Por fim, seja</w:t>
      </w:r>
      <w:r w:rsidR="005433CD" w:rsidRPr="00FA2FC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o</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w</m:t>
            </m:r>
          </m:e>
        </m:d>
      </m:oMath>
      <w:r w:rsidR="005433CD" w:rsidRPr="00FA2FCD">
        <w:rPr>
          <w:rFonts w:eastAsiaTheme="minorEastAsia" w:cs="Times New Roman"/>
          <w:szCs w:val="24"/>
        </w:rPr>
        <w:t xml:space="preserve"> a resposta em frequência do filtro síntese </w:t>
      </w:r>
      <w:r w:rsidR="005433CD" w:rsidRPr="00FA2FCD">
        <w:rPr>
          <w:rFonts w:eastAsiaTheme="minorEastAsia" w:cs="Times New Roman"/>
          <w:i/>
          <w:szCs w:val="24"/>
        </w:rPr>
        <w:t>lowpass</w:t>
      </w:r>
      <w:r>
        <w:rPr>
          <w:rFonts w:eastAsiaTheme="minorEastAsia" w:cs="Times New Roman"/>
          <w:szCs w:val="24"/>
        </w:rPr>
        <w:t xml:space="preserve">, </w:t>
      </w:r>
      <w:r w:rsidR="005433CD" w:rsidRPr="00FA2FCD">
        <w:rPr>
          <w:rFonts w:eastAsiaTheme="minorEastAsia" w:cs="Times New Roman"/>
          <w:szCs w:val="24"/>
        </w:rPr>
        <w:t xml:space="preserve">quando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o</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w</m:t>
            </m:r>
          </m:e>
        </m:d>
      </m:oMath>
      <w:r w:rsidR="005433CD" w:rsidRPr="00FA2FCD">
        <w:rPr>
          <w:rFonts w:eastAsiaTheme="minorEastAsia" w:cs="Times New Roman"/>
          <w:szCs w:val="24"/>
        </w:rPr>
        <w:t xml:space="preserve"> possui </w:t>
      </w:r>
      <m:oMath>
        <m:r>
          <w:rPr>
            <w:rFonts w:ascii="Cambria Math" w:eastAsiaTheme="minorEastAsia" w:hAnsi="Cambria Math" w:cs="Times New Roman"/>
            <w:szCs w:val="24"/>
          </w:rPr>
          <m:t>p</m:t>
        </m:r>
      </m:oMath>
      <w:r w:rsidR="005433CD" w:rsidRPr="00FA2FCD">
        <w:rPr>
          <w:rFonts w:eastAsiaTheme="minorEastAsia" w:cs="Times New Roman"/>
          <w:szCs w:val="24"/>
        </w:rPr>
        <w:t xml:space="preserve"> zeros em </w:t>
      </w:r>
      <m:oMath>
        <m:r>
          <w:rPr>
            <w:rFonts w:ascii="Cambria Math" w:eastAsiaTheme="minorEastAsia" w:hAnsi="Cambria Math" w:cs="Times New Roman"/>
            <w:szCs w:val="24"/>
          </w:rPr>
          <m:t>π</m:t>
        </m:r>
      </m:oMath>
      <w:r w:rsidR="005433CD" w:rsidRPr="00FA2FCD">
        <w:rPr>
          <w:rFonts w:eastAsiaTheme="minorEastAsia" w:cs="Times New Roman"/>
          <w:szCs w:val="24"/>
        </w:rPr>
        <w:t>, a</w:t>
      </w:r>
      <w:r w:rsidR="005433CD" w:rsidRPr="00FA2FCD">
        <w:rPr>
          <w:rFonts w:eastAsiaTheme="minorEastAsia" w:cs="Times New Roman"/>
          <w:i/>
          <w:szCs w:val="24"/>
        </w:rPr>
        <w:t xml:space="preserve"> wavelet </w:t>
      </w:r>
      <w:r w:rsidR="005433CD" w:rsidRPr="00FA2FCD">
        <w:rPr>
          <w:rFonts w:eastAsiaTheme="minorEastAsia" w:cs="Times New Roman"/>
          <w:szCs w:val="24"/>
        </w:rPr>
        <w:t xml:space="preserve">possui </w:t>
      </w:r>
      <w:r w:rsidR="005433CD" w:rsidRPr="00FA2FCD">
        <w:rPr>
          <w:rFonts w:eastAsiaTheme="minorEastAsia" w:cs="Times New Roman"/>
          <w:i/>
          <w:szCs w:val="24"/>
        </w:rPr>
        <w:t>p</w:t>
      </w:r>
      <w:r w:rsidR="005433CD" w:rsidRPr="00FA2FCD">
        <w:rPr>
          <w:rFonts w:eastAsiaTheme="minorEastAsia" w:cs="Times New Roman"/>
          <w:szCs w:val="24"/>
        </w:rPr>
        <w:t xml:space="preserve"> momentos nulos. Dessa forma, os polinômios de ordem </w:t>
      </w:r>
      <m:oMath>
        <m:r>
          <w:rPr>
            <w:rFonts w:ascii="Cambria Math" w:eastAsiaTheme="minorEastAsia" w:hAnsi="Cambria Math" w:cs="Times New Roman"/>
            <w:szCs w:val="24"/>
          </w:rPr>
          <m:t>p-1</m:t>
        </m:r>
      </m:oMath>
      <w:r w:rsidR="005433CD" w:rsidRPr="00FA2FCD">
        <w:rPr>
          <w:rFonts w:eastAsiaTheme="minorEastAsia" w:cs="Times New Roman"/>
          <w:szCs w:val="24"/>
        </w:rPr>
        <w:t xml:space="preserve"> podem ser expressos como uma combinação linear das funções dimensionamento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ϕ</m:t>
            </m:r>
          </m:e>
          <m:sub>
            <m:r>
              <w:rPr>
                <w:rFonts w:ascii="Cambria Math" w:eastAsiaTheme="minorEastAsia" w:hAnsi="Cambria Math" w:cs="Times New Roman"/>
                <w:szCs w:val="24"/>
              </w:rPr>
              <m:t>0k</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t</m:t>
            </m:r>
          </m:e>
        </m:d>
      </m:oMath>
      <w:r w:rsidR="005433CD" w:rsidRPr="00FA2FCD">
        <w:rPr>
          <w:rFonts w:eastAsiaTheme="minorEastAsia" w:cs="Times New Roman"/>
          <w:szCs w:val="24"/>
        </w:rPr>
        <w:t xml:space="preserve">. </w:t>
      </w:r>
    </w:p>
    <w:p w14:paraId="5BEA73E3" w14:textId="6DB512C2" w:rsidR="00C75A78" w:rsidRPr="00C75A78" w:rsidRDefault="00C75A78" w:rsidP="005433CD">
      <w:pPr>
        <w:spacing w:line="240" w:lineRule="auto"/>
        <w:jc w:val="both"/>
        <w:rPr>
          <w:rFonts w:eastAsiaTheme="minorEastAsia" w:cs="Times New Roman"/>
          <w:szCs w:val="24"/>
        </w:rPr>
      </w:pPr>
      <w:r>
        <w:rPr>
          <w:rFonts w:eastAsiaTheme="minorEastAsia" w:cs="Times New Roman"/>
          <w:szCs w:val="24"/>
        </w:rPr>
        <w:t xml:space="preserve">Seguindo a especificação utilizada por Yogo (2008) e Trompieri Neto (2018), a transformada </w:t>
      </w:r>
      <w:r>
        <w:rPr>
          <w:rFonts w:eastAsiaTheme="minorEastAsia" w:cs="Times New Roman"/>
          <w:i/>
          <w:iCs/>
          <w:szCs w:val="24"/>
        </w:rPr>
        <w:t>wavelet</w:t>
      </w:r>
      <w:r>
        <w:rPr>
          <w:rFonts w:eastAsiaTheme="minorEastAsia" w:cs="Times New Roman"/>
          <w:szCs w:val="24"/>
        </w:rPr>
        <w:t xml:space="preserve"> será realizada a partir da família </w:t>
      </w:r>
      <w:r>
        <w:rPr>
          <w:rFonts w:eastAsiaTheme="minorEastAsia" w:cs="Times New Roman"/>
          <w:i/>
          <w:iCs/>
          <w:szCs w:val="24"/>
        </w:rPr>
        <w:t>wavelet biorthogonal</w:t>
      </w:r>
      <w:r>
        <w:rPr>
          <w:rFonts w:eastAsiaTheme="minorEastAsia" w:cs="Times New Roman"/>
          <w:szCs w:val="24"/>
        </w:rPr>
        <w:t xml:space="preserve">, a qual relaxa a hipótese de uma única base ortogonal para o processo, permitindo a construção de um suporte compacto para </w:t>
      </w:r>
      <w:r>
        <w:rPr>
          <w:rFonts w:eastAsiaTheme="minorEastAsia" w:cs="Times New Roman"/>
          <w:i/>
          <w:iCs/>
          <w:szCs w:val="24"/>
        </w:rPr>
        <w:t>wavelets</w:t>
      </w:r>
      <w:r>
        <w:rPr>
          <w:rFonts w:eastAsiaTheme="minorEastAsia" w:cs="Times New Roman"/>
          <w:szCs w:val="24"/>
        </w:rPr>
        <w:t xml:space="preserve"> simétricas. </w:t>
      </w:r>
    </w:p>
    <w:p w14:paraId="75A22733" w14:textId="77777777" w:rsidR="00C75A78" w:rsidRDefault="00C75A78" w:rsidP="005433CD">
      <w:pPr>
        <w:spacing w:line="240" w:lineRule="auto"/>
        <w:jc w:val="both"/>
        <w:rPr>
          <w:rFonts w:eastAsiaTheme="minorEastAsia" w:cs="Times New Roman"/>
          <w:szCs w:val="24"/>
        </w:rPr>
      </w:pPr>
    </w:p>
    <w:p w14:paraId="6B54826A" w14:textId="0321EB60" w:rsidR="00023C5B" w:rsidRDefault="00C75A78" w:rsidP="00813107">
      <w:pPr>
        <w:spacing w:line="240" w:lineRule="auto"/>
        <w:jc w:val="both"/>
        <w:rPr>
          <w:rFonts w:cs="Times New Roman"/>
          <w:szCs w:val="24"/>
        </w:rPr>
      </w:pPr>
      <w:r>
        <w:rPr>
          <w:rFonts w:cs="Times New Roman"/>
          <w:szCs w:val="24"/>
        </w:rPr>
        <w:t xml:space="preserve">Tendo em vista a limitação temporal dos dados em análise, </w:t>
      </w:r>
      <w:r w:rsidR="006F2D03">
        <w:rPr>
          <w:rFonts w:cs="Times New Roman"/>
          <w:szCs w:val="24"/>
        </w:rPr>
        <w:t xml:space="preserve">85 observações trimestrais regulares, a transformada de </w:t>
      </w:r>
      <w:r w:rsidR="006F2D03">
        <w:rPr>
          <w:rFonts w:cs="Times New Roman"/>
          <w:i/>
          <w:iCs/>
          <w:szCs w:val="24"/>
        </w:rPr>
        <w:t>wavelet</w:t>
      </w:r>
      <w:r w:rsidR="006F2D03">
        <w:rPr>
          <w:rFonts w:cs="Times New Roman"/>
          <w:szCs w:val="24"/>
        </w:rPr>
        <w:t xml:space="preserve"> pode redimensionar a série </w:t>
      </w:r>
      <m:oMath>
        <m:r>
          <w:rPr>
            <w:rFonts w:ascii="Cambria Math" w:hAnsi="Cambria Math" w:cs="Times New Roman"/>
            <w:szCs w:val="24"/>
          </w:rPr>
          <m:t>x(t)</m:t>
        </m:r>
      </m:oMath>
      <w:r w:rsidR="006F2D03">
        <w:rPr>
          <w:rFonts w:eastAsiaTheme="minorEastAsia" w:cs="Times New Roman"/>
          <w:szCs w:val="24"/>
        </w:rPr>
        <w:t xml:space="preserve"> original em no máximo 5 escalas com distintas frequências: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364"/>
        <w:gridCol w:w="701"/>
      </w:tblGrid>
      <w:tr w:rsidR="00023C5B" w14:paraId="1DDAD4A1" w14:textId="77777777" w:rsidTr="00AC34E6">
        <w:tc>
          <w:tcPr>
            <w:tcW w:w="1129" w:type="dxa"/>
          </w:tcPr>
          <w:p w14:paraId="7CDB4618" w14:textId="77777777" w:rsidR="00023C5B" w:rsidRDefault="00023C5B" w:rsidP="00AC34E6">
            <w:pPr>
              <w:spacing w:line="240" w:lineRule="auto"/>
              <w:ind w:firstLine="0"/>
              <w:jc w:val="both"/>
              <w:rPr>
                <w:rFonts w:eastAsiaTheme="minorEastAsia" w:cs="Times New Roman"/>
                <w:szCs w:val="24"/>
              </w:rPr>
            </w:pPr>
          </w:p>
        </w:tc>
        <w:tc>
          <w:tcPr>
            <w:tcW w:w="8364" w:type="dxa"/>
          </w:tcPr>
          <w:p w14:paraId="031CF099" w14:textId="6C07EB90" w:rsidR="00023C5B" w:rsidRDefault="00023C5B" w:rsidP="00023C5B">
            <w:pPr>
              <w:spacing w:line="240" w:lineRule="auto"/>
              <w:jc w:val="both"/>
              <w:rPr>
                <w:rFonts w:eastAsiaTheme="minorEastAsia" w:cs="Times New Roman"/>
                <w:szCs w:val="24"/>
              </w:rPr>
            </w:pPr>
            <m:oMathPara>
              <m:oMath>
                <m:r>
                  <w:rPr>
                    <w:rFonts w:ascii="Cambria Math" w:hAnsi="Cambria Math" w:cs="Times New Roman"/>
                    <w:szCs w:val="24"/>
                  </w:rPr>
                  <m:t>x</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0</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j=0</m:t>
                    </m:r>
                  </m:sub>
                  <m:sup>
                    <m:r>
                      <w:rPr>
                        <w:rFonts w:ascii="Cambria Math" w:hAnsi="Cambria Math" w:cs="Times New Roman"/>
                        <w:szCs w:val="24"/>
                      </w:rPr>
                      <m:t>3</m:t>
                    </m:r>
                  </m:sup>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j</m:t>
                        </m:r>
                      </m:sub>
                    </m:sSub>
                    <m:d>
                      <m:dPr>
                        <m:ctrlPr>
                          <w:rPr>
                            <w:rFonts w:ascii="Cambria Math" w:hAnsi="Cambria Math" w:cs="Times New Roman"/>
                            <w:i/>
                            <w:szCs w:val="24"/>
                          </w:rPr>
                        </m:ctrlPr>
                      </m:dPr>
                      <m:e>
                        <m:r>
                          <w:rPr>
                            <w:rFonts w:ascii="Cambria Math" w:hAnsi="Cambria Math" w:cs="Times New Roman"/>
                            <w:szCs w:val="24"/>
                          </w:rPr>
                          <m:t>t</m:t>
                        </m:r>
                      </m:e>
                    </m:d>
                  </m:e>
                </m:nary>
              </m:oMath>
            </m:oMathPara>
          </w:p>
        </w:tc>
        <w:tc>
          <w:tcPr>
            <w:tcW w:w="701" w:type="dxa"/>
            <w:vAlign w:val="center"/>
          </w:tcPr>
          <w:p w14:paraId="0846C406" w14:textId="756375F0" w:rsidR="00023C5B" w:rsidRDefault="00023C5B" w:rsidP="00AC34E6">
            <w:pPr>
              <w:spacing w:line="240" w:lineRule="auto"/>
              <w:ind w:firstLine="0"/>
              <w:jc w:val="both"/>
              <w:rPr>
                <w:rFonts w:eastAsiaTheme="minorEastAsia" w:cs="Times New Roman"/>
                <w:szCs w:val="24"/>
              </w:rPr>
            </w:pPr>
            <w:r>
              <w:rPr>
                <w:rFonts w:eastAsiaTheme="minorEastAsia" w:cs="Times New Roman"/>
                <w:szCs w:val="24"/>
              </w:rPr>
              <w:t>(6)</w:t>
            </w:r>
          </w:p>
        </w:tc>
      </w:tr>
    </w:tbl>
    <w:p w14:paraId="63925CF5" w14:textId="77777777" w:rsidR="006F2D03" w:rsidRDefault="006F2D03" w:rsidP="005433CD">
      <w:pPr>
        <w:spacing w:line="240" w:lineRule="auto"/>
        <w:jc w:val="both"/>
        <w:rPr>
          <w:rFonts w:eastAsiaTheme="minorEastAsia" w:cs="Times New Roman"/>
          <w:szCs w:val="24"/>
        </w:rPr>
      </w:pPr>
    </w:p>
    <w:p w14:paraId="63717CA6" w14:textId="3DA29694" w:rsidR="006F2D03" w:rsidRDefault="005433CD" w:rsidP="005433CD">
      <w:pPr>
        <w:spacing w:line="240" w:lineRule="auto"/>
        <w:jc w:val="both"/>
        <w:rPr>
          <w:rFonts w:eastAsiaTheme="minorEastAsia" w:cs="Times New Roman"/>
          <w:szCs w:val="24"/>
        </w:rPr>
      </w:pPr>
      <w:r w:rsidRPr="00FA2FCD">
        <w:rPr>
          <w:rFonts w:eastAsiaTheme="minorEastAsia" w:cs="Times New Roman"/>
          <w:szCs w:val="24"/>
        </w:rPr>
        <w:t xml:space="preserve">Onde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0</m:t>
            </m:r>
          </m:sub>
        </m:sSub>
        <m:d>
          <m:dPr>
            <m:ctrlPr>
              <w:rPr>
                <w:rFonts w:ascii="Cambria Math" w:hAnsi="Cambria Math" w:cs="Times New Roman"/>
                <w:i/>
                <w:szCs w:val="24"/>
              </w:rPr>
            </m:ctrlPr>
          </m:dPr>
          <m:e>
            <m:r>
              <w:rPr>
                <w:rFonts w:ascii="Cambria Math" w:hAnsi="Cambria Math" w:cs="Times New Roman"/>
                <w:szCs w:val="24"/>
              </w:rPr>
              <m:t>t</m:t>
            </m:r>
          </m:e>
        </m:d>
      </m:oMath>
      <w:r w:rsidRPr="00FA2FCD">
        <w:rPr>
          <w:rFonts w:eastAsiaTheme="minorEastAsia" w:cs="Times New Roman"/>
          <w:szCs w:val="24"/>
        </w:rPr>
        <w:t xml:space="preserve"> denota </w:t>
      </w:r>
      <w:r w:rsidR="006F2D03">
        <w:rPr>
          <w:rFonts w:eastAsiaTheme="minorEastAsia" w:cs="Times New Roman"/>
          <w:szCs w:val="24"/>
        </w:rPr>
        <w:t>flutuações</w:t>
      </w:r>
      <w:r w:rsidRPr="00FA2FCD">
        <w:rPr>
          <w:rFonts w:eastAsiaTheme="minorEastAsia" w:cs="Times New Roman"/>
          <w:szCs w:val="24"/>
        </w:rPr>
        <w:t xml:space="preserve"> com periodicidade superior à 32 períodos (</w:t>
      </w:r>
      <w:r w:rsidR="006F2D03">
        <w:rPr>
          <w:rFonts w:eastAsiaTheme="minorEastAsia" w:cs="Times New Roman"/>
          <w:szCs w:val="24"/>
        </w:rPr>
        <w:t>flutuações estruturais, ou componente de longo prazo</w:t>
      </w:r>
      <w:r w:rsidRPr="00FA2FCD">
        <w:rPr>
          <w:rFonts w:eastAsiaTheme="minorEastAsia" w:cs="Times New Roman"/>
          <w:szCs w:val="24"/>
        </w:rPr>
        <w:t xml:space="preserve">) e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j</m:t>
            </m:r>
          </m:sub>
        </m:sSub>
        <m:d>
          <m:dPr>
            <m:ctrlPr>
              <w:rPr>
                <w:rFonts w:ascii="Cambria Math" w:hAnsi="Cambria Math" w:cs="Times New Roman"/>
                <w:i/>
                <w:szCs w:val="24"/>
              </w:rPr>
            </m:ctrlPr>
          </m:dPr>
          <m:e>
            <m:r>
              <w:rPr>
                <w:rFonts w:ascii="Cambria Math" w:hAnsi="Cambria Math" w:cs="Times New Roman"/>
                <w:szCs w:val="24"/>
              </w:rPr>
              <m:t>t</m:t>
            </m:r>
          </m:e>
        </m:d>
      </m:oMath>
      <w:r w:rsidRPr="00FA2FCD">
        <w:rPr>
          <w:rFonts w:eastAsiaTheme="minorEastAsia" w:cs="Times New Roman"/>
          <w:szCs w:val="24"/>
        </w:rPr>
        <w:t xml:space="preserve"> representa ciclos com periodicidade entre </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m:t>
            </m:r>
          </m:e>
          <m:sup>
            <m:r>
              <w:rPr>
                <w:rFonts w:ascii="Cambria Math" w:eastAsiaTheme="minorEastAsia" w:hAnsi="Cambria Math" w:cs="Times New Roman"/>
                <w:szCs w:val="24"/>
              </w:rPr>
              <m:t>4-j</m:t>
            </m:r>
          </m:sup>
        </m:sSup>
        <m:r>
          <w:rPr>
            <w:rFonts w:ascii="Cambria Math" w:eastAsiaTheme="minorEastAsia" w:hAnsi="Cambria Math" w:cs="Times New Roman"/>
            <w:szCs w:val="24"/>
          </w:rPr>
          <m:t xml:space="preserve"> </m:t>
        </m:r>
      </m:oMath>
      <w:r w:rsidRPr="00FA2FCD">
        <w:rPr>
          <w:rFonts w:eastAsiaTheme="minorEastAsia" w:cs="Times New Roman"/>
          <w:szCs w:val="24"/>
        </w:rPr>
        <w:t>e</w:t>
      </w:r>
      <m:oMath>
        <m:r>
          <w:rPr>
            <w:rFonts w:ascii="Cambria Math" w:eastAsiaTheme="minorEastAsia" w:hAnsi="Cambria Math" w:cs="Times New Roman"/>
            <w:szCs w:val="24"/>
          </w:rPr>
          <m:t xml:space="preserve">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2</m:t>
            </m:r>
          </m:e>
          <m:sup>
            <m:r>
              <w:rPr>
                <w:rFonts w:ascii="Cambria Math" w:eastAsiaTheme="minorEastAsia" w:hAnsi="Cambria Math" w:cs="Times New Roman"/>
                <w:szCs w:val="24"/>
              </w:rPr>
              <m:t>5-j</m:t>
            </m:r>
          </m:sup>
        </m:sSup>
      </m:oMath>
      <w:r w:rsidRPr="00FA2FCD">
        <w:rPr>
          <w:rFonts w:eastAsiaTheme="minorEastAsia" w:cs="Times New Roman"/>
          <w:szCs w:val="24"/>
        </w:rPr>
        <w:t xml:space="preserve"> períodos. Ou seja,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0</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d>
          <m:dPr>
            <m:ctrlPr>
              <w:rPr>
                <w:rFonts w:ascii="Cambria Math" w:hAnsi="Cambria Math" w:cs="Times New Roman"/>
                <w:i/>
                <w:szCs w:val="24"/>
              </w:rPr>
            </m:ctrlPr>
          </m:dPr>
          <m:e>
            <m:r>
              <w:rPr>
                <w:rFonts w:ascii="Cambria Math" w:hAnsi="Cambria Math" w:cs="Times New Roman"/>
                <w:szCs w:val="24"/>
              </w:rPr>
              <m:t>t</m:t>
            </m:r>
          </m:e>
        </m:d>
      </m:oMath>
      <w:r w:rsidRPr="00FA2FCD">
        <w:rPr>
          <w:rFonts w:eastAsiaTheme="minorEastAsia" w:cs="Times New Roman"/>
          <w:szCs w:val="24"/>
        </w:rPr>
        <w:t xml:space="preserve"> </w:t>
      </w:r>
      <w:r w:rsidR="006F2D03">
        <w:rPr>
          <w:rFonts w:eastAsiaTheme="minorEastAsia" w:cs="Times New Roman"/>
          <w:szCs w:val="24"/>
        </w:rPr>
        <w:t xml:space="preserve">e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3</m:t>
            </m:r>
          </m:sub>
        </m:sSub>
        <m:d>
          <m:dPr>
            <m:ctrlPr>
              <w:rPr>
                <w:rFonts w:ascii="Cambria Math" w:hAnsi="Cambria Math" w:cs="Times New Roman"/>
                <w:i/>
                <w:szCs w:val="24"/>
              </w:rPr>
            </m:ctrlPr>
          </m:dPr>
          <m:e>
            <m:r>
              <w:rPr>
                <w:rFonts w:ascii="Cambria Math" w:hAnsi="Cambria Math" w:cs="Times New Roman"/>
                <w:szCs w:val="24"/>
              </w:rPr>
              <m:t>t</m:t>
            </m:r>
          </m:e>
        </m:d>
      </m:oMath>
      <w:r w:rsidR="006F2D03" w:rsidRPr="00FA2FCD">
        <w:rPr>
          <w:rFonts w:eastAsiaTheme="minorEastAsia" w:cs="Times New Roman"/>
          <w:szCs w:val="24"/>
        </w:rPr>
        <w:t xml:space="preserve"> </w:t>
      </w:r>
      <w:r w:rsidRPr="00FA2FCD">
        <w:rPr>
          <w:rFonts w:eastAsiaTheme="minorEastAsia" w:cs="Times New Roman"/>
          <w:szCs w:val="24"/>
        </w:rPr>
        <w:t>são os componentes</w:t>
      </w:r>
      <w:r w:rsidR="006F2D03">
        <w:rPr>
          <w:rFonts w:eastAsiaTheme="minorEastAsia" w:cs="Times New Roman"/>
          <w:szCs w:val="24"/>
        </w:rPr>
        <w:t xml:space="preserve"> com bandas de frequência entre 16-32, 8-16, 4-8 e 2-4</w:t>
      </w:r>
      <w:r w:rsidRPr="00FA2FCD">
        <w:rPr>
          <w:rFonts w:eastAsiaTheme="minorEastAsia" w:cs="Times New Roman"/>
          <w:szCs w:val="24"/>
        </w:rPr>
        <w:t xml:space="preserve"> </w:t>
      </w:r>
      <w:r w:rsidR="006F2D03">
        <w:rPr>
          <w:rFonts w:eastAsiaTheme="minorEastAsia" w:cs="Times New Roman"/>
          <w:szCs w:val="24"/>
        </w:rPr>
        <w:t>trimestres, respectivamente. Uma vez que a modelagem clássica de ciclos econômicos indica que as flutuações devem oscilar no intervalo entre 4 à 32 trimestres, a construção da medida de ciclos de negócios do saldo de emprego formal das unidades sub-nacionais é realizada pela soma dos componentes</w:t>
      </w:r>
      <w:r w:rsidR="006F2D03" w:rsidRPr="00FA2FCD">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0</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1</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 xml:space="preserve"> 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2</m:t>
            </m:r>
          </m:sub>
        </m:sSub>
        <m:d>
          <m:dPr>
            <m:ctrlPr>
              <w:rPr>
                <w:rFonts w:ascii="Cambria Math" w:hAnsi="Cambria Math" w:cs="Times New Roman"/>
                <w:i/>
                <w:szCs w:val="24"/>
              </w:rPr>
            </m:ctrlPr>
          </m:dPr>
          <m:e>
            <m:r>
              <w:rPr>
                <w:rFonts w:ascii="Cambria Math" w:hAnsi="Cambria Math" w:cs="Times New Roman"/>
                <w:szCs w:val="24"/>
              </w:rPr>
              <m:t>t</m:t>
            </m:r>
          </m:e>
        </m:d>
      </m:oMath>
      <w:r w:rsidR="006F2D03">
        <w:rPr>
          <w:rFonts w:eastAsiaTheme="minorEastAsia" w:cs="Times New Roman"/>
          <w:szCs w:val="24"/>
        </w:rPr>
        <w:t>.</w:t>
      </w:r>
    </w:p>
    <w:p w14:paraId="64DBC9F2" w14:textId="77777777" w:rsidR="005433CD" w:rsidRDefault="005433CD" w:rsidP="006F2D03">
      <w:pPr>
        <w:spacing w:line="240" w:lineRule="auto"/>
        <w:ind w:firstLine="0"/>
        <w:rPr>
          <w:rFonts w:cs="Times New Roman"/>
          <w:szCs w:val="24"/>
        </w:rPr>
      </w:pPr>
    </w:p>
    <w:p w14:paraId="5EDF4299" w14:textId="77777777" w:rsidR="005433CD" w:rsidRDefault="005433CD" w:rsidP="005433CD">
      <w:pPr>
        <w:pStyle w:val="Heading2"/>
      </w:pPr>
      <w:bookmarkStart w:id="10" w:name="_Toc502166297"/>
      <w:r>
        <w:t>Datação dos ciclos de negócios – Harding e Pagan (2002)</w:t>
      </w:r>
      <w:bookmarkEnd w:id="10"/>
    </w:p>
    <w:p w14:paraId="438DADFF" w14:textId="0C4075A2" w:rsidR="00C43862" w:rsidRPr="00C43862" w:rsidRDefault="00C43862" w:rsidP="005433CD">
      <w:pPr>
        <w:spacing w:line="240" w:lineRule="auto"/>
        <w:jc w:val="both"/>
        <w:rPr>
          <w:rFonts w:cs="Times New Roman"/>
          <w:szCs w:val="24"/>
        </w:rPr>
      </w:pPr>
      <w:r>
        <w:rPr>
          <w:rFonts w:cs="Times New Roman"/>
          <w:szCs w:val="24"/>
        </w:rPr>
        <w:t>O algoritmo de datação dos ciclos econômicos desenvolvido por Bry e Boschan (1971) e extendido por Harding e Pagan (2002) impõe um conjunto de restrições (</w:t>
      </w:r>
      <w:r>
        <w:rPr>
          <w:rFonts w:cs="Times New Roman"/>
          <w:i/>
          <w:iCs/>
          <w:szCs w:val="24"/>
        </w:rPr>
        <w:t>censoring rules</w:t>
      </w:r>
      <w:r>
        <w:rPr>
          <w:rFonts w:cs="Times New Roman"/>
          <w:szCs w:val="24"/>
        </w:rPr>
        <w:t xml:space="preserve">) a serem satisfeitas para a determinação de pares adjacentes de máximos e mínimos locais que representam </w:t>
      </w:r>
      <w:r>
        <w:rPr>
          <w:rFonts w:cs="Times New Roman"/>
          <w:i/>
          <w:iCs/>
          <w:szCs w:val="24"/>
        </w:rPr>
        <w:t>turning points</w:t>
      </w:r>
      <w:r>
        <w:rPr>
          <w:rFonts w:cs="Times New Roman"/>
          <w:szCs w:val="24"/>
        </w:rPr>
        <w:t xml:space="preserve"> dos ciclos econômicos. Com base na teoria clássica de ciclos de negócios, define-se que a sequência de pares adjacentes devem possuir uma duração completa de ao menos cinco trimestres (pico a pico, vale a vale) e que as fases de transição do pico (vale) ao vale (pico) possuam ao menos 2 trimestres. </w:t>
      </w:r>
    </w:p>
    <w:p w14:paraId="2D20E117" w14:textId="182597DC" w:rsidR="005433CD" w:rsidRDefault="002700E5" w:rsidP="002700E5">
      <w:pPr>
        <w:spacing w:line="240" w:lineRule="auto"/>
        <w:jc w:val="both"/>
        <w:rPr>
          <w:rFonts w:eastAsiaTheme="minorEastAsia" w:cs="Times New Roman"/>
          <w:szCs w:val="24"/>
        </w:rPr>
      </w:pPr>
      <w:r>
        <w:rPr>
          <w:rFonts w:cs="Times New Roman"/>
          <w:szCs w:val="24"/>
        </w:rPr>
        <w:t>Assim</w:t>
      </w:r>
      <w:r w:rsidR="005433CD">
        <w:rPr>
          <w:rFonts w:cs="Times New Roman"/>
          <w:szCs w:val="24"/>
        </w:rPr>
        <w:t xml:space="preserve">, </w:t>
      </w:r>
      <w:r>
        <w:rPr>
          <w:rFonts w:cs="Times New Roman"/>
          <w:szCs w:val="24"/>
        </w:rPr>
        <w:t xml:space="preserve">o algoritmo datará um pico no período </w:t>
      </w:r>
      <m:oMath>
        <m:r>
          <w:rPr>
            <w:rFonts w:ascii="Cambria Math" w:hAnsi="Cambria Math" w:cs="Times New Roman"/>
            <w:szCs w:val="24"/>
          </w:rPr>
          <m:t>t</m:t>
        </m:r>
      </m:oMath>
      <w:r>
        <w:rPr>
          <w:rFonts w:eastAsiaTheme="minorEastAsia" w:cs="Times New Roman"/>
          <w:szCs w:val="24"/>
        </w:rPr>
        <w:t xml:space="preserve"> se:</w:t>
      </w:r>
    </w:p>
    <w:p w14:paraId="5A13D487" w14:textId="77777777" w:rsidR="00023C5B" w:rsidRDefault="00023C5B" w:rsidP="005433CD">
      <w:pPr>
        <w:spacing w:line="240" w:lineRule="auto"/>
        <w:jc w:val="both"/>
        <w:rPr>
          <w:rFonts w:eastAsiaTheme="minorEastAsia"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364"/>
        <w:gridCol w:w="701"/>
      </w:tblGrid>
      <w:tr w:rsidR="00023C5B" w14:paraId="1DA22050" w14:textId="77777777" w:rsidTr="00AC34E6">
        <w:tc>
          <w:tcPr>
            <w:tcW w:w="1129" w:type="dxa"/>
          </w:tcPr>
          <w:p w14:paraId="32949014" w14:textId="77777777" w:rsidR="00023C5B" w:rsidRDefault="00023C5B" w:rsidP="00AC34E6">
            <w:pPr>
              <w:spacing w:line="240" w:lineRule="auto"/>
              <w:ind w:firstLine="0"/>
              <w:jc w:val="both"/>
              <w:rPr>
                <w:rFonts w:eastAsiaTheme="minorEastAsia" w:cs="Times New Roman"/>
                <w:szCs w:val="24"/>
              </w:rPr>
            </w:pPr>
          </w:p>
        </w:tc>
        <w:tc>
          <w:tcPr>
            <w:tcW w:w="8364" w:type="dxa"/>
          </w:tcPr>
          <w:p w14:paraId="08682E6E" w14:textId="60412C58" w:rsidR="00023C5B" w:rsidRPr="00023C5B" w:rsidRDefault="00023C5B" w:rsidP="00023C5B">
            <w:pPr>
              <w:spacing w:line="240" w:lineRule="auto"/>
              <w:jc w:val="both"/>
              <w:rPr>
                <w:rFonts w:cs="Times New Roman"/>
                <w:szCs w:val="24"/>
              </w:rPr>
            </w:pPr>
            <m:oMathPara>
              <m:oMath>
                <m:r>
                  <w:rPr>
                    <w:rFonts w:ascii="Cambria Math"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t</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t-2</m:t>
                    </m:r>
                  </m:sub>
                </m:sSub>
                <m:r>
                  <w:rPr>
                    <w:rFonts w:ascii="Cambria Math" w:eastAsiaTheme="minorEastAsia" w:hAnsi="Cambria Math" w:cs="Times New Roman"/>
                    <w:szCs w:val="24"/>
                  </w:rPr>
                  <m:t xml:space="preserve">&gt;0, </m:t>
                </m:r>
                <m:d>
                  <m:dPr>
                    <m:endChr m:val="]"/>
                    <m:ctrlPr>
                      <w:rPr>
                        <w:rFonts w:ascii="Cambria Math"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t</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t-1</m:t>
                        </m:r>
                      </m:sub>
                    </m:sSub>
                    <m:r>
                      <w:rPr>
                        <w:rFonts w:ascii="Cambria Math" w:eastAsiaTheme="minorEastAsia" w:hAnsi="Cambria Math" w:cs="Times New Roman"/>
                        <w:szCs w:val="24"/>
                      </w:rPr>
                      <m:t>)&gt;0</m:t>
                    </m:r>
                    <m:ctrlPr>
                      <w:rPr>
                        <w:rFonts w:ascii="Cambria Math" w:eastAsiaTheme="minorEastAsia" w:hAnsi="Cambria Math" w:cs="Times New Roman"/>
                        <w:i/>
                        <w:szCs w:val="24"/>
                      </w:rPr>
                    </m:ctrlPr>
                  </m:e>
                </m:d>
                <m:r>
                  <w:rPr>
                    <w:rFonts w:ascii="Cambria Math" w:eastAsiaTheme="minorEastAsia" w:hAnsi="Cambria Math" w:cs="Times New Roman"/>
                    <w:szCs w:val="24"/>
                  </w:rPr>
                  <m:t xml:space="preserve"> e </m:t>
                </m:r>
                <m:d>
                  <m:dPr>
                    <m:begChr m:val="["/>
                    <m:endChr m:val="}"/>
                    <m:ctrlPr>
                      <w:rPr>
                        <w:rFonts w:ascii="Cambria Math" w:hAnsi="Cambria Math" w:cs="Times New Roman"/>
                        <w:i/>
                        <w:szCs w:val="24"/>
                      </w:rPr>
                    </m:ctrlPr>
                  </m:dPr>
                  <m:e>
                    <m:d>
                      <m:dPr>
                        <m:ctrlPr>
                          <w:rPr>
                            <w:rFonts w:ascii="Cambria Math"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t+2</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t</m:t>
                            </m:r>
                          </m:sub>
                        </m:sSub>
                        <m:ctrlPr>
                          <w:rPr>
                            <w:rFonts w:ascii="Cambria Math" w:eastAsiaTheme="minorEastAsia" w:hAnsi="Cambria Math" w:cs="Times New Roman"/>
                            <w:i/>
                            <w:szCs w:val="24"/>
                          </w:rPr>
                        </m:ctrlPr>
                      </m:e>
                    </m:d>
                    <m:r>
                      <w:rPr>
                        <w:rFonts w:ascii="Cambria Math" w:eastAsiaTheme="minorEastAsia" w:hAnsi="Cambria Math" w:cs="Times New Roman"/>
                        <w:szCs w:val="24"/>
                      </w:rPr>
                      <m:t xml:space="preserve">&lt;0, </m:t>
                    </m:r>
                    <m:d>
                      <m:dPr>
                        <m:endChr m:val="]"/>
                        <m:ctrlPr>
                          <w:rPr>
                            <w:rFonts w:ascii="Cambria Math"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t+1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t</m:t>
                            </m:r>
                          </m:sub>
                        </m:sSub>
                        <m:r>
                          <w:rPr>
                            <w:rFonts w:ascii="Cambria Math" w:eastAsiaTheme="minorEastAsia" w:hAnsi="Cambria Math" w:cs="Times New Roman"/>
                            <w:szCs w:val="24"/>
                          </w:rPr>
                          <m:t>)&lt;0</m:t>
                        </m:r>
                        <m:ctrlPr>
                          <w:rPr>
                            <w:rFonts w:ascii="Cambria Math" w:eastAsiaTheme="minorEastAsia" w:hAnsi="Cambria Math" w:cs="Times New Roman"/>
                            <w:i/>
                            <w:szCs w:val="24"/>
                          </w:rPr>
                        </m:ctrlPr>
                      </m:e>
                    </m:d>
                    <m:ctrlPr>
                      <w:rPr>
                        <w:rFonts w:ascii="Cambria Math" w:eastAsiaTheme="minorEastAsia" w:hAnsi="Cambria Math" w:cs="Times New Roman"/>
                        <w:i/>
                        <w:szCs w:val="24"/>
                      </w:rPr>
                    </m:ctrlPr>
                  </m:e>
                </m:d>
              </m:oMath>
            </m:oMathPara>
          </w:p>
        </w:tc>
        <w:tc>
          <w:tcPr>
            <w:tcW w:w="701" w:type="dxa"/>
            <w:vAlign w:val="center"/>
          </w:tcPr>
          <w:p w14:paraId="1FC9D94D" w14:textId="4A101B7F" w:rsidR="00023C5B" w:rsidRDefault="00023C5B" w:rsidP="00AC34E6">
            <w:pPr>
              <w:spacing w:line="240" w:lineRule="auto"/>
              <w:ind w:firstLine="0"/>
              <w:jc w:val="both"/>
              <w:rPr>
                <w:rFonts w:eastAsiaTheme="minorEastAsia" w:cs="Times New Roman"/>
                <w:szCs w:val="24"/>
              </w:rPr>
            </w:pPr>
            <w:r>
              <w:rPr>
                <w:rFonts w:eastAsiaTheme="minorEastAsia" w:cs="Times New Roman"/>
                <w:szCs w:val="24"/>
              </w:rPr>
              <w:t>(7)</w:t>
            </w:r>
          </w:p>
        </w:tc>
      </w:tr>
    </w:tbl>
    <w:p w14:paraId="594E7969" w14:textId="1BC822EC" w:rsidR="00023C5B" w:rsidRDefault="00023C5B" w:rsidP="002700E5">
      <w:pPr>
        <w:tabs>
          <w:tab w:val="left" w:pos="3049"/>
        </w:tabs>
        <w:spacing w:line="240" w:lineRule="auto"/>
        <w:jc w:val="both"/>
        <w:rPr>
          <w:rFonts w:eastAsiaTheme="minorEastAsia" w:cs="Times New Roman"/>
          <w:szCs w:val="24"/>
        </w:rPr>
      </w:pPr>
    </w:p>
    <w:p w14:paraId="6B923EBC" w14:textId="67F0879B" w:rsidR="005433CD" w:rsidRDefault="005433CD" w:rsidP="005433CD">
      <w:pPr>
        <w:spacing w:line="240" w:lineRule="auto"/>
        <w:jc w:val="both"/>
        <w:rPr>
          <w:rFonts w:cs="Times New Roman"/>
          <w:szCs w:val="24"/>
        </w:rPr>
      </w:pPr>
      <w:r>
        <w:rPr>
          <w:rFonts w:cs="Times New Roman"/>
          <w:szCs w:val="24"/>
        </w:rPr>
        <w:t xml:space="preserve">E </w:t>
      </w:r>
      <w:r w:rsidR="002700E5">
        <w:rPr>
          <w:rFonts w:cs="Times New Roman"/>
          <w:szCs w:val="24"/>
        </w:rPr>
        <w:t xml:space="preserve">datará um </w:t>
      </w:r>
      <w:r>
        <w:rPr>
          <w:rFonts w:cs="Times New Roman"/>
          <w:szCs w:val="24"/>
        </w:rPr>
        <w:t>vale se:</w:t>
      </w:r>
    </w:p>
    <w:p w14:paraId="5F009ED8" w14:textId="77777777" w:rsidR="00023C5B" w:rsidRDefault="00023C5B" w:rsidP="005433CD">
      <w:pPr>
        <w:spacing w:line="240" w:lineRule="auto"/>
        <w:jc w:val="both"/>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364"/>
        <w:gridCol w:w="701"/>
      </w:tblGrid>
      <w:tr w:rsidR="00023C5B" w14:paraId="4F0B6991" w14:textId="77777777" w:rsidTr="00AC34E6">
        <w:tc>
          <w:tcPr>
            <w:tcW w:w="1129" w:type="dxa"/>
          </w:tcPr>
          <w:p w14:paraId="47BF9DC3" w14:textId="77777777" w:rsidR="00023C5B" w:rsidRDefault="00023C5B" w:rsidP="00AC34E6">
            <w:pPr>
              <w:spacing w:line="240" w:lineRule="auto"/>
              <w:ind w:firstLine="0"/>
              <w:jc w:val="both"/>
              <w:rPr>
                <w:rFonts w:eastAsiaTheme="minorEastAsia" w:cs="Times New Roman"/>
                <w:szCs w:val="24"/>
              </w:rPr>
            </w:pPr>
          </w:p>
        </w:tc>
        <w:tc>
          <w:tcPr>
            <w:tcW w:w="8364" w:type="dxa"/>
          </w:tcPr>
          <w:p w14:paraId="1D141576" w14:textId="68B0E5AC" w:rsidR="00023C5B" w:rsidRPr="00023C5B" w:rsidRDefault="00023C5B" w:rsidP="00023C5B">
            <w:pPr>
              <w:spacing w:line="240" w:lineRule="auto"/>
              <w:jc w:val="both"/>
              <w:rPr>
                <w:rFonts w:cs="Times New Roman"/>
                <w:szCs w:val="24"/>
              </w:rPr>
            </w:pPr>
            <m:oMathPara>
              <m:oMath>
                <m:r>
                  <w:rPr>
                    <w:rFonts w:ascii="Cambria Math"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t</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t-2</m:t>
                    </m:r>
                  </m:sub>
                </m:sSub>
                <m:r>
                  <w:rPr>
                    <w:rFonts w:ascii="Cambria Math" w:eastAsiaTheme="minorEastAsia" w:hAnsi="Cambria Math" w:cs="Times New Roman"/>
                    <w:szCs w:val="24"/>
                  </w:rPr>
                  <m:t xml:space="preserve">&lt;0, </m:t>
                </m:r>
                <m:d>
                  <m:dPr>
                    <m:endChr m:val="]"/>
                    <m:ctrlPr>
                      <w:rPr>
                        <w:rFonts w:ascii="Cambria Math"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t</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t-1</m:t>
                        </m:r>
                      </m:sub>
                    </m:sSub>
                    <m:r>
                      <w:rPr>
                        <w:rFonts w:ascii="Cambria Math" w:eastAsiaTheme="minorEastAsia" w:hAnsi="Cambria Math" w:cs="Times New Roman"/>
                        <w:szCs w:val="24"/>
                      </w:rPr>
                      <m:t>)&lt;0</m:t>
                    </m:r>
                    <m:ctrlPr>
                      <w:rPr>
                        <w:rFonts w:ascii="Cambria Math" w:eastAsiaTheme="minorEastAsia" w:hAnsi="Cambria Math" w:cs="Times New Roman"/>
                        <w:i/>
                        <w:szCs w:val="24"/>
                      </w:rPr>
                    </m:ctrlPr>
                  </m:e>
                </m:d>
                <m:r>
                  <w:rPr>
                    <w:rFonts w:ascii="Cambria Math" w:eastAsiaTheme="minorEastAsia" w:hAnsi="Cambria Math" w:cs="Times New Roman"/>
                    <w:szCs w:val="24"/>
                  </w:rPr>
                  <m:t xml:space="preserve"> e </m:t>
                </m:r>
                <m:d>
                  <m:dPr>
                    <m:begChr m:val="["/>
                    <m:endChr m:val="}"/>
                    <m:ctrlPr>
                      <w:rPr>
                        <w:rFonts w:ascii="Cambria Math" w:hAnsi="Cambria Math" w:cs="Times New Roman"/>
                        <w:i/>
                        <w:szCs w:val="24"/>
                      </w:rPr>
                    </m:ctrlPr>
                  </m:dPr>
                  <m:e>
                    <m:d>
                      <m:dPr>
                        <m:ctrlPr>
                          <w:rPr>
                            <w:rFonts w:ascii="Cambria Math"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t+2</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t</m:t>
                            </m:r>
                          </m:sub>
                        </m:sSub>
                        <m:ctrlPr>
                          <w:rPr>
                            <w:rFonts w:ascii="Cambria Math" w:eastAsiaTheme="minorEastAsia" w:hAnsi="Cambria Math" w:cs="Times New Roman"/>
                            <w:i/>
                            <w:szCs w:val="24"/>
                          </w:rPr>
                        </m:ctrlPr>
                      </m:e>
                    </m:d>
                    <m:r>
                      <w:rPr>
                        <w:rFonts w:ascii="Cambria Math" w:eastAsiaTheme="minorEastAsia" w:hAnsi="Cambria Math" w:cs="Times New Roman"/>
                        <w:szCs w:val="24"/>
                      </w:rPr>
                      <m:t xml:space="preserve">&gt;0, </m:t>
                    </m:r>
                    <m:d>
                      <m:dPr>
                        <m:endChr m:val="]"/>
                        <m:ctrlPr>
                          <w:rPr>
                            <w:rFonts w:ascii="Cambria Math"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t+1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t</m:t>
                            </m:r>
                          </m:sub>
                        </m:sSub>
                        <m:r>
                          <w:rPr>
                            <w:rFonts w:ascii="Cambria Math" w:eastAsiaTheme="minorEastAsia" w:hAnsi="Cambria Math" w:cs="Times New Roman"/>
                            <w:szCs w:val="24"/>
                          </w:rPr>
                          <m:t>)&gt;0</m:t>
                        </m:r>
                        <m:ctrlPr>
                          <w:rPr>
                            <w:rFonts w:ascii="Cambria Math" w:eastAsiaTheme="minorEastAsia" w:hAnsi="Cambria Math" w:cs="Times New Roman"/>
                            <w:i/>
                            <w:szCs w:val="24"/>
                          </w:rPr>
                        </m:ctrlPr>
                      </m:e>
                    </m:d>
                    <m:ctrlPr>
                      <w:rPr>
                        <w:rFonts w:ascii="Cambria Math" w:eastAsiaTheme="minorEastAsia" w:hAnsi="Cambria Math" w:cs="Times New Roman"/>
                        <w:i/>
                        <w:szCs w:val="24"/>
                      </w:rPr>
                    </m:ctrlPr>
                  </m:e>
                </m:d>
              </m:oMath>
            </m:oMathPara>
          </w:p>
        </w:tc>
        <w:tc>
          <w:tcPr>
            <w:tcW w:w="701" w:type="dxa"/>
            <w:vAlign w:val="center"/>
          </w:tcPr>
          <w:p w14:paraId="26881E9E" w14:textId="555482B4" w:rsidR="00023C5B" w:rsidRDefault="00023C5B" w:rsidP="00AC34E6">
            <w:pPr>
              <w:spacing w:line="240" w:lineRule="auto"/>
              <w:ind w:firstLine="0"/>
              <w:jc w:val="both"/>
              <w:rPr>
                <w:rFonts w:eastAsiaTheme="minorEastAsia" w:cs="Times New Roman"/>
                <w:szCs w:val="24"/>
              </w:rPr>
            </w:pPr>
            <w:r>
              <w:rPr>
                <w:rFonts w:eastAsiaTheme="minorEastAsia" w:cs="Times New Roman"/>
                <w:szCs w:val="24"/>
              </w:rPr>
              <w:t>(</w:t>
            </w:r>
            <w:r w:rsidR="0090555A">
              <w:rPr>
                <w:rFonts w:eastAsiaTheme="minorEastAsia" w:cs="Times New Roman"/>
                <w:szCs w:val="24"/>
              </w:rPr>
              <w:t>8</w:t>
            </w:r>
            <w:r>
              <w:rPr>
                <w:rFonts w:eastAsiaTheme="minorEastAsia" w:cs="Times New Roman"/>
                <w:szCs w:val="24"/>
              </w:rPr>
              <w:t>)</w:t>
            </w:r>
          </w:p>
        </w:tc>
      </w:tr>
    </w:tbl>
    <w:p w14:paraId="62E6B521" w14:textId="77777777" w:rsidR="00023C5B" w:rsidRDefault="00023C5B" w:rsidP="005433CD">
      <w:pPr>
        <w:spacing w:line="240" w:lineRule="auto"/>
        <w:jc w:val="both"/>
        <w:rPr>
          <w:rFonts w:cs="Times New Roman"/>
          <w:szCs w:val="24"/>
        </w:rPr>
      </w:pPr>
    </w:p>
    <w:p w14:paraId="3E485CD6" w14:textId="709249DF" w:rsidR="002700E5" w:rsidRPr="005F015B" w:rsidRDefault="002700E5" w:rsidP="005F015B">
      <w:pPr>
        <w:spacing w:line="240" w:lineRule="auto"/>
        <w:jc w:val="both"/>
        <w:rPr>
          <w:rFonts w:cs="Times New Roman"/>
          <w:szCs w:val="24"/>
        </w:rPr>
      </w:pPr>
      <w:r>
        <w:rPr>
          <w:rFonts w:cs="Times New Roman"/>
          <w:szCs w:val="24"/>
        </w:rPr>
        <w:t>Com base nas datações, Harding e Pagan (</w:t>
      </w:r>
      <w:r w:rsidR="00C75A78">
        <w:rPr>
          <w:rFonts w:cs="Times New Roman"/>
          <w:szCs w:val="24"/>
        </w:rPr>
        <w:t>2003</w:t>
      </w:r>
      <w:r>
        <w:rPr>
          <w:rFonts w:cs="Times New Roman"/>
          <w:szCs w:val="24"/>
        </w:rPr>
        <w:t xml:space="preserve">) desenvolveram o índice de concordância para avaliar a sincronização entre os ciclos econômicos de regiões/setores. Em termos formais, a concordância entre a série </w:t>
      </w:r>
      <m:oMath>
        <m:r>
          <w:rPr>
            <w:rFonts w:ascii="Cambria Math" w:hAnsi="Cambria Math" w:cs="Times New Roman"/>
            <w:szCs w:val="24"/>
          </w:rPr>
          <m:t>i</m:t>
        </m:r>
      </m:oMath>
      <w:r>
        <w:rPr>
          <w:rFonts w:eastAsiaTheme="minorEastAsia" w:cs="Times New Roman"/>
          <w:szCs w:val="24"/>
        </w:rPr>
        <w:t xml:space="preserve"> e a série </w:t>
      </w:r>
      <m:oMath>
        <m:r>
          <w:rPr>
            <w:rFonts w:ascii="Cambria Math" w:eastAsiaTheme="minorEastAsia" w:hAnsi="Cambria Math" w:cs="Times New Roman"/>
            <w:szCs w:val="24"/>
          </w:rPr>
          <m:t>j</m:t>
        </m:r>
      </m:oMath>
      <w:r>
        <w:rPr>
          <w:rFonts w:eastAsiaTheme="minorEastAsia" w:cs="Times New Roman"/>
          <w:szCs w:val="24"/>
        </w:rPr>
        <w:t xml:space="preserve"> é dada por:</w:t>
      </w:r>
    </w:p>
    <w:p w14:paraId="0415A634" w14:textId="77777777" w:rsidR="002700E5" w:rsidRDefault="002700E5" w:rsidP="005433CD">
      <w:pPr>
        <w:spacing w:line="240" w:lineRule="auto"/>
        <w:jc w:val="both"/>
        <w:rPr>
          <w:rFonts w:cs="Times New Roman"/>
          <w:szCs w:val="24"/>
        </w:rPr>
      </w:pPr>
    </w:p>
    <w:p w14:paraId="3042EC80" w14:textId="4A6BDB0C" w:rsidR="005433CD" w:rsidRPr="002700E5" w:rsidRDefault="008D52D5" w:rsidP="005433CD">
      <w:pPr>
        <w:spacing w:line="240" w:lineRule="auto"/>
        <w:jc w:val="both"/>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ij</m:t>
              </m:r>
            </m:sub>
          </m:sSub>
          <m:r>
            <w:rPr>
              <w:rFonts w:ascii="Cambria Math"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n</m:t>
              </m:r>
            </m:e>
            <m:sup>
              <m:r>
                <w:rPr>
                  <w:rFonts w:ascii="Cambria Math" w:eastAsiaTheme="minorEastAsia" w:hAnsi="Cambria Math" w:cs="Times New Roman"/>
                  <w:szCs w:val="24"/>
                </w:rPr>
                <m:t>-1</m:t>
              </m:r>
            </m:sup>
          </m:sSup>
          <m:r>
            <w:rPr>
              <w:rFonts w:ascii="Cambria Math" w:eastAsiaTheme="minorEastAsia" w:hAnsi="Cambria Math" w:cs="Times New Roman"/>
              <w:szCs w:val="24"/>
            </w:rPr>
            <m:t>{</m:t>
          </m:r>
          <m:nary>
            <m:naryPr>
              <m:chr m:val="∑"/>
              <m:limLoc m:val="undOvr"/>
              <m:subHide m:val="1"/>
              <m:supHide m:val="1"/>
              <m:ctrlPr>
                <w:rPr>
                  <w:rFonts w:ascii="Cambria Math" w:eastAsiaTheme="minorEastAsia" w:hAnsi="Cambria Math" w:cs="Times New Roman"/>
                  <w:i/>
                  <w:szCs w:val="24"/>
                </w:rPr>
              </m:ctrlPr>
            </m:naryPr>
            <m:sub/>
            <m:sup/>
            <m:e>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it</m:t>
                  </m:r>
                </m:sub>
              </m:sSub>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jt</m:t>
                  </m:r>
                </m:sub>
              </m:sSub>
              <m:r>
                <w:rPr>
                  <w:rFonts w:ascii="Cambria Math" w:hAnsi="Cambria Math" w:cs="Times New Roman"/>
                  <w:szCs w:val="24"/>
                </w:rPr>
                <m:t>+(1-</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it</m:t>
                  </m:r>
                </m:sub>
              </m:sSub>
              <m:r>
                <w:rPr>
                  <w:rFonts w:ascii="Cambria Math" w:hAnsi="Cambria Math" w:cs="Times New Roman"/>
                  <w:szCs w:val="24"/>
                </w:rPr>
                <m:t>)(1-</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jt</m:t>
                  </m:r>
                </m:sub>
              </m:sSub>
              <m:r>
                <w:rPr>
                  <w:rFonts w:ascii="Cambria Math" w:hAnsi="Cambria Math" w:cs="Times New Roman"/>
                  <w:szCs w:val="24"/>
                </w:rPr>
                <m:t>)}</m:t>
              </m:r>
            </m:e>
          </m:nary>
        </m:oMath>
      </m:oMathPara>
    </w:p>
    <w:p w14:paraId="55F54E76" w14:textId="16C096D7" w:rsidR="00A82C6C" w:rsidRDefault="002700E5" w:rsidP="00A82C6C">
      <w:pPr>
        <w:spacing w:line="240" w:lineRule="auto"/>
        <w:jc w:val="both"/>
        <w:rPr>
          <w:rFonts w:eastAsiaTheme="minorEastAsia" w:cs="Times New Roman"/>
          <w:szCs w:val="24"/>
        </w:rPr>
      </w:pPr>
      <w:r>
        <w:rPr>
          <w:rFonts w:eastAsiaTheme="minorEastAsia" w:cs="Times New Roman"/>
          <w:szCs w:val="24"/>
        </w:rPr>
        <w:t>Onde</w:t>
      </w:r>
      <w:r w:rsidR="00A82C6C">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it</m:t>
            </m:r>
          </m:sub>
        </m:sSub>
      </m:oMath>
      <w:r w:rsidR="00A82C6C">
        <w:rPr>
          <w:rFonts w:eastAsiaTheme="minorEastAsia" w:cs="Times New Roman"/>
          <w:szCs w:val="24"/>
        </w:rPr>
        <w:t xml:space="preserve"> assume valor 0 se a série </w:t>
      </w:r>
      <m:oMath>
        <m:r>
          <w:rPr>
            <w:rFonts w:ascii="Cambria Math" w:eastAsiaTheme="minorEastAsia" w:hAnsi="Cambria Math" w:cs="Times New Roman"/>
            <w:szCs w:val="24"/>
          </w:rPr>
          <m:t>i</m:t>
        </m:r>
      </m:oMath>
      <w:r w:rsidR="00A82C6C">
        <w:rPr>
          <w:rFonts w:eastAsiaTheme="minorEastAsia" w:cs="Times New Roman"/>
          <w:szCs w:val="24"/>
        </w:rPr>
        <w:t xml:space="preserve"> estiver em uma fase de recessão e 1 se a série </w:t>
      </w:r>
      <m:oMath>
        <m:r>
          <w:rPr>
            <w:rFonts w:ascii="Cambria Math" w:eastAsiaTheme="minorEastAsia" w:hAnsi="Cambria Math" w:cs="Times New Roman"/>
            <w:szCs w:val="24"/>
          </w:rPr>
          <m:t>i</m:t>
        </m:r>
      </m:oMath>
      <w:r w:rsidR="00A82C6C">
        <w:rPr>
          <w:rFonts w:eastAsiaTheme="minorEastAsia" w:cs="Times New Roman"/>
          <w:szCs w:val="24"/>
        </w:rPr>
        <w:t xml:space="preserve"> estiver em fase de expansão, o mesmo é válido para a série </w:t>
      </w:r>
      <m:oMath>
        <m:r>
          <w:rPr>
            <w:rFonts w:ascii="Cambria Math" w:eastAsiaTheme="minorEastAsia" w:hAnsi="Cambria Math" w:cs="Times New Roman"/>
            <w:szCs w:val="24"/>
          </w:rPr>
          <m:t>j</m:t>
        </m:r>
      </m:oMath>
      <w:r w:rsidR="00A82C6C">
        <w:rPr>
          <w:rFonts w:eastAsiaTheme="minorEastAsia" w:cs="Times New Roman"/>
          <w:szCs w:val="24"/>
        </w:rPr>
        <w:t xml:space="preserve">. Ou seja, o índice de concordância mensura </w:t>
      </w:r>
      <w:r w:rsidR="0030753D">
        <w:rPr>
          <w:rFonts w:eastAsiaTheme="minorEastAsia" w:cs="Times New Roman"/>
          <w:szCs w:val="24"/>
        </w:rPr>
        <w:t xml:space="preserve">o grau de sincronia a partir do percentual de tempo médio em que as séries estão no mesmo regime (recessão ou expansão). Note o valor do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ij</m:t>
            </m:r>
          </m:sub>
        </m:sSub>
      </m:oMath>
      <w:r w:rsidR="0030753D">
        <w:rPr>
          <w:rFonts w:eastAsiaTheme="minorEastAsia" w:cs="Times New Roman"/>
          <w:szCs w:val="24"/>
        </w:rPr>
        <w:t xml:space="preserve"> está contido no intervalo [0,1], onde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ij</m:t>
            </m:r>
          </m:sub>
        </m:sSub>
        <m:r>
          <w:rPr>
            <w:rFonts w:ascii="Cambria Math" w:hAnsi="Cambria Math" w:cs="Times New Roman"/>
            <w:szCs w:val="24"/>
          </w:rPr>
          <m:t>=0</m:t>
        </m:r>
      </m:oMath>
      <w:r w:rsidR="0030753D">
        <w:rPr>
          <w:rFonts w:eastAsiaTheme="minorEastAsia" w:cs="Times New Roman"/>
          <w:szCs w:val="24"/>
        </w:rPr>
        <w:t xml:space="preserve"> indica que as séries operam em regimes opostos (relação antí-cíclica) enquanto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ij</m:t>
            </m:r>
          </m:sub>
        </m:sSub>
        <m:r>
          <w:rPr>
            <w:rFonts w:ascii="Cambria Math" w:hAnsi="Cambria Math" w:cs="Times New Roman"/>
            <w:szCs w:val="24"/>
          </w:rPr>
          <m:t>=1</m:t>
        </m:r>
      </m:oMath>
      <w:r w:rsidR="0030753D">
        <w:rPr>
          <w:rFonts w:eastAsiaTheme="minorEastAsia" w:cs="Times New Roman"/>
          <w:szCs w:val="24"/>
        </w:rPr>
        <w:t xml:space="preserve"> indica uma relação perfeitamente pró-cíclica entre as séries.</w:t>
      </w:r>
    </w:p>
    <w:p w14:paraId="6E86F5B1" w14:textId="7B73C439" w:rsidR="00B339AF" w:rsidRDefault="005F015B" w:rsidP="00C75A78">
      <w:pPr>
        <w:spacing w:line="240" w:lineRule="auto"/>
        <w:jc w:val="both"/>
        <w:rPr>
          <w:rFonts w:cs="Times New Roman"/>
          <w:szCs w:val="24"/>
        </w:rPr>
      </w:pPr>
      <w:r>
        <w:rPr>
          <w:rFonts w:eastAsiaTheme="minorEastAsia" w:cs="Times New Roman"/>
          <w:szCs w:val="24"/>
        </w:rPr>
        <w:t xml:space="preserve">Além da análise de sincronização </w:t>
      </w:r>
      <w:r w:rsidR="00C75A78">
        <w:rPr>
          <w:rFonts w:eastAsiaTheme="minorEastAsia" w:cs="Times New Roman"/>
          <w:szCs w:val="24"/>
        </w:rPr>
        <w:t xml:space="preserve">proposta por Harding e Pagan (2003), a duração, amplitude e inclinação média das fases serão analisadas no intuito de caracterizar </w:t>
      </w:r>
      <w:r w:rsidR="00C75A78">
        <w:rPr>
          <w:rFonts w:cs="Times New Roman"/>
          <w:szCs w:val="24"/>
        </w:rPr>
        <w:t>o grau de persistência e de intensidade dos regimes de expansão e contração dos ciclos das séries de saldo de emprego formal das Unidades Federativas.</w:t>
      </w:r>
    </w:p>
    <w:p w14:paraId="095D1276" w14:textId="4368767E" w:rsidR="00B339AF" w:rsidRDefault="00B339AF" w:rsidP="00B339AF">
      <w:pPr>
        <w:pStyle w:val="Heading2"/>
        <w:rPr>
          <w:rFonts w:eastAsiaTheme="minorEastAsia"/>
        </w:rPr>
      </w:pPr>
      <w:r>
        <w:rPr>
          <w:rFonts w:eastAsiaTheme="minorEastAsia"/>
        </w:rPr>
        <w:t>Co-movimentos entre os Ciclos Econômicos -  Análise no Domínio da Frequência</w:t>
      </w:r>
    </w:p>
    <w:p w14:paraId="26D44C71" w14:textId="77777777" w:rsidR="00B339AF" w:rsidRDefault="00B339AF" w:rsidP="00B339AF">
      <w:pPr>
        <w:spacing w:line="240" w:lineRule="auto"/>
        <w:jc w:val="both"/>
        <w:rPr>
          <w:rFonts w:eastAsia="Times New Roman" w:cs="Times New Roman"/>
        </w:rPr>
      </w:pPr>
      <w:r>
        <w:rPr>
          <w:rFonts w:eastAsia="Calibri" w:cs="Times New Roman"/>
        </w:rPr>
        <w:t xml:space="preserve">Sejam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t</m:t>
            </m:r>
          </m:sub>
        </m:sSub>
        <m:r>
          <w:rPr>
            <w:rFonts w:ascii="Cambria Math" w:eastAsia="Calibri" w:hAnsi="Cambria Math" w:cs="Times New Roman"/>
          </w:rPr>
          <m:t xml:space="preserve"> </m:t>
        </m:r>
      </m:oMath>
      <w:r>
        <w:rPr>
          <w:rFonts w:eastAsia="Calibri" w:cs="Times New Roman"/>
        </w:rPr>
        <w:t>e</w:t>
      </w:r>
      <m:oMath>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t</m:t>
            </m:r>
          </m:sub>
        </m:sSub>
      </m:oMath>
      <w:r>
        <w:rPr>
          <w:rFonts w:eastAsia="Calibri" w:cs="Times New Roman"/>
        </w:rPr>
        <w:t xml:space="preserve"> duas séries temporais integradas de ordem zero – I(0), o espectro cruzado entre as mesmas pode ser construído em termos de seus componentes reais e imaginários, tal que </w:t>
      </w: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YX</m:t>
            </m:r>
          </m:sub>
        </m:sSub>
        <m:d>
          <m:dPr>
            <m:ctrlPr>
              <w:rPr>
                <w:rFonts w:ascii="Cambria Math" w:eastAsia="Times New Roman" w:hAnsi="Cambria Math" w:cs="Times New Roman"/>
                <w:i/>
              </w:rPr>
            </m:ctrlPr>
          </m:dPr>
          <m:e>
            <m:r>
              <w:rPr>
                <w:rFonts w:ascii="Cambria Math" w:eastAsia="Times New Roman" w:hAnsi="Cambria Math" w:cs="Times New Roman"/>
              </w:rPr>
              <m:t>w</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YX</m:t>
            </m:r>
          </m:sub>
        </m:sSub>
        <m:d>
          <m:dPr>
            <m:ctrlPr>
              <w:rPr>
                <w:rFonts w:ascii="Cambria Math" w:eastAsia="Times New Roman" w:hAnsi="Cambria Math" w:cs="Times New Roman"/>
                <w:i/>
              </w:rPr>
            </m:ctrlPr>
          </m:dPr>
          <m:e>
            <m:r>
              <w:rPr>
                <w:rFonts w:ascii="Cambria Math" w:eastAsia="Times New Roman" w:hAnsi="Cambria Math" w:cs="Times New Roman"/>
              </w:rPr>
              <m:t>w</m:t>
            </m:r>
          </m:e>
        </m:d>
        <m:r>
          <w:rPr>
            <w:rFonts w:ascii="Cambria Math" w:eastAsia="Times New Roman" w:hAnsi="Cambria Math" w:cs="Times New Roman"/>
          </w:rPr>
          <m:t xml:space="preserve">+i </m:t>
        </m:r>
        <m:sSub>
          <m:sSubPr>
            <m:ctrlPr>
              <w:rPr>
                <w:rFonts w:ascii="Cambria Math" w:eastAsia="Times New Roman" w:hAnsi="Cambria Math" w:cs="Times New Roman"/>
                <w:i/>
              </w:rPr>
            </m:ctrlPr>
          </m:sSubPr>
          <m:e>
            <m:r>
              <w:rPr>
                <w:rFonts w:ascii="Cambria Math" w:eastAsia="Times New Roman" w:hAnsi="Cambria Math" w:cs="Times New Roman"/>
              </w:rPr>
              <m:t>Q</m:t>
            </m:r>
          </m:e>
          <m:sub>
            <m:r>
              <w:rPr>
                <w:rFonts w:ascii="Cambria Math" w:eastAsia="Times New Roman" w:hAnsi="Cambria Math" w:cs="Times New Roman"/>
              </w:rPr>
              <m:t>YX</m:t>
            </m:r>
          </m:sub>
        </m:sSub>
        <m:d>
          <m:dPr>
            <m:ctrlPr>
              <w:rPr>
                <w:rFonts w:ascii="Cambria Math" w:eastAsia="Times New Roman" w:hAnsi="Cambria Math" w:cs="Times New Roman"/>
                <w:i/>
              </w:rPr>
            </m:ctrlPr>
          </m:dPr>
          <m:e>
            <m:r>
              <w:rPr>
                <w:rFonts w:ascii="Cambria Math" w:eastAsia="Times New Roman" w:hAnsi="Cambria Math" w:cs="Times New Roman"/>
              </w:rPr>
              <m:t>w</m:t>
            </m:r>
          </m:e>
        </m:d>
      </m:oMath>
      <w:r w:rsidRPr="006E444C">
        <w:rPr>
          <w:rFonts w:eastAsia="Times New Roman" w:cs="Times New Roman"/>
        </w:rPr>
        <w:t xml:space="preserve">, onde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YX</m:t>
            </m:r>
          </m:sub>
        </m:sSub>
        <m:d>
          <m:dPr>
            <m:ctrlPr>
              <w:rPr>
                <w:rFonts w:ascii="Cambria Math" w:eastAsia="Times New Roman" w:hAnsi="Cambria Math" w:cs="Times New Roman"/>
                <w:i/>
              </w:rPr>
            </m:ctrlPr>
          </m:dPr>
          <m:e>
            <m:r>
              <w:rPr>
                <w:rFonts w:ascii="Cambria Math" w:eastAsia="Times New Roman" w:hAnsi="Cambria Math" w:cs="Times New Roman"/>
              </w:rPr>
              <m:t>w</m:t>
            </m:r>
          </m:e>
        </m:d>
      </m:oMath>
      <w:r w:rsidRPr="006E444C">
        <w:rPr>
          <w:rFonts w:eastAsia="Times New Roman" w:cs="Times New Roman"/>
        </w:rPr>
        <w:t xml:space="preserve"> </w:t>
      </w:r>
      <w:r>
        <w:rPr>
          <w:rFonts w:eastAsia="Times New Roman" w:cs="Times New Roman"/>
        </w:rPr>
        <w:t xml:space="preserve">denota o </w:t>
      </w:r>
      <w:r w:rsidRPr="006E444C">
        <w:rPr>
          <w:rFonts w:eastAsia="Times New Roman" w:cs="Times New Roman"/>
          <w:i/>
        </w:rPr>
        <w:t>cospectrum</w:t>
      </w:r>
      <w:r w:rsidRPr="006E444C">
        <w:rPr>
          <w:rFonts w:eastAsia="Times New Roman" w:cs="Times New Roman"/>
        </w:rPr>
        <w:t xml:space="preserve"> populacional </w:t>
      </w:r>
      <m:oMath>
        <m:sSub>
          <m:sSubPr>
            <m:ctrlPr>
              <w:rPr>
                <w:rFonts w:ascii="Cambria Math" w:eastAsia="Times New Roman" w:hAnsi="Cambria Math" w:cs="Times New Roman"/>
                <w:i/>
              </w:rPr>
            </m:ctrlPr>
          </m:sSubPr>
          <m:e>
            <m:r>
              <w:rPr>
                <w:rFonts w:ascii="Cambria Math" w:eastAsia="Times New Roman" w:hAnsi="Cambria Math" w:cs="Times New Roman"/>
              </w:rPr>
              <m:t>Q</m:t>
            </m:r>
          </m:e>
          <m:sub>
            <m:r>
              <w:rPr>
                <w:rFonts w:ascii="Cambria Math" w:eastAsia="Times New Roman" w:hAnsi="Cambria Math" w:cs="Times New Roman"/>
              </w:rPr>
              <m:t>YX</m:t>
            </m:r>
          </m:sub>
        </m:sSub>
        <m:d>
          <m:dPr>
            <m:ctrlPr>
              <w:rPr>
                <w:rFonts w:ascii="Cambria Math" w:eastAsia="Times New Roman" w:hAnsi="Cambria Math" w:cs="Times New Roman"/>
                <w:i/>
              </w:rPr>
            </m:ctrlPr>
          </m:dPr>
          <m:e>
            <m:r>
              <w:rPr>
                <w:rFonts w:ascii="Cambria Math" w:eastAsia="Times New Roman" w:hAnsi="Cambria Math" w:cs="Times New Roman"/>
              </w:rPr>
              <m:t>w</m:t>
            </m:r>
          </m:e>
        </m:d>
      </m:oMath>
      <w:r w:rsidRPr="006E444C">
        <w:rPr>
          <w:rFonts w:eastAsia="Times New Roman" w:cs="Times New Roman"/>
        </w:rPr>
        <w:t xml:space="preserve"> </w:t>
      </w:r>
      <w:r>
        <w:rPr>
          <w:rFonts w:eastAsia="Times New Roman" w:cs="Times New Roman"/>
        </w:rPr>
        <w:t>o</w:t>
      </w:r>
      <w:r w:rsidRPr="006E444C">
        <w:rPr>
          <w:rFonts w:eastAsia="Times New Roman" w:cs="Times New Roman"/>
        </w:rPr>
        <w:t xml:space="preserve"> </w:t>
      </w:r>
      <w:r w:rsidRPr="006E444C">
        <w:rPr>
          <w:rFonts w:eastAsia="Times New Roman" w:cs="Times New Roman"/>
          <w:i/>
        </w:rPr>
        <w:t xml:space="preserve">quadrature spectrum </w:t>
      </w:r>
      <w:r w:rsidRPr="006E444C">
        <w:rPr>
          <w:rFonts w:eastAsia="Times New Roman" w:cs="Times New Roman"/>
        </w:rPr>
        <w:t xml:space="preserve">populacional entre </w:t>
      </w:r>
      <m:oMath>
        <m:r>
          <w:rPr>
            <w:rFonts w:ascii="Cambria Math" w:eastAsia="Times New Roman" w:hAnsi="Cambria Math" w:cs="Times New Roman"/>
          </w:rPr>
          <m:t>X</m:t>
        </m:r>
      </m:oMath>
      <w:r>
        <w:rPr>
          <w:rFonts w:eastAsia="Times New Roman" w:cs="Times New Roman"/>
        </w:rPr>
        <w:t xml:space="preserve"> e </w:t>
      </w:r>
      <m:oMath>
        <m:r>
          <w:rPr>
            <w:rFonts w:ascii="Cambria Math" w:eastAsia="Times New Roman" w:hAnsi="Cambria Math" w:cs="Times New Roman"/>
          </w:rPr>
          <m:t>Y</m:t>
        </m:r>
      </m:oMath>
      <w:r>
        <w:rPr>
          <w:rFonts w:eastAsia="Times New Roman" w:cs="Times New Roman"/>
        </w:rPr>
        <w:t xml:space="preserve">, na frequência </w:t>
      </w:r>
      <m:oMath>
        <m:r>
          <w:rPr>
            <w:rFonts w:ascii="Cambria Math" w:eastAsia="Times New Roman" w:hAnsi="Cambria Math" w:cs="Times New Roman"/>
          </w:rPr>
          <m:t>w</m:t>
        </m:r>
      </m:oMath>
      <w:r>
        <w:rPr>
          <w:rFonts w:eastAsia="Times New Roman" w:cs="Times New Roman"/>
        </w:rPr>
        <w:t xml:space="preserve">. </w:t>
      </w:r>
    </w:p>
    <w:p w14:paraId="7E166C74" w14:textId="258AA2DE" w:rsidR="00B339AF" w:rsidRDefault="00B339AF" w:rsidP="00B339AF">
      <w:pPr>
        <w:spacing w:line="240" w:lineRule="auto"/>
        <w:jc w:val="both"/>
        <w:rPr>
          <w:rFonts w:eastAsia="Times New Roman" w:cs="Times New Roman"/>
        </w:rPr>
      </w:pPr>
      <w:r>
        <w:rPr>
          <w:rFonts w:eastAsia="Times New Roman" w:cs="Times New Roman"/>
        </w:rPr>
        <w:t xml:space="preserve">A coerência populacional mensura o grau de associação entre duas séries temporais em ciclos com frequência </w:t>
      </w:r>
      <m:oMath>
        <m:r>
          <w:rPr>
            <w:rFonts w:ascii="Cambria Math" w:eastAsia="Times New Roman" w:hAnsi="Cambria Math" w:cs="Times New Roman"/>
          </w:rPr>
          <m:t>w</m:t>
        </m:r>
      </m:oMath>
      <w:r>
        <w:rPr>
          <w:rFonts w:eastAsia="Times New Roman" w:cs="Times New Roman"/>
        </w:rPr>
        <w:t>, de forma que: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364"/>
        <w:gridCol w:w="701"/>
      </w:tblGrid>
      <w:tr w:rsidR="00B339AF" w14:paraId="2B0E546B" w14:textId="77777777" w:rsidTr="0015195B">
        <w:tc>
          <w:tcPr>
            <w:tcW w:w="1129" w:type="dxa"/>
          </w:tcPr>
          <w:p w14:paraId="460D42BB" w14:textId="77777777" w:rsidR="00B339AF" w:rsidRDefault="00B339AF" w:rsidP="0015195B">
            <w:pPr>
              <w:spacing w:line="240" w:lineRule="auto"/>
              <w:ind w:firstLine="0"/>
              <w:jc w:val="both"/>
              <w:rPr>
                <w:rFonts w:eastAsiaTheme="minorEastAsia" w:cs="Times New Roman"/>
                <w:szCs w:val="24"/>
              </w:rPr>
            </w:pPr>
          </w:p>
        </w:tc>
        <w:tc>
          <w:tcPr>
            <w:tcW w:w="8364" w:type="dxa"/>
          </w:tcPr>
          <w:p w14:paraId="05C5DD26" w14:textId="77777777" w:rsidR="00B339AF" w:rsidRPr="0090555A" w:rsidRDefault="008D52D5" w:rsidP="0015195B">
            <w:pPr>
              <w:spacing w:line="240" w:lineRule="auto"/>
              <w:jc w:val="both"/>
              <w:rPr>
                <w:rFonts w:eastAsia="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YX</m:t>
                    </m:r>
                  </m:sub>
                </m:sSub>
                <m:d>
                  <m:dPr>
                    <m:ctrlPr>
                      <w:rPr>
                        <w:rFonts w:ascii="Cambria Math" w:eastAsia="Times New Roman" w:hAnsi="Cambria Math" w:cs="Times New Roman"/>
                        <w:i/>
                      </w:rPr>
                    </m:ctrlPr>
                  </m:dPr>
                  <m:e>
                    <m:r>
                      <w:rPr>
                        <w:rFonts w:ascii="Cambria Math" w:eastAsia="Times New Roman" w:hAnsi="Cambria Math" w:cs="Times New Roman"/>
                      </w:rPr>
                      <m:t>w</m:t>
                    </m:r>
                  </m:e>
                </m:d>
                <m:r>
                  <w:rPr>
                    <w:rFonts w:ascii="Cambria Math" w:eastAsia="Times New Roman" w:hAnsi="Cambria Math" w:cs="Times New Roman"/>
                  </w:rPr>
                  <m:t xml:space="preserve">= </m:t>
                </m:r>
                <m:f>
                  <m:fPr>
                    <m:ctrlPr>
                      <w:rPr>
                        <w:rFonts w:ascii="Cambria Math" w:eastAsia="Times New Roman" w:hAnsi="Cambria Math" w:cs="Times New Roman"/>
                        <w:i/>
                      </w:rPr>
                    </m:ctrlPr>
                  </m:fPr>
                  <m:num>
                    <m:sSup>
                      <m:sSupPr>
                        <m:ctrlPr>
                          <w:rPr>
                            <w:rFonts w:ascii="Cambria Math" w:eastAsia="Times New Roman" w:hAnsi="Cambria Math" w:cs="Times New Roman"/>
                            <w:i/>
                          </w:rPr>
                        </m:ctrlPr>
                      </m:sSupPr>
                      <m:e>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YX</m:t>
                                </m:r>
                              </m:sub>
                            </m:sSub>
                            <m:d>
                              <m:dPr>
                                <m:ctrlPr>
                                  <w:rPr>
                                    <w:rFonts w:ascii="Cambria Math" w:eastAsia="Times New Roman" w:hAnsi="Cambria Math" w:cs="Times New Roman"/>
                                    <w:i/>
                                  </w:rPr>
                                </m:ctrlPr>
                              </m:dPr>
                              <m:e>
                                <m:r>
                                  <w:rPr>
                                    <w:rFonts w:ascii="Cambria Math" w:eastAsia="Times New Roman" w:hAnsi="Cambria Math" w:cs="Times New Roman"/>
                                  </w:rPr>
                                  <m:t>w</m:t>
                                </m:r>
                              </m:e>
                            </m:d>
                          </m:e>
                        </m:d>
                      </m:e>
                      <m:sup>
                        <m:r>
                          <w:rPr>
                            <w:rFonts w:ascii="Cambria Math" w:eastAsia="Times New Roman" w:hAnsi="Cambria Math" w:cs="Times New Roman"/>
                          </w:rPr>
                          <m:t>2</m:t>
                        </m:r>
                      </m:sup>
                    </m:sSup>
                    <m:r>
                      <w:rPr>
                        <w:rFonts w:ascii="Cambria Math" w:eastAsia="Times New Roman" w:hAnsi="Cambria Math" w:cs="Times New Roman"/>
                      </w:rPr>
                      <m:t>+</m:t>
                    </m:r>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Q</m:t>
                            </m:r>
                          </m:e>
                          <m:sub>
                            <m:r>
                              <w:rPr>
                                <w:rFonts w:ascii="Cambria Math" w:eastAsia="Times New Roman" w:hAnsi="Cambria Math" w:cs="Times New Roman"/>
                              </w:rPr>
                              <m:t>YX</m:t>
                            </m:r>
                          </m:sub>
                        </m:sSub>
                        <m:d>
                          <m:dPr>
                            <m:ctrlPr>
                              <w:rPr>
                                <w:rFonts w:ascii="Cambria Math" w:eastAsia="Times New Roman" w:hAnsi="Cambria Math" w:cs="Times New Roman"/>
                                <w:i/>
                              </w:rPr>
                            </m:ctrlPr>
                          </m:dPr>
                          <m:e>
                            <m:r>
                              <w:rPr>
                                <w:rFonts w:ascii="Cambria Math" w:eastAsia="Times New Roman" w:hAnsi="Cambria Math" w:cs="Times New Roman"/>
                              </w:rPr>
                              <m:t>w</m:t>
                            </m:r>
                          </m:e>
                        </m:d>
                      </m:e>
                    </m:d>
                    <m:r>
                      <w:rPr>
                        <w:rFonts w:ascii="Cambria Math" w:eastAsia="Times New Roman" w:hAnsi="Cambria Math" w:cs="Times New Roman"/>
                      </w:rPr>
                      <m:t>²</m:t>
                    </m:r>
                  </m:num>
                  <m:den>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YY</m:t>
                        </m:r>
                      </m:sub>
                    </m:sSub>
                    <m:d>
                      <m:dPr>
                        <m:ctrlPr>
                          <w:rPr>
                            <w:rFonts w:ascii="Cambria Math" w:eastAsia="Times New Roman" w:hAnsi="Cambria Math" w:cs="Times New Roman"/>
                            <w:i/>
                          </w:rPr>
                        </m:ctrlPr>
                      </m:dPr>
                      <m:e>
                        <m:r>
                          <w:rPr>
                            <w:rFonts w:ascii="Cambria Math" w:eastAsia="Times New Roman" w:hAnsi="Cambria Math" w:cs="Times New Roman"/>
                          </w:rPr>
                          <m:t>w</m:t>
                        </m:r>
                      </m:e>
                    </m:d>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XX</m:t>
                        </m:r>
                      </m:sub>
                    </m:sSub>
                    <m:d>
                      <m:dPr>
                        <m:ctrlPr>
                          <w:rPr>
                            <w:rFonts w:ascii="Cambria Math" w:eastAsia="Times New Roman" w:hAnsi="Cambria Math" w:cs="Times New Roman"/>
                            <w:i/>
                          </w:rPr>
                        </m:ctrlPr>
                      </m:dPr>
                      <m:e>
                        <m:r>
                          <w:rPr>
                            <w:rFonts w:ascii="Cambria Math" w:eastAsia="Times New Roman" w:hAnsi="Cambria Math" w:cs="Times New Roman"/>
                          </w:rPr>
                          <m:t>w</m:t>
                        </m:r>
                      </m:e>
                    </m:d>
                  </m:den>
                </m:f>
              </m:oMath>
            </m:oMathPara>
          </w:p>
        </w:tc>
        <w:tc>
          <w:tcPr>
            <w:tcW w:w="701" w:type="dxa"/>
            <w:vAlign w:val="center"/>
          </w:tcPr>
          <w:p w14:paraId="12C1ACC9" w14:textId="77777777" w:rsidR="00B339AF" w:rsidRDefault="00B339AF" w:rsidP="0015195B">
            <w:pPr>
              <w:spacing w:line="240" w:lineRule="auto"/>
              <w:ind w:firstLine="0"/>
              <w:jc w:val="both"/>
              <w:rPr>
                <w:rFonts w:eastAsiaTheme="minorEastAsia" w:cs="Times New Roman"/>
                <w:szCs w:val="24"/>
              </w:rPr>
            </w:pPr>
            <w:r>
              <w:rPr>
                <w:rFonts w:eastAsiaTheme="minorEastAsia" w:cs="Times New Roman"/>
                <w:szCs w:val="24"/>
              </w:rPr>
              <w:t>(9)</w:t>
            </w:r>
          </w:p>
        </w:tc>
      </w:tr>
    </w:tbl>
    <w:p w14:paraId="5FC94597" w14:textId="77777777" w:rsidR="00B339AF" w:rsidRPr="006E444C" w:rsidRDefault="00B339AF" w:rsidP="00B339AF">
      <w:pPr>
        <w:spacing w:line="240" w:lineRule="auto"/>
        <w:jc w:val="both"/>
        <w:rPr>
          <w:rFonts w:eastAsia="Times New Roman" w:cs="Times New Roman"/>
        </w:rPr>
      </w:pPr>
    </w:p>
    <w:p w14:paraId="621F88A9" w14:textId="31A43436" w:rsidR="00B339AF" w:rsidRDefault="00B339AF" w:rsidP="00B339AF">
      <w:pPr>
        <w:spacing w:line="240" w:lineRule="auto"/>
        <w:jc w:val="both"/>
        <w:rPr>
          <w:rFonts w:eastAsia="Times New Roman" w:cs="Times New Roman"/>
        </w:rPr>
      </w:pPr>
      <w:r>
        <w:rPr>
          <w:rFonts w:eastAsia="Times New Roman" w:cs="Times New Roman"/>
        </w:rPr>
        <w:t xml:space="preserve">Onde </w:t>
      </w: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YY</m:t>
            </m:r>
          </m:sub>
        </m:sSub>
        <m:d>
          <m:dPr>
            <m:ctrlPr>
              <w:rPr>
                <w:rFonts w:ascii="Cambria Math" w:eastAsia="Times New Roman" w:hAnsi="Cambria Math" w:cs="Times New Roman"/>
                <w:i/>
              </w:rPr>
            </m:ctrlPr>
          </m:dPr>
          <m:e>
            <m:r>
              <w:rPr>
                <w:rFonts w:ascii="Cambria Math" w:eastAsia="Times New Roman" w:hAnsi="Cambria Math" w:cs="Times New Roman"/>
              </w:rPr>
              <m:t>w</m:t>
            </m:r>
          </m:e>
        </m:d>
      </m:oMath>
      <w:r w:rsidRPr="006E444C">
        <w:rPr>
          <w:rFonts w:eastAsia="Times New Roman" w:cs="Times New Roman"/>
        </w:rPr>
        <w:t xml:space="preserve"> </w:t>
      </w:r>
      <w:r>
        <w:rPr>
          <w:rFonts w:eastAsia="Times New Roman" w:cs="Times New Roman"/>
        </w:rPr>
        <w:t xml:space="preserve">é </w:t>
      </w:r>
      <w:r w:rsidRPr="006E444C">
        <w:rPr>
          <w:rFonts w:eastAsia="Times New Roman" w:cs="Times New Roman"/>
        </w:rPr>
        <w:t>o espectro populacional</w:t>
      </w:r>
      <w:r>
        <w:rPr>
          <w:rFonts w:eastAsia="Times New Roman" w:cs="Times New Roman"/>
        </w:rPr>
        <w:t xml:space="preserve"> de </w:t>
      </w:r>
      <m:oMath>
        <m:r>
          <w:rPr>
            <w:rFonts w:ascii="Cambria Math" w:eastAsia="Times New Roman" w:hAnsi="Cambria Math" w:cs="Times New Roman"/>
          </w:rPr>
          <m:t>Y</m:t>
        </m:r>
      </m:oMath>
      <w:r>
        <w:rPr>
          <w:rFonts w:eastAsia="Times New Roman" w:cs="Times New Roman"/>
        </w:rPr>
        <w:t xml:space="preserve">, e </w:t>
      </w: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YY</m:t>
            </m:r>
          </m:sub>
        </m:sSub>
        <m:d>
          <m:dPr>
            <m:ctrlPr>
              <w:rPr>
                <w:rFonts w:ascii="Cambria Math" w:eastAsia="Times New Roman" w:hAnsi="Cambria Math" w:cs="Times New Roman"/>
                <w:i/>
              </w:rPr>
            </m:ctrlPr>
          </m:dPr>
          <m:e>
            <m:r>
              <w:rPr>
                <w:rFonts w:ascii="Cambria Math" w:eastAsia="Times New Roman" w:hAnsi="Cambria Math" w:cs="Times New Roman"/>
              </w:rPr>
              <m:t>w</m:t>
            </m:r>
          </m:e>
        </m:d>
      </m:oMath>
      <w:r w:rsidRPr="006E444C">
        <w:rPr>
          <w:rFonts w:eastAsia="Times New Roman" w:cs="Times New Roman"/>
        </w:rPr>
        <w:t xml:space="preserve"> o espectro populacional</w:t>
      </w:r>
      <w:r>
        <w:rPr>
          <w:rFonts w:eastAsia="Times New Roman" w:cs="Times New Roman"/>
        </w:rPr>
        <w:t xml:space="preserve"> de X. Note que a</w:t>
      </w:r>
      <w:r w:rsidRPr="006E444C">
        <w:rPr>
          <w:rFonts w:eastAsia="Times New Roman" w:cs="Times New Roman"/>
        </w:rPr>
        <w:t xml:space="preserve"> coerência toma valores entre </w:t>
      </w:r>
      <m:oMath>
        <m:r>
          <w:rPr>
            <w:rFonts w:ascii="Cambria Math" w:eastAsia="Times New Roman" w:hAnsi="Cambria Math" w:cs="Times New Roman"/>
          </w:rPr>
          <m:t>0≤</m:t>
        </m:r>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YX</m:t>
            </m:r>
          </m:sub>
        </m:sSub>
        <m:d>
          <m:dPr>
            <m:ctrlPr>
              <w:rPr>
                <w:rFonts w:ascii="Cambria Math" w:eastAsia="Times New Roman" w:hAnsi="Cambria Math" w:cs="Times New Roman"/>
                <w:i/>
              </w:rPr>
            </m:ctrlPr>
          </m:dPr>
          <m:e>
            <m:r>
              <w:rPr>
                <w:rFonts w:ascii="Cambria Math" w:eastAsia="Times New Roman" w:hAnsi="Cambria Math" w:cs="Times New Roman"/>
              </w:rPr>
              <m:t>w</m:t>
            </m:r>
          </m:e>
        </m:d>
        <m:r>
          <w:rPr>
            <w:rFonts w:ascii="Cambria Math" w:eastAsia="Times New Roman" w:hAnsi="Cambria Math" w:cs="Times New Roman"/>
          </w:rPr>
          <m:t>≤1</m:t>
        </m:r>
      </m:oMath>
      <w:r>
        <w:rPr>
          <w:rFonts w:eastAsia="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YX</m:t>
            </m:r>
          </m:sub>
        </m:sSub>
        <m:d>
          <m:dPr>
            <m:ctrlPr>
              <w:rPr>
                <w:rFonts w:ascii="Cambria Math" w:eastAsia="Times New Roman" w:hAnsi="Cambria Math" w:cs="Times New Roman"/>
                <w:i/>
              </w:rPr>
            </m:ctrlPr>
          </m:dPr>
          <m:e>
            <m:r>
              <w:rPr>
                <w:rFonts w:ascii="Cambria Math" w:eastAsia="Times New Roman" w:hAnsi="Cambria Math" w:cs="Times New Roman"/>
              </w:rPr>
              <m:t>w</m:t>
            </m:r>
          </m:e>
        </m:d>
        <m:r>
          <w:rPr>
            <w:rFonts w:ascii="Cambria Math" w:eastAsia="Times New Roman" w:hAnsi="Cambria Math" w:cs="Times New Roman"/>
          </w:rPr>
          <m:t>=1</m:t>
        </m:r>
      </m:oMath>
      <w:r w:rsidRPr="006E444C">
        <w:rPr>
          <w:rFonts w:eastAsia="Times New Roman" w:cs="Times New Roman"/>
        </w:rPr>
        <w:t xml:space="preserve"> </w:t>
      </w:r>
      <w:r>
        <w:rPr>
          <w:rFonts w:eastAsia="Times New Roman" w:cs="Times New Roman"/>
        </w:rPr>
        <w:t xml:space="preserve">indica que as séries são perfeitamente sincronizadas </w:t>
      </w:r>
      <w:r w:rsidR="00C01548">
        <w:rPr>
          <w:rFonts w:eastAsia="Times New Roman" w:cs="Times New Roman"/>
        </w:rPr>
        <w:t>em ciclos de frequência</w:t>
      </w:r>
      <w:r>
        <w:rPr>
          <w:rFonts w:eastAsia="Times New Roman" w:cs="Times New Roman"/>
        </w:rPr>
        <w:t xml:space="preserve"> </w:t>
      </w:r>
      <m:oMath>
        <m:r>
          <w:rPr>
            <w:rFonts w:ascii="Cambria Math" w:eastAsia="Times New Roman" w:hAnsi="Cambria Math" w:cs="Times New Roman"/>
          </w:rPr>
          <m:t>w</m:t>
        </m:r>
      </m:oMath>
      <w:r w:rsidR="00C01548">
        <w:rPr>
          <w:rFonts w:eastAsia="Times New Roman" w:cs="Times New Roman"/>
        </w:rPr>
        <w:t>)</w:t>
      </w:r>
    </w:p>
    <w:p w14:paraId="0B99F389" w14:textId="77777777" w:rsidR="00B339AF" w:rsidRDefault="00B339AF" w:rsidP="00B339AF">
      <w:pPr>
        <w:spacing w:line="240" w:lineRule="auto"/>
        <w:jc w:val="both"/>
        <w:rPr>
          <w:rFonts w:eastAsia="Times New Roman" w:cs="Times New Roman"/>
        </w:rPr>
      </w:pPr>
      <w:r w:rsidRPr="006E444C">
        <w:rPr>
          <w:rFonts w:eastAsia="Times New Roman" w:cs="Times New Roman"/>
        </w:rPr>
        <w:t>Já o espectro cruzado geralmente é representado no campo dos complexos, e pode ser expresso na sua forma polar:</w:t>
      </w:r>
    </w:p>
    <w:p w14:paraId="2C208A30" w14:textId="77777777" w:rsidR="00B339AF" w:rsidRDefault="00B339AF" w:rsidP="00B339AF">
      <w:pPr>
        <w:spacing w:line="240" w:lineRule="auto"/>
        <w:jc w:val="both"/>
        <w:rPr>
          <w:rFonts w:eastAsia="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364"/>
        <w:gridCol w:w="701"/>
      </w:tblGrid>
      <w:tr w:rsidR="00B339AF" w14:paraId="49420A1E" w14:textId="77777777" w:rsidTr="0015195B">
        <w:tc>
          <w:tcPr>
            <w:tcW w:w="1129" w:type="dxa"/>
          </w:tcPr>
          <w:p w14:paraId="77622ED9" w14:textId="77777777" w:rsidR="00B339AF" w:rsidRDefault="00B339AF" w:rsidP="0015195B">
            <w:pPr>
              <w:spacing w:line="240" w:lineRule="auto"/>
              <w:ind w:firstLine="0"/>
              <w:jc w:val="both"/>
              <w:rPr>
                <w:rFonts w:eastAsiaTheme="minorEastAsia" w:cs="Times New Roman"/>
                <w:szCs w:val="24"/>
              </w:rPr>
            </w:pPr>
          </w:p>
        </w:tc>
        <w:tc>
          <w:tcPr>
            <w:tcW w:w="8364" w:type="dxa"/>
          </w:tcPr>
          <w:p w14:paraId="0CAC2BC1" w14:textId="77777777" w:rsidR="00B339AF" w:rsidRPr="0090555A" w:rsidRDefault="008D52D5" w:rsidP="0015195B">
            <w:pPr>
              <w:spacing w:line="240" w:lineRule="auto"/>
              <w:jc w:val="both"/>
              <w:rPr>
                <w:rFonts w:eastAsia="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YX</m:t>
                    </m:r>
                  </m:sub>
                </m:sSub>
                <m:d>
                  <m:dPr>
                    <m:ctrlPr>
                      <w:rPr>
                        <w:rFonts w:ascii="Cambria Math" w:eastAsia="Times New Roman" w:hAnsi="Cambria Math" w:cs="Times New Roman"/>
                        <w:i/>
                      </w:rPr>
                    </m:ctrlPr>
                  </m:dPr>
                  <m:e>
                    <m:r>
                      <w:rPr>
                        <w:rFonts w:ascii="Cambria Math" w:eastAsia="Times New Roman" w:hAnsi="Cambria Math" w:cs="Times New Roman"/>
                      </w:rPr>
                      <m:t>w</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YX</m:t>
                    </m:r>
                  </m:sub>
                </m:sSub>
                <m:d>
                  <m:dPr>
                    <m:ctrlPr>
                      <w:rPr>
                        <w:rFonts w:ascii="Cambria Math" w:eastAsia="Times New Roman" w:hAnsi="Cambria Math" w:cs="Times New Roman"/>
                        <w:i/>
                      </w:rPr>
                    </m:ctrlPr>
                  </m:dPr>
                  <m:e>
                    <m:r>
                      <w:rPr>
                        <w:rFonts w:ascii="Cambria Math" w:eastAsia="Times New Roman" w:hAnsi="Cambria Math" w:cs="Times New Roman"/>
                      </w:rPr>
                      <m:t>w</m:t>
                    </m:r>
                  </m:e>
                </m:d>
                <m:r>
                  <w:rPr>
                    <w:rFonts w:ascii="Cambria Math" w:eastAsia="Times New Roman" w:hAnsi="Cambria Math" w:cs="Times New Roman"/>
                  </w:rPr>
                  <m:t xml:space="preserve">+i </m:t>
                </m:r>
                <m:sSub>
                  <m:sSubPr>
                    <m:ctrlPr>
                      <w:rPr>
                        <w:rFonts w:ascii="Cambria Math" w:eastAsia="Times New Roman" w:hAnsi="Cambria Math" w:cs="Times New Roman"/>
                        <w:i/>
                      </w:rPr>
                    </m:ctrlPr>
                  </m:sSubPr>
                  <m:e>
                    <m:r>
                      <w:rPr>
                        <w:rFonts w:ascii="Cambria Math" w:eastAsia="Times New Roman" w:hAnsi="Cambria Math" w:cs="Times New Roman"/>
                      </w:rPr>
                      <m:t>Q</m:t>
                    </m:r>
                  </m:e>
                  <m:sub>
                    <m:r>
                      <w:rPr>
                        <w:rFonts w:ascii="Cambria Math" w:eastAsia="Times New Roman" w:hAnsi="Cambria Math" w:cs="Times New Roman"/>
                      </w:rPr>
                      <m:t>YX</m:t>
                    </m:r>
                  </m:sub>
                </m:sSub>
                <m:d>
                  <m:dPr>
                    <m:ctrlPr>
                      <w:rPr>
                        <w:rFonts w:ascii="Cambria Math" w:eastAsia="Times New Roman" w:hAnsi="Cambria Math" w:cs="Times New Roman"/>
                        <w:i/>
                      </w:rPr>
                    </m:ctrlPr>
                  </m:dPr>
                  <m:e>
                    <m:r>
                      <w:rPr>
                        <w:rFonts w:ascii="Cambria Math" w:eastAsia="Times New Roman" w:hAnsi="Cambria Math" w:cs="Times New Roman"/>
                      </w:rPr>
                      <m:t>w</m:t>
                    </m:r>
                  </m:e>
                </m:d>
                <m:r>
                  <w:rPr>
                    <w:rFonts w:ascii="Cambria Math" w:eastAsia="Times New Roman" w:hAnsi="Cambria Math" w:cs="Times New Roman"/>
                  </w:rPr>
                  <m:t>=R</m:t>
                </m:r>
                <m:d>
                  <m:dPr>
                    <m:ctrlPr>
                      <w:rPr>
                        <w:rFonts w:ascii="Cambria Math" w:eastAsia="Times New Roman" w:hAnsi="Cambria Math" w:cs="Times New Roman"/>
                        <w:i/>
                      </w:rPr>
                    </m:ctrlPr>
                  </m:dPr>
                  <m:e>
                    <m:r>
                      <w:rPr>
                        <w:rFonts w:ascii="Cambria Math" w:eastAsia="Times New Roman" w:hAnsi="Cambria Math" w:cs="Times New Roman"/>
                      </w:rPr>
                      <m:t>w</m:t>
                    </m:r>
                  </m:e>
                </m:d>
                <m:func>
                  <m:funcPr>
                    <m:ctrlPr>
                      <w:rPr>
                        <w:rFonts w:ascii="Cambria Math" w:eastAsia="Times New Roman" w:hAnsi="Cambria Math" w:cs="Times New Roman"/>
                        <w:i/>
                      </w:rPr>
                    </m:ctrlPr>
                  </m:funcPr>
                  <m:fName>
                    <m:r>
                      <m:rPr>
                        <m:sty m:val="p"/>
                      </m:rPr>
                      <w:rPr>
                        <w:rFonts w:ascii="Cambria Math" w:eastAsia="Times New Roman" w:hAnsi="Cambria Math" w:cs="Times New Roman"/>
                      </w:rPr>
                      <m:t>exp</m:t>
                    </m:r>
                  </m:fName>
                  <m:e>
                    <m:d>
                      <m:dPr>
                        <m:ctrlPr>
                          <w:rPr>
                            <w:rFonts w:ascii="Cambria Math" w:eastAsia="Times New Roman" w:hAnsi="Cambria Math" w:cs="Times New Roman"/>
                            <w:i/>
                          </w:rPr>
                        </m:ctrlPr>
                      </m:dPr>
                      <m:e>
                        <m:r>
                          <w:rPr>
                            <w:rFonts w:ascii="Cambria Math" w:eastAsia="Times New Roman" w:hAnsi="Cambria Math" w:cs="Times New Roman"/>
                          </w:rPr>
                          <m:t>i θ</m:t>
                        </m:r>
                        <m:d>
                          <m:dPr>
                            <m:ctrlPr>
                              <w:rPr>
                                <w:rFonts w:ascii="Cambria Math" w:eastAsia="Times New Roman" w:hAnsi="Cambria Math" w:cs="Times New Roman"/>
                                <w:i/>
                              </w:rPr>
                            </m:ctrlPr>
                          </m:dPr>
                          <m:e>
                            <m:r>
                              <w:rPr>
                                <w:rFonts w:ascii="Cambria Math" w:eastAsia="Times New Roman" w:hAnsi="Cambria Math" w:cs="Times New Roman"/>
                              </w:rPr>
                              <m:t>w</m:t>
                            </m:r>
                          </m:e>
                        </m:d>
                      </m:e>
                    </m:d>
                  </m:e>
                </m:func>
              </m:oMath>
            </m:oMathPara>
          </w:p>
        </w:tc>
        <w:tc>
          <w:tcPr>
            <w:tcW w:w="701" w:type="dxa"/>
            <w:vAlign w:val="center"/>
          </w:tcPr>
          <w:p w14:paraId="44173466" w14:textId="77777777" w:rsidR="00B339AF" w:rsidRDefault="00B339AF" w:rsidP="0015195B">
            <w:pPr>
              <w:spacing w:line="240" w:lineRule="auto"/>
              <w:ind w:firstLine="0"/>
              <w:jc w:val="both"/>
              <w:rPr>
                <w:rFonts w:eastAsiaTheme="minorEastAsia" w:cs="Times New Roman"/>
                <w:szCs w:val="24"/>
              </w:rPr>
            </w:pPr>
            <w:r>
              <w:rPr>
                <w:rFonts w:eastAsiaTheme="minorEastAsia" w:cs="Times New Roman"/>
                <w:szCs w:val="24"/>
              </w:rPr>
              <w:t>(10)</w:t>
            </w:r>
          </w:p>
        </w:tc>
      </w:tr>
    </w:tbl>
    <w:p w14:paraId="058AEB4E" w14:textId="77777777" w:rsidR="00B339AF" w:rsidRPr="006E444C" w:rsidRDefault="00B339AF" w:rsidP="00B339AF">
      <w:pPr>
        <w:spacing w:line="240" w:lineRule="auto"/>
        <w:jc w:val="both"/>
        <w:rPr>
          <w:rFonts w:eastAsia="Times New Roman" w:cs="Times New Roman"/>
        </w:rPr>
      </w:pPr>
    </w:p>
    <w:p w14:paraId="0C8B0BD3" w14:textId="77777777" w:rsidR="00C01548" w:rsidRDefault="00B339AF" w:rsidP="00B339AF">
      <w:pPr>
        <w:spacing w:line="240" w:lineRule="auto"/>
        <w:jc w:val="both"/>
        <w:rPr>
          <w:rFonts w:eastAsia="Times New Roman" w:cs="Times New Roman"/>
        </w:rPr>
      </w:pPr>
      <w:r w:rsidRPr="006E444C">
        <w:rPr>
          <w:rFonts w:eastAsia="Times New Roman" w:cs="Times New Roman"/>
        </w:rPr>
        <w:t xml:space="preserve">onde </w:t>
      </w:r>
      <m:oMath>
        <m:r>
          <w:rPr>
            <w:rFonts w:ascii="Cambria Math" w:eastAsia="Times New Roman" w:hAnsi="Cambria Math" w:cs="Times New Roman"/>
          </w:rPr>
          <m:t>R</m:t>
        </m:r>
        <m:d>
          <m:dPr>
            <m:ctrlPr>
              <w:rPr>
                <w:rFonts w:ascii="Cambria Math" w:eastAsia="Times New Roman" w:hAnsi="Cambria Math" w:cs="Times New Roman"/>
                <w:i/>
              </w:rPr>
            </m:ctrlPr>
          </m:dPr>
          <m:e>
            <m:r>
              <w:rPr>
                <w:rFonts w:ascii="Cambria Math" w:eastAsia="Times New Roman" w:hAnsi="Cambria Math" w:cs="Times New Roman"/>
              </w:rPr>
              <m:t>w</m:t>
            </m:r>
          </m:e>
        </m:d>
        <m:r>
          <w:rPr>
            <w:rFonts w:ascii="Cambria Math" w:eastAsia="Times New Roman" w:hAnsi="Cambria Math" w:cs="Times New Roman"/>
          </w:rPr>
          <m:t>=</m:t>
        </m:r>
        <m:sSup>
          <m:sSupPr>
            <m:ctrlPr>
              <w:rPr>
                <w:rFonts w:ascii="Cambria Math" w:eastAsia="Times New Roman" w:hAnsi="Cambria Math" w:cs="Times New Roman"/>
                <w:i/>
              </w:rPr>
            </m:ctrlPr>
          </m:sSupPr>
          <m:e>
            <m:sSup>
              <m:sSupPr>
                <m:ctrlPr>
                  <w:rPr>
                    <w:rFonts w:ascii="Cambria Math" w:eastAsia="Times New Roman" w:hAnsi="Cambria Math" w:cs="Times New Roman"/>
                    <w:i/>
                  </w:rPr>
                </m:ctrlPr>
              </m:sSupPr>
              <m:e>
                <m:r>
                  <w:rPr>
                    <w:rFonts w:ascii="Cambria Math" w:eastAsia="Times New Roman" w:hAnsi="Cambria Math" w:cs="Times New Roman"/>
                  </w:rPr>
                  <m:t>{</m:t>
                </m:r>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YX</m:t>
                        </m:r>
                      </m:sub>
                    </m:sSub>
                    <m:d>
                      <m:dPr>
                        <m:ctrlPr>
                          <w:rPr>
                            <w:rFonts w:ascii="Cambria Math" w:eastAsia="Times New Roman" w:hAnsi="Cambria Math" w:cs="Times New Roman"/>
                            <w:i/>
                          </w:rPr>
                        </m:ctrlPr>
                      </m:dPr>
                      <m:e>
                        <m:r>
                          <w:rPr>
                            <w:rFonts w:ascii="Cambria Math" w:eastAsia="Times New Roman" w:hAnsi="Cambria Math" w:cs="Times New Roman"/>
                          </w:rPr>
                          <m:t>w</m:t>
                        </m:r>
                      </m:e>
                    </m:d>
                  </m:e>
                </m:d>
              </m:e>
              <m:sup>
                <m:r>
                  <w:rPr>
                    <w:rFonts w:ascii="Cambria Math" w:eastAsia="Times New Roman" w:hAnsi="Cambria Math" w:cs="Times New Roman"/>
                  </w:rPr>
                  <m:t>2</m:t>
                </m:r>
              </m:sup>
            </m:sSup>
            <m:r>
              <w:rPr>
                <w:rFonts w:ascii="Cambria Math" w:eastAsia="Times New Roman" w:hAnsi="Cambria Math" w:cs="Times New Roman"/>
              </w:rPr>
              <m:t>+</m:t>
            </m:r>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Q</m:t>
                    </m:r>
                  </m:e>
                  <m:sub>
                    <m:r>
                      <w:rPr>
                        <w:rFonts w:ascii="Cambria Math" w:eastAsia="Times New Roman" w:hAnsi="Cambria Math" w:cs="Times New Roman"/>
                      </w:rPr>
                      <m:t>YX</m:t>
                    </m:r>
                  </m:sub>
                </m:sSub>
                <m:d>
                  <m:dPr>
                    <m:ctrlPr>
                      <w:rPr>
                        <w:rFonts w:ascii="Cambria Math" w:eastAsia="Times New Roman" w:hAnsi="Cambria Math" w:cs="Times New Roman"/>
                        <w:i/>
                      </w:rPr>
                    </m:ctrlPr>
                  </m:dPr>
                  <m:e>
                    <m:r>
                      <w:rPr>
                        <w:rFonts w:ascii="Cambria Math" w:eastAsia="Times New Roman" w:hAnsi="Cambria Math" w:cs="Times New Roman"/>
                      </w:rPr>
                      <m:t>w</m:t>
                    </m:r>
                  </m:e>
                </m:d>
              </m:e>
            </m:d>
            <m:r>
              <w:rPr>
                <w:rFonts w:ascii="Cambria Math" w:eastAsia="Times New Roman" w:hAnsi="Cambria Math" w:cs="Times New Roman"/>
              </w:rPr>
              <m:t>}</m:t>
            </m:r>
          </m:e>
          <m:sup>
            <m:r>
              <w:rPr>
                <w:rFonts w:ascii="Cambria Math" w:eastAsia="Times New Roman" w:hAnsi="Cambria Math" w:cs="Times New Roman"/>
              </w:rPr>
              <m:t>1/2</m:t>
            </m:r>
          </m:sup>
        </m:sSup>
      </m:oMath>
      <w:r w:rsidRPr="006E444C">
        <w:rPr>
          <w:rFonts w:eastAsia="Times New Roman" w:cs="Times New Roman"/>
        </w:rPr>
        <w:t xml:space="preserve"> e </w:t>
      </w:r>
      <m:oMath>
        <m:r>
          <w:rPr>
            <w:rFonts w:ascii="Cambria Math" w:eastAsia="Times New Roman" w:hAnsi="Cambria Math" w:cs="Times New Roman"/>
          </w:rPr>
          <m:t>θ</m:t>
        </m:r>
        <m:d>
          <m:dPr>
            <m:ctrlPr>
              <w:rPr>
                <w:rFonts w:ascii="Cambria Math" w:eastAsia="Times New Roman" w:hAnsi="Cambria Math" w:cs="Times New Roman"/>
                <w:i/>
              </w:rPr>
            </m:ctrlPr>
          </m:dPr>
          <m:e>
            <m:r>
              <w:rPr>
                <w:rFonts w:ascii="Cambria Math" w:eastAsia="Times New Roman" w:hAnsi="Cambria Math" w:cs="Times New Roman"/>
              </w:rPr>
              <m:t>w</m:t>
            </m:r>
          </m:e>
        </m:d>
      </m:oMath>
      <w:r w:rsidRPr="006E444C">
        <w:rPr>
          <w:rFonts w:eastAsia="Times New Roman" w:cs="Times New Roman"/>
        </w:rPr>
        <w:t xml:space="preserve"> representa o ganho e o ângulo em radianos na frequência </w:t>
      </w:r>
      <m:oMath>
        <m:r>
          <w:rPr>
            <w:rFonts w:ascii="Cambria Math" w:eastAsia="Times New Roman" w:hAnsi="Cambria Math" w:cs="Times New Roman"/>
          </w:rPr>
          <m:t>w</m:t>
        </m:r>
      </m:oMath>
      <w:r w:rsidRPr="006E444C">
        <w:rPr>
          <w:rFonts w:eastAsia="Times New Roman" w:cs="Times New Roman"/>
        </w:rPr>
        <w:t xml:space="preserve">. O uso da análise espectral com valores complexos tem a vantagem de computar a fase da transformação espectral de cada série proporcionando informações em relação aos atrasos das oscilações entre duas séries como função da frequência. </w:t>
      </w:r>
    </w:p>
    <w:p w14:paraId="52B37A85" w14:textId="77777777" w:rsidR="00C01548" w:rsidRDefault="00C01548" w:rsidP="00C01548">
      <w:pPr>
        <w:spacing w:line="240" w:lineRule="auto"/>
        <w:jc w:val="both"/>
        <w:rPr>
          <w:rFonts w:eastAsia="Times New Roman" w:cs="Times New Roman"/>
        </w:rPr>
      </w:pPr>
      <w:r>
        <w:rPr>
          <w:rFonts w:eastAsia="Times New Roman" w:cs="Times New Roman"/>
        </w:rPr>
        <w:t>Se a</w:t>
      </w:r>
      <w:r w:rsidR="00B339AF" w:rsidRPr="006E444C">
        <w:rPr>
          <w:rFonts w:eastAsia="Times New Roman" w:cs="Times New Roman"/>
        </w:rPr>
        <w:t xml:space="preserve"> diferença de fase</w:t>
      </w:r>
      <w:r>
        <w:rPr>
          <w:rFonts w:eastAsia="Times New Roman" w:cs="Times New Roman"/>
        </w:rPr>
        <w:t xml:space="preserve"> entre </w:t>
      </w:r>
      <m:oMath>
        <m:r>
          <w:rPr>
            <w:rFonts w:ascii="Cambria Math" w:eastAsia="Times New Roman" w:hAnsi="Cambria Math" w:cs="Times New Roman"/>
          </w:rPr>
          <m:t>Y</m:t>
        </m:r>
      </m:oMath>
      <w:r>
        <w:rPr>
          <w:rFonts w:eastAsia="Times New Roman" w:cs="Times New Roman"/>
        </w:rPr>
        <w:t xml:space="preserve"> e </w:t>
      </w:r>
      <m:oMath>
        <m:r>
          <w:rPr>
            <w:rFonts w:ascii="Cambria Math" w:eastAsia="Times New Roman" w:hAnsi="Cambria Math" w:cs="Times New Roman"/>
          </w:rPr>
          <m:t>X</m:t>
        </m:r>
      </m:oMath>
      <w:r>
        <w:rPr>
          <w:rFonts w:eastAsia="Times New Roman" w:cs="Times New Roman"/>
        </w:rPr>
        <w:t xml:space="preserve"> encontrar-se entre (0, </w:t>
      </w:r>
      <m:oMath>
        <m:r>
          <w:rPr>
            <w:rFonts w:ascii="Cambria Math" w:eastAsia="Times New Roman" w:hAnsi="Cambria Math" w:cs="Times New Roman"/>
          </w:rPr>
          <m:t>π/2</m:t>
        </m:r>
      </m:oMath>
      <w:r>
        <w:rPr>
          <w:rFonts w:eastAsia="Times New Roman" w:cs="Times New Roman"/>
        </w:rPr>
        <w:t xml:space="preserve">) na frequência </w:t>
      </w:r>
      <m:oMath>
        <m:r>
          <w:rPr>
            <w:rFonts w:ascii="Cambria Math" w:eastAsia="Times New Roman" w:hAnsi="Cambria Math" w:cs="Times New Roman"/>
          </w:rPr>
          <m:t>w</m:t>
        </m:r>
      </m:oMath>
      <w:r>
        <w:rPr>
          <w:rFonts w:eastAsia="Times New Roman" w:cs="Times New Roman"/>
        </w:rPr>
        <w:t xml:space="preserve">, então a série </w:t>
      </w:r>
      <m:oMath>
        <m:r>
          <w:rPr>
            <w:rFonts w:ascii="Cambria Math" w:eastAsia="Times New Roman" w:hAnsi="Cambria Math" w:cs="Times New Roman"/>
          </w:rPr>
          <m:t>Y</m:t>
        </m:r>
      </m:oMath>
      <w:r>
        <w:rPr>
          <w:rFonts w:eastAsia="Times New Roman" w:cs="Times New Roman"/>
        </w:rPr>
        <w:t xml:space="preserve"> lidera a série </w:t>
      </w:r>
      <m:oMath>
        <m:r>
          <w:rPr>
            <w:rFonts w:ascii="Cambria Math" w:eastAsia="Times New Roman" w:hAnsi="Cambria Math" w:cs="Times New Roman"/>
          </w:rPr>
          <m:t>X</m:t>
        </m:r>
      </m:oMath>
      <w:r>
        <w:rPr>
          <w:rFonts w:eastAsia="Times New Roman" w:cs="Times New Roman"/>
        </w:rPr>
        <w:t xml:space="preserve"> nos ciclos de frequência </w:t>
      </w:r>
      <m:oMath>
        <m:r>
          <w:rPr>
            <w:rFonts w:ascii="Cambria Math" w:eastAsia="Times New Roman" w:hAnsi="Cambria Math" w:cs="Times New Roman"/>
          </w:rPr>
          <m:t>w</m:t>
        </m:r>
      </m:oMath>
      <w:r>
        <w:rPr>
          <w:rFonts w:eastAsia="Times New Roman" w:cs="Times New Roman"/>
        </w:rPr>
        <w:t>, e as séries movem-se em fase (ou seja, são pró-cíclicas); se a diferença de fase estiver no intervalo (-</w:t>
      </w:r>
      <m:oMath>
        <m:r>
          <w:rPr>
            <w:rFonts w:ascii="Cambria Math" w:eastAsia="Times New Roman" w:hAnsi="Cambria Math" w:cs="Times New Roman"/>
          </w:rPr>
          <m:t>π/2,0</m:t>
        </m:r>
      </m:oMath>
      <w:r>
        <w:rPr>
          <w:rFonts w:eastAsia="Times New Roman" w:cs="Times New Roman"/>
        </w:rPr>
        <w:t xml:space="preserve">), ambas as séries movem-se em fase, mas </w:t>
      </w:r>
      <m:oMath>
        <m:r>
          <w:rPr>
            <w:rFonts w:ascii="Cambria Math" w:eastAsia="Times New Roman" w:hAnsi="Cambria Math" w:cs="Times New Roman"/>
          </w:rPr>
          <m:t xml:space="preserve">Y </m:t>
        </m:r>
      </m:oMath>
      <w:r>
        <w:rPr>
          <w:rFonts w:eastAsia="Times New Roman" w:cs="Times New Roman"/>
        </w:rPr>
        <w:t xml:space="preserve">é liderado por </w:t>
      </w:r>
      <m:oMath>
        <m:r>
          <w:rPr>
            <w:rFonts w:ascii="Cambria Math" w:eastAsia="Times New Roman" w:hAnsi="Cambria Math" w:cs="Times New Roman"/>
          </w:rPr>
          <m:t>X</m:t>
        </m:r>
      </m:oMath>
      <w:r>
        <w:rPr>
          <w:rFonts w:eastAsia="Times New Roman" w:cs="Times New Roman"/>
        </w:rPr>
        <w:t>. Por outro lado, se a diferença de fase oscilar entre (-</w:t>
      </w:r>
      <m:oMath>
        <m:r>
          <w:rPr>
            <w:rFonts w:ascii="Cambria Math" w:eastAsia="Times New Roman" w:hAnsi="Cambria Math" w:cs="Times New Roman"/>
          </w:rPr>
          <m:t>π</m:t>
        </m:r>
      </m:oMath>
      <w:r>
        <w:rPr>
          <w:rFonts w:eastAsia="Times New Roman" w:cs="Times New Roman"/>
        </w:rPr>
        <w:t xml:space="preserve">, </w:t>
      </w:r>
      <m:oMath>
        <m:r>
          <w:rPr>
            <w:rFonts w:ascii="Cambria Math" w:eastAsia="Times New Roman" w:hAnsi="Cambria Math" w:cs="Times New Roman"/>
          </w:rPr>
          <m:t>-π/2)</m:t>
        </m:r>
      </m:oMath>
      <w:r>
        <w:rPr>
          <w:rFonts w:eastAsia="Times New Roman" w:cs="Times New Roman"/>
        </w:rPr>
        <w:t xml:space="preserve"> ou (</w:t>
      </w:r>
      <m:oMath>
        <m:r>
          <w:rPr>
            <w:rFonts w:ascii="Cambria Math" w:eastAsia="Times New Roman" w:hAnsi="Cambria Math" w:cs="Times New Roman"/>
          </w:rPr>
          <m:t>π/2, π)</m:t>
        </m:r>
      </m:oMath>
      <w:r>
        <w:rPr>
          <w:rFonts w:eastAsia="Times New Roman" w:cs="Times New Roman"/>
        </w:rPr>
        <w:t xml:space="preserve"> então as séries apresentam-se em anti-fase (relação contracíclica), com </w:t>
      </w:r>
      <m:oMath>
        <m:r>
          <w:rPr>
            <w:rFonts w:ascii="Cambria Math" w:eastAsia="Times New Roman" w:hAnsi="Cambria Math" w:cs="Times New Roman"/>
          </w:rPr>
          <m:t>Y</m:t>
        </m:r>
      </m:oMath>
      <w:r>
        <w:rPr>
          <w:rFonts w:eastAsia="Times New Roman" w:cs="Times New Roman"/>
        </w:rPr>
        <w:t xml:space="preserve"> liderando </w:t>
      </w:r>
      <m:oMath>
        <m:r>
          <w:rPr>
            <w:rFonts w:ascii="Cambria Math" w:eastAsia="Times New Roman" w:hAnsi="Cambria Math" w:cs="Times New Roman"/>
          </w:rPr>
          <m:t>X</m:t>
        </m:r>
      </m:oMath>
      <w:r>
        <w:rPr>
          <w:rFonts w:eastAsia="Times New Roman" w:cs="Times New Roman"/>
        </w:rPr>
        <w:t xml:space="preserve"> no primeiro caso, e </w:t>
      </w:r>
      <m:oMath>
        <m:r>
          <w:rPr>
            <w:rFonts w:ascii="Cambria Math" w:eastAsia="Times New Roman" w:hAnsi="Cambria Math" w:cs="Times New Roman"/>
          </w:rPr>
          <m:t>X</m:t>
        </m:r>
      </m:oMath>
      <w:r>
        <w:rPr>
          <w:rFonts w:eastAsia="Times New Roman" w:cs="Times New Roman"/>
        </w:rPr>
        <w:t xml:space="preserve"> antecedendo </w:t>
      </w:r>
      <m:oMath>
        <m:r>
          <w:rPr>
            <w:rFonts w:ascii="Cambria Math" w:eastAsia="Times New Roman" w:hAnsi="Cambria Math" w:cs="Times New Roman"/>
          </w:rPr>
          <m:t>Y</m:t>
        </m:r>
      </m:oMath>
      <w:r>
        <w:rPr>
          <w:rFonts w:eastAsia="Times New Roman" w:cs="Times New Roman"/>
        </w:rPr>
        <w:t xml:space="preserve"> no segundo caso. Caso a diferença de fase encontre-se em 0, então as séries movimentam-se em fase, inexistindo qualquer relação de atrasos(ou lideranças) entre as mesmas.</w:t>
      </w:r>
    </w:p>
    <w:p w14:paraId="00CD8274" w14:textId="77777777" w:rsidR="00712C4A" w:rsidRDefault="00C01548" w:rsidP="00C01548">
      <w:pPr>
        <w:spacing w:line="240" w:lineRule="auto"/>
        <w:jc w:val="both"/>
        <w:rPr>
          <w:rFonts w:eastAsia="Times New Roman" w:cs="Times New Roman"/>
        </w:rPr>
      </w:pPr>
      <w:r>
        <w:rPr>
          <w:rFonts w:eastAsia="Times New Roman" w:cs="Times New Roman"/>
        </w:rPr>
        <w:t xml:space="preserve"> </w:t>
      </w:r>
      <w:r w:rsidR="0015195B">
        <w:rPr>
          <w:rFonts w:eastAsia="Times New Roman" w:cs="Times New Roman"/>
        </w:rPr>
        <w:t xml:space="preserve">Para dar suporte as evidências encontradas a partir da coerência e diferença de fase entre os espectros, o presente artigo faz uso também </w:t>
      </w:r>
      <w:r w:rsidR="00712C4A">
        <w:rPr>
          <w:rFonts w:eastAsia="Times New Roman" w:cs="Times New Roman"/>
        </w:rPr>
        <w:t xml:space="preserve">do teste de causalidade de Granger no domínio da frequência. Para isso, segue-se a abordagem de Farné e Montanari (2018), que utiliza amostragem de </w:t>
      </w:r>
      <w:r w:rsidR="00712C4A">
        <w:rPr>
          <w:rFonts w:eastAsia="Times New Roman" w:cs="Times New Roman"/>
          <w:i/>
          <w:iCs/>
        </w:rPr>
        <w:t>bootstrap</w:t>
      </w:r>
      <w:r w:rsidR="00712C4A">
        <w:rPr>
          <w:rFonts w:eastAsia="Times New Roman" w:cs="Times New Roman"/>
        </w:rPr>
        <w:t xml:space="preserve"> para detectar causalidades proeminentes no sentido de Granger em determinada frequência </w:t>
      </w:r>
      <m:oMath>
        <m:r>
          <w:rPr>
            <w:rFonts w:ascii="Cambria Math" w:eastAsia="Times New Roman" w:hAnsi="Cambria Math" w:cs="Times New Roman"/>
          </w:rPr>
          <m:t>w</m:t>
        </m:r>
      </m:oMath>
      <w:r w:rsidR="00712C4A">
        <w:rPr>
          <w:rFonts w:eastAsia="Times New Roman" w:cs="Times New Roman"/>
        </w:rPr>
        <w:t xml:space="preserve">. </w:t>
      </w:r>
    </w:p>
    <w:p w14:paraId="208C0108" w14:textId="5757D6A6" w:rsidR="00712C4A" w:rsidRDefault="00712C4A" w:rsidP="00712C4A">
      <w:pPr>
        <w:spacing w:line="240" w:lineRule="auto"/>
        <w:jc w:val="both"/>
        <w:rPr>
          <w:rFonts w:eastAsia="Times New Roman" w:cs="Times New Roman"/>
        </w:rPr>
      </w:pPr>
      <w:r>
        <w:rPr>
          <w:rFonts w:eastAsia="Times New Roman" w:cs="Times New Roman"/>
        </w:rPr>
        <w:t xml:space="preserve">Em termos algébricos, a versão condicional da função espectral de Granger parte de um modelo </w:t>
      </w:r>
      <m:oMath>
        <m:r>
          <w:rPr>
            <w:rFonts w:ascii="Cambria Math" w:eastAsia="Times New Roman" w:hAnsi="Cambria Math" w:cs="Times New Roman"/>
          </w:rPr>
          <m:t>VAR(k)</m:t>
        </m:r>
      </m:oMath>
      <w:r>
        <w:rPr>
          <w:rFonts w:eastAsia="Times New Roman" w:cs="Times New Roman"/>
        </w:rPr>
        <w:t xml:space="preserve"> com um vetor de séries temporais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t</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t</m:t>
            </m:r>
          </m:sub>
        </m:sSub>
        <m:r>
          <w:rPr>
            <w:rFonts w:ascii="Cambria Math" w:eastAsia="Calibri" w:hAnsi="Cambria Math" w:cs="Times New Roman"/>
          </w:rPr>
          <m:t xml:space="preserve"> e </m:t>
        </m:r>
        <m:sSub>
          <m:sSubPr>
            <m:ctrlPr>
              <w:rPr>
                <w:rFonts w:ascii="Cambria Math" w:eastAsia="Calibri" w:hAnsi="Cambria Math" w:cs="Times New Roman"/>
                <w:i/>
              </w:rPr>
            </m:ctrlPr>
          </m:sSubPr>
          <m:e>
            <m:r>
              <w:rPr>
                <w:rFonts w:ascii="Cambria Math" w:eastAsia="Calibri" w:hAnsi="Cambria Math" w:cs="Times New Roman"/>
              </w:rPr>
              <m:t>W</m:t>
            </m:r>
          </m:e>
          <m:sub>
            <m:r>
              <w:rPr>
                <w:rFonts w:ascii="Cambria Math" w:eastAsia="Calibri" w:hAnsi="Cambria Math" w:cs="Times New Roman"/>
              </w:rPr>
              <m:t>t</m:t>
            </m:r>
          </m:sub>
        </m:sSub>
        <m:r>
          <w:rPr>
            <w:rFonts w:ascii="Cambria Math" w:eastAsia="Calibri" w:hAnsi="Cambria Math" w:cs="Times New Roman"/>
          </w:rPr>
          <m:t>)</m:t>
        </m:r>
      </m:oMath>
      <w:r>
        <w:rPr>
          <w:rFonts w:eastAsia="Times New Roman" w:cs="Times New Roman"/>
        </w:rPr>
        <w:t xml:space="preserve"> estacionárias em convariância, o espectro condicional de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t</m:t>
            </m:r>
          </m:sub>
        </m:sSub>
      </m:oMath>
      <w:r>
        <w:rPr>
          <w:rFonts w:eastAsia="Times New Roman" w:cs="Times New Roman"/>
        </w:rPr>
        <w:t xml:space="preserve"> (variável de efeito) com respeito à </w:t>
      </w:r>
      <m:oMath>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t</m:t>
            </m:r>
          </m:sub>
        </m:sSub>
      </m:oMath>
      <w:r>
        <w:rPr>
          <w:rFonts w:eastAsia="Times New Roman" w:cs="Times New Roman"/>
        </w:rPr>
        <w:t xml:space="preserve"> (variável de causa) dado </w:t>
      </w:r>
      <m:oMath>
        <m:sSub>
          <m:sSubPr>
            <m:ctrlPr>
              <w:rPr>
                <w:rFonts w:ascii="Cambria Math" w:eastAsia="Calibri" w:hAnsi="Cambria Math" w:cs="Times New Roman"/>
                <w:i/>
              </w:rPr>
            </m:ctrlPr>
          </m:sSubPr>
          <m:e>
            <m:r>
              <w:rPr>
                <w:rFonts w:ascii="Cambria Math" w:eastAsia="Calibri" w:hAnsi="Cambria Math" w:cs="Times New Roman"/>
              </w:rPr>
              <m:t>W</m:t>
            </m:r>
          </m:e>
          <m:sub>
            <m:r>
              <w:rPr>
                <w:rFonts w:ascii="Cambria Math" w:eastAsia="Calibri" w:hAnsi="Cambria Math" w:cs="Times New Roman"/>
              </w:rPr>
              <m:t>t</m:t>
            </m:r>
          </m:sub>
        </m:sSub>
      </m:oMath>
      <w:r>
        <w:rPr>
          <w:rFonts w:eastAsia="Times New Roman" w:cs="Times New Roman"/>
        </w:rPr>
        <w:t xml:space="preserve"> (variável de controle) segue a abordagem de Geweke (1984):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364"/>
        <w:gridCol w:w="701"/>
      </w:tblGrid>
      <w:tr w:rsidR="00712C4A" w14:paraId="270DF00D" w14:textId="77777777" w:rsidTr="008D52D5">
        <w:tc>
          <w:tcPr>
            <w:tcW w:w="1129" w:type="dxa"/>
          </w:tcPr>
          <w:p w14:paraId="37ED5813" w14:textId="77777777" w:rsidR="00712C4A" w:rsidRDefault="00712C4A" w:rsidP="008D52D5">
            <w:pPr>
              <w:spacing w:line="240" w:lineRule="auto"/>
              <w:ind w:firstLine="0"/>
              <w:jc w:val="both"/>
              <w:rPr>
                <w:rFonts w:eastAsiaTheme="minorEastAsia" w:cs="Times New Roman"/>
                <w:szCs w:val="24"/>
              </w:rPr>
            </w:pPr>
          </w:p>
        </w:tc>
        <w:tc>
          <w:tcPr>
            <w:tcW w:w="8364" w:type="dxa"/>
          </w:tcPr>
          <w:p w14:paraId="2758A127" w14:textId="4AA96B51" w:rsidR="00712C4A" w:rsidRPr="0090555A" w:rsidRDefault="008D52D5" w:rsidP="008D52D5">
            <w:pPr>
              <w:spacing w:line="240" w:lineRule="auto"/>
              <w:jc w:val="both"/>
              <w:rPr>
                <w:rFonts w:eastAsia="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YX|W</m:t>
                    </m:r>
                  </m:sub>
                </m:sSub>
                <m:d>
                  <m:dPr>
                    <m:ctrlPr>
                      <w:rPr>
                        <w:rFonts w:ascii="Cambria Math" w:eastAsia="Times New Roman" w:hAnsi="Cambria Math" w:cs="Times New Roman"/>
                        <w:i/>
                      </w:rPr>
                    </m:ctrlPr>
                  </m:dPr>
                  <m:e>
                    <m:r>
                      <w:rPr>
                        <w:rFonts w:ascii="Cambria Math" w:eastAsia="Times New Roman" w:hAnsi="Cambria Math" w:cs="Times New Roman"/>
                      </w:rPr>
                      <m:t>w</m:t>
                    </m:r>
                  </m:e>
                </m:d>
                <m:r>
                  <w:rPr>
                    <w:rFonts w:ascii="Cambria Math" w:eastAsia="Times New Roman" w:hAnsi="Cambria Math" w:cs="Times New Roman"/>
                  </w:rPr>
                  <m:t>=</m:t>
                </m:r>
                <m:r>
                  <m:rPr>
                    <m:sty m:val="p"/>
                  </m:rPr>
                  <w:rPr>
                    <w:rFonts w:ascii="Cambria Math" w:eastAsia="Times New Roman" w:hAnsi="Cambria Math" w:cs="Times New Roman"/>
                  </w:rPr>
                  <m:t>ln⁡</m:t>
                </m:r>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X*X*</m:t>
                        </m:r>
                      </m:sub>
                    </m:sSub>
                    <m:d>
                      <m:dPr>
                        <m:ctrlPr>
                          <w:rPr>
                            <w:rFonts w:ascii="Cambria Math" w:eastAsia="Times New Roman" w:hAnsi="Cambria Math" w:cs="Times New Roman"/>
                            <w:i/>
                          </w:rPr>
                        </m:ctrlPr>
                      </m:dPr>
                      <m:e>
                        <m:r>
                          <w:rPr>
                            <w:rFonts w:ascii="Cambria Math" w:eastAsia="Times New Roman" w:hAnsi="Cambria Math" w:cs="Times New Roman"/>
                          </w:rPr>
                          <m:t>w</m:t>
                        </m:r>
                      </m:e>
                    </m:d>
                  </m:num>
                  <m:den>
                    <m:sSub>
                      <m:sSubPr>
                        <m:ctrlPr>
                          <w:rPr>
                            <w:rFonts w:ascii="Cambria Math" w:eastAsia="Times New Roman" w:hAnsi="Cambria Math" w:cs="Times New Roman"/>
                            <w:i/>
                          </w:rPr>
                        </m:ctrlPr>
                      </m:sSubPr>
                      <m:e>
                        <m:r>
                          <w:rPr>
                            <w:rFonts w:ascii="Cambria Math" w:eastAsia="Times New Roman" w:hAnsi="Cambria Math" w:cs="Times New Roman"/>
                          </w:rPr>
                          <m:t>Q</m:t>
                        </m:r>
                      </m:e>
                      <m:sub>
                        <m:r>
                          <w:rPr>
                            <w:rFonts w:ascii="Cambria Math" w:eastAsia="Times New Roman" w:hAnsi="Cambria Math" w:cs="Times New Roman"/>
                          </w:rPr>
                          <m:t>XX</m:t>
                        </m:r>
                      </m:sub>
                    </m:sSub>
                    <m:d>
                      <m:dPr>
                        <m:ctrlPr>
                          <w:rPr>
                            <w:rFonts w:ascii="Cambria Math" w:eastAsia="Times New Roman" w:hAnsi="Cambria Math" w:cs="Times New Roman"/>
                            <w:i/>
                          </w:rPr>
                        </m:ctrlPr>
                      </m:dPr>
                      <m:e>
                        <m:r>
                          <w:rPr>
                            <w:rFonts w:ascii="Cambria Math" w:eastAsia="Times New Roman" w:hAnsi="Cambria Math" w:cs="Times New Roman"/>
                          </w:rPr>
                          <m:t>w</m:t>
                        </m:r>
                      </m:e>
                    </m:d>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XX</m:t>
                        </m:r>
                      </m:sub>
                    </m:sSub>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Q</m:t>
                            </m:r>
                          </m:e>
                          <m:sub>
                            <m:r>
                              <w:rPr>
                                <w:rFonts w:ascii="Cambria Math" w:eastAsia="Times New Roman" w:hAnsi="Cambria Math" w:cs="Times New Roman"/>
                              </w:rPr>
                              <m:t>XX</m:t>
                            </m:r>
                          </m:sub>
                        </m:sSub>
                        <m:d>
                          <m:dPr>
                            <m:ctrlPr>
                              <w:rPr>
                                <w:rFonts w:ascii="Cambria Math" w:eastAsia="Times New Roman" w:hAnsi="Cambria Math" w:cs="Times New Roman"/>
                                <w:i/>
                              </w:rPr>
                            </m:ctrlPr>
                          </m:dPr>
                          <m:e>
                            <m:r>
                              <w:rPr>
                                <w:rFonts w:ascii="Cambria Math" w:eastAsia="Times New Roman" w:hAnsi="Cambria Math" w:cs="Times New Roman"/>
                              </w:rPr>
                              <m:t>w</m:t>
                            </m:r>
                          </m:e>
                        </m:d>
                      </m:e>
                      <m:sup>
                        <m:r>
                          <w:rPr>
                            <w:rFonts w:ascii="Cambria Math" w:eastAsia="Times New Roman" w:hAnsi="Cambria Math" w:cs="Times New Roman"/>
                          </w:rPr>
                          <m:t>*</m:t>
                        </m:r>
                      </m:sup>
                    </m:sSup>
                  </m:den>
                </m:f>
                <m:r>
                  <w:rPr>
                    <w:rFonts w:ascii="Cambria Math" w:eastAsia="Times New Roman" w:hAnsi="Cambria Math" w:cs="Times New Roman"/>
                  </w:rPr>
                  <m:t>)</m:t>
                </m:r>
              </m:oMath>
            </m:oMathPara>
          </w:p>
        </w:tc>
        <w:tc>
          <w:tcPr>
            <w:tcW w:w="701" w:type="dxa"/>
            <w:vAlign w:val="center"/>
          </w:tcPr>
          <w:p w14:paraId="0E2B1D41" w14:textId="1D7A9DEA" w:rsidR="00712C4A" w:rsidRDefault="00712C4A" w:rsidP="008D52D5">
            <w:pPr>
              <w:spacing w:line="240" w:lineRule="auto"/>
              <w:ind w:firstLine="0"/>
              <w:jc w:val="both"/>
              <w:rPr>
                <w:rFonts w:eastAsiaTheme="minorEastAsia" w:cs="Times New Roman"/>
                <w:szCs w:val="24"/>
              </w:rPr>
            </w:pPr>
            <w:r>
              <w:rPr>
                <w:rFonts w:eastAsiaTheme="minorEastAsia" w:cs="Times New Roman"/>
                <w:szCs w:val="24"/>
              </w:rPr>
              <w:t>(1</w:t>
            </w:r>
            <w:r w:rsidR="00430806">
              <w:rPr>
                <w:rFonts w:eastAsiaTheme="minorEastAsia" w:cs="Times New Roman"/>
                <w:szCs w:val="24"/>
              </w:rPr>
              <w:t>1</w:t>
            </w:r>
            <w:r>
              <w:rPr>
                <w:rFonts w:eastAsiaTheme="minorEastAsia" w:cs="Times New Roman"/>
                <w:szCs w:val="24"/>
              </w:rPr>
              <w:t>)</w:t>
            </w:r>
          </w:p>
        </w:tc>
      </w:tr>
    </w:tbl>
    <w:p w14:paraId="5774E3C1" w14:textId="77777777" w:rsidR="006C4859" w:rsidRDefault="006C4859" w:rsidP="00712C4A">
      <w:pPr>
        <w:spacing w:line="240" w:lineRule="auto"/>
        <w:jc w:val="both"/>
        <w:rPr>
          <w:rFonts w:eastAsia="Times New Roman" w:cs="Times New Roman"/>
        </w:rPr>
      </w:pPr>
    </w:p>
    <w:p w14:paraId="3050075A" w14:textId="3FC74FD2" w:rsidR="00712C4A" w:rsidRDefault="006C4859" w:rsidP="00712C4A">
      <w:pPr>
        <w:spacing w:line="240" w:lineRule="auto"/>
        <w:jc w:val="both"/>
        <w:rPr>
          <w:rFonts w:eastAsia="Times New Roman" w:cs="Times New Roman"/>
        </w:rPr>
      </w:pPr>
      <w:r>
        <w:rPr>
          <w:rFonts w:eastAsia="Times New Roman" w:cs="Times New Roman"/>
        </w:rPr>
        <w:t xml:space="preserve">Onde </w:t>
      </w:r>
      <m:oMath>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YX|W</m:t>
            </m:r>
          </m:sub>
        </m:sSub>
        <m:d>
          <m:dPr>
            <m:ctrlPr>
              <w:rPr>
                <w:rFonts w:ascii="Cambria Math" w:eastAsia="Times New Roman" w:hAnsi="Cambria Math" w:cs="Times New Roman"/>
                <w:i/>
              </w:rPr>
            </m:ctrlPr>
          </m:dPr>
          <m:e>
            <m:r>
              <w:rPr>
                <w:rFonts w:ascii="Cambria Math" w:eastAsia="Times New Roman" w:hAnsi="Cambria Math" w:cs="Times New Roman"/>
              </w:rPr>
              <m:t>w</m:t>
            </m:r>
          </m:e>
        </m:d>
      </m:oMath>
      <w:r>
        <w:rPr>
          <w:rFonts w:eastAsia="Times New Roman" w:cs="Times New Roman"/>
        </w:rPr>
        <w:t xml:space="preserve"> varia no intervalo </w:t>
      </w:r>
      <m:oMath>
        <m:r>
          <w:rPr>
            <w:rFonts w:ascii="Cambria Math" w:eastAsia="Times New Roman" w:hAnsi="Cambria Math" w:cs="Times New Roman"/>
          </w:rPr>
          <m:t>(0,∞)</m:t>
        </m:r>
      </m:oMath>
      <w:r>
        <w:rPr>
          <w:rFonts w:eastAsia="Times New Roman" w:cs="Times New Roman"/>
        </w:rPr>
        <w:t xml:space="preserve">, com </w:t>
      </w:r>
      <m:oMath>
        <m:r>
          <w:rPr>
            <w:rFonts w:ascii="Cambria Math" w:eastAsia="Times New Roman" w:hAnsi="Cambria Math" w:cs="Times New Roman"/>
          </w:rPr>
          <m:t>w</m:t>
        </m:r>
      </m:oMath>
      <w:r>
        <w:rPr>
          <w:rFonts w:eastAsia="Times New Roman" w:cs="Times New Roman"/>
        </w:rPr>
        <w:t xml:space="preserve"> variando entre </w:t>
      </w:r>
      <m:oMath>
        <m:r>
          <w:rPr>
            <w:rFonts w:ascii="Cambria Math" w:eastAsia="Times New Roman" w:hAnsi="Cambria Math" w:cs="Times New Roman"/>
          </w:rPr>
          <m:t>(</m:t>
        </m:r>
      </m:oMath>
      <w:r>
        <w:rPr>
          <w:rFonts w:eastAsia="Times New Roman" w:cs="Times New Roman"/>
        </w:rPr>
        <w:t>-</w:t>
      </w:r>
      <m:oMath>
        <m:r>
          <w:rPr>
            <w:rFonts w:ascii="Cambria Math" w:eastAsia="Times New Roman" w:hAnsi="Cambria Math" w:cs="Times New Roman"/>
          </w:rPr>
          <m:t>π</m:t>
        </m:r>
      </m:oMath>
      <w:r>
        <w:rPr>
          <w:rFonts w:eastAsia="Times New Roman" w:cs="Times New Roman"/>
        </w:rPr>
        <w:t xml:space="preserve">, </w:t>
      </w:r>
      <m:oMath>
        <m:r>
          <w:rPr>
            <w:rFonts w:ascii="Cambria Math" w:eastAsia="Times New Roman" w:hAnsi="Cambria Math" w:cs="Times New Roman"/>
          </w:rPr>
          <m:t>π</m:t>
        </m:r>
      </m:oMath>
      <w:r>
        <w:rPr>
          <w:rFonts w:eastAsia="Times New Roman" w:cs="Times New Roman"/>
        </w:rPr>
        <w:t xml:space="preserve">). Portanto </w:t>
      </w:r>
      <m:oMath>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YX|W</m:t>
            </m:r>
          </m:sub>
        </m:sSub>
        <m:d>
          <m:dPr>
            <m:ctrlPr>
              <w:rPr>
                <w:rFonts w:ascii="Cambria Math" w:eastAsia="Times New Roman" w:hAnsi="Cambria Math" w:cs="Times New Roman"/>
                <w:i/>
              </w:rPr>
            </m:ctrlPr>
          </m:dPr>
          <m:e>
            <m:r>
              <w:rPr>
                <w:rFonts w:ascii="Cambria Math" w:eastAsia="Times New Roman" w:hAnsi="Cambria Math" w:cs="Times New Roman"/>
              </w:rPr>
              <m:t>w</m:t>
            </m:r>
          </m:e>
        </m:d>
      </m:oMath>
      <w:r>
        <w:rPr>
          <w:rFonts w:eastAsia="Times New Roman" w:cs="Times New Roman"/>
        </w:rPr>
        <w:t xml:space="preserve"> indica se os valores passados de </w:t>
      </w:r>
      <m:oMath>
        <m:r>
          <w:rPr>
            <w:rFonts w:ascii="Cambria Math" w:eastAsia="Times New Roman" w:hAnsi="Cambria Math" w:cs="Times New Roman"/>
          </w:rPr>
          <m:t>Y</m:t>
        </m:r>
      </m:oMath>
      <w:r>
        <w:rPr>
          <w:rFonts w:eastAsia="Times New Roman" w:cs="Times New Roman"/>
        </w:rPr>
        <w:t xml:space="preserve"> são capazes de prever as condições correntes de </w:t>
      </w:r>
      <m:oMath>
        <m:r>
          <w:rPr>
            <w:rFonts w:ascii="Cambria Math" w:eastAsia="Times New Roman" w:hAnsi="Cambria Math" w:cs="Times New Roman"/>
          </w:rPr>
          <m:t>X</m:t>
        </m:r>
      </m:oMath>
      <w:r>
        <w:rPr>
          <w:rFonts w:eastAsia="Times New Roman" w:cs="Times New Roman"/>
        </w:rPr>
        <w:t xml:space="preserve"> nos ciclos de frequência </w:t>
      </w:r>
      <m:oMath>
        <m:r>
          <w:rPr>
            <w:rFonts w:ascii="Cambria Math" w:eastAsia="Times New Roman" w:hAnsi="Cambria Math" w:cs="Times New Roman"/>
          </w:rPr>
          <m:t>w</m:t>
        </m:r>
      </m:oMath>
      <w:r>
        <w:rPr>
          <w:rFonts w:eastAsia="Times New Roman" w:cs="Times New Roman"/>
        </w:rPr>
        <w:t xml:space="preserve">, excluindo os efeitos mediados pelos valores passados de </w:t>
      </w:r>
      <m:oMath>
        <m:r>
          <w:rPr>
            <w:rFonts w:ascii="Cambria Math" w:eastAsia="Times New Roman" w:hAnsi="Cambria Math" w:cs="Times New Roman"/>
          </w:rPr>
          <m:t>W</m:t>
        </m:r>
      </m:oMath>
      <w:r>
        <w:rPr>
          <w:rFonts w:eastAsia="Times New Roman" w:cs="Times New Roman"/>
        </w:rPr>
        <w:t xml:space="preserve">. Uma vez que a distribuição das estatísticas de Granger não são estabelecidas no domínio da frequência, utiliza-se a amostragem de 1000 tiragens por </w:t>
      </w:r>
      <w:r>
        <w:rPr>
          <w:rFonts w:eastAsia="Times New Roman" w:cs="Times New Roman"/>
          <w:i/>
          <w:iCs/>
        </w:rPr>
        <w:t>bootstrap</w:t>
      </w:r>
      <w:r>
        <w:rPr>
          <w:rFonts w:eastAsia="Times New Roman" w:cs="Times New Roman"/>
        </w:rPr>
        <w:t xml:space="preserve">, para calcular os níveis de significância da função Granger. Se o valor da estatística de Granger na frequência </w:t>
      </w:r>
      <m:oMath>
        <m:r>
          <w:rPr>
            <w:rFonts w:ascii="Cambria Math" w:eastAsia="Times New Roman" w:hAnsi="Cambria Math" w:cs="Times New Roman"/>
          </w:rPr>
          <m:t>w</m:t>
        </m:r>
      </m:oMath>
      <w:r>
        <w:rPr>
          <w:rFonts w:eastAsia="Times New Roman" w:cs="Times New Roman"/>
        </w:rPr>
        <w:t xml:space="preserve"> for superior ao valor mediano estimado via </w:t>
      </w:r>
      <w:r>
        <w:rPr>
          <w:rFonts w:eastAsia="Times New Roman" w:cs="Times New Roman"/>
          <w:i/>
          <w:iCs/>
        </w:rPr>
        <w:t>bootstrap</w:t>
      </w:r>
      <w:r>
        <w:rPr>
          <w:rFonts w:eastAsia="Times New Roman" w:cs="Times New Roman"/>
        </w:rPr>
        <w:t xml:space="preserve"> em um nível de significância de 5%, então rejeita-se a hipótese nula de que a série </w:t>
      </w:r>
      <m:oMath>
        <m:r>
          <w:rPr>
            <w:rFonts w:ascii="Cambria Math" w:eastAsia="Times New Roman" w:hAnsi="Cambria Math" w:cs="Times New Roman"/>
          </w:rPr>
          <m:t>Y</m:t>
        </m:r>
      </m:oMath>
      <w:r>
        <w:rPr>
          <w:rFonts w:eastAsia="Times New Roman" w:cs="Times New Roman"/>
        </w:rPr>
        <w:t xml:space="preserve"> não causa no sentido de Granger a série </w:t>
      </w:r>
      <m:oMath>
        <m:r>
          <w:rPr>
            <w:rFonts w:ascii="Cambria Math" w:eastAsia="Times New Roman" w:hAnsi="Cambria Math" w:cs="Times New Roman"/>
          </w:rPr>
          <m:t>X</m:t>
        </m:r>
      </m:oMath>
      <w:r>
        <w:rPr>
          <w:rFonts w:eastAsia="Times New Roman" w:cs="Times New Roman"/>
        </w:rPr>
        <w:t xml:space="preserve"> ao nível de frequência </w:t>
      </w:r>
      <m:oMath>
        <m:r>
          <w:rPr>
            <w:rFonts w:ascii="Cambria Math" w:eastAsia="Times New Roman" w:hAnsi="Cambria Math" w:cs="Times New Roman"/>
          </w:rPr>
          <m:t>w</m:t>
        </m:r>
      </m:oMath>
      <w:r>
        <w:rPr>
          <w:rFonts w:eastAsia="Times New Roman" w:cs="Times New Roman"/>
        </w:rPr>
        <w:t>.</w:t>
      </w:r>
    </w:p>
    <w:p w14:paraId="749BBA9F" w14:textId="1557E73D" w:rsidR="006C4859" w:rsidRPr="006C4859" w:rsidRDefault="006C4859" w:rsidP="00712C4A">
      <w:pPr>
        <w:spacing w:line="240" w:lineRule="auto"/>
        <w:jc w:val="both"/>
        <w:rPr>
          <w:rFonts w:eastAsia="Times New Roman" w:cs="Times New Roman"/>
        </w:rPr>
      </w:pPr>
      <w:r>
        <w:rPr>
          <w:rFonts w:eastAsia="Times New Roman" w:cs="Times New Roman"/>
        </w:rPr>
        <w:t xml:space="preserve">Por fim, é interessante pontuar que os ciclos de referência na abordagem </w:t>
      </w:r>
      <w:r w:rsidR="00430806">
        <w:rPr>
          <w:rFonts w:eastAsia="Times New Roman" w:cs="Times New Roman"/>
        </w:rPr>
        <w:t xml:space="preserve">frequentista possuem periodicidade igual à </w:t>
      </w:r>
      <m:oMath>
        <m:r>
          <w:rPr>
            <w:rFonts w:ascii="Cambria Math" w:eastAsia="Times New Roman" w:hAnsi="Cambria Math" w:cs="Times New Roman"/>
          </w:rPr>
          <m:t>1/w</m:t>
        </m:r>
      </m:oMath>
      <w:r w:rsidR="00430806">
        <w:rPr>
          <w:rFonts w:eastAsia="Times New Roman" w:cs="Times New Roman"/>
        </w:rPr>
        <w:t xml:space="preserve">, com a frequência </w:t>
      </w:r>
      <m:oMath>
        <m:r>
          <w:rPr>
            <w:rFonts w:ascii="Cambria Math" w:eastAsia="Times New Roman" w:hAnsi="Cambria Math" w:cs="Times New Roman"/>
          </w:rPr>
          <m:t>w</m:t>
        </m:r>
      </m:oMath>
      <w:r w:rsidR="00430806">
        <w:rPr>
          <w:rFonts w:eastAsia="Times New Roman" w:cs="Times New Roman"/>
        </w:rPr>
        <w:t xml:space="preserve"> oscilando entre 0.0 e 0.5 em nossa análise. Para facilitar a visualização dos ciclos de</w:t>
      </w:r>
      <w:r w:rsidR="00813107">
        <w:rPr>
          <w:rFonts w:eastAsia="Times New Roman" w:cs="Times New Roman"/>
        </w:rPr>
        <w:t xml:space="preserve"> </w:t>
      </w:r>
      <w:r w:rsidR="00430806">
        <w:rPr>
          <w:rFonts w:eastAsia="Times New Roman" w:cs="Times New Roman"/>
        </w:rPr>
        <w:t xml:space="preserve">referência em interesse, aplicamos uma transformação sobre os níveis de frequência de modo que </w:t>
      </w:r>
      <m:oMath>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rPr>
              <m:t>'</m:t>
            </m:r>
          </m:sup>
        </m:sSup>
        <m:r>
          <w:rPr>
            <w:rFonts w:ascii="Cambria Math" w:eastAsia="Times New Roman" w:hAnsi="Cambria Math" w:cs="Times New Roman"/>
          </w:rPr>
          <m:t>=4w</m:t>
        </m:r>
      </m:oMath>
      <w:r w:rsidR="00430806">
        <w:rPr>
          <w:rFonts w:eastAsia="Times New Roman" w:cs="Times New Roman"/>
        </w:rPr>
        <w:t xml:space="preserve">, e os ciclos de referência passam a possuir periodicidade igual a </w:t>
      </w:r>
      <m:oMath>
        <m:r>
          <w:rPr>
            <w:rFonts w:ascii="Cambria Math" w:eastAsia="Times New Roman" w:hAnsi="Cambria Math" w:cs="Times New Roman"/>
          </w:rPr>
          <m:t>4/w</m:t>
        </m:r>
      </m:oMath>
      <w:r w:rsidR="00430806">
        <w:rPr>
          <w:rFonts w:eastAsia="Times New Roman" w:cs="Times New Roman"/>
        </w:rPr>
        <w:t>. Em suma, frequências iguais à 2.0, 1.0, 0.5 e 0.25, representam ciclos com periodicidade iguais a 2, 4, 8 e 16 trimestres, respectivamente.</w:t>
      </w:r>
    </w:p>
    <w:p w14:paraId="7F9870A2" w14:textId="77777777" w:rsidR="006F2D03" w:rsidRDefault="006F2D03" w:rsidP="005433CD">
      <w:pPr>
        <w:spacing w:line="240" w:lineRule="auto"/>
        <w:ind w:firstLine="0"/>
        <w:jc w:val="both"/>
        <w:rPr>
          <w:noProof/>
        </w:rPr>
      </w:pPr>
    </w:p>
    <w:p w14:paraId="693C4DC8" w14:textId="59CCA8E1" w:rsidR="005433CD" w:rsidRDefault="005433CD" w:rsidP="005433CD">
      <w:pPr>
        <w:pStyle w:val="Heading1"/>
        <w:spacing w:line="240" w:lineRule="auto"/>
      </w:pPr>
      <w:bookmarkStart w:id="11" w:name="_Toc496278362"/>
      <w:bookmarkStart w:id="12" w:name="_Toc502166299"/>
      <w:bookmarkStart w:id="13" w:name="_Toc482104695"/>
      <w:r w:rsidRPr="00836BE7">
        <w:t>RESULTADOS</w:t>
      </w:r>
      <w:bookmarkEnd w:id="11"/>
      <w:bookmarkEnd w:id="12"/>
      <w:r w:rsidRPr="00836BE7">
        <w:t xml:space="preserve"> </w:t>
      </w:r>
      <w:bookmarkEnd w:id="13"/>
    </w:p>
    <w:p w14:paraId="4980DB3B" w14:textId="77777777" w:rsidR="005433CD" w:rsidRDefault="005433CD" w:rsidP="005433CD">
      <w:pPr>
        <w:spacing w:line="240" w:lineRule="auto"/>
        <w:rPr>
          <w:lang w:val="en-US"/>
        </w:rPr>
      </w:pPr>
    </w:p>
    <w:p w14:paraId="6F673DA6" w14:textId="34E85F75" w:rsidR="005433CD" w:rsidRPr="00237AD4" w:rsidRDefault="002B2C5D" w:rsidP="005433CD">
      <w:pPr>
        <w:pStyle w:val="Heading2"/>
      </w:pPr>
      <w:r>
        <w:t>Construção dos Ciclos Econômicos do Saldo de Emprego Formal dos Estados via Wavelet</w:t>
      </w:r>
    </w:p>
    <w:p w14:paraId="6EE14A00" w14:textId="17726F6D" w:rsidR="00C91B21" w:rsidRDefault="003212C7" w:rsidP="002B2C5D">
      <w:pPr>
        <w:spacing w:line="240" w:lineRule="auto"/>
        <w:jc w:val="both"/>
      </w:pPr>
      <w:r>
        <w:t xml:space="preserve">A construção dos ciclos econômicos do mercado de trabalho formal </w:t>
      </w:r>
      <w:r w:rsidR="004A4C5C">
        <w:t>é realizada a partir da decomposição das flutuações das séries associadas dimensionadas de acordo com uma escala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∆t</m:t>
        </m:r>
      </m:oMath>
      <w:r w:rsidR="004A4C5C">
        <w:rPr>
          <w:rFonts w:eastAsiaTheme="minorEastAsia"/>
        </w:rPr>
        <w:t xml:space="preserve">) localizada em um intervalo particular de períodos temporais, ou seja, os coeficientes associados mensuram as flutuações médias ponderadas que ocorrem a partir de um particular período de tempo de dimensão </w:t>
      </w:r>
      <m:oMath>
        <m:r>
          <w:rPr>
            <w:rFonts w:ascii="Cambria Math" w:hAnsi="Cambria Math"/>
          </w:rPr>
          <m:t>∆t</m:t>
        </m:r>
      </m:oMath>
      <w:r w:rsidR="004A4C5C">
        <w:rPr>
          <w:rFonts w:eastAsiaTheme="minorEastAsia"/>
        </w:rPr>
        <w:t xml:space="preserve"> </w:t>
      </w:r>
      <w:r w:rsidR="00C91B21">
        <w:rPr>
          <w:rFonts w:eastAsiaTheme="minorEastAsia"/>
        </w:rPr>
        <w:t xml:space="preserve">para o próximo particular período de tempo. A reconstrução é realizada a partir da família </w:t>
      </w:r>
      <w:r w:rsidR="00C91B21">
        <w:rPr>
          <w:rFonts w:eastAsiaTheme="minorEastAsia"/>
          <w:i/>
          <w:iCs/>
        </w:rPr>
        <w:t>wavelet biorthogonal</w:t>
      </w:r>
      <w:r w:rsidR="00C91B21">
        <w:rPr>
          <w:rFonts w:eastAsiaTheme="minorEastAsia"/>
        </w:rPr>
        <w:t xml:space="preserve">, com função dimensionamento replicado por um polinômio de grau 5. </w:t>
      </w:r>
    </w:p>
    <w:p w14:paraId="317C17DF" w14:textId="37D21A01" w:rsidR="006B51A2" w:rsidRDefault="00C91B21" w:rsidP="002B2C5D">
      <w:pPr>
        <w:spacing w:line="240" w:lineRule="auto"/>
        <w:jc w:val="both"/>
      </w:pPr>
      <w:r>
        <w:t>Até o nível de detalhamento 0 as flut</w:t>
      </w:r>
      <w:r w:rsidR="003D6AC4">
        <w:t>u</w:t>
      </w:r>
      <w:r>
        <w:t xml:space="preserve">ações temporais são obtidas a partir de um filtro </w:t>
      </w:r>
      <w:r>
        <w:rPr>
          <w:i/>
          <w:iCs/>
        </w:rPr>
        <w:t>lowpass,</w:t>
      </w:r>
      <w:r>
        <w:t xml:space="preserve"> que não permite a passagem de sinais com frequência inferior a 32 trimestres. Nos níveis de detalhamento 0,1 e 2 a transformada de </w:t>
      </w:r>
      <w:r>
        <w:rPr>
          <w:i/>
          <w:iCs/>
        </w:rPr>
        <w:t>wavelet</w:t>
      </w:r>
      <w:r>
        <w:t xml:space="preserve"> </w:t>
      </w:r>
      <w:r w:rsidR="00155573">
        <w:t xml:space="preserve">é construída através de um filtro </w:t>
      </w:r>
      <w:r w:rsidR="00155573">
        <w:rPr>
          <w:i/>
          <w:iCs/>
        </w:rPr>
        <w:t>band-pass</w:t>
      </w:r>
      <w:r w:rsidR="00155573">
        <w:t xml:space="preserve">, os quais coletam sinais com frequência de 16-32, 8-16 e 4-8 trimestres, respectivamente, enquanto o nível 3 corresponde a um filtro </w:t>
      </w:r>
      <w:r>
        <w:t xml:space="preserve"> </w:t>
      </w:r>
      <w:r w:rsidR="00155573">
        <w:rPr>
          <w:i/>
        </w:rPr>
        <w:t xml:space="preserve"> </w:t>
      </w:r>
      <w:r w:rsidR="006B51A2">
        <w:rPr>
          <w:i/>
        </w:rPr>
        <w:t>highpass</w:t>
      </w:r>
      <w:r w:rsidR="006B51A2">
        <w:t xml:space="preserve">, </w:t>
      </w:r>
      <w:r w:rsidR="00155573">
        <w:t>capturando</w:t>
      </w:r>
      <w:r w:rsidR="006B51A2">
        <w:t xml:space="preserve"> sinais com banda de frequência inferiores </w:t>
      </w:r>
      <w:r w:rsidR="00382A32">
        <w:t>a</w:t>
      </w:r>
      <w:r w:rsidR="006B51A2">
        <w:t xml:space="preserve"> 4 períodos (ruídos de alta frequência).</w:t>
      </w:r>
    </w:p>
    <w:p w14:paraId="24864A17" w14:textId="77777777" w:rsidR="007B06A6" w:rsidRDefault="007B06A6" w:rsidP="00C17EE3">
      <w:pPr>
        <w:pStyle w:val="TtuloFigura"/>
        <w:spacing w:line="240" w:lineRule="auto"/>
        <w:ind w:firstLine="0"/>
        <w:jc w:val="center"/>
      </w:pPr>
    </w:p>
    <w:p w14:paraId="75C0E518" w14:textId="4DED5297" w:rsidR="000233BE" w:rsidRDefault="000233BE" w:rsidP="00C17EE3">
      <w:pPr>
        <w:pStyle w:val="TtuloFigura"/>
        <w:spacing w:line="240" w:lineRule="auto"/>
        <w:ind w:firstLine="0"/>
        <w:jc w:val="center"/>
      </w:pPr>
      <w:r>
        <w:t xml:space="preserve">Figura </w:t>
      </w:r>
      <w:r w:rsidR="000E0BF3">
        <w:t>2</w:t>
      </w:r>
      <w:r>
        <w:t>: Representação Multir</w:t>
      </w:r>
      <w:r w:rsidR="00657B08">
        <w:t>r</w:t>
      </w:r>
      <w:r>
        <w:t xml:space="preserve">esolução </w:t>
      </w:r>
      <w:r>
        <w:rPr>
          <w:i/>
        </w:rPr>
        <w:t>Wavelet</w:t>
      </w:r>
      <w:r>
        <w:t xml:space="preserve"> do Ciclo de Negócios – Setor de Transformação</w:t>
      </w:r>
    </w:p>
    <w:p w14:paraId="7BE8BFCF" w14:textId="40C4D0CD" w:rsidR="00852635" w:rsidRPr="00C17EE3" w:rsidRDefault="00852635" w:rsidP="00852635">
      <w:pPr>
        <w:pStyle w:val="TtuloFigura"/>
        <w:spacing w:line="240" w:lineRule="auto"/>
        <w:ind w:firstLine="0"/>
        <w:jc w:val="center"/>
        <w:rPr>
          <w:sz w:val="20"/>
          <w:szCs w:val="20"/>
        </w:rPr>
      </w:pPr>
      <w:r w:rsidRPr="00C17EE3">
        <w:rPr>
          <w:sz w:val="20"/>
          <w:szCs w:val="20"/>
        </w:rPr>
        <w:t>Detallhamento de Nível 2:  Ciclos de 4-8 trimestres</w:t>
      </w:r>
    </w:p>
    <w:p w14:paraId="3867A0A5" w14:textId="46BC2ABF" w:rsidR="007E70FD" w:rsidRDefault="007E70FD" w:rsidP="007E70FD">
      <w:pPr>
        <w:pStyle w:val="TtuloFigura"/>
        <w:spacing w:line="240" w:lineRule="auto"/>
        <w:ind w:firstLine="0"/>
        <w:jc w:val="center"/>
      </w:pPr>
      <w:r>
        <w:rPr>
          <w:noProof/>
        </w:rPr>
        <w:drawing>
          <wp:inline distT="0" distB="0" distL="0" distR="0" wp14:anchorId="5BD8236C" wp14:editId="1E68A2F7">
            <wp:extent cx="4394446" cy="1288102"/>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6864" cy="1303467"/>
                    </a:xfrm>
                    <a:prstGeom prst="rect">
                      <a:avLst/>
                    </a:prstGeom>
                  </pic:spPr>
                </pic:pic>
              </a:graphicData>
            </a:graphic>
          </wp:inline>
        </w:drawing>
      </w:r>
    </w:p>
    <w:p w14:paraId="3BC0C471" w14:textId="4683E775" w:rsidR="00852635" w:rsidRPr="00C17EE3" w:rsidRDefault="00852635" w:rsidP="007E70FD">
      <w:pPr>
        <w:pStyle w:val="TtuloFigura"/>
        <w:spacing w:line="240" w:lineRule="auto"/>
        <w:ind w:firstLine="0"/>
        <w:jc w:val="center"/>
        <w:rPr>
          <w:sz w:val="20"/>
          <w:szCs w:val="20"/>
        </w:rPr>
      </w:pPr>
      <w:r w:rsidRPr="00C17EE3">
        <w:rPr>
          <w:sz w:val="20"/>
          <w:szCs w:val="20"/>
        </w:rPr>
        <w:t>Detallhamento de Nível 1:  Ciclos de 8-16 trimestres</w:t>
      </w:r>
    </w:p>
    <w:p w14:paraId="48AD76A1" w14:textId="0E2FED23" w:rsidR="005B1FD5" w:rsidRDefault="00CC3BC8" w:rsidP="007E70FD">
      <w:pPr>
        <w:pStyle w:val="TtuloFigura"/>
        <w:spacing w:line="240" w:lineRule="auto"/>
        <w:ind w:firstLine="0"/>
        <w:jc w:val="center"/>
      </w:pPr>
      <w:r>
        <w:rPr>
          <w:noProof/>
        </w:rPr>
        <w:drawing>
          <wp:inline distT="0" distB="0" distL="0" distR="0" wp14:anchorId="2C0E5282" wp14:editId="1F437450">
            <wp:extent cx="4536489" cy="12821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8898" cy="1311111"/>
                    </a:xfrm>
                    <a:prstGeom prst="rect">
                      <a:avLst/>
                    </a:prstGeom>
                  </pic:spPr>
                </pic:pic>
              </a:graphicData>
            </a:graphic>
          </wp:inline>
        </w:drawing>
      </w:r>
    </w:p>
    <w:p w14:paraId="5FA9189A" w14:textId="2A387868" w:rsidR="00852635" w:rsidRPr="00C17EE3" w:rsidRDefault="00852635" w:rsidP="00852635">
      <w:pPr>
        <w:pStyle w:val="TtuloFigura"/>
        <w:spacing w:line="240" w:lineRule="auto"/>
        <w:ind w:firstLine="0"/>
        <w:jc w:val="center"/>
        <w:rPr>
          <w:sz w:val="20"/>
          <w:szCs w:val="20"/>
        </w:rPr>
      </w:pPr>
      <w:r w:rsidRPr="00C17EE3">
        <w:rPr>
          <w:sz w:val="20"/>
          <w:szCs w:val="20"/>
        </w:rPr>
        <w:t>Detallhamento de Nível 0:  Ciclos de 16-32 trimestres</w:t>
      </w:r>
    </w:p>
    <w:p w14:paraId="64408359" w14:textId="71F0249A" w:rsidR="00CC3BC8" w:rsidRDefault="00A130CA" w:rsidP="007E70FD">
      <w:pPr>
        <w:pStyle w:val="TtuloFigura"/>
        <w:spacing w:line="240" w:lineRule="auto"/>
        <w:ind w:firstLine="0"/>
        <w:jc w:val="center"/>
      </w:pPr>
      <w:r>
        <w:rPr>
          <w:noProof/>
        </w:rPr>
        <w:drawing>
          <wp:inline distT="0" distB="0" distL="0" distR="0" wp14:anchorId="24B9211B" wp14:editId="5EBB341D">
            <wp:extent cx="4465468" cy="11308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3584" cy="1165785"/>
                    </a:xfrm>
                    <a:prstGeom prst="rect">
                      <a:avLst/>
                    </a:prstGeom>
                  </pic:spPr>
                </pic:pic>
              </a:graphicData>
            </a:graphic>
          </wp:inline>
        </w:drawing>
      </w:r>
    </w:p>
    <w:p w14:paraId="1E54FF9B" w14:textId="77777777" w:rsidR="000233BE" w:rsidRPr="00C17EE3" w:rsidRDefault="000233BE" w:rsidP="00A130CA">
      <w:pPr>
        <w:pStyle w:val="NoSpacing"/>
        <w:jc w:val="center"/>
        <w:rPr>
          <w:rFonts w:ascii="Times New Roman" w:hAnsi="Times New Roman"/>
          <w:sz w:val="16"/>
          <w:szCs w:val="16"/>
        </w:rPr>
      </w:pPr>
      <w:r w:rsidRPr="00C17EE3">
        <w:rPr>
          <w:rFonts w:ascii="Times New Roman" w:hAnsi="Times New Roman"/>
          <w:sz w:val="16"/>
          <w:szCs w:val="16"/>
        </w:rPr>
        <w:t>Fonte: Elaborado pelo autor.</w:t>
      </w:r>
    </w:p>
    <w:p w14:paraId="6B2762F5" w14:textId="77777777" w:rsidR="008C2614" w:rsidRPr="006B51A2" w:rsidRDefault="008C2614" w:rsidP="005433CD">
      <w:pPr>
        <w:spacing w:line="240" w:lineRule="auto"/>
        <w:jc w:val="both"/>
      </w:pPr>
    </w:p>
    <w:p w14:paraId="6293AEC2" w14:textId="77777777" w:rsidR="007B06A6" w:rsidRDefault="007B06A6" w:rsidP="007B06A6">
      <w:pPr>
        <w:spacing w:line="240" w:lineRule="auto"/>
        <w:jc w:val="both"/>
      </w:pPr>
    </w:p>
    <w:p w14:paraId="74129495" w14:textId="57019DBE" w:rsidR="007B06A6" w:rsidRDefault="007B06A6" w:rsidP="007B06A6">
      <w:pPr>
        <w:spacing w:line="240" w:lineRule="auto"/>
        <w:jc w:val="both"/>
      </w:pPr>
      <w:r>
        <w:t xml:space="preserve">A partir da definição clássica de ciclos de negócios, este artigo realiza uma adaptação da regra de Burns e Mitchell (1946), decompondo os ciclos econômicos associados aos Estados em análise a partir dos níveis de detalhamento 0-2, capturando flutuações temporais com frequência de 4-32 trimestres, mostradas na Figura 1.A representação redimensionada das bandas de frequência associadas ao ciclo de negócios clássicos revela uma rica caracterização das flutuações no setor formal do mercado de trabalho das UFs selecionadas. </w:t>
      </w:r>
    </w:p>
    <w:p w14:paraId="729E537A" w14:textId="56A431AD" w:rsidR="007B06A6" w:rsidRDefault="007B06A6" w:rsidP="007B06A6">
      <w:pPr>
        <w:spacing w:line="240" w:lineRule="auto"/>
        <w:jc w:val="both"/>
      </w:pPr>
      <w:r>
        <w:t xml:space="preserve">A análise dos ciclos de curto prazo (4-8 trimestres) captura dois movimentos importantes no saldo de emprego formal, é possível observar que a crise energética vivenciada pelo Brasil entre </w:t>
      </w:r>
      <w:r>
        <w:lastRenderedPageBreak/>
        <w:t>2001:02/2001:04 coincide com um pico e vale associado as flutuações estaduais, indicando que a mesma gerou uma recessão de curtíssimo prazo no mercado formal de trabalho. No entanto, a fase de recessão mais intensa no ciclo de curto prazo está associada ao período 2011:01-2011:04, período marcado por mudanças no arranjo de política econômica (medidas abandonadas já em 2012, com a nova matriz econômica) após o período de políticas antíciclicas adotadas frente a crise internacional de 2008 (Dweck e Teixeira, 2017).</w:t>
      </w:r>
    </w:p>
    <w:p w14:paraId="42CD7D30" w14:textId="3FB2E1CC" w:rsidR="00C83031" w:rsidRDefault="00360B57" w:rsidP="002B2C5D">
      <w:pPr>
        <w:spacing w:line="240" w:lineRule="auto"/>
        <w:jc w:val="both"/>
      </w:pPr>
      <w:r>
        <w:t xml:space="preserve">Em referência aos ciclos de 8-16 trimestres, pode-se ressaltar a presença de três fases de recessão comuns entre os Estados, a primeira </w:t>
      </w:r>
      <w:r w:rsidR="00C83031">
        <w:t>relacioanada a crise energética já ressaltada, em seguida, observa-se uma fase de recessão entre 2010:03-2012:01, afetando de forma mais forte os três estados da região sul e, por fim, note que a crise nacional de 2014 gerou uma fase de recessão intensa em um horizonte de médio prazo, com o pico no ciclo dos estados sendo atingido em 2014:01, dois trimestres antes do início da recessão na atividade econômica nacional. É importante observar também que uma nova fase de recessão no ciclo de médio prazo passou a vigorar a partir de 2016:02, perdurando até o fim do período amostral, confirmando as condições adversas ainda vigentes na economia nacional.</w:t>
      </w:r>
    </w:p>
    <w:p w14:paraId="485D5F24" w14:textId="3D0D3B90" w:rsidR="00C83031" w:rsidRDefault="00B37C3A" w:rsidP="002B2C5D">
      <w:pPr>
        <w:spacing w:line="240" w:lineRule="auto"/>
        <w:jc w:val="both"/>
      </w:pPr>
      <w:r>
        <w:t xml:space="preserve">Por fim, analisando os sinais de frequência presentes entre 16-32 trimestres, pode-se observar </w:t>
      </w:r>
      <w:r w:rsidR="00A36E88">
        <w:t>o impacto da crise econômica internacional sobre</w:t>
      </w:r>
      <w:r w:rsidR="00F11CD1">
        <w:t xml:space="preserve"> os ciclos econômicos do setor formal do mercado de trabalho</w:t>
      </w:r>
      <w:r w:rsidR="00A36E88">
        <w:t xml:space="preserve">. O máximo local que marca o início da fase de recessão é datado entre 2007:02-2007:04 para todos os Estados, relacionando-se com o início da fase de recessão da economia americana (2007:02), com base nas datações da NBER. Observa-se que o ciclo de recessão perdurou até 2009:02-2010:01, indicando que o efeito das políticas antíciclicas adotadas pelo governo federal, exigiu um período maior de maturação. Por fim, os ciclos de “longo prazo” das UFs sugerem que a fase de recessão associada à crise nacional de 2014 foi iniciada </w:t>
      </w:r>
      <w:r w:rsidR="006E2A70">
        <w:t>entre 2011:04-2012:04 perdurando até 2015:03-2016:01, antecipando o esgotamento dos efeitos da nova matriz econômica sobre a economia nacional.</w:t>
      </w:r>
    </w:p>
    <w:p w14:paraId="4B2113A4" w14:textId="77777777" w:rsidR="00813107" w:rsidRDefault="00813107" w:rsidP="00813107">
      <w:pPr>
        <w:spacing w:line="240" w:lineRule="auto"/>
        <w:jc w:val="both"/>
      </w:pPr>
      <w:r>
        <w:t xml:space="preserve">A soma dos três níveis de detalhamento discutidos é apresentada pela Figura 3, representando o ciclo de negócios no saldo de emprego formal dos Estados, segundo a concepção clássica. As flutuações observadas sugerem uma boa aderência dos ciclos em relação a crise nacional de 2001:02-2001:04, e um certo nível de antecedência dos máximos locais em relação as crises de 2008 e 2014. Com respeito a crise de confiança do mercado, datada entre 2003:01-2003:02, é possível inferir que a mesma não surtiu efeito sobre os ciclos econômicos estaduais no setor formal de mercado de trabalho. É importante ressaltar também que o arrefecimento na atividade econômica em 2011 exerceu efeito direto sobre os ciclos estaduais, bem como uma nova fase de recessão vigorando desde 2015:03-2016:01, já discutida anteriormente. </w:t>
      </w:r>
    </w:p>
    <w:p w14:paraId="4412AD23" w14:textId="74B9361A" w:rsidR="005433CD" w:rsidRDefault="005433CD" w:rsidP="005433CD">
      <w:pPr>
        <w:spacing w:line="240" w:lineRule="auto"/>
        <w:jc w:val="both"/>
      </w:pPr>
    </w:p>
    <w:p w14:paraId="1B88DDA0" w14:textId="48BFA132" w:rsidR="005433CD" w:rsidRDefault="005433CD" w:rsidP="006E2A70">
      <w:pPr>
        <w:pStyle w:val="TtuloFigura"/>
        <w:spacing w:line="240" w:lineRule="auto"/>
        <w:ind w:firstLine="0"/>
        <w:jc w:val="center"/>
      </w:pPr>
      <w:bookmarkStart w:id="14" w:name="_Toc496278376"/>
      <w:r>
        <w:t>Figura</w:t>
      </w:r>
      <w:r w:rsidR="000233BE">
        <w:t xml:space="preserve"> 3</w:t>
      </w:r>
      <w:r>
        <w:t xml:space="preserve">: Ciclos de Negócios </w:t>
      </w:r>
      <w:bookmarkEnd w:id="14"/>
      <w:r w:rsidR="006E2A70">
        <w:t>no Mercado de Trabalho Formal – 4-32 trimestres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448"/>
      </w:tblGrid>
      <w:tr w:rsidR="006E2A70" w14:paraId="59B3FECF" w14:textId="77777777" w:rsidTr="006E2A70">
        <w:tc>
          <w:tcPr>
            <w:tcW w:w="236" w:type="dxa"/>
            <w:vAlign w:val="center"/>
          </w:tcPr>
          <w:p w14:paraId="02DCBA88" w14:textId="77777777" w:rsidR="006E2A70" w:rsidRDefault="006E2A70" w:rsidP="006E2A70">
            <w:pPr>
              <w:spacing w:line="240" w:lineRule="auto"/>
              <w:ind w:firstLine="0"/>
            </w:pPr>
            <w:r>
              <w:rPr>
                <w:noProof/>
              </w:rPr>
              <w:drawing>
                <wp:inline distT="0" distB="0" distL="0" distR="0" wp14:anchorId="69433632" wp14:editId="03F84C48">
                  <wp:extent cx="131626" cy="819011"/>
                  <wp:effectExtent l="0" t="0" r="190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5372" cy="966763"/>
                          </a:xfrm>
                          <a:prstGeom prst="rect">
                            <a:avLst/>
                          </a:prstGeom>
                        </pic:spPr>
                      </pic:pic>
                    </a:graphicData>
                  </a:graphic>
                </wp:inline>
              </w:drawing>
            </w:r>
          </w:p>
        </w:tc>
        <w:tc>
          <w:tcPr>
            <w:tcW w:w="8258" w:type="dxa"/>
            <w:vAlign w:val="center"/>
          </w:tcPr>
          <w:p w14:paraId="68ECA648" w14:textId="77777777" w:rsidR="006E2A70" w:rsidRDefault="006E2A70" w:rsidP="00813107">
            <w:pPr>
              <w:spacing w:line="240" w:lineRule="auto"/>
              <w:ind w:firstLine="0"/>
              <w:jc w:val="center"/>
            </w:pPr>
            <w:r>
              <w:rPr>
                <w:noProof/>
              </w:rPr>
              <w:drawing>
                <wp:inline distT="0" distB="0" distL="0" distR="0" wp14:anchorId="0757BCB1" wp14:editId="295AEA49">
                  <wp:extent cx="5227651" cy="153374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2809" cy="1564598"/>
                          </a:xfrm>
                          <a:prstGeom prst="rect">
                            <a:avLst/>
                          </a:prstGeom>
                        </pic:spPr>
                      </pic:pic>
                    </a:graphicData>
                  </a:graphic>
                </wp:inline>
              </w:drawing>
            </w:r>
          </w:p>
        </w:tc>
      </w:tr>
    </w:tbl>
    <w:p w14:paraId="78780472" w14:textId="77777777" w:rsidR="005433CD" w:rsidRPr="00C17EE3" w:rsidRDefault="005433CD" w:rsidP="006E2A70">
      <w:pPr>
        <w:pStyle w:val="NoSpacing"/>
        <w:jc w:val="center"/>
        <w:rPr>
          <w:rFonts w:ascii="Times New Roman" w:hAnsi="Times New Roman"/>
          <w:sz w:val="16"/>
          <w:szCs w:val="16"/>
        </w:rPr>
      </w:pPr>
      <w:r w:rsidRPr="00C17EE3">
        <w:rPr>
          <w:rFonts w:ascii="Times New Roman" w:hAnsi="Times New Roman"/>
          <w:sz w:val="16"/>
          <w:szCs w:val="16"/>
        </w:rPr>
        <w:t>Fonte: Elaborado pelo autor.</w:t>
      </w:r>
    </w:p>
    <w:p w14:paraId="2F4F8D84" w14:textId="77777777" w:rsidR="005433CD" w:rsidRDefault="005433CD" w:rsidP="005433CD">
      <w:pPr>
        <w:spacing w:line="240" w:lineRule="auto"/>
      </w:pPr>
    </w:p>
    <w:p w14:paraId="6CD629E6" w14:textId="77777777" w:rsidR="003E44FF" w:rsidRDefault="003E44FF" w:rsidP="002B2C5D">
      <w:pPr>
        <w:spacing w:line="240" w:lineRule="auto"/>
        <w:jc w:val="both"/>
      </w:pPr>
      <w:r>
        <w:t>Para avaliar a importância relativa da componente cíclica nas flutuações das diferentes séries, a Tabela 3 compara a variância média estimada dos ciclos de negócios com o componente de longo prazo (flutuações com frequências iguais ou superiores a 32 trimestres). Note que se os ciclos econômicos forem mais voláteis que as flutuações de longo prazo então a taxa será superior à unidade.</w:t>
      </w:r>
    </w:p>
    <w:p w14:paraId="6B7E7187" w14:textId="77777777" w:rsidR="003E44FF" w:rsidRDefault="003E44FF" w:rsidP="005433CD">
      <w:pPr>
        <w:spacing w:line="240" w:lineRule="auto"/>
        <w:jc w:val="both"/>
      </w:pPr>
    </w:p>
    <w:p w14:paraId="1432411A" w14:textId="63F116F4" w:rsidR="00293EA7" w:rsidRPr="007C6418" w:rsidRDefault="00293EA7" w:rsidP="007B06A6">
      <w:pPr>
        <w:pStyle w:val="TituloTabela"/>
        <w:spacing w:line="240" w:lineRule="auto"/>
        <w:jc w:val="center"/>
      </w:pPr>
      <w:r>
        <w:t xml:space="preserve">Tabela </w:t>
      </w:r>
      <w:r w:rsidR="000E0BF3">
        <w:t>3</w:t>
      </w:r>
      <w:r>
        <w:t xml:space="preserve">: Variância média estimada das séries tmporais baseada na transformada de </w:t>
      </w:r>
      <w:r w:rsidRPr="00293EA7">
        <w:rPr>
          <w:i/>
          <w:iCs/>
        </w:rPr>
        <w:t>Wavelet</w:t>
      </w:r>
      <w:r w:rsidR="00923DC2">
        <w:rPr>
          <w:rStyle w:val="FootnoteReference"/>
          <w:i/>
          <w:iCs/>
        </w:rPr>
        <w:footnoteReference w:id="4"/>
      </w:r>
    </w:p>
    <w:tbl>
      <w:tblPr>
        <w:tblW w:w="5053" w:type="dxa"/>
        <w:jc w:val="center"/>
        <w:tblCellMar>
          <w:left w:w="70" w:type="dxa"/>
          <w:right w:w="70" w:type="dxa"/>
        </w:tblCellMar>
        <w:tblLook w:val="04A0" w:firstRow="1" w:lastRow="0" w:firstColumn="1" w:lastColumn="0" w:noHBand="0" w:noVBand="1"/>
      </w:tblPr>
      <w:tblGrid>
        <w:gridCol w:w="1102"/>
        <w:gridCol w:w="1348"/>
        <w:gridCol w:w="1643"/>
        <w:gridCol w:w="960"/>
      </w:tblGrid>
      <w:tr w:rsidR="00293EA7" w:rsidRPr="00965459" w14:paraId="005485D2" w14:textId="77777777" w:rsidTr="000E0BF3">
        <w:trPr>
          <w:trHeight w:val="290"/>
          <w:jc w:val="center"/>
        </w:trPr>
        <w:tc>
          <w:tcPr>
            <w:tcW w:w="1102" w:type="dxa"/>
            <w:tcBorders>
              <w:top w:val="single" w:sz="4" w:space="0" w:color="auto"/>
              <w:left w:val="nil"/>
              <w:bottom w:val="single" w:sz="4" w:space="0" w:color="auto"/>
              <w:right w:val="nil"/>
            </w:tcBorders>
            <w:shd w:val="clear" w:color="auto" w:fill="auto"/>
            <w:noWrap/>
            <w:vAlign w:val="center"/>
            <w:hideMark/>
          </w:tcPr>
          <w:p w14:paraId="2D414A0F" w14:textId="583F0524"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lastRenderedPageBreak/>
              <w:t>Ciclos</w:t>
            </w:r>
          </w:p>
        </w:tc>
        <w:tc>
          <w:tcPr>
            <w:tcW w:w="1348" w:type="dxa"/>
            <w:tcBorders>
              <w:top w:val="single" w:sz="4" w:space="0" w:color="auto"/>
              <w:left w:val="nil"/>
              <w:bottom w:val="single" w:sz="4" w:space="0" w:color="auto"/>
              <w:right w:val="nil"/>
            </w:tcBorders>
            <w:shd w:val="clear" w:color="auto" w:fill="auto"/>
            <w:noWrap/>
            <w:vAlign w:val="center"/>
            <w:hideMark/>
          </w:tcPr>
          <w:p w14:paraId="3CC2EA35" w14:textId="0E965852" w:rsidR="00293EA7" w:rsidRPr="00965459" w:rsidRDefault="008D52D5" w:rsidP="00293EA7">
            <w:pPr>
              <w:spacing w:line="240" w:lineRule="auto"/>
              <w:ind w:firstLine="0"/>
              <w:jc w:val="center"/>
              <w:rPr>
                <w:rFonts w:eastAsia="Times New Roman" w:cs="Times New Roman"/>
                <w:color w:val="000000"/>
                <w:sz w:val="20"/>
                <w:szCs w:val="20"/>
                <w:lang w:eastAsia="pt-BR"/>
              </w:rPr>
            </w:pPr>
            <m:oMathPara>
              <m:oMath>
                <m:nary>
                  <m:naryPr>
                    <m:chr m:val="∑"/>
                    <m:limLoc m:val="subSup"/>
                    <m:ctrlPr>
                      <w:rPr>
                        <w:rFonts w:ascii="Cambria Math" w:eastAsia="Times New Roman" w:hAnsi="Cambria Math" w:cs="Times New Roman"/>
                        <w:i/>
                        <w:color w:val="000000"/>
                        <w:sz w:val="20"/>
                        <w:szCs w:val="20"/>
                        <w:lang w:eastAsia="pt-BR"/>
                      </w:rPr>
                    </m:ctrlPr>
                  </m:naryPr>
                  <m:sub>
                    <m:r>
                      <w:rPr>
                        <w:rFonts w:ascii="Cambria Math" w:eastAsia="Times New Roman" w:hAnsi="Cambria Math" w:cs="Times New Roman"/>
                        <w:color w:val="000000"/>
                        <w:sz w:val="20"/>
                        <w:szCs w:val="20"/>
                        <w:lang w:eastAsia="pt-BR"/>
                      </w:rPr>
                      <m:t>j=1</m:t>
                    </m:r>
                  </m:sub>
                  <m:sup>
                    <m:r>
                      <w:rPr>
                        <w:rFonts w:ascii="Cambria Math" w:eastAsia="Times New Roman" w:hAnsi="Cambria Math" w:cs="Times New Roman"/>
                        <w:color w:val="000000"/>
                        <w:sz w:val="20"/>
                        <w:szCs w:val="20"/>
                        <w:lang w:eastAsia="pt-BR"/>
                      </w:rPr>
                      <m:t>3</m:t>
                    </m:r>
                  </m:sup>
                  <m:e>
                    <m:sSup>
                      <m:sSupPr>
                        <m:ctrlPr>
                          <w:rPr>
                            <w:rFonts w:ascii="Cambria Math" w:eastAsia="Times New Roman" w:hAnsi="Cambria Math" w:cs="Times New Roman"/>
                            <w:i/>
                            <w:color w:val="000000"/>
                            <w:sz w:val="20"/>
                            <w:szCs w:val="20"/>
                            <w:lang w:eastAsia="pt-BR"/>
                          </w:rPr>
                        </m:ctrlPr>
                      </m:sSupPr>
                      <m:e>
                        <m:acc>
                          <m:accPr>
                            <m:ctrlPr>
                              <w:rPr>
                                <w:rFonts w:ascii="Cambria Math" w:eastAsia="Times New Roman" w:hAnsi="Cambria Math" w:cs="Times New Roman"/>
                                <w:i/>
                                <w:color w:val="000000"/>
                                <w:sz w:val="20"/>
                                <w:szCs w:val="20"/>
                                <w:lang w:eastAsia="pt-BR"/>
                              </w:rPr>
                            </m:ctrlPr>
                          </m:accPr>
                          <m:e>
                            <m:r>
                              <w:rPr>
                                <w:rFonts w:ascii="Cambria Math" w:eastAsia="Times New Roman" w:hAnsi="Cambria Math" w:cs="Times New Roman"/>
                                <w:color w:val="000000"/>
                                <w:sz w:val="20"/>
                                <w:szCs w:val="20"/>
                                <w:lang w:eastAsia="pt-BR"/>
                              </w:rPr>
                              <m:t>σ</m:t>
                            </m:r>
                          </m:e>
                        </m:acc>
                        <m:r>
                          <w:rPr>
                            <w:rFonts w:ascii="Cambria Math" w:eastAsia="Times New Roman" w:hAnsi="Cambria Math" w:cs="Times New Roman"/>
                            <w:color w:val="000000"/>
                            <w:sz w:val="20"/>
                            <w:szCs w:val="20"/>
                            <w:lang w:eastAsia="pt-BR"/>
                          </w:rPr>
                          <m:t>(</m:t>
                        </m:r>
                        <m:sSub>
                          <m:sSubPr>
                            <m:ctrlPr>
                              <w:rPr>
                                <w:rFonts w:ascii="Cambria Math" w:eastAsia="Times New Roman" w:hAnsi="Cambria Math" w:cs="Times New Roman"/>
                                <w:i/>
                                <w:color w:val="000000"/>
                                <w:sz w:val="20"/>
                                <w:szCs w:val="20"/>
                                <w:lang w:eastAsia="pt-BR"/>
                              </w:rPr>
                            </m:ctrlPr>
                          </m:sSubPr>
                          <m:e>
                            <m:r>
                              <w:rPr>
                                <w:rFonts w:ascii="Cambria Math" w:eastAsia="Times New Roman" w:hAnsi="Cambria Math" w:cs="Times New Roman"/>
                                <w:color w:val="000000"/>
                                <w:sz w:val="20"/>
                                <w:szCs w:val="20"/>
                                <w:lang w:eastAsia="pt-BR"/>
                              </w:rPr>
                              <m:t>τ</m:t>
                            </m:r>
                          </m:e>
                          <m:sub>
                            <m:r>
                              <w:rPr>
                                <w:rFonts w:ascii="Cambria Math" w:eastAsia="Times New Roman" w:hAnsi="Cambria Math" w:cs="Times New Roman"/>
                                <w:color w:val="000000"/>
                                <w:sz w:val="20"/>
                                <w:szCs w:val="20"/>
                                <w:lang w:eastAsia="pt-BR"/>
                              </w:rPr>
                              <m:t>j</m:t>
                            </m:r>
                          </m:sub>
                        </m:sSub>
                        <m:r>
                          <w:rPr>
                            <w:rFonts w:ascii="Cambria Math" w:eastAsia="Times New Roman" w:hAnsi="Cambria Math" w:cs="Times New Roman"/>
                            <w:color w:val="000000"/>
                            <w:sz w:val="20"/>
                            <w:szCs w:val="20"/>
                            <w:lang w:eastAsia="pt-BR"/>
                          </w:rPr>
                          <m:t>)</m:t>
                        </m:r>
                      </m:e>
                      <m:sup>
                        <m:r>
                          <w:rPr>
                            <w:rFonts w:ascii="Cambria Math" w:eastAsia="Times New Roman" w:hAnsi="Cambria Math" w:cs="Times New Roman"/>
                            <w:color w:val="000000"/>
                            <w:sz w:val="20"/>
                            <w:szCs w:val="20"/>
                            <w:lang w:eastAsia="pt-BR"/>
                          </w:rPr>
                          <m:t>2</m:t>
                        </m:r>
                      </m:sup>
                    </m:sSup>
                  </m:e>
                </m:nary>
              </m:oMath>
            </m:oMathPara>
          </w:p>
        </w:tc>
        <w:tc>
          <w:tcPr>
            <w:tcW w:w="1643" w:type="dxa"/>
            <w:tcBorders>
              <w:top w:val="single" w:sz="4" w:space="0" w:color="auto"/>
              <w:left w:val="nil"/>
              <w:bottom w:val="single" w:sz="4" w:space="0" w:color="auto"/>
              <w:right w:val="nil"/>
            </w:tcBorders>
            <w:shd w:val="clear" w:color="auto" w:fill="auto"/>
            <w:noWrap/>
            <w:vAlign w:val="center"/>
            <w:hideMark/>
          </w:tcPr>
          <w:p w14:paraId="1C9FB50B" w14:textId="107FDBFD" w:rsidR="00293EA7" w:rsidRPr="00965459" w:rsidRDefault="008D52D5" w:rsidP="00293EA7">
            <w:pPr>
              <w:spacing w:line="240" w:lineRule="auto"/>
              <w:ind w:firstLine="0"/>
              <w:jc w:val="center"/>
              <w:rPr>
                <w:rFonts w:eastAsia="Times New Roman" w:cs="Times New Roman"/>
                <w:color w:val="000000"/>
                <w:sz w:val="20"/>
                <w:szCs w:val="20"/>
                <w:lang w:eastAsia="pt-BR"/>
              </w:rPr>
            </w:pPr>
            <m:oMathPara>
              <m:oMath>
                <m:sSup>
                  <m:sSupPr>
                    <m:ctrlPr>
                      <w:rPr>
                        <w:rFonts w:ascii="Cambria Math" w:eastAsia="Times New Roman" w:hAnsi="Cambria Math" w:cs="Times New Roman"/>
                        <w:i/>
                        <w:color w:val="000000"/>
                        <w:sz w:val="20"/>
                        <w:szCs w:val="20"/>
                        <w:lang w:eastAsia="pt-BR"/>
                      </w:rPr>
                    </m:ctrlPr>
                  </m:sSupPr>
                  <m:e>
                    <m:acc>
                      <m:accPr>
                        <m:ctrlPr>
                          <w:rPr>
                            <w:rFonts w:ascii="Cambria Math" w:eastAsia="Times New Roman" w:hAnsi="Cambria Math" w:cs="Times New Roman"/>
                            <w:i/>
                            <w:color w:val="000000"/>
                            <w:sz w:val="20"/>
                            <w:szCs w:val="20"/>
                            <w:lang w:eastAsia="pt-BR"/>
                          </w:rPr>
                        </m:ctrlPr>
                      </m:accPr>
                      <m:e>
                        <m:r>
                          <w:rPr>
                            <w:rFonts w:ascii="Cambria Math" w:eastAsia="Times New Roman" w:hAnsi="Cambria Math" w:cs="Times New Roman"/>
                            <w:color w:val="000000"/>
                            <w:sz w:val="20"/>
                            <w:szCs w:val="20"/>
                            <w:lang w:eastAsia="pt-BR"/>
                          </w:rPr>
                          <m:t>σ</m:t>
                        </m:r>
                      </m:e>
                    </m:acc>
                    <m:r>
                      <w:rPr>
                        <w:rFonts w:ascii="Cambria Math" w:eastAsia="Times New Roman" w:hAnsi="Cambria Math" w:cs="Times New Roman"/>
                        <w:color w:val="000000"/>
                        <w:sz w:val="20"/>
                        <w:szCs w:val="20"/>
                        <w:lang w:eastAsia="pt-BR"/>
                      </w:rPr>
                      <m:t>(</m:t>
                    </m:r>
                    <m:sSub>
                      <m:sSubPr>
                        <m:ctrlPr>
                          <w:rPr>
                            <w:rFonts w:ascii="Cambria Math" w:eastAsia="Times New Roman" w:hAnsi="Cambria Math" w:cs="Times New Roman"/>
                            <w:i/>
                            <w:color w:val="000000"/>
                            <w:sz w:val="20"/>
                            <w:szCs w:val="20"/>
                            <w:lang w:eastAsia="pt-BR"/>
                          </w:rPr>
                        </m:ctrlPr>
                      </m:sSubPr>
                      <m:e>
                        <m:r>
                          <w:rPr>
                            <w:rFonts w:ascii="Cambria Math" w:eastAsia="Times New Roman" w:hAnsi="Cambria Math" w:cs="Times New Roman"/>
                            <w:color w:val="000000"/>
                            <w:sz w:val="20"/>
                            <w:szCs w:val="20"/>
                            <w:lang w:eastAsia="pt-BR"/>
                          </w:rPr>
                          <m:t>τ</m:t>
                        </m:r>
                      </m:e>
                      <m:sub>
                        <m:r>
                          <w:rPr>
                            <w:rFonts w:ascii="Cambria Math" w:eastAsia="Times New Roman" w:hAnsi="Cambria Math" w:cs="Times New Roman"/>
                            <w:color w:val="000000"/>
                            <w:sz w:val="20"/>
                            <w:szCs w:val="20"/>
                            <w:lang w:eastAsia="pt-BR"/>
                          </w:rPr>
                          <m:t>4</m:t>
                        </m:r>
                      </m:sub>
                    </m:sSub>
                    <m:r>
                      <w:rPr>
                        <w:rFonts w:ascii="Cambria Math" w:eastAsia="Times New Roman" w:hAnsi="Cambria Math" w:cs="Times New Roman"/>
                        <w:color w:val="000000"/>
                        <w:sz w:val="20"/>
                        <w:szCs w:val="20"/>
                        <w:lang w:eastAsia="pt-BR"/>
                      </w:rPr>
                      <m:t>)</m:t>
                    </m:r>
                  </m:e>
                  <m:sup>
                    <m:r>
                      <w:rPr>
                        <w:rFonts w:ascii="Cambria Math" w:eastAsia="Times New Roman" w:hAnsi="Cambria Math" w:cs="Times New Roman"/>
                        <w:color w:val="000000"/>
                        <w:sz w:val="20"/>
                        <w:szCs w:val="20"/>
                        <w:lang w:eastAsia="pt-BR"/>
                      </w:rPr>
                      <m:t>2</m:t>
                    </m:r>
                  </m:sup>
                </m:sSup>
              </m:oMath>
            </m:oMathPara>
          </w:p>
        </w:tc>
        <w:tc>
          <w:tcPr>
            <w:tcW w:w="960" w:type="dxa"/>
            <w:tcBorders>
              <w:top w:val="single" w:sz="4" w:space="0" w:color="auto"/>
              <w:left w:val="nil"/>
              <w:bottom w:val="single" w:sz="4" w:space="0" w:color="auto"/>
              <w:right w:val="nil"/>
            </w:tcBorders>
            <w:shd w:val="clear" w:color="auto" w:fill="auto"/>
            <w:noWrap/>
            <w:vAlign w:val="center"/>
            <w:hideMark/>
          </w:tcPr>
          <w:p w14:paraId="35F12CE8" w14:textId="1F06F3D5"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Taxa</w:t>
            </w:r>
          </w:p>
        </w:tc>
      </w:tr>
      <w:tr w:rsidR="00293EA7" w:rsidRPr="00965459" w14:paraId="700FAE12" w14:textId="77777777" w:rsidTr="000E0BF3">
        <w:trPr>
          <w:trHeight w:val="290"/>
          <w:jc w:val="center"/>
        </w:trPr>
        <w:tc>
          <w:tcPr>
            <w:tcW w:w="1102" w:type="dxa"/>
            <w:tcBorders>
              <w:top w:val="single" w:sz="4" w:space="0" w:color="auto"/>
              <w:left w:val="nil"/>
              <w:bottom w:val="nil"/>
              <w:right w:val="nil"/>
            </w:tcBorders>
            <w:shd w:val="clear" w:color="auto" w:fill="auto"/>
            <w:noWrap/>
            <w:vAlign w:val="bottom"/>
            <w:hideMark/>
          </w:tcPr>
          <w:p w14:paraId="5E8584AD"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BA</w:t>
            </w:r>
          </w:p>
        </w:tc>
        <w:tc>
          <w:tcPr>
            <w:tcW w:w="1348" w:type="dxa"/>
            <w:tcBorders>
              <w:top w:val="single" w:sz="4" w:space="0" w:color="auto"/>
              <w:left w:val="nil"/>
              <w:bottom w:val="nil"/>
              <w:right w:val="nil"/>
            </w:tcBorders>
            <w:shd w:val="clear" w:color="auto" w:fill="auto"/>
            <w:noWrap/>
            <w:vAlign w:val="bottom"/>
            <w:hideMark/>
          </w:tcPr>
          <w:p w14:paraId="433FD13D"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0.0978</w:t>
            </w:r>
          </w:p>
        </w:tc>
        <w:tc>
          <w:tcPr>
            <w:tcW w:w="1643" w:type="dxa"/>
            <w:tcBorders>
              <w:top w:val="single" w:sz="4" w:space="0" w:color="auto"/>
              <w:left w:val="nil"/>
              <w:bottom w:val="nil"/>
              <w:right w:val="nil"/>
            </w:tcBorders>
            <w:shd w:val="clear" w:color="auto" w:fill="auto"/>
            <w:noWrap/>
            <w:vAlign w:val="bottom"/>
            <w:hideMark/>
          </w:tcPr>
          <w:p w14:paraId="024AFCB0"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0.0618</w:t>
            </w:r>
          </w:p>
        </w:tc>
        <w:tc>
          <w:tcPr>
            <w:tcW w:w="960" w:type="dxa"/>
            <w:tcBorders>
              <w:top w:val="single" w:sz="4" w:space="0" w:color="auto"/>
              <w:left w:val="nil"/>
              <w:bottom w:val="nil"/>
              <w:right w:val="nil"/>
            </w:tcBorders>
            <w:shd w:val="clear" w:color="auto" w:fill="auto"/>
            <w:noWrap/>
            <w:vAlign w:val="bottom"/>
            <w:hideMark/>
          </w:tcPr>
          <w:p w14:paraId="11CC9227"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1.5811</w:t>
            </w:r>
          </w:p>
        </w:tc>
      </w:tr>
      <w:tr w:rsidR="00293EA7" w:rsidRPr="00965459" w14:paraId="513C74BE" w14:textId="77777777" w:rsidTr="000E0BF3">
        <w:trPr>
          <w:trHeight w:val="290"/>
          <w:jc w:val="center"/>
        </w:trPr>
        <w:tc>
          <w:tcPr>
            <w:tcW w:w="1102" w:type="dxa"/>
            <w:tcBorders>
              <w:top w:val="nil"/>
              <w:left w:val="nil"/>
              <w:bottom w:val="nil"/>
              <w:right w:val="nil"/>
            </w:tcBorders>
            <w:shd w:val="clear" w:color="auto" w:fill="auto"/>
            <w:noWrap/>
            <w:vAlign w:val="bottom"/>
            <w:hideMark/>
          </w:tcPr>
          <w:p w14:paraId="2495D975"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CE</w:t>
            </w:r>
          </w:p>
        </w:tc>
        <w:tc>
          <w:tcPr>
            <w:tcW w:w="1348" w:type="dxa"/>
            <w:tcBorders>
              <w:top w:val="nil"/>
              <w:left w:val="nil"/>
              <w:bottom w:val="nil"/>
              <w:right w:val="nil"/>
            </w:tcBorders>
            <w:shd w:val="clear" w:color="auto" w:fill="auto"/>
            <w:noWrap/>
            <w:vAlign w:val="bottom"/>
            <w:hideMark/>
          </w:tcPr>
          <w:p w14:paraId="23C42D28"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0.3408</w:t>
            </w:r>
          </w:p>
        </w:tc>
        <w:tc>
          <w:tcPr>
            <w:tcW w:w="1643" w:type="dxa"/>
            <w:tcBorders>
              <w:top w:val="nil"/>
              <w:left w:val="nil"/>
              <w:bottom w:val="nil"/>
              <w:right w:val="nil"/>
            </w:tcBorders>
            <w:shd w:val="clear" w:color="auto" w:fill="auto"/>
            <w:noWrap/>
            <w:vAlign w:val="bottom"/>
            <w:hideMark/>
          </w:tcPr>
          <w:p w14:paraId="38050E3B"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0.2305</w:t>
            </w:r>
          </w:p>
        </w:tc>
        <w:tc>
          <w:tcPr>
            <w:tcW w:w="960" w:type="dxa"/>
            <w:tcBorders>
              <w:top w:val="nil"/>
              <w:left w:val="nil"/>
              <w:bottom w:val="nil"/>
              <w:right w:val="nil"/>
            </w:tcBorders>
            <w:shd w:val="clear" w:color="auto" w:fill="auto"/>
            <w:noWrap/>
            <w:vAlign w:val="bottom"/>
            <w:hideMark/>
          </w:tcPr>
          <w:p w14:paraId="34FFB7D7"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1.4787</w:t>
            </w:r>
          </w:p>
        </w:tc>
      </w:tr>
      <w:tr w:rsidR="000E0BF3" w:rsidRPr="00965459" w14:paraId="0DF9057C" w14:textId="77777777" w:rsidTr="000E0BF3">
        <w:trPr>
          <w:trHeight w:val="290"/>
          <w:jc w:val="center"/>
        </w:trPr>
        <w:tc>
          <w:tcPr>
            <w:tcW w:w="1102" w:type="dxa"/>
            <w:tcBorders>
              <w:top w:val="nil"/>
              <w:left w:val="nil"/>
              <w:bottom w:val="single" w:sz="4" w:space="0" w:color="auto"/>
              <w:right w:val="nil"/>
            </w:tcBorders>
            <w:shd w:val="clear" w:color="auto" w:fill="auto"/>
            <w:noWrap/>
            <w:vAlign w:val="bottom"/>
            <w:hideMark/>
          </w:tcPr>
          <w:p w14:paraId="759E2CC2" w14:textId="77777777" w:rsidR="000E0BF3" w:rsidRPr="00965459" w:rsidRDefault="000E0BF3" w:rsidP="00A74616">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PE</w:t>
            </w:r>
          </w:p>
        </w:tc>
        <w:tc>
          <w:tcPr>
            <w:tcW w:w="1348" w:type="dxa"/>
            <w:tcBorders>
              <w:top w:val="nil"/>
              <w:left w:val="nil"/>
              <w:bottom w:val="single" w:sz="4" w:space="0" w:color="auto"/>
              <w:right w:val="nil"/>
            </w:tcBorders>
            <w:shd w:val="clear" w:color="auto" w:fill="auto"/>
            <w:noWrap/>
            <w:vAlign w:val="bottom"/>
            <w:hideMark/>
          </w:tcPr>
          <w:p w14:paraId="5027FBB9" w14:textId="77777777" w:rsidR="000E0BF3" w:rsidRPr="00965459" w:rsidRDefault="000E0BF3" w:rsidP="00A74616">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0.4199</w:t>
            </w:r>
          </w:p>
        </w:tc>
        <w:tc>
          <w:tcPr>
            <w:tcW w:w="1643" w:type="dxa"/>
            <w:tcBorders>
              <w:top w:val="nil"/>
              <w:left w:val="nil"/>
              <w:bottom w:val="single" w:sz="4" w:space="0" w:color="auto"/>
              <w:right w:val="nil"/>
            </w:tcBorders>
            <w:shd w:val="clear" w:color="auto" w:fill="auto"/>
            <w:noWrap/>
            <w:vAlign w:val="bottom"/>
            <w:hideMark/>
          </w:tcPr>
          <w:p w14:paraId="28F0BBC1" w14:textId="77777777" w:rsidR="000E0BF3" w:rsidRPr="00965459" w:rsidRDefault="000E0BF3" w:rsidP="00A74616">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0.3794</w:t>
            </w:r>
          </w:p>
        </w:tc>
        <w:tc>
          <w:tcPr>
            <w:tcW w:w="960" w:type="dxa"/>
            <w:tcBorders>
              <w:top w:val="nil"/>
              <w:left w:val="nil"/>
              <w:bottom w:val="single" w:sz="4" w:space="0" w:color="auto"/>
              <w:right w:val="nil"/>
            </w:tcBorders>
            <w:shd w:val="clear" w:color="auto" w:fill="auto"/>
            <w:noWrap/>
            <w:vAlign w:val="bottom"/>
            <w:hideMark/>
          </w:tcPr>
          <w:p w14:paraId="365FA2E5" w14:textId="77777777" w:rsidR="000E0BF3" w:rsidRPr="00965459" w:rsidRDefault="000E0BF3" w:rsidP="00A74616">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1.1068</w:t>
            </w:r>
          </w:p>
        </w:tc>
      </w:tr>
      <w:tr w:rsidR="00293EA7" w:rsidRPr="00965459" w14:paraId="6F61BE43" w14:textId="77777777" w:rsidTr="000E0BF3">
        <w:trPr>
          <w:trHeight w:val="290"/>
          <w:jc w:val="center"/>
        </w:trPr>
        <w:tc>
          <w:tcPr>
            <w:tcW w:w="1102" w:type="dxa"/>
            <w:tcBorders>
              <w:top w:val="single" w:sz="4" w:space="0" w:color="auto"/>
              <w:left w:val="nil"/>
              <w:bottom w:val="nil"/>
              <w:right w:val="nil"/>
            </w:tcBorders>
            <w:shd w:val="clear" w:color="auto" w:fill="auto"/>
            <w:noWrap/>
            <w:vAlign w:val="bottom"/>
            <w:hideMark/>
          </w:tcPr>
          <w:p w14:paraId="17577B5C"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MG</w:t>
            </w:r>
          </w:p>
        </w:tc>
        <w:tc>
          <w:tcPr>
            <w:tcW w:w="1348" w:type="dxa"/>
            <w:tcBorders>
              <w:top w:val="single" w:sz="4" w:space="0" w:color="auto"/>
              <w:left w:val="nil"/>
              <w:bottom w:val="nil"/>
              <w:right w:val="nil"/>
            </w:tcBorders>
            <w:shd w:val="clear" w:color="auto" w:fill="auto"/>
            <w:noWrap/>
            <w:vAlign w:val="bottom"/>
            <w:hideMark/>
          </w:tcPr>
          <w:p w14:paraId="12244633"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0.5468</w:t>
            </w:r>
          </w:p>
        </w:tc>
        <w:tc>
          <w:tcPr>
            <w:tcW w:w="1643" w:type="dxa"/>
            <w:tcBorders>
              <w:top w:val="single" w:sz="4" w:space="0" w:color="auto"/>
              <w:left w:val="nil"/>
              <w:bottom w:val="nil"/>
              <w:right w:val="nil"/>
            </w:tcBorders>
            <w:shd w:val="clear" w:color="auto" w:fill="auto"/>
            <w:noWrap/>
            <w:vAlign w:val="bottom"/>
            <w:hideMark/>
          </w:tcPr>
          <w:p w14:paraId="14A5DAD6"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0.2578</w:t>
            </w:r>
          </w:p>
        </w:tc>
        <w:tc>
          <w:tcPr>
            <w:tcW w:w="960" w:type="dxa"/>
            <w:tcBorders>
              <w:top w:val="single" w:sz="4" w:space="0" w:color="auto"/>
              <w:left w:val="nil"/>
              <w:bottom w:val="nil"/>
              <w:right w:val="nil"/>
            </w:tcBorders>
            <w:shd w:val="clear" w:color="auto" w:fill="auto"/>
            <w:noWrap/>
            <w:vAlign w:val="bottom"/>
            <w:hideMark/>
          </w:tcPr>
          <w:p w14:paraId="39C90215"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2.1215</w:t>
            </w:r>
          </w:p>
        </w:tc>
      </w:tr>
      <w:tr w:rsidR="00293EA7" w:rsidRPr="00965459" w14:paraId="41FF30A7" w14:textId="77777777" w:rsidTr="000E0BF3">
        <w:trPr>
          <w:trHeight w:val="290"/>
          <w:jc w:val="center"/>
        </w:trPr>
        <w:tc>
          <w:tcPr>
            <w:tcW w:w="1102" w:type="dxa"/>
            <w:tcBorders>
              <w:top w:val="nil"/>
              <w:left w:val="nil"/>
              <w:bottom w:val="nil"/>
              <w:right w:val="nil"/>
            </w:tcBorders>
            <w:shd w:val="clear" w:color="auto" w:fill="auto"/>
            <w:noWrap/>
            <w:vAlign w:val="bottom"/>
            <w:hideMark/>
          </w:tcPr>
          <w:p w14:paraId="709C40C9"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RJ</w:t>
            </w:r>
          </w:p>
        </w:tc>
        <w:tc>
          <w:tcPr>
            <w:tcW w:w="1348" w:type="dxa"/>
            <w:tcBorders>
              <w:top w:val="nil"/>
              <w:left w:val="nil"/>
              <w:bottom w:val="nil"/>
              <w:right w:val="nil"/>
            </w:tcBorders>
            <w:shd w:val="clear" w:color="auto" w:fill="auto"/>
            <w:noWrap/>
            <w:vAlign w:val="bottom"/>
            <w:hideMark/>
          </w:tcPr>
          <w:p w14:paraId="356E47EC"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0.3302</w:t>
            </w:r>
          </w:p>
        </w:tc>
        <w:tc>
          <w:tcPr>
            <w:tcW w:w="1643" w:type="dxa"/>
            <w:tcBorders>
              <w:top w:val="nil"/>
              <w:left w:val="nil"/>
              <w:bottom w:val="nil"/>
              <w:right w:val="nil"/>
            </w:tcBorders>
            <w:shd w:val="clear" w:color="auto" w:fill="auto"/>
            <w:noWrap/>
            <w:vAlign w:val="bottom"/>
            <w:hideMark/>
          </w:tcPr>
          <w:p w14:paraId="62C9E799"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0.4234</w:t>
            </w:r>
          </w:p>
        </w:tc>
        <w:tc>
          <w:tcPr>
            <w:tcW w:w="960" w:type="dxa"/>
            <w:tcBorders>
              <w:top w:val="nil"/>
              <w:left w:val="nil"/>
              <w:bottom w:val="nil"/>
              <w:right w:val="nil"/>
            </w:tcBorders>
            <w:shd w:val="clear" w:color="auto" w:fill="auto"/>
            <w:noWrap/>
            <w:vAlign w:val="bottom"/>
            <w:hideMark/>
          </w:tcPr>
          <w:p w14:paraId="76C6C1A1"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0.7798</w:t>
            </w:r>
          </w:p>
        </w:tc>
      </w:tr>
      <w:tr w:rsidR="000E0BF3" w:rsidRPr="00965459" w14:paraId="3FF5D7D2" w14:textId="77777777" w:rsidTr="00A74616">
        <w:trPr>
          <w:trHeight w:val="290"/>
          <w:jc w:val="center"/>
        </w:trPr>
        <w:tc>
          <w:tcPr>
            <w:tcW w:w="1102" w:type="dxa"/>
            <w:tcBorders>
              <w:top w:val="nil"/>
              <w:left w:val="nil"/>
              <w:bottom w:val="single" w:sz="4" w:space="0" w:color="auto"/>
              <w:right w:val="nil"/>
            </w:tcBorders>
            <w:shd w:val="clear" w:color="auto" w:fill="auto"/>
            <w:noWrap/>
            <w:vAlign w:val="bottom"/>
            <w:hideMark/>
          </w:tcPr>
          <w:p w14:paraId="6984B380" w14:textId="77777777" w:rsidR="000E0BF3" w:rsidRPr="00965459" w:rsidRDefault="000E0BF3" w:rsidP="00A74616">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SP</w:t>
            </w:r>
          </w:p>
        </w:tc>
        <w:tc>
          <w:tcPr>
            <w:tcW w:w="1348" w:type="dxa"/>
            <w:tcBorders>
              <w:top w:val="nil"/>
              <w:left w:val="nil"/>
              <w:bottom w:val="single" w:sz="4" w:space="0" w:color="auto"/>
              <w:right w:val="nil"/>
            </w:tcBorders>
            <w:shd w:val="clear" w:color="auto" w:fill="auto"/>
            <w:noWrap/>
            <w:vAlign w:val="bottom"/>
            <w:hideMark/>
          </w:tcPr>
          <w:p w14:paraId="22E71808" w14:textId="77777777" w:rsidR="000E0BF3" w:rsidRPr="00965459" w:rsidRDefault="000E0BF3" w:rsidP="00A74616">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0.3822</w:t>
            </w:r>
          </w:p>
        </w:tc>
        <w:tc>
          <w:tcPr>
            <w:tcW w:w="1643" w:type="dxa"/>
            <w:tcBorders>
              <w:top w:val="nil"/>
              <w:left w:val="nil"/>
              <w:bottom w:val="single" w:sz="4" w:space="0" w:color="auto"/>
              <w:right w:val="nil"/>
            </w:tcBorders>
            <w:shd w:val="clear" w:color="auto" w:fill="auto"/>
            <w:noWrap/>
            <w:vAlign w:val="bottom"/>
            <w:hideMark/>
          </w:tcPr>
          <w:p w14:paraId="1691BF47" w14:textId="77777777" w:rsidR="000E0BF3" w:rsidRPr="00965459" w:rsidRDefault="000E0BF3" w:rsidP="00A74616">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0.2458</w:t>
            </w:r>
          </w:p>
        </w:tc>
        <w:tc>
          <w:tcPr>
            <w:tcW w:w="960" w:type="dxa"/>
            <w:tcBorders>
              <w:top w:val="nil"/>
              <w:left w:val="nil"/>
              <w:bottom w:val="single" w:sz="4" w:space="0" w:color="auto"/>
              <w:right w:val="nil"/>
            </w:tcBorders>
            <w:shd w:val="clear" w:color="auto" w:fill="auto"/>
            <w:noWrap/>
            <w:vAlign w:val="bottom"/>
            <w:hideMark/>
          </w:tcPr>
          <w:p w14:paraId="7063CE7F" w14:textId="77777777" w:rsidR="000E0BF3" w:rsidRPr="00965459" w:rsidRDefault="000E0BF3" w:rsidP="00A74616">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1.5550</w:t>
            </w:r>
          </w:p>
        </w:tc>
      </w:tr>
      <w:tr w:rsidR="000E0BF3" w:rsidRPr="00965459" w14:paraId="4C490D7C" w14:textId="77777777" w:rsidTr="00A74616">
        <w:trPr>
          <w:trHeight w:val="290"/>
          <w:jc w:val="center"/>
        </w:trPr>
        <w:tc>
          <w:tcPr>
            <w:tcW w:w="1102" w:type="dxa"/>
            <w:tcBorders>
              <w:top w:val="nil"/>
              <w:left w:val="nil"/>
              <w:bottom w:val="nil"/>
              <w:right w:val="nil"/>
            </w:tcBorders>
            <w:shd w:val="clear" w:color="auto" w:fill="auto"/>
            <w:noWrap/>
            <w:vAlign w:val="bottom"/>
            <w:hideMark/>
          </w:tcPr>
          <w:p w14:paraId="66491C99" w14:textId="77777777" w:rsidR="000E0BF3" w:rsidRPr="00965459" w:rsidRDefault="000E0BF3" w:rsidP="00A74616">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PR</w:t>
            </w:r>
          </w:p>
        </w:tc>
        <w:tc>
          <w:tcPr>
            <w:tcW w:w="1348" w:type="dxa"/>
            <w:tcBorders>
              <w:top w:val="nil"/>
              <w:left w:val="nil"/>
              <w:bottom w:val="nil"/>
              <w:right w:val="nil"/>
            </w:tcBorders>
            <w:shd w:val="clear" w:color="auto" w:fill="auto"/>
            <w:noWrap/>
            <w:vAlign w:val="bottom"/>
            <w:hideMark/>
          </w:tcPr>
          <w:p w14:paraId="1DDB113F" w14:textId="77777777" w:rsidR="000E0BF3" w:rsidRPr="00965459" w:rsidRDefault="000E0BF3" w:rsidP="00A74616">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0.4233</w:t>
            </w:r>
          </w:p>
        </w:tc>
        <w:tc>
          <w:tcPr>
            <w:tcW w:w="1643" w:type="dxa"/>
            <w:tcBorders>
              <w:top w:val="nil"/>
              <w:left w:val="nil"/>
              <w:bottom w:val="nil"/>
              <w:right w:val="nil"/>
            </w:tcBorders>
            <w:shd w:val="clear" w:color="auto" w:fill="auto"/>
            <w:noWrap/>
            <w:vAlign w:val="bottom"/>
            <w:hideMark/>
          </w:tcPr>
          <w:p w14:paraId="7831546E" w14:textId="77777777" w:rsidR="000E0BF3" w:rsidRPr="00965459" w:rsidRDefault="000E0BF3" w:rsidP="00A74616">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0.2855</w:t>
            </w:r>
          </w:p>
        </w:tc>
        <w:tc>
          <w:tcPr>
            <w:tcW w:w="960" w:type="dxa"/>
            <w:tcBorders>
              <w:top w:val="nil"/>
              <w:left w:val="nil"/>
              <w:bottom w:val="nil"/>
              <w:right w:val="nil"/>
            </w:tcBorders>
            <w:shd w:val="clear" w:color="auto" w:fill="auto"/>
            <w:noWrap/>
            <w:vAlign w:val="bottom"/>
            <w:hideMark/>
          </w:tcPr>
          <w:p w14:paraId="17810928" w14:textId="77777777" w:rsidR="000E0BF3" w:rsidRPr="00965459" w:rsidRDefault="000E0BF3" w:rsidP="00A74616">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1.4828</w:t>
            </w:r>
          </w:p>
        </w:tc>
      </w:tr>
      <w:tr w:rsidR="00293EA7" w:rsidRPr="00965459" w14:paraId="18636B85" w14:textId="77777777" w:rsidTr="000E0BF3">
        <w:trPr>
          <w:trHeight w:val="290"/>
          <w:jc w:val="center"/>
        </w:trPr>
        <w:tc>
          <w:tcPr>
            <w:tcW w:w="1102" w:type="dxa"/>
            <w:tcBorders>
              <w:top w:val="nil"/>
              <w:left w:val="nil"/>
              <w:right w:val="nil"/>
            </w:tcBorders>
            <w:shd w:val="clear" w:color="auto" w:fill="auto"/>
            <w:noWrap/>
            <w:vAlign w:val="bottom"/>
            <w:hideMark/>
          </w:tcPr>
          <w:p w14:paraId="75FA578C"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RS</w:t>
            </w:r>
          </w:p>
        </w:tc>
        <w:tc>
          <w:tcPr>
            <w:tcW w:w="1348" w:type="dxa"/>
            <w:tcBorders>
              <w:top w:val="nil"/>
              <w:left w:val="nil"/>
              <w:right w:val="nil"/>
            </w:tcBorders>
            <w:shd w:val="clear" w:color="auto" w:fill="auto"/>
            <w:noWrap/>
            <w:vAlign w:val="bottom"/>
            <w:hideMark/>
          </w:tcPr>
          <w:p w14:paraId="1FFD90BE"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0.4185</w:t>
            </w:r>
          </w:p>
        </w:tc>
        <w:tc>
          <w:tcPr>
            <w:tcW w:w="1643" w:type="dxa"/>
            <w:tcBorders>
              <w:top w:val="nil"/>
              <w:left w:val="nil"/>
              <w:right w:val="nil"/>
            </w:tcBorders>
            <w:shd w:val="clear" w:color="auto" w:fill="auto"/>
            <w:noWrap/>
            <w:vAlign w:val="bottom"/>
            <w:hideMark/>
          </w:tcPr>
          <w:p w14:paraId="5DA69EAA"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0.2650</w:t>
            </w:r>
          </w:p>
        </w:tc>
        <w:tc>
          <w:tcPr>
            <w:tcW w:w="960" w:type="dxa"/>
            <w:tcBorders>
              <w:top w:val="nil"/>
              <w:left w:val="nil"/>
              <w:right w:val="nil"/>
            </w:tcBorders>
            <w:shd w:val="clear" w:color="auto" w:fill="auto"/>
            <w:noWrap/>
            <w:vAlign w:val="bottom"/>
            <w:hideMark/>
          </w:tcPr>
          <w:p w14:paraId="5C21D133"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1.5793</w:t>
            </w:r>
          </w:p>
        </w:tc>
      </w:tr>
      <w:tr w:rsidR="00293EA7" w:rsidRPr="00965459" w14:paraId="5CEFE8D7" w14:textId="77777777" w:rsidTr="000E0BF3">
        <w:trPr>
          <w:trHeight w:val="290"/>
          <w:jc w:val="center"/>
        </w:trPr>
        <w:tc>
          <w:tcPr>
            <w:tcW w:w="1102" w:type="dxa"/>
            <w:tcBorders>
              <w:top w:val="nil"/>
              <w:left w:val="nil"/>
              <w:bottom w:val="single" w:sz="4" w:space="0" w:color="auto"/>
              <w:right w:val="nil"/>
            </w:tcBorders>
            <w:shd w:val="clear" w:color="auto" w:fill="auto"/>
            <w:noWrap/>
            <w:vAlign w:val="bottom"/>
            <w:hideMark/>
          </w:tcPr>
          <w:p w14:paraId="39208690"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SC</w:t>
            </w:r>
          </w:p>
        </w:tc>
        <w:tc>
          <w:tcPr>
            <w:tcW w:w="1348" w:type="dxa"/>
            <w:tcBorders>
              <w:top w:val="nil"/>
              <w:left w:val="nil"/>
              <w:bottom w:val="single" w:sz="4" w:space="0" w:color="auto"/>
              <w:right w:val="nil"/>
            </w:tcBorders>
            <w:shd w:val="clear" w:color="auto" w:fill="auto"/>
            <w:noWrap/>
            <w:vAlign w:val="bottom"/>
            <w:hideMark/>
          </w:tcPr>
          <w:p w14:paraId="2FD71376"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0.6103</w:t>
            </w:r>
          </w:p>
        </w:tc>
        <w:tc>
          <w:tcPr>
            <w:tcW w:w="1643" w:type="dxa"/>
            <w:tcBorders>
              <w:top w:val="nil"/>
              <w:left w:val="nil"/>
              <w:bottom w:val="single" w:sz="4" w:space="0" w:color="auto"/>
              <w:right w:val="nil"/>
            </w:tcBorders>
            <w:shd w:val="clear" w:color="auto" w:fill="auto"/>
            <w:noWrap/>
            <w:vAlign w:val="bottom"/>
            <w:hideMark/>
          </w:tcPr>
          <w:p w14:paraId="691264D7"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0.2326</w:t>
            </w:r>
          </w:p>
        </w:tc>
        <w:tc>
          <w:tcPr>
            <w:tcW w:w="960" w:type="dxa"/>
            <w:tcBorders>
              <w:top w:val="nil"/>
              <w:left w:val="nil"/>
              <w:bottom w:val="single" w:sz="4" w:space="0" w:color="auto"/>
              <w:right w:val="nil"/>
            </w:tcBorders>
            <w:shd w:val="clear" w:color="auto" w:fill="auto"/>
            <w:noWrap/>
            <w:vAlign w:val="bottom"/>
            <w:hideMark/>
          </w:tcPr>
          <w:p w14:paraId="01B3772F" w14:textId="77777777" w:rsidR="00293EA7" w:rsidRPr="00965459" w:rsidRDefault="00293EA7" w:rsidP="00293EA7">
            <w:pPr>
              <w:spacing w:line="240" w:lineRule="auto"/>
              <w:ind w:firstLine="0"/>
              <w:jc w:val="center"/>
              <w:rPr>
                <w:rFonts w:eastAsia="Times New Roman" w:cs="Times New Roman"/>
                <w:color w:val="000000"/>
                <w:sz w:val="20"/>
                <w:szCs w:val="20"/>
                <w:lang w:eastAsia="pt-BR"/>
              </w:rPr>
            </w:pPr>
            <w:r w:rsidRPr="00965459">
              <w:rPr>
                <w:rFonts w:eastAsia="Times New Roman" w:cs="Times New Roman"/>
                <w:color w:val="000000"/>
                <w:sz w:val="20"/>
                <w:szCs w:val="20"/>
                <w:lang w:eastAsia="pt-BR"/>
              </w:rPr>
              <w:t>2.6235</w:t>
            </w:r>
          </w:p>
        </w:tc>
      </w:tr>
    </w:tbl>
    <w:p w14:paraId="6AE31690" w14:textId="1B27DFC9" w:rsidR="00293EA7" w:rsidRPr="00C17EE3" w:rsidRDefault="00293EA7" w:rsidP="00293EA7">
      <w:pPr>
        <w:spacing w:line="240" w:lineRule="auto"/>
        <w:ind w:firstLine="0"/>
        <w:jc w:val="center"/>
        <w:rPr>
          <w:sz w:val="16"/>
          <w:szCs w:val="16"/>
        </w:rPr>
      </w:pPr>
      <w:r w:rsidRPr="00C17EE3">
        <w:rPr>
          <w:sz w:val="16"/>
          <w:szCs w:val="16"/>
        </w:rPr>
        <w:t>Fonte: Elaborado pelo autor.</w:t>
      </w:r>
      <w:r w:rsidR="00923DC2" w:rsidRPr="00C17EE3">
        <w:rPr>
          <w:sz w:val="16"/>
          <w:szCs w:val="16"/>
        </w:rPr>
        <w:t xml:space="preserve"> </w:t>
      </w:r>
    </w:p>
    <w:p w14:paraId="515951E1" w14:textId="77777777" w:rsidR="00293EA7" w:rsidRDefault="00293EA7" w:rsidP="005433CD">
      <w:pPr>
        <w:spacing w:line="240" w:lineRule="auto"/>
        <w:jc w:val="both"/>
      </w:pPr>
    </w:p>
    <w:p w14:paraId="39E687AD" w14:textId="4A7F96AB" w:rsidR="003E44FF" w:rsidRDefault="003E44FF" w:rsidP="002B2C5D">
      <w:pPr>
        <w:spacing w:line="240" w:lineRule="auto"/>
        <w:jc w:val="both"/>
      </w:pPr>
      <w:r>
        <w:t xml:space="preserve">A exceção do Rio de Janeiro, nos demais casos a volatilidade dos ciclos de negócios estaduais excedeu a do componente de longo prazo, com destaque para Santa Catarina e Minas Gerais, onde a taxa foi superior a dois. Comparando os valores do ponto de vista regional, </w:t>
      </w:r>
      <w:r w:rsidR="00771546">
        <w:t xml:space="preserve">a região Nordeste apresentou as menores taxas médias, indicando uma maior importância das flutuações estruturais sobre a volatilidade da série de saldo de emprego. Nas outras duas regiões, a volatilidade associada ao componente cíclico apresentou maior importância relativa, a única exceção observada fora o Rio de Janeiro, que possui volatilidade fortemente associada a suas flutuações de longo prazo, tal resultado pode ser associado a dependência do Estado com o setor extrativo mineral, em especial </w:t>
      </w:r>
      <w:r w:rsidR="00C92096">
        <w:t>à</w:t>
      </w:r>
      <w:r w:rsidR="00771546">
        <w:t xml:space="preserve"> oferta de petróleo</w:t>
      </w:r>
      <w:r w:rsidR="00C92096">
        <w:t>.</w:t>
      </w:r>
    </w:p>
    <w:p w14:paraId="31D367DA" w14:textId="77777777" w:rsidR="001E5B1A" w:rsidRDefault="001E5B1A" w:rsidP="002B2C5D">
      <w:pPr>
        <w:spacing w:line="240" w:lineRule="auto"/>
        <w:jc w:val="both"/>
      </w:pPr>
    </w:p>
    <w:p w14:paraId="36387A30" w14:textId="16EEC7A5" w:rsidR="001E5B1A" w:rsidRDefault="001E5B1A" w:rsidP="001E5B1A">
      <w:pPr>
        <w:pStyle w:val="TtuloFigura"/>
        <w:spacing w:line="240" w:lineRule="auto"/>
        <w:ind w:firstLine="0"/>
        <w:jc w:val="center"/>
      </w:pPr>
      <w:r>
        <w:t>Figura 4: Relação entre a Taxa de Variância Média e a Participação da Indústria de Transformação</w:t>
      </w:r>
    </w:p>
    <w:p w14:paraId="66CD5831" w14:textId="39C97BE7" w:rsidR="001E5B1A" w:rsidRDefault="001E5B1A" w:rsidP="004D0B3A">
      <w:pPr>
        <w:spacing w:line="240" w:lineRule="auto"/>
        <w:jc w:val="both"/>
      </w:pPr>
      <w:r>
        <w:rPr>
          <w:noProof/>
        </w:rPr>
        <w:drawing>
          <wp:inline distT="0" distB="0" distL="0" distR="0" wp14:anchorId="01A32E54" wp14:editId="0DB46688">
            <wp:extent cx="4900246" cy="2203939"/>
            <wp:effectExtent l="0" t="0" r="15240" b="6350"/>
            <wp:docPr id="11" name="Chart 11">
              <a:extLst xmlns:a="http://schemas.openxmlformats.org/drawingml/2006/main">
                <a:ext uri="{FF2B5EF4-FFF2-40B4-BE49-F238E27FC236}">
                  <a16:creationId xmlns:a16="http://schemas.microsoft.com/office/drawing/2014/main" id="{711AA22D-3E1F-447C-B5C7-0BF8A41BD2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03214E8" w14:textId="77777777" w:rsidR="001E5B1A" w:rsidRPr="00C17EE3" w:rsidRDefault="001E5B1A" w:rsidP="001E5B1A">
      <w:pPr>
        <w:spacing w:line="240" w:lineRule="auto"/>
        <w:ind w:firstLine="0"/>
        <w:jc w:val="center"/>
        <w:rPr>
          <w:sz w:val="16"/>
          <w:szCs w:val="16"/>
        </w:rPr>
      </w:pPr>
      <w:r w:rsidRPr="00C17EE3">
        <w:rPr>
          <w:sz w:val="16"/>
          <w:szCs w:val="16"/>
        </w:rPr>
        <w:t>Fonte: Elaborado pelo autor.</w:t>
      </w:r>
    </w:p>
    <w:p w14:paraId="7671E020" w14:textId="77777777" w:rsidR="007B06A6" w:rsidRDefault="007B06A6" w:rsidP="007B06A6">
      <w:pPr>
        <w:spacing w:line="240" w:lineRule="auto"/>
        <w:jc w:val="both"/>
      </w:pPr>
    </w:p>
    <w:p w14:paraId="6A4EFA9A" w14:textId="7C5F7E01" w:rsidR="007B06A6" w:rsidRDefault="007B06A6" w:rsidP="007B06A6">
      <w:pPr>
        <w:spacing w:line="240" w:lineRule="auto"/>
        <w:jc w:val="both"/>
      </w:pPr>
      <w:r>
        <w:t>É importante destacar, do ponto de vista estrutural, que os Estados com maior participação relativa da Indústria de Transformação em sua matriz produtiva, apresentaram taxas de volatilidade relativamente maiores. Esse padrão sugere que o setor possuir maior sensibilidade as flutuações cíclicas na atividade econômica. Em alinhamento ao resultado supracitado, Colombo e Lazzari (2018) concluem que as UFs com maior participação da indústria de transformação apresentaram recessões entre 2014 e 2016 mais duradouras e severas.</w:t>
      </w:r>
    </w:p>
    <w:p w14:paraId="2DCCC20C" w14:textId="024CC941" w:rsidR="00B41CB5" w:rsidRPr="00273F92" w:rsidRDefault="00B41CB5" w:rsidP="007B06A6">
      <w:pPr>
        <w:spacing w:line="240" w:lineRule="auto"/>
        <w:jc w:val="both"/>
      </w:pPr>
      <w:r>
        <w:t>A Tabela 4 reporta as estatísticas dos ciclos</w:t>
      </w:r>
      <w:r w:rsidR="005C4346">
        <w:t xml:space="preserve"> econômicos no setor formal do mercado de trabalho. Todos os ciclos estaduais apresentaram, em termos absolutos, coeficientes mínimos superiores aos respectivos coeficientes máximos, sugerindo que as recessões no mercado de trabalho formal são caracterizadas por maior severidade comparativamente as respectivas expansões. </w:t>
      </w:r>
      <w:r w:rsidR="00273F92">
        <w:t>O</w:t>
      </w:r>
      <w:r w:rsidR="005C4346">
        <w:t xml:space="preserve"> desvio padrão apresentou relativa heterogeneidade tanto do ponto de vista global, quanto do ponto de vista intrarregional, oscilando entre 0.318 (</w:t>
      </w:r>
      <w:r w:rsidR="007B06A6">
        <w:t>BA</w:t>
      </w:r>
      <w:r w:rsidR="005C4346">
        <w:t>) e 0.871 (</w:t>
      </w:r>
      <w:r w:rsidR="007B06A6">
        <w:t>SC</w:t>
      </w:r>
      <w:r w:rsidR="005C4346">
        <w:t xml:space="preserve">). </w:t>
      </w:r>
      <w:r w:rsidR="007B06A6">
        <w:t>No caso de Santa Catarina</w:t>
      </w:r>
      <w:r w:rsidR="00273F92">
        <w:t xml:space="preserve">, os efeitos da crise econômica internacional instaurada em 2008 coincidiram com </w:t>
      </w:r>
      <w:r w:rsidR="007B06A6">
        <w:t>o período intenso de chuvas</w:t>
      </w:r>
      <w:r w:rsidR="00273F92">
        <w:t xml:space="preserve"> </w:t>
      </w:r>
      <w:r w:rsidR="007B06A6">
        <w:t>ocorrido</w:t>
      </w:r>
      <w:r w:rsidR="00273F92">
        <w:t xml:space="preserve"> no último trimestre </w:t>
      </w:r>
      <w:r w:rsidR="00273F92">
        <w:lastRenderedPageBreak/>
        <w:t xml:space="preserve">de 2008, que ocasionaram efeitos diretos sobre a atividade econômica (Ribeiro </w:t>
      </w:r>
      <w:r w:rsidR="00273F92">
        <w:rPr>
          <w:i/>
          <w:iCs/>
        </w:rPr>
        <w:t>et. al</w:t>
      </w:r>
      <w:r w:rsidR="00273F92">
        <w:t>, 2014), contribuindo para que o Estado apresente o valor mínimo mais extremo, bem como a maior taxa de volatilidade.</w:t>
      </w:r>
    </w:p>
    <w:p w14:paraId="553F101F" w14:textId="3ABAF93B" w:rsidR="005433CD" w:rsidRDefault="00EB661A" w:rsidP="002B2C5D">
      <w:pPr>
        <w:spacing w:line="240" w:lineRule="auto"/>
        <w:jc w:val="both"/>
      </w:pPr>
      <w:r>
        <w:t>A assimetria e curtose apresentaram sinais negativos para todas os ciclos econômicos, com excessão de Pernambuco</w:t>
      </w:r>
      <w:r w:rsidR="00020581">
        <w:t>. O coeficiente de assimetria sugere</w:t>
      </w:r>
      <w:r>
        <w:t xml:space="preserve"> que </w:t>
      </w:r>
      <w:r w:rsidR="00020581">
        <w:t>a distribuição dos valores apresenta uma maior concentração em valores abaixo da média, enquanto a curtose (séries platicúrticas), indicando que a incidência de valores extremos é mais provável do que no caso da distribuição normal.</w:t>
      </w:r>
    </w:p>
    <w:p w14:paraId="31F82141" w14:textId="09BC4C0F" w:rsidR="00020581" w:rsidRDefault="00020581" w:rsidP="002B2C5D">
      <w:pPr>
        <w:spacing w:line="240" w:lineRule="auto"/>
        <w:jc w:val="both"/>
      </w:pPr>
      <w:r>
        <w:t>Por fim, o coeficiente autorregressivo de ordem 1 é apresentado no intuito de avaliar o grau de persistência nos ciclos de negócios do mercado de trabalho formal das unidades sub-nacionais. Os coeficientes reportam uma relativa homogeneidade na estrutura autoregressiva das séries. Todas as séries apresentam forte nível de persistência, oscilando entre 0.799 (Paraná) e 0.870 (Rio de Janeiro).</w:t>
      </w:r>
    </w:p>
    <w:p w14:paraId="75D8D2C7" w14:textId="77777777" w:rsidR="005433CD" w:rsidRDefault="005433CD" w:rsidP="005433CD">
      <w:pPr>
        <w:autoSpaceDE w:val="0"/>
        <w:autoSpaceDN w:val="0"/>
        <w:adjustRightInd w:val="0"/>
        <w:spacing w:line="240" w:lineRule="auto"/>
        <w:ind w:firstLine="0"/>
        <w:rPr>
          <w:rFonts w:ascii="Arial" w:hAnsi="Arial" w:cs="Arial"/>
          <w:sz w:val="18"/>
          <w:szCs w:val="18"/>
        </w:rPr>
      </w:pPr>
    </w:p>
    <w:p w14:paraId="1A1B23B1" w14:textId="24C45196" w:rsidR="005433CD" w:rsidRPr="007C6418" w:rsidRDefault="005433CD" w:rsidP="00B41CB5">
      <w:pPr>
        <w:pStyle w:val="TituloTabela"/>
        <w:spacing w:line="240" w:lineRule="auto"/>
        <w:jc w:val="center"/>
      </w:pPr>
      <w:bookmarkStart w:id="15" w:name="_Toc496278367"/>
      <w:r>
        <w:t xml:space="preserve">Tabela </w:t>
      </w:r>
      <w:r w:rsidR="00B41CB5">
        <w:t>4</w:t>
      </w:r>
      <w:r>
        <w:t>: Estatísticas Descritivas dos Ciclos de Negócios</w:t>
      </w:r>
      <w:bookmarkEnd w:id="15"/>
    </w:p>
    <w:tbl>
      <w:tblPr>
        <w:tblW w:w="5000" w:type="pct"/>
        <w:tblCellMar>
          <w:left w:w="70" w:type="dxa"/>
          <w:right w:w="70" w:type="dxa"/>
        </w:tblCellMar>
        <w:tblLook w:val="04A0" w:firstRow="1" w:lastRow="0" w:firstColumn="1" w:lastColumn="0" w:noHBand="0" w:noVBand="1"/>
      </w:tblPr>
      <w:tblGrid>
        <w:gridCol w:w="1421"/>
        <w:gridCol w:w="975"/>
        <w:gridCol w:w="976"/>
        <w:gridCol w:w="976"/>
        <w:gridCol w:w="976"/>
        <w:gridCol w:w="976"/>
        <w:gridCol w:w="976"/>
        <w:gridCol w:w="976"/>
        <w:gridCol w:w="976"/>
        <w:gridCol w:w="976"/>
      </w:tblGrid>
      <w:tr w:rsidR="00B41CB5" w:rsidRPr="0053125D" w14:paraId="27B9ED21" w14:textId="77777777" w:rsidTr="00A74616">
        <w:trPr>
          <w:trHeight w:val="290"/>
        </w:trPr>
        <w:tc>
          <w:tcPr>
            <w:tcW w:w="697" w:type="pct"/>
            <w:tcBorders>
              <w:top w:val="single" w:sz="4" w:space="0" w:color="auto"/>
              <w:left w:val="nil"/>
              <w:bottom w:val="single" w:sz="4" w:space="0" w:color="auto"/>
              <w:right w:val="nil"/>
            </w:tcBorders>
            <w:shd w:val="clear" w:color="auto" w:fill="auto"/>
            <w:noWrap/>
            <w:vAlign w:val="bottom"/>
            <w:hideMark/>
          </w:tcPr>
          <w:p w14:paraId="7E0113EA"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Métricas</w:t>
            </w:r>
          </w:p>
        </w:tc>
        <w:tc>
          <w:tcPr>
            <w:tcW w:w="478" w:type="pct"/>
            <w:tcBorders>
              <w:top w:val="single" w:sz="4" w:space="0" w:color="auto"/>
              <w:left w:val="nil"/>
              <w:bottom w:val="single" w:sz="4" w:space="0" w:color="auto"/>
              <w:right w:val="nil"/>
            </w:tcBorders>
            <w:shd w:val="clear" w:color="auto" w:fill="auto"/>
            <w:noWrap/>
            <w:vAlign w:val="bottom"/>
            <w:hideMark/>
          </w:tcPr>
          <w:p w14:paraId="0A65EC3A"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BA</w:t>
            </w:r>
          </w:p>
        </w:tc>
        <w:tc>
          <w:tcPr>
            <w:tcW w:w="478" w:type="pct"/>
            <w:tcBorders>
              <w:top w:val="single" w:sz="4" w:space="0" w:color="auto"/>
              <w:left w:val="nil"/>
              <w:bottom w:val="single" w:sz="4" w:space="0" w:color="auto"/>
              <w:right w:val="nil"/>
            </w:tcBorders>
            <w:shd w:val="clear" w:color="auto" w:fill="auto"/>
            <w:noWrap/>
            <w:vAlign w:val="bottom"/>
            <w:hideMark/>
          </w:tcPr>
          <w:p w14:paraId="0324160F"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CE</w:t>
            </w:r>
          </w:p>
        </w:tc>
        <w:tc>
          <w:tcPr>
            <w:tcW w:w="478" w:type="pct"/>
            <w:tcBorders>
              <w:top w:val="single" w:sz="4" w:space="0" w:color="auto"/>
              <w:left w:val="nil"/>
              <w:bottom w:val="single" w:sz="4" w:space="0" w:color="auto"/>
              <w:right w:val="nil"/>
            </w:tcBorders>
            <w:shd w:val="clear" w:color="auto" w:fill="auto"/>
            <w:noWrap/>
            <w:vAlign w:val="bottom"/>
            <w:hideMark/>
          </w:tcPr>
          <w:p w14:paraId="1A6EFEA4"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PE</w:t>
            </w:r>
          </w:p>
        </w:tc>
        <w:tc>
          <w:tcPr>
            <w:tcW w:w="478" w:type="pct"/>
            <w:tcBorders>
              <w:top w:val="single" w:sz="4" w:space="0" w:color="auto"/>
              <w:left w:val="nil"/>
              <w:bottom w:val="single" w:sz="4" w:space="0" w:color="auto"/>
              <w:right w:val="nil"/>
            </w:tcBorders>
            <w:shd w:val="clear" w:color="auto" w:fill="auto"/>
            <w:noWrap/>
            <w:vAlign w:val="bottom"/>
            <w:hideMark/>
          </w:tcPr>
          <w:p w14:paraId="2F2B8E1B"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PR</w:t>
            </w:r>
          </w:p>
        </w:tc>
        <w:tc>
          <w:tcPr>
            <w:tcW w:w="478" w:type="pct"/>
            <w:tcBorders>
              <w:top w:val="single" w:sz="4" w:space="0" w:color="auto"/>
              <w:left w:val="nil"/>
              <w:bottom w:val="single" w:sz="4" w:space="0" w:color="auto"/>
              <w:right w:val="nil"/>
            </w:tcBorders>
            <w:shd w:val="clear" w:color="auto" w:fill="auto"/>
            <w:noWrap/>
            <w:vAlign w:val="bottom"/>
            <w:hideMark/>
          </w:tcPr>
          <w:p w14:paraId="34F778F4"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RS</w:t>
            </w:r>
          </w:p>
        </w:tc>
        <w:tc>
          <w:tcPr>
            <w:tcW w:w="478" w:type="pct"/>
            <w:tcBorders>
              <w:top w:val="single" w:sz="4" w:space="0" w:color="auto"/>
              <w:left w:val="nil"/>
              <w:bottom w:val="single" w:sz="4" w:space="0" w:color="auto"/>
              <w:right w:val="nil"/>
            </w:tcBorders>
            <w:shd w:val="clear" w:color="auto" w:fill="auto"/>
            <w:noWrap/>
            <w:vAlign w:val="bottom"/>
            <w:hideMark/>
          </w:tcPr>
          <w:p w14:paraId="14E7E5A3"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SC</w:t>
            </w:r>
          </w:p>
        </w:tc>
        <w:tc>
          <w:tcPr>
            <w:tcW w:w="478" w:type="pct"/>
            <w:tcBorders>
              <w:top w:val="single" w:sz="4" w:space="0" w:color="auto"/>
              <w:left w:val="nil"/>
              <w:bottom w:val="single" w:sz="4" w:space="0" w:color="auto"/>
              <w:right w:val="nil"/>
            </w:tcBorders>
            <w:shd w:val="clear" w:color="auto" w:fill="auto"/>
            <w:noWrap/>
            <w:vAlign w:val="bottom"/>
            <w:hideMark/>
          </w:tcPr>
          <w:p w14:paraId="1F614C26"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MG</w:t>
            </w:r>
          </w:p>
        </w:tc>
        <w:tc>
          <w:tcPr>
            <w:tcW w:w="478" w:type="pct"/>
            <w:tcBorders>
              <w:top w:val="single" w:sz="4" w:space="0" w:color="auto"/>
              <w:left w:val="nil"/>
              <w:bottom w:val="single" w:sz="4" w:space="0" w:color="auto"/>
              <w:right w:val="nil"/>
            </w:tcBorders>
            <w:shd w:val="clear" w:color="auto" w:fill="auto"/>
            <w:noWrap/>
            <w:vAlign w:val="bottom"/>
            <w:hideMark/>
          </w:tcPr>
          <w:p w14:paraId="72B30E8A"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RJ</w:t>
            </w:r>
          </w:p>
        </w:tc>
        <w:tc>
          <w:tcPr>
            <w:tcW w:w="478" w:type="pct"/>
            <w:tcBorders>
              <w:top w:val="single" w:sz="4" w:space="0" w:color="auto"/>
              <w:left w:val="nil"/>
              <w:bottom w:val="single" w:sz="4" w:space="0" w:color="auto"/>
              <w:right w:val="nil"/>
            </w:tcBorders>
            <w:shd w:val="clear" w:color="auto" w:fill="auto"/>
            <w:noWrap/>
            <w:vAlign w:val="bottom"/>
            <w:hideMark/>
          </w:tcPr>
          <w:p w14:paraId="5A41C1F0"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SP</w:t>
            </w:r>
          </w:p>
        </w:tc>
      </w:tr>
      <w:tr w:rsidR="00B41CB5" w:rsidRPr="0053125D" w14:paraId="6C6C055E" w14:textId="77777777" w:rsidTr="00A74616">
        <w:trPr>
          <w:trHeight w:val="290"/>
        </w:trPr>
        <w:tc>
          <w:tcPr>
            <w:tcW w:w="697" w:type="pct"/>
            <w:tcBorders>
              <w:top w:val="nil"/>
              <w:left w:val="nil"/>
              <w:bottom w:val="nil"/>
              <w:right w:val="nil"/>
            </w:tcBorders>
            <w:shd w:val="clear" w:color="auto" w:fill="auto"/>
            <w:noWrap/>
            <w:vAlign w:val="bottom"/>
            <w:hideMark/>
          </w:tcPr>
          <w:p w14:paraId="22CAD5C5"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Média</w:t>
            </w:r>
          </w:p>
        </w:tc>
        <w:tc>
          <w:tcPr>
            <w:tcW w:w="478" w:type="pct"/>
            <w:tcBorders>
              <w:top w:val="nil"/>
              <w:left w:val="nil"/>
              <w:bottom w:val="nil"/>
              <w:right w:val="nil"/>
            </w:tcBorders>
            <w:shd w:val="clear" w:color="auto" w:fill="auto"/>
            <w:noWrap/>
            <w:vAlign w:val="bottom"/>
            <w:hideMark/>
          </w:tcPr>
          <w:p w14:paraId="5A77A4AE"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0.000</w:t>
            </w:r>
          </w:p>
        </w:tc>
        <w:tc>
          <w:tcPr>
            <w:tcW w:w="478" w:type="pct"/>
            <w:tcBorders>
              <w:top w:val="nil"/>
              <w:left w:val="nil"/>
              <w:bottom w:val="nil"/>
              <w:right w:val="nil"/>
            </w:tcBorders>
            <w:shd w:val="clear" w:color="auto" w:fill="auto"/>
            <w:noWrap/>
            <w:vAlign w:val="bottom"/>
            <w:hideMark/>
          </w:tcPr>
          <w:p w14:paraId="3AF5974E"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0.000</w:t>
            </w:r>
          </w:p>
        </w:tc>
        <w:tc>
          <w:tcPr>
            <w:tcW w:w="478" w:type="pct"/>
            <w:tcBorders>
              <w:top w:val="nil"/>
              <w:left w:val="nil"/>
              <w:bottom w:val="nil"/>
              <w:right w:val="nil"/>
            </w:tcBorders>
            <w:shd w:val="clear" w:color="auto" w:fill="auto"/>
            <w:noWrap/>
            <w:vAlign w:val="bottom"/>
            <w:hideMark/>
          </w:tcPr>
          <w:p w14:paraId="7ABA5AFB"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0.000</w:t>
            </w:r>
          </w:p>
        </w:tc>
        <w:tc>
          <w:tcPr>
            <w:tcW w:w="478" w:type="pct"/>
            <w:tcBorders>
              <w:top w:val="nil"/>
              <w:left w:val="nil"/>
              <w:bottom w:val="nil"/>
              <w:right w:val="nil"/>
            </w:tcBorders>
            <w:shd w:val="clear" w:color="auto" w:fill="auto"/>
            <w:noWrap/>
            <w:vAlign w:val="bottom"/>
            <w:hideMark/>
          </w:tcPr>
          <w:p w14:paraId="5A41529B"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0.000</w:t>
            </w:r>
          </w:p>
        </w:tc>
        <w:tc>
          <w:tcPr>
            <w:tcW w:w="478" w:type="pct"/>
            <w:tcBorders>
              <w:top w:val="nil"/>
              <w:left w:val="nil"/>
              <w:bottom w:val="nil"/>
              <w:right w:val="nil"/>
            </w:tcBorders>
            <w:shd w:val="clear" w:color="auto" w:fill="auto"/>
            <w:noWrap/>
            <w:vAlign w:val="bottom"/>
            <w:hideMark/>
          </w:tcPr>
          <w:p w14:paraId="170AF53A"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0.000</w:t>
            </w:r>
          </w:p>
        </w:tc>
        <w:tc>
          <w:tcPr>
            <w:tcW w:w="478" w:type="pct"/>
            <w:tcBorders>
              <w:top w:val="nil"/>
              <w:left w:val="nil"/>
              <w:bottom w:val="nil"/>
              <w:right w:val="nil"/>
            </w:tcBorders>
            <w:shd w:val="clear" w:color="auto" w:fill="auto"/>
            <w:noWrap/>
            <w:vAlign w:val="bottom"/>
            <w:hideMark/>
          </w:tcPr>
          <w:p w14:paraId="1A6E81A6"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0.000</w:t>
            </w:r>
          </w:p>
        </w:tc>
        <w:tc>
          <w:tcPr>
            <w:tcW w:w="478" w:type="pct"/>
            <w:tcBorders>
              <w:top w:val="nil"/>
              <w:left w:val="nil"/>
              <w:bottom w:val="nil"/>
              <w:right w:val="nil"/>
            </w:tcBorders>
            <w:shd w:val="clear" w:color="auto" w:fill="auto"/>
            <w:noWrap/>
            <w:vAlign w:val="bottom"/>
            <w:hideMark/>
          </w:tcPr>
          <w:p w14:paraId="1C706D09"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0.000</w:t>
            </w:r>
          </w:p>
        </w:tc>
        <w:tc>
          <w:tcPr>
            <w:tcW w:w="478" w:type="pct"/>
            <w:tcBorders>
              <w:top w:val="nil"/>
              <w:left w:val="nil"/>
              <w:bottom w:val="nil"/>
              <w:right w:val="nil"/>
            </w:tcBorders>
            <w:shd w:val="clear" w:color="auto" w:fill="auto"/>
            <w:noWrap/>
            <w:vAlign w:val="bottom"/>
            <w:hideMark/>
          </w:tcPr>
          <w:p w14:paraId="2013C0CC"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0.000</w:t>
            </w:r>
          </w:p>
        </w:tc>
        <w:tc>
          <w:tcPr>
            <w:tcW w:w="478" w:type="pct"/>
            <w:tcBorders>
              <w:top w:val="nil"/>
              <w:left w:val="nil"/>
              <w:bottom w:val="nil"/>
              <w:right w:val="nil"/>
            </w:tcBorders>
            <w:shd w:val="clear" w:color="auto" w:fill="auto"/>
            <w:noWrap/>
            <w:vAlign w:val="bottom"/>
            <w:hideMark/>
          </w:tcPr>
          <w:p w14:paraId="30D81360"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0.000</w:t>
            </w:r>
          </w:p>
        </w:tc>
      </w:tr>
      <w:tr w:rsidR="00B41CB5" w:rsidRPr="0053125D" w14:paraId="681A08DB" w14:textId="77777777" w:rsidTr="00A74616">
        <w:trPr>
          <w:trHeight w:val="290"/>
        </w:trPr>
        <w:tc>
          <w:tcPr>
            <w:tcW w:w="697" w:type="pct"/>
            <w:tcBorders>
              <w:top w:val="nil"/>
              <w:left w:val="nil"/>
              <w:bottom w:val="nil"/>
              <w:right w:val="nil"/>
            </w:tcBorders>
            <w:shd w:val="clear" w:color="auto" w:fill="auto"/>
            <w:noWrap/>
            <w:vAlign w:val="bottom"/>
            <w:hideMark/>
          </w:tcPr>
          <w:p w14:paraId="0716C988"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Mínimo</w:t>
            </w:r>
          </w:p>
        </w:tc>
        <w:tc>
          <w:tcPr>
            <w:tcW w:w="478" w:type="pct"/>
            <w:tcBorders>
              <w:top w:val="nil"/>
              <w:left w:val="nil"/>
              <w:bottom w:val="nil"/>
              <w:right w:val="nil"/>
            </w:tcBorders>
            <w:shd w:val="clear" w:color="auto" w:fill="auto"/>
            <w:noWrap/>
            <w:vAlign w:val="bottom"/>
            <w:hideMark/>
          </w:tcPr>
          <w:p w14:paraId="103E2CEB"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-0.736</w:t>
            </w:r>
          </w:p>
        </w:tc>
        <w:tc>
          <w:tcPr>
            <w:tcW w:w="478" w:type="pct"/>
            <w:tcBorders>
              <w:top w:val="nil"/>
              <w:left w:val="nil"/>
              <w:bottom w:val="nil"/>
              <w:right w:val="nil"/>
            </w:tcBorders>
            <w:shd w:val="clear" w:color="auto" w:fill="auto"/>
            <w:noWrap/>
            <w:vAlign w:val="bottom"/>
            <w:hideMark/>
          </w:tcPr>
          <w:p w14:paraId="3C4DE3ED"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-1.460</w:t>
            </w:r>
          </w:p>
        </w:tc>
        <w:tc>
          <w:tcPr>
            <w:tcW w:w="478" w:type="pct"/>
            <w:tcBorders>
              <w:top w:val="nil"/>
              <w:left w:val="nil"/>
              <w:bottom w:val="nil"/>
              <w:right w:val="nil"/>
            </w:tcBorders>
            <w:shd w:val="clear" w:color="auto" w:fill="auto"/>
            <w:noWrap/>
            <w:vAlign w:val="bottom"/>
            <w:hideMark/>
          </w:tcPr>
          <w:p w14:paraId="132DC98D"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-1.804</w:t>
            </w:r>
          </w:p>
        </w:tc>
        <w:tc>
          <w:tcPr>
            <w:tcW w:w="478" w:type="pct"/>
            <w:tcBorders>
              <w:top w:val="nil"/>
              <w:left w:val="nil"/>
              <w:bottom w:val="nil"/>
              <w:right w:val="nil"/>
            </w:tcBorders>
            <w:shd w:val="clear" w:color="auto" w:fill="auto"/>
            <w:noWrap/>
            <w:vAlign w:val="bottom"/>
            <w:hideMark/>
          </w:tcPr>
          <w:p w14:paraId="5E99E084"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-1.488</w:t>
            </w:r>
          </w:p>
        </w:tc>
        <w:tc>
          <w:tcPr>
            <w:tcW w:w="478" w:type="pct"/>
            <w:tcBorders>
              <w:top w:val="nil"/>
              <w:left w:val="nil"/>
              <w:bottom w:val="nil"/>
              <w:right w:val="nil"/>
            </w:tcBorders>
            <w:shd w:val="clear" w:color="auto" w:fill="auto"/>
            <w:noWrap/>
            <w:vAlign w:val="bottom"/>
            <w:hideMark/>
          </w:tcPr>
          <w:p w14:paraId="50470DEE"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-1.534</w:t>
            </w:r>
          </w:p>
        </w:tc>
        <w:tc>
          <w:tcPr>
            <w:tcW w:w="478" w:type="pct"/>
            <w:tcBorders>
              <w:top w:val="nil"/>
              <w:left w:val="nil"/>
              <w:bottom w:val="nil"/>
              <w:right w:val="nil"/>
            </w:tcBorders>
            <w:shd w:val="clear" w:color="auto" w:fill="auto"/>
            <w:noWrap/>
            <w:vAlign w:val="bottom"/>
            <w:hideMark/>
          </w:tcPr>
          <w:p w14:paraId="50EE4577"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-2.272</w:t>
            </w:r>
          </w:p>
        </w:tc>
        <w:tc>
          <w:tcPr>
            <w:tcW w:w="478" w:type="pct"/>
            <w:tcBorders>
              <w:top w:val="nil"/>
              <w:left w:val="nil"/>
              <w:bottom w:val="nil"/>
              <w:right w:val="nil"/>
            </w:tcBorders>
            <w:shd w:val="clear" w:color="auto" w:fill="auto"/>
            <w:noWrap/>
            <w:vAlign w:val="bottom"/>
            <w:hideMark/>
          </w:tcPr>
          <w:p w14:paraId="5FEBD68C"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-1.695</w:t>
            </w:r>
          </w:p>
        </w:tc>
        <w:tc>
          <w:tcPr>
            <w:tcW w:w="478" w:type="pct"/>
            <w:tcBorders>
              <w:top w:val="nil"/>
              <w:left w:val="nil"/>
              <w:bottom w:val="nil"/>
              <w:right w:val="nil"/>
            </w:tcBorders>
            <w:shd w:val="clear" w:color="auto" w:fill="auto"/>
            <w:noWrap/>
            <w:vAlign w:val="bottom"/>
            <w:hideMark/>
          </w:tcPr>
          <w:p w14:paraId="75929D69"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-1.286</w:t>
            </w:r>
          </w:p>
        </w:tc>
        <w:tc>
          <w:tcPr>
            <w:tcW w:w="478" w:type="pct"/>
            <w:tcBorders>
              <w:top w:val="nil"/>
              <w:left w:val="nil"/>
              <w:bottom w:val="nil"/>
              <w:right w:val="nil"/>
            </w:tcBorders>
            <w:shd w:val="clear" w:color="auto" w:fill="auto"/>
            <w:noWrap/>
            <w:vAlign w:val="bottom"/>
            <w:hideMark/>
          </w:tcPr>
          <w:p w14:paraId="14ADBC35"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-1.507</w:t>
            </w:r>
          </w:p>
        </w:tc>
      </w:tr>
      <w:tr w:rsidR="00B41CB5" w:rsidRPr="0053125D" w14:paraId="06D857B2" w14:textId="77777777" w:rsidTr="00A74616">
        <w:trPr>
          <w:trHeight w:val="290"/>
        </w:trPr>
        <w:tc>
          <w:tcPr>
            <w:tcW w:w="697" w:type="pct"/>
            <w:tcBorders>
              <w:top w:val="nil"/>
              <w:left w:val="nil"/>
              <w:bottom w:val="nil"/>
              <w:right w:val="nil"/>
            </w:tcBorders>
            <w:shd w:val="clear" w:color="auto" w:fill="auto"/>
            <w:noWrap/>
            <w:vAlign w:val="bottom"/>
            <w:hideMark/>
          </w:tcPr>
          <w:p w14:paraId="49D29DF6"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Máximo</w:t>
            </w:r>
          </w:p>
        </w:tc>
        <w:tc>
          <w:tcPr>
            <w:tcW w:w="478" w:type="pct"/>
            <w:tcBorders>
              <w:top w:val="nil"/>
              <w:left w:val="nil"/>
              <w:bottom w:val="nil"/>
              <w:right w:val="nil"/>
            </w:tcBorders>
            <w:shd w:val="clear" w:color="auto" w:fill="auto"/>
            <w:noWrap/>
            <w:vAlign w:val="bottom"/>
            <w:hideMark/>
          </w:tcPr>
          <w:p w14:paraId="3002CF7E"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0.554</w:t>
            </w:r>
          </w:p>
        </w:tc>
        <w:tc>
          <w:tcPr>
            <w:tcW w:w="478" w:type="pct"/>
            <w:tcBorders>
              <w:top w:val="nil"/>
              <w:left w:val="nil"/>
              <w:bottom w:val="nil"/>
              <w:right w:val="nil"/>
            </w:tcBorders>
            <w:shd w:val="clear" w:color="auto" w:fill="auto"/>
            <w:noWrap/>
            <w:vAlign w:val="bottom"/>
            <w:hideMark/>
          </w:tcPr>
          <w:p w14:paraId="76DEE88A"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1.302</w:t>
            </w:r>
          </w:p>
        </w:tc>
        <w:tc>
          <w:tcPr>
            <w:tcW w:w="478" w:type="pct"/>
            <w:tcBorders>
              <w:top w:val="nil"/>
              <w:left w:val="nil"/>
              <w:bottom w:val="nil"/>
              <w:right w:val="nil"/>
            </w:tcBorders>
            <w:shd w:val="clear" w:color="auto" w:fill="auto"/>
            <w:noWrap/>
            <w:vAlign w:val="bottom"/>
            <w:hideMark/>
          </w:tcPr>
          <w:p w14:paraId="608BF92E"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1.346</w:t>
            </w:r>
          </w:p>
        </w:tc>
        <w:tc>
          <w:tcPr>
            <w:tcW w:w="478" w:type="pct"/>
            <w:tcBorders>
              <w:top w:val="nil"/>
              <w:left w:val="nil"/>
              <w:bottom w:val="nil"/>
              <w:right w:val="nil"/>
            </w:tcBorders>
            <w:shd w:val="clear" w:color="auto" w:fill="auto"/>
            <w:noWrap/>
            <w:vAlign w:val="bottom"/>
            <w:hideMark/>
          </w:tcPr>
          <w:p w14:paraId="74E34E12"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1.305</w:t>
            </w:r>
          </w:p>
        </w:tc>
        <w:tc>
          <w:tcPr>
            <w:tcW w:w="478" w:type="pct"/>
            <w:tcBorders>
              <w:top w:val="nil"/>
              <w:left w:val="nil"/>
              <w:bottom w:val="nil"/>
              <w:right w:val="nil"/>
            </w:tcBorders>
            <w:shd w:val="clear" w:color="auto" w:fill="auto"/>
            <w:noWrap/>
            <w:vAlign w:val="bottom"/>
            <w:hideMark/>
          </w:tcPr>
          <w:p w14:paraId="4F370C1D"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1.169</w:t>
            </w:r>
          </w:p>
        </w:tc>
        <w:tc>
          <w:tcPr>
            <w:tcW w:w="478" w:type="pct"/>
            <w:tcBorders>
              <w:top w:val="nil"/>
              <w:left w:val="nil"/>
              <w:bottom w:val="nil"/>
              <w:right w:val="nil"/>
            </w:tcBorders>
            <w:shd w:val="clear" w:color="auto" w:fill="auto"/>
            <w:noWrap/>
            <w:vAlign w:val="bottom"/>
            <w:hideMark/>
          </w:tcPr>
          <w:p w14:paraId="0DD88CE1"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1.401</w:t>
            </w:r>
          </w:p>
        </w:tc>
        <w:tc>
          <w:tcPr>
            <w:tcW w:w="478" w:type="pct"/>
            <w:tcBorders>
              <w:top w:val="nil"/>
              <w:left w:val="nil"/>
              <w:bottom w:val="nil"/>
              <w:right w:val="nil"/>
            </w:tcBorders>
            <w:shd w:val="clear" w:color="auto" w:fill="auto"/>
            <w:noWrap/>
            <w:vAlign w:val="bottom"/>
            <w:hideMark/>
          </w:tcPr>
          <w:p w14:paraId="47A14D22"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1.600</w:t>
            </w:r>
          </w:p>
        </w:tc>
        <w:tc>
          <w:tcPr>
            <w:tcW w:w="478" w:type="pct"/>
            <w:tcBorders>
              <w:top w:val="nil"/>
              <w:left w:val="nil"/>
              <w:bottom w:val="nil"/>
              <w:right w:val="nil"/>
            </w:tcBorders>
            <w:shd w:val="clear" w:color="auto" w:fill="auto"/>
            <w:noWrap/>
            <w:vAlign w:val="bottom"/>
            <w:hideMark/>
          </w:tcPr>
          <w:p w14:paraId="1218F070"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1.036</w:t>
            </w:r>
          </w:p>
        </w:tc>
        <w:tc>
          <w:tcPr>
            <w:tcW w:w="478" w:type="pct"/>
            <w:tcBorders>
              <w:top w:val="nil"/>
              <w:left w:val="nil"/>
              <w:bottom w:val="nil"/>
              <w:right w:val="nil"/>
            </w:tcBorders>
            <w:shd w:val="clear" w:color="auto" w:fill="auto"/>
            <w:noWrap/>
            <w:vAlign w:val="bottom"/>
            <w:hideMark/>
          </w:tcPr>
          <w:p w14:paraId="61CCBF6B"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1.096</w:t>
            </w:r>
          </w:p>
        </w:tc>
      </w:tr>
      <w:tr w:rsidR="00B41CB5" w:rsidRPr="0053125D" w14:paraId="18731C2C" w14:textId="77777777" w:rsidTr="00A74616">
        <w:trPr>
          <w:trHeight w:val="290"/>
        </w:trPr>
        <w:tc>
          <w:tcPr>
            <w:tcW w:w="697" w:type="pct"/>
            <w:tcBorders>
              <w:top w:val="nil"/>
              <w:left w:val="nil"/>
              <w:bottom w:val="nil"/>
              <w:right w:val="nil"/>
            </w:tcBorders>
            <w:shd w:val="clear" w:color="auto" w:fill="auto"/>
            <w:noWrap/>
            <w:vAlign w:val="bottom"/>
            <w:hideMark/>
          </w:tcPr>
          <w:p w14:paraId="34A909C0"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Desvio Padrão</w:t>
            </w:r>
          </w:p>
        </w:tc>
        <w:tc>
          <w:tcPr>
            <w:tcW w:w="478" w:type="pct"/>
            <w:tcBorders>
              <w:top w:val="nil"/>
              <w:left w:val="nil"/>
              <w:bottom w:val="nil"/>
              <w:right w:val="nil"/>
            </w:tcBorders>
            <w:shd w:val="clear" w:color="auto" w:fill="auto"/>
            <w:noWrap/>
            <w:vAlign w:val="bottom"/>
            <w:hideMark/>
          </w:tcPr>
          <w:p w14:paraId="53E7EC88"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0.318</w:t>
            </w:r>
          </w:p>
        </w:tc>
        <w:tc>
          <w:tcPr>
            <w:tcW w:w="478" w:type="pct"/>
            <w:tcBorders>
              <w:top w:val="nil"/>
              <w:left w:val="nil"/>
              <w:bottom w:val="nil"/>
              <w:right w:val="nil"/>
            </w:tcBorders>
            <w:shd w:val="clear" w:color="auto" w:fill="auto"/>
            <w:noWrap/>
            <w:vAlign w:val="bottom"/>
            <w:hideMark/>
          </w:tcPr>
          <w:p w14:paraId="0369F8D3"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0.584</w:t>
            </w:r>
          </w:p>
        </w:tc>
        <w:tc>
          <w:tcPr>
            <w:tcW w:w="478" w:type="pct"/>
            <w:tcBorders>
              <w:top w:val="nil"/>
              <w:left w:val="nil"/>
              <w:bottom w:val="nil"/>
              <w:right w:val="nil"/>
            </w:tcBorders>
            <w:shd w:val="clear" w:color="auto" w:fill="auto"/>
            <w:noWrap/>
            <w:vAlign w:val="bottom"/>
            <w:hideMark/>
          </w:tcPr>
          <w:p w14:paraId="137B5AD9"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0.714</w:t>
            </w:r>
          </w:p>
        </w:tc>
        <w:tc>
          <w:tcPr>
            <w:tcW w:w="478" w:type="pct"/>
            <w:tcBorders>
              <w:top w:val="nil"/>
              <w:left w:val="nil"/>
              <w:bottom w:val="nil"/>
              <w:right w:val="nil"/>
            </w:tcBorders>
            <w:shd w:val="clear" w:color="auto" w:fill="auto"/>
            <w:noWrap/>
            <w:vAlign w:val="bottom"/>
            <w:hideMark/>
          </w:tcPr>
          <w:p w14:paraId="7E58E00A"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0.704</w:t>
            </w:r>
          </w:p>
        </w:tc>
        <w:tc>
          <w:tcPr>
            <w:tcW w:w="478" w:type="pct"/>
            <w:tcBorders>
              <w:top w:val="nil"/>
              <w:left w:val="nil"/>
              <w:bottom w:val="nil"/>
              <w:right w:val="nil"/>
            </w:tcBorders>
            <w:shd w:val="clear" w:color="auto" w:fill="auto"/>
            <w:noWrap/>
            <w:vAlign w:val="bottom"/>
            <w:hideMark/>
          </w:tcPr>
          <w:p w14:paraId="3297DC17"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0.703</w:t>
            </w:r>
          </w:p>
        </w:tc>
        <w:tc>
          <w:tcPr>
            <w:tcW w:w="478" w:type="pct"/>
            <w:tcBorders>
              <w:top w:val="nil"/>
              <w:left w:val="nil"/>
              <w:bottom w:val="nil"/>
              <w:right w:val="nil"/>
            </w:tcBorders>
            <w:shd w:val="clear" w:color="auto" w:fill="auto"/>
            <w:noWrap/>
            <w:vAlign w:val="bottom"/>
            <w:hideMark/>
          </w:tcPr>
          <w:p w14:paraId="06E32CF6"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0.871</w:t>
            </w:r>
          </w:p>
        </w:tc>
        <w:tc>
          <w:tcPr>
            <w:tcW w:w="478" w:type="pct"/>
            <w:tcBorders>
              <w:top w:val="nil"/>
              <w:left w:val="nil"/>
              <w:bottom w:val="nil"/>
              <w:right w:val="nil"/>
            </w:tcBorders>
            <w:shd w:val="clear" w:color="auto" w:fill="auto"/>
            <w:noWrap/>
            <w:vAlign w:val="bottom"/>
            <w:hideMark/>
          </w:tcPr>
          <w:p w14:paraId="54407B3C"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0.810</w:t>
            </w:r>
          </w:p>
        </w:tc>
        <w:tc>
          <w:tcPr>
            <w:tcW w:w="478" w:type="pct"/>
            <w:tcBorders>
              <w:top w:val="nil"/>
              <w:left w:val="nil"/>
              <w:bottom w:val="nil"/>
              <w:right w:val="nil"/>
            </w:tcBorders>
            <w:shd w:val="clear" w:color="auto" w:fill="auto"/>
            <w:noWrap/>
            <w:vAlign w:val="bottom"/>
            <w:hideMark/>
          </w:tcPr>
          <w:p w14:paraId="48C48A88"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0.629</w:t>
            </w:r>
          </w:p>
        </w:tc>
        <w:tc>
          <w:tcPr>
            <w:tcW w:w="478" w:type="pct"/>
            <w:tcBorders>
              <w:top w:val="nil"/>
              <w:left w:val="nil"/>
              <w:bottom w:val="nil"/>
              <w:right w:val="nil"/>
            </w:tcBorders>
            <w:shd w:val="clear" w:color="auto" w:fill="auto"/>
            <w:noWrap/>
            <w:vAlign w:val="bottom"/>
            <w:hideMark/>
          </w:tcPr>
          <w:p w14:paraId="3703662A"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0.689</w:t>
            </w:r>
          </w:p>
        </w:tc>
      </w:tr>
      <w:tr w:rsidR="00B41CB5" w:rsidRPr="0053125D" w14:paraId="1CB5CA51" w14:textId="77777777" w:rsidTr="00A74616">
        <w:trPr>
          <w:trHeight w:val="290"/>
        </w:trPr>
        <w:tc>
          <w:tcPr>
            <w:tcW w:w="697" w:type="pct"/>
            <w:tcBorders>
              <w:top w:val="nil"/>
              <w:left w:val="nil"/>
              <w:bottom w:val="nil"/>
              <w:right w:val="nil"/>
            </w:tcBorders>
            <w:shd w:val="clear" w:color="auto" w:fill="auto"/>
            <w:noWrap/>
            <w:vAlign w:val="bottom"/>
            <w:hideMark/>
          </w:tcPr>
          <w:p w14:paraId="130C7F55"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Assimetria</w:t>
            </w:r>
          </w:p>
        </w:tc>
        <w:tc>
          <w:tcPr>
            <w:tcW w:w="478" w:type="pct"/>
            <w:tcBorders>
              <w:top w:val="nil"/>
              <w:left w:val="nil"/>
              <w:bottom w:val="nil"/>
              <w:right w:val="nil"/>
            </w:tcBorders>
            <w:shd w:val="clear" w:color="auto" w:fill="auto"/>
            <w:noWrap/>
            <w:vAlign w:val="bottom"/>
            <w:hideMark/>
          </w:tcPr>
          <w:p w14:paraId="617D8DF5"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-0.266</w:t>
            </w:r>
          </w:p>
        </w:tc>
        <w:tc>
          <w:tcPr>
            <w:tcW w:w="478" w:type="pct"/>
            <w:tcBorders>
              <w:top w:val="nil"/>
              <w:left w:val="nil"/>
              <w:bottom w:val="nil"/>
              <w:right w:val="nil"/>
            </w:tcBorders>
            <w:shd w:val="clear" w:color="auto" w:fill="auto"/>
            <w:noWrap/>
            <w:vAlign w:val="bottom"/>
            <w:hideMark/>
          </w:tcPr>
          <w:p w14:paraId="28BBE50B"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-0.262</w:t>
            </w:r>
          </w:p>
        </w:tc>
        <w:tc>
          <w:tcPr>
            <w:tcW w:w="478" w:type="pct"/>
            <w:tcBorders>
              <w:top w:val="nil"/>
              <w:left w:val="nil"/>
              <w:bottom w:val="nil"/>
              <w:right w:val="nil"/>
            </w:tcBorders>
            <w:shd w:val="clear" w:color="auto" w:fill="auto"/>
            <w:noWrap/>
            <w:vAlign w:val="bottom"/>
            <w:hideMark/>
          </w:tcPr>
          <w:p w14:paraId="4B4EA632"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-0.459</w:t>
            </w:r>
          </w:p>
        </w:tc>
        <w:tc>
          <w:tcPr>
            <w:tcW w:w="478" w:type="pct"/>
            <w:tcBorders>
              <w:top w:val="nil"/>
              <w:left w:val="nil"/>
              <w:bottom w:val="nil"/>
              <w:right w:val="nil"/>
            </w:tcBorders>
            <w:shd w:val="clear" w:color="auto" w:fill="auto"/>
            <w:noWrap/>
            <w:vAlign w:val="bottom"/>
            <w:hideMark/>
          </w:tcPr>
          <w:p w14:paraId="234AA5C8"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-0.164</w:t>
            </w:r>
          </w:p>
        </w:tc>
        <w:tc>
          <w:tcPr>
            <w:tcW w:w="478" w:type="pct"/>
            <w:tcBorders>
              <w:top w:val="nil"/>
              <w:left w:val="nil"/>
              <w:bottom w:val="nil"/>
              <w:right w:val="nil"/>
            </w:tcBorders>
            <w:shd w:val="clear" w:color="auto" w:fill="auto"/>
            <w:noWrap/>
            <w:vAlign w:val="bottom"/>
            <w:hideMark/>
          </w:tcPr>
          <w:p w14:paraId="01C6A66D"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-0.231</w:t>
            </w:r>
          </w:p>
        </w:tc>
        <w:tc>
          <w:tcPr>
            <w:tcW w:w="478" w:type="pct"/>
            <w:tcBorders>
              <w:top w:val="nil"/>
              <w:left w:val="nil"/>
              <w:bottom w:val="nil"/>
              <w:right w:val="nil"/>
            </w:tcBorders>
            <w:shd w:val="clear" w:color="auto" w:fill="auto"/>
            <w:noWrap/>
            <w:vAlign w:val="bottom"/>
            <w:hideMark/>
          </w:tcPr>
          <w:p w14:paraId="3CEB62FD"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-0.547</w:t>
            </w:r>
          </w:p>
        </w:tc>
        <w:tc>
          <w:tcPr>
            <w:tcW w:w="478" w:type="pct"/>
            <w:tcBorders>
              <w:top w:val="nil"/>
              <w:left w:val="nil"/>
              <w:bottom w:val="nil"/>
              <w:right w:val="nil"/>
            </w:tcBorders>
            <w:shd w:val="clear" w:color="auto" w:fill="auto"/>
            <w:noWrap/>
            <w:vAlign w:val="bottom"/>
            <w:hideMark/>
          </w:tcPr>
          <w:p w14:paraId="2D415104"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-0.121</w:t>
            </w:r>
          </w:p>
        </w:tc>
        <w:tc>
          <w:tcPr>
            <w:tcW w:w="478" w:type="pct"/>
            <w:tcBorders>
              <w:top w:val="nil"/>
              <w:left w:val="nil"/>
              <w:bottom w:val="nil"/>
              <w:right w:val="nil"/>
            </w:tcBorders>
            <w:shd w:val="clear" w:color="auto" w:fill="auto"/>
            <w:noWrap/>
            <w:vAlign w:val="bottom"/>
            <w:hideMark/>
          </w:tcPr>
          <w:p w14:paraId="3DCDCD69"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-0.337</w:t>
            </w:r>
          </w:p>
        </w:tc>
        <w:tc>
          <w:tcPr>
            <w:tcW w:w="478" w:type="pct"/>
            <w:tcBorders>
              <w:top w:val="nil"/>
              <w:left w:val="nil"/>
              <w:bottom w:val="nil"/>
              <w:right w:val="nil"/>
            </w:tcBorders>
            <w:shd w:val="clear" w:color="auto" w:fill="auto"/>
            <w:noWrap/>
            <w:vAlign w:val="bottom"/>
            <w:hideMark/>
          </w:tcPr>
          <w:p w14:paraId="1B4E0F83"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-0.407</w:t>
            </w:r>
          </w:p>
        </w:tc>
      </w:tr>
      <w:tr w:rsidR="00B41CB5" w:rsidRPr="0053125D" w14:paraId="05F6B87C" w14:textId="77777777" w:rsidTr="00A74616">
        <w:trPr>
          <w:trHeight w:val="290"/>
        </w:trPr>
        <w:tc>
          <w:tcPr>
            <w:tcW w:w="697" w:type="pct"/>
            <w:tcBorders>
              <w:top w:val="nil"/>
              <w:left w:val="nil"/>
              <w:bottom w:val="nil"/>
              <w:right w:val="nil"/>
            </w:tcBorders>
            <w:shd w:val="clear" w:color="auto" w:fill="auto"/>
            <w:noWrap/>
            <w:vAlign w:val="bottom"/>
            <w:hideMark/>
          </w:tcPr>
          <w:p w14:paraId="051F41F9"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Curtose</w:t>
            </w:r>
          </w:p>
        </w:tc>
        <w:tc>
          <w:tcPr>
            <w:tcW w:w="478" w:type="pct"/>
            <w:tcBorders>
              <w:top w:val="nil"/>
              <w:left w:val="nil"/>
              <w:bottom w:val="nil"/>
              <w:right w:val="nil"/>
            </w:tcBorders>
            <w:shd w:val="clear" w:color="auto" w:fill="auto"/>
            <w:noWrap/>
            <w:vAlign w:val="bottom"/>
            <w:hideMark/>
          </w:tcPr>
          <w:p w14:paraId="1B3297F2"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-0.723</w:t>
            </w:r>
          </w:p>
        </w:tc>
        <w:tc>
          <w:tcPr>
            <w:tcW w:w="478" w:type="pct"/>
            <w:tcBorders>
              <w:top w:val="nil"/>
              <w:left w:val="nil"/>
              <w:bottom w:val="nil"/>
              <w:right w:val="nil"/>
            </w:tcBorders>
            <w:shd w:val="clear" w:color="auto" w:fill="auto"/>
            <w:noWrap/>
            <w:vAlign w:val="bottom"/>
            <w:hideMark/>
          </w:tcPr>
          <w:p w14:paraId="7EFBD203"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-0.420</w:t>
            </w:r>
          </w:p>
        </w:tc>
        <w:tc>
          <w:tcPr>
            <w:tcW w:w="478" w:type="pct"/>
            <w:tcBorders>
              <w:top w:val="nil"/>
              <w:left w:val="nil"/>
              <w:bottom w:val="nil"/>
              <w:right w:val="nil"/>
            </w:tcBorders>
            <w:shd w:val="clear" w:color="auto" w:fill="auto"/>
            <w:noWrap/>
            <w:vAlign w:val="bottom"/>
            <w:hideMark/>
          </w:tcPr>
          <w:p w14:paraId="1DB4B8A6"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0.006</w:t>
            </w:r>
          </w:p>
        </w:tc>
        <w:tc>
          <w:tcPr>
            <w:tcW w:w="478" w:type="pct"/>
            <w:tcBorders>
              <w:top w:val="nil"/>
              <w:left w:val="nil"/>
              <w:bottom w:val="nil"/>
              <w:right w:val="nil"/>
            </w:tcBorders>
            <w:shd w:val="clear" w:color="auto" w:fill="auto"/>
            <w:noWrap/>
            <w:vAlign w:val="bottom"/>
            <w:hideMark/>
          </w:tcPr>
          <w:p w14:paraId="391C8003"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-0.929</w:t>
            </w:r>
          </w:p>
        </w:tc>
        <w:tc>
          <w:tcPr>
            <w:tcW w:w="478" w:type="pct"/>
            <w:tcBorders>
              <w:top w:val="nil"/>
              <w:left w:val="nil"/>
              <w:bottom w:val="nil"/>
              <w:right w:val="nil"/>
            </w:tcBorders>
            <w:shd w:val="clear" w:color="auto" w:fill="auto"/>
            <w:noWrap/>
            <w:vAlign w:val="bottom"/>
            <w:hideMark/>
          </w:tcPr>
          <w:p w14:paraId="1567C66A"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-0.962</w:t>
            </w:r>
          </w:p>
        </w:tc>
        <w:tc>
          <w:tcPr>
            <w:tcW w:w="478" w:type="pct"/>
            <w:tcBorders>
              <w:top w:val="nil"/>
              <w:left w:val="nil"/>
              <w:bottom w:val="nil"/>
              <w:right w:val="nil"/>
            </w:tcBorders>
            <w:shd w:val="clear" w:color="auto" w:fill="auto"/>
            <w:noWrap/>
            <w:vAlign w:val="bottom"/>
            <w:hideMark/>
          </w:tcPr>
          <w:p w14:paraId="49338362"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-0.664</w:t>
            </w:r>
          </w:p>
        </w:tc>
        <w:tc>
          <w:tcPr>
            <w:tcW w:w="478" w:type="pct"/>
            <w:tcBorders>
              <w:top w:val="nil"/>
              <w:left w:val="nil"/>
              <w:bottom w:val="nil"/>
              <w:right w:val="nil"/>
            </w:tcBorders>
            <w:shd w:val="clear" w:color="auto" w:fill="auto"/>
            <w:noWrap/>
            <w:vAlign w:val="bottom"/>
            <w:hideMark/>
          </w:tcPr>
          <w:p w14:paraId="58442D41"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-0.509</w:t>
            </w:r>
          </w:p>
        </w:tc>
        <w:tc>
          <w:tcPr>
            <w:tcW w:w="478" w:type="pct"/>
            <w:tcBorders>
              <w:top w:val="nil"/>
              <w:left w:val="nil"/>
              <w:bottom w:val="nil"/>
              <w:right w:val="nil"/>
            </w:tcBorders>
            <w:shd w:val="clear" w:color="auto" w:fill="auto"/>
            <w:noWrap/>
            <w:vAlign w:val="bottom"/>
            <w:hideMark/>
          </w:tcPr>
          <w:p w14:paraId="4A88EA9C"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-0.952</w:t>
            </w:r>
          </w:p>
        </w:tc>
        <w:tc>
          <w:tcPr>
            <w:tcW w:w="478" w:type="pct"/>
            <w:tcBorders>
              <w:top w:val="nil"/>
              <w:left w:val="nil"/>
              <w:bottom w:val="nil"/>
              <w:right w:val="nil"/>
            </w:tcBorders>
            <w:shd w:val="clear" w:color="auto" w:fill="auto"/>
            <w:noWrap/>
            <w:vAlign w:val="bottom"/>
            <w:hideMark/>
          </w:tcPr>
          <w:p w14:paraId="019D2DE7"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-0.853</w:t>
            </w:r>
          </w:p>
        </w:tc>
      </w:tr>
      <w:tr w:rsidR="00B41CB5" w:rsidRPr="0053125D" w14:paraId="77050A5C" w14:textId="77777777" w:rsidTr="00A74616">
        <w:trPr>
          <w:trHeight w:val="290"/>
        </w:trPr>
        <w:tc>
          <w:tcPr>
            <w:tcW w:w="697" w:type="pct"/>
            <w:tcBorders>
              <w:top w:val="nil"/>
              <w:left w:val="nil"/>
              <w:bottom w:val="single" w:sz="4" w:space="0" w:color="auto"/>
              <w:right w:val="nil"/>
            </w:tcBorders>
            <w:shd w:val="clear" w:color="auto" w:fill="auto"/>
            <w:noWrap/>
            <w:vAlign w:val="bottom"/>
            <w:hideMark/>
          </w:tcPr>
          <w:p w14:paraId="65101E0D"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AR(1)</w:t>
            </w:r>
          </w:p>
        </w:tc>
        <w:tc>
          <w:tcPr>
            <w:tcW w:w="478" w:type="pct"/>
            <w:tcBorders>
              <w:top w:val="nil"/>
              <w:left w:val="nil"/>
              <w:bottom w:val="single" w:sz="4" w:space="0" w:color="auto"/>
              <w:right w:val="nil"/>
            </w:tcBorders>
            <w:shd w:val="clear" w:color="auto" w:fill="auto"/>
            <w:noWrap/>
            <w:vAlign w:val="bottom"/>
            <w:hideMark/>
          </w:tcPr>
          <w:p w14:paraId="365DB61E"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0.823</w:t>
            </w:r>
          </w:p>
        </w:tc>
        <w:tc>
          <w:tcPr>
            <w:tcW w:w="478" w:type="pct"/>
            <w:tcBorders>
              <w:top w:val="nil"/>
              <w:left w:val="nil"/>
              <w:bottom w:val="single" w:sz="4" w:space="0" w:color="auto"/>
              <w:right w:val="nil"/>
            </w:tcBorders>
            <w:shd w:val="clear" w:color="auto" w:fill="auto"/>
            <w:noWrap/>
            <w:vAlign w:val="bottom"/>
            <w:hideMark/>
          </w:tcPr>
          <w:p w14:paraId="44206BDF"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0.821</w:t>
            </w:r>
          </w:p>
        </w:tc>
        <w:tc>
          <w:tcPr>
            <w:tcW w:w="478" w:type="pct"/>
            <w:tcBorders>
              <w:top w:val="nil"/>
              <w:left w:val="nil"/>
              <w:bottom w:val="single" w:sz="4" w:space="0" w:color="auto"/>
              <w:right w:val="nil"/>
            </w:tcBorders>
            <w:shd w:val="clear" w:color="auto" w:fill="auto"/>
            <w:noWrap/>
            <w:vAlign w:val="bottom"/>
            <w:hideMark/>
          </w:tcPr>
          <w:p w14:paraId="2AD73516"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0.801</w:t>
            </w:r>
          </w:p>
        </w:tc>
        <w:tc>
          <w:tcPr>
            <w:tcW w:w="478" w:type="pct"/>
            <w:tcBorders>
              <w:top w:val="nil"/>
              <w:left w:val="nil"/>
              <w:bottom w:val="single" w:sz="4" w:space="0" w:color="auto"/>
              <w:right w:val="nil"/>
            </w:tcBorders>
            <w:shd w:val="clear" w:color="auto" w:fill="auto"/>
            <w:noWrap/>
            <w:vAlign w:val="bottom"/>
            <w:hideMark/>
          </w:tcPr>
          <w:p w14:paraId="1D1C5620"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0.799</w:t>
            </w:r>
          </w:p>
        </w:tc>
        <w:tc>
          <w:tcPr>
            <w:tcW w:w="478" w:type="pct"/>
            <w:tcBorders>
              <w:top w:val="nil"/>
              <w:left w:val="nil"/>
              <w:bottom w:val="single" w:sz="4" w:space="0" w:color="auto"/>
              <w:right w:val="nil"/>
            </w:tcBorders>
            <w:shd w:val="clear" w:color="auto" w:fill="auto"/>
            <w:noWrap/>
            <w:vAlign w:val="bottom"/>
            <w:hideMark/>
          </w:tcPr>
          <w:p w14:paraId="6320C7E3"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0.811</w:t>
            </w:r>
          </w:p>
        </w:tc>
        <w:tc>
          <w:tcPr>
            <w:tcW w:w="478" w:type="pct"/>
            <w:tcBorders>
              <w:top w:val="nil"/>
              <w:left w:val="nil"/>
              <w:bottom w:val="single" w:sz="4" w:space="0" w:color="auto"/>
              <w:right w:val="nil"/>
            </w:tcBorders>
            <w:shd w:val="clear" w:color="auto" w:fill="auto"/>
            <w:noWrap/>
            <w:vAlign w:val="bottom"/>
            <w:hideMark/>
          </w:tcPr>
          <w:p w14:paraId="7BA14D7E"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0.829</w:t>
            </w:r>
          </w:p>
        </w:tc>
        <w:tc>
          <w:tcPr>
            <w:tcW w:w="478" w:type="pct"/>
            <w:tcBorders>
              <w:top w:val="nil"/>
              <w:left w:val="nil"/>
              <w:bottom w:val="single" w:sz="4" w:space="0" w:color="auto"/>
              <w:right w:val="nil"/>
            </w:tcBorders>
            <w:shd w:val="clear" w:color="auto" w:fill="auto"/>
            <w:noWrap/>
            <w:vAlign w:val="bottom"/>
            <w:hideMark/>
          </w:tcPr>
          <w:p w14:paraId="7626C88A"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0.788</w:t>
            </w:r>
          </w:p>
        </w:tc>
        <w:tc>
          <w:tcPr>
            <w:tcW w:w="478" w:type="pct"/>
            <w:tcBorders>
              <w:top w:val="nil"/>
              <w:left w:val="nil"/>
              <w:bottom w:val="single" w:sz="4" w:space="0" w:color="auto"/>
              <w:right w:val="nil"/>
            </w:tcBorders>
            <w:shd w:val="clear" w:color="auto" w:fill="auto"/>
            <w:noWrap/>
            <w:vAlign w:val="bottom"/>
            <w:hideMark/>
          </w:tcPr>
          <w:p w14:paraId="48E85A62"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0.870</w:t>
            </w:r>
          </w:p>
        </w:tc>
        <w:tc>
          <w:tcPr>
            <w:tcW w:w="478" w:type="pct"/>
            <w:tcBorders>
              <w:top w:val="nil"/>
              <w:left w:val="nil"/>
              <w:bottom w:val="single" w:sz="4" w:space="0" w:color="auto"/>
              <w:right w:val="nil"/>
            </w:tcBorders>
            <w:shd w:val="clear" w:color="auto" w:fill="auto"/>
            <w:noWrap/>
            <w:vAlign w:val="bottom"/>
            <w:hideMark/>
          </w:tcPr>
          <w:p w14:paraId="14E02C02" w14:textId="77777777" w:rsidR="00B41CB5" w:rsidRPr="0053125D" w:rsidRDefault="00B41CB5" w:rsidP="007B06A6">
            <w:pPr>
              <w:spacing w:line="240" w:lineRule="auto"/>
              <w:ind w:firstLine="0"/>
              <w:jc w:val="center"/>
              <w:rPr>
                <w:rFonts w:eastAsia="Times New Roman" w:cs="Times New Roman"/>
                <w:color w:val="000000"/>
                <w:sz w:val="20"/>
                <w:szCs w:val="20"/>
                <w:lang w:eastAsia="pt-BR"/>
              </w:rPr>
            </w:pPr>
            <w:r w:rsidRPr="0053125D">
              <w:rPr>
                <w:rFonts w:eastAsia="Times New Roman" w:cs="Times New Roman"/>
                <w:color w:val="000000"/>
                <w:sz w:val="20"/>
                <w:szCs w:val="20"/>
                <w:lang w:eastAsia="pt-BR"/>
              </w:rPr>
              <w:t>0.810</w:t>
            </w:r>
          </w:p>
        </w:tc>
      </w:tr>
    </w:tbl>
    <w:p w14:paraId="762C0F57" w14:textId="77777777" w:rsidR="005433CD" w:rsidRPr="00C17EE3" w:rsidRDefault="005433CD" w:rsidP="00B41CB5">
      <w:pPr>
        <w:spacing w:line="240" w:lineRule="auto"/>
        <w:ind w:firstLine="0"/>
        <w:jc w:val="center"/>
        <w:rPr>
          <w:sz w:val="16"/>
          <w:szCs w:val="16"/>
        </w:rPr>
      </w:pPr>
      <w:r w:rsidRPr="00C17EE3">
        <w:rPr>
          <w:sz w:val="16"/>
          <w:szCs w:val="16"/>
        </w:rPr>
        <w:t>Fonte: Elaborado pelo autor.</w:t>
      </w:r>
    </w:p>
    <w:p w14:paraId="239E565B" w14:textId="77777777" w:rsidR="001A0208" w:rsidRDefault="001A0208" w:rsidP="005433CD">
      <w:pPr>
        <w:spacing w:line="240" w:lineRule="auto"/>
      </w:pPr>
    </w:p>
    <w:p w14:paraId="52D854FA" w14:textId="77777777" w:rsidR="005433CD" w:rsidRDefault="005433CD" w:rsidP="005433CD">
      <w:pPr>
        <w:pStyle w:val="Heading2"/>
      </w:pPr>
      <w:bookmarkStart w:id="16" w:name="_Toc502166301"/>
      <w:r>
        <w:t>Datação dos Ciclos de Negócios</w:t>
      </w:r>
      <w:bookmarkEnd w:id="16"/>
    </w:p>
    <w:p w14:paraId="5040EA76" w14:textId="77777777" w:rsidR="005433CD" w:rsidRDefault="005433CD" w:rsidP="005433CD">
      <w:pPr>
        <w:spacing w:line="240" w:lineRule="auto"/>
      </w:pPr>
    </w:p>
    <w:p w14:paraId="39ED5FA6" w14:textId="77777777" w:rsidR="007542BC" w:rsidRDefault="00037D34" w:rsidP="005168D6">
      <w:pPr>
        <w:spacing w:line="240" w:lineRule="auto"/>
        <w:jc w:val="both"/>
        <w:rPr>
          <w:rFonts w:cs="Times New Roman"/>
          <w:color w:val="333333"/>
          <w:spacing w:val="2"/>
          <w:szCs w:val="24"/>
          <w:shd w:val="clear" w:color="auto" w:fill="FCFCFC"/>
        </w:rPr>
      </w:pPr>
      <w:r>
        <w:t xml:space="preserve">A detecção dos pontos de inflexão e consequente datação dos ciclos das variáveis </w:t>
      </w:r>
      <w:r w:rsidR="00A20B30">
        <w:t>é função direta da abordagem cíclica utilizada (</w:t>
      </w:r>
      <w:r w:rsidR="00A20B30">
        <w:rPr>
          <w:i/>
          <w:iCs/>
        </w:rPr>
        <w:t>business cycle, growth cycles ou acceleration cycles</w:t>
      </w:r>
      <w:r w:rsidR="00A20B30" w:rsidRPr="00A20B30">
        <w:rPr>
          <w:rFonts w:cs="Times New Roman"/>
          <w:i/>
          <w:iCs/>
          <w:szCs w:val="24"/>
        </w:rPr>
        <w:t>)</w:t>
      </w:r>
      <w:r w:rsidR="00A20B30" w:rsidRPr="00A20B30">
        <w:rPr>
          <w:rFonts w:cs="Times New Roman"/>
          <w:szCs w:val="24"/>
        </w:rPr>
        <w:t xml:space="preserve">, </w:t>
      </w:r>
      <w:r w:rsidR="00A20B30" w:rsidRPr="00A20B30">
        <w:rPr>
          <w:rFonts w:cs="Times New Roman"/>
          <w:color w:val="333333"/>
          <w:spacing w:val="2"/>
          <w:szCs w:val="24"/>
          <w:shd w:val="clear" w:color="auto" w:fill="FCFCFC"/>
        </w:rPr>
        <w:t>Mazzi e Ozyildirim (2017)</w:t>
      </w:r>
      <w:r w:rsidR="00A20B30">
        <w:rPr>
          <w:rFonts w:cs="Times New Roman"/>
          <w:color w:val="333333"/>
          <w:spacing w:val="2"/>
          <w:szCs w:val="24"/>
          <w:shd w:val="clear" w:color="auto" w:fill="FCFCFC"/>
        </w:rPr>
        <w:t xml:space="preserve"> realizam uma profunda discussão sobre as vantagens e restrições de cada um das definições de ciclos. </w:t>
      </w:r>
    </w:p>
    <w:p w14:paraId="5E6D292C" w14:textId="01DE0F81" w:rsidR="00037D34" w:rsidRDefault="00A20B30" w:rsidP="005168D6">
      <w:pPr>
        <w:spacing w:line="240" w:lineRule="auto"/>
        <w:jc w:val="both"/>
      </w:pPr>
      <w:r>
        <w:rPr>
          <w:rFonts w:cs="Times New Roman"/>
          <w:color w:val="333333"/>
          <w:spacing w:val="2"/>
          <w:szCs w:val="24"/>
          <w:shd w:val="clear" w:color="auto" w:fill="FCFCFC"/>
        </w:rPr>
        <w:t xml:space="preserve">Uma vez que a análise </w:t>
      </w:r>
      <w:r>
        <w:rPr>
          <w:rFonts w:cs="Times New Roman"/>
          <w:i/>
          <w:iCs/>
          <w:color w:val="333333"/>
          <w:spacing w:val="2"/>
          <w:szCs w:val="24"/>
          <w:shd w:val="clear" w:color="auto" w:fill="FCFCFC"/>
        </w:rPr>
        <w:t>wavelet</w:t>
      </w:r>
      <w:r>
        <w:rPr>
          <w:rFonts w:cs="Times New Roman"/>
          <w:color w:val="333333"/>
          <w:spacing w:val="2"/>
          <w:szCs w:val="24"/>
          <w:shd w:val="clear" w:color="auto" w:fill="FCFCFC"/>
        </w:rPr>
        <w:t xml:space="preserve"> realiza a decomposição das flutuações em um horizonte de curto e longo prazos, a abordagem de ciclos de crescimento (</w:t>
      </w:r>
      <w:r>
        <w:rPr>
          <w:i/>
          <w:iCs/>
        </w:rPr>
        <w:t>growth cycles</w:t>
      </w:r>
      <w:r>
        <w:t xml:space="preserve">), que realiza o </w:t>
      </w:r>
      <w:r>
        <w:rPr>
          <w:i/>
          <w:iCs/>
        </w:rPr>
        <w:t xml:space="preserve">dating </w:t>
      </w:r>
      <w:r w:rsidR="007542BC">
        <w:t xml:space="preserve">sobre a flutuações dos ciclos econômicos, </w:t>
      </w:r>
      <w:r>
        <w:t xml:space="preserve">torna-se uma alternativa mais adequada para o problema em análise. Outra vantagem </w:t>
      </w:r>
      <w:r w:rsidR="007542BC">
        <w:t xml:space="preserve">é que a mesma captura pontos de inflexão associados à desacelaração na variável econômica em análise, que não necessariamente resulta em taxa de crescimento negativa (condição necessária para um ponto de inflexão no </w:t>
      </w:r>
      <w:r w:rsidR="007542BC">
        <w:rPr>
          <w:i/>
          <w:iCs/>
        </w:rPr>
        <w:t>business cycle</w:t>
      </w:r>
      <w:r w:rsidR="007542BC">
        <w:t xml:space="preserve">), mas que afetam diretamente a tomada de decisão das autoridades governamentais (Zarnowits e </w:t>
      </w:r>
      <w:r w:rsidR="007542BC" w:rsidRPr="00A20B30">
        <w:rPr>
          <w:rFonts w:cs="Times New Roman"/>
          <w:color w:val="333333"/>
          <w:spacing w:val="2"/>
          <w:szCs w:val="24"/>
          <w:shd w:val="clear" w:color="auto" w:fill="FCFCFC"/>
        </w:rPr>
        <w:t>Ozyildirim</w:t>
      </w:r>
      <w:r w:rsidR="007542BC">
        <w:rPr>
          <w:rFonts w:cs="Times New Roman"/>
          <w:color w:val="333333"/>
          <w:spacing w:val="2"/>
          <w:szCs w:val="24"/>
          <w:shd w:val="clear" w:color="auto" w:fill="FCFCFC"/>
        </w:rPr>
        <w:t>, 200</w:t>
      </w:r>
      <w:r w:rsidR="00C92096">
        <w:rPr>
          <w:rFonts w:cs="Times New Roman"/>
          <w:color w:val="333333"/>
          <w:spacing w:val="2"/>
          <w:szCs w:val="24"/>
          <w:shd w:val="clear" w:color="auto" w:fill="FCFCFC"/>
        </w:rPr>
        <w:t>6</w:t>
      </w:r>
      <w:r w:rsidR="007542BC">
        <w:rPr>
          <w:rFonts w:cs="Times New Roman"/>
          <w:color w:val="333333"/>
          <w:spacing w:val="2"/>
          <w:szCs w:val="24"/>
          <w:shd w:val="clear" w:color="auto" w:fill="FCFCFC"/>
        </w:rPr>
        <w:t>)</w:t>
      </w:r>
      <w:r w:rsidR="007542BC">
        <w:t xml:space="preserve">. </w:t>
      </w:r>
    </w:p>
    <w:p w14:paraId="416BDAEB" w14:textId="77777777" w:rsidR="007B06A6" w:rsidRDefault="007542BC" w:rsidP="007B06A6">
      <w:pPr>
        <w:spacing w:line="240" w:lineRule="auto"/>
        <w:jc w:val="both"/>
        <w:rPr>
          <w:rFonts w:cs="Times New Roman"/>
          <w:i/>
          <w:iCs/>
          <w:szCs w:val="24"/>
        </w:rPr>
      </w:pPr>
      <w:r>
        <w:rPr>
          <w:rFonts w:cs="Times New Roman"/>
          <w:szCs w:val="24"/>
        </w:rPr>
        <w:t>Uma vez que desacelerações nas variáveis macroeconômicas são condições necessárias, mas não suficientes, para a ocorrência de recessões econômicas, a ocorrência de ciclos de crescimento são mais periódicas do que a de ciclos de negócios (</w:t>
      </w:r>
      <w:r>
        <w:rPr>
          <w:rFonts w:cs="Times New Roman"/>
          <w:i/>
          <w:iCs/>
          <w:szCs w:val="24"/>
        </w:rPr>
        <w:t>business cycles)</w:t>
      </w:r>
      <w:r>
        <w:rPr>
          <w:rFonts w:cs="Times New Roman"/>
          <w:szCs w:val="24"/>
        </w:rPr>
        <w:t xml:space="preserve">, resultando em um número maior de </w:t>
      </w:r>
      <w:r>
        <w:rPr>
          <w:rFonts w:cs="Times New Roman"/>
          <w:i/>
          <w:iCs/>
          <w:szCs w:val="24"/>
        </w:rPr>
        <w:t>datings.</w:t>
      </w:r>
    </w:p>
    <w:p w14:paraId="7C09C3DF" w14:textId="61BA3858" w:rsidR="000C4684" w:rsidRDefault="000C4684" w:rsidP="007B06A6">
      <w:pPr>
        <w:spacing w:line="240" w:lineRule="auto"/>
        <w:jc w:val="both"/>
        <w:rPr>
          <w:rFonts w:cs="Times New Roman"/>
          <w:szCs w:val="24"/>
        </w:rPr>
      </w:pPr>
      <w:r>
        <w:rPr>
          <w:rFonts w:cs="Times New Roman"/>
          <w:szCs w:val="24"/>
        </w:rPr>
        <w:t xml:space="preserve">A partir do algoritmo BBQ realizou-se a cronologia dos períodos de recessão e expansão dos ciclos de crescimento das séries em análise. </w:t>
      </w:r>
      <w:r w:rsidR="00347DAA">
        <w:rPr>
          <w:rFonts w:cs="Times New Roman"/>
          <w:szCs w:val="24"/>
        </w:rPr>
        <w:t>A Figura 5 reporta os ciclos econômicos dos saldos de emprego formais nos nove Estados, enquanto as áreas sombreadas indicam os períodos de fase de recessão nos ciclos de crescimento, iniciando-se em um máximo local (pico) até atingir o próximo mínimo local (vale), desde que a fase de recessão que satisfaça as regras do algoritmo.</w:t>
      </w:r>
    </w:p>
    <w:p w14:paraId="430B9808" w14:textId="443727FD" w:rsidR="005168D6" w:rsidRDefault="005168D6" w:rsidP="007B06A6">
      <w:pPr>
        <w:spacing w:line="240" w:lineRule="auto"/>
        <w:jc w:val="both"/>
      </w:pPr>
      <w:r>
        <w:t xml:space="preserve">O número recessões datadas apresenta uma certa regularidade no contexto regional, os Estados da região nordeste apresentraram 8 períodos de recessão, na região sul o número cai para 7, enquanto na região sudeste a quantidade de fases de recessão variou entre 9 (MG e SP) e 10 períodos </w:t>
      </w:r>
      <w:r w:rsidR="00C92096">
        <w:t>(RJ</w:t>
      </w:r>
      <w:r>
        <w:t>). Com relação a cronologia das mesmas, todas as UFs apresentaram ao menos uma fase de recessão no ciclo de crescimento durante o intervalo das crises 1 (2001:02-2001:04), 2 (2003:01-2003:02) e 4 (2014:02-2016:04), indicando uma forte sensibilidade do mercado de trabalho formal frente a choques do ponto de vista nacional, enquanto somente o RJ apresentou recessão alinhada à crise de incerteza no mercado ocorrida entre 2003:01-2003:02.</w:t>
      </w:r>
    </w:p>
    <w:p w14:paraId="06DDA8C1" w14:textId="77777777" w:rsidR="005433CD" w:rsidRDefault="005433CD" w:rsidP="005433CD">
      <w:pPr>
        <w:spacing w:line="240" w:lineRule="auto"/>
        <w:ind w:firstLine="0"/>
        <w:jc w:val="both"/>
      </w:pPr>
    </w:p>
    <w:p w14:paraId="009F95E9" w14:textId="4AE583A4" w:rsidR="005433CD" w:rsidRPr="00153D05" w:rsidRDefault="005433CD" w:rsidP="005F01D4">
      <w:pPr>
        <w:pStyle w:val="TtuloFigura"/>
        <w:spacing w:line="240" w:lineRule="auto"/>
        <w:ind w:firstLine="0"/>
        <w:jc w:val="center"/>
      </w:pPr>
      <w:bookmarkStart w:id="17" w:name="_Toc496278377"/>
      <w:r>
        <w:lastRenderedPageBreak/>
        <w:t xml:space="preserve">Figura </w:t>
      </w:r>
      <w:r w:rsidR="005F01D4">
        <w:t>5</w:t>
      </w:r>
      <w:r>
        <w:t xml:space="preserve">: </w:t>
      </w:r>
      <w:r w:rsidR="005F01D4">
        <w:t>Ciclos no Mercado de Trabalho Formal e Datações dos Estados</w:t>
      </w:r>
      <w:r>
        <w:t>.</w:t>
      </w:r>
      <w:bookmarkEnd w:id="17"/>
      <w:r w:rsidR="00656BF8">
        <w:t>¹</w:t>
      </w:r>
    </w:p>
    <w:p w14:paraId="0546BC0D" w14:textId="25279812" w:rsidR="005433CD" w:rsidRDefault="005F01D4" w:rsidP="005F01D4">
      <w:pPr>
        <w:spacing w:line="240" w:lineRule="auto"/>
        <w:ind w:firstLine="0"/>
        <w:jc w:val="center"/>
      </w:pPr>
      <w:r>
        <w:rPr>
          <w:noProof/>
        </w:rPr>
        <w:drawing>
          <wp:inline distT="0" distB="0" distL="0" distR="0" wp14:anchorId="7B019EE9" wp14:editId="2628BD84">
            <wp:extent cx="4041964" cy="23161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5748" cy="2352695"/>
                    </a:xfrm>
                    <a:prstGeom prst="rect">
                      <a:avLst/>
                    </a:prstGeom>
                  </pic:spPr>
                </pic:pic>
              </a:graphicData>
            </a:graphic>
          </wp:inline>
        </w:drawing>
      </w:r>
    </w:p>
    <w:p w14:paraId="3F549532" w14:textId="6D8B471C" w:rsidR="005433CD" w:rsidRPr="00C17EE3" w:rsidRDefault="005433CD" w:rsidP="00656BF8">
      <w:pPr>
        <w:autoSpaceDE w:val="0"/>
        <w:autoSpaceDN w:val="0"/>
        <w:adjustRightInd w:val="0"/>
        <w:spacing w:line="240" w:lineRule="auto"/>
        <w:ind w:firstLine="0"/>
        <w:jc w:val="center"/>
        <w:rPr>
          <w:rFonts w:cs="Times New Roman"/>
          <w:sz w:val="16"/>
          <w:szCs w:val="16"/>
        </w:rPr>
      </w:pPr>
      <w:r w:rsidRPr="00C17EE3">
        <w:rPr>
          <w:rFonts w:cs="Times New Roman"/>
          <w:sz w:val="16"/>
          <w:szCs w:val="16"/>
        </w:rPr>
        <w:t>Fonte: Elaborado pelo autor.</w:t>
      </w:r>
      <w:r w:rsidR="00656BF8" w:rsidRPr="00C17EE3">
        <w:rPr>
          <w:rFonts w:cs="Times New Roman"/>
          <w:sz w:val="16"/>
          <w:szCs w:val="16"/>
        </w:rPr>
        <w:t xml:space="preserve"> ¹</w:t>
      </w:r>
      <w:r w:rsidRPr="00C17EE3">
        <w:rPr>
          <w:rFonts w:cs="Times New Roman"/>
          <w:sz w:val="16"/>
          <w:szCs w:val="16"/>
        </w:rPr>
        <w:t>As áreas sombreadas correspondem aos períodos de recessão datados via Harding e Pagan (2002).</w:t>
      </w:r>
    </w:p>
    <w:p w14:paraId="2AEC650D" w14:textId="77777777" w:rsidR="005433CD" w:rsidRDefault="005433CD" w:rsidP="005F01D4">
      <w:pPr>
        <w:autoSpaceDE w:val="0"/>
        <w:autoSpaceDN w:val="0"/>
        <w:adjustRightInd w:val="0"/>
        <w:spacing w:line="240" w:lineRule="auto"/>
        <w:ind w:firstLine="0"/>
        <w:jc w:val="center"/>
        <w:rPr>
          <w:rFonts w:cs="Times New Roman"/>
          <w:sz w:val="20"/>
          <w:szCs w:val="20"/>
        </w:rPr>
      </w:pPr>
    </w:p>
    <w:p w14:paraId="1AB1B928" w14:textId="62C577C1" w:rsidR="00403607" w:rsidRDefault="00A74616" w:rsidP="005168D6">
      <w:pPr>
        <w:spacing w:line="240" w:lineRule="auto"/>
        <w:jc w:val="both"/>
      </w:pPr>
      <w:r>
        <w:t xml:space="preserve">A Tabela </w:t>
      </w:r>
      <w:r w:rsidR="007B06A6">
        <w:t>6</w:t>
      </w:r>
      <w:r>
        <w:t xml:space="preserve"> apresenta as métricas classicas construídas a partir das datações dos ciclos de crescimento no mercado de trabalho formal das unidades sub-nacionais. Em relação à persistência dos ciclos, as fases de expansão apresentaram duração média entre 3.778 trimestres (RJ) e 5.167 trimestres (PR e SC), com a região sul apresentando, em média, os ciclos de expansão mais duradouros. </w:t>
      </w:r>
    </w:p>
    <w:p w14:paraId="467AA9DC" w14:textId="77777777" w:rsidR="005433CD" w:rsidRDefault="005433CD" w:rsidP="005433CD">
      <w:pPr>
        <w:spacing w:line="240" w:lineRule="auto"/>
        <w:jc w:val="both"/>
      </w:pPr>
    </w:p>
    <w:p w14:paraId="6AD332A3" w14:textId="2F8ABEEC" w:rsidR="005433CD" w:rsidRDefault="005433CD" w:rsidP="005433CD">
      <w:pPr>
        <w:pStyle w:val="TituloTabela"/>
        <w:spacing w:line="240" w:lineRule="auto"/>
      </w:pPr>
      <w:bookmarkStart w:id="18" w:name="_Toc496278368"/>
      <w:r>
        <w:t xml:space="preserve">Tabela </w:t>
      </w:r>
      <w:r w:rsidR="00895BFD">
        <w:t>6</w:t>
      </w:r>
      <w:r>
        <w:t xml:space="preserve">: Fatos Estilizados dos Ciclos de </w:t>
      </w:r>
      <w:r w:rsidR="00FE33A1">
        <w:t>Crescimento</w:t>
      </w:r>
      <w:bookmarkEnd w:id="18"/>
    </w:p>
    <w:tbl>
      <w:tblPr>
        <w:tblW w:w="5000" w:type="pct"/>
        <w:tblCellMar>
          <w:left w:w="70" w:type="dxa"/>
          <w:right w:w="70" w:type="dxa"/>
        </w:tblCellMar>
        <w:tblLook w:val="04A0" w:firstRow="1" w:lastRow="0" w:firstColumn="1" w:lastColumn="0" w:noHBand="0" w:noVBand="1"/>
      </w:tblPr>
      <w:tblGrid>
        <w:gridCol w:w="3058"/>
        <w:gridCol w:w="1737"/>
        <w:gridCol w:w="1688"/>
        <w:gridCol w:w="1890"/>
        <w:gridCol w:w="1831"/>
      </w:tblGrid>
      <w:tr w:rsidR="00FE33A1" w:rsidRPr="000F4DE4" w14:paraId="47997FE9" w14:textId="77777777" w:rsidTr="00FE33A1">
        <w:trPr>
          <w:trHeight w:val="290"/>
        </w:trPr>
        <w:tc>
          <w:tcPr>
            <w:tcW w:w="1499" w:type="pct"/>
            <w:tcBorders>
              <w:top w:val="single" w:sz="4" w:space="0" w:color="auto"/>
              <w:left w:val="nil"/>
              <w:bottom w:val="single" w:sz="4" w:space="0" w:color="auto"/>
              <w:right w:val="nil"/>
            </w:tcBorders>
            <w:shd w:val="clear" w:color="000000" w:fill="FFFFFF"/>
            <w:noWrap/>
            <w:vAlign w:val="bottom"/>
            <w:hideMark/>
          </w:tcPr>
          <w:p w14:paraId="7F0DE50A"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Estados</w:t>
            </w:r>
          </w:p>
        </w:tc>
        <w:tc>
          <w:tcPr>
            <w:tcW w:w="851" w:type="pct"/>
            <w:tcBorders>
              <w:top w:val="single" w:sz="4" w:space="0" w:color="auto"/>
              <w:left w:val="nil"/>
              <w:bottom w:val="single" w:sz="4" w:space="0" w:color="auto"/>
              <w:right w:val="nil"/>
            </w:tcBorders>
            <w:shd w:val="clear" w:color="000000" w:fill="FFFFFF"/>
            <w:noWrap/>
            <w:vAlign w:val="bottom"/>
            <w:hideMark/>
          </w:tcPr>
          <w:p w14:paraId="5318A90B"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Fases</w:t>
            </w:r>
          </w:p>
        </w:tc>
        <w:tc>
          <w:tcPr>
            <w:tcW w:w="827" w:type="pct"/>
            <w:tcBorders>
              <w:top w:val="single" w:sz="4" w:space="0" w:color="auto"/>
              <w:left w:val="nil"/>
              <w:bottom w:val="single" w:sz="4" w:space="0" w:color="auto"/>
              <w:right w:val="nil"/>
            </w:tcBorders>
            <w:shd w:val="clear" w:color="000000" w:fill="FFFFFF"/>
            <w:noWrap/>
            <w:vAlign w:val="bottom"/>
            <w:hideMark/>
          </w:tcPr>
          <w:p w14:paraId="7419EF52"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Pr>
                <w:rFonts w:eastAsia="Times New Roman" w:cs="Times New Roman"/>
                <w:color w:val="000000"/>
                <w:sz w:val="20"/>
                <w:szCs w:val="20"/>
                <w:lang w:eastAsia="pt-BR"/>
              </w:rPr>
              <w:t>Duração</w:t>
            </w:r>
          </w:p>
        </w:tc>
        <w:tc>
          <w:tcPr>
            <w:tcW w:w="926" w:type="pct"/>
            <w:tcBorders>
              <w:top w:val="single" w:sz="4" w:space="0" w:color="auto"/>
              <w:left w:val="nil"/>
              <w:bottom w:val="single" w:sz="4" w:space="0" w:color="auto"/>
              <w:right w:val="nil"/>
            </w:tcBorders>
            <w:shd w:val="clear" w:color="000000" w:fill="FFFFFF"/>
            <w:noWrap/>
            <w:vAlign w:val="bottom"/>
            <w:hideMark/>
          </w:tcPr>
          <w:p w14:paraId="21FF2550"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Pr>
                <w:rFonts w:eastAsia="Times New Roman" w:cs="Times New Roman"/>
                <w:color w:val="000000"/>
                <w:sz w:val="20"/>
                <w:szCs w:val="20"/>
                <w:lang w:eastAsia="pt-BR"/>
              </w:rPr>
              <w:t>Amplitude</w:t>
            </w:r>
          </w:p>
        </w:tc>
        <w:tc>
          <w:tcPr>
            <w:tcW w:w="897" w:type="pct"/>
            <w:tcBorders>
              <w:top w:val="single" w:sz="4" w:space="0" w:color="auto"/>
              <w:left w:val="nil"/>
              <w:bottom w:val="single" w:sz="4" w:space="0" w:color="auto"/>
              <w:right w:val="nil"/>
            </w:tcBorders>
            <w:shd w:val="clear" w:color="000000" w:fill="FFFFFF"/>
            <w:noWrap/>
            <w:vAlign w:val="bottom"/>
            <w:hideMark/>
          </w:tcPr>
          <w:p w14:paraId="54471FBD"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Inclinação</w:t>
            </w:r>
          </w:p>
        </w:tc>
      </w:tr>
      <w:tr w:rsidR="00FE33A1" w:rsidRPr="000F4DE4" w14:paraId="0CA74D93" w14:textId="77777777" w:rsidTr="00A74616">
        <w:trPr>
          <w:trHeight w:val="290"/>
        </w:trPr>
        <w:tc>
          <w:tcPr>
            <w:tcW w:w="1499" w:type="pct"/>
            <w:vMerge w:val="restart"/>
            <w:tcBorders>
              <w:top w:val="single" w:sz="4" w:space="0" w:color="auto"/>
              <w:left w:val="nil"/>
              <w:bottom w:val="single" w:sz="4" w:space="0" w:color="auto"/>
              <w:right w:val="nil"/>
            </w:tcBorders>
            <w:shd w:val="clear" w:color="000000" w:fill="FFFFFF"/>
            <w:noWrap/>
            <w:vAlign w:val="center"/>
            <w:hideMark/>
          </w:tcPr>
          <w:p w14:paraId="66CCD6D9"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Bahia</w:t>
            </w:r>
          </w:p>
        </w:tc>
        <w:tc>
          <w:tcPr>
            <w:tcW w:w="851" w:type="pct"/>
            <w:tcBorders>
              <w:top w:val="single" w:sz="4" w:space="0" w:color="auto"/>
              <w:left w:val="nil"/>
              <w:right w:val="nil"/>
            </w:tcBorders>
            <w:shd w:val="clear" w:color="000000" w:fill="FFFFFF"/>
            <w:noWrap/>
            <w:vAlign w:val="bottom"/>
            <w:hideMark/>
          </w:tcPr>
          <w:p w14:paraId="5B5B2E6D"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Expansão</w:t>
            </w:r>
          </w:p>
        </w:tc>
        <w:tc>
          <w:tcPr>
            <w:tcW w:w="827" w:type="pct"/>
            <w:tcBorders>
              <w:top w:val="single" w:sz="4" w:space="0" w:color="auto"/>
              <w:left w:val="nil"/>
              <w:right w:val="nil"/>
            </w:tcBorders>
            <w:shd w:val="clear" w:color="000000" w:fill="FFFFFF"/>
            <w:noWrap/>
            <w:vAlign w:val="bottom"/>
            <w:hideMark/>
          </w:tcPr>
          <w:p w14:paraId="54110581"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4.875</w:t>
            </w:r>
          </w:p>
        </w:tc>
        <w:tc>
          <w:tcPr>
            <w:tcW w:w="926" w:type="pct"/>
            <w:tcBorders>
              <w:top w:val="single" w:sz="4" w:space="0" w:color="auto"/>
              <w:left w:val="nil"/>
              <w:right w:val="nil"/>
            </w:tcBorders>
            <w:shd w:val="clear" w:color="000000" w:fill="FFFFFF"/>
            <w:noWrap/>
            <w:vAlign w:val="bottom"/>
            <w:hideMark/>
          </w:tcPr>
          <w:p w14:paraId="2C0D1402"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0.713</w:t>
            </w:r>
          </w:p>
        </w:tc>
        <w:tc>
          <w:tcPr>
            <w:tcW w:w="897" w:type="pct"/>
            <w:tcBorders>
              <w:top w:val="single" w:sz="4" w:space="0" w:color="auto"/>
              <w:left w:val="nil"/>
              <w:right w:val="nil"/>
            </w:tcBorders>
            <w:shd w:val="clear" w:color="000000" w:fill="FFFFFF"/>
            <w:noWrap/>
            <w:vAlign w:val="bottom"/>
            <w:hideMark/>
          </w:tcPr>
          <w:p w14:paraId="0CC56B05"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0.146</w:t>
            </w:r>
          </w:p>
        </w:tc>
      </w:tr>
      <w:tr w:rsidR="00FE33A1" w:rsidRPr="000F4DE4" w14:paraId="15E2B7D8" w14:textId="77777777" w:rsidTr="00FE33A1">
        <w:trPr>
          <w:trHeight w:val="290"/>
        </w:trPr>
        <w:tc>
          <w:tcPr>
            <w:tcW w:w="1499" w:type="pct"/>
            <w:vMerge/>
            <w:tcBorders>
              <w:left w:val="nil"/>
              <w:bottom w:val="single" w:sz="4" w:space="0" w:color="auto"/>
              <w:right w:val="nil"/>
            </w:tcBorders>
            <w:vAlign w:val="center"/>
            <w:hideMark/>
          </w:tcPr>
          <w:p w14:paraId="0957C112"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p>
        </w:tc>
        <w:tc>
          <w:tcPr>
            <w:tcW w:w="851" w:type="pct"/>
            <w:tcBorders>
              <w:left w:val="nil"/>
              <w:bottom w:val="single" w:sz="4" w:space="0" w:color="auto"/>
              <w:right w:val="nil"/>
            </w:tcBorders>
            <w:shd w:val="clear" w:color="000000" w:fill="FFFFFF"/>
            <w:noWrap/>
            <w:vAlign w:val="bottom"/>
            <w:hideMark/>
          </w:tcPr>
          <w:p w14:paraId="069679A7"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Recessão</w:t>
            </w:r>
          </w:p>
        </w:tc>
        <w:tc>
          <w:tcPr>
            <w:tcW w:w="827" w:type="pct"/>
            <w:tcBorders>
              <w:left w:val="nil"/>
              <w:bottom w:val="single" w:sz="4" w:space="0" w:color="auto"/>
              <w:right w:val="nil"/>
            </w:tcBorders>
            <w:shd w:val="clear" w:color="000000" w:fill="FFFFFF"/>
            <w:noWrap/>
            <w:vAlign w:val="bottom"/>
            <w:hideMark/>
          </w:tcPr>
          <w:p w14:paraId="55C5B24A"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3.714</w:t>
            </w:r>
          </w:p>
        </w:tc>
        <w:tc>
          <w:tcPr>
            <w:tcW w:w="926" w:type="pct"/>
            <w:tcBorders>
              <w:left w:val="nil"/>
              <w:bottom w:val="single" w:sz="4" w:space="0" w:color="auto"/>
              <w:right w:val="nil"/>
            </w:tcBorders>
            <w:shd w:val="clear" w:color="000000" w:fill="FFFFFF"/>
            <w:noWrap/>
            <w:vAlign w:val="bottom"/>
            <w:hideMark/>
          </w:tcPr>
          <w:p w14:paraId="1C55AAAF"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0.711</w:t>
            </w:r>
          </w:p>
        </w:tc>
        <w:tc>
          <w:tcPr>
            <w:tcW w:w="897" w:type="pct"/>
            <w:tcBorders>
              <w:left w:val="nil"/>
              <w:bottom w:val="single" w:sz="4" w:space="0" w:color="auto"/>
              <w:right w:val="nil"/>
            </w:tcBorders>
            <w:shd w:val="clear" w:color="000000" w:fill="FFFFFF"/>
            <w:noWrap/>
            <w:vAlign w:val="bottom"/>
            <w:hideMark/>
          </w:tcPr>
          <w:p w14:paraId="1D81C156"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0.191</w:t>
            </w:r>
          </w:p>
        </w:tc>
      </w:tr>
      <w:tr w:rsidR="00FE33A1" w:rsidRPr="000F4DE4" w14:paraId="71095DB5" w14:textId="77777777" w:rsidTr="00FE33A1">
        <w:trPr>
          <w:trHeight w:val="290"/>
        </w:trPr>
        <w:tc>
          <w:tcPr>
            <w:tcW w:w="1499" w:type="pct"/>
            <w:vMerge w:val="restart"/>
            <w:tcBorders>
              <w:left w:val="nil"/>
              <w:bottom w:val="single" w:sz="4" w:space="0" w:color="auto"/>
              <w:right w:val="nil"/>
            </w:tcBorders>
            <w:shd w:val="clear" w:color="000000" w:fill="FFFFFF"/>
            <w:noWrap/>
            <w:vAlign w:val="center"/>
            <w:hideMark/>
          </w:tcPr>
          <w:p w14:paraId="35B38467"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Ceará</w:t>
            </w:r>
          </w:p>
        </w:tc>
        <w:tc>
          <w:tcPr>
            <w:tcW w:w="851" w:type="pct"/>
            <w:tcBorders>
              <w:top w:val="single" w:sz="4" w:space="0" w:color="auto"/>
              <w:left w:val="nil"/>
              <w:right w:val="nil"/>
            </w:tcBorders>
            <w:shd w:val="clear" w:color="000000" w:fill="FFFFFF"/>
            <w:noWrap/>
            <w:vAlign w:val="bottom"/>
            <w:hideMark/>
          </w:tcPr>
          <w:p w14:paraId="42EB4054"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Expansão</w:t>
            </w:r>
          </w:p>
        </w:tc>
        <w:tc>
          <w:tcPr>
            <w:tcW w:w="827" w:type="pct"/>
            <w:tcBorders>
              <w:top w:val="single" w:sz="4" w:space="0" w:color="auto"/>
              <w:left w:val="nil"/>
              <w:right w:val="nil"/>
            </w:tcBorders>
            <w:shd w:val="clear" w:color="000000" w:fill="FFFFFF"/>
            <w:vAlign w:val="bottom"/>
            <w:hideMark/>
          </w:tcPr>
          <w:p w14:paraId="560FB958"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4.429</w:t>
            </w:r>
          </w:p>
        </w:tc>
        <w:tc>
          <w:tcPr>
            <w:tcW w:w="926" w:type="pct"/>
            <w:tcBorders>
              <w:top w:val="single" w:sz="4" w:space="0" w:color="auto"/>
              <w:left w:val="nil"/>
              <w:right w:val="nil"/>
            </w:tcBorders>
            <w:shd w:val="clear" w:color="000000" w:fill="FFFFFF"/>
            <w:vAlign w:val="bottom"/>
            <w:hideMark/>
          </w:tcPr>
          <w:p w14:paraId="34465536"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1.288</w:t>
            </w:r>
          </w:p>
        </w:tc>
        <w:tc>
          <w:tcPr>
            <w:tcW w:w="897" w:type="pct"/>
            <w:tcBorders>
              <w:top w:val="single" w:sz="4" w:space="0" w:color="auto"/>
              <w:left w:val="nil"/>
              <w:right w:val="nil"/>
            </w:tcBorders>
            <w:shd w:val="clear" w:color="000000" w:fill="FFFFFF"/>
            <w:noWrap/>
            <w:vAlign w:val="bottom"/>
            <w:hideMark/>
          </w:tcPr>
          <w:p w14:paraId="093FD635"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0.291</w:t>
            </w:r>
          </w:p>
        </w:tc>
      </w:tr>
      <w:tr w:rsidR="00FE33A1" w:rsidRPr="000F4DE4" w14:paraId="51DBFD4F" w14:textId="77777777" w:rsidTr="00FE33A1">
        <w:trPr>
          <w:trHeight w:val="290"/>
        </w:trPr>
        <w:tc>
          <w:tcPr>
            <w:tcW w:w="1499" w:type="pct"/>
            <w:vMerge/>
            <w:tcBorders>
              <w:left w:val="nil"/>
              <w:bottom w:val="single" w:sz="4" w:space="0" w:color="auto"/>
              <w:right w:val="nil"/>
            </w:tcBorders>
            <w:vAlign w:val="center"/>
            <w:hideMark/>
          </w:tcPr>
          <w:p w14:paraId="0F5CDA46"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p>
        </w:tc>
        <w:tc>
          <w:tcPr>
            <w:tcW w:w="851" w:type="pct"/>
            <w:tcBorders>
              <w:left w:val="nil"/>
              <w:bottom w:val="single" w:sz="4" w:space="0" w:color="auto"/>
              <w:right w:val="nil"/>
            </w:tcBorders>
            <w:shd w:val="clear" w:color="000000" w:fill="FFFFFF"/>
            <w:noWrap/>
            <w:vAlign w:val="bottom"/>
            <w:hideMark/>
          </w:tcPr>
          <w:p w14:paraId="782E6A18"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Recessão</w:t>
            </w:r>
          </w:p>
        </w:tc>
        <w:tc>
          <w:tcPr>
            <w:tcW w:w="827" w:type="pct"/>
            <w:tcBorders>
              <w:left w:val="nil"/>
              <w:bottom w:val="single" w:sz="4" w:space="0" w:color="auto"/>
              <w:right w:val="nil"/>
            </w:tcBorders>
            <w:shd w:val="clear" w:color="000000" w:fill="FFFFFF"/>
            <w:vAlign w:val="bottom"/>
            <w:hideMark/>
          </w:tcPr>
          <w:p w14:paraId="27A9238A"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4.857</w:t>
            </w:r>
          </w:p>
        </w:tc>
        <w:tc>
          <w:tcPr>
            <w:tcW w:w="926" w:type="pct"/>
            <w:tcBorders>
              <w:left w:val="nil"/>
              <w:bottom w:val="single" w:sz="4" w:space="0" w:color="auto"/>
              <w:right w:val="nil"/>
            </w:tcBorders>
            <w:shd w:val="clear" w:color="000000" w:fill="FFFFFF"/>
            <w:vAlign w:val="bottom"/>
            <w:hideMark/>
          </w:tcPr>
          <w:p w14:paraId="1EC532B0"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1.383</w:t>
            </w:r>
          </w:p>
        </w:tc>
        <w:tc>
          <w:tcPr>
            <w:tcW w:w="897" w:type="pct"/>
            <w:tcBorders>
              <w:left w:val="nil"/>
              <w:bottom w:val="single" w:sz="4" w:space="0" w:color="auto"/>
              <w:right w:val="nil"/>
            </w:tcBorders>
            <w:shd w:val="clear" w:color="000000" w:fill="FFFFFF"/>
            <w:noWrap/>
            <w:vAlign w:val="bottom"/>
            <w:hideMark/>
          </w:tcPr>
          <w:p w14:paraId="0E363D57"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0.285</w:t>
            </w:r>
          </w:p>
        </w:tc>
      </w:tr>
      <w:tr w:rsidR="00FE33A1" w:rsidRPr="000F4DE4" w14:paraId="28939062" w14:textId="77777777" w:rsidTr="00FE33A1">
        <w:trPr>
          <w:trHeight w:val="290"/>
        </w:trPr>
        <w:tc>
          <w:tcPr>
            <w:tcW w:w="1499" w:type="pct"/>
            <w:vMerge w:val="restart"/>
            <w:tcBorders>
              <w:left w:val="nil"/>
              <w:bottom w:val="single" w:sz="4" w:space="0" w:color="auto"/>
              <w:right w:val="nil"/>
            </w:tcBorders>
            <w:shd w:val="clear" w:color="000000" w:fill="FFFFFF"/>
            <w:noWrap/>
            <w:vAlign w:val="center"/>
            <w:hideMark/>
          </w:tcPr>
          <w:p w14:paraId="7F919D35"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Pernambuco</w:t>
            </w:r>
          </w:p>
        </w:tc>
        <w:tc>
          <w:tcPr>
            <w:tcW w:w="851" w:type="pct"/>
            <w:tcBorders>
              <w:top w:val="single" w:sz="4" w:space="0" w:color="auto"/>
              <w:left w:val="nil"/>
              <w:right w:val="nil"/>
            </w:tcBorders>
            <w:shd w:val="clear" w:color="000000" w:fill="FFFFFF"/>
            <w:noWrap/>
            <w:vAlign w:val="bottom"/>
            <w:hideMark/>
          </w:tcPr>
          <w:p w14:paraId="1048EE79"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Expansão</w:t>
            </w:r>
          </w:p>
        </w:tc>
        <w:tc>
          <w:tcPr>
            <w:tcW w:w="827" w:type="pct"/>
            <w:tcBorders>
              <w:top w:val="single" w:sz="4" w:space="0" w:color="auto"/>
              <w:left w:val="nil"/>
              <w:right w:val="nil"/>
            </w:tcBorders>
            <w:shd w:val="clear" w:color="000000" w:fill="FFFFFF"/>
            <w:vAlign w:val="bottom"/>
            <w:hideMark/>
          </w:tcPr>
          <w:p w14:paraId="58F140F1"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4.286</w:t>
            </w:r>
          </w:p>
        </w:tc>
        <w:tc>
          <w:tcPr>
            <w:tcW w:w="926" w:type="pct"/>
            <w:tcBorders>
              <w:top w:val="single" w:sz="4" w:space="0" w:color="auto"/>
              <w:left w:val="nil"/>
              <w:right w:val="nil"/>
            </w:tcBorders>
            <w:shd w:val="clear" w:color="000000" w:fill="FFFFFF"/>
            <w:vAlign w:val="bottom"/>
            <w:hideMark/>
          </w:tcPr>
          <w:p w14:paraId="3A55451A"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1.610</w:t>
            </w:r>
          </w:p>
        </w:tc>
        <w:tc>
          <w:tcPr>
            <w:tcW w:w="897" w:type="pct"/>
            <w:tcBorders>
              <w:top w:val="single" w:sz="4" w:space="0" w:color="auto"/>
              <w:left w:val="nil"/>
              <w:right w:val="nil"/>
            </w:tcBorders>
            <w:shd w:val="clear" w:color="000000" w:fill="FFFFFF"/>
            <w:noWrap/>
            <w:vAlign w:val="bottom"/>
            <w:hideMark/>
          </w:tcPr>
          <w:p w14:paraId="7448D155"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0.376</w:t>
            </w:r>
          </w:p>
        </w:tc>
      </w:tr>
      <w:tr w:rsidR="00FE33A1" w:rsidRPr="000F4DE4" w14:paraId="4C8B3F51" w14:textId="77777777" w:rsidTr="00FE33A1">
        <w:trPr>
          <w:trHeight w:val="290"/>
        </w:trPr>
        <w:tc>
          <w:tcPr>
            <w:tcW w:w="1499" w:type="pct"/>
            <w:vMerge/>
            <w:tcBorders>
              <w:left w:val="nil"/>
              <w:bottom w:val="single" w:sz="4" w:space="0" w:color="auto"/>
              <w:right w:val="nil"/>
            </w:tcBorders>
            <w:vAlign w:val="center"/>
            <w:hideMark/>
          </w:tcPr>
          <w:p w14:paraId="4016C5A9"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p>
        </w:tc>
        <w:tc>
          <w:tcPr>
            <w:tcW w:w="851" w:type="pct"/>
            <w:tcBorders>
              <w:left w:val="nil"/>
              <w:bottom w:val="single" w:sz="4" w:space="0" w:color="auto"/>
              <w:right w:val="nil"/>
            </w:tcBorders>
            <w:shd w:val="clear" w:color="000000" w:fill="FFFFFF"/>
            <w:noWrap/>
            <w:vAlign w:val="bottom"/>
            <w:hideMark/>
          </w:tcPr>
          <w:p w14:paraId="44A9B7DD"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Recessão</w:t>
            </w:r>
          </w:p>
        </w:tc>
        <w:tc>
          <w:tcPr>
            <w:tcW w:w="827" w:type="pct"/>
            <w:tcBorders>
              <w:left w:val="nil"/>
              <w:bottom w:val="single" w:sz="4" w:space="0" w:color="auto"/>
              <w:right w:val="nil"/>
            </w:tcBorders>
            <w:shd w:val="clear" w:color="000000" w:fill="FFFFFF"/>
            <w:vAlign w:val="bottom"/>
            <w:hideMark/>
          </w:tcPr>
          <w:p w14:paraId="3DFF8076"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5.833</w:t>
            </w:r>
          </w:p>
        </w:tc>
        <w:tc>
          <w:tcPr>
            <w:tcW w:w="926" w:type="pct"/>
            <w:tcBorders>
              <w:left w:val="nil"/>
              <w:bottom w:val="single" w:sz="4" w:space="0" w:color="auto"/>
              <w:right w:val="nil"/>
            </w:tcBorders>
            <w:shd w:val="clear" w:color="000000" w:fill="FFFFFF"/>
            <w:vAlign w:val="bottom"/>
            <w:hideMark/>
          </w:tcPr>
          <w:p w14:paraId="0DF00D48"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1.625</w:t>
            </w:r>
          </w:p>
        </w:tc>
        <w:tc>
          <w:tcPr>
            <w:tcW w:w="897" w:type="pct"/>
            <w:tcBorders>
              <w:left w:val="nil"/>
              <w:bottom w:val="single" w:sz="4" w:space="0" w:color="auto"/>
              <w:right w:val="nil"/>
            </w:tcBorders>
            <w:shd w:val="clear" w:color="000000" w:fill="FFFFFF"/>
            <w:noWrap/>
            <w:vAlign w:val="bottom"/>
            <w:hideMark/>
          </w:tcPr>
          <w:p w14:paraId="4D3A3189"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0.279</w:t>
            </w:r>
          </w:p>
        </w:tc>
      </w:tr>
      <w:tr w:rsidR="00FE33A1" w:rsidRPr="000F4DE4" w14:paraId="7968B7EC" w14:textId="77777777" w:rsidTr="00FE33A1">
        <w:trPr>
          <w:trHeight w:val="290"/>
        </w:trPr>
        <w:tc>
          <w:tcPr>
            <w:tcW w:w="1499" w:type="pct"/>
            <w:vMerge w:val="restart"/>
            <w:tcBorders>
              <w:left w:val="nil"/>
              <w:bottom w:val="single" w:sz="4" w:space="0" w:color="auto"/>
              <w:right w:val="nil"/>
            </w:tcBorders>
            <w:shd w:val="clear" w:color="000000" w:fill="FFFFFF"/>
            <w:noWrap/>
            <w:vAlign w:val="center"/>
            <w:hideMark/>
          </w:tcPr>
          <w:p w14:paraId="1508EB82"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Paraná</w:t>
            </w:r>
          </w:p>
        </w:tc>
        <w:tc>
          <w:tcPr>
            <w:tcW w:w="851" w:type="pct"/>
            <w:tcBorders>
              <w:top w:val="single" w:sz="4" w:space="0" w:color="auto"/>
              <w:left w:val="nil"/>
              <w:right w:val="nil"/>
            </w:tcBorders>
            <w:shd w:val="clear" w:color="000000" w:fill="FFFFFF"/>
            <w:noWrap/>
            <w:vAlign w:val="bottom"/>
            <w:hideMark/>
          </w:tcPr>
          <w:p w14:paraId="123F8EFB"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Expansão</w:t>
            </w:r>
          </w:p>
        </w:tc>
        <w:tc>
          <w:tcPr>
            <w:tcW w:w="827" w:type="pct"/>
            <w:tcBorders>
              <w:top w:val="single" w:sz="4" w:space="0" w:color="auto"/>
              <w:left w:val="nil"/>
              <w:right w:val="nil"/>
            </w:tcBorders>
            <w:shd w:val="clear" w:color="000000" w:fill="FFFFFF"/>
            <w:vAlign w:val="bottom"/>
            <w:hideMark/>
          </w:tcPr>
          <w:p w14:paraId="2B5CE1DE"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5.167</w:t>
            </w:r>
          </w:p>
        </w:tc>
        <w:tc>
          <w:tcPr>
            <w:tcW w:w="926" w:type="pct"/>
            <w:tcBorders>
              <w:top w:val="single" w:sz="4" w:space="0" w:color="auto"/>
              <w:left w:val="nil"/>
              <w:right w:val="nil"/>
            </w:tcBorders>
            <w:shd w:val="clear" w:color="000000" w:fill="FFFFFF"/>
            <w:vAlign w:val="bottom"/>
            <w:hideMark/>
          </w:tcPr>
          <w:p w14:paraId="2551BB58"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1.898</w:t>
            </w:r>
          </w:p>
        </w:tc>
        <w:tc>
          <w:tcPr>
            <w:tcW w:w="897" w:type="pct"/>
            <w:tcBorders>
              <w:top w:val="single" w:sz="4" w:space="0" w:color="auto"/>
              <w:left w:val="nil"/>
              <w:right w:val="nil"/>
            </w:tcBorders>
            <w:shd w:val="clear" w:color="000000" w:fill="FFFFFF"/>
            <w:noWrap/>
            <w:vAlign w:val="bottom"/>
            <w:hideMark/>
          </w:tcPr>
          <w:p w14:paraId="4B8CF390"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0.367</w:t>
            </w:r>
          </w:p>
        </w:tc>
      </w:tr>
      <w:tr w:rsidR="00FE33A1" w:rsidRPr="000F4DE4" w14:paraId="1C200624" w14:textId="77777777" w:rsidTr="00FE33A1">
        <w:trPr>
          <w:trHeight w:val="290"/>
        </w:trPr>
        <w:tc>
          <w:tcPr>
            <w:tcW w:w="1499" w:type="pct"/>
            <w:vMerge/>
            <w:tcBorders>
              <w:left w:val="nil"/>
              <w:bottom w:val="single" w:sz="4" w:space="0" w:color="auto"/>
              <w:right w:val="nil"/>
            </w:tcBorders>
            <w:vAlign w:val="center"/>
            <w:hideMark/>
          </w:tcPr>
          <w:p w14:paraId="4164C60E"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p>
        </w:tc>
        <w:tc>
          <w:tcPr>
            <w:tcW w:w="851" w:type="pct"/>
            <w:tcBorders>
              <w:left w:val="nil"/>
              <w:bottom w:val="single" w:sz="4" w:space="0" w:color="auto"/>
              <w:right w:val="nil"/>
            </w:tcBorders>
            <w:shd w:val="clear" w:color="000000" w:fill="FFFFFF"/>
            <w:noWrap/>
            <w:vAlign w:val="bottom"/>
            <w:hideMark/>
          </w:tcPr>
          <w:p w14:paraId="520EE186"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Recessão</w:t>
            </w:r>
          </w:p>
        </w:tc>
        <w:tc>
          <w:tcPr>
            <w:tcW w:w="827" w:type="pct"/>
            <w:tcBorders>
              <w:left w:val="nil"/>
              <w:bottom w:val="single" w:sz="4" w:space="0" w:color="auto"/>
              <w:right w:val="nil"/>
            </w:tcBorders>
            <w:shd w:val="clear" w:color="000000" w:fill="FFFFFF"/>
            <w:vAlign w:val="bottom"/>
            <w:hideMark/>
          </w:tcPr>
          <w:p w14:paraId="1FEEB4BD"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4.833</w:t>
            </w:r>
          </w:p>
        </w:tc>
        <w:tc>
          <w:tcPr>
            <w:tcW w:w="926" w:type="pct"/>
            <w:tcBorders>
              <w:left w:val="nil"/>
              <w:bottom w:val="single" w:sz="4" w:space="0" w:color="auto"/>
              <w:right w:val="nil"/>
            </w:tcBorders>
            <w:shd w:val="clear" w:color="000000" w:fill="FFFFFF"/>
            <w:vAlign w:val="bottom"/>
            <w:hideMark/>
          </w:tcPr>
          <w:p w14:paraId="23986F15"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1.816</w:t>
            </w:r>
          </w:p>
        </w:tc>
        <w:tc>
          <w:tcPr>
            <w:tcW w:w="897" w:type="pct"/>
            <w:tcBorders>
              <w:left w:val="nil"/>
              <w:bottom w:val="single" w:sz="4" w:space="0" w:color="auto"/>
              <w:right w:val="nil"/>
            </w:tcBorders>
            <w:shd w:val="clear" w:color="000000" w:fill="FFFFFF"/>
            <w:noWrap/>
            <w:vAlign w:val="bottom"/>
            <w:hideMark/>
          </w:tcPr>
          <w:p w14:paraId="29EA49DA"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0.376</w:t>
            </w:r>
          </w:p>
        </w:tc>
      </w:tr>
      <w:tr w:rsidR="00FE33A1" w:rsidRPr="000F4DE4" w14:paraId="55942AF6" w14:textId="77777777" w:rsidTr="00FE33A1">
        <w:trPr>
          <w:trHeight w:val="290"/>
        </w:trPr>
        <w:tc>
          <w:tcPr>
            <w:tcW w:w="1499" w:type="pct"/>
            <w:vMerge w:val="restart"/>
            <w:tcBorders>
              <w:left w:val="nil"/>
              <w:bottom w:val="single" w:sz="4" w:space="0" w:color="auto"/>
              <w:right w:val="nil"/>
            </w:tcBorders>
            <w:shd w:val="clear" w:color="000000" w:fill="FFFFFF"/>
            <w:noWrap/>
            <w:vAlign w:val="center"/>
            <w:hideMark/>
          </w:tcPr>
          <w:p w14:paraId="139853AB"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Rio Grande do Sul</w:t>
            </w:r>
          </w:p>
        </w:tc>
        <w:tc>
          <w:tcPr>
            <w:tcW w:w="851" w:type="pct"/>
            <w:tcBorders>
              <w:top w:val="single" w:sz="4" w:space="0" w:color="auto"/>
              <w:left w:val="nil"/>
              <w:right w:val="nil"/>
            </w:tcBorders>
            <w:shd w:val="clear" w:color="000000" w:fill="FFFFFF"/>
            <w:noWrap/>
            <w:vAlign w:val="bottom"/>
            <w:hideMark/>
          </w:tcPr>
          <w:p w14:paraId="55CE90A0"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Expansão</w:t>
            </w:r>
          </w:p>
        </w:tc>
        <w:tc>
          <w:tcPr>
            <w:tcW w:w="827" w:type="pct"/>
            <w:tcBorders>
              <w:top w:val="single" w:sz="4" w:space="0" w:color="auto"/>
              <w:left w:val="nil"/>
              <w:right w:val="nil"/>
            </w:tcBorders>
            <w:shd w:val="clear" w:color="000000" w:fill="FFFFFF"/>
            <w:vAlign w:val="bottom"/>
            <w:hideMark/>
          </w:tcPr>
          <w:p w14:paraId="708F2B3B"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4.429</w:t>
            </w:r>
          </w:p>
        </w:tc>
        <w:tc>
          <w:tcPr>
            <w:tcW w:w="926" w:type="pct"/>
            <w:tcBorders>
              <w:top w:val="single" w:sz="4" w:space="0" w:color="auto"/>
              <w:left w:val="nil"/>
              <w:right w:val="nil"/>
            </w:tcBorders>
            <w:shd w:val="clear" w:color="000000" w:fill="FFFFFF"/>
            <w:vAlign w:val="bottom"/>
            <w:hideMark/>
          </w:tcPr>
          <w:p w14:paraId="3F7A5FDC"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1.708</w:t>
            </w:r>
          </w:p>
        </w:tc>
        <w:tc>
          <w:tcPr>
            <w:tcW w:w="897" w:type="pct"/>
            <w:tcBorders>
              <w:top w:val="single" w:sz="4" w:space="0" w:color="auto"/>
              <w:left w:val="nil"/>
              <w:right w:val="nil"/>
            </w:tcBorders>
            <w:shd w:val="clear" w:color="000000" w:fill="FFFFFF"/>
            <w:noWrap/>
            <w:vAlign w:val="bottom"/>
            <w:hideMark/>
          </w:tcPr>
          <w:p w14:paraId="54BC4447"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0.386</w:t>
            </w:r>
          </w:p>
        </w:tc>
      </w:tr>
      <w:tr w:rsidR="00FE33A1" w:rsidRPr="000F4DE4" w14:paraId="0692B353" w14:textId="77777777" w:rsidTr="00FE33A1">
        <w:trPr>
          <w:trHeight w:val="290"/>
        </w:trPr>
        <w:tc>
          <w:tcPr>
            <w:tcW w:w="1499" w:type="pct"/>
            <w:vMerge/>
            <w:tcBorders>
              <w:left w:val="nil"/>
              <w:bottom w:val="single" w:sz="4" w:space="0" w:color="auto"/>
              <w:right w:val="nil"/>
            </w:tcBorders>
            <w:vAlign w:val="center"/>
            <w:hideMark/>
          </w:tcPr>
          <w:p w14:paraId="30411109"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p>
        </w:tc>
        <w:tc>
          <w:tcPr>
            <w:tcW w:w="851" w:type="pct"/>
            <w:tcBorders>
              <w:left w:val="nil"/>
              <w:bottom w:val="single" w:sz="4" w:space="0" w:color="auto"/>
              <w:right w:val="nil"/>
            </w:tcBorders>
            <w:shd w:val="clear" w:color="000000" w:fill="FFFFFF"/>
            <w:noWrap/>
            <w:vAlign w:val="bottom"/>
            <w:hideMark/>
          </w:tcPr>
          <w:p w14:paraId="4B374ECD"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Recessão</w:t>
            </w:r>
          </w:p>
        </w:tc>
        <w:tc>
          <w:tcPr>
            <w:tcW w:w="827" w:type="pct"/>
            <w:tcBorders>
              <w:left w:val="nil"/>
              <w:bottom w:val="single" w:sz="4" w:space="0" w:color="auto"/>
              <w:right w:val="nil"/>
            </w:tcBorders>
            <w:shd w:val="clear" w:color="000000" w:fill="FFFFFF"/>
            <w:vAlign w:val="bottom"/>
            <w:hideMark/>
          </w:tcPr>
          <w:p w14:paraId="23D6E1B8"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4.857</w:t>
            </w:r>
          </w:p>
        </w:tc>
        <w:tc>
          <w:tcPr>
            <w:tcW w:w="926" w:type="pct"/>
            <w:tcBorders>
              <w:left w:val="nil"/>
              <w:bottom w:val="single" w:sz="4" w:space="0" w:color="auto"/>
              <w:right w:val="nil"/>
            </w:tcBorders>
            <w:shd w:val="clear" w:color="000000" w:fill="FFFFFF"/>
            <w:vAlign w:val="bottom"/>
            <w:hideMark/>
          </w:tcPr>
          <w:p w14:paraId="059E221E"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1.582</w:t>
            </w:r>
          </w:p>
        </w:tc>
        <w:tc>
          <w:tcPr>
            <w:tcW w:w="897" w:type="pct"/>
            <w:tcBorders>
              <w:left w:val="nil"/>
              <w:bottom w:val="single" w:sz="4" w:space="0" w:color="auto"/>
              <w:right w:val="nil"/>
            </w:tcBorders>
            <w:shd w:val="clear" w:color="000000" w:fill="FFFFFF"/>
            <w:noWrap/>
            <w:vAlign w:val="bottom"/>
            <w:hideMark/>
          </w:tcPr>
          <w:p w14:paraId="1E8F9D4F"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0.326</w:t>
            </w:r>
          </w:p>
        </w:tc>
      </w:tr>
      <w:tr w:rsidR="00FE33A1" w:rsidRPr="000F4DE4" w14:paraId="7BDEF9E6" w14:textId="77777777" w:rsidTr="00FE33A1">
        <w:trPr>
          <w:trHeight w:val="290"/>
        </w:trPr>
        <w:tc>
          <w:tcPr>
            <w:tcW w:w="1499" w:type="pct"/>
            <w:vMerge w:val="restart"/>
            <w:tcBorders>
              <w:left w:val="nil"/>
              <w:bottom w:val="single" w:sz="4" w:space="0" w:color="auto"/>
              <w:right w:val="nil"/>
            </w:tcBorders>
            <w:shd w:val="clear" w:color="000000" w:fill="FFFFFF"/>
            <w:noWrap/>
            <w:vAlign w:val="center"/>
            <w:hideMark/>
          </w:tcPr>
          <w:p w14:paraId="44F61F8A"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Santa Catarina</w:t>
            </w:r>
          </w:p>
        </w:tc>
        <w:tc>
          <w:tcPr>
            <w:tcW w:w="851" w:type="pct"/>
            <w:tcBorders>
              <w:top w:val="single" w:sz="4" w:space="0" w:color="auto"/>
              <w:left w:val="nil"/>
              <w:right w:val="nil"/>
            </w:tcBorders>
            <w:shd w:val="clear" w:color="000000" w:fill="FFFFFF"/>
            <w:noWrap/>
            <w:vAlign w:val="bottom"/>
            <w:hideMark/>
          </w:tcPr>
          <w:p w14:paraId="3124C74D"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Expansão</w:t>
            </w:r>
          </w:p>
        </w:tc>
        <w:tc>
          <w:tcPr>
            <w:tcW w:w="827" w:type="pct"/>
            <w:tcBorders>
              <w:top w:val="single" w:sz="4" w:space="0" w:color="auto"/>
              <w:left w:val="nil"/>
              <w:right w:val="nil"/>
            </w:tcBorders>
            <w:shd w:val="clear" w:color="000000" w:fill="FFFFFF"/>
            <w:vAlign w:val="bottom"/>
            <w:hideMark/>
          </w:tcPr>
          <w:p w14:paraId="6AFEAA77"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5.167</w:t>
            </w:r>
          </w:p>
        </w:tc>
        <w:tc>
          <w:tcPr>
            <w:tcW w:w="926" w:type="pct"/>
            <w:tcBorders>
              <w:top w:val="single" w:sz="4" w:space="0" w:color="auto"/>
              <w:left w:val="nil"/>
              <w:right w:val="nil"/>
            </w:tcBorders>
            <w:shd w:val="clear" w:color="000000" w:fill="FFFFFF"/>
            <w:vAlign w:val="bottom"/>
            <w:hideMark/>
          </w:tcPr>
          <w:p w14:paraId="46DE7ABC"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2.183</w:t>
            </w:r>
          </w:p>
        </w:tc>
        <w:tc>
          <w:tcPr>
            <w:tcW w:w="897" w:type="pct"/>
            <w:tcBorders>
              <w:top w:val="single" w:sz="4" w:space="0" w:color="auto"/>
              <w:left w:val="nil"/>
              <w:right w:val="nil"/>
            </w:tcBorders>
            <w:shd w:val="clear" w:color="000000" w:fill="FFFFFF"/>
            <w:noWrap/>
            <w:vAlign w:val="bottom"/>
            <w:hideMark/>
          </w:tcPr>
          <w:p w14:paraId="60176087"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0.422</w:t>
            </w:r>
          </w:p>
        </w:tc>
      </w:tr>
      <w:tr w:rsidR="00FE33A1" w:rsidRPr="000F4DE4" w14:paraId="7A09B408" w14:textId="77777777" w:rsidTr="00FE33A1">
        <w:trPr>
          <w:trHeight w:val="290"/>
        </w:trPr>
        <w:tc>
          <w:tcPr>
            <w:tcW w:w="1499" w:type="pct"/>
            <w:vMerge/>
            <w:tcBorders>
              <w:left w:val="nil"/>
              <w:bottom w:val="single" w:sz="4" w:space="0" w:color="auto"/>
              <w:right w:val="nil"/>
            </w:tcBorders>
            <w:vAlign w:val="center"/>
            <w:hideMark/>
          </w:tcPr>
          <w:p w14:paraId="3425EB1C"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p>
        </w:tc>
        <w:tc>
          <w:tcPr>
            <w:tcW w:w="851" w:type="pct"/>
            <w:tcBorders>
              <w:left w:val="nil"/>
              <w:bottom w:val="single" w:sz="4" w:space="0" w:color="auto"/>
              <w:right w:val="nil"/>
            </w:tcBorders>
            <w:shd w:val="clear" w:color="000000" w:fill="FFFFFF"/>
            <w:noWrap/>
            <w:vAlign w:val="bottom"/>
            <w:hideMark/>
          </w:tcPr>
          <w:p w14:paraId="2DB96312"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Recessão</w:t>
            </w:r>
          </w:p>
        </w:tc>
        <w:tc>
          <w:tcPr>
            <w:tcW w:w="827" w:type="pct"/>
            <w:tcBorders>
              <w:left w:val="nil"/>
              <w:bottom w:val="single" w:sz="4" w:space="0" w:color="auto"/>
              <w:right w:val="nil"/>
            </w:tcBorders>
            <w:shd w:val="clear" w:color="000000" w:fill="FFFFFF"/>
            <w:vAlign w:val="bottom"/>
            <w:hideMark/>
          </w:tcPr>
          <w:p w14:paraId="3C1A7179"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5.000</w:t>
            </w:r>
          </w:p>
        </w:tc>
        <w:tc>
          <w:tcPr>
            <w:tcW w:w="926" w:type="pct"/>
            <w:tcBorders>
              <w:left w:val="nil"/>
              <w:bottom w:val="single" w:sz="4" w:space="0" w:color="auto"/>
              <w:right w:val="nil"/>
            </w:tcBorders>
            <w:shd w:val="clear" w:color="000000" w:fill="FFFFFF"/>
            <w:vAlign w:val="bottom"/>
            <w:hideMark/>
          </w:tcPr>
          <w:p w14:paraId="5D7FF0D1"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2.263</w:t>
            </w:r>
          </w:p>
        </w:tc>
        <w:tc>
          <w:tcPr>
            <w:tcW w:w="897" w:type="pct"/>
            <w:tcBorders>
              <w:left w:val="nil"/>
              <w:bottom w:val="single" w:sz="4" w:space="0" w:color="auto"/>
              <w:right w:val="nil"/>
            </w:tcBorders>
            <w:shd w:val="clear" w:color="000000" w:fill="FFFFFF"/>
            <w:noWrap/>
            <w:vAlign w:val="bottom"/>
            <w:hideMark/>
          </w:tcPr>
          <w:p w14:paraId="1046752B"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0.453</w:t>
            </w:r>
          </w:p>
        </w:tc>
      </w:tr>
      <w:tr w:rsidR="00FE33A1" w:rsidRPr="000F4DE4" w14:paraId="11C92D6B" w14:textId="77777777" w:rsidTr="00FE33A1">
        <w:trPr>
          <w:trHeight w:val="290"/>
        </w:trPr>
        <w:tc>
          <w:tcPr>
            <w:tcW w:w="1499" w:type="pct"/>
            <w:vMerge w:val="restart"/>
            <w:tcBorders>
              <w:left w:val="nil"/>
              <w:bottom w:val="single" w:sz="4" w:space="0" w:color="auto"/>
              <w:right w:val="nil"/>
            </w:tcBorders>
            <w:shd w:val="clear" w:color="000000" w:fill="FFFFFF"/>
            <w:noWrap/>
            <w:vAlign w:val="center"/>
            <w:hideMark/>
          </w:tcPr>
          <w:p w14:paraId="614C86B3"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Minas Gerais</w:t>
            </w:r>
          </w:p>
        </w:tc>
        <w:tc>
          <w:tcPr>
            <w:tcW w:w="851" w:type="pct"/>
            <w:tcBorders>
              <w:top w:val="single" w:sz="4" w:space="0" w:color="auto"/>
              <w:left w:val="nil"/>
              <w:right w:val="nil"/>
            </w:tcBorders>
            <w:shd w:val="clear" w:color="000000" w:fill="FFFFFF"/>
            <w:noWrap/>
            <w:vAlign w:val="bottom"/>
            <w:hideMark/>
          </w:tcPr>
          <w:p w14:paraId="4FD85B2A"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Expansão</w:t>
            </w:r>
          </w:p>
        </w:tc>
        <w:tc>
          <w:tcPr>
            <w:tcW w:w="827" w:type="pct"/>
            <w:tcBorders>
              <w:top w:val="single" w:sz="4" w:space="0" w:color="auto"/>
              <w:left w:val="nil"/>
              <w:right w:val="nil"/>
            </w:tcBorders>
            <w:shd w:val="clear" w:color="000000" w:fill="FFFFFF"/>
            <w:vAlign w:val="bottom"/>
            <w:hideMark/>
          </w:tcPr>
          <w:p w14:paraId="3A2E47CE"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4.125</w:t>
            </w:r>
          </w:p>
        </w:tc>
        <w:tc>
          <w:tcPr>
            <w:tcW w:w="926" w:type="pct"/>
            <w:tcBorders>
              <w:top w:val="single" w:sz="4" w:space="0" w:color="auto"/>
              <w:left w:val="nil"/>
              <w:right w:val="nil"/>
            </w:tcBorders>
            <w:shd w:val="clear" w:color="000000" w:fill="FFFFFF"/>
            <w:vAlign w:val="bottom"/>
            <w:hideMark/>
          </w:tcPr>
          <w:p w14:paraId="1C8572BE"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1.732</w:t>
            </w:r>
          </w:p>
        </w:tc>
        <w:tc>
          <w:tcPr>
            <w:tcW w:w="897" w:type="pct"/>
            <w:tcBorders>
              <w:top w:val="single" w:sz="4" w:space="0" w:color="auto"/>
              <w:left w:val="nil"/>
              <w:right w:val="nil"/>
            </w:tcBorders>
            <w:shd w:val="clear" w:color="000000" w:fill="FFFFFF"/>
            <w:noWrap/>
            <w:vAlign w:val="bottom"/>
            <w:hideMark/>
          </w:tcPr>
          <w:p w14:paraId="468FB2BF"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0.420</w:t>
            </w:r>
          </w:p>
        </w:tc>
      </w:tr>
      <w:tr w:rsidR="00FE33A1" w:rsidRPr="000F4DE4" w14:paraId="408AFE1E" w14:textId="77777777" w:rsidTr="00FE33A1">
        <w:trPr>
          <w:trHeight w:val="290"/>
        </w:trPr>
        <w:tc>
          <w:tcPr>
            <w:tcW w:w="1499" w:type="pct"/>
            <w:vMerge/>
            <w:tcBorders>
              <w:left w:val="nil"/>
              <w:bottom w:val="single" w:sz="4" w:space="0" w:color="auto"/>
              <w:right w:val="nil"/>
            </w:tcBorders>
            <w:vAlign w:val="center"/>
            <w:hideMark/>
          </w:tcPr>
          <w:p w14:paraId="6DE02827"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p>
        </w:tc>
        <w:tc>
          <w:tcPr>
            <w:tcW w:w="851" w:type="pct"/>
            <w:tcBorders>
              <w:left w:val="nil"/>
              <w:bottom w:val="single" w:sz="4" w:space="0" w:color="auto"/>
              <w:right w:val="nil"/>
            </w:tcBorders>
            <w:shd w:val="clear" w:color="000000" w:fill="FFFFFF"/>
            <w:noWrap/>
            <w:vAlign w:val="bottom"/>
            <w:hideMark/>
          </w:tcPr>
          <w:p w14:paraId="4B71488B"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Recessão</w:t>
            </w:r>
          </w:p>
        </w:tc>
        <w:tc>
          <w:tcPr>
            <w:tcW w:w="827" w:type="pct"/>
            <w:tcBorders>
              <w:left w:val="nil"/>
              <w:bottom w:val="single" w:sz="4" w:space="0" w:color="auto"/>
              <w:right w:val="nil"/>
            </w:tcBorders>
            <w:shd w:val="clear" w:color="000000" w:fill="FFFFFF"/>
            <w:vAlign w:val="bottom"/>
            <w:hideMark/>
          </w:tcPr>
          <w:p w14:paraId="53F8D762"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4.125</w:t>
            </w:r>
          </w:p>
        </w:tc>
        <w:tc>
          <w:tcPr>
            <w:tcW w:w="926" w:type="pct"/>
            <w:tcBorders>
              <w:left w:val="nil"/>
              <w:bottom w:val="single" w:sz="4" w:space="0" w:color="auto"/>
              <w:right w:val="nil"/>
            </w:tcBorders>
            <w:shd w:val="clear" w:color="000000" w:fill="FFFFFF"/>
            <w:vAlign w:val="bottom"/>
            <w:hideMark/>
          </w:tcPr>
          <w:p w14:paraId="0C6BB11B"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1.753</w:t>
            </w:r>
          </w:p>
        </w:tc>
        <w:tc>
          <w:tcPr>
            <w:tcW w:w="897" w:type="pct"/>
            <w:tcBorders>
              <w:left w:val="nil"/>
              <w:bottom w:val="single" w:sz="4" w:space="0" w:color="auto"/>
              <w:right w:val="nil"/>
            </w:tcBorders>
            <w:shd w:val="clear" w:color="000000" w:fill="FFFFFF"/>
            <w:noWrap/>
            <w:vAlign w:val="bottom"/>
            <w:hideMark/>
          </w:tcPr>
          <w:p w14:paraId="1A761EDF"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0.425</w:t>
            </w:r>
          </w:p>
        </w:tc>
      </w:tr>
      <w:tr w:rsidR="00FE33A1" w:rsidRPr="000F4DE4" w14:paraId="00193B54" w14:textId="77777777" w:rsidTr="00FE33A1">
        <w:trPr>
          <w:trHeight w:val="290"/>
        </w:trPr>
        <w:tc>
          <w:tcPr>
            <w:tcW w:w="1499" w:type="pct"/>
            <w:vMerge w:val="restart"/>
            <w:tcBorders>
              <w:left w:val="nil"/>
              <w:bottom w:val="single" w:sz="4" w:space="0" w:color="auto"/>
              <w:right w:val="nil"/>
            </w:tcBorders>
            <w:shd w:val="clear" w:color="000000" w:fill="FFFFFF"/>
            <w:noWrap/>
            <w:vAlign w:val="center"/>
            <w:hideMark/>
          </w:tcPr>
          <w:p w14:paraId="2F43AC13"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Rio de Janeiro</w:t>
            </w:r>
          </w:p>
        </w:tc>
        <w:tc>
          <w:tcPr>
            <w:tcW w:w="851" w:type="pct"/>
            <w:tcBorders>
              <w:top w:val="single" w:sz="4" w:space="0" w:color="auto"/>
              <w:left w:val="nil"/>
              <w:right w:val="nil"/>
            </w:tcBorders>
            <w:shd w:val="clear" w:color="000000" w:fill="FFFFFF"/>
            <w:noWrap/>
            <w:vAlign w:val="bottom"/>
            <w:hideMark/>
          </w:tcPr>
          <w:p w14:paraId="522D3350"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Expansão</w:t>
            </w:r>
          </w:p>
        </w:tc>
        <w:tc>
          <w:tcPr>
            <w:tcW w:w="827" w:type="pct"/>
            <w:tcBorders>
              <w:top w:val="single" w:sz="4" w:space="0" w:color="auto"/>
              <w:left w:val="nil"/>
              <w:right w:val="nil"/>
            </w:tcBorders>
            <w:shd w:val="clear" w:color="000000" w:fill="FFFFFF"/>
            <w:vAlign w:val="bottom"/>
            <w:hideMark/>
          </w:tcPr>
          <w:p w14:paraId="2B1658CF"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3.778</w:t>
            </w:r>
          </w:p>
        </w:tc>
        <w:tc>
          <w:tcPr>
            <w:tcW w:w="926" w:type="pct"/>
            <w:tcBorders>
              <w:top w:val="single" w:sz="4" w:space="0" w:color="auto"/>
              <w:left w:val="nil"/>
              <w:right w:val="nil"/>
            </w:tcBorders>
            <w:shd w:val="clear" w:color="000000" w:fill="FFFFFF"/>
            <w:vAlign w:val="bottom"/>
            <w:hideMark/>
          </w:tcPr>
          <w:p w14:paraId="1359C163"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0.981</w:t>
            </w:r>
          </w:p>
        </w:tc>
        <w:tc>
          <w:tcPr>
            <w:tcW w:w="897" w:type="pct"/>
            <w:tcBorders>
              <w:top w:val="single" w:sz="4" w:space="0" w:color="auto"/>
              <w:left w:val="nil"/>
              <w:right w:val="nil"/>
            </w:tcBorders>
            <w:shd w:val="clear" w:color="000000" w:fill="FFFFFF"/>
            <w:noWrap/>
            <w:vAlign w:val="bottom"/>
            <w:hideMark/>
          </w:tcPr>
          <w:p w14:paraId="755CB1AD"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0.260</w:t>
            </w:r>
          </w:p>
        </w:tc>
      </w:tr>
      <w:tr w:rsidR="00FE33A1" w:rsidRPr="000F4DE4" w14:paraId="251D74F0" w14:textId="77777777" w:rsidTr="00FE33A1">
        <w:trPr>
          <w:trHeight w:val="290"/>
        </w:trPr>
        <w:tc>
          <w:tcPr>
            <w:tcW w:w="1499" w:type="pct"/>
            <w:vMerge/>
            <w:tcBorders>
              <w:left w:val="nil"/>
              <w:bottom w:val="single" w:sz="4" w:space="0" w:color="auto"/>
              <w:right w:val="nil"/>
            </w:tcBorders>
            <w:vAlign w:val="center"/>
            <w:hideMark/>
          </w:tcPr>
          <w:p w14:paraId="6305B432"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p>
        </w:tc>
        <w:tc>
          <w:tcPr>
            <w:tcW w:w="851" w:type="pct"/>
            <w:tcBorders>
              <w:left w:val="nil"/>
              <w:bottom w:val="single" w:sz="4" w:space="0" w:color="auto"/>
              <w:right w:val="nil"/>
            </w:tcBorders>
            <w:shd w:val="clear" w:color="000000" w:fill="FFFFFF"/>
            <w:noWrap/>
            <w:vAlign w:val="bottom"/>
            <w:hideMark/>
          </w:tcPr>
          <w:p w14:paraId="6CDEC239"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Recessão</w:t>
            </w:r>
          </w:p>
        </w:tc>
        <w:tc>
          <w:tcPr>
            <w:tcW w:w="827" w:type="pct"/>
            <w:tcBorders>
              <w:left w:val="nil"/>
              <w:bottom w:val="single" w:sz="4" w:space="0" w:color="auto"/>
              <w:right w:val="nil"/>
            </w:tcBorders>
            <w:shd w:val="clear" w:color="000000" w:fill="FFFFFF"/>
            <w:vAlign w:val="bottom"/>
            <w:hideMark/>
          </w:tcPr>
          <w:p w14:paraId="38CDE6F0"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4.125</w:t>
            </w:r>
          </w:p>
        </w:tc>
        <w:tc>
          <w:tcPr>
            <w:tcW w:w="926" w:type="pct"/>
            <w:tcBorders>
              <w:left w:val="nil"/>
              <w:bottom w:val="single" w:sz="4" w:space="0" w:color="auto"/>
              <w:right w:val="nil"/>
            </w:tcBorders>
            <w:shd w:val="clear" w:color="000000" w:fill="FFFFFF"/>
            <w:vAlign w:val="bottom"/>
            <w:hideMark/>
          </w:tcPr>
          <w:p w14:paraId="4E21641F"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0.972</w:t>
            </w:r>
          </w:p>
        </w:tc>
        <w:tc>
          <w:tcPr>
            <w:tcW w:w="897" w:type="pct"/>
            <w:tcBorders>
              <w:left w:val="nil"/>
              <w:bottom w:val="single" w:sz="4" w:space="0" w:color="auto"/>
              <w:right w:val="nil"/>
            </w:tcBorders>
            <w:shd w:val="clear" w:color="000000" w:fill="FFFFFF"/>
            <w:noWrap/>
            <w:vAlign w:val="bottom"/>
            <w:hideMark/>
          </w:tcPr>
          <w:p w14:paraId="720AD86B"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0.236</w:t>
            </w:r>
          </w:p>
        </w:tc>
      </w:tr>
      <w:tr w:rsidR="00FE33A1" w:rsidRPr="000F4DE4" w14:paraId="5CB7BCFC" w14:textId="77777777" w:rsidTr="00FE33A1">
        <w:trPr>
          <w:trHeight w:val="290"/>
        </w:trPr>
        <w:tc>
          <w:tcPr>
            <w:tcW w:w="1499" w:type="pct"/>
            <w:vMerge w:val="restart"/>
            <w:tcBorders>
              <w:left w:val="nil"/>
              <w:bottom w:val="single" w:sz="4" w:space="0" w:color="auto"/>
              <w:right w:val="nil"/>
            </w:tcBorders>
            <w:shd w:val="clear" w:color="000000" w:fill="FFFFFF"/>
            <w:noWrap/>
            <w:vAlign w:val="center"/>
            <w:hideMark/>
          </w:tcPr>
          <w:p w14:paraId="761BDC99"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São Paulo</w:t>
            </w:r>
          </w:p>
        </w:tc>
        <w:tc>
          <w:tcPr>
            <w:tcW w:w="851" w:type="pct"/>
            <w:tcBorders>
              <w:top w:val="single" w:sz="4" w:space="0" w:color="auto"/>
              <w:left w:val="nil"/>
              <w:right w:val="nil"/>
            </w:tcBorders>
            <w:shd w:val="clear" w:color="000000" w:fill="FFFFFF"/>
            <w:noWrap/>
            <w:vAlign w:val="bottom"/>
            <w:hideMark/>
          </w:tcPr>
          <w:p w14:paraId="25EAC961"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Expansão</w:t>
            </w:r>
          </w:p>
        </w:tc>
        <w:tc>
          <w:tcPr>
            <w:tcW w:w="827" w:type="pct"/>
            <w:tcBorders>
              <w:top w:val="single" w:sz="4" w:space="0" w:color="auto"/>
              <w:left w:val="nil"/>
              <w:right w:val="nil"/>
            </w:tcBorders>
            <w:shd w:val="clear" w:color="000000" w:fill="FFFFFF"/>
            <w:vAlign w:val="bottom"/>
            <w:hideMark/>
          </w:tcPr>
          <w:p w14:paraId="3B3C4204"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4.375</w:t>
            </w:r>
          </w:p>
        </w:tc>
        <w:tc>
          <w:tcPr>
            <w:tcW w:w="926" w:type="pct"/>
            <w:tcBorders>
              <w:top w:val="single" w:sz="4" w:space="0" w:color="auto"/>
              <w:left w:val="nil"/>
              <w:right w:val="nil"/>
            </w:tcBorders>
            <w:shd w:val="clear" w:color="000000" w:fill="FFFFFF"/>
            <w:vAlign w:val="bottom"/>
            <w:hideMark/>
          </w:tcPr>
          <w:p w14:paraId="11BD5AA3"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1.395</w:t>
            </w:r>
          </w:p>
        </w:tc>
        <w:tc>
          <w:tcPr>
            <w:tcW w:w="897" w:type="pct"/>
            <w:tcBorders>
              <w:top w:val="single" w:sz="4" w:space="0" w:color="auto"/>
              <w:left w:val="nil"/>
              <w:right w:val="nil"/>
            </w:tcBorders>
            <w:shd w:val="clear" w:color="000000" w:fill="FFFFFF"/>
            <w:noWrap/>
            <w:vAlign w:val="bottom"/>
            <w:hideMark/>
          </w:tcPr>
          <w:p w14:paraId="284AE81F"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0.319</w:t>
            </w:r>
          </w:p>
        </w:tc>
      </w:tr>
      <w:tr w:rsidR="00FE33A1" w:rsidRPr="000F4DE4" w14:paraId="4C1B44EF" w14:textId="77777777" w:rsidTr="00FE33A1">
        <w:trPr>
          <w:trHeight w:val="290"/>
        </w:trPr>
        <w:tc>
          <w:tcPr>
            <w:tcW w:w="1499" w:type="pct"/>
            <w:vMerge/>
            <w:tcBorders>
              <w:left w:val="nil"/>
              <w:bottom w:val="single" w:sz="4" w:space="0" w:color="auto"/>
              <w:right w:val="nil"/>
            </w:tcBorders>
            <w:vAlign w:val="center"/>
            <w:hideMark/>
          </w:tcPr>
          <w:p w14:paraId="0FD9F394"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p>
        </w:tc>
        <w:tc>
          <w:tcPr>
            <w:tcW w:w="851" w:type="pct"/>
            <w:tcBorders>
              <w:left w:val="nil"/>
              <w:bottom w:val="single" w:sz="4" w:space="0" w:color="auto"/>
              <w:right w:val="nil"/>
            </w:tcBorders>
            <w:shd w:val="clear" w:color="000000" w:fill="FFFFFF"/>
            <w:noWrap/>
            <w:vAlign w:val="bottom"/>
            <w:hideMark/>
          </w:tcPr>
          <w:p w14:paraId="37623B0D"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Recessão</w:t>
            </w:r>
          </w:p>
        </w:tc>
        <w:tc>
          <w:tcPr>
            <w:tcW w:w="827" w:type="pct"/>
            <w:tcBorders>
              <w:left w:val="nil"/>
              <w:bottom w:val="single" w:sz="4" w:space="0" w:color="auto"/>
              <w:right w:val="nil"/>
            </w:tcBorders>
            <w:shd w:val="clear" w:color="000000" w:fill="FFFFFF"/>
            <w:vAlign w:val="bottom"/>
            <w:hideMark/>
          </w:tcPr>
          <w:p w14:paraId="4E8023BC"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3.875</w:t>
            </w:r>
          </w:p>
        </w:tc>
        <w:tc>
          <w:tcPr>
            <w:tcW w:w="926" w:type="pct"/>
            <w:tcBorders>
              <w:left w:val="nil"/>
              <w:bottom w:val="single" w:sz="4" w:space="0" w:color="auto"/>
              <w:right w:val="nil"/>
            </w:tcBorders>
            <w:shd w:val="clear" w:color="000000" w:fill="FFFFFF"/>
            <w:vAlign w:val="bottom"/>
            <w:hideMark/>
          </w:tcPr>
          <w:p w14:paraId="24E7BE1D"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1.446</w:t>
            </w:r>
          </w:p>
        </w:tc>
        <w:tc>
          <w:tcPr>
            <w:tcW w:w="897" w:type="pct"/>
            <w:tcBorders>
              <w:left w:val="nil"/>
              <w:bottom w:val="single" w:sz="4" w:space="0" w:color="auto"/>
              <w:right w:val="nil"/>
            </w:tcBorders>
            <w:shd w:val="clear" w:color="000000" w:fill="FFFFFF"/>
            <w:noWrap/>
            <w:vAlign w:val="bottom"/>
            <w:hideMark/>
          </w:tcPr>
          <w:p w14:paraId="697517B4" w14:textId="77777777" w:rsidR="00FE33A1" w:rsidRPr="000F4DE4" w:rsidRDefault="00FE33A1" w:rsidP="007B06A6">
            <w:pPr>
              <w:spacing w:line="240" w:lineRule="auto"/>
              <w:ind w:firstLine="0"/>
              <w:jc w:val="center"/>
              <w:rPr>
                <w:rFonts w:eastAsia="Times New Roman" w:cs="Times New Roman"/>
                <w:color w:val="000000"/>
                <w:sz w:val="20"/>
                <w:szCs w:val="20"/>
                <w:lang w:eastAsia="pt-BR"/>
              </w:rPr>
            </w:pPr>
            <w:r w:rsidRPr="000F4DE4">
              <w:rPr>
                <w:rFonts w:eastAsia="Times New Roman" w:cs="Times New Roman"/>
                <w:color w:val="000000"/>
                <w:sz w:val="20"/>
                <w:szCs w:val="20"/>
                <w:lang w:eastAsia="pt-BR"/>
              </w:rPr>
              <w:t>0.373</w:t>
            </w:r>
          </w:p>
        </w:tc>
      </w:tr>
    </w:tbl>
    <w:p w14:paraId="1BCA1BEF" w14:textId="2BC43B74" w:rsidR="005433CD" w:rsidRDefault="005433CD" w:rsidP="007B06A6">
      <w:pPr>
        <w:spacing w:line="240" w:lineRule="auto"/>
        <w:ind w:firstLine="0"/>
        <w:jc w:val="center"/>
        <w:rPr>
          <w:sz w:val="16"/>
          <w:szCs w:val="16"/>
        </w:rPr>
      </w:pPr>
      <w:r w:rsidRPr="00656BF8">
        <w:rPr>
          <w:sz w:val="16"/>
          <w:szCs w:val="16"/>
        </w:rPr>
        <w:t>Fonte: Elaborado pelo autor.</w:t>
      </w:r>
    </w:p>
    <w:p w14:paraId="5CAEC4E8" w14:textId="77777777" w:rsidR="007B06A6" w:rsidRPr="00656BF8" w:rsidRDefault="007B06A6" w:rsidP="005433CD">
      <w:pPr>
        <w:spacing w:line="240" w:lineRule="auto"/>
        <w:ind w:firstLine="0"/>
        <w:jc w:val="both"/>
        <w:rPr>
          <w:sz w:val="16"/>
          <w:szCs w:val="16"/>
        </w:rPr>
      </w:pPr>
    </w:p>
    <w:p w14:paraId="747ADCA1" w14:textId="4C8D2AD2" w:rsidR="007B06A6" w:rsidRDefault="007B06A6" w:rsidP="007B06A6">
      <w:pPr>
        <w:spacing w:line="240" w:lineRule="auto"/>
        <w:jc w:val="both"/>
      </w:pPr>
      <w:r>
        <w:t>No tocante ao</w:t>
      </w:r>
      <w:r w:rsidR="00F11CD1">
        <w:t>s</w:t>
      </w:r>
      <w:r>
        <w:t xml:space="preserve"> intervalos de recessão, os mesmos oscilaram entre 3.714 períodos (BA) e 5.833 períodos (PE), a região nordeste caracterizou-se por uma forte assimetria nos níveis médios de ciclos de depressão, enquanto a região sudeste e sul caracterizaram-se por fases de recessão mais homogêneas do ponto de vista intrarregional.</w:t>
      </w:r>
    </w:p>
    <w:p w14:paraId="29FAEB29" w14:textId="286EF16B" w:rsidR="005433CD" w:rsidRDefault="007B06A6" w:rsidP="005433CD">
      <w:pPr>
        <w:spacing w:line="240" w:lineRule="auto"/>
        <w:jc w:val="both"/>
      </w:pPr>
      <w:r>
        <w:t xml:space="preserve">Assim como no caso da duração média, os coeficientes de amplitude e inclinação das fases de expansão e recessão apresentaram um padrão homogêneo, na maioria dos casos, indicando que os estágios de crescimento e depressão nos ciclos são igualmente duradouros e severos. Do ponto de vista individual, os ciclos da Bahia e do Rio de Janeiro reportaram as menores taxas de amplitude e inclinação, o que sugere </w:t>
      </w:r>
      <w:r>
        <w:lastRenderedPageBreak/>
        <w:t>uma trajetória estável nas suas respectivas flutuações. Já a região sul apresentou magnitudes superiores em ambas as medidas, indicando uma forte volatilidade nos ciclos de crescimento</w:t>
      </w:r>
    </w:p>
    <w:p w14:paraId="4330631F" w14:textId="77777777" w:rsidR="007B06A6" w:rsidRDefault="007B06A6" w:rsidP="005433CD">
      <w:pPr>
        <w:spacing w:line="240" w:lineRule="auto"/>
        <w:jc w:val="both"/>
      </w:pPr>
    </w:p>
    <w:p w14:paraId="1A1C472F" w14:textId="77777777" w:rsidR="005433CD" w:rsidRDefault="005433CD" w:rsidP="005433CD">
      <w:pPr>
        <w:pStyle w:val="Heading2"/>
      </w:pPr>
      <w:bookmarkStart w:id="19" w:name="_Toc502166302"/>
      <w:r>
        <w:t>Sincronização entre os Ciclos de Negócios</w:t>
      </w:r>
      <w:bookmarkEnd w:id="19"/>
    </w:p>
    <w:p w14:paraId="24C980BC" w14:textId="1631A8A8" w:rsidR="002750D3" w:rsidRDefault="005343DE" w:rsidP="005168D6">
      <w:pPr>
        <w:spacing w:line="240" w:lineRule="auto"/>
        <w:jc w:val="both"/>
        <w:rPr>
          <w:rFonts w:eastAsia="Times New Roman" w:cs="Times New Roman"/>
          <w:color w:val="000000"/>
          <w:szCs w:val="24"/>
          <w:lang w:eastAsia="pt-BR"/>
        </w:rPr>
      </w:pPr>
      <w:bookmarkStart w:id="20" w:name="_Hlk492268120"/>
      <w:r>
        <w:t xml:space="preserve">A respeito da relação dos componentes cíclicos entre os estados, a Tabela 4 reporta os coeficientes de correlação de </w:t>
      </w:r>
      <w:r>
        <w:rPr>
          <w:i/>
          <w:iCs/>
        </w:rPr>
        <w:t>pearson</w:t>
      </w:r>
      <w:r>
        <w:t xml:space="preserve"> </w:t>
      </w:r>
      <w:r w:rsidR="00915D28">
        <w:t xml:space="preserve">(abaixo da diagonal principal) e a estatística de concordância (acima da diagonal principal) proposta por Harding e Pagan (2003). </w:t>
      </w:r>
      <w:r w:rsidR="00813107">
        <w:t>Os coeficientes de correlação e de concordância foram estimados por GMM, no senti</w:t>
      </w:r>
      <w:r w:rsidR="00915D28">
        <w:t>d</w:t>
      </w:r>
      <w:r w:rsidR="00813107">
        <w:t>o</w:t>
      </w:r>
      <w:r w:rsidR="00915D28">
        <w:t xml:space="preserve"> tornar os erros padrões </w:t>
      </w:r>
      <w:r w:rsidR="00793FF3">
        <w:t>robustos</w:t>
      </w:r>
      <w:r w:rsidR="00915D28">
        <w:t xml:space="preserve"> a heteroscedasticidade e correlação serial (HACC)</w:t>
      </w:r>
      <w:r w:rsidR="00813107">
        <w:t>, todos os coeficientes foram estatisticamente significantes</w:t>
      </w:r>
      <w:r w:rsidR="00915D28">
        <w:t>.</w:t>
      </w:r>
      <w:r w:rsidR="00813107">
        <w:t xml:space="preserve"> Os resultados foram omitidos devido a limitação de espaço, mas podem ser enviados sobre requisição. </w:t>
      </w:r>
    </w:p>
    <w:bookmarkEnd w:id="20"/>
    <w:p w14:paraId="57E09852" w14:textId="77777777" w:rsidR="00947FDA" w:rsidRPr="00F4698A" w:rsidRDefault="00947FDA" w:rsidP="005433CD">
      <w:pPr>
        <w:autoSpaceDE w:val="0"/>
        <w:autoSpaceDN w:val="0"/>
        <w:adjustRightInd w:val="0"/>
        <w:spacing w:line="240" w:lineRule="auto"/>
        <w:ind w:firstLine="0"/>
        <w:rPr>
          <w:rFonts w:cs="Times New Roman"/>
          <w:sz w:val="20"/>
          <w:szCs w:val="20"/>
        </w:rPr>
      </w:pPr>
    </w:p>
    <w:p w14:paraId="30002137" w14:textId="55B419F2" w:rsidR="005433CD" w:rsidRPr="00F4698A" w:rsidRDefault="005433CD" w:rsidP="00656BF8">
      <w:pPr>
        <w:pStyle w:val="TituloTabela"/>
        <w:spacing w:line="240" w:lineRule="auto"/>
        <w:jc w:val="center"/>
      </w:pPr>
      <w:bookmarkStart w:id="21" w:name="_Toc496278369"/>
      <w:r>
        <w:t xml:space="preserve">Tabela </w:t>
      </w:r>
      <w:r w:rsidR="00947FDA">
        <w:t>8</w:t>
      </w:r>
      <w:r>
        <w:t>: Correlação entre os Ciclos da Atividade Industrial</w:t>
      </w:r>
      <w:bookmarkEnd w:id="21"/>
    </w:p>
    <w:tbl>
      <w:tblPr>
        <w:tblW w:w="5000" w:type="pct"/>
        <w:jc w:val="center"/>
        <w:tblCellMar>
          <w:left w:w="70" w:type="dxa"/>
          <w:right w:w="70" w:type="dxa"/>
        </w:tblCellMar>
        <w:tblLook w:val="04A0" w:firstRow="1" w:lastRow="0" w:firstColumn="1" w:lastColumn="0" w:noHBand="0" w:noVBand="1"/>
      </w:tblPr>
      <w:tblGrid>
        <w:gridCol w:w="1240"/>
        <w:gridCol w:w="747"/>
        <w:gridCol w:w="900"/>
        <w:gridCol w:w="747"/>
        <w:gridCol w:w="845"/>
        <w:gridCol w:w="747"/>
        <w:gridCol w:w="747"/>
        <w:gridCol w:w="747"/>
        <w:gridCol w:w="747"/>
        <w:gridCol w:w="748"/>
        <w:gridCol w:w="749"/>
        <w:gridCol w:w="1240"/>
      </w:tblGrid>
      <w:tr w:rsidR="005343DE" w:rsidRPr="005343DE" w14:paraId="16FCFA3B" w14:textId="77777777" w:rsidTr="005343DE">
        <w:trPr>
          <w:trHeight w:val="290"/>
          <w:jc w:val="center"/>
        </w:trPr>
        <w:tc>
          <w:tcPr>
            <w:tcW w:w="388" w:type="pct"/>
            <w:tcBorders>
              <w:top w:val="single" w:sz="4" w:space="0" w:color="auto"/>
              <w:left w:val="nil"/>
              <w:bottom w:val="single" w:sz="4" w:space="0" w:color="auto"/>
              <w:right w:val="single" w:sz="4" w:space="0" w:color="auto"/>
            </w:tcBorders>
            <w:shd w:val="clear" w:color="auto" w:fill="auto"/>
            <w:noWrap/>
            <w:vAlign w:val="bottom"/>
            <w:hideMark/>
          </w:tcPr>
          <w:p w14:paraId="311A3884" w14:textId="45B3C976" w:rsidR="005343DE" w:rsidRPr="005343DE" w:rsidRDefault="005343DE" w:rsidP="005343DE">
            <w:pPr>
              <w:spacing w:line="240" w:lineRule="auto"/>
              <w:ind w:firstLine="0"/>
              <w:jc w:val="center"/>
              <w:rPr>
                <w:rFonts w:eastAsia="Times New Roman" w:cs="Times New Roman"/>
                <w:color w:val="000000"/>
                <w:sz w:val="20"/>
                <w:szCs w:val="20"/>
                <w:lang w:eastAsia="pt-BR"/>
              </w:rPr>
            </w:pPr>
          </w:p>
        </w:tc>
        <w:tc>
          <w:tcPr>
            <w:tcW w:w="388" w:type="pct"/>
            <w:tcBorders>
              <w:top w:val="single" w:sz="4" w:space="0" w:color="auto"/>
              <w:left w:val="single" w:sz="4" w:space="0" w:color="auto"/>
              <w:bottom w:val="single" w:sz="4" w:space="0" w:color="auto"/>
              <w:right w:val="nil"/>
            </w:tcBorders>
            <w:shd w:val="clear" w:color="auto" w:fill="auto"/>
            <w:noWrap/>
            <w:vAlign w:val="bottom"/>
            <w:hideMark/>
          </w:tcPr>
          <w:p w14:paraId="55F6F931"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BA</w:t>
            </w:r>
          </w:p>
        </w:tc>
        <w:tc>
          <w:tcPr>
            <w:tcW w:w="463" w:type="pct"/>
            <w:tcBorders>
              <w:top w:val="single" w:sz="4" w:space="0" w:color="auto"/>
              <w:left w:val="nil"/>
              <w:bottom w:val="single" w:sz="4" w:space="0" w:color="auto"/>
              <w:right w:val="nil"/>
            </w:tcBorders>
            <w:shd w:val="clear" w:color="auto" w:fill="auto"/>
            <w:noWrap/>
            <w:vAlign w:val="bottom"/>
            <w:hideMark/>
          </w:tcPr>
          <w:p w14:paraId="7EC2B373"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CE</w:t>
            </w:r>
          </w:p>
        </w:tc>
        <w:tc>
          <w:tcPr>
            <w:tcW w:w="388" w:type="pct"/>
            <w:tcBorders>
              <w:top w:val="single" w:sz="4" w:space="0" w:color="auto"/>
              <w:left w:val="nil"/>
              <w:bottom w:val="single" w:sz="4" w:space="0" w:color="auto"/>
              <w:right w:val="single" w:sz="4" w:space="0" w:color="auto"/>
            </w:tcBorders>
            <w:shd w:val="clear" w:color="auto" w:fill="auto"/>
            <w:noWrap/>
            <w:vAlign w:val="bottom"/>
            <w:hideMark/>
          </w:tcPr>
          <w:p w14:paraId="0E6B3D23"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PE</w:t>
            </w:r>
          </w:p>
        </w:tc>
        <w:tc>
          <w:tcPr>
            <w:tcW w:w="436" w:type="pct"/>
            <w:tcBorders>
              <w:top w:val="single" w:sz="4" w:space="0" w:color="auto"/>
              <w:left w:val="single" w:sz="4" w:space="0" w:color="auto"/>
              <w:bottom w:val="single" w:sz="4" w:space="0" w:color="auto"/>
              <w:right w:val="nil"/>
            </w:tcBorders>
            <w:shd w:val="clear" w:color="auto" w:fill="auto"/>
            <w:noWrap/>
            <w:vAlign w:val="bottom"/>
            <w:hideMark/>
          </w:tcPr>
          <w:p w14:paraId="43153305"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PR</w:t>
            </w:r>
          </w:p>
        </w:tc>
        <w:tc>
          <w:tcPr>
            <w:tcW w:w="388" w:type="pct"/>
            <w:tcBorders>
              <w:top w:val="single" w:sz="4" w:space="0" w:color="auto"/>
              <w:left w:val="nil"/>
              <w:bottom w:val="single" w:sz="4" w:space="0" w:color="auto"/>
              <w:right w:val="nil"/>
            </w:tcBorders>
            <w:shd w:val="clear" w:color="auto" w:fill="auto"/>
            <w:noWrap/>
            <w:vAlign w:val="bottom"/>
            <w:hideMark/>
          </w:tcPr>
          <w:p w14:paraId="1F530F59"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RS</w:t>
            </w:r>
          </w:p>
        </w:tc>
        <w:tc>
          <w:tcPr>
            <w:tcW w:w="388" w:type="pct"/>
            <w:tcBorders>
              <w:top w:val="single" w:sz="4" w:space="0" w:color="auto"/>
              <w:left w:val="nil"/>
              <w:bottom w:val="single" w:sz="4" w:space="0" w:color="auto"/>
              <w:right w:val="single" w:sz="4" w:space="0" w:color="auto"/>
            </w:tcBorders>
            <w:shd w:val="clear" w:color="auto" w:fill="auto"/>
            <w:noWrap/>
            <w:vAlign w:val="bottom"/>
            <w:hideMark/>
          </w:tcPr>
          <w:p w14:paraId="50809C94"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SC</w:t>
            </w:r>
          </w:p>
        </w:tc>
        <w:tc>
          <w:tcPr>
            <w:tcW w:w="388" w:type="pct"/>
            <w:tcBorders>
              <w:top w:val="single" w:sz="4" w:space="0" w:color="auto"/>
              <w:left w:val="single" w:sz="4" w:space="0" w:color="auto"/>
              <w:bottom w:val="single" w:sz="4" w:space="0" w:color="auto"/>
              <w:right w:val="nil"/>
            </w:tcBorders>
            <w:shd w:val="clear" w:color="auto" w:fill="auto"/>
            <w:noWrap/>
            <w:vAlign w:val="bottom"/>
            <w:hideMark/>
          </w:tcPr>
          <w:p w14:paraId="7103AC09"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MG</w:t>
            </w:r>
          </w:p>
        </w:tc>
        <w:tc>
          <w:tcPr>
            <w:tcW w:w="388" w:type="pct"/>
            <w:tcBorders>
              <w:top w:val="single" w:sz="4" w:space="0" w:color="auto"/>
              <w:left w:val="nil"/>
              <w:bottom w:val="single" w:sz="4" w:space="0" w:color="auto"/>
              <w:right w:val="nil"/>
            </w:tcBorders>
            <w:shd w:val="clear" w:color="auto" w:fill="auto"/>
            <w:noWrap/>
            <w:vAlign w:val="bottom"/>
            <w:hideMark/>
          </w:tcPr>
          <w:p w14:paraId="34EBC00B"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RJ</w:t>
            </w:r>
          </w:p>
        </w:tc>
        <w:tc>
          <w:tcPr>
            <w:tcW w:w="388" w:type="pct"/>
            <w:tcBorders>
              <w:top w:val="single" w:sz="4" w:space="0" w:color="auto"/>
              <w:left w:val="nil"/>
              <w:bottom w:val="single" w:sz="4" w:space="0" w:color="auto"/>
              <w:right w:val="single" w:sz="4" w:space="0" w:color="auto"/>
            </w:tcBorders>
            <w:shd w:val="clear" w:color="auto" w:fill="auto"/>
            <w:noWrap/>
            <w:vAlign w:val="bottom"/>
            <w:hideMark/>
          </w:tcPr>
          <w:p w14:paraId="533339B1"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SP</w:t>
            </w:r>
          </w:p>
        </w:tc>
        <w:tc>
          <w:tcPr>
            <w:tcW w:w="38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391104"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Média</w:t>
            </w:r>
          </w:p>
        </w:tc>
        <w:tc>
          <w:tcPr>
            <w:tcW w:w="608" w:type="pct"/>
            <w:tcBorders>
              <w:top w:val="single" w:sz="4" w:space="0" w:color="auto"/>
              <w:left w:val="single" w:sz="4" w:space="0" w:color="auto"/>
              <w:bottom w:val="single" w:sz="4" w:space="0" w:color="auto"/>
            </w:tcBorders>
            <w:shd w:val="clear" w:color="auto" w:fill="auto"/>
            <w:noWrap/>
            <w:vAlign w:val="bottom"/>
            <w:hideMark/>
          </w:tcPr>
          <w:p w14:paraId="7B4EBEDC"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Intrarregional</w:t>
            </w:r>
          </w:p>
        </w:tc>
      </w:tr>
      <w:tr w:rsidR="005343DE" w:rsidRPr="005343DE" w14:paraId="1304BCC1" w14:textId="77777777" w:rsidTr="005343DE">
        <w:trPr>
          <w:trHeight w:val="290"/>
          <w:jc w:val="center"/>
        </w:trPr>
        <w:tc>
          <w:tcPr>
            <w:tcW w:w="388" w:type="pct"/>
            <w:tcBorders>
              <w:top w:val="single" w:sz="4" w:space="0" w:color="auto"/>
              <w:left w:val="nil"/>
              <w:bottom w:val="nil"/>
              <w:right w:val="single" w:sz="4" w:space="0" w:color="auto"/>
            </w:tcBorders>
            <w:shd w:val="clear" w:color="auto" w:fill="auto"/>
            <w:noWrap/>
            <w:vAlign w:val="bottom"/>
            <w:hideMark/>
          </w:tcPr>
          <w:p w14:paraId="02186A1A"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BA</w:t>
            </w:r>
          </w:p>
        </w:tc>
        <w:tc>
          <w:tcPr>
            <w:tcW w:w="388" w:type="pct"/>
            <w:tcBorders>
              <w:top w:val="single" w:sz="4" w:space="0" w:color="auto"/>
              <w:left w:val="single" w:sz="4" w:space="0" w:color="auto"/>
              <w:bottom w:val="nil"/>
              <w:right w:val="nil"/>
            </w:tcBorders>
            <w:shd w:val="clear" w:color="auto" w:fill="auto"/>
            <w:noWrap/>
            <w:vAlign w:val="bottom"/>
            <w:hideMark/>
          </w:tcPr>
          <w:p w14:paraId="7DAB118D"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p>
        </w:tc>
        <w:tc>
          <w:tcPr>
            <w:tcW w:w="463" w:type="pct"/>
            <w:tcBorders>
              <w:top w:val="single" w:sz="4" w:space="0" w:color="auto"/>
              <w:left w:val="nil"/>
              <w:bottom w:val="nil"/>
              <w:right w:val="nil"/>
            </w:tcBorders>
            <w:shd w:val="clear" w:color="auto" w:fill="auto"/>
            <w:vAlign w:val="bottom"/>
            <w:hideMark/>
          </w:tcPr>
          <w:p w14:paraId="26CD5193"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0.701</w:t>
            </w:r>
          </w:p>
        </w:tc>
        <w:tc>
          <w:tcPr>
            <w:tcW w:w="388" w:type="pct"/>
            <w:tcBorders>
              <w:top w:val="single" w:sz="4" w:space="0" w:color="auto"/>
              <w:left w:val="nil"/>
              <w:bottom w:val="nil"/>
              <w:right w:val="single" w:sz="4" w:space="0" w:color="auto"/>
            </w:tcBorders>
            <w:shd w:val="clear" w:color="auto" w:fill="auto"/>
            <w:vAlign w:val="bottom"/>
            <w:hideMark/>
          </w:tcPr>
          <w:p w14:paraId="2DBF4ED8"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0.753</w:t>
            </w:r>
          </w:p>
        </w:tc>
        <w:tc>
          <w:tcPr>
            <w:tcW w:w="436" w:type="pct"/>
            <w:tcBorders>
              <w:top w:val="single" w:sz="4" w:space="0" w:color="auto"/>
              <w:left w:val="single" w:sz="4" w:space="0" w:color="auto"/>
              <w:bottom w:val="nil"/>
              <w:right w:val="nil"/>
            </w:tcBorders>
            <w:shd w:val="clear" w:color="auto" w:fill="auto"/>
            <w:vAlign w:val="bottom"/>
            <w:hideMark/>
          </w:tcPr>
          <w:p w14:paraId="1F40712A"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0.727</w:t>
            </w:r>
          </w:p>
        </w:tc>
        <w:tc>
          <w:tcPr>
            <w:tcW w:w="388" w:type="pct"/>
            <w:tcBorders>
              <w:top w:val="single" w:sz="4" w:space="0" w:color="auto"/>
              <w:left w:val="nil"/>
              <w:bottom w:val="nil"/>
              <w:right w:val="nil"/>
            </w:tcBorders>
            <w:shd w:val="clear" w:color="auto" w:fill="auto"/>
            <w:vAlign w:val="bottom"/>
            <w:hideMark/>
          </w:tcPr>
          <w:p w14:paraId="064210AF"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0.740</w:t>
            </w:r>
          </w:p>
        </w:tc>
        <w:tc>
          <w:tcPr>
            <w:tcW w:w="388" w:type="pct"/>
            <w:tcBorders>
              <w:top w:val="single" w:sz="4" w:space="0" w:color="auto"/>
              <w:left w:val="nil"/>
              <w:bottom w:val="nil"/>
              <w:right w:val="single" w:sz="4" w:space="0" w:color="auto"/>
            </w:tcBorders>
            <w:shd w:val="clear" w:color="auto" w:fill="auto"/>
            <w:vAlign w:val="bottom"/>
            <w:hideMark/>
          </w:tcPr>
          <w:p w14:paraId="2F86B46F"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0.766</w:t>
            </w:r>
          </w:p>
        </w:tc>
        <w:tc>
          <w:tcPr>
            <w:tcW w:w="388" w:type="pct"/>
            <w:tcBorders>
              <w:top w:val="single" w:sz="4" w:space="0" w:color="auto"/>
              <w:left w:val="single" w:sz="4" w:space="0" w:color="auto"/>
              <w:bottom w:val="nil"/>
              <w:right w:val="nil"/>
            </w:tcBorders>
            <w:shd w:val="clear" w:color="auto" w:fill="auto"/>
            <w:vAlign w:val="bottom"/>
            <w:hideMark/>
          </w:tcPr>
          <w:p w14:paraId="5DC4DC44"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0.818</w:t>
            </w:r>
          </w:p>
        </w:tc>
        <w:tc>
          <w:tcPr>
            <w:tcW w:w="388" w:type="pct"/>
            <w:tcBorders>
              <w:top w:val="single" w:sz="4" w:space="0" w:color="auto"/>
              <w:left w:val="nil"/>
              <w:bottom w:val="nil"/>
              <w:right w:val="nil"/>
            </w:tcBorders>
            <w:shd w:val="clear" w:color="auto" w:fill="auto"/>
            <w:vAlign w:val="bottom"/>
            <w:hideMark/>
          </w:tcPr>
          <w:p w14:paraId="644303A7"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0.779</w:t>
            </w:r>
          </w:p>
        </w:tc>
        <w:tc>
          <w:tcPr>
            <w:tcW w:w="388" w:type="pct"/>
            <w:tcBorders>
              <w:top w:val="single" w:sz="4" w:space="0" w:color="auto"/>
              <w:left w:val="nil"/>
              <w:bottom w:val="nil"/>
              <w:right w:val="single" w:sz="4" w:space="0" w:color="auto"/>
            </w:tcBorders>
            <w:shd w:val="clear" w:color="auto" w:fill="auto"/>
            <w:vAlign w:val="bottom"/>
            <w:hideMark/>
          </w:tcPr>
          <w:p w14:paraId="79F00D88"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0.792</w:t>
            </w:r>
          </w:p>
        </w:tc>
        <w:tc>
          <w:tcPr>
            <w:tcW w:w="388" w:type="pct"/>
            <w:tcBorders>
              <w:top w:val="single" w:sz="4" w:space="0" w:color="auto"/>
              <w:left w:val="single" w:sz="4" w:space="0" w:color="auto"/>
              <w:bottom w:val="nil"/>
              <w:right w:val="single" w:sz="4" w:space="0" w:color="auto"/>
            </w:tcBorders>
            <w:shd w:val="clear" w:color="auto" w:fill="auto"/>
            <w:noWrap/>
            <w:vAlign w:val="bottom"/>
            <w:hideMark/>
          </w:tcPr>
          <w:p w14:paraId="094421E1"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0.760</w:t>
            </w:r>
          </w:p>
        </w:tc>
        <w:tc>
          <w:tcPr>
            <w:tcW w:w="608" w:type="pct"/>
            <w:tcBorders>
              <w:top w:val="single" w:sz="4" w:space="0" w:color="auto"/>
              <w:left w:val="single" w:sz="4" w:space="0" w:color="auto"/>
              <w:bottom w:val="nil"/>
              <w:right w:val="nil"/>
            </w:tcBorders>
            <w:shd w:val="clear" w:color="auto" w:fill="auto"/>
            <w:noWrap/>
            <w:vAlign w:val="bottom"/>
            <w:hideMark/>
          </w:tcPr>
          <w:p w14:paraId="15D477CD"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p>
        </w:tc>
      </w:tr>
      <w:tr w:rsidR="005343DE" w:rsidRPr="005343DE" w14:paraId="6A52B10A" w14:textId="77777777" w:rsidTr="005343DE">
        <w:trPr>
          <w:trHeight w:val="290"/>
          <w:jc w:val="center"/>
        </w:trPr>
        <w:tc>
          <w:tcPr>
            <w:tcW w:w="388" w:type="pct"/>
            <w:tcBorders>
              <w:top w:val="nil"/>
              <w:left w:val="nil"/>
              <w:bottom w:val="nil"/>
              <w:right w:val="single" w:sz="4" w:space="0" w:color="auto"/>
            </w:tcBorders>
            <w:shd w:val="clear" w:color="auto" w:fill="auto"/>
            <w:noWrap/>
            <w:vAlign w:val="bottom"/>
            <w:hideMark/>
          </w:tcPr>
          <w:p w14:paraId="37CA0451"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CE</w:t>
            </w:r>
          </w:p>
        </w:tc>
        <w:tc>
          <w:tcPr>
            <w:tcW w:w="388" w:type="pct"/>
            <w:tcBorders>
              <w:top w:val="nil"/>
              <w:left w:val="single" w:sz="4" w:space="0" w:color="auto"/>
              <w:bottom w:val="nil"/>
              <w:right w:val="nil"/>
            </w:tcBorders>
            <w:shd w:val="clear" w:color="auto" w:fill="auto"/>
            <w:vAlign w:val="bottom"/>
            <w:hideMark/>
          </w:tcPr>
          <w:p w14:paraId="5C1466D9"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0.745</w:t>
            </w:r>
          </w:p>
        </w:tc>
        <w:tc>
          <w:tcPr>
            <w:tcW w:w="463" w:type="pct"/>
            <w:tcBorders>
              <w:top w:val="nil"/>
              <w:left w:val="nil"/>
              <w:bottom w:val="nil"/>
              <w:right w:val="nil"/>
            </w:tcBorders>
            <w:shd w:val="clear" w:color="auto" w:fill="auto"/>
            <w:noWrap/>
            <w:vAlign w:val="bottom"/>
            <w:hideMark/>
          </w:tcPr>
          <w:p w14:paraId="15BA815B"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p>
        </w:tc>
        <w:tc>
          <w:tcPr>
            <w:tcW w:w="388" w:type="pct"/>
            <w:tcBorders>
              <w:top w:val="nil"/>
              <w:left w:val="nil"/>
              <w:bottom w:val="nil"/>
              <w:right w:val="single" w:sz="4" w:space="0" w:color="auto"/>
            </w:tcBorders>
            <w:shd w:val="clear" w:color="auto" w:fill="auto"/>
            <w:vAlign w:val="bottom"/>
            <w:hideMark/>
          </w:tcPr>
          <w:p w14:paraId="2F013077"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0.662</w:t>
            </w:r>
          </w:p>
        </w:tc>
        <w:tc>
          <w:tcPr>
            <w:tcW w:w="436" w:type="pct"/>
            <w:tcBorders>
              <w:top w:val="nil"/>
              <w:left w:val="single" w:sz="4" w:space="0" w:color="auto"/>
              <w:bottom w:val="nil"/>
              <w:right w:val="nil"/>
            </w:tcBorders>
            <w:shd w:val="clear" w:color="auto" w:fill="auto"/>
            <w:vAlign w:val="bottom"/>
            <w:hideMark/>
          </w:tcPr>
          <w:p w14:paraId="5BAD05BE"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0.870</w:t>
            </w:r>
          </w:p>
        </w:tc>
        <w:tc>
          <w:tcPr>
            <w:tcW w:w="388" w:type="pct"/>
            <w:tcBorders>
              <w:top w:val="nil"/>
              <w:left w:val="nil"/>
              <w:bottom w:val="nil"/>
              <w:right w:val="nil"/>
            </w:tcBorders>
            <w:shd w:val="clear" w:color="auto" w:fill="auto"/>
            <w:vAlign w:val="bottom"/>
            <w:hideMark/>
          </w:tcPr>
          <w:p w14:paraId="17C232ED"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0.831</w:t>
            </w:r>
          </w:p>
        </w:tc>
        <w:tc>
          <w:tcPr>
            <w:tcW w:w="388" w:type="pct"/>
            <w:tcBorders>
              <w:top w:val="nil"/>
              <w:left w:val="nil"/>
              <w:bottom w:val="nil"/>
              <w:right w:val="single" w:sz="4" w:space="0" w:color="auto"/>
            </w:tcBorders>
            <w:shd w:val="clear" w:color="auto" w:fill="auto"/>
            <w:vAlign w:val="bottom"/>
            <w:hideMark/>
          </w:tcPr>
          <w:p w14:paraId="10286CF7"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0.883</w:t>
            </w:r>
          </w:p>
        </w:tc>
        <w:tc>
          <w:tcPr>
            <w:tcW w:w="388" w:type="pct"/>
            <w:tcBorders>
              <w:top w:val="nil"/>
              <w:left w:val="single" w:sz="4" w:space="0" w:color="auto"/>
              <w:bottom w:val="nil"/>
              <w:right w:val="nil"/>
            </w:tcBorders>
            <w:shd w:val="clear" w:color="auto" w:fill="auto"/>
            <w:vAlign w:val="bottom"/>
            <w:hideMark/>
          </w:tcPr>
          <w:p w14:paraId="79E9026A"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0.831</w:t>
            </w:r>
          </w:p>
        </w:tc>
        <w:tc>
          <w:tcPr>
            <w:tcW w:w="388" w:type="pct"/>
            <w:tcBorders>
              <w:top w:val="nil"/>
              <w:left w:val="nil"/>
              <w:bottom w:val="nil"/>
              <w:right w:val="nil"/>
            </w:tcBorders>
            <w:shd w:val="clear" w:color="auto" w:fill="auto"/>
            <w:vAlign w:val="bottom"/>
            <w:hideMark/>
          </w:tcPr>
          <w:p w14:paraId="7B0E8FAB"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0.714</w:t>
            </w:r>
          </w:p>
        </w:tc>
        <w:tc>
          <w:tcPr>
            <w:tcW w:w="388" w:type="pct"/>
            <w:tcBorders>
              <w:top w:val="nil"/>
              <w:left w:val="nil"/>
              <w:bottom w:val="nil"/>
              <w:right w:val="single" w:sz="4" w:space="0" w:color="auto"/>
            </w:tcBorders>
            <w:shd w:val="clear" w:color="auto" w:fill="auto"/>
            <w:vAlign w:val="bottom"/>
            <w:hideMark/>
          </w:tcPr>
          <w:p w14:paraId="78AA9A5D"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0.857</w:t>
            </w:r>
          </w:p>
        </w:tc>
        <w:tc>
          <w:tcPr>
            <w:tcW w:w="388" w:type="pct"/>
            <w:tcBorders>
              <w:top w:val="nil"/>
              <w:left w:val="single" w:sz="4" w:space="0" w:color="auto"/>
              <w:bottom w:val="nil"/>
              <w:right w:val="single" w:sz="4" w:space="0" w:color="auto"/>
            </w:tcBorders>
            <w:shd w:val="clear" w:color="auto" w:fill="auto"/>
            <w:noWrap/>
            <w:vAlign w:val="bottom"/>
            <w:hideMark/>
          </w:tcPr>
          <w:p w14:paraId="43F0DCBE"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0.794</w:t>
            </w:r>
          </w:p>
        </w:tc>
        <w:tc>
          <w:tcPr>
            <w:tcW w:w="608" w:type="pct"/>
            <w:tcBorders>
              <w:top w:val="nil"/>
              <w:left w:val="single" w:sz="4" w:space="0" w:color="auto"/>
              <w:bottom w:val="nil"/>
              <w:right w:val="nil"/>
            </w:tcBorders>
            <w:shd w:val="clear" w:color="auto" w:fill="auto"/>
            <w:noWrap/>
            <w:vAlign w:val="bottom"/>
            <w:hideMark/>
          </w:tcPr>
          <w:p w14:paraId="0A5141B7"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0.706</w:t>
            </w:r>
          </w:p>
        </w:tc>
      </w:tr>
      <w:tr w:rsidR="005343DE" w:rsidRPr="005343DE" w14:paraId="7612C887" w14:textId="77777777" w:rsidTr="005343DE">
        <w:trPr>
          <w:trHeight w:val="290"/>
          <w:jc w:val="center"/>
        </w:trPr>
        <w:tc>
          <w:tcPr>
            <w:tcW w:w="388" w:type="pct"/>
            <w:tcBorders>
              <w:top w:val="nil"/>
              <w:left w:val="nil"/>
              <w:bottom w:val="single" w:sz="4" w:space="0" w:color="auto"/>
              <w:right w:val="single" w:sz="4" w:space="0" w:color="auto"/>
            </w:tcBorders>
            <w:shd w:val="clear" w:color="auto" w:fill="auto"/>
            <w:noWrap/>
            <w:vAlign w:val="bottom"/>
            <w:hideMark/>
          </w:tcPr>
          <w:p w14:paraId="015EC93E"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PE</w:t>
            </w:r>
          </w:p>
        </w:tc>
        <w:tc>
          <w:tcPr>
            <w:tcW w:w="388" w:type="pct"/>
            <w:tcBorders>
              <w:top w:val="nil"/>
              <w:left w:val="single" w:sz="4" w:space="0" w:color="auto"/>
              <w:bottom w:val="single" w:sz="4" w:space="0" w:color="auto"/>
              <w:right w:val="nil"/>
            </w:tcBorders>
            <w:shd w:val="clear" w:color="auto" w:fill="auto"/>
            <w:vAlign w:val="bottom"/>
            <w:hideMark/>
          </w:tcPr>
          <w:p w14:paraId="2C5B05A0"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0.784</w:t>
            </w:r>
          </w:p>
        </w:tc>
        <w:tc>
          <w:tcPr>
            <w:tcW w:w="463" w:type="pct"/>
            <w:tcBorders>
              <w:top w:val="nil"/>
              <w:left w:val="nil"/>
              <w:bottom w:val="single" w:sz="4" w:space="0" w:color="auto"/>
              <w:right w:val="nil"/>
            </w:tcBorders>
            <w:shd w:val="clear" w:color="auto" w:fill="auto"/>
            <w:vAlign w:val="bottom"/>
            <w:hideMark/>
          </w:tcPr>
          <w:p w14:paraId="3AF38426"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0.574</w:t>
            </w:r>
          </w:p>
        </w:tc>
        <w:tc>
          <w:tcPr>
            <w:tcW w:w="388" w:type="pct"/>
            <w:tcBorders>
              <w:top w:val="nil"/>
              <w:left w:val="nil"/>
              <w:bottom w:val="single" w:sz="4" w:space="0" w:color="auto"/>
              <w:right w:val="single" w:sz="4" w:space="0" w:color="auto"/>
            </w:tcBorders>
            <w:shd w:val="clear" w:color="auto" w:fill="auto"/>
            <w:noWrap/>
            <w:vAlign w:val="bottom"/>
            <w:hideMark/>
          </w:tcPr>
          <w:p w14:paraId="2B216D8D"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p>
        </w:tc>
        <w:tc>
          <w:tcPr>
            <w:tcW w:w="436" w:type="pct"/>
            <w:tcBorders>
              <w:top w:val="nil"/>
              <w:left w:val="single" w:sz="4" w:space="0" w:color="auto"/>
              <w:bottom w:val="single" w:sz="4" w:space="0" w:color="auto"/>
              <w:right w:val="nil"/>
            </w:tcBorders>
            <w:shd w:val="clear" w:color="auto" w:fill="auto"/>
            <w:vAlign w:val="bottom"/>
            <w:hideMark/>
          </w:tcPr>
          <w:p w14:paraId="3C747DCF"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0.662</w:t>
            </w:r>
          </w:p>
        </w:tc>
        <w:tc>
          <w:tcPr>
            <w:tcW w:w="388" w:type="pct"/>
            <w:tcBorders>
              <w:top w:val="nil"/>
              <w:left w:val="nil"/>
              <w:bottom w:val="single" w:sz="4" w:space="0" w:color="auto"/>
              <w:right w:val="nil"/>
            </w:tcBorders>
            <w:shd w:val="clear" w:color="auto" w:fill="auto"/>
            <w:vAlign w:val="bottom"/>
            <w:hideMark/>
          </w:tcPr>
          <w:p w14:paraId="5C0B41E5"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0.675</w:t>
            </w:r>
          </w:p>
        </w:tc>
        <w:tc>
          <w:tcPr>
            <w:tcW w:w="388" w:type="pct"/>
            <w:tcBorders>
              <w:top w:val="nil"/>
              <w:left w:val="nil"/>
              <w:bottom w:val="single" w:sz="4" w:space="0" w:color="auto"/>
              <w:right w:val="single" w:sz="4" w:space="0" w:color="auto"/>
            </w:tcBorders>
            <w:shd w:val="clear" w:color="auto" w:fill="auto"/>
            <w:vAlign w:val="bottom"/>
            <w:hideMark/>
          </w:tcPr>
          <w:p w14:paraId="36EBC3E9"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0.727</w:t>
            </w:r>
          </w:p>
        </w:tc>
        <w:tc>
          <w:tcPr>
            <w:tcW w:w="388" w:type="pct"/>
            <w:tcBorders>
              <w:top w:val="nil"/>
              <w:left w:val="single" w:sz="4" w:space="0" w:color="auto"/>
              <w:bottom w:val="single" w:sz="4" w:space="0" w:color="auto"/>
              <w:right w:val="nil"/>
            </w:tcBorders>
            <w:shd w:val="clear" w:color="auto" w:fill="auto"/>
            <w:vAlign w:val="bottom"/>
            <w:hideMark/>
          </w:tcPr>
          <w:p w14:paraId="0DC793B2"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0.675</w:t>
            </w:r>
          </w:p>
        </w:tc>
        <w:tc>
          <w:tcPr>
            <w:tcW w:w="388" w:type="pct"/>
            <w:tcBorders>
              <w:top w:val="nil"/>
              <w:left w:val="nil"/>
              <w:bottom w:val="single" w:sz="4" w:space="0" w:color="auto"/>
              <w:right w:val="nil"/>
            </w:tcBorders>
            <w:shd w:val="clear" w:color="auto" w:fill="auto"/>
            <w:vAlign w:val="bottom"/>
            <w:hideMark/>
          </w:tcPr>
          <w:p w14:paraId="3C79C32B"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0.714</w:t>
            </w:r>
          </w:p>
        </w:tc>
        <w:tc>
          <w:tcPr>
            <w:tcW w:w="388" w:type="pct"/>
            <w:tcBorders>
              <w:top w:val="nil"/>
              <w:left w:val="nil"/>
              <w:bottom w:val="single" w:sz="4" w:space="0" w:color="auto"/>
              <w:right w:val="single" w:sz="4" w:space="0" w:color="auto"/>
            </w:tcBorders>
            <w:shd w:val="clear" w:color="auto" w:fill="auto"/>
            <w:vAlign w:val="bottom"/>
            <w:hideMark/>
          </w:tcPr>
          <w:p w14:paraId="2641289B"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0.675</w:t>
            </w:r>
          </w:p>
        </w:tc>
        <w:tc>
          <w:tcPr>
            <w:tcW w:w="388" w:type="pct"/>
            <w:tcBorders>
              <w:top w:val="nil"/>
              <w:left w:val="single" w:sz="4" w:space="0" w:color="auto"/>
              <w:bottom w:val="single" w:sz="4" w:space="0" w:color="auto"/>
              <w:right w:val="single" w:sz="4" w:space="0" w:color="auto"/>
            </w:tcBorders>
            <w:shd w:val="clear" w:color="auto" w:fill="auto"/>
            <w:noWrap/>
            <w:vAlign w:val="bottom"/>
            <w:hideMark/>
          </w:tcPr>
          <w:p w14:paraId="2CBF8FF0"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0.693</w:t>
            </w:r>
          </w:p>
        </w:tc>
        <w:tc>
          <w:tcPr>
            <w:tcW w:w="608" w:type="pct"/>
            <w:tcBorders>
              <w:top w:val="nil"/>
              <w:left w:val="single" w:sz="4" w:space="0" w:color="auto"/>
              <w:bottom w:val="single" w:sz="4" w:space="0" w:color="auto"/>
              <w:right w:val="nil"/>
            </w:tcBorders>
            <w:shd w:val="clear" w:color="auto" w:fill="auto"/>
            <w:noWrap/>
            <w:vAlign w:val="bottom"/>
            <w:hideMark/>
          </w:tcPr>
          <w:p w14:paraId="4C01A48E"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p>
        </w:tc>
      </w:tr>
      <w:tr w:rsidR="005343DE" w:rsidRPr="005343DE" w14:paraId="375C1395" w14:textId="77777777" w:rsidTr="005343DE">
        <w:trPr>
          <w:trHeight w:val="290"/>
          <w:jc w:val="center"/>
        </w:trPr>
        <w:tc>
          <w:tcPr>
            <w:tcW w:w="388" w:type="pct"/>
            <w:tcBorders>
              <w:top w:val="single" w:sz="4" w:space="0" w:color="auto"/>
              <w:left w:val="nil"/>
              <w:bottom w:val="nil"/>
              <w:right w:val="single" w:sz="4" w:space="0" w:color="auto"/>
            </w:tcBorders>
            <w:shd w:val="clear" w:color="auto" w:fill="auto"/>
            <w:noWrap/>
            <w:vAlign w:val="bottom"/>
            <w:hideMark/>
          </w:tcPr>
          <w:p w14:paraId="49A3E74B"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PR</w:t>
            </w:r>
          </w:p>
        </w:tc>
        <w:tc>
          <w:tcPr>
            <w:tcW w:w="388" w:type="pct"/>
            <w:tcBorders>
              <w:top w:val="single" w:sz="4" w:space="0" w:color="auto"/>
              <w:left w:val="single" w:sz="4" w:space="0" w:color="auto"/>
              <w:bottom w:val="nil"/>
              <w:right w:val="nil"/>
            </w:tcBorders>
            <w:shd w:val="clear" w:color="auto" w:fill="auto"/>
            <w:vAlign w:val="bottom"/>
            <w:hideMark/>
          </w:tcPr>
          <w:p w14:paraId="2FECF2A7"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0.803</w:t>
            </w:r>
          </w:p>
        </w:tc>
        <w:tc>
          <w:tcPr>
            <w:tcW w:w="463" w:type="pct"/>
            <w:tcBorders>
              <w:top w:val="single" w:sz="4" w:space="0" w:color="auto"/>
              <w:left w:val="nil"/>
              <w:bottom w:val="nil"/>
              <w:right w:val="nil"/>
            </w:tcBorders>
            <w:shd w:val="clear" w:color="auto" w:fill="auto"/>
            <w:vAlign w:val="bottom"/>
            <w:hideMark/>
          </w:tcPr>
          <w:p w14:paraId="3025B24E"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0.743</w:t>
            </w:r>
          </w:p>
        </w:tc>
        <w:tc>
          <w:tcPr>
            <w:tcW w:w="388" w:type="pct"/>
            <w:tcBorders>
              <w:top w:val="single" w:sz="4" w:space="0" w:color="auto"/>
              <w:left w:val="nil"/>
              <w:bottom w:val="nil"/>
              <w:right w:val="single" w:sz="4" w:space="0" w:color="auto"/>
            </w:tcBorders>
            <w:shd w:val="clear" w:color="auto" w:fill="auto"/>
            <w:vAlign w:val="bottom"/>
            <w:hideMark/>
          </w:tcPr>
          <w:p w14:paraId="313638AC"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0.710</w:t>
            </w:r>
          </w:p>
        </w:tc>
        <w:tc>
          <w:tcPr>
            <w:tcW w:w="436" w:type="pct"/>
            <w:tcBorders>
              <w:top w:val="single" w:sz="4" w:space="0" w:color="auto"/>
              <w:left w:val="single" w:sz="4" w:space="0" w:color="auto"/>
              <w:bottom w:val="nil"/>
              <w:right w:val="nil"/>
            </w:tcBorders>
            <w:shd w:val="clear" w:color="auto" w:fill="auto"/>
            <w:noWrap/>
            <w:vAlign w:val="bottom"/>
            <w:hideMark/>
          </w:tcPr>
          <w:p w14:paraId="0828EC44"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p>
        </w:tc>
        <w:tc>
          <w:tcPr>
            <w:tcW w:w="388" w:type="pct"/>
            <w:tcBorders>
              <w:top w:val="single" w:sz="4" w:space="0" w:color="auto"/>
              <w:left w:val="nil"/>
              <w:bottom w:val="nil"/>
              <w:right w:val="nil"/>
            </w:tcBorders>
            <w:shd w:val="clear" w:color="auto" w:fill="auto"/>
            <w:vAlign w:val="bottom"/>
            <w:hideMark/>
          </w:tcPr>
          <w:p w14:paraId="24FC8EA6"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0.909</w:t>
            </w:r>
          </w:p>
        </w:tc>
        <w:tc>
          <w:tcPr>
            <w:tcW w:w="388" w:type="pct"/>
            <w:tcBorders>
              <w:top w:val="single" w:sz="4" w:space="0" w:color="auto"/>
              <w:left w:val="nil"/>
              <w:bottom w:val="nil"/>
              <w:right w:val="single" w:sz="4" w:space="0" w:color="auto"/>
            </w:tcBorders>
            <w:shd w:val="clear" w:color="auto" w:fill="auto"/>
            <w:vAlign w:val="bottom"/>
            <w:hideMark/>
          </w:tcPr>
          <w:p w14:paraId="07F934A6"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0.909</w:t>
            </w:r>
          </w:p>
        </w:tc>
        <w:tc>
          <w:tcPr>
            <w:tcW w:w="388" w:type="pct"/>
            <w:tcBorders>
              <w:top w:val="single" w:sz="4" w:space="0" w:color="auto"/>
              <w:left w:val="single" w:sz="4" w:space="0" w:color="auto"/>
              <w:bottom w:val="nil"/>
              <w:right w:val="nil"/>
            </w:tcBorders>
            <w:shd w:val="clear" w:color="auto" w:fill="auto"/>
            <w:vAlign w:val="bottom"/>
            <w:hideMark/>
          </w:tcPr>
          <w:p w14:paraId="7E657C93"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0.831</w:t>
            </w:r>
          </w:p>
        </w:tc>
        <w:tc>
          <w:tcPr>
            <w:tcW w:w="388" w:type="pct"/>
            <w:tcBorders>
              <w:top w:val="single" w:sz="4" w:space="0" w:color="auto"/>
              <w:left w:val="nil"/>
              <w:bottom w:val="nil"/>
              <w:right w:val="nil"/>
            </w:tcBorders>
            <w:shd w:val="clear" w:color="auto" w:fill="auto"/>
            <w:vAlign w:val="bottom"/>
            <w:hideMark/>
          </w:tcPr>
          <w:p w14:paraId="1668FD0E"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0.714</w:t>
            </w:r>
          </w:p>
        </w:tc>
        <w:tc>
          <w:tcPr>
            <w:tcW w:w="388" w:type="pct"/>
            <w:tcBorders>
              <w:top w:val="single" w:sz="4" w:space="0" w:color="auto"/>
              <w:left w:val="nil"/>
              <w:bottom w:val="nil"/>
              <w:right w:val="single" w:sz="4" w:space="0" w:color="auto"/>
            </w:tcBorders>
            <w:shd w:val="clear" w:color="auto" w:fill="auto"/>
            <w:vAlign w:val="bottom"/>
            <w:hideMark/>
          </w:tcPr>
          <w:p w14:paraId="54C0BA0E"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0.831</w:t>
            </w:r>
          </w:p>
        </w:tc>
        <w:tc>
          <w:tcPr>
            <w:tcW w:w="388" w:type="pct"/>
            <w:tcBorders>
              <w:top w:val="single" w:sz="4" w:space="0" w:color="auto"/>
              <w:left w:val="single" w:sz="4" w:space="0" w:color="auto"/>
              <w:bottom w:val="nil"/>
              <w:right w:val="single" w:sz="4" w:space="0" w:color="auto"/>
            </w:tcBorders>
            <w:shd w:val="clear" w:color="auto" w:fill="auto"/>
            <w:noWrap/>
            <w:vAlign w:val="bottom"/>
            <w:hideMark/>
          </w:tcPr>
          <w:p w14:paraId="00AE9F3B"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0.807</w:t>
            </w:r>
          </w:p>
        </w:tc>
        <w:tc>
          <w:tcPr>
            <w:tcW w:w="608" w:type="pct"/>
            <w:tcBorders>
              <w:top w:val="single" w:sz="4" w:space="0" w:color="auto"/>
              <w:left w:val="single" w:sz="4" w:space="0" w:color="auto"/>
              <w:bottom w:val="nil"/>
              <w:right w:val="nil"/>
            </w:tcBorders>
            <w:shd w:val="clear" w:color="auto" w:fill="auto"/>
            <w:noWrap/>
            <w:vAlign w:val="bottom"/>
            <w:hideMark/>
          </w:tcPr>
          <w:p w14:paraId="461F3C60"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p>
        </w:tc>
      </w:tr>
      <w:tr w:rsidR="005343DE" w:rsidRPr="005343DE" w14:paraId="71EE36F8" w14:textId="77777777" w:rsidTr="005343DE">
        <w:trPr>
          <w:trHeight w:val="290"/>
          <w:jc w:val="center"/>
        </w:trPr>
        <w:tc>
          <w:tcPr>
            <w:tcW w:w="388" w:type="pct"/>
            <w:tcBorders>
              <w:top w:val="nil"/>
              <w:left w:val="nil"/>
              <w:bottom w:val="nil"/>
              <w:right w:val="single" w:sz="4" w:space="0" w:color="auto"/>
            </w:tcBorders>
            <w:shd w:val="clear" w:color="auto" w:fill="auto"/>
            <w:noWrap/>
            <w:vAlign w:val="bottom"/>
            <w:hideMark/>
          </w:tcPr>
          <w:p w14:paraId="6267FEDD"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RS</w:t>
            </w:r>
          </w:p>
        </w:tc>
        <w:tc>
          <w:tcPr>
            <w:tcW w:w="388" w:type="pct"/>
            <w:tcBorders>
              <w:top w:val="nil"/>
              <w:left w:val="single" w:sz="4" w:space="0" w:color="auto"/>
              <w:bottom w:val="nil"/>
              <w:right w:val="nil"/>
            </w:tcBorders>
            <w:shd w:val="clear" w:color="auto" w:fill="auto"/>
            <w:vAlign w:val="bottom"/>
            <w:hideMark/>
          </w:tcPr>
          <w:p w14:paraId="4AA945EB"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0.785</w:t>
            </w:r>
          </w:p>
        </w:tc>
        <w:tc>
          <w:tcPr>
            <w:tcW w:w="463" w:type="pct"/>
            <w:tcBorders>
              <w:top w:val="nil"/>
              <w:left w:val="nil"/>
              <w:bottom w:val="nil"/>
              <w:right w:val="nil"/>
            </w:tcBorders>
            <w:shd w:val="clear" w:color="auto" w:fill="auto"/>
            <w:vAlign w:val="bottom"/>
            <w:hideMark/>
          </w:tcPr>
          <w:p w14:paraId="5AEC15D8"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0.670</w:t>
            </w:r>
          </w:p>
        </w:tc>
        <w:tc>
          <w:tcPr>
            <w:tcW w:w="388" w:type="pct"/>
            <w:tcBorders>
              <w:top w:val="nil"/>
              <w:left w:val="nil"/>
              <w:bottom w:val="nil"/>
              <w:right w:val="single" w:sz="4" w:space="0" w:color="auto"/>
            </w:tcBorders>
            <w:shd w:val="clear" w:color="auto" w:fill="auto"/>
            <w:vAlign w:val="bottom"/>
            <w:hideMark/>
          </w:tcPr>
          <w:p w14:paraId="2E0EF8A1"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0.667</w:t>
            </w:r>
          </w:p>
        </w:tc>
        <w:tc>
          <w:tcPr>
            <w:tcW w:w="436" w:type="pct"/>
            <w:tcBorders>
              <w:top w:val="nil"/>
              <w:left w:val="single" w:sz="4" w:space="0" w:color="auto"/>
              <w:bottom w:val="nil"/>
              <w:right w:val="nil"/>
            </w:tcBorders>
            <w:shd w:val="clear" w:color="auto" w:fill="auto"/>
            <w:vAlign w:val="bottom"/>
            <w:hideMark/>
          </w:tcPr>
          <w:p w14:paraId="0F650751"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0.910</w:t>
            </w:r>
          </w:p>
        </w:tc>
        <w:tc>
          <w:tcPr>
            <w:tcW w:w="388" w:type="pct"/>
            <w:tcBorders>
              <w:top w:val="nil"/>
              <w:left w:val="nil"/>
              <w:bottom w:val="nil"/>
              <w:right w:val="nil"/>
            </w:tcBorders>
            <w:shd w:val="clear" w:color="auto" w:fill="auto"/>
            <w:noWrap/>
            <w:vAlign w:val="bottom"/>
            <w:hideMark/>
          </w:tcPr>
          <w:p w14:paraId="31D66533"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p>
        </w:tc>
        <w:tc>
          <w:tcPr>
            <w:tcW w:w="388" w:type="pct"/>
            <w:tcBorders>
              <w:top w:val="nil"/>
              <w:left w:val="nil"/>
              <w:bottom w:val="nil"/>
              <w:right w:val="single" w:sz="4" w:space="0" w:color="auto"/>
            </w:tcBorders>
            <w:shd w:val="clear" w:color="auto" w:fill="auto"/>
            <w:vAlign w:val="bottom"/>
            <w:hideMark/>
          </w:tcPr>
          <w:p w14:paraId="08F526E7"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0.870</w:t>
            </w:r>
          </w:p>
        </w:tc>
        <w:tc>
          <w:tcPr>
            <w:tcW w:w="388" w:type="pct"/>
            <w:tcBorders>
              <w:top w:val="nil"/>
              <w:left w:val="single" w:sz="4" w:space="0" w:color="auto"/>
              <w:bottom w:val="nil"/>
              <w:right w:val="nil"/>
            </w:tcBorders>
            <w:shd w:val="clear" w:color="auto" w:fill="auto"/>
            <w:vAlign w:val="bottom"/>
            <w:hideMark/>
          </w:tcPr>
          <w:p w14:paraId="3FE2296F"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0.792</w:t>
            </w:r>
          </w:p>
        </w:tc>
        <w:tc>
          <w:tcPr>
            <w:tcW w:w="388" w:type="pct"/>
            <w:tcBorders>
              <w:top w:val="nil"/>
              <w:left w:val="nil"/>
              <w:bottom w:val="nil"/>
              <w:right w:val="nil"/>
            </w:tcBorders>
            <w:shd w:val="clear" w:color="auto" w:fill="auto"/>
            <w:vAlign w:val="bottom"/>
            <w:hideMark/>
          </w:tcPr>
          <w:p w14:paraId="625C6608"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0.675</w:t>
            </w:r>
          </w:p>
        </w:tc>
        <w:tc>
          <w:tcPr>
            <w:tcW w:w="388" w:type="pct"/>
            <w:tcBorders>
              <w:top w:val="nil"/>
              <w:left w:val="nil"/>
              <w:bottom w:val="nil"/>
              <w:right w:val="single" w:sz="4" w:space="0" w:color="auto"/>
            </w:tcBorders>
            <w:shd w:val="clear" w:color="auto" w:fill="auto"/>
            <w:vAlign w:val="bottom"/>
            <w:hideMark/>
          </w:tcPr>
          <w:p w14:paraId="0DC33187"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0.818</w:t>
            </w:r>
          </w:p>
        </w:tc>
        <w:tc>
          <w:tcPr>
            <w:tcW w:w="388" w:type="pct"/>
            <w:tcBorders>
              <w:top w:val="nil"/>
              <w:left w:val="single" w:sz="4" w:space="0" w:color="auto"/>
              <w:bottom w:val="nil"/>
              <w:right w:val="single" w:sz="4" w:space="0" w:color="auto"/>
            </w:tcBorders>
            <w:shd w:val="clear" w:color="auto" w:fill="auto"/>
            <w:noWrap/>
            <w:vAlign w:val="bottom"/>
            <w:hideMark/>
          </w:tcPr>
          <w:p w14:paraId="144FBBBF"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0.789</w:t>
            </w:r>
          </w:p>
        </w:tc>
        <w:tc>
          <w:tcPr>
            <w:tcW w:w="608" w:type="pct"/>
            <w:tcBorders>
              <w:top w:val="nil"/>
              <w:left w:val="single" w:sz="4" w:space="0" w:color="auto"/>
              <w:bottom w:val="nil"/>
              <w:right w:val="nil"/>
            </w:tcBorders>
            <w:shd w:val="clear" w:color="auto" w:fill="auto"/>
            <w:noWrap/>
            <w:vAlign w:val="bottom"/>
            <w:hideMark/>
          </w:tcPr>
          <w:p w14:paraId="51E24E99"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0.896</w:t>
            </w:r>
          </w:p>
        </w:tc>
      </w:tr>
      <w:tr w:rsidR="005343DE" w:rsidRPr="005343DE" w14:paraId="0A5E421B" w14:textId="77777777" w:rsidTr="005343DE">
        <w:trPr>
          <w:trHeight w:val="290"/>
          <w:jc w:val="center"/>
        </w:trPr>
        <w:tc>
          <w:tcPr>
            <w:tcW w:w="388" w:type="pct"/>
            <w:tcBorders>
              <w:top w:val="nil"/>
              <w:left w:val="nil"/>
              <w:bottom w:val="single" w:sz="4" w:space="0" w:color="auto"/>
              <w:right w:val="single" w:sz="4" w:space="0" w:color="auto"/>
            </w:tcBorders>
            <w:shd w:val="clear" w:color="auto" w:fill="auto"/>
            <w:noWrap/>
            <w:vAlign w:val="bottom"/>
            <w:hideMark/>
          </w:tcPr>
          <w:p w14:paraId="5ABFBDCE"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SC</w:t>
            </w:r>
          </w:p>
        </w:tc>
        <w:tc>
          <w:tcPr>
            <w:tcW w:w="388" w:type="pct"/>
            <w:tcBorders>
              <w:top w:val="nil"/>
              <w:left w:val="single" w:sz="4" w:space="0" w:color="auto"/>
              <w:bottom w:val="single" w:sz="4" w:space="0" w:color="auto"/>
              <w:right w:val="nil"/>
            </w:tcBorders>
            <w:shd w:val="clear" w:color="auto" w:fill="auto"/>
            <w:vAlign w:val="bottom"/>
            <w:hideMark/>
          </w:tcPr>
          <w:p w14:paraId="08E16F77"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0.834</w:t>
            </w:r>
          </w:p>
        </w:tc>
        <w:tc>
          <w:tcPr>
            <w:tcW w:w="463" w:type="pct"/>
            <w:tcBorders>
              <w:top w:val="nil"/>
              <w:left w:val="nil"/>
              <w:bottom w:val="single" w:sz="4" w:space="0" w:color="auto"/>
              <w:right w:val="nil"/>
            </w:tcBorders>
            <w:shd w:val="clear" w:color="auto" w:fill="auto"/>
            <w:vAlign w:val="bottom"/>
            <w:hideMark/>
          </w:tcPr>
          <w:p w14:paraId="4B7DE3B9"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0.704</w:t>
            </w:r>
          </w:p>
        </w:tc>
        <w:tc>
          <w:tcPr>
            <w:tcW w:w="388" w:type="pct"/>
            <w:tcBorders>
              <w:top w:val="nil"/>
              <w:left w:val="nil"/>
              <w:bottom w:val="single" w:sz="4" w:space="0" w:color="auto"/>
              <w:right w:val="single" w:sz="4" w:space="0" w:color="auto"/>
            </w:tcBorders>
            <w:shd w:val="clear" w:color="auto" w:fill="auto"/>
            <w:vAlign w:val="bottom"/>
            <w:hideMark/>
          </w:tcPr>
          <w:p w14:paraId="37961297"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0.773</w:t>
            </w:r>
          </w:p>
        </w:tc>
        <w:tc>
          <w:tcPr>
            <w:tcW w:w="436" w:type="pct"/>
            <w:tcBorders>
              <w:top w:val="nil"/>
              <w:left w:val="single" w:sz="4" w:space="0" w:color="auto"/>
              <w:bottom w:val="single" w:sz="4" w:space="0" w:color="auto"/>
              <w:right w:val="nil"/>
            </w:tcBorders>
            <w:shd w:val="clear" w:color="auto" w:fill="auto"/>
            <w:vAlign w:val="bottom"/>
            <w:hideMark/>
          </w:tcPr>
          <w:p w14:paraId="1353F14B"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0.896</w:t>
            </w:r>
          </w:p>
        </w:tc>
        <w:tc>
          <w:tcPr>
            <w:tcW w:w="388" w:type="pct"/>
            <w:tcBorders>
              <w:top w:val="nil"/>
              <w:left w:val="nil"/>
              <w:bottom w:val="single" w:sz="4" w:space="0" w:color="auto"/>
              <w:right w:val="nil"/>
            </w:tcBorders>
            <w:shd w:val="clear" w:color="auto" w:fill="auto"/>
            <w:vAlign w:val="bottom"/>
            <w:hideMark/>
          </w:tcPr>
          <w:p w14:paraId="165C73D6"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0.839</w:t>
            </w:r>
          </w:p>
        </w:tc>
        <w:tc>
          <w:tcPr>
            <w:tcW w:w="388" w:type="pct"/>
            <w:tcBorders>
              <w:top w:val="nil"/>
              <w:left w:val="nil"/>
              <w:bottom w:val="single" w:sz="4" w:space="0" w:color="auto"/>
              <w:right w:val="single" w:sz="4" w:space="0" w:color="auto"/>
            </w:tcBorders>
            <w:shd w:val="clear" w:color="auto" w:fill="auto"/>
            <w:noWrap/>
            <w:vAlign w:val="bottom"/>
            <w:hideMark/>
          </w:tcPr>
          <w:p w14:paraId="73D484F2"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p>
        </w:tc>
        <w:tc>
          <w:tcPr>
            <w:tcW w:w="388" w:type="pct"/>
            <w:tcBorders>
              <w:top w:val="nil"/>
              <w:left w:val="single" w:sz="4" w:space="0" w:color="auto"/>
              <w:bottom w:val="single" w:sz="4" w:space="0" w:color="auto"/>
              <w:right w:val="nil"/>
            </w:tcBorders>
            <w:shd w:val="clear" w:color="auto" w:fill="auto"/>
            <w:vAlign w:val="bottom"/>
            <w:hideMark/>
          </w:tcPr>
          <w:p w14:paraId="3AFD3E90"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0.818</w:t>
            </w:r>
          </w:p>
        </w:tc>
        <w:tc>
          <w:tcPr>
            <w:tcW w:w="388" w:type="pct"/>
            <w:tcBorders>
              <w:top w:val="nil"/>
              <w:left w:val="nil"/>
              <w:bottom w:val="single" w:sz="4" w:space="0" w:color="auto"/>
              <w:right w:val="nil"/>
            </w:tcBorders>
            <w:shd w:val="clear" w:color="auto" w:fill="auto"/>
            <w:vAlign w:val="bottom"/>
            <w:hideMark/>
          </w:tcPr>
          <w:p w14:paraId="2055DD87"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0.701</w:t>
            </w:r>
          </w:p>
        </w:tc>
        <w:tc>
          <w:tcPr>
            <w:tcW w:w="388" w:type="pct"/>
            <w:tcBorders>
              <w:top w:val="nil"/>
              <w:left w:val="nil"/>
              <w:bottom w:val="single" w:sz="4" w:space="0" w:color="auto"/>
              <w:right w:val="single" w:sz="4" w:space="0" w:color="auto"/>
            </w:tcBorders>
            <w:shd w:val="clear" w:color="auto" w:fill="auto"/>
            <w:vAlign w:val="bottom"/>
            <w:hideMark/>
          </w:tcPr>
          <w:p w14:paraId="192034E6"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0.844</w:t>
            </w:r>
          </w:p>
        </w:tc>
        <w:tc>
          <w:tcPr>
            <w:tcW w:w="388" w:type="pct"/>
            <w:tcBorders>
              <w:top w:val="nil"/>
              <w:left w:val="single" w:sz="4" w:space="0" w:color="auto"/>
              <w:bottom w:val="single" w:sz="4" w:space="0" w:color="auto"/>
              <w:right w:val="single" w:sz="4" w:space="0" w:color="auto"/>
            </w:tcBorders>
            <w:shd w:val="clear" w:color="auto" w:fill="auto"/>
            <w:noWrap/>
            <w:vAlign w:val="bottom"/>
            <w:hideMark/>
          </w:tcPr>
          <w:p w14:paraId="039A1F85"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0.815</w:t>
            </w:r>
          </w:p>
        </w:tc>
        <w:tc>
          <w:tcPr>
            <w:tcW w:w="608" w:type="pct"/>
            <w:tcBorders>
              <w:top w:val="nil"/>
              <w:left w:val="single" w:sz="4" w:space="0" w:color="auto"/>
              <w:bottom w:val="single" w:sz="4" w:space="0" w:color="auto"/>
              <w:right w:val="nil"/>
            </w:tcBorders>
            <w:shd w:val="clear" w:color="auto" w:fill="auto"/>
            <w:noWrap/>
            <w:vAlign w:val="bottom"/>
            <w:hideMark/>
          </w:tcPr>
          <w:p w14:paraId="4AB7DB20"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p>
        </w:tc>
      </w:tr>
      <w:tr w:rsidR="005343DE" w:rsidRPr="005343DE" w14:paraId="3A3B7070" w14:textId="77777777" w:rsidTr="005343DE">
        <w:trPr>
          <w:trHeight w:val="290"/>
          <w:jc w:val="center"/>
        </w:trPr>
        <w:tc>
          <w:tcPr>
            <w:tcW w:w="388" w:type="pct"/>
            <w:tcBorders>
              <w:top w:val="single" w:sz="4" w:space="0" w:color="auto"/>
              <w:left w:val="nil"/>
              <w:bottom w:val="nil"/>
              <w:right w:val="single" w:sz="4" w:space="0" w:color="auto"/>
            </w:tcBorders>
            <w:shd w:val="clear" w:color="auto" w:fill="auto"/>
            <w:noWrap/>
            <w:vAlign w:val="bottom"/>
            <w:hideMark/>
          </w:tcPr>
          <w:p w14:paraId="5D1AB35D"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MG</w:t>
            </w:r>
          </w:p>
        </w:tc>
        <w:tc>
          <w:tcPr>
            <w:tcW w:w="388" w:type="pct"/>
            <w:tcBorders>
              <w:top w:val="single" w:sz="4" w:space="0" w:color="auto"/>
              <w:left w:val="single" w:sz="4" w:space="0" w:color="auto"/>
              <w:bottom w:val="nil"/>
              <w:right w:val="nil"/>
            </w:tcBorders>
            <w:shd w:val="clear" w:color="auto" w:fill="auto"/>
            <w:vAlign w:val="bottom"/>
            <w:hideMark/>
          </w:tcPr>
          <w:p w14:paraId="645FE168"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0.859</w:t>
            </w:r>
          </w:p>
        </w:tc>
        <w:tc>
          <w:tcPr>
            <w:tcW w:w="463" w:type="pct"/>
            <w:tcBorders>
              <w:top w:val="single" w:sz="4" w:space="0" w:color="auto"/>
              <w:left w:val="nil"/>
              <w:bottom w:val="nil"/>
              <w:right w:val="nil"/>
            </w:tcBorders>
            <w:shd w:val="clear" w:color="auto" w:fill="auto"/>
            <w:vAlign w:val="bottom"/>
            <w:hideMark/>
          </w:tcPr>
          <w:p w14:paraId="4D573ED4"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0.682</w:t>
            </w:r>
          </w:p>
        </w:tc>
        <w:tc>
          <w:tcPr>
            <w:tcW w:w="388" w:type="pct"/>
            <w:tcBorders>
              <w:top w:val="single" w:sz="4" w:space="0" w:color="auto"/>
              <w:left w:val="nil"/>
              <w:bottom w:val="nil"/>
              <w:right w:val="single" w:sz="4" w:space="0" w:color="auto"/>
            </w:tcBorders>
            <w:shd w:val="clear" w:color="auto" w:fill="auto"/>
            <w:vAlign w:val="bottom"/>
            <w:hideMark/>
          </w:tcPr>
          <w:p w14:paraId="27122202"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0.811</w:t>
            </w:r>
          </w:p>
        </w:tc>
        <w:tc>
          <w:tcPr>
            <w:tcW w:w="436" w:type="pct"/>
            <w:tcBorders>
              <w:top w:val="single" w:sz="4" w:space="0" w:color="auto"/>
              <w:left w:val="single" w:sz="4" w:space="0" w:color="auto"/>
              <w:bottom w:val="nil"/>
              <w:right w:val="nil"/>
            </w:tcBorders>
            <w:shd w:val="clear" w:color="auto" w:fill="auto"/>
            <w:vAlign w:val="bottom"/>
            <w:hideMark/>
          </w:tcPr>
          <w:p w14:paraId="7DAF7C24"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0.848</w:t>
            </w:r>
          </w:p>
        </w:tc>
        <w:tc>
          <w:tcPr>
            <w:tcW w:w="388" w:type="pct"/>
            <w:tcBorders>
              <w:top w:val="single" w:sz="4" w:space="0" w:color="auto"/>
              <w:left w:val="nil"/>
              <w:bottom w:val="nil"/>
              <w:right w:val="nil"/>
            </w:tcBorders>
            <w:shd w:val="clear" w:color="auto" w:fill="auto"/>
            <w:vAlign w:val="bottom"/>
            <w:hideMark/>
          </w:tcPr>
          <w:p w14:paraId="503A73FA"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0.874</w:t>
            </w:r>
          </w:p>
        </w:tc>
        <w:tc>
          <w:tcPr>
            <w:tcW w:w="388" w:type="pct"/>
            <w:tcBorders>
              <w:top w:val="single" w:sz="4" w:space="0" w:color="auto"/>
              <w:left w:val="nil"/>
              <w:bottom w:val="nil"/>
              <w:right w:val="single" w:sz="4" w:space="0" w:color="auto"/>
            </w:tcBorders>
            <w:shd w:val="clear" w:color="auto" w:fill="auto"/>
            <w:vAlign w:val="bottom"/>
            <w:hideMark/>
          </w:tcPr>
          <w:p w14:paraId="6D80243F"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0.859</w:t>
            </w:r>
          </w:p>
        </w:tc>
        <w:tc>
          <w:tcPr>
            <w:tcW w:w="388" w:type="pct"/>
            <w:tcBorders>
              <w:top w:val="single" w:sz="4" w:space="0" w:color="auto"/>
              <w:left w:val="single" w:sz="4" w:space="0" w:color="auto"/>
              <w:bottom w:val="nil"/>
              <w:right w:val="nil"/>
            </w:tcBorders>
            <w:shd w:val="clear" w:color="auto" w:fill="auto"/>
            <w:noWrap/>
            <w:vAlign w:val="bottom"/>
            <w:hideMark/>
          </w:tcPr>
          <w:p w14:paraId="67FB6A56"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p>
        </w:tc>
        <w:tc>
          <w:tcPr>
            <w:tcW w:w="388" w:type="pct"/>
            <w:tcBorders>
              <w:top w:val="single" w:sz="4" w:space="0" w:color="auto"/>
              <w:left w:val="nil"/>
              <w:bottom w:val="nil"/>
              <w:right w:val="nil"/>
            </w:tcBorders>
            <w:shd w:val="clear" w:color="auto" w:fill="auto"/>
            <w:vAlign w:val="bottom"/>
            <w:hideMark/>
          </w:tcPr>
          <w:p w14:paraId="332B6359"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0.779</w:t>
            </w:r>
          </w:p>
        </w:tc>
        <w:tc>
          <w:tcPr>
            <w:tcW w:w="388" w:type="pct"/>
            <w:tcBorders>
              <w:top w:val="single" w:sz="4" w:space="0" w:color="auto"/>
              <w:left w:val="nil"/>
              <w:bottom w:val="nil"/>
              <w:right w:val="single" w:sz="4" w:space="0" w:color="auto"/>
            </w:tcBorders>
            <w:shd w:val="clear" w:color="auto" w:fill="auto"/>
            <w:vAlign w:val="bottom"/>
            <w:hideMark/>
          </w:tcPr>
          <w:p w14:paraId="228F1BB6"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0.948</w:t>
            </w:r>
          </w:p>
        </w:tc>
        <w:tc>
          <w:tcPr>
            <w:tcW w:w="388" w:type="pct"/>
            <w:tcBorders>
              <w:top w:val="single" w:sz="4" w:space="0" w:color="auto"/>
              <w:left w:val="single" w:sz="4" w:space="0" w:color="auto"/>
              <w:bottom w:val="nil"/>
              <w:right w:val="single" w:sz="4" w:space="0" w:color="auto"/>
            </w:tcBorders>
            <w:shd w:val="clear" w:color="auto" w:fill="auto"/>
            <w:noWrap/>
            <w:vAlign w:val="bottom"/>
            <w:hideMark/>
          </w:tcPr>
          <w:p w14:paraId="6726C871"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0.719</w:t>
            </w:r>
          </w:p>
        </w:tc>
        <w:tc>
          <w:tcPr>
            <w:tcW w:w="608" w:type="pct"/>
            <w:tcBorders>
              <w:top w:val="single" w:sz="4" w:space="0" w:color="auto"/>
              <w:left w:val="single" w:sz="4" w:space="0" w:color="auto"/>
              <w:bottom w:val="nil"/>
              <w:right w:val="nil"/>
            </w:tcBorders>
            <w:shd w:val="clear" w:color="auto" w:fill="auto"/>
            <w:noWrap/>
            <w:vAlign w:val="bottom"/>
            <w:hideMark/>
          </w:tcPr>
          <w:p w14:paraId="55E48126"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p>
        </w:tc>
      </w:tr>
      <w:tr w:rsidR="005343DE" w:rsidRPr="005343DE" w14:paraId="7E3DA58B" w14:textId="77777777" w:rsidTr="005343DE">
        <w:trPr>
          <w:trHeight w:val="290"/>
          <w:jc w:val="center"/>
        </w:trPr>
        <w:tc>
          <w:tcPr>
            <w:tcW w:w="388" w:type="pct"/>
            <w:tcBorders>
              <w:top w:val="nil"/>
              <w:left w:val="nil"/>
              <w:bottom w:val="nil"/>
              <w:right w:val="single" w:sz="4" w:space="0" w:color="auto"/>
            </w:tcBorders>
            <w:shd w:val="clear" w:color="auto" w:fill="auto"/>
            <w:noWrap/>
            <w:vAlign w:val="bottom"/>
            <w:hideMark/>
          </w:tcPr>
          <w:p w14:paraId="1555462B"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RJ</w:t>
            </w:r>
          </w:p>
        </w:tc>
        <w:tc>
          <w:tcPr>
            <w:tcW w:w="388" w:type="pct"/>
            <w:tcBorders>
              <w:top w:val="nil"/>
              <w:left w:val="single" w:sz="4" w:space="0" w:color="auto"/>
              <w:bottom w:val="nil"/>
              <w:right w:val="nil"/>
            </w:tcBorders>
            <w:shd w:val="clear" w:color="auto" w:fill="auto"/>
            <w:vAlign w:val="bottom"/>
            <w:hideMark/>
          </w:tcPr>
          <w:p w14:paraId="03718C0F"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0.672</w:t>
            </w:r>
          </w:p>
        </w:tc>
        <w:tc>
          <w:tcPr>
            <w:tcW w:w="463" w:type="pct"/>
            <w:tcBorders>
              <w:top w:val="nil"/>
              <w:left w:val="nil"/>
              <w:bottom w:val="nil"/>
              <w:right w:val="nil"/>
            </w:tcBorders>
            <w:shd w:val="clear" w:color="auto" w:fill="auto"/>
            <w:vAlign w:val="bottom"/>
            <w:hideMark/>
          </w:tcPr>
          <w:p w14:paraId="3616C3E9"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0.665</w:t>
            </w:r>
          </w:p>
        </w:tc>
        <w:tc>
          <w:tcPr>
            <w:tcW w:w="388" w:type="pct"/>
            <w:tcBorders>
              <w:top w:val="nil"/>
              <w:left w:val="nil"/>
              <w:bottom w:val="nil"/>
              <w:right w:val="single" w:sz="4" w:space="0" w:color="auto"/>
            </w:tcBorders>
            <w:shd w:val="clear" w:color="auto" w:fill="auto"/>
            <w:vAlign w:val="bottom"/>
            <w:hideMark/>
          </w:tcPr>
          <w:p w14:paraId="22669EC8"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0.672</w:t>
            </w:r>
          </w:p>
        </w:tc>
        <w:tc>
          <w:tcPr>
            <w:tcW w:w="436" w:type="pct"/>
            <w:tcBorders>
              <w:top w:val="nil"/>
              <w:left w:val="single" w:sz="4" w:space="0" w:color="auto"/>
              <w:bottom w:val="nil"/>
              <w:right w:val="nil"/>
            </w:tcBorders>
            <w:shd w:val="clear" w:color="auto" w:fill="auto"/>
            <w:vAlign w:val="bottom"/>
            <w:hideMark/>
          </w:tcPr>
          <w:p w14:paraId="55E63007"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0.673</w:t>
            </w:r>
          </w:p>
        </w:tc>
        <w:tc>
          <w:tcPr>
            <w:tcW w:w="388" w:type="pct"/>
            <w:tcBorders>
              <w:top w:val="nil"/>
              <w:left w:val="nil"/>
              <w:bottom w:val="nil"/>
              <w:right w:val="nil"/>
            </w:tcBorders>
            <w:shd w:val="clear" w:color="auto" w:fill="auto"/>
            <w:vAlign w:val="bottom"/>
            <w:hideMark/>
          </w:tcPr>
          <w:p w14:paraId="7ACD606B"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0.642</w:t>
            </w:r>
          </w:p>
        </w:tc>
        <w:tc>
          <w:tcPr>
            <w:tcW w:w="388" w:type="pct"/>
            <w:tcBorders>
              <w:top w:val="nil"/>
              <w:left w:val="nil"/>
              <w:bottom w:val="nil"/>
              <w:right w:val="single" w:sz="4" w:space="0" w:color="auto"/>
            </w:tcBorders>
            <w:shd w:val="clear" w:color="auto" w:fill="auto"/>
            <w:vAlign w:val="bottom"/>
            <w:hideMark/>
          </w:tcPr>
          <w:p w14:paraId="33F8EDF2"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0.736</w:t>
            </w:r>
          </w:p>
        </w:tc>
        <w:tc>
          <w:tcPr>
            <w:tcW w:w="388" w:type="pct"/>
            <w:tcBorders>
              <w:top w:val="nil"/>
              <w:left w:val="single" w:sz="4" w:space="0" w:color="auto"/>
              <w:bottom w:val="nil"/>
              <w:right w:val="nil"/>
            </w:tcBorders>
            <w:shd w:val="clear" w:color="auto" w:fill="auto"/>
            <w:vAlign w:val="bottom"/>
            <w:hideMark/>
          </w:tcPr>
          <w:p w14:paraId="6FCD272A"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0.687</w:t>
            </w:r>
          </w:p>
        </w:tc>
        <w:tc>
          <w:tcPr>
            <w:tcW w:w="388" w:type="pct"/>
            <w:tcBorders>
              <w:top w:val="nil"/>
              <w:left w:val="nil"/>
              <w:bottom w:val="nil"/>
              <w:right w:val="nil"/>
            </w:tcBorders>
            <w:shd w:val="clear" w:color="auto" w:fill="auto"/>
            <w:noWrap/>
            <w:vAlign w:val="bottom"/>
            <w:hideMark/>
          </w:tcPr>
          <w:p w14:paraId="2C6476B0"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p>
        </w:tc>
        <w:tc>
          <w:tcPr>
            <w:tcW w:w="388" w:type="pct"/>
            <w:tcBorders>
              <w:top w:val="nil"/>
              <w:left w:val="nil"/>
              <w:bottom w:val="nil"/>
              <w:right w:val="single" w:sz="4" w:space="0" w:color="auto"/>
            </w:tcBorders>
            <w:shd w:val="clear" w:color="auto" w:fill="auto"/>
            <w:vAlign w:val="bottom"/>
            <w:hideMark/>
          </w:tcPr>
          <w:p w14:paraId="2529FE4E"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0.779</w:t>
            </w:r>
          </w:p>
        </w:tc>
        <w:tc>
          <w:tcPr>
            <w:tcW w:w="388" w:type="pct"/>
            <w:tcBorders>
              <w:top w:val="nil"/>
              <w:left w:val="single" w:sz="4" w:space="0" w:color="auto"/>
              <w:bottom w:val="nil"/>
              <w:right w:val="single" w:sz="4" w:space="0" w:color="auto"/>
            </w:tcBorders>
            <w:shd w:val="clear" w:color="auto" w:fill="auto"/>
            <w:noWrap/>
            <w:vAlign w:val="bottom"/>
            <w:hideMark/>
          </w:tcPr>
          <w:p w14:paraId="570DAAEF"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0.732</w:t>
            </w:r>
          </w:p>
        </w:tc>
        <w:tc>
          <w:tcPr>
            <w:tcW w:w="608" w:type="pct"/>
            <w:tcBorders>
              <w:top w:val="nil"/>
              <w:left w:val="single" w:sz="4" w:space="0" w:color="auto"/>
              <w:bottom w:val="nil"/>
              <w:right w:val="nil"/>
            </w:tcBorders>
            <w:shd w:val="clear" w:color="auto" w:fill="auto"/>
            <w:noWrap/>
            <w:vAlign w:val="bottom"/>
            <w:hideMark/>
          </w:tcPr>
          <w:p w14:paraId="4263804B"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0.835</w:t>
            </w:r>
          </w:p>
        </w:tc>
      </w:tr>
      <w:tr w:rsidR="005343DE" w:rsidRPr="005343DE" w14:paraId="5E510E6D" w14:textId="77777777" w:rsidTr="005343DE">
        <w:trPr>
          <w:trHeight w:val="290"/>
          <w:jc w:val="center"/>
        </w:trPr>
        <w:tc>
          <w:tcPr>
            <w:tcW w:w="388" w:type="pct"/>
            <w:tcBorders>
              <w:top w:val="nil"/>
              <w:left w:val="nil"/>
              <w:bottom w:val="single" w:sz="4" w:space="0" w:color="auto"/>
              <w:right w:val="single" w:sz="4" w:space="0" w:color="auto"/>
            </w:tcBorders>
            <w:shd w:val="clear" w:color="auto" w:fill="auto"/>
            <w:noWrap/>
            <w:vAlign w:val="bottom"/>
            <w:hideMark/>
          </w:tcPr>
          <w:p w14:paraId="1E04BFB5"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SP</w:t>
            </w:r>
          </w:p>
        </w:tc>
        <w:tc>
          <w:tcPr>
            <w:tcW w:w="388" w:type="pct"/>
            <w:tcBorders>
              <w:top w:val="nil"/>
              <w:left w:val="single" w:sz="4" w:space="0" w:color="auto"/>
              <w:bottom w:val="single" w:sz="4" w:space="0" w:color="auto"/>
              <w:right w:val="nil"/>
            </w:tcBorders>
            <w:shd w:val="clear" w:color="auto" w:fill="auto"/>
            <w:vAlign w:val="bottom"/>
            <w:hideMark/>
          </w:tcPr>
          <w:p w14:paraId="373B401F"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0.823</w:t>
            </w:r>
          </w:p>
        </w:tc>
        <w:tc>
          <w:tcPr>
            <w:tcW w:w="463" w:type="pct"/>
            <w:tcBorders>
              <w:top w:val="nil"/>
              <w:left w:val="nil"/>
              <w:bottom w:val="single" w:sz="4" w:space="0" w:color="auto"/>
              <w:right w:val="nil"/>
            </w:tcBorders>
            <w:shd w:val="clear" w:color="auto" w:fill="auto"/>
            <w:vAlign w:val="bottom"/>
            <w:hideMark/>
          </w:tcPr>
          <w:p w14:paraId="7717B608"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0.696</w:t>
            </w:r>
          </w:p>
        </w:tc>
        <w:tc>
          <w:tcPr>
            <w:tcW w:w="388" w:type="pct"/>
            <w:tcBorders>
              <w:top w:val="nil"/>
              <w:left w:val="nil"/>
              <w:bottom w:val="single" w:sz="4" w:space="0" w:color="auto"/>
              <w:right w:val="single" w:sz="4" w:space="0" w:color="auto"/>
            </w:tcBorders>
            <w:shd w:val="clear" w:color="auto" w:fill="auto"/>
            <w:vAlign w:val="bottom"/>
            <w:hideMark/>
          </w:tcPr>
          <w:p w14:paraId="63AF49C4"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0.773</w:t>
            </w:r>
          </w:p>
        </w:tc>
        <w:tc>
          <w:tcPr>
            <w:tcW w:w="436" w:type="pct"/>
            <w:tcBorders>
              <w:top w:val="nil"/>
              <w:left w:val="single" w:sz="4" w:space="0" w:color="auto"/>
              <w:bottom w:val="single" w:sz="4" w:space="0" w:color="auto"/>
              <w:right w:val="nil"/>
            </w:tcBorders>
            <w:shd w:val="clear" w:color="auto" w:fill="auto"/>
            <w:vAlign w:val="bottom"/>
            <w:hideMark/>
          </w:tcPr>
          <w:p w14:paraId="56ADBD97"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0.898</w:t>
            </w:r>
          </w:p>
        </w:tc>
        <w:tc>
          <w:tcPr>
            <w:tcW w:w="388" w:type="pct"/>
            <w:tcBorders>
              <w:top w:val="nil"/>
              <w:left w:val="nil"/>
              <w:bottom w:val="single" w:sz="4" w:space="0" w:color="auto"/>
              <w:right w:val="nil"/>
            </w:tcBorders>
            <w:shd w:val="clear" w:color="auto" w:fill="auto"/>
            <w:vAlign w:val="bottom"/>
            <w:hideMark/>
          </w:tcPr>
          <w:p w14:paraId="624F3E71"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0.895</w:t>
            </w:r>
          </w:p>
        </w:tc>
        <w:tc>
          <w:tcPr>
            <w:tcW w:w="388" w:type="pct"/>
            <w:tcBorders>
              <w:top w:val="nil"/>
              <w:left w:val="nil"/>
              <w:bottom w:val="single" w:sz="4" w:space="0" w:color="auto"/>
              <w:right w:val="single" w:sz="4" w:space="0" w:color="auto"/>
            </w:tcBorders>
            <w:shd w:val="clear" w:color="auto" w:fill="auto"/>
            <w:vAlign w:val="bottom"/>
            <w:hideMark/>
          </w:tcPr>
          <w:p w14:paraId="151B672B"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0.909</w:t>
            </w:r>
          </w:p>
        </w:tc>
        <w:tc>
          <w:tcPr>
            <w:tcW w:w="388" w:type="pct"/>
            <w:tcBorders>
              <w:top w:val="nil"/>
              <w:left w:val="single" w:sz="4" w:space="0" w:color="auto"/>
              <w:bottom w:val="single" w:sz="4" w:space="0" w:color="auto"/>
              <w:right w:val="nil"/>
            </w:tcBorders>
            <w:shd w:val="clear" w:color="auto" w:fill="auto"/>
            <w:vAlign w:val="bottom"/>
            <w:hideMark/>
          </w:tcPr>
          <w:p w14:paraId="5751A899"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0.926</w:t>
            </w:r>
          </w:p>
        </w:tc>
        <w:tc>
          <w:tcPr>
            <w:tcW w:w="388" w:type="pct"/>
            <w:tcBorders>
              <w:top w:val="nil"/>
              <w:left w:val="nil"/>
              <w:bottom w:val="single" w:sz="4" w:space="0" w:color="auto"/>
              <w:right w:val="nil"/>
            </w:tcBorders>
            <w:shd w:val="clear" w:color="auto" w:fill="auto"/>
            <w:vAlign w:val="bottom"/>
            <w:hideMark/>
          </w:tcPr>
          <w:p w14:paraId="72BDD676"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0.760</w:t>
            </w:r>
          </w:p>
        </w:tc>
        <w:tc>
          <w:tcPr>
            <w:tcW w:w="388" w:type="pct"/>
            <w:tcBorders>
              <w:top w:val="nil"/>
              <w:left w:val="nil"/>
              <w:bottom w:val="single" w:sz="4" w:space="0" w:color="auto"/>
              <w:right w:val="single" w:sz="4" w:space="0" w:color="auto"/>
            </w:tcBorders>
            <w:shd w:val="clear" w:color="auto" w:fill="auto"/>
            <w:noWrap/>
            <w:vAlign w:val="bottom"/>
            <w:hideMark/>
          </w:tcPr>
          <w:p w14:paraId="77D967BF"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p>
        </w:tc>
        <w:tc>
          <w:tcPr>
            <w:tcW w:w="388" w:type="pct"/>
            <w:tcBorders>
              <w:top w:val="nil"/>
              <w:left w:val="single" w:sz="4" w:space="0" w:color="auto"/>
              <w:bottom w:val="single" w:sz="4" w:space="0" w:color="auto"/>
              <w:right w:val="single" w:sz="4" w:space="0" w:color="auto"/>
            </w:tcBorders>
            <w:shd w:val="clear" w:color="auto" w:fill="auto"/>
            <w:noWrap/>
            <w:vAlign w:val="bottom"/>
            <w:hideMark/>
          </w:tcPr>
          <w:p w14:paraId="6A6E0664"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0.818</w:t>
            </w:r>
          </w:p>
        </w:tc>
        <w:tc>
          <w:tcPr>
            <w:tcW w:w="608" w:type="pct"/>
            <w:tcBorders>
              <w:top w:val="nil"/>
              <w:left w:val="single" w:sz="4" w:space="0" w:color="auto"/>
              <w:bottom w:val="single" w:sz="4" w:space="0" w:color="auto"/>
              <w:right w:val="nil"/>
            </w:tcBorders>
            <w:shd w:val="clear" w:color="auto" w:fill="auto"/>
            <w:noWrap/>
            <w:vAlign w:val="bottom"/>
            <w:hideMark/>
          </w:tcPr>
          <w:p w14:paraId="19F81BD9"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p>
        </w:tc>
      </w:tr>
      <w:tr w:rsidR="005343DE" w:rsidRPr="005343DE" w14:paraId="4103EA84" w14:textId="77777777" w:rsidTr="005343DE">
        <w:trPr>
          <w:trHeight w:val="290"/>
          <w:jc w:val="center"/>
        </w:trPr>
        <w:tc>
          <w:tcPr>
            <w:tcW w:w="388" w:type="pct"/>
            <w:tcBorders>
              <w:top w:val="single" w:sz="4" w:space="0" w:color="auto"/>
              <w:left w:val="nil"/>
              <w:bottom w:val="single" w:sz="4" w:space="0" w:color="auto"/>
              <w:right w:val="single" w:sz="4" w:space="0" w:color="auto"/>
            </w:tcBorders>
            <w:shd w:val="clear" w:color="auto" w:fill="auto"/>
            <w:noWrap/>
            <w:vAlign w:val="bottom"/>
            <w:hideMark/>
          </w:tcPr>
          <w:p w14:paraId="66A34715"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Média</w:t>
            </w:r>
          </w:p>
        </w:tc>
        <w:tc>
          <w:tcPr>
            <w:tcW w:w="388" w:type="pct"/>
            <w:tcBorders>
              <w:top w:val="single" w:sz="4" w:space="0" w:color="auto"/>
              <w:left w:val="single" w:sz="4" w:space="0" w:color="auto"/>
              <w:bottom w:val="single" w:sz="4" w:space="0" w:color="auto"/>
            </w:tcBorders>
            <w:shd w:val="clear" w:color="auto" w:fill="auto"/>
            <w:noWrap/>
            <w:vAlign w:val="bottom"/>
            <w:hideMark/>
          </w:tcPr>
          <w:p w14:paraId="20EAE884"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0.788</w:t>
            </w:r>
          </w:p>
        </w:tc>
        <w:tc>
          <w:tcPr>
            <w:tcW w:w="463" w:type="pct"/>
            <w:tcBorders>
              <w:top w:val="single" w:sz="4" w:space="0" w:color="auto"/>
              <w:bottom w:val="single" w:sz="4" w:space="0" w:color="auto"/>
            </w:tcBorders>
            <w:shd w:val="clear" w:color="auto" w:fill="auto"/>
            <w:noWrap/>
            <w:vAlign w:val="bottom"/>
            <w:hideMark/>
          </w:tcPr>
          <w:p w14:paraId="6EE6DB67"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0.685</w:t>
            </w:r>
          </w:p>
        </w:tc>
        <w:tc>
          <w:tcPr>
            <w:tcW w:w="388" w:type="pct"/>
            <w:tcBorders>
              <w:top w:val="single" w:sz="4" w:space="0" w:color="auto"/>
              <w:bottom w:val="single" w:sz="4" w:space="0" w:color="auto"/>
              <w:right w:val="single" w:sz="4" w:space="0" w:color="auto"/>
            </w:tcBorders>
            <w:shd w:val="clear" w:color="auto" w:fill="auto"/>
            <w:noWrap/>
            <w:vAlign w:val="bottom"/>
            <w:hideMark/>
          </w:tcPr>
          <w:p w14:paraId="297BFB40"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0.720</w:t>
            </w:r>
          </w:p>
        </w:tc>
        <w:tc>
          <w:tcPr>
            <w:tcW w:w="436" w:type="pct"/>
            <w:tcBorders>
              <w:top w:val="single" w:sz="4" w:space="0" w:color="auto"/>
              <w:left w:val="single" w:sz="4" w:space="0" w:color="auto"/>
              <w:bottom w:val="single" w:sz="4" w:space="0" w:color="auto"/>
            </w:tcBorders>
            <w:shd w:val="clear" w:color="auto" w:fill="auto"/>
            <w:noWrap/>
            <w:vAlign w:val="bottom"/>
            <w:hideMark/>
          </w:tcPr>
          <w:p w14:paraId="14629168" w14:textId="408603CD"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0.810</w:t>
            </w:r>
          </w:p>
        </w:tc>
        <w:tc>
          <w:tcPr>
            <w:tcW w:w="388" w:type="pct"/>
            <w:tcBorders>
              <w:top w:val="single" w:sz="4" w:space="0" w:color="auto"/>
              <w:bottom w:val="single" w:sz="4" w:space="0" w:color="auto"/>
            </w:tcBorders>
            <w:shd w:val="clear" w:color="auto" w:fill="auto"/>
            <w:noWrap/>
            <w:vAlign w:val="bottom"/>
            <w:hideMark/>
          </w:tcPr>
          <w:p w14:paraId="2470FD61"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0.785</w:t>
            </w:r>
          </w:p>
        </w:tc>
        <w:tc>
          <w:tcPr>
            <w:tcW w:w="388" w:type="pct"/>
            <w:tcBorders>
              <w:top w:val="single" w:sz="4" w:space="0" w:color="auto"/>
              <w:bottom w:val="single" w:sz="4" w:space="0" w:color="auto"/>
              <w:right w:val="single" w:sz="4" w:space="0" w:color="auto"/>
            </w:tcBorders>
            <w:shd w:val="clear" w:color="auto" w:fill="auto"/>
            <w:noWrap/>
            <w:vAlign w:val="bottom"/>
            <w:hideMark/>
          </w:tcPr>
          <w:p w14:paraId="1DB5275D"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0.818</w:t>
            </w:r>
          </w:p>
        </w:tc>
        <w:tc>
          <w:tcPr>
            <w:tcW w:w="388" w:type="pct"/>
            <w:tcBorders>
              <w:top w:val="single" w:sz="4" w:space="0" w:color="auto"/>
              <w:left w:val="single" w:sz="4" w:space="0" w:color="auto"/>
              <w:bottom w:val="single" w:sz="4" w:space="0" w:color="auto"/>
            </w:tcBorders>
            <w:shd w:val="clear" w:color="auto" w:fill="auto"/>
            <w:noWrap/>
            <w:vAlign w:val="bottom"/>
            <w:hideMark/>
          </w:tcPr>
          <w:p w14:paraId="49B3EC4F"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0.818</w:t>
            </w:r>
          </w:p>
        </w:tc>
        <w:tc>
          <w:tcPr>
            <w:tcW w:w="388" w:type="pct"/>
            <w:tcBorders>
              <w:top w:val="single" w:sz="4" w:space="0" w:color="auto"/>
              <w:bottom w:val="single" w:sz="4" w:space="0" w:color="auto"/>
            </w:tcBorders>
            <w:shd w:val="clear" w:color="auto" w:fill="auto"/>
            <w:noWrap/>
            <w:vAlign w:val="bottom"/>
            <w:hideMark/>
          </w:tcPr>
          <w:p w14:paraId="167D5E28"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0.688</w:t>
            </w:r>
          </w:p>
        </w:tc>
        <w:tc>
          <w:tcPr>
            <w:tcW w:w="388" w:type="pct"/>
            <w:tcBorders>
              <w:top w:val="single" w:sz="4" w:space="0" w:color="auto"/>
              <w:bottom w:val="single" w:sz="4" w:space="0" w:color="auto"/>
              <w:right w:val="single" w:sz="4" w:space="0" w:color="auto"/>
            </w:tcBorders>
            <w:shd w:val="clear" w:color="auto" w:fill="auto"/>
            <w:noWrap/>
            <w:vAlign w:val="bottom"/>
            <w:hideMark/>
          </w:tcPr>
          <w:p w14:paraId="6291D4A2"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0.835</w:t>
            </w:r>
          </w:p>
        </w:tc>
        <w:tc>
          <w:tcPr>
            <w:tcW w:w="38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973C39" w14:textId="1D448E88" w:rsidR="005343DE" w:rsidRPr="005343DE" w:rsidRDefault="005343DE" w:rsidP="005343DE">
            <w:pPr>
              <w:spacing w:line="240" w:lineRule="auto"/>
              <w:ind w:firstLine="0"/>
              <w:jc w:val="center"/>
              <w:rPr>
                <w:rFonts w:eastAsia="Times New Roman" w:cs="Times New Roman"/>
                <w:color w:val="000000"/>
                <w:sz w:val="20"/>
                <w:szCs w:val="20"/>
                <w:lang w:eastAsia="pt-BR"/>
              </w:rPr>
            </w:pPr>
          </w:p>
        </w:tc>
        <w:tc>
          <w:tcPr>
            <w:tcW w:w="608" w:type="pct"/>
            <w:tcBorders>
              <w:top w:val="single" w:sz="4" w:space="0" w:color="auto"/>
              <w:left w:val="single" w:sz="4" w:space="0" w:color="auto"/>
              <w:bottom w:val="single" w:sz="4" w:space="0" w:color="auto"/>
              <w:right w:val="nil"/>
            </w:tcBorders>
            <w:shd w:val="clear" w:color="auto" w:fill="auto"/>
            <w:noWrap/>
            <w:vAlign w:val="bottom"/>
            <w:hideMark/>
          </w:tcPr>
          <w:p w14:paraId="37EE035D" w14:textId="6A1CC900" w:rsidR="005343DE" w:rsidRPr="005343DE" w:rsidRDefault="005343DE" w:rsidP="005343DE">
            <w:pPr>
              <w:spacing w:line="240" w:lineRule="auto"/>
              <w:ind w:firstLine="0"/>
              <w:jc w:val="center"/>
              <w:rPr>
                <w:rFonts w:eastAsia="Times New Roman" w:cs="Times New Roman"/>
                <w:color w:val="000000"/>
                <w:sz w:val="20"/>
                <w:szCs w:val="20"/>
                <w:lang w:eastAsia="pt-BR"/>
              </w:rPr>
            </w:pPr>
          </w:p>
        </w:tc>
      </w:tr>
      <w:tr w:rsidR="005343DE" w:rsidRPr="005343DE" w14:paraId="55679E0A" w14:textId="77777777" w:rsidTr="005343DE">
        <w:trPr>
          <w:trHeight w:val="290"/>
          <w:jc w:val="center"/>
        </w:trPr>
        <w:tc>
          <w:tcPr>
            <w:tcW w:w="388" w:type="pct"/>
            <w:tcBorders>
              <w:top w:val="single" w:sz="4" w:space="0" w:color="auto"/>
              <w:left w:val="nil"/>
              <w:bottom w:val="single" w:sz="4" w:space="0" w:color="auto"/>
              <w:right w:val="single" w:sz="4" w:space="0" w:color="auto"/>
            </w:tcBorders>
            <w:shd w:val="clear" w:color="auto" w:fill="auto"/>
            <w:noWrap/>
            <w:vAlign w:val="bottom"/>
            <w:hideMark/>
          </w:tcPr>
          <w:p w14:paraId="39917DEF"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Intrarregional</w:t>
            </w:r>
          </w:p>
        </w:tc>
        <w:tc>
          <w:tcPr>
            <w:tcW w:w="388" w:type="pct"/>
            <w:tcBorders>
              <w:top w:val="single" w:sz="4" w:space="0" w:color="auto"/>
              <w:left w:val="nil"/>
              <w:bottom w:val="single" w:sz="4" w:space="0" w:color="auto"/>
            </w:tcBorders>
            <w:shd w:val="clear" w:color="auto" w:fill="auto"/>
            <w:vAlign w:val="bottom"/>
          </w:tcPr>
          <w:p w14:paraId="4E489ABA" w14:textId="13442D7B" w:rsidR="005343DE" w:rsidRPr="005343DE" w:rsidRDefault="005343DE" w:rsidP="005343DE">
            <w:pPr>
              <w:spacing w:line="240" w:lineRule="auto"/>
              <w:ind w:firstLine="0"/>
              <w:jc w:val="center"/>
              <w:rPr>
                <w:rFonts w:eastAsia="Times New Roman" w:cs="Times New Roman"/>
                <w:color w:val="000000"/>
                <w:sz w:val="20"/>
                <w:szCs w:val="20"/>
                <w:lang w:eastAsia="pt-BR"/>
              </w:rPr>
            </w:pPr>
          </w:p>
        </w:tc>
        <w:tc>
          <w:tcPr>
            <w:tcW w:w="463" w:type="pct"/>
            <w:tcBorders>
              <w:top w:val="single" w:sz="4" w:space="0" w:color="auto"/>
              <w:bottom w:val="single" w:sz="4" w:space="0" w:color="auto"/>
            </w:tcBorders>
            <w:shd w:val="clear" w:color="auto" w:fill="auto"/>
            <w:noWrap/>
            <w:vAlign w:val="bottom"/>
            <w:hideMark/>
          </w:tcPr>
          <w:p w14:paraId="5264A411"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0.701</w:t>
            </w:r>
          </w:p>
        </w:tc>
        <w:tc>
          <w:tcPr>
            <w:tcW w:w="388" w:type="pct"/>
            <w:tcBorders>
              <w:top w:val="single" w:sz="4" w:space="0" w:color="auto"/>
              <w:bottom w:val="single" w:sz="4" w:space="0" w:color="auto"/>
              <w:right w:val="single" w:sz="4" w:space="0" w:color="auto"/>
            </w:tcBorders>
            <w:shd w:val="clear" w:color="auto" w:fill="auto"/>
            <w:noWrap/>
            <w:vAlign w:val="bottom"/>
            <w:hideMark/>
          </w:tcPr>
          <w:p w14:paraId="79F6F97D" w14:textId="6D57FDC8" w:rsidR="005343DE" w:rsidRPr="005343DE" w:rsidRDefault="005343DE" w:rsidP="005343DE">
            <w:pPr>
              <w:spacing w:line="240" w:lineRule="auto"/>
              <w:ind w:firstLine="0"/>
              <w:jc w:val="center"/>
              <w:rPr>
                <w:rFonts w:eastAsia="Times New Roman" w:cs="Times New Roman"/>
                <w:color w:val="000000"/>
                <w:sz w:val="20"/>
                <w:szCs w:val="20"/>
                <w:lang w:eastAsia="pt-BR"/>
              </w:rPr>
            </w:pPr>
          </w:p>
        </w:tc>
        <w:tc>
          <w:tcPr>
            <w:tcW w:w="436" w:type="pct"/>
            <w:tcBorders>
              <w:top w:val="single" w:sz="4" w:space="0" w:color="auto"/>
              <w:left w:val="single" w:sz="4" w:space="0" w:color="auto"/>
              <w:bottom w:val="single" w:sz="4" w:space="0" w:color="auto"/>
            </w:tcBorders>
            <w:shd w:val="clear" w:color="auto" w:fill="auto"/>
            <w:noWrap/>
            <w:vAlign w:val="bottom"/>
            <w:hideMark/>
          </w:tcPr>
          <w:p w14:paraId="12CE1E09" w14:textId="63AFDA5D" w:rsidR="005343DE" w:rsidRPr="005343DE" w:rsidRDefault="005343DE" w:rsidP="005343DE">
            <w:pPr>
              <w:spacing w:line="240" w:lineRule="auto"/>
              <w:ind w:firstLine="0"/>
              <w:jc w:val="center"/>
              <w:rPr>
                <w:rFonts w:eastAsia="Times New Roman" w:cs="Times New Roman"/>
                <w:color w:val="000000"/>
                <w:sz w:val="20"/>
                <w:szCs w:val="20"/>
                <w:lang w:eastAsia="pt-BR"/>
              </w:rPr>
            </w:pPr>
          </w:p>
        </w:tc>
        <w:tc>
          <w:tcPr>
            <w:tcW w:w="388" w:type="pct"/>
            <w:tcBorders>
              <w:top w:val="single" w:sz="4" w:space="0" w:color="auto"/>
              <w:bottom w:val="single" w:sz="4" w:space="0" w:color="auto"/>
            </w:tcBorders>
            <w:shd w:val="clear" w:color="auto" w:fill="auto"/>
            <w:noWrap/>
            <w:vAlign w:val="bottom"/>
            <w:hideMark/>
          </w:tcPr>
          <w:p w14:paraId="0862E8DC"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0.881</w:t>
            </w:r>
          </w:p>
        </w:tc>
        <w:tc>
          <w:tcPr>
            <w:tcW w:w="388" w:type="pct"/>
            <w:tcBorders>
              <w:top w:val="single" w:sz="4" w:space="0" w:color="auto"/>
              <w:bottom w:val="single" w:sz="4" w:space="0" w:color="auto"/>
              <w:right w:val="single" w:sz="4" w:space="0" w:color="auto"/>
            </w:tcBorders>
            <w:shd w:val="clear" w:color="auto" w:fill="auto"/>
            <w:noWrap/>
            <w:vAlign w:val="bottom"/>
            <w:hideMark/>
          </w:tcPr>
          <w:p w14:paraId="558BEC21" w14:textId="6C591399" w:rsidR="005343DE" w:rsidRPr="005343DE" w:rsidRDefault="005343DE" w:rsidP="005343DE">
            <w:pPr>
              <w:spacing w:line="240" w:lineRule="auto"/>
              <w:ind w:firstLine="0"/>
              <w:jc w:val="center"/>
              <w:rPr>
                <w:rFonts w:eastAsia="Times New Roman" w:cs="Times New Roman"/>
                <w:color w:val="000000"/>
                <w:sz w:val="20"/>
                <w:szCs w:val="20"/>
                <w:lang w:eastAsia="pt-BR"/>
              </w:rPr>
            </w:pPr>
          </w:p>
        </w:tc>
        <w:tc>
          <w:tcPr>
            <w:tcW w:w="388" w:type="pct"/>
            <w:tcBorders>
              <w:top w:val="single" w:sz="4" w:space="0" w:color="auto"/>
              <w:left w:val="single" w:sz="4" w:space="0" w:color="auto"/>
              <w:bottom w:val="single" w:sz="4" w:space="0" w:color="auto"/>
            </w:tcBorders>
            <w:shd w:val="clear" w:color="auto" w:fill="auto"/>
            <w:noWrap/>
            <w:vAlign w:val="bottom"/>
            <w:hideMark/>
          </w:tcPr>
          <w:p w14:paraId="73EE8E45" w14:textId="3051D16A" w:rsidR="005343DE" w:rsidRPr="005343DE" w:rsidRDefault="005343DE" w:rsidP="005343DE">
            <w:pPr>
              <w:spacing w:line="240" w:lineRule="auto"/>
              <w:ind w:firstLine="0"/>
              <w:jc w:val="center"/>
              <w:rPr>
                <w:rFonts w:eastAsia="Times New Roman" w:cs="Times New Roman"/>
                <w:color w:val="000000"/>
                <w:sz w:val="20"/>
                <w:szCs w:val="20"/>
                <w:lang w:eastAsia="pt-BR"/>
              </w:rPr>
            </w:pPr>
          </w:p>
        </w:tc>
        <w:tc>
          <w:tcPr>
            <w:tcW w:w="388" w:type="pct"/>
            <w:tcBorders>
              <w:top w:val="single" w:sz="4" w:space="0" w:color="auto"/>
              <w:bottom w:val="single" w:sz="4" w:space="0" w:color="auto"/>
            </w:tcBorders>
            <w:shd w:val="clear" w:color="auto" w:fill="auto"/>
            <w:noWrap/>
            <w:vAlign w:val="bottom"/>
            <w:hideMark/>
          </w:tcPr>
          <w:p w14:paraId="21D4D691" w14:textId="77777777" w:rsidR="005343DE" w:rsidRPr="005343DE" w:rsidRDefault="005343DE" w:rsidP="005343DE">
            <w:pPr>
              <w:spacing w:line="240" w:lineRule="auto"/>
              <w:ind w:firstLine="0"/>
              <w:jc w:val="center"/>
              <w:rPr>
                <w:rFonts w:eastAsia="Times New Roman" w:cs="Times New Roman"/>
                <w:color w:val="000000"/>
                <w:sz w:val="20"/>
                <w:szCs w:val="20"/>
                <w:lang w:eastAsia="pt-BR"/>
              </w:rPr>
            </w:pPr>
            <w:r w:rsidRPr="005343DE">
              <w:rPr>
                <w:rFonts w:eastAsia="Times New Roman" w:cs="Times New Roman"/>
                <w:color w:val="000000"/>
                <w:sz w:val="20"/>
                <w:szCs w:val="20"/>
                <w:lang w:eastAsia="pt-BR"/>
              </w:rPr>
              <w:t>0.791</w:t>
            </w:r>
          </w:p>
        </w:tc>
        <w:tc>
          <w:tcPr>
            <w:tcW w:w="388" w:type="pct"/>
            <w:tcBorders>
              <w:top w:val="single" w:sz="4" w:space="0" w:color="auto"/>
              <w:bottom w:val="single" w:sz="4" w:space="0" w:color="auto"/>
              <w:right w:val="single" w:sz="4" w:space="0" w:color="auto"/>
            </w:tcBorders>
            <w:shd w:val="clear" w:color="auto" w:fill="auto"/>
            <w:noWrap/>
            <w:vAlign w:val="bottom"/>
            <w:hideMark/>
          </w:tcPr>
          <w:p w14:paraId="7D3848EC" w14:textId="4DDB9AA9" w:rsidR="005343DE" w:rsidRPr="005343DE" w:rsidRDefault="005343DE" w:rsidP="005343DE">
            <w:pPr>
              <w:spacing w:line="240" w:lineRule="auto"/>
              <w:ind w:firstLine="0"/>
              <w:jc w:val="center"/>
              <w:rPr>
                <w:rFonts w:eastAsia="Times New Roman" w:cs="Times New Roman"/>
                <w:color w:val="000000"/>
                <w:sz w:val="20"/>
                <w:szCs w:val="20"/>
                <w:lang w:eastAsia="pt-BR"/>
              </w:rPr>
            </w:pPr>
          </w:p>
        </w:tc>
        <w:tc>
          <w:tcPr>
            <w:tcW w:w="38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52742D" w14:textId="7CC92659" w:rsidR="005343DE" w:rsidRPr="005343DE" w:rsidRDefault="005343DE" w:rsidP="005343DE">
            <w:pPr>
              <w:spacing w:line="240" w:lineRule="auto"/>
              <w:ind w:firstLine="0"/>
              <w:jc w:val="center"/>
              <w:rPr>
                <w:rFonts w:eastAsia="Times New Roman" w:cs="Times New Roman"/>
                <w:color w:val="000000"/>
                <w:sz w:val="20"/>
                <w:szCs w:val="20"/>
                <w:lang w:eastAsia="pt-BR"/>
              </w:rPr>
            </w:pPr>
          </w:p>
        </w:tc>
        <w:tc>
          <w:tcPr>
            <w:tcW w:w="608" w:type="pct"/>
            <w:tcBorders>
              <w:top w:val="single" w:sz="4" w:space="0" w:color="auto"/>
              <w:left w:val="single" w:sz="4" w:space="0" w:color="auto"/>
              <w:bottom w:val="single" w:sz="4" w:space="0" w:color="auto"/>
              <w:right w:val="nil"/>
            </w:tcBorders>
            <w:shd w:val="clear" w:color="auto" w:fill="auto"/>
            <w:noWrap/>
            <w:vAlign w:val="bottom"/>
            <w:hideMark/>
          </w:tcPr>
          <w:p w14:paraId="3D3FD8A9" w14:textId="4BD1262F" w:rsidR="005343DE" w:rsidRPr="005343DE" w:rsidRDefault="005343DE" w:rsidP="005343DE">
            <w:pPr>
              <w:spacing w:line="240" w:lineRule="auto"/>
              <w:ind w:firstLine="0"/>
              <w:jc w:val="center"/>
              <w:rPr>
                <w:rFonts w:eastAsia="Times New Roman" w:cs="Times New Roman"/>
                <w:color w:val="000000"/>
                <w:sz w:val="20"/>
                <w:szCs w:val="20"/>
                <w:lang w:eastAsia="pt-BR"/>
              </w:rPr>
            </w:pPr>
          </w:p>
        </w:tc>
      </w:tr>
    </w:tbl>
    <w:p w14:paraId="2E2FF21B" w14:textId="5D7FC1C5" w:rsidR="005433CD" w:rsidRPr="00656BF8" w:rsidRDefault="005433CD" w:rsidP="00656BF8">
      <w:pPr>
        <w:pStyle w:val="NoSpacing"/>
        <w:jc w:val="center"/>
        <w:rPr>
          <w:rFonts w:ascii="Times New Roman" w:hAnsi="Times New Roman"/>
          <w:sz w:val="16"/>
          <w:szCs w:val="16"/>
        </w:rPr>
      </w:pPr>
      <w:r w:rsidRPr="00656BF8">
        <w:rPr>
          <w:rFonts w:ascii="Times New Roman" w:hAnsi="Times New Roman"/>
          <w:sz w:val="16"/>
          <w:szCs w:val="16"/>
        </w:rPr>
        <w:t>Fonte: Elaborado pelo autor.</w:t>
      </w:r>
    </w:p>
    <w:p w14:paraId="0067C490" w14:textId="77777777" w:rsidR="005433CD" w:rsidRDefault="005433CD" w:rsidP="005433CD">
      <w:pPr>
        <w:spacing w:line="240" w:lineRule="auto"/>
        <w:jc w:val="both"/>
      </w:pPr>
    </w:p>
    <w:p w14:paraId="7F84CDE7" w14:textId="77777777" w:rsidR="00813107" w:rsidRDefault="00813107" w:rsidP="00813107">
      <w:pPr>
        <w:spacing w:line="240" w:lineRule="auto"/>
        <w:jc w:val="both"/>
        <w:rPr>
          <w:rFonts w:eastAsia="Times New Roman" w:cs="Times New Roman"/>
          <w:color w:val="000000"/>
          <w:szCs w:val="24"/>
          <w:lang w:eastAsia="pt-BR"/>
        </w:rPr>
      </w:pPr>
      <w:r>
        <w:rPr>
          <w:szCs w:val="24"/>
        </w:rPr>
        <w:t>A análise global indica que</w:t>
      </w:r>
      <w:r w:rsidRPr="002750D3">
        <w:rPr>
          <w:szCs w:val="24"/>
        </w:rPr>
        <w:t xml:space="preserve"> os coeficientes de correlação apresentaram-se todos positivos, variando entre 0.574 (CE-PE) e 0.926 (MG-SP), sugerindo que as flutuações cíclicas dos Estados movimentam-se na mesma direção frente a perturbações de curto prazo, diferindo entre si somente em intensidade. O índice de concordância indica também uma forte sincronização nos ciclos do mercado de trabalho formal, a estatística oscilou entre  0.662 (CE-PE, PE-PR) e </w:t>
      </w:r>
      <w:r w:rsidRPr="005343DE">
        <w:rPr>
          <w:rFonts w:eastAsia="Times New Roman" w:cs="Times New Roman"/>
          <w:color w:val="000000"/>
          <w:szCs w:val="24"/>
          <w:lang w:eastAsia="pt-BR"/>
        </w:rPr>
        <w:t>0.948</w:t>
      </w:r>
      <w:r w:rsidRPr="002750D3">
        <w:rPr>
          <w:rFonts w:eastAsia="Times New Roman" w:cs="Times New Roman"/>
          <w:color w:val="000000"/>
          <w:szCs w:val="24"/>
          <w:lang w:eastAsia="pt-BR"/>
        </w:rPr>
        <w:t xml:space="preserve"> (MG-SP)</w:t>
      </w:r>
    </w:p>
    <w:p w14:paraId="296B520A" w14:textId="28BEEC06" w:rsidR="00813107" w:rsidRDefault="00813107" w:rsidP="00813107">
      <w:pPr>
        <w:spacing w:line="240" w:lineRule="auto"/>
        <w:jc w:val="both"/>
        <w:rPr>
          <w:rFonts w:eastAsia="Times New Roman" w:cs="Times New Roman"/>
          <w:color w:val="000000"/>
          <w:szCs w:val="24"/>
          <w:lang w:eastAsia="pt-BR"/>
        </w:rPr>
      </w:pPr>
      <w:r>
        <w:rPr>
          <w:rFonts w:eastAsia="Times New Roman" w:cs="Times New Roman"/>
          <w:color w:val="000000"/>
          <w:szCs w:val="24"/>
          <w:lang w:eastAsia="pt-BR"/>
        </w:rPr>
        <w:t>Segundo os coeficientes de correlação e as estatísticas de concordância, a região nordeste apresenta menor sincronização intrarregional, se comparada com as regiões sudeste e sul. Um aspecto importante para explicar o menor grau de interação entre os ciclos nordestinos diz respeito ao baixo grau de desenvolvimento econômico dos mesmos, com níveis produção e grau de especialização da mão de obra robustamente inferiores aos demais contemplados na amostra, a literatura aponta que a sincronização entre os ciclos está diretamente relacionada ao grau de desenvolvimento das economias, e existem evidências na literatura de economia regional de que a atividade econômica das UFs nordestinas apresentam baixo grau de interdependência (Perobelli e Haddad, 2006</w:t>
      </w:r>
      <w:r w:rsidR="00C92096">
        <w:rPr>
          <w:rFonts w:eastAsia="Times New Roman" w:cs="Times New Roman"/>
          <w:color w:val="000000"/>
          <w:szCs w:val="24"/>
          <w:lang w:eastAsia="pt-BR"/>
        </w:rPr>
        <w:t xml:space="preserve">; </w:t>
      </w:r>
      <w:r>
        <w:rPr>
          <w:rFonts w:eastAsia="Times New Roman" w:cs="Times New Roman"/>
          <w:color w:val="000000"/>
          <w:szCs w:val="24"/>
          <w:lang w:eastAsia="pt-BR"/>
        </w:rPr>
        <w:t xml:space="preserve">Perobelli </w:t>
      </w:r>
      <w:r>
        <w:rPr>
          <w:rFonts w:eastAsia="Times New Roman" w:cs="Times New Roman"/>
          <w:i/>
          <w:iCs/>
          <w:color w:val="000000"/>
          <w:szCs w:val="24"/>
          <w:lang w:eastAsia="pt-BR"/>
        </w:rPr>
        <w:t>et. al,</w:t>
      </w:r>
      <w:r>
        <w:rPr>
          <w:rFonts w:eastAsia="Times New Roman" w:cs="Times New Roman"/>
          <w:color w:val="000000"/>
          <w:szCs w:val="24"/>
          <w:lang w:eastAsia="pt-BR"/>
        </w:rPr>
        <w:t xml:space="preserve"> 2010</w:t>
      </w:r>
      <w:r>
        <w:rPr>
          <w:rFonts w:eastAsia="Times New Roman" w:cs="Times New Roman"/>
          <w:i/>
          <w:iCs/>
          <w:color w:val="000000"/>
          <w:szCs w:val="24"/>
          <w:lang w:eastAsia="pt-BR"/>
        </w:rPr>
        <w:t>)</w:t>
      </w:r>
      <w:r>
        <w:rPr>
          <w:rFonts w:eastAsia="Times New Roman" w:cs="Times New Roman"/>
          <w:color w:val="000000"/>
          <w:szCs w:val="24"/>
          <w:lang w:eastAsia="pt-BR"/>
        </w:rPr>
        <w:t>.</w:t>
      </w:r>
    </w:p>
    <w:p w14:paraId="3E1DD2E5" w14:textId="2CC9B8F3" w:rsidR="005168D6" w:rsidRDefault="005168D6" w:rsidP="005168D6">
      <w:pPr>
        <w:spacing w:line="240" w:lineRule="auto"/>
        <w:jc w:val="both"/>
        <w:rPr>
          <w:rFonts w:eastAsia="Times New Roman" w:cs="Times New Roman"/>
          <w:color w:val="000000"/>
          <w:szCs w:val="24"/>
          <w:lang w:eastAsia="pt-BR"/>
        </w:rPr>
      </w:pPr>
      <w:r>
        <w:rPr>
          <w:rFonts w:eastAsia="Times New Roman" w:cs="Times New Roman"/>
          <w:color w:val="000000"/>
          <w:szCs w:val="24"/>
          <w:lang w:eastAsia="pt-BR"/>
        </w:rPr>
        <w:t>Por outro lado, os coeficientes médios de correlação e concordância na região sul foram iguais a 0.881 e 0.896, respectivamente, o que indica uma forte sincronização intrarregional. A homogeneidade observada na composição da matriz produtiva dos Estados tende a contribuir para que os distúrbios transitórios transbordem entre as mesmas, neste contexto, a proximidade geográfica e o grau de comercialização interestadual devem acentuar ainda mais o efeito transbordamento, contribuindo também para a forte sincronização.</w:t>
      </w:r>
    </w:p>
    <w:p w14:paraId="19306500" w14:textId="77777777" w:rsidR="005168D6" w:rsidRDefault="005168D6" w:rsidP="005168D6">
      <w:pPr>
        <w:spacing w:line="240" w:lineRule="auto"/>
        <w:jc w:val="both"/>
        <w:rPr>
          <w:rFonts w:eastAsia="Times New Roman" w:cs="Times New Roman"/>
          <w:color w:val="000000"/>
          <w:szCs w:val="24"/>
          <w:lang w:eastAsia="pt-BR"/>
        </w:rPr>
      </w:pPr>
      <w:r>
        <w:rPr>
          <w:rFonts w:eastAsia="Times New Roman" w:cs="Times New Roman"/>
          <w:color w:val="000000"/>
          <w:szCs w:val="24"/>
          <w:lang w:eastAsia="pt-BR"/>
        </w:rPr>
        <w:t xml:space="preserve">Os Estados de São Paulo e Minas Gerais apresentaram os maiores graus de integração tanto segundo o coeficiente de correlação quanto o índice de concordância. No entanto, o grau de sincronização entre ambas as UFs e o Rio de Janeiro foi efetivamente menor (correlações entre 0.687 e 0.760 e concordância igual a 0.779). Tal resultado se alinha a heterogeneidade na composição da matriz produtiva </w:t>
      </w:r>
      <w:r>
        <w:rPr>
          <w:rFonts w:eastAsia="Times New Roman" w:cs="Times New Roman"/>
          <w:color w:val="000000"/>
          <w:szCs w:val="24"/>
          <w:lang w:eastAsia="pt-BR"/>
        </w:rPr>
        <w:lastRenderedPageBreak/>
        <w:t>carioca em relação à Minas Gerais e São Paulo, de modo que os distúrbios setorias de curto prazo contribuem para a dispersão no grau de sincronização entre as economias citadas.</w:t>
      </w:r>
    </w:p>
    <w:p w14:paraId="13AD1C19" w14:textId="70A18A4F" w:rsidR="00D92ED6" w:rsidRDefault="00D92ED6" w:rsidP="005168D6">
      <w:pPr>
        <w:spacing w:line="240" w:lineRule="auto"/>
        <w:jc w:val="both"/>
        <w:rPr>
          <w:rFonts w:eastAsia="Times New Roman" w:cs="Times New Roman"/>
          <w:color w:val="000000"/>
          <w:szCs w:val="24"/>
          <w:lang w:eastAsia="pt-BR"/>
        </w:rPr>
      </w:pPr>
      <w:r>
        <w:rPr>
          <w:rFonts w:eastAsia="Times New Roman" w:cs="Times New Roman"/>
          <w:color w:val="000000"/>
          <w:szCs w:val="24"/>
          <w:lang w:eastAsia="pt-BR"/>
        </w:rPr>
        <w:t xml:space="preserve">Por fim, destaca-se que os Estados com maior grau de participação relativa da Indústria de Transformação no </w:t>
      </w:r>
      <w:r w:rsidR="00F11CD1">
        <w:rPr>
          <w:rFonts w:eastAsia="Times New Roman" w:cs="Times New Roman"/>
          <w:color w:val="000000"/>
          <w:szCs w:val="24"/>
          <w:lang w:eastAsia="pt-BR"/>
        </w:rPr>
        <w:t>VAB</w:t>
      </w:r>
      <w:r>
        <w:rPr>
          <w:rFonts w:eastAsia="Times New Roman" w:cs="Times New Roman"/>
          <w:color w:val="000000"/>
          <w:szCs w:val="24"/>
          <w:lang w:eastAsia="pt-BR"/>
        </w:rPr>
        <w:t xml:space="preserve"> (Paraná, Rio Grande do Sul, Santa Catarina, Minas Gerais e São Paulo) possuem comovimentos robustos nos ciclos econômicos no mercado de trabalho formal, com os coeficientes de correlação e concordância iguais ou superiores a 0.831 em todos os casos.</w:t>
      </w:r>
    </w:p>
    <w:p w14:paraId="27EC781E" w14:textId="58303425" w:rsidR="005433CD" w:rsidRDefault="008C0A60" w:rsidP="005168D6">
      <w:pPr>
        <w:spacing w:line="240" w:lineRule="auto"/>
        <w:jc w:val="both"/>
      </w:pPr>
      <w:r>
        <w:t>Dado</w:t>
      </w:r>
      <w:r w:rsidR="005433CD">
        <w:t xml:space="preserve"> a similaridade</w:t>
      </w:r>
      <w:r>
        <w:t>,</w:t>
      </w:r>
      <w:r w:rsidR="005433CD">
        <w:t xml:space="preserve"> no sentido do comportamento de curto prazo dos ciclos individuais observado pala análise de correlação, o teste de causalidade de Granger torna-se uma ferramenta útil para inferir sobre a possível presença de contágio entre os ciclos individuais, avaliando se um ou mais ciclos possuem capacidade preditiva sobre os demais.</w:t>
      </w:r>
    </w:p>
    <w:p w14:paraId="2D20AD49" w14:textId="77777777" w:rsidR="00813107" w:rsidRDefault="00317973" w:rsidP="00E60A29">
      <w:pPr>
        <w:spacing w:line="240" w:lineRule="auto"/>
        <w:jc w:val="both"/>
        <w:rPr>
          <w:rFonts w:eastAsiaTheme="minorEastAsia"/>
        </w:rPr>
      </w:pPr>
      <w:r>
        <w:rPr>
          <w:rFonts w:eastAsiaTheme="minorEastAsia"/>
        </w:rPr>
        <w:t xml:space="preserve">Os resultados são proeminentes em demonstrar causalidade bi-direcional em grande parte dos casos. Em termos específicos, vale ressaltar os ciclos de MG, PE, PR e SC são amplamente previstos pelas demais séries, enquanto o ciclo do CE não é capaz de prever nenhum dos ciclos em análise. </w:t>
      </w:r>
    </w:p>
    <w:p w14:paraId="6F4FD584" w14:textId="4F5186ED" w:rsidR="00A85E2F" w:rsidRDefault="00895BFD" w:rsidP="005433CD">
      <w:pPr>
        <w:spacing w:line="240" w:lineRule="auto"/>
        <w:jc w:val="both"/>
      </w:pPr>
      <w:r>
        <w:br/>
      </w:r>
      <w:bookmarkStart w:id="22" w:name="_Toc496278370"/>
      <w:r>
        <w:t>Tabela 7: Causalidade de Granger entre os Ciclos.</w:t>
      </w:r>
      <w:bookmarkEnd w:id="22"/>
      <w:r w:rsidR="00F33464">
        <w:t>¹</w:t>
      </w:r>
    </w:p>
    <w:tbl>
      <w:tblPr>
        <w:tblW w:w="9740" w:type="dxa"/>
        <w:jc w:val="center"/>
        <w:tblCellMar>
          <w:left w:w="70" w:type="dxa"/>
          <w:right w:w="70" w:type="dxa"/>
        </w:tblCellMar>
        <w:tblLook w:val="04A0" w:firstRow="1" w:lastRow="0" w:firstColumn="1" w:lastColumn="0" w:noHBand="0" w:noVBand="1"/>
      </w:tblPr>
      <w:tblGrid>
        <w:gridCol w:w="960"/>
        <w:gridCol w:w="960"/>
        <w:gridCol w:w="960"/>
        <w:gridCol w:w="960"/>
        <w:gridCol w:w="960"/>
        <w:gridCol w:w="1100"/>
        <w:gridCol w:w="960"/>
        <w:gridCol w:w="960"/>
        <w:gridCol w:w="960"/>
        <w:gridCol w:w="960"/>
      </w:tblGrid>
      <w:tr w:rsidR="00B17695" w:rsidRPr="00B17695" w14:paraId="13CDE339" w14:textId="77777777" w:rsidTr="00B17695">
        <w:trPr>
          <w:trHeight w:val="290"/>
          <w:jc w:val="center"/>
        </w:trPr>
        <w:tc>
          <w:tcPr>
            <w:tcW w:w="960" w:type="dxa"/>
            <w:tcBorders>
              <w:top w:val="single" w:sz="4" w:space="0" w:color="auto"/>
              <w:left w:val="nil"/>
              <w:bottom w:val="single" w:sz="4" w:space="0" w:color="auto"/>
              <w:right w:val="nil"/>
            </w:tcBorders>
            <w:shd w:val="clear" w:color="000000" w:fill="FFFFFF"/>
            <w:noWrap/>
            <w:vAlign w:val="bottom"/>
            <w:hideMark/>
          </w:tcPr>
          <w:p w14:paraId="2CFABA77" w14:textId="3A88A69F" w:rsidR="00B17695" w:rsidRPr="00B17695" w:rsidRDefault="00B17695" w:rsidP="00B17695">
            <w:pPr>
              <w:spacing w:line="240" w:lineRule="auto"/>
              <w:ind w:firstLine="0"/>
              <w:jc w:val="center"/>
              <w:rPr>
                <w:rFonts w:eastAsia="Times New Roman" w:cs="Times New Roman"/>
                <w:color w:val="000000"/>
                <w:sz w:val="20"/>
                <w:szCs w:val="20"/>
                <w:lang w:eastAsia="pt-BR"/>
              </w:rPr>
            </w:pPr>
          </w:p>
        </w:tc>
        <w:tc>
          <w:tcPr>
            <w:tcW w:w="960" w:type="dxa"/>
            <w:tcBorders>
              <w:top w:val="single" w:sz="4" w:space="0" w:color="auto"/>
              <w:left w:val="nil"/>
              <w:bottom w:val="single" w:sz="4" w:space="0" w:color="auto"/>
              <w:right w:val="nil"/>
            </w:tcBorders>
            <w:shd w:val="clear" w:color="000000" w:fill="FFFFFF"/>
            <w:vAlign w:val="bottom"/>
            <w:hideMark/>
          </w:tcPr>
          <w:p w14:paraId="29D02F8A"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BA</w:t>
            </w:r>
          </w:p>
        </w:tc>
        <w:tc>
          <w:tcPr>
            <w:tcW w:w="960" w:type="dxa"/>
            <w:tcBorders>
              <w:top w:val="single" w:sz="4" w:space="0" w:color="auto"/>
              <w:left w:val="nil"/>
              <w:bottom w:val="single" w:sz="4" w:space="0" w:color="auto"/>
              <w:right w:val="nil"/>
            </w:tcBorders>
            <w:shd w:val="clear" w:color="000000" w:fill="FFFFFF"/>
            <w:vAlign w:val="bottom"/>
            <w:hideMark/>
          </w:tcPr>
          <w:p w14:paraId="32BC7F79"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CE</w:t>
            </w:r>
          </w:p>
        </w:tc>
        <w:tc>
          <w:tcPr>
            <w:tcW w:w="960" w:type="dxa"/>
            <w:tcBorders>
              <w:top w:val="single" w:sz="4" w:space="0" w:color="auto"/>
              <w:left w:val="nil"/>
              <w:bottom w:val="single" w:sz="4" w:space="0" w:color="auto"/>
              <w:right w:val="nil"/>
            </w:tcBorders>
            <w:shd w:val="clear" w:color="000000" w:fill="FFFFFF"/>
            <w:vAlign w:val="bottom"/>
            <w:hideMark/>
          </w:tcPr>
          <w:p w14:paraId="04732398"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MG</w:t>
            </w:r>
          </w:p>
        </w:tc>
        <w:tc>
          <w:tcPr>
            <w:tcW w:w="960" w:type="dxa"/>
            <w:tcBorders>
              <w:top w:val="single" w:sz="4" w:space="0" w:color="auto"/>
              <w:left w:val="nil"/>
              <w:bottom w:val="single" w:sz="4" w:space="0" w:color="auto"/>
              <w:right w:val="nil"/>
            </w:tcBorders>
            <w:shd w:val="clear" w:color="000000" w:fill="FFFFFF"/>
            <w:vAlign w:val="bottom"/>
            <w:hideMark/>
          </w:tcPr>
          <w:p w14:paraId="50294181"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PE</w:t>
            </w:r>
          </w:p>
        </w:tc>
        <w:tc>
          <w:tcPr>
            <w:tcW w:w="1100" w:type="dxa"/>
            <w:tcBorders>
              <w:top w:val="single" w:sz="4" w:space="0" w:color="auto"/>
              <w:left w:val="nil"/>
              <w:bottom w:val="single" w:sz="4" w:space="0" w:color="auto"/>
              <w:right w:val="nil"/>
            </w:tcBorders>
            <w:shd w:val="clear" w:color="000000" w:fill="FFFFFF"/>
            <w:vAlign w:val="bottom"/>
            <w:hideMark/>
          </w:tcPr>
          <w:p w14:paraId="59C2D00C"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PR</w:t>
            </w:r>
          </w:p>
        </w:tc>
        <w:tc>
          <w:tcPr>
            <w:tcW w:w="960" w:type="dxa"/>
            <w:tcBorders>
              <w:top w:val="single" w:sz="4" w:space="0" w:color="auto"/>
              <w:left w:val="nil"/>
              <w:bottom w:val="single" w:sz="4" w:space="0" w:color="auto"/>
              <w:right w:val="nil"/>
            </w:tcBorders>
            <w:shd w:val="clear" w:color="000000" w:fill="FFFFFF"/>
            <w:vAlign w:val="bottom"/>
            <w:hideMark/>
          </w:tcPr>
          <w:p w14:paraId="21B44290"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RJ</w:t>
            </w:r>
          </w:p>
        </w:tc>
        <w:tc>
          <w:tcPr>
            <w:tcW w:w="960" w:type="dxa"/>
            <w:tcBorders>
              <w:top w:val="single" w:sz="4" w:space="0" w:color="auto"/>
              <w:left w:val="nil"/>
              <w:bottom w:val="single" w:sz="4" w:space="0" w:color="auto"/>
              <w:right w:val="nil"/>
            </w:tcBorders>
            <w:shd w:val="clear" w:color="000000" w:fill="FFFFFF"/>
            <w:vAlign w:val="bottom"/>
            <w:hideMark/>
          </w:tcPr>
          <w:p w14:paraId="1B6A5EDD"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RS</w:t>
            </w:r>
          </w:p>
        </w:tc>
        <w:tc>
          <w:tcPr>
            <w:tcW w:w="960" w:type="dxa"/>
            <w:tcBorders>
              <w:top w:val="single" w:sz="4" w:space="0" w:color="auto"/>
              <w:left w:val="nil"/>
              <w:bottom w:val="single" w:sz="4" w:space="0" w:color="auto"/>
              <w:right w:val="nil"/>
            </w:tcBorders>
            <w:shd w:val="clear" w:color="000000" w:fill="FFFFFF"/>
            <w:vAlign w:val="bottom"/>
            <w:hideMark/>
          </w:tcPr>
          <w:p w14:paraId="5AC601E0"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SC</w:t>
            </w:r>
          </w:p>
        </w:tc>
        <w:tc>
          <w:tcPr>
            <w:tcW w:w="960" w:type="dxa"/>
            <w:tcBorders>
              <w:top w:val="single" w:sz="4" w:space="0" w:color="auto"/>
              <w:left w:val="nil"/>
              <w:bottom w:val="single" w:sz="4" w:space="0" w:color="auto"/>
              <w:right w:val="nil"/>
            </w:tcBorders>
            <w:shd w:val="clear" w:color="000000" w:fill="FFFFFF"/>
            <w:vAlign w:val="bottom"/>
            <w:hideMark/>
          </w:tcPr>
          <w:p w14:paraId="7942D40D"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SP</w:t>
            </w:r>
          </w:p>
        </w:tc>
      </w:tr>
      <w:tr w:rsidR="00B17695" w:rsidRPr="00B17695" w14:paraId="17306F96" w14:textId="77777777" w:rsidTr="00B17695">
        <w:trPr>
          <w:trHeight w:val="290"/>
          <w:jc w:val="center"/>
        </w:trPr>
        <w:tc>
          <w:tcPr>
            <w:tcW w:w="960" w:type="dxa"/>
            <w:tcBorders>
              <w:top w:val="nil"/>
              <w:left w:val="nil"/>
              <w:bottom w:val="nil"/>
              <w:right w:val="nil"/>
            </w:tcBorders>
            <w:shd w:val="clear" w:color="000000" w:fill="FFFFFF"/>
            <w:vAlign w:val="bottom"/>
            <w:hideMark/>
          </w:tcPr>
          <w:p w14:paraId="5C92B5C8"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BA</w:t>
            </w:r>
          </w:p>
        </w:tc>
        <w:tc>
          <w:tcPr>
            <w:tcW w:w="960" w:type="dxa"/>
            <w:tcBorders>
              <w:top w:val="nil"/>
              <w:left w:val="nil"/>
              <w:bottom w:val="nil"/>
              <w:right w:val="nil"/>
            </w:tcBorders>
            <w:shd w:val="clear" w:color="000000" w:fill="FFFFFF"/>
            <w:noWrap/>
            <w:vAlign w:val="bottom"/>
            <w:hideMark/>
          </w:tcPr>
          <w:p w14:paraId="03549CB7" w14:textId="276CFC0D" w:rsidR="00B17695" w:rsidRPr="00B17695" w:rsidRDefault="00B17695" w:rsidP="00B17695">
            <w:pPr>
              <w:spacing w:line="240" w:lineRule="auto"/>
              <w:ind w:firstLine="0"/>
              <w:jc w:val="center"/>
              <w:rPr>
                <w:rFonts w:eastAsia="Times New Roman" w:cs="Times New Roman"/>
                <w:color w:val="000000"/>
                <w:sz w:val="20"/>
                <w:szCs w:val="20"/>
                <w:lang w:eastAsia="pt-BR"/>
              </w:rPr>
            </w:pPr>
          </w:p>
        </w:tc>
        <w:tc>
          <w:tcPr>
            <w:tcW w:w="960" w:type="dxa"/>
            <w:tcBorders>
              <w:top w:val="nil"/>
              <w:left w:val="nil"/>
              <w:bottom w:val="nil"/>
              <w:right w:val="nil"/>
            </w:tcBorders>
            <w:shd w:val="clear" w:color="000000" w:fill="FFFFFF"/>
            <w:noWrap/>
            <w:vAlign w:val="bottom"/>
            <w:hideMark/>
          </w:tcPr>
          <w:p w14:paraId="600CD0E6" w14:textId="42822A85"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0.037</w:t>
            </w:r>
            <w:r w:rsidR="00895BFD">
              <w:rPr>
                <w:rFonts w:eastAsia="Times New Roman" w:cs="Times New Roman"/>
                <w:color w:val="000000"/>
                <w:sz w:val="20"/>
                <w:szCs w:val="20"/>
                <w:lang w:eastAsia="pt-BR"/>
              </w:rPr>
              <w:t>*</w:t>
            </w:r>
          </w:p>
        </w:tc>
        <w:tc>
          <w:tcPr>
            <w:tcW w:w="960" w:type="dxa"/>
            <w:tcBorders>
              <w:top w:val="nil"/>
              <w:left w:val="nil"/>
              <w:bottom w:val="nil"/>
              <w:right w:val="nil"/>
            </w:tcBorders>
            <w:shd w:val="clear" w:color="000000" w:fill="FFFFFF"/>
            <w:noWrap/>
            <w:vAlign w:val="center"/>
            <w:hideMark/>
          </w:tcPr>
          <w:p w14:paraId="66B6FF24" w14:textId="16A603B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0.020</w:t>
            </w:r>
            <w:r w:rsidR="00895BFD">
              <w:rPr>
                <w:rFonts w:eastAsia="Times New Roman" w:cs="Times New Roman"/>
                <w:color w:val="000000"/>
                <w:sz w:val="20"/>
                <w:szCs w:val="20"/>
                <w:lang w:eastAsia="pt-BR"/>
              </w:rPr>
              <w:t>*</w:t>
            </w:r>
          </w:p>
        </w:tc>
        <w:tc>
          <w:tcPr>
            <w:tcW w:w="960" w:type="dxa"/>
            <w:tcBorders>
              <w:top w:val="nil"/>
              <w:left w:val="nil"/>
              <w:bottom w:val="nil"/>
              <w:right w:val="nil"/>
            </w:tcBorders>
            <w:shd w:val="clear" w:color="000000" w:fill="FFFFFF"/>
            <w:noWrap/>
            <w:vAlign w:val="center"/>
            <w:hideMark/>
          </w:tcPr>
          <w:p w14:paraId="1566F507" w14:textId="79E93D52"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0.000</w:t>
            </w:r>
            <w:r w:rsidR="00895BFD">
              <w:rPr>
                <w:rFonts w:eastAsia="Times New Roman" w:cs="Times New Roman"/>
                <w:color w:val="000000"/>
                <w:sz w:val="20"/>
                <w:szCs w:val="20"/>
                <w:lang w:eastAsia="pt-BR"/>
              </w:rPr>
              <w:t>*</w:t>
            </w:r>
          </w:p>
        </w:tc>
        <w:tc>
          <w:tcPr>
            <w:tcW w:w="1100" w:type="dxa"/>
            <w:tcBorders>
              <w:top w:val="nil"/>
              <w:left w:val="nil"/>
              <w:bottom w:val="nil"/>
              <w:right w:val="nil"/>
            </w:tcBorders>
            <w:shd w:val="clear" w:color="000000" w:fill="FFFFFF"/>
            <w:noWrap/>
            <w:vAlign w:val="center"/>
            <w:hideMark/>
          </w:tcPr>
          <w:p w14:paraId="29D2C511"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0.387</w:t>
            </w:r>
          </w:p>
        </w:tc>
        <w:tc>
          <w:tcPr>
            <w:tcW w:w="960" w:type="dxa"/>
            <w:tcBorders>
              <w:top w:val="nil"/>
              <w:left w:val="nil"/>
              <w:bottom w:val="nil"/>
              <w:right w:val="nil"/>
            </w:tcBorders>
            <w:shd w:val="clear" w:color="000000" w:fill="FFFFFF"/>
            <w:noWrap/>
            <w:vAlign w:val="center"/>
            <w:hideMark/>
          </w:tcPr>
          <w:p w14:paraId="15DEE782" w14:textId="03E27BB0"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0.013</w:t>
            </w:r>
            <w:r w:rsidR="00895BFD">
              <w:rPr>
                <w:rFonts w:eastAsia="Times New Roman" w:cs="Times New Roman"/>
                <w:color w:val="000000"/>
                <w:sz w:val="20"/>
                <w:szCs w:val="20"/>
                <w:lang w:eastAsia="pt-BR"/>
              </w:rPr>
              <w:t>*</w:t>
            </w:r>
          </w:p>
        </w:tc>
        <w:tc>
          <w:tcPr>
            <w:tcW w:w="960" w:type="dxa"/>
            <w:tcBorders>
              <w:top w:val="nil"/>
              <w:left w:val="nil"/>
              <w:bottom w:val="nil"/>
              <w:right w:val="nil"/>
            </w:tcBorders>
            <w:shd w:val="clear" w:color="000000" w:fill="FFFFFF"/>
            <w:noWrap/>
            <w:vAlign w:val="center"/>
            <w:hideMark/>
          </w:tcPr>
          <w:p w14:paraId="236420E6"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0.553</w:t>
            </w:r>
          </w:p>
        </w:tc>
        <w:tc>
          <w:tcPr>
            <w:tcW w:w="960" w:type="dxa"/>
            <w:tcBorders>
              <w:top w:val="nil"/>
              <w:left w:val="nil"/>
              <w:bottom w:val="nil"/>
              <w:right w:val="nil"/>
            </w:tcBorders>
            <w:shd w:val="clear" w:color="000000" w:fill="FFFFFF"/>
            <w:noWrap/>
            <w:vAlign w:val="center"/>
            <w:hideMark/>
          </w:tcPr>
          <w:p w14:paraId="534ED3A5" w14:textId="22AFBD05"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0.021</w:t>
            </w:r>
            <w:r w:rsidR="00895BFD">
              <w:rPr>
                <w:rFonts w:eastAsia="Times New Roman" w:cs="Times New Roman"/>
                <w:color w:val="000000"/>
                <w:sz w:val="20"/>
                <w:szCs w:val="20"/>
                <w:lang w:eastAsia="pt-BR"/>
              </w:rPr>
              <w:t>*</w:t>
            </w:r>
          </w:p>
        </w:tc>
        <w:tc>
          <w:tcPr>
            <w:tcW w:w="960" w:type="dxa"/>
            <w:tcBorders>
              <w:top w:val="nil"/>
              <w:left w:val="nil"/>
              <w:bottom w:val="nil"/>
              <w:right w:val="nil"/>
            </w:tcBorders>
            <w:shd w:val="clear" w:color="000000" w:fill="FFFFFF"/>
            <w:noWrap/>
            <w:vAlign w:val="center"/>
            <w:hideMark/>
          </w:tcPr>
          <w:p w14:paraId="121A54B5"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0.080</w:t>
            </w:r>
          </w:p>
        </w:tc>
      </w:tr>
      <w:tr w:rsidR="00B17695" w:rsidRPr="00B17695" w14:paraId="43DC48EA" w14:textId="77777777" w:rsidTr="00B17695">
        <w:trPr>
          <w:trHeight w:val="290"/>
          <w:jc w:val="center"/>
        </w:trPr>
        <w:tc>
          <w:tcPr>
            <w:tcW w:w="960" w:type="dxa"/>
            <w:tcBorders>
              <w:top w:val="nil"/>
              <w:left w:val="nil"/>
              <w:bottom w:val="nil"/>
              <w:right w:val="nil"/>
            </w:tcBorders>
            <w:shd w:val="clear" w:color="000000" w:fill="FFFFFF"/>
            <w:vAlign w:val="bottom"/>
            <w:hideMark/>
          </w:tcPr>
          <w:p w14:paraId="38357A13"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CE</w:t>
            </w:r>
          </w:p>
        </w:tc>
        <w:tc>
          <w:tcPr>
            <w:tcW w:w="960" w:type="dxa"/>
            <w:tcBorders>
              <w:top w:val="nil"/>
              <w:left w:val="nil"/>
              <w:bottom w:val="nil"/>
              <w:right w:val="nil"/>
            </w:tcBorders>
            <w:shd w:val="clear" w:color="000000" w:fill="FFFFFF"/>
            <w:noWrap/>
            <w:vAlign w:val="center"/>
            <w:hideMark/>
          </w:tcPr>
          <w:p w14:paraId="769907A9"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0.775</w:t>
            </w:r>
          </w:p>
        </w:tc>
        <w:tc>
          <w:tcPr>
            <w:tcW w:w="960" w:type="dxa"/>
            <w:tcBorders>
              <w:top w:val="nil"/>
              <w:left w:val="nil"/>
              <w:bottom w:val="nil"/>
              <w:right w:val="nil"/>
            </w:tcBorders>
            <w:shd w:val="clear" w:color="000000" w:fill="FFFFFF"/>
            <w:noWrap/>
            <w:vAlign w:val="bottom"/>
            <w:hideMark/>
          </w:tcPr>
          <w:p w14:paraId="67C7D9A6" w14:textId="1B0E53D8" w:rsidR="00B17695" w:rsidRPr="00B17695" w:rsidRDefault="00B17695" w:rsidP="00B17695">
            <w:pPr>
              <w:spacing w:line="240" w:lineRule="auto"/>
              <w:ind w:firstLine="0"/>
              <w:jc w:val="center"/>
              <w:rPr>
                <w:rFonts w:eastAsia="Times New Roman" w:cs="Times New Roman"/>
                <w:color w:val="000000"/>
                <w:sz w:val="20"/>
                <w:szCs w:val="20"/>
                <w:lang w:eastAsia="pt-BR"/>
              </w:rPr>
            </w:pPr>
          </w:p>
        </w:tc>
        <w:tc>
          <w:tcPr>
            <w:tcW w:w="960" w:type="dxa"/>
            <w:tcBorders>
              <w:top w:val="nil"/>
              <w:left w:val="nil"/>
              <w:bottom w:val="nil"/>
              <w:right w:val="nil"/>
            </w:tcBorders>
            <w:shd w:val="clear" w:color="000000" w:fill="FFFFFF"/>
            <w:noWrap/>
            <w:vAlign w:val="center"/>
            <w:hideMark/>
          </w:tcPr>
          <w:p w14:paraId="78F5ADDC"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0.142</w:t>
            </w:r>
          </w:p>
        </w:tc>
        <w:tc>
          <w:tcPr>
            <w:tcW w:w="960" w:type="dxa"/>
            <w:tcBorders>
              <w:top w:val="nil"/>
              <w:left w:val="nil"/>
              <w:bottom w:val="nil"/>
              <w:right w:val="nil"/>
            </w:tcBorders>
            <w:shd w:val="clear" w:color="000000" w:fill="FFFFFF"/>
            <w:noWrap/>
            <w:vAlign w:val="center"/>
            <w:hideMark/>
          </w:tcPr>
          <w:p w14:paraId="041BDB18"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0.099</w:t>
            </w:r>
          </w:p>
        </w:tc>
        <w:tc>
          <w:tcPr>
            <w:tcW w:w="1100" w:type="dxa"/>
            <w:tcBorders>
              <w:top w:val="nil"/>
              <w:left w:val="nil"/>
              <w:bottom w:val="nil"/>
              <w:right w:val="nil"/>
            </w:tcBorders>
            <w:shd w:val="clear" w:color="000000" w:fill="FFFFFF"/>
            <w:noWrap/>
            <w:vAlign w:val="center"/>
            <w:hideMark/>
          </w:tcPr>
          <w:p w14:paraId="3BB0D919"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0.737</w:t>
            </w:r>
          </w:p>
        </w:tc>
        <w:tc>
          <w:tcPr>
            <w:tcW w:w="960" w:type="dxa"/>
            <w:tcBorders>
              <w:top w:val="nil"/>
              <w:left w:val="nil"/>
              <w:bottom w:val="nil"/>
              <w:right w:val="nil"/>
            </w:tcBorders>
            <w:shd w:val="clear" w:color="000000" w:fill="FFFFFF"/>
            <w:noWrap/>
            <w:vAlign w:val="center"/>
            <w:hideMark/>
          </w:tcPr>
          <w:p w14:paraId="0A856276"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0.362</w:t>
            </w:r>
          </w:p>
        </w:tc>
        <w:tc>
          <w:tcPr>
            <w:tcW w:w="960" w:type="dxa"/>
            <w:tcBorders>
              <w:top w:val="nil"/>
              <w:left w:val="nil"/>
              <w:bottom w:val="nil"/>
              <w:right w:val="nil"/>
            </w:tcBorders>
            <w:shd w:val="clear" w:color="000000" w:fill="FFFFFF"/>
            <w:noWrap/>
            <w:vAlign w:val="center"/>
            <w:hideMark/>
          </w:tcPr>
          <w:p w14:paraId="3A1EFC32"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0.975</w:t>
            </w:r>
          </w:p>
        </w:tc>
        <w:tc>
          <w:tcPr>
            <w:tcW w:w="960" w:type="dxa"/>
            <w:tcBorders>
              <w:top w:val="nil"/>
              <w:left w:val="nil"/>
              <w:bottom w:val="nil"/>
              <w:right w:val="nil"/>
            </w:tcBorders>
            <w:shd w:val="clear" w:color="000000" w:fill="FFFFFF"/>
            <w:noWrap/>
            <w:vAlign w:val="center"/>
            <w:hideMark/>
          </w:tcPr>
          <w:p w14:paraId="51BDCDE6"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0.841</w:t>
            </w:r>
          </w:p>
        </w:tc>
        <w:tc>
          <w:tcPr>
            <w:tcW w:w="960" w:type="dxa"/>
            <w:tcBorders>
              <w:top w:val="nil"/>
              <w:left w:val="nil"/>
              <w:bottom w:val="nil"/>
              <w:right w:val="nil"/>
            </w:tcBorders>
            <w:shd w:val="clear" w:color="000000" w:fill="FFFFFF"/>
            <w:noWrap/>
            <w:vAlign w:val="center"/>
            <w:hideMark/>
          </w:tcPr>
          <w:p w14:paraId="7990D22F"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0.344</w:t>
            </w:r>
          </w:p>
        </w:tc>
      </w:tr>
      <w:tr w:rsidR="00B17695" w:rsidRPr="00B17695" w14:paraId="204F2013" w14:textId="77777777" w:rsidTr="00B17695">
        <w:trPr>
          <w:trHeight w:val="290"/>
          <w:jc w:val="center"/>
        </w:trPr>
        <w:tc>
          <w:tcPr>
            <w:tcW w:w="960" w:type="dxa"/>
            <w:tcBorders>
              <w:top w:val="nil"/>
              <w:left w:val="nil"/>
              <w:bottom w:val="nil"/>
              <w:right w:val="nil"/>
            </w:tcBorders>
            <w:shd w:val="clear" w:color="000000" w:fill="FFFFFF"/>
            <w:vAlign w:val="bottom"/>
            <w:hideMark/>
          </w:tcPr>
          <w:p w14:paraId="74E60BF3"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MG</w:t>
            </w:r>
          </w:p>
        </w:tc>
        <w:tc>
          <w:tcPr>
            <w:tcW w:w="960" w:type="dxa"/>
            <w:tcBorders>
              <w:top w:val="nil"/>
              <w:left w:val="nil"/>
              <w:bottom w:val="nil"/>
              <w:right w:val="nil"/>
            </w:tcBorders>
            <w:shd w:val="clear" w:color="000000" w:fill="FFFFFF"/>
            <w:noWrap/>
            <w:vAlign w:val="center"/>
            <w:hideMark/>
          </w:tcPr>
          <w:p w14:paraId="38656C67"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0.260</w:t>
            </w:r>
          </w:p>
        </w:tc>
        <w:tc>
          <w:tcPr>
            <w:tcW w:w="960" w:type="dxa"/>
            <w:tcBorders>
              <w:top w:val="nil"/>
              <w:left w:val="nil"/>
              <w:bottom w:val="nil"/>
              <w:right w:val="nil"/>
            </w:tcBorders>
            <w:shd w:val="clear" w:color="000000" w:fill="FFFFFF"/>
            <w:noWrap/>
            <w:vAlign w:val="center"/>
            <w:hideMark/>
          </w:tcPr>
          <w:p w14:paraId="25FC8077" w14:textId="28B6D5CB"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0.003</w:t>
            </w:r>
            <w:r w:rsidR="00895BFD">
              <w:rPr>
                <w:rFonts w:eastAsia="Times New Roman" w:cs="Times New Roman"/>
                <w:color w:val="000000"/>
                <w:sz w:val="20"/>
                <w:szCs w:val="20"/>
                <w:lang w:eastAsia="pt-BR"/>
              </w:rPr>
              <w:t>*</w:t>
            </w:r>
          </w:p>
        </w:tc>
        <w:tc>
          <w:tcPr>
            <w:tcW w:w="960" w:type="dxa"/>
            <w:tcBorders>
              <w:top w:val="nil"/>
              <w:left w:val="nil"/>
              <w:bottom w:val="nil"/>
              <w:right w:val="nil"/>
            </w:tcBorders>
            <w:shd w:val="clear" w:color="000000" w:fill="FFFFFF"/>
            <w:noWrap/>
            <w:vAlign w:val="bottom"/>
            <w:hideMark/>
          </w:tcPr>
          <w:p w14:paraId="62D90EEC" w14:textId="0FB34623" w:rsidR="00B17695" w:rsidRPr="00B17695" w:rsidRDefault="00B17695" w:rsidP="00B17695">
            <w:pPr>
              <w:spacing w:line="240" w:lineRule="auto"/>
              <w:ind w:firstLine="0"/>
              <w:jc w:val="center"/>
              <w:rPr>
                <w:rFonts w:eastAsia="Times New Roman" w:cs="Times New Roman"/>
                <w:color w:val="000000"/>
                <w:sz w:val="20"/>
                <w:szCs w:val="20"/>
                <w:lang w:eastAsia="pt-BR"/>
              </w:rPr>
            </w:pPr>
          </w:p>
        </w:tc>
        <w:tc>
          <w:tcPr>
            <w:tcW w:w="960" w:type="dxa"/>
            <w:tcBorders>
              <w:top w:val="nil"/>
              <w:left w:val="nil"/>
              <w:bottom w:val="nil"/>
              <w:right w:val="nil"/>
            </w:tcBorders>
            <w:shd w:val="clear" w:color="000000" w:fill="FFFFFF"/>
            <w:noWrap/>
            <w:vAlign w:val="center"/>
            <w:hideMark/>
          </w:tcPr>
          <w:p w14:paraId="3C1E6EB1" w14:textId="5DFE656E"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0.002</w:t>
            </w:r>
            <w:r w:rsidR="00895BFD">
              <w:rPr>
                <w:rFonts w:eastAsia="Times New Roman" w:cs="Times New Roman"/>
                <w:color w:val="000000"/>
                <w:sz w:val="20"/>
                <w:szCs w:val="20"/>
                <w:lang w:eastAsia="pt-BR"/>
              </w:rPr>
              <w:t>*</w:t>
            </w:r>
          </w:p>
        </w:tc>
        <w:tc>
          <w:tcPr>
            <w:tcW w:w="1100" w:type="dxa"/>
            <w:tcBorders>
              <w:top w:val="nil"/>
              <w:left w:val="nil"/>
              <w:bottom w:val="nil"/>
              <w:right w:val="nil"/>
            </w:tcBorders>
            <w:shd w:val="clear" w:color="000000" w:fill="FFFFFF"/>
            <w:noWrap/>
            <w:vAlign w:val="center"/>
            <w:hideMark/>
          </w:tcPr>
          <w:p w14:paraId="768958E9" w14:textId="4BF2C7C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0.023</w:t>
            </w:r>
            <w:r w:rsidR="00895BFD">
              <w:rPr>
                <w:rFonts w:eastAsia="Times New Roman" w:cs="Times New Roman"/>
                <w:color w:val="000000"/>
                <w:sz w:val="20"/>
                <w:szCs w:val="20"/>
                <w:lang w:eastAsia="pt-BR"/>
              </w:rPr>
              <w:t>*</w:t>
            </w:r>
          </w:p>
        </w:tc>
        <w:tc>
          <w:tcPr>
            <w:tcW w:w="960" w:type="dxa"/>
            <w:tcBorders>
              <w:top w:val="nil"/>
              <w:left w:val="nil"/>
              <w:bottom w:val="nil"/>
              <w:right w:val="nil"/>
            </w:tcBorders>
            <w:shd w:val="clear" w:color="000000" w:fill="FFFFFF"/>
            <w:noWrap/>
            <w:vAlign w:val="center"/>
            <w:hideMark/>
          </w:tcPr>
          <w:p w14:paraId="0E24CFF8"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0.441</w:t>
            </w:r>
          </w:p>
        </w:tc>
        <w:tc>
          <w:tcPr>
            <w:tcW w:w="960" w:type="dxa"/>
            <w:tcBorders>
              <w:top w:val="nil"/>
              <w:left w:val="nil"/>
              <w:bottom w:val="nil"/>
              <w:right w:val="nil"/>
            </w:tcBorders>
            <w:shd w:val="clear" w:color="000000" w:fill="FFFFFF"/>
            <w:noWrap/>
            <w:vAlign w:val="center"/>
            <w:hideMark/>
          </w:tcPr>
          <w:p w14:paraId="354B112B"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0.092</w:t>
            </w:r>
          </w:p>
        </w:tc>
        <w:tc>
          <w:tcPr>
            <w:tcW w:w="960" w:type="dxa"/>
            <w:tcBorders>
              <w:top w:val="nil"/>
              <w:left w:val="nil"/>
              <w:bottom w:val="nil"/>
              <w:right w:val="nil"/>
            </w:tcBorders>
            <w:shd w:val="clear" w:color="000000" w:fill="FFFFFF"/>
            <w:noWrap/>
            <w:vAlign w:val="center"/>
            <w:hideMark/>
          </w:tcPr>
          <w:p w14:paraId="1BDE81AE" w14:textId="4AF3377E"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0.000</w:t>
            </w:r>
            <w:r w:rsidR="00895BFD">
              <w:rPr>
                <w:rFonts w:eastAsia="Times New Roman" w:cs="Times New Roman"/>
                <w:color w:val="000000"/>
                <w:sz w:val="20"/>
                <w:szCs w:val="20"/>
                <w:lang w:eastAsia="pt-BR"/>
              </w:rPr>
              <w:t>*</w:t>
            </w:r>
          </w:p>
        </w:tc>
        <w:tc>
          <w:tcPr>
            <w:tcW w:w="960" w:type="dxa"/>
            <w:tcBorders>
              <w:top w:val="nil"/>
              <w:left w:val="nil"/>
              <w:bottom w:val="nil"/>
              <w:right w:val="nil"/>
            </w:tcBorders>
            <w:shd w:val="clear" w:color="000000" w:fill="FFFFFF"/>
            <w:noWrap/>
            <w:vAlign w:val="center"/>
            <w:hideMark/>
          </w:tcPr>
          <w:p w14:paraId="4221A8A2"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0.057</w:t>
            </w:r>
          </w:p>
        </w:tc>
      </w:tr>
      <w:tr w:rsidR="00B17695" w:rsidRPr="00B17695" w14:paraId="06EC54F2" w14:textId="77777777" w:rsidTr="00B17695">
        <w:trPr>
          <w:trHeight w:val="290"/>
          <w:jc w:val="center"/>
        </w:trPr>
        <w:tc>
          <w:tcPr>
            <w:tcW w:w="960" w:type="dxa"/>
            <w:tcBorders>
              <w:top w:val="nil"/>
              <w:left w:val="nil"/>
              <w:bottom w:val="nil"/>
              <w:right w:val="nil"/>
            </w:tcBorders>
            <w:shd w:val="clear" w:color="000000" w:fill="FFFFFF"/>
            <w:vAlign w:val="bottom"/>
            <w:hideMark/>
          </w:tcPr>
          <w:p w14:paraId="168E4ED9"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PE</w:t>
            </w:r>
          </w:p>
        </w:tc>
        <w:tc>
          <w:tcPr>
            <w:tcW w:w="960" w:type="dxa"/>
            <w:tcBorders>
              <w:top w:val="nil"/>
              <w:left w:val="nil"/>
              <w:bottom w:val="nil"/>
              <w:right w:val="nil"/>
            </w:tcBorders>
            <w:shd w:val="clear" w:color="000000" w:fill="FFFFFF"/>
            <w:noWrap/>
            <w:vAlign w:val="center"/>
            <w:hideMark/>
          </w:tcPr>
          <w:p w14:paraId="6C739B6B" w14:textId="1D56D7A6"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0.003</w:t>
            </w:r>
            <w:r w:rsidR="00895BFD">
              <w:rPr>
                <w:rFonts w:eastAsia="Times New Roman" w:cs="Times New Roman"/>
                <w:color w:val="000000"/>
                <w:sz w:val="20"/>
                <w:szCs w:val="20"/>
                <w:lang w:eastAsia="pt-BR"/>
              </w:rPr>
              <w:t>*</w:t>
            </w:r>
          </w:p>
        </w:tc>
        <w:tc>
          <w:tcPr>
            <w:tcW w:w="960" w:type="dxa"/>
            <w:tcBorders>
              <w:top w:val="nil"/>
              <w:left w:val="nil"/>
              <w:bottom w:val="nil"/>
              <w:right w:val="nil"/>
            </w:tcBorders>
            <w:shd w:val="clear" w:color="000000" w:fill="FFFFFF"/>
            <w:noWrap/>
            <w:vAlign w:val="center"/>
            <w:hideMark/>
          </w:tcPr>
          <w:p w14:paraId="2A1E47BE"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0.752</w:t>
            </w:r>
          </w:p>
        </w:tc>
        <w:tc>
          <w:tcPr>
            <w:tcW w:w="960" w:type="dxa"/>
            <w:tcBorders>
              <w:top w:val="nil"/>
              <w:left w:val="nil"/>
              <w:bottom w:val="nil"/>
              <w:right w:val="nil"/>
            </w:tcBorders>
            <w:shd w:val="clear" w:color="000000" w:fill="FFFFFF"/>
            <w:noWrap/>
            <w:vAlign w:val="center"/>
            <w:hideMark/>
          </w:tcPr>
          <w:p w14:paraId="66B2FED7" w14:textId="0934A23E"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0.001</w:t>
            </w:r>
            <w:r w:rsidR="00895BFD">
              <w:rPr>
                <w:rFonts w:eastAsia="Times New Roman" w:cs="Times New Roman"/>
                <w:color w:val="000000"/>
                <w:sz w:val="20"/>
                <w:szCs w:val="20"/>
                <w:lang w:eastAsia="pt-BR"/>
              </w:rPr>
              <w:t>*</w:t>
            </w:r>
          </w:p>
        </w:tc>
        <w:tc>
          <w:tcPr>
            <w:tcW w:w="960" w:type="dxa"/>
            <w:tcBorders>
              <w:top w:val="nil"/>
              <w:left w:val="nil"/>
              <w:bottom w:val="nil"/>
              <w:right w:val="nil"/>
            </w:tcBorders>
            <w:shd w:val="clear" w:color="000000" w:fill="FFFFFF"/>
            <w:noWrap/>
            <w:vAlign w:val="bottom"/>
            <w:hideMark/>
          </w:tcPr>
          <w:p w14:paraId="7BE76E7F" w14:textId="6B9656D2" w:rsidR="00B17695" w:rsidRPr="00B17695" w:rsidRDefault="00B17695" w:rsidP="00B17695">
            <w:pPr>
              <w:spacing w:line="240" w:lineRule="auto"/>
              <w:ind w:firstLine="0"/>
              <w:jc w:val="center"/>
              <w:rPr>
                <w:rFonts w:eastAsia="Times New Roman" w:cs="Times New Roman"/>
                <w:color w:val="000000"/>
                <w:sz w:val="20"/>
                <w:szCs w:val="20"/>
                <w:lang w:eastAsia="pt-BR"/>
              </w:rPr>
            </w:pPr>
          </w:p>
        </w:tc>
        <w:tc>
          <w:tcPr>
            <w:tcW w:w="1100" w:type="dxa"/>
            <w:tcBorders>
              <w:top w:val="nil"/>
              <w:left w:val="nil"/>
              <w:bottom w:val="nil"/>
              <w:right w:val="nil"/>
            </w:tcBorders>
            <w:shd w:val="clear" w:color="000000" w:fill="FFFFFF"/>
            <w:noWrap/>
            <w:vAlign w:val="center"/>
            <w:hideMark/>
          </w:tcPr>
          <w:p w14:paraId="7886E9A8" w14:textId="3BE6EFF0"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0.006</w:t>
            </w:r>
            <w:r w:rsidR="00895BFD">
              <w:rPr>
                <w:rFonts w:eastAsia="Times New Roman" w:cs="Times New Roman"/>
                <w:color w:val="000000"/>
                <w:sz w:val="20"/>
                <w:szCs w:val="20"/>
                <w:lang w:eastAsia="pt-BR"/>
              </w:rPr>
              <w:t>*</w:t>
            </w:r>
          </w:p>
        </w:tc>
        <w:tc>
          <w:tcPr>
            <w:tcW w:w="960" w:type="dxa"/>
            <w:tcBorders>
              <w:top w:val="nil"/>
              <w:left w:val="nil"/>
              <w:bottom w:val="nil"/>
              <w:right w:val="nil"/>
            </w:tcBorders>
            <w:shd w:val="clear" w:color="000000" w:fill="FFFFFF"/>
            <w:noWrap/>
            <w:vAlign w:val="center"/>
            <w:hideMark/>
          </w:tcPr>
          <w:p w14:paraId="6ABEC50B"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0.074</w:t>
            </w:r>
          </w:p>
        </w:tc>
        <w:tc>
          <w:tcPr>
            <w:tcW w:w="960" w:type="dxa"/>
            <w:tcBorders>
              <w:top w:val="nil"/>
              <w:left w:val="nil"/>
              <w:bottom w:val="nil"/>
              <w:right w:val="nil"/>
            </w:tcBorders>
            <w:shd w:val="clear" w:color="000000" w:fill="FFFFFF"/>
            <w:noWrap/>
            <w:vAlign w:val="center"/>
            <w:hideMark/>
          </w:tcPr>
          <w:p w14:paraId="339A304E" w14:textId="03119B9D"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0.019</w:t>
            </w:r>
            <w:r w:rsidR="00895BFD">
              <w:rPr>
                <w:rFonts w:eastAsia="Times New Roman" w:cs="Times New Roman"/>
                <w:color w:val="000000"/>
                <w:sz w:val="20"/>
                <w:szCs w:val="20"/>
                <w:lang w:eastAsia="pt-BR"/>
              </w:rPr>
              <w:t>*</w:t>
            </w:r>
          </w:p>
        </w:tc>
        <w:tc>
          <w:tcPr>
            <w:tcW w:w="960" w:type="dxa"/>
            <w:tcBorders>
              <w:top w:val="nil"/>
              <w:left w:val="nil"/>
              <w:bottom w:val="nil"/>
              <w:right w:val="nil"/>
            </w:tcBorders>
            <w:shd w:val="clear" w:color="000000" w:fill="FFFFFF"/>
            <w:noWrap/>
            <w:vAlign w:val="center"/>
            <w:hideMark/>
          </w:tcPr>
          <w:p w14:paraId="3D3BFD19" w14:textId="6FA4ABF8"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0.001</w:t>
            </w:r>
            <w:r w:rsidR="00895BFD">
              <w:rPr>
                <w:rFonts w:eastAsia="Times New Roman" w:cs="Times New Roman"/>
                <w:color w:val="000000"/>
                <w:sz w:val="20"/>
                <w:szCs w:val="20"/>
                <w:lang w:eastAsia="pt-BR"/>
              </w:rPr>
              <w:t>*</w:t>
            </w:r>
          </w:p>
        </w:tc>
        <w:tc>
          <w:tcPr>
            <w:tcW w:w="960" w:type="dxa"/>
            <w:tcBorders>
              <w:top w:val="nil"/>
              <w:left w:val="nil"/>
              <w:bottom w:val="nil"/>
              <w:right w:val="nil"/>
            </w:tcBorders>
            <w:shd w:val="clear" w:color="000000" w:fill="FFFFFF"/>
            <w:noWrap/>
            <w:vAlign w:val="center"/>
            <w:hideMark/>
          </w:tcPr>
          <w:p w14:paraId="41697CFA" w14:textId="01F133A4"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0.000</w:t>
            </w:r>
            <w:r w:rsidR="00895BFD">
              <w:rPr>
                <w:rFonts w:eastAsia="Times New Roman" w:cs="Times New Roman"/>
                <w:color w:val="000000"/>
                <w:sz w:val="20"/>
                <w:szCs w:val="20"/>
                <w:lang w:eastAsia="pt-BR"/>
              </w:rPr>
              <w:t>*</w:t>
            </w:r>
          </w:p>
        </w:tc>
      </w:tr>
      <w:tr w:rsidR="00B17695" w:rsidRPr="00B17695" w14:paraId="737CFE00" w14:textId="77777777" w:rsidTr="00B17695">
        <w:trPr>
          <w:trHeight w:val="290"/>
          <w:jc w:val="center"/>
        </w:trPr>
        <w:tc>
          <w:tcPr>
            <w:tcW w:w="960" w:type="dxa"/>
            <w:tcBorders>
              <w:top w:val="nil"/>
              <w:left w:val="nil"/>
              <w:bottom w:val="nil"/>
              <w:right w:val="nil"/>
            </w:tcBorders>
            <w:shd w:val="clear" w:color="000000" w:fill="FFFFFF"/>
            <w:vAlign w:val="bottom"/>
            <w:hideMark/>
          </w:tcPr>
          <w:p w14:paraId="33837E63"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PR</w:t>
            </w:r>
          </w:p>
        </w:tc>
        <w:tc>
          <w:tcPr>
            <w:tcW w:w="960" w:type="dxa"/>
            <w:tcBorders>
              <w:top w:val="nil"/>
              <w:left w:val="nil"/>
              <w:bottom w:val="nil"/>
              <w:right w:val="nil"/>
            </w:tcBorders>
            <w:shd w:val="clear" w:color="000000" w:fill="FFFFFF"/>
            <w:noWrap/>
            <w:vAlign w:val="center"/>
            <w:hideMark/>
          </w:tcPr>
          <w:p w14:paraId="569477D3"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0.183</w:t>
            </w:r>
          </w:p>
        </w:tc>
        <w:tc>
          <w:tcPr>
            <w:tcW w:w="960" w:type="dxa"/>
            <w:tcBorders>
              <w:top w:val="nil"/>
              <w:left w:val="nil"/>
              <w:bottom w:val="nil"/>
              <w:right w:val="nil"/>
            </w:tcBorders>
            <w:shd w:val="clear" w:color="000000" w:fill="FFFFFF"/>
            <w:noWrap/>
            <w:vAlign w:val="center"/>
            <w:hideMark/>
          </w:tcPr>
          <w:p w14:paraId="18C5CE05"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0.051</w:t>
            </w:r>
          </w:p>
        </w:tc>
        <w:tc>
          <w:tcPr>
            <w:tcW w:w="960" w:type="dxa"/>
            <w:tcBorders>
              <w:top w:val="nil"/>
              <w:left w:val="nil"/>
              <w:bottom w:val="nil"/>
              <w:right w:val="nil"/>
            </w:tcBorders>
            <w:shd w:val="clear" w:color="000000" w:fill="FFFFFF"/>
            <w:noWrap/>
            <w:vAlign w:val="center"/>
            <w:hideMark/>
          </w:tcPr>
          <w:p w14:paraId="777D4CA9" w14:textId="4340E1AA"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0.011</w:t>
            </w:r>
            <w:r w:rsidR="00895BFD">
              <w:rPr>
                <w:rFonts w:eastAsia="Times New Roman" w:cs="Times New Roman"/>
                <w:color w:val="000000"/>
                <w:sz w:val="20"/>
                <w:szCs w:val="20"/>
                <w:lang w:eastAsia="pt-BR"/>
              </w:rPr>
              <w:t>*</w:t>
            </w:r>
          </w:p>
        </w:tc>
        <w:tc>
          <w:tcPr>
            <w:tcW w:w="960" w:type="dxa"/>
            <w:tcBorders>
              <w:top w:val="nil"/>
              <w:left w:val="nil"/>
              <w:bottom w:val="nil"/>
              <w:right w:val="nil"/>
            </w:tcBorders>
            <w:shd w:val="clear" w:color="000000" w:fill="FFFFFF"/>
            <w:noWrap/>
            <w:vAlign w:val="center"/>
            <w:hideMark/>
          </w:tcPr>
          <w:p w14:paraId="1CF2EE1A" w14:textId="038622D4"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0.034</w:t>
            </w:r>
            <w:r w:rsidR="00895BFD">
              <w:rPr>
                <w:rFonts w:eastAsia="Times New Roman" w:cs="Times New Roman"/>
                <w:color w:val="000000"/>
                <w:sz w:val="20"/>
                <w:szCs w:val="20"/>
                <w:lang w:eastAsia="pt-BR"/>
              </w:rPr>
              <w:t>*</w:t>
            </w:r>
          </w:p>
        </w:tc>
        <w:tc>
          <w:tcPr>
            <w:tcW w:w="1100" w:type="dxa"/>
            <w:tcBorders>
              <w:top w:val="nil"/>
              <w:left w:val="nil"/>
              <w:bottom w:val="nil"/>
              <w:right w:val="nil"/>
            </w:tcBorders>
            <w:shd w:val="clear" w:color="000000" w:fill="FFFFFF"/>
            <w:noWrap/>
            <w:vAlign w:val="bottom"/>
            <w:hideMark/>
          </w:tcPr>
          <w:p w14:paraId="2EA514EB" w14:textId="018DB9A4" w:rsidR="00B17695" w:rsidRPr="00B17695" w:rsidRDefault="00B17695" w:rsidP="00B17695">
            <w:pPr>
              <w:spacing w:line="240" w:lineRule="auto"/>
              <w:ind w:firstLine="0"/>
              <w:jc w:val="center"/>
              <w:rPr>
                <w:rFonts w:eastAsia="Times New Roman" w:cs="Times New Roman"/>
                <w:color w:val="000000"/>
                <w:sz w:val="20"/>
                <w:szCs w:val="20"/>
                <w:lang w:eastAsia="pt-BR"/>
              </w:rPr>
            </w:pPr>
          </w:p>
        </w:tc>
        <w:tc>
          <w:tcPr>
            <w:tcW w:w="960" w:type="dxa"/>
            <w:tcBorders>
              <w:top w:val="nil"/>
              <w:left w:val="nil"/>
              <w:bottom w:val="nil"/>
              <w:right w:val="nil"/>
            </w:tcBorders>
            <w:shd w:val="clear" w:color="000000" w:fill="FFFFFF"/>
            <w:noWrap/>
            <w:vAlign w:val="center"/>
            <w:hideMark/>
          </w:tcPr>
          <w:p w14:paraId="0E203B10"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0.113</w:t>
            </w:r>
          </w:p>
        </w:tc>
        <w:tc>
          <w:tcPr>
            <w:tcW w:w="960" w:type="dxa"/>
            <w:tcBorders>
              <w:top w:val="nil"/>
              <w:left w:val="nil"/>
              <w:bottom w:val="nil"/>
              <w:right w:val="nil"/>
            </w:tcBorders>
            <w:shd w:val="clear" w:color="000000" w:fill="FFFFFF"/>
            <w:noWrap/>
            <w:vAlign w:val="center"/>
            <w:hideMark/>
          </w:tcPr>
          <w:p w14:paraId="0586976D"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0.713</w:t>
            </w:r>
          </w:p>
        </w:tc>
        <w:tc>
          <w:tcPr>
            <w:tcW w:w="960" w:type="dxa"/>
            <w:tcBorders>
              <w:top w:val="nil"/>
              <w:left w:val="nil"/>
              <w:bottom w:val="nil"/>
              <w:right w:val="nil"/>
            </w:tcBorders>
            <w:shd w:val="clear" w:color="000000" w:fill="FFFFFF"/>
            <w:noWrap/>
            <w:vAlign w:val="center"/>
            <w:hideMark/>
          </w:tcPr>
          <w:p w14:paraId="176BF66F"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0.202</w:t>
            </w:r>
          </w:p>
        </w:tc>
        <w:tc>
          <w:tcPr>
            <w:tcW w:w="960" w:type="dxa"/>
            <w:tcBorders>
              <w:top w:val="nil"/>
              <w:left w:val="nil"/>
              <w:bottom w:val="nil"/>
              <w:right w:val="nil"/>
            </w:tcBorders>
            <w:shd w:val="clear" w:color="000000" w:fill="FFFFFF"/>
            <w:noWrap/>
            <w:vAlign w:val="center"/>
            <w:hideMark/>
          </w:tcPr>
          <w:p w14:paraId="23D9BEE4"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0.078</w:t>
            </w:r>
          </w:p>
        </w:tc>
      </w:tr>
      <w:tr w:rsidR="00B17695" w:rsidRPr="00B17695" w14:paraId="21979A1B" w14:textId="77777777" w:rsidTr="00B17695">
        <w:trPr>
          <w:trHeight w:val="290"/>
          <w:jc w:val="center"/>
        </w:trPr>
        <w:tc>
          <w:tcPr>
            <w:tcW w:w="960" w:type="dxa"/>
            <w:tcBorders>
              <w:top w:val="nil"/>
              <w:left w:val="nil"/>
              <w:bottom w:val="nil"/>
              <w:right w:val="nil"/>
            </w:tcBorders>
            <w:shd w:val="clear" w:color="000000" w:fill="FFFFFF"/>
            <w:vAlign w:val="bottom"/>
            <w:hideMark/>
          </w:tcPr>
          <w:p w14:paraId="1D2949A7"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RJ</w:t>
            </w:r>
          </w:p>
        </w:tc>
        <w:tc>
          <w:tcPr>
            <w:tcW w:w="960" w:type="dxa"/>
            <w:tcBorders>
              <w:top w:val="nil"/>
              <w:left w:val="nil"/>
              <w:bottom w:val="nil"/>
              <w:right w:val="nil"/>
            </w:tcBorders>
            <w:shd w:val="clear" w:color="000000" w:fill="FFFFFF"/>
            <w:noWrap/>
            <w:vAlign w:val="center"/>
            <w:hideMark/>
          </w:tcPr>
          <w:p w14:paraId="53FB44B0"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0.399</w:t>
            </w:r>
          </w:p>
        </w:tc>
        <w:tc>
          <w:tcPr>
            <w:tcW w:w="960" w:type="dxa"/>
            <w:tcBorders>
              <w:top w:val="nil"/>
              <w:left w:val="nil"/>
              <w:bottom w:val="nil"/>
              <w:right w:val="nil"/>
            </w:tcBorders>
            <w:shd w:val="clear" w:color="000000" w:fill="FFFFFF"/>
            <w:noWrap/>
            <w:vAlign w:val="center"/>
            <w:hideMark/>
          </w:tcPr>
          <w:p w14:paraId="6986F68A"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0.199</w:t>
            </w:r>
          </w:p>
        </w:tc>
        <w:tc>
          <w:tcPr>
            <w:tcW w:w="960" w:type="dxa"/>
            <w:tcBorders>
              <w:top w:val="nil"/>
              <w:left w:val="nil"/>
              <w:bottom w:val="nil"/>
              <w:right w:val="nil"/>
            </w:tcBorders>
            <w:shd w:val="clear" w:color="000000" w:fill="FFFFFF"/>
            <w:noWrap/>
            <w:vAlign w:val="center"/>
            <w:hideMark/>
          </w:tcPr>
          <w:p w14:paraId="79AD0DD5" w14:textId="2B1E18FE"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0.019</w:t>
            </w:r>
            <w:r w:rsidR="00895BFD">
              <w:rPr>
                <w:rFonts w:eastAsia="Times New Roman" w:cs="Times New Roman"/>
                <w:color w:val="000000"/>
                <w:sz w:val="20"/>
                <w:szCs w:val="20"/>
                <w:lang w:eastAsia="pt-BR"/>
              </w:rPr>
              <w:t>*</w:t>
            </w:r>
          </w:p>
        </w:tc>
        <w:tc>
          <w:tcPr>
            <w:tcW w:w="960" w:type="dxa"/>
            <w:tcBorders>
              <w:top w:val="nil"/>
              <w:left w:val="nil"/>
              <w:bottom w:val="nil"/>
              <w:right w:val="nil"/>
            </w:tcBorders>
            <w:shd w:val="clear" w:color="000000" w:fill="FFFFFF"/>
            <w:noWrap/>
            <w:vAlign w:val="center"/>
            <w:hideMark/>
          </w:tcPr>
          <w:p w14:paraId="7EF88E53" w14:textId="13848566"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0.001</w:t>
            </w:r>
            <w:r w:rsidR="00895BFD">
              <w:rPr>
                <w:rFonts w:eastAsia="Times New Roman" w:cs="Times New Roman"/>
                <w:color w:val="000000"/>
                <w:sz w:val="20"/>
                <w:szCs w:val="20"/>
                <w:lang w:eastAsia="pt-BR"/>
              </w:rPr>
              <w:t>*</w:t>
            </w:r>
          </w:p>
        </w:tc>
        <w:tc>
          <w:tcPr>
            <w:tcW w:w="1100" w:type="dxa"/>
            <w:tcBorders>
              <w:top w:val="nil"/>
              <w:left w:val="nil"/>
              <w:bottom w:val="nil"/>
              <w:right w:val="nil"/>
            </w:tcBorders>
            <w:shd w:val="clear" w:color="000000" w:fill="FFFFFF"/>
            <w:noWrap/>
            <w:vAlign w:val="center"/>
            <w:hideMark/>
          </w:tcPr>
          <w:p w14:paraId="2079005D" w14:textId="258FB171"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0.046</w:t>
            </w:r>
            <w:r w:rsidR="00895BFD">
              <w:rPr>
                <w:rFonts w:eastAsia="Times New Roman" w:cs="Times New Roman"/>
                <w:color w:val="000000"/>
                <w:sz w:val="20"/>
                <w:szCs w:val="20"/>
                <w:lang w:eastAsia="pt-BR"/>
              </w:rPr>
              <w:t>*</w:t>
            </w:r>
          </w:p>
        </w:tc>
        <w:tc>
          <w:tcPr>
            <w:tcW w:w="960" w:type="dxa"/>
            <w:tcBorders>
              <w:top w:val="nil"/>
              <w:left w:val="nil"/>
              <w:bottom w:val="nil"/>
              <w:right w:val="nil"/>
            </w:tcBorders>
            <w:shd w:val="clear" w:color="000000" w:fill="FFFFFF"/>
            <w:noWrap/>
            <w:vAlign w:val="bottom"/>
            <w:hideMark/>
          </w:tcPr>
          <w:p w14:paraId="5D0FAD26" w14:textId="35178C17" w:rsidR="00B17695" w:rsidRPr="00B17695" w:rsidRDefault="00B17695" w:rsidP="00B17695">
            <w:pPr>
              <w:spacing w:line="240" w:lineRule="auto"/>
              <w:ind w:firstLine="0"/>
              <w:jc w:val="center"/>
              <w:rPr>
                <w:rFonts w:eastAsia="Times New Roman" w:cs="Times New Roman"/>
                <w:color w:val="000000"/>
                <w:sz w:val="20"/>
                <w:szCs w:val="20"/>
                <w:lang w:eastAsia="pt-BR"/>
              </w:rPr>
            </w:pPr>
          </w:p>
        </w:tc>
        <w:tc>
          <w:tcPr>
            <w:tcW w:w="960" w:type="dxa"/>
            <w:tcBorders>
              <w:top w:val="nil"/>
              <w:left w:val="nil"/>
              <w:bottom w:val="nil"/>
              <w:right w:val="nil"/>
            </w:tcBorders>
            <w:shd w:val="clear" w:color="000000" w:fill="FFFFFF"/>
            <w:noWrap/>
            <w:vAlign w:val="center"/>
            <w:hideMark/>
          </w:tcPr>
          <w:p w14:paraId="3D7281F1"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0.197</w:t>
            </w:r>
          </w:p>
        </w:tc>
        <w:tc>
          <w:tcPr>
            <w:tcW w:w="960" w:type="dxa"/>
            <w:tcBorders>
              <w:top w:val="nil"/>
              <w:left w:val="nil"/>
              <w:bottom w:val="nil"/>
              <w:right w:val="nil"/>
            </w:tcBorders>
            <w:shd w:val="clear" w:color="000000" w:fill="FFFFFF"/>
            <w:noWrap/>
            <w:vAlign w:val="center"/>
            <w:hideMark/>
          </w:tcPr>
          <w:p w14:paraId="6CEFCD0B" w14:textId="1B664913"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0.002</w:t>
            </w:r>
            <w:r w:rsidR="00895BFD">
              <w:rPr>
                <w:rFonts w:eastAsia="Times New Roman" w:cs="Times New Roman"/>
                <w:color w:val="000000"/>
                <w:sz w:val="20"/>
                <w:szCs w:val="20"/>
                <w:lang w:eastAsia="pt-BR"/>
              </w:rPr>
              <w:t>*</w:t>
            </w:r>
          </w:p>
        </w:tc>
        <w:tc>
          <w:tcPr>
            <w:tcW w:w="960" w:type="dxa"/>
            <w:tcBorders>
              <w:top w:val="nil"/>
              <w:left w:val="nil"/>
              <w:bottom w:val="nil"/>
              <w:right w:val="nil"/>
            </w:tcBorders>
            <w:shd w:val="clear" w:color="000000" w:fill="FFFFFF"/>
            <w:noWrap/>
            <w:vAlign w:val="center"/>
            <w:hideMark/>
          </w:tcPr>
          <w:p w14:paraId="469A1EAC" w14:textId="382F197A"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0.030</w:t>
            </w:r>
            <w:r w:rsidR="00895BFD">
              <w:rPr>
                <w:rFonts w:eastAsia="Times New Roman" w:cs="Times New Roman"/>
                <w:color w:val="000000"/>
                <w:sz w:val="20"/>
                <w:szCs w:val="20"/>
                <w:lang w:eastAsia="pt-BR"/>
              </w:rPr>
              <w:t>*</w:t>
            </w:r>
          </w:p>
        </w:tc>
      </w:tr>
      <w:tr w:rsidR="00B17695" w:rsidRPr="00B17695" w14:paraId="5D28121B" w14:textId="77777777" w:rsidTr="00B17695">
        <w:trPr>
          <w:trHeight w:val="290"/>
          <w:jc w:val="center"/>
        </w:trPr>
        <w:tc>
          <w:tcPr>
            <w:tcW w:w="960" w:type="dxa"/>
            <w:tcBorders>
              <w:top w:val="nil"/>
              <w:left w:val="nil"/>
              <w:bottom w:val="nil"/>
              <w:right w:val="nil"/>
            </w:tcBorders>
            <w:shd w:val="clear" w:color="000000" w:fill="FFFFFF"/>
            <w:vAlign w:val="bottom"/>
            <w:hideMark/>
          </w:tcPr>
          <w:p w14:paraId="4FFFCDAE"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RS</w:t>
            </w:r>
          </w:p>
        </w:tc>
        <w:tc>
          <w:tcPr>
            <w:tcW w:w="960" w:type="dxa"/>
            <w:tcBorders>
              <w:top w:val="nil"/>
              <w:left w:val="nil"/>
              <w:bottom w:val="nil"/>
              <w:right w:val="nil"/>
            </w:tcBorders>
            <w:shd w:val="clear" w:color="000000" w:fill="FFFFFF"/>
            <w:noWrap/>
            <w:vAlign w:val="center"/>
            <w:hideMark/>
          </w:tcPr>
          <w:p w14:paraId="23827E2E"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0.083</w:t>
            </w:r>
          </w:p>
        </w:tc>
        <w:tc>
          <w:tcPr>
            <w:tcW w:w="960" w:type="dxa"/>
            <w:tcBorders>
              <w:top w:val="nil"/>
              <w:left w:val="nil"/>
              <w:bottom w:val="nil"/>
              <w:right w:val="nil"/>
            </w:tcBorders>
            <w:shd w:val="clear" w:color="000000" w:fill="FFFFFF"/>
            <w:noWrap/>
            <w:vAlign w:val="center"/>
            <w:hideMark/>
          </w:tcPr>
          <w:p w14:paraId="602F68C0" w14:textId="60FEC41F"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0.000</w:t>
            </w:r>
            <w:r w:rsidR="00895BFD">
              <w:rPr>
                <w:rFonts w:eastAsia="Times New Roman" w:cs="Times New Roman"/>
                <w:color w:val="000000"/>
                <w:sz w:val="20"/>
                <w:szCs w:val="20"/>
                <w:lang w:eastAsia="pt-BR"/>
              </w:rPr>
              <w:t>*</w:t>
            </w:r>
          </w:p>
        </w:tc>
        <w:tc>
          <w:tcPr>
            <w:tcW w:w="960" w:type="dxa"/>
            <w:tcBorders>
              <w:top w:val="nil"/>
              <w:left w:val="nil"/>
              <w:bottom w:val="nil"/>
              <w:right w:val="nil"/>
            </w:tcBorders>
            <w:shd w:val="clear" w:color="000000" w:fill="FFFFFF"/>
            <w:noWrap/>
            <w:vAlign w:val="center"/>
            <w:hideMark/>
          </w:tcPr>
          <w:p w14:paraId="15D276E1" w14:textId="3CB180C5"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0.007</w:t>
            </w:r>
            <w:r w:rsidR="00895BFD">
              <w:rPr>
                <w:rFonts w:eastAsia="Times New Roman" w:cs="Times New Roman"/>
                <w:color w:val="000000"/>
                <w:sz w:val="20"/>
                <w:szCs w:val="20"/>
                <w:lang w:eastAsia="pt-BR"/>
              </w:rPr>
              <w:t>*</w:t>
            </w:r>
          </w:p>
        </w:tc>
        <w:tc>
          <w:tcPr>
            <w:tcW w:w="960" w:type="dxa"/>
            <w:tcBorders>
              <w:top w:val="nil"/>
              <w:left w:val="nil"/>
              <w:bottom w:val="nil"/>
              <w:right w:val="nil"/>
            </w:tcBorders>
            <w:shd w:val="clear" w:color="000000" w:fill="FFFFFF"/>
            <w:noWrap/>
            <w:vAlign w:val="center"/>
            <w:hideMark/>
          </w:tcPr>
          <w:p w14:paraId="46274325" w14:textId="358D9471"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0.001</w:t>
            </w:r>
            <w:r w:rsidR="00895BFD">
              <w:rPr>
                <w:rFonts w:eastAsia="Times New Roman" w:cs="Times New Roman"/>
                <w:color w:val="000000"/>
                <w:sz w:val="20"/>
                <w:szCs w:val="20"/>
                <w:lang w:eastAsia="pt-BR"/>
              </w:rPr>
              <w:t>*</w:t>
            </w:r>
          </w:p>
        </w:tc>
        <w:tc>
          <w:tcPr>
            <w:tcW w:w="1100" w:type="dxa"/>
            <w:tcBorders>
              <w:top w:val="nil"/>
              <w:left w:val="nil"/>
              <w:bottom w:val="nil"/>
              <w:right w:val="nil"/>
            </w:tcBorders>
            <w:shd w:val="clear" w:color="000000" w:fill="FFFFFF"/>
            <w:noWrap/>
            <w:vAlign w:val="center"/>
            <w:hideMark/>
          </w:tcPr>
          <w:p w14:paraId="6B47BF20" w14:textId="1496FB12"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0.000</w:t>
            </w:r>
            <w:r w:rsidR="00895BFD">
              <w:rPr>
                <w:rFonts w:eastAsia="Times New Roman" w:cs="Times New Roman"/>
                <w:color w:val="000000"/>
                <w:sz w:val="20"/>
                <w:szCs w:val="20"/>
                <w:lang w:eastAsia="pt-BR"/>
              </w:rPr>
              <w:t>*</w:t>
            </w:r>
          </w:p>
        </w:tc>
        <w:tc>
          <w:tcPr>
            <w:tcW w:w="960" w:type="dxa"/>
            <w:tcBorders>
              <w:top w:val="nil"/>
              <w:left w:val="nil"/>
              <w:bottom w:val="nil"/>
              <w:right w:val="nil"/>
            </w:tcBorders>
            <w:shd w:val="clear" w:color="000000" w:fill="FFFFFF"/>
            <w:noWrap/>
            <w:vAlign w:val="center"/>
            <w:hideMark/>
          </w:tcPr>
          <w:p w14:paraId="3A7C22EA"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0.012</w:t>
            </w:r>
          </w:p>
        </w:tc>
        <w:tc>
          <w:tcPr>
            <w:tcW w:w="960" w:type="dxa"/>
            <w:tcBorders>
              <w:top w:val="nil"/>
              <w:left w:val="nil"/>
              <w:bottom w:val="nil"/>
              <w:right w:val="nil"/>
            </w:tcBorders>
            <w:shd w:val="clear" w:color="000000" w:fill="FFFFFF"/>
            <w:noWrap/>
            <w:vAlign w:val="bottom"/>
            <w:hideMark/>
          </w:tcPr>
          <w:p w14:paraId="47544140" w14:textId="63661B15" w:rsidR="00B17695" w:rsidRPr="00B17695" w:rsidRDefault="00B17695" w:rsidP="00B17695">
            <w:pPr>
              <w:spacing w:line="240" w:lineRule="auto"/>
              <w:ind w:firstLine="0"/>
              <w:jc w:val="center"/>
              <w:rPr>
                <w:rFonts w:eastAsia="Times New Roman" w:cs="Times New Roman"/>
                <w:color w:val="000000"/>
                <w:sz w:val="20"/>
                <w:szCs w:val="20"/>
                <w:lang w:eastAsia="pt-BR"/>
              </w:rPr>
            </w:pPr>
          </w:p>
        </w:tc>
        <w:tc>
          <w:tcPr>
            <w:tcW w:w="960" w:type="dxa"/>
            <w:tcBorders>
              <w:top w:val="nil"/>
              <w:left w:val="nil"/>
              <w:bottom w:val="nil"/>
              <w:right w:val="nil"/>
            </w:tcBorders>
            <w:shd w:val="clear" w:color="000000" w:fill="FFFFFF"/>
            <w:noWrap/>
            <w:vAlign w:val="center"/>
            <w:hideMark/>
          </w:tcPr>
          <w:p w14:paraId="065810B7" w14:textId="3E0E1AAB"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0.010</w:t>
            </w:r>
            <w:r w:rsidR="00895BFD">
              <w:rPr>
                <w:rFonts w:eastAsia="Times New Roman" w:cs="Times New Roman"/>
                <w:color w:val="000000"/>
                <w:sz w:val="20"/>
                <w:szCs w:val="20"/>
                <w:lang w:eastAsia="pt-BR"/>
              </w:rPr>
              <w:t>*</w:t>
            </w:r>
          </w:p>
        </w:tc>
        <w:tc>
          <w:tcPr>
            <w:tcW w:w="960" w:type="dxa"/>
            <w:tcBorders>
              <w:top w:val="nil"/>
              <w:left w:val="nil"/>
              <w:bottom w:val="nil"/>
              <w:right w:val="nil"/>
            </w:tcBorders>
            <w:shd w:val="clear" w:color="000000" w:fill="FFFFFF"/>
            <w:noWrap/>
            <w:vAlign w:val="center"/>
            <w:hideMark/>
          </w:tcPr>
          <w:p w14:paraId="7B85F57F" w14:textId="3E21F7E0"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0.001</w:t>
            </w:r>
            <w:r w:rsidR="00895BFD">
              <w:rPr>
                <w:rFonts w:eastAsia="Times New Roman" w:cs="Times New Roman"/>
                <w:color w:val="000000"/>
                <w:sz w:val="20"/>
                <w:szCs w:val="20"/>
                <w:lang w:eastAsia="pt-BR"/>
              </w:rPr>
              <w:t>*</w:t>
            </w:r>
          </w:p>
        </w:tc>
      </w:tr>
      <w:tr w:rsidR="00B17695" w:rsidRPr="00B17695" w14:paraId="08219C0D" w14:textId="77777777" w:rsidTr="00B17695">
        <w:trPr>
          <w:trHeight w:val="290"/>
          <w:jc w:val="center"/>
        </w:trPr>
        <w:tc>
          <w:tcPr>
            <w:tcW w:w="960" w:type="dxa"/>
            <w:tcBorders>
              <w:top w:val="nil"/>
              <w:left w:val="nil"/>
              <w:right w:val="nil"/>
            </w:tcBorders>
            <w:shd w:val="clear" w:color="000000" w:fill="FFFFFF"/>
            <w:vAlign w:val="bottom"/>
            <w:hideMark/>
          </w:tcPr>
          <w:p w14:paraId="654B7125"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SC</w:t>
            </w:r>
          </w:p>
        </w:tc>
        <w:tc>
          <w:tcPr>
            <w:tcW w:w="960" w:type="dxa"/>
            <w:tcBorders>
              <w:top w:val="nil"/>
              <w:left w:val="nil"/>
              <w:right w:val="nil"/>
            </w:tcBorders>
            <w:shd w:val="clear" w:color="000000" w:fill="FFFFFF"/>
            <w:noWrap/>
            <w:vAlign w:val="center"/>
            <w:hideMark/>
          </w:tcPr>
          <w:p w14:paraId="1A408265" w14:textId="279BB035"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0.000</w:t>
            </w:r>
            <w:r w:rsidR="00895BFD">
              <w:rPr>
                <w:rFonts w:eastAsia="Times New Roman" w:cs="Times New Roman"/>
                <w:color w:val="000000"/>
                <w:sz w:val="20"/>
                <w:szCs w:val="20"/>
                <w:lang w:eastAsia="pt-BR"/>
              </w:rPr>
              <w:t>*</w:t>
            </w:r>
          </w:p>
        </w:tc>
        <w:tc>
          <w:tcPr>
            <w:tcW w:w="960" w:type="dxa"/>
            <w:tcBorders>
              <w:top w:val="nil"/>
              <w:left w:val="nil"/>
              <w:right w:val="nil"/>
            </w:tcBorders>
            <w:shd w:val="clear" w:color="000000" w:fill="FFFFFF"/>
            <w:noWrap/>
            <w:vAlign w:val="center"/>
            <w:hideMark/>
          </w:tcPr>
          <w:p w14:paraId="37D70A06"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0.352</w:t>
            </w:r>
          </w:p>
        </w:tc>
        <w:tc>
          <w:tcPr>
            <w:tcW w:w="960" w:type="dxa"/>
            <w:tcBorders>
              <w:top w:val="nil"/>
              <w:left w:val="nil"/>
              <w:right w:val="nil"/>
            </w:tcBorders>
            <w:shd w:val="clear" w:color="000000" w:fill="FFFFFF"/>
            <w:noWrap/>
            <w:vAlign w:val="center"/>
            <w:hideMark/>
          </w:tcPr>
          <w:p w14:paraId="4FA85DE6" w14:textId="00A5DDC3"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0.008</w:t>
            </w:r>
            <w:r w:rsidR="00895BFD">
              <w:rPr>
                <w:rFonts w:eastAsia="Times New Roman" w:cs="Times New Roman"/>
                <w:color w:val="000000"/>
                <w:sz w:val="20"/>
                <w:szCs w:val="20"/>
                <w:lang w:eastAsia="pt-BR"/>
              </w:rPr>
              <w:t>*</w:t>
            </w:r>
          </w:p>
        </w:tc>
        <w:tc>
          <w:tcPr>
            <w:tcW w:w="960" w:type="dxa"/>
            <w:tcBorders>
              <w:top w:val="nil"/>
              <w:left w:val="nil"/>
              <w:right w:val="nil"/>
            </w:tcBorders>
            <w:shd w:val="clear" w:color="000000" w:fill="FFFFFF"/>
            <w:noWrap/>
            <w:vAlign w:val="center"/>
            <w:hideMark/>
          </w:tcPr>
          <w:p w14:paraId="0927129B" w14:textId="2A1CFFC9"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0.001</w:t>
            </w:r>
            <w:r w:rsidR="00895BFD">
              <w:rPr>
                <w:rFonts w:eastAsia="Times New Roman" w:cs="Times New Roman"/>
                <w:color w:val="000000"/>
                <w:sz w:val="20"/>
                <w:szCs w:val="20"/>
                <w:lang w:eastAsia="pt-BR"/>
              </w:rPr>
              <w:t>*</w:t>
            </w:r>
          </w:p>
        </w:tc>
        <w:tc>
          <w:tcPr>
            <w:tcW w:w="1100" w:type="dxa"/>
            <w:tcBorders>
              <w:top w:val="nil"/>
              <w:left w:val="nil"/>
              <w:right w:val="nil"/>
            </w:tcBorders>
            <w:shd w:val="clear" w:color="000000" w:fill="FFFFFF"/>
            <w:noWrap/>
            <w:vAlign w:val="center"/>
            <w:hideMark/>
          </w:tcPr>
          <w:p w14:paraId="3B0173D0" w14:textId="7F2A8BCC"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0.000</w:t>
            </w:r>
            <w:r w:rsidR="00895BFD">
              <w:rPr>
                <w:rFonts w:eastAsia="Times New Roman" w:cs="Times New Roman"/>
                <w:color w:val="000000"/>
                <w:sz w:val="20"/>
                <w:szCs w:val="20"/>
                <w:lang w:eastAsia="pt-BR"/>
              </w:rPr>
              <w:t>*</w:t>
            </w:r>
          </w:p>
        </w:tc>
        <w:tc>
          <w:tcPr>
            <w:tcW w:w="960" w:type="dxa"/>
            <w:tcBorders>
              <w:top w:val="nil"/>
              <w:left w:val="nil"/>
              <w:right w:val="nil"/>
            </w:tcBorders>
            <w:shd w:val="clear" w:color="000000" w:fill="FFFFFF"/>
            <w:noWrap/>
            <w:vAlign w:val="center"/>
            <w:hideMark/>
          </w:tcPr>
          <w:p w14:paraId="41C4D28C" w14:textId="646EA089"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0.044</w:t>
            </w:r>
            <w:r w:rsidR="00895BFD">
              <w:rPr>
                <w:rFonts w:eastAsia="Times New Roman" w:cs="Times New Roman"/>
                <w:color w:val="000000"/>
                <w:sz w:val="20"/>
                <w:szCs w:val="20"/>
                <w:lang w:eastAsia="pt-BR"/>
              </w:rPr>
              <w:t>*</w:t>
            </w:r>
          </w:p>
        </w:tc>
        <w:tc>
          <w:tcPr>
            <w:tcW w:w="960" w:type="dxa"/>
            <w:tcBorders>
              <w:top w:val="nil"/>
              <w:left w:val="nil"/>
              <w:right w:val="nil"/>
            </w:tcBorders>
            <w:shd w:val="clear" w:color="000000" w:fill="FFFFFF"/>
            <w:noWrap/>
            <w:vAlign w:val="center"/>
            <w:hideMark/>
          </w:tcPr>
          <w:p w14:paraId="36CE127C" w14:textId="2ECB7103"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0.05</w:t>
            </w:r>
            <w:r w:rsidR="00895BFD">
              <w:rPr>
                <w:rFonts w:eastAsia="Times New Roman" w:cs="Times New Roman"/>
                <w:color w:val="000000"/>
                <w:sz w:val="20"/>
                <w:szCs w:val="20"/>
                <w:lang w:eastAsia="pt-BR"/>
              </w:rPr>
              <w:t>1</w:t>
            </w:r>
          </w:p>
        </w:tc>
        <w:tc>
          <w:tcPr>
            <w:tcW w:w="960" w:type="dxa"/>
            <w:tcBorders>
              <w:top w:val="nil"/>
              <w:left w:val="nil"/>
              <w:right w:val="nil"/>
            </w:tcBorders>
            <w:shd w:val="clear" w:color="000000" w:fill="FFFFFF"/>
            <w:noWrap/>
            <w:vAlign w:val="bottom"/>
            <w:hideMark/>
          </w:tcPr>
          <w:p w14:paraId="1AA7FFC8" w14:textId="5F29D9F8" w:rsidR="00B17695" w:rsidRPr="00B17695" w:rsidRDefault="00B17695" w:rsidP="00B17695">
            <w:pPr>
              <w:spacing w:line="240" w:lineRule="auto"/>
              <w:ind w:firstLine="0"/>
              <w:jc w:val="center"/>
              <w:rPr>
                <w:rFonts w:eastAsia="Times New Roman" w:cs="Times New Roman"/>
                <w:color w:val="000000"/>
                <w:sz w:val="20"/>
                <w:szCs w:val="20"/>
                <w:lang w:eastAsia="pt-BR"/>
              </w:rPr>
            </w:pPr>
          </w:p>
        </w:tc>
        <w:tc>
          <w:tcPr>
            <w:tcW w:w="960" w:type="dxa"/>
            <w:tcBorders>
              <w:top w:val="nil"/>
              <w:left w:val="nil"/>
              <w:right w:val="nil"/>
            </w:tcBorders>
            <w:shd w:val="clear" w:color="000000" w:fill="FFFFFF"/>
            <w:noWrap/>
            <w:vAlign w:val="center"/>
            <w:hideMark/>
          </w:tcPr>
          <w:p w14:paraId="3A0C623D"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0.342</w:t>
            </w:r>
          </w:p>
        </w:tc>
      </w:tr>
      <w:tr w:rsidR="00B17695" w:rsidRPr="00B17695" w14:paraId="57DA727B" w14:textId="77777777" w:rsidTr="00B17695">
        <w:trPr>
          <w:trHeight w:val="290"/>
          <w:jc w:val="center"/>
        </w:trPr>
        <w:tc>
          <w:tcPr>
            <w:tcW w:w="960" w:type="dxa"/>
            <w:tcBorders>
              <w:left w:val="nil"/>
              <w:bottom w:val="single" w:sz="4" w:space="0" w:color="auto"/>
              <w:right w:val="nil"/>
            </w:tcBorders>
            <w:shd w:val="clear" w:color="000000" w:fill="FFFFFF"/>
            <w:vAlign w:val="bottom"/>
            <w:hideMark/>
          </w:tcPr>
          <w:p w14:paraId="0C6C42B1"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SP</w:t>
            </w:r>
          </w:p>
        </w:tc>
        <w:tc>
          <w:tcPr>
            <w:tcW w:w="960" w:type="dxa"/>
            <w:tcBorders>
              <w:left w:val="nil"/>
              <w:bottom w:val="single" w:sz="4" w:space="0" w:color="auto"/>
              <w:right w:val="nil"/>
            </w:tcBorders>
            <w:shd w:val="clear" w:color="000000" w:fill="FFFFFF"/>
            <w:noWrap/>
            <w:vAlign w:val="center"/>
            <w:hideMark/>
          </w:tcPr>
          <w:p w14:paraId="30473AF9"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0.558</w:t>
            </w:r>
          </w:p>
        </w:tc>
        <w:tc>
          <w:tcPr>
            <w:tcW w:w="960" w:type="dxa"/>
            <w:tcBorders>
              <w:left w:val="nil"/>
              <w:bottom w:val="single" w:sz="4" w:space="0" w:color="auto"/>
              <w:right w:val="nil"/>
            </w:tcBorders>
            <w:shd w:val="clear" w:color="000000" w:fill="FFFFFF"/>
            <w:noWrap/>
            <w:vAlign w:val="center"/>
            <w:hideMark/>
          </w:tcPr>
          <w:p w14:paraId="37AE1E8D" w14:textId="1AC3B4E0"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0.017</w:t>
            </w:r>
            <w:r w:rsidR="00895BFD">
              <w:rPr>
                <w:rFonts w:eastAsia="Times New Roman" w:cs="Times New Roman"/>
                <w:color w:val="000000"/>
                <w:sz w:val="20"/>
                <w:szCs w:val="20"/>
                <w:lang w:eastAsia="pt-BR"/>
              </w:rPr>
              <w:t>*</w:t>
            </w:r>
          </w:p>
        </w:tc>
        <w:tc>
          <w:tcPr>
            <w:tcW w:w="960" w:type="dxa"/>
            <w:tcBorders>
              <w:left w:val="nil"/>
              <w:bottom w:val="single" w:sz="4" w:space="0" w:color="auto"/>
              <w:right w:val="nil"/>
            </w:tcBorders>
            <w:shd w:val="clear" w:color="000000" w:fill="FFFFFF"/>
            <w:noWrap/>
            <w:vAlign w:val="center"/>
            <w:hideMark/>
          </w:tcPr>
          <w:p w14:paraId="2DD6D4A0" w14:textId="76392D4C"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0.018</w:t>
            </w:r>
            <w:r w:rsidR="00895BFD">
              <w:rPr>
                <w:rFonts w:eastAsia="Times New Roman" w:cs="Times New Roman"/>
                <w:color w:val="000000"/>
                <w:sz w:val="20"/>
                <w:szCs w:val="20"/>
                <w:lang w:eastAsia="pt-BR"/>
              </w:rPr>
              <w:t>*</w:t>
            </w:r>
          </w:p>
        </w:tc>
        <w:tc>
          <w:tcPr>
            <w:tcW w:w="960" w:type="dxa"/>
            <w:tcBorders>
              <w:left w:val="nil"/>
              <w:bottom w:val="single" w:sz="4" w:space="0" w:color="auto"/>
              <w:right w:val="nil"/>
            </w:tcBorders>
            <w:shd w:val="clear" w:color="000000" w:fill="FFFFFF"/>
            <w:noWrap/>
            <w:vAlign w:val="center"/>
            <w:hideMark/>
          </w:tcPr>
          <w:p w14:paraId="25A7C9F4" w14:textId="0A8BA3F1"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0.000</w:t>
            </w:r>
            <w:r w:rsidR="00895BFD">
              <w:rPr>
                <w:rFonts w:eastAsia="Times New Roman" w:cs="Times New Roman"/>
                <w:color w:val="000000"/>
                <w:sz w:val="20"/>
                <w:szCs w:val="20"/>
                <w:lang w:eastAsia="pt-BR"/>
              </w:rPr>
              <w:t>*</w:t>
            </w:r>
          </w:p>
        </w:tc>
        <w:tc>
          <w:tcPr>
            <w:tcW w:w="1100" w:type="dxa"/>
            <w:tcBorders>
              <w:left w:val="nil"/>
              <w:bottom w:val="single" w:sz="4" w:space="0" w:color="auto"/>
              <w:right w:val="nil"/>
            </w:tcBorders>
            <w:shd w:val="clear" w:color="000000" w:fill="FFFFFF"/>
            <w:noWrap/>
            <w:vAlign w:val="center"/>
            <w:hideMark/>
          </w:tcPr>
          <w:p w14:paraId="30FB6896" w14:textId="1E41FC09"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0.027</w:t>
            </w:r>
            <w:r w:rsidR="00895BFD">
              <w:rPr>
                <w:rFonts w:eastAsia="Times New Roman" w:cs="Times New Roman"/>
                <w:color w:val="000000"/>
                <w:sz w:val="20"/>
                <w:szCs w:val="20"/>
                <w:lang w:eastAsia="pt-BR"/>
              </w:rPr>
              <w:t>*</w:t>
            </w:r>
          </w:p>
        </w:tc>
        <w:tc>
          <w:tcPr>
            <w:tcW w:w="960" w:type="dxa"/>
            <w:tcBorders>
              <w:left w:val="nil"/>
              <w:bottom w:val="single" w:sz="4" w:space="0" w:color="auto"/>
              <w:right w:val="nil"/>
            </w:tcBorders>
            <w:shd w:val="clear" w:color="000000" w:fill="FFFFFF"/>
            <w:noWrap/>
            <w:vAlign w:val="center"/>
            <w:hideMark/>
          </w:tcPr>
          <w:p w14:paraId="37E81F41"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0.150</w:t>
            </w:r>
          </w:p>
        </w:tc>
        <w:tc>
          <w:tcPr>
            <w:tcW w:w="960" w:type="dxa"/>
            <w:tcBorders>
              <w:left w:val="nil"/>
              <w:bottom w:val="single" w:sz="4" w:space="0" w:color="auto"/>
              <w:right w:val="nil"/>
            </w:tcBorders>
            <w:shd w:val="clear" w:color="000000" w:fill="FFFFFF"/>
            <w:noWrap/>
            <w:vAlign w:val="center"/>
            <w:hideMark/>
          </w:tcPr>
          <w:p w14:paraId="5F03D581" w14:textId="558B82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0.460</w:t>
            </w:r>
            <w:r w:rsidR="00895BFD">
              <w:rPr>
                <w:rFonts w:eastAsia="Times New Roman" w:cs="Times New Roman"/>
                <w:color w:val="000000"/>
                <w:sz w:val="20"/>
                <w:szCs w:val="20"/>
                <w:lang w:eastAsia="pt-BR"/>
              </w:rPr>
              <w:t>*</w:t>
            </w:r>
          </w:p>
        </w:tc>
        <w:tc>
          <w:tcPr>
            <w:tcW w:w="960" w:type="dxa"/>
            <w:tcBorders>
              <w:left w:val="nil"/>
              <w:bottom w:val="single" w:sz="4" w:space="0" w:color="auto"/>
              <w:right w:val="nil"/>
            </w:tcBorders>
            <w:shd w:val="clear" w:color="000000" w:fill="FFFFFF"/>
            <w:noWrap/>
            <w:vAlign w:val="center"/>
            <w:hideMark/>
          </w:tcPr>
          <w:p w14:paraId="3122AE59" w14:textId="77777777" w:rsidR="00B17695" w:rsidRPr="00B17695" w:rsidRDefault="00B17695" w:rsidP="00B17695">
            <w:pPr>
              <w:spacing w:line="240" w:lineRule="auto"/>
              <w:ind w:firstLine="0"/>
              <w:jc w:val="center"/>
              <w:rPr>
                <w:rFonts w:eastAsia="Times New Roman" w:cs="Times New Roman"/>
                <w:color w:val="000000"/>
                <w:sz w:val="20"/>
                <w:szCs w:val="20"/>
                <w:lang w:eastAsia="pt-BR"/>
              </w:rPr>
            </w:pPr>
            <w:r w:rsidRPr="00B17695">
              <w:rPr>
                <w:rFonts w:eastAsia="Times New Roman" w:cs="Times New Roman"/>
                <w:color w:val="000000"/>
                <w:sz w:val="20"/>
                <w:szCs w:val="20"/>
                <w:lang w:eastAsia="pt-BR"/>
              </w:rPr>
              <w:t>0.139</w:t>
            </w:r>
          </w:p>
        </w:tc>
        <w:tc>
          <w:tcPr>
            <w:tcW w:w="960" w:type="dxa"/>
            <w:tcBorders>
              <w:left w:val="nil"/>
              <w:bottom w:val="single" w:sz="4" w:space="0" w:color="auto"/>
              <w:right w:val="nil"/>
            </w:tcBorders>
            <w:shd w:val="clear" w:color="000000" w:fill="FFFFFF"/>
            <w:noWrap/>
            <w:vAlign w:val="bottom"/>
            <w:hideMark/>
          </w:tcPr>
          <w:p w14:paraId="1A87692C" w14:textId="639BDF73" w:rsidR="00B17695" w:rsidRPr="00B17695" w:rsidRDefault="00B17695" w:rsidP="00B17695">
            <w:pPr>
              <w:spacing w:line="240" w:lineRule="auto"/>
              <w:ind w:firstLine="0"/>
              <w:jc w:val="center"/>
              <w:rPr>
                <w:rFonts w:eastAsia="Times New Roman" w:cs="Times New Roman"/>
                <w:color w:val="000000"/>
                <w:sz w:val="20"/>
                <w:szCs w:val="20"/>
                <w:lang w:eastAsia="pt-BR"/>
              </w:rPr>
            </w:pPr>
          </w:p>
        </w:tc>
      </w:tr>
    </w:tbl>
    <w:p w14:paraId="71C3A8B2" w14:textId="19729405" w:rsidR="005433CD" w:rsidRPr="00656BF8" w:rsidRDefault="005433CD" w:rsidP="005433CD">
      <w:pPr>
        <w:pStyle w:val="NoSpacing"/>
        <w:rPr>
          <w:rFonts w:ascii="Times New Roman" w:hAnsi="Times New Roman"/>
          <w:sz w:val="16"/>
          <w:szCs w:val="16"/>
        </w:rPr>
      </w:pPr>
      <w:r w:rsidRPr="00656BF8">
        <w:rPr>
          <w:rFonts w:ascii="Times New Roman" w:hAnsi="Times New Roman"/>
          <w:sz w:val="16"/>
          <w:szCs w:val="16"/>
        </w:rPr>
        <w:t xml:space="preserve">Fonte: Elaborado pelo autor. Teste de causalidade </w:t>
      </w:r>
      <w:r w:rsidR="00895BFD" w:rsidRPr="00656BF8">
        <w:rPr>
          <w:rFonts w:ascii="Times New Roman" w:hAnsi="Times New Roman"/>
          <w:sz w:val="16"/>
          <w:szCs w:val="16"/>
        </w:rPr>
        <w:t>baseado em modelos VAR bivariados com</w:t>
      </w:r>
      <w:r w:rsidRPr="00656BF8">
        <w:rPr>
          <w:rFonts w:ascii="Times New Roman" w:hAnsi="Times New Roman"/>
          <w:sz w:val="16"/>
          <w:szCs w:val="16"/>
        </w:rPr>
        <w:t xml:space="preserve"> </w:t>
      </w:r>
      <w:r w:rsidR="00895BFD" w:rsidRPr="00656BF8">
        <w:rPr>
          <w:rFonts w:ascii="Times New Roman" w:hAnsi="Times New Roman"/>
          <w:sz w:val="16"/>
          <w:szCs w:val="16"/>
        </w:rPr>
        <w:t>6</w:t>
      </w:r>
      <w:r w:rsidR="001256B8" w:rsidRPr="00656BF8">
        <w:rPr>
          <w:rFonts w:ascii="Times New Roman" w:hAnsi="Times New Roman"/>
          <w:sz w:val="16"/>
          <w:szCs w:val="16"/>
        </w:rPr>
        <w:t xml:space="preserve"> </w:t>
      </w:r>
      <w:r w:rsidRPr="00656BF8">
        <w:rPr>
          <w:rFonts w:ascii="Times New Roman" w:hAnsi="Times New Roman"/>
          <w:sz w:val="16"/>
          <w:szCs w:val="16"/>
        </w:rPr>
        <w:t xml:space="preserve">defasagens. </w:t>
      </w:r>
      <w:r w:rsidR="00F33464" w:rsidRPr="00656BF8">
        <w:rPr>
          <w:rFonts w:ascii="Times New Roman" w:hAnsi="Times New Roman"/>
          <w:sz w:val="16"/>
          <w:szCs w:val="16"/>
        </w:rPr>
        <w:t>¹</w:t>
      </w:r>
      <w:r w:rsidR="00895BFD" w:rsidRPr="00656BF8">
        <w:rPr>
          <w:rFonts w:ascii="Times New Roman" w:hAnsi="Times New Roman"/>
          <w:sz w:val="16"/>
          <w:szCs w:val="16"/>
        </w:rPr>
        <w:t xml:space="preserve"> H0: Série linha não causa no sentido de Granger a série coluna. </w:t>
      </w:r>
      <w:r w:rsidRPr="00656BF8">
        <w:rPr>
          <w:rFonts w:ascii="Times New Roman" w:hAnsi="Times New Roman"/>
          <w:sz w:val="16"/>
          <w:szCs w:val="16"/>
        </w:rPr>
        <w:t xml:space="preserve"> Tabela reporta o p-valor do teste. * significância de 5%.</w:t>
      </w:r>
    </w:p>
    <w:p w14:paraId="651B5750" w14:textId="182DBF5C" w:rsidR="007832D6" w:rsidRDefault="007832D6" w:rsidP="005433CD">
      <w:pPr>
        <w:spacing w:line="240" w:lineRule="auto"/>
      </w:pPr>
    </w:p>
    <w:p w14:paraId="2882A56E" w14:textId="77777777" w:rsidR="00813107" w:rsidRPr="00317973" w:rsidRDefault="00813107" w:rsidP="00813107">
      <w:pPr>
        <w:spacing w:line="240" w:lineRule="auto"/>
        <w:jc w:val="both"/>
        <w:rPr>
          <w:rFonts w:eastAsiaTheme="minorEastAsia"/>
        </w:rPr>
      </w:pPr>
      <w:r>
        <w:rPr>
          <w:rFonts w:eastAsiaTheme="minorEastAsia"/>
        </w:rPr>
        <w:t>Do ponto de vista regional, é importante notar que o ciclo do saldo de emprego formal do RS influencia os ciclos do Paraná e de Santa Catarina, não sendo previsível pelos mesmos. Por outro lado, o ciclo cearense não é capaz de prever as flutuações cíclicas dos demais estados da região nordeste (BA e PE), enquanto é previsto por ambos. Na região sudeste, observa-se predominância do ciclo do RJ sobre os ciclos de MG e SP, na medida em que o primeiro é capaz de prever os dois últimos e não é precedido pelos mesmo.  No tocante ao par ordenado (SP e MG) com maior grau de correlação e concordância, observa-se que o ciclo paulista é relevante na previsão do ciclo de MG, não sendo previsto pelo mesmo.</w:t>
      </w:r>
    </w:p>
    <w:p w14:paraId="2E12F661" w14:textId="77777777" w:rsidR="00813107" w:rsidRDefault="00813107" w:rsidP="005433CD">
      <w:pPr>
        <w:spacing w:line="240" w:lineRule="auto"/>
      </w:pPr>
    </w:p>
    <w:p w14:paraId="21BC0DC7" w14:textId="16931A0F" w:rsidR="007832D6" w:rsidRDefault="007832D6" w:rsidP="007832D6">
      <w:pPr>
        <w:pStyle w:val="Heading2"/>
      </w:pPr>
      <w:r>
        <w:t>Análise no Domínio da Frequência</w:t>
      </w:r>
      <w:r w:rsidR="005A0A88">
        <w:t xml:space="preserve"> - Intrarregional</w:t>
      </w:r>
    </w:p>
    <w:p w14:paraId="42153534" w14:textId="7A19850F" w:rsidR="0019519C" w:rsidRDefault="00894279" w:rsidP="0019519C">
      <w:pPr>
        <w:spacing w:line="240" w:lineRule="auto"/>
        <w:jc w:val="both"/>
      </w:pPr>
      <w:r>
        <w:t xml:space="preserve">A análise </w:t>
      </w:r>
      <w:r w:rsidR="0019519C">
        <w:t xml:space="preserve">no domínio da frequência </w:t>
      </w:r>
      <w:r>
        <w:t xml:space="preserve">reporta importantes </w:t>
      </w:r>
      <w:r>
        <w:rPr>
          <w:i/>
          <w:iCs/>
        </w:rPr>
        <w:t xml:space="preserve">insights </w:t>
      </w:r>
      <w:r>
        <w:t xml:space="preserve">sobre a pontencial variação na intensidade de antecedência nas oscilações ao longo de diferentes </w:t>
      </w:r>
      <w:r w:rsidR="0019519C">
        <w:t xml:space="preserve">intervalos de </w:t>
      </w:r>
      <w:r>
        <w:t>periodicidade dos ciclos</w:t>
      </w:r>
      <w:r w:rsidR="00762F68">
        <w:t xml:space="preserve"> </w:t>
      </w:r>
      <w:r w:rsidR="0019519C">
        <w:t xml:space="preserve">econômicos </w:t>
      </w:r>
      <w:r w:rsidR="00762F68">
        <w:t>(Leemens, 2008)</w:t>
      </w:r>
      <w:r>
        <w:t>.</w:t>
      </w:r>
      <w:r w:rsidR="00762F68">
        <w:t xml:space="preserve"> </w:t>
      </w:r>
      <w:r w:rsidR="00F11CD1">
        <w:t>Os resultados apresentados nas seções anteriores</w:t>
      </w:r>
      <w:r w:rsidR="00762F68">
        <w:t xml:space="preserve"> indicaram fraca integração entre os </w:t>
      </w:r>
      <w:r w:rsidR="0019519C">
        <w:t>ciclos econômicos do mercado de trabalho formal</w:t>
      </w:r>
      <w:r w:rsidR="00762F68">
        <w:t xml:space="preserve"> dos Estados nordestinos. Por outro lado, </w:t>
      </w:r>
      <w:r w:rsidR="0019519C">
        <w:t>observamos</w:t>
      </w:r>
      <w:r w:rsidR="00762F68">
        <w:t xml:space="preserve"> co-movimentos entre as séries das regiões Sudeste e Sul, especialmente.</w:t>
      </w:r>
      <w:r>
        <w:t xml:space="preserve"> </w:t>
      </w:r>
    </w:p>
    <w:p w14:paraId="11743119" w14:textId="3D22D22E" w:rsidR="00894279" w:rsidRDefault="0019519C" w:rsidP="0019519C">
      <w:pPr>
        <w:spacing w:line="240" w:lineRule="auto"/>
        <w:jc w:val="both"/>
      </w:pPr>
      <w:r>
        <w:t xml:space="preserve">A proposta da presente seção consiste em verificar se as relações observadas no domínio do tempo apresentam variações ao longo dos intervalos de frequência que compõem os ciclos de negócios.  </w:t>
      </w:r>
      <w:r w:rsidR="00762F68">
        <w:t>Para isso, a investigação foi dividida em oscilações de alta frequência (2 ~ 8 trimestres</w:t>
      </w:r>
      <w:r>
        <w:t xml:space="preserve">, ou </w:t>
      </w: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[2.0, 0.5]</m:t>
        </m:r>
      </m:oMath>
      <w:r w:rsidR="00762F68">
        <w:t>) , média frequência (8</w:t>
      </w:r>
      <w:r w:rsidR="004102D6">
        <w:t xml:space="preserve"> </w:t>
      </w:r>
      <w:r w:rsidR="00762F68">
        <w:t>~</w:t>
      </w:r>
      <w:r w:rsidR="004102D6">
        <w:t xml:space="preserve"> </w:t>
      </w:r>
      <w:r w:rsidR="00762F68">
        <w:t>16 trimestres</w:t>
      </w:r>
      <w:r w:rsidR="004102D6">
        <w:t xml:space="preserve">, ou </w:t>
      </w: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[0.5, 0.25]</m:t>
        </m:r>
      </m:oMath>
      <w:r w:rsidR="00762F68">
        <w:t xml:space="preserve">) </w:t>
      </w:r>
      <w:r w:rsidR="001577AB" w:rsidRPr="001577AB">
        <w:rPr>
          <w:rFonts w:eastAsiaTheme="minorEastAsia"/>
        </w:rPr>
        <w:t>e baixa frequência (16 ~ 40 trimestres</w:t>
      </w:r>
      <w:r w:rsidR="004102D6">
        <w:t xml:space="preserve">, ou </w:t>
      </w: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[0.25, 0.10</m:t>
        </m:r>
      </m:oMath>
      <w:r w:rsidR="004102D6">
        <w:rPr>
          <w:rFonts w:eastAsiaTheme="minorEastAsia"/>
        </w:rPr>
        <w:t>]</w:t>
      </w:r>
      <w:r w:rsidR="00B84A6F">
        <w:t xml:space="preserve">). </w:t>
      </w:r>
    </w:p>
    <w:p w14:paraId="10CB3600" w14:textId="77777777" w:rsidR="005A0A88" w:rsidRDefault="005A0A88" w:rsidP="00894279">
      <w:pPr>
        <w:spacing w:line="240" w:lineRule="auto"/>
        <w:jc w:val="both"/>
      </w:pPr>
    </w:p>
    <w:p w14:paraId="114010C5" w14:textId="44FB9C08" w:rsidR="000E3314" w:rsidRPr="00894279" w:rsidRDefault="000E3314" w:rsidP="00656BF8">
      <w:pPr>
        <w:pStyle w:val="Heading3"/>
        <w:spacing w:line="240" w:lineRule="auto"/>
      </w:pPr>
      <w:r>
        <w:t>Região Nordeste</w:t>
      </w:r>
    </w:p>
    <w:p w14:paraId="5C1F69AD" w14:textId="21CD11BC" w:rsidR="001577AB" w:rsidRDefault="00E46F74" w:rsidP="00E46F74">
      <w:pPr>
        <w:spacing w:line="240" w:lineRule="auto"/>
        <w:jc w:val="both"/>
      </w:pPr>
      <w:r>
        <w:t>A estatística de coerência entre os espectros dos ciclos da Bahia e Pernambuco reporta significância estatística para oscilações com frequência superior a 1 ano</w:t>
      </w:r>
      <w:r w:rsidR="001577AB">
        <w:t xml:space="preserve"> (</w:t>
      </w: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≤1.0</m:t>
        </m:r>
      </m:oMath>
      <w:r w:rsidR="001577AB">
        <w:rPr>
          <w:rFonts w:eastAsiaTheme="minorEastAsia"/>
        </w:rPr>
        <w:t>)</w:t>
      </w:r>
      <w:r w:rsidR="001577AB">
        <w:t>. No horizonte de longo prazo (</w:t>
      </w: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≤0.25)</m:t>
        </m:r>
      </m:oMath>
      <w:r w:rsidR="00BB1890">
        <w:rPr>
          <w:rFonts w:eastAsiaTheme="minorEastAsia"/>
        </w:rPr>
        <w:t xml:space="preserve"> o índice de coerência é continuamente superior a 0.75, e não é possível rejeitar a hipótese </w:t>
      </w:r>
      <w:r w:rsidR="00BB1890">
        <w:rPr>
          <w:rFonts w:eastAsiaTheme="minorEastAsia"/>
        </w:rPr>
        <w:lastRenderedPageBreak/>
        <w:t xml:space="preserve">nula de diferença de fase nula entre os espectros, indicando que os ciclos são fortemente sincronizados. No intervalo de média frequência, a diferença de fase torna-se estatisticamente superior a zero, mas ainda inferior à </w:t>
      </w:r>
      <m:oMath>
        <m:r>
          <w:rPr>
            <w:rFonts w:ascii="Cambria Math" w:eastAsiaTheme="minorEastAsia" w:hAnsi="Cambria Math"/>
          </w:rPr>
          <m:t>π/2</m:t>
        </m:r>
      </m:oMath>
      <w:r w:rsidR="00BB1890">
        <w:rPr>
          <w:rFonts w:eastAsiaTheme="minorEastAsia"/>
        </w:rPr>
        <w:t xml:space="preserve"> (</w:t>
      </w:r>
      <m:oMath>
        <m:r>
          <w:rPr>
            <w:rFonts w:ascii="Cambria Math" w:eastAsiaTheme="minorEastAsia" w:hAnsi="Cambria Math"/>
          </w:rPr>
          <m:t>π/2=1.571)</m:t>
        </m:r>
      </m:oMath>
      <w:r w:rsidR="00BB1890">
        <w:rPr>
          <w:rFonts w:eastAsiaTheme="minorEastAsia"/>
        </w:rPr>
        <w:t>, o que sugere que atraso das oscilações de médio prazo do ciclo de Pernambuco em referência ao ciclo da Bahia. Ao controlar os efeitos do mercado de trabalho cearense, no entanto, o teste de causalidade de Granger indica causalidade bi-direcional nas frequência de médio e longo prazos.</w:t>
      </w:r>
    </w:p>
    <w:p w14:paraId="24D52F66" w14:textId="12A6EF6D" w:rsidR="00895BFD" w:rsidRDefault="00895BFD" w:rsidP="00E46F74">
      <w:pPr>
        <w:spacing w:line="240" w:lineRule="auto"/>
        <w:jc w:val="both"/>
      </w:pPr>
    </w:p>
    <w:p w14:paraId="293BD69B" w14:textId="77777777" w:rsidR="00813107" w:rsidRDefault="00813107" w:rsidP="00E46F74">
      <w:pPr>
        <w:spacing w:line="240" w:lineRule="auto"/>
        <w:jc w:val="both"/>
      </w:pPr>
    </w:p>
    <w:p w14:paraId="435C6C5D" w14:textId="15AA0929" w:rsidR="000E3314" w:rsidRDefault="00F33464" w:rsidP="00656BF8">
      <w:pPr>
        <w:pStyle w:val="TtuloFigura"/>
        <w:spacing w:line="240" w:lineRule="auto"/>
      </w:pPr>
      <w:r>
        <w:t>Figura 6: Análise no Domínio da Frequência entre os Ciclos da Região Nordeste</w:t>
      </w:r>
    </w:p>
    <w:p w14:paraId="372E1701" w14:textId="5BA53A96" w:rsidR="00F33464" w:rsidRPr="00656BF8" w:rsidRDefault="00F33464" w:rsidP="00F33464">
      <w:pPr>
        <w:pStyle w:val="TtuloFigura"/>
        <w:spacing w:line="240" w:lineRule="auto"/>
        <w:ind w:firstLine="0"/>
        <w:jc w:val="center"/>
        <w:rPr>
          <w:sz w:val="20"/>
          <w:szCs w:val="20"/>
        </w:rPr>
      </w:pPr>
      <w:r w:rsidRPr="00656BF8">
        <w:rPr>
          <w:sz w:val="20"/>
          <w:szCs w:val="20"/>
        </w:rPr>
        <w:t xml:space="preserve">Painel A: Coerência¹ </w:t>
      </w:r>
    </w:p>
    <w:p w14:paraId="6504A005" w14:textId="5FC74318" w:rsidR="00D636B5" w:rsidRDefault="00D636B5" w:rsidP="00D636B5">
      <w:pPr>
        <w:spacing w:line="240" w:lineRule="auto"/>
        <w:ind w:firstLine="0"/>
        <w:jc w:val="center"/>
      </w:pPr>
      <w:r>
        <w:rPr>
          <w:noProof/>
        </w:rPr>
        <w:drawing>
          <wp:inline distT="0" distB="0" distL="0" distR="0" wp14:anchorId="61F5E3F6" wp14:editId="1B074D98">
            <wp:extent cx="5096472" cy="1275118"/>
            <wp:effectExtent l="0" t="0" r="952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5088" cy="1292285"/>
                    </a:xfrm>
                    <a:prstGeom prst="rect">
                      <a:avLst/>
                    </a:prstGeom>
                  </pic:spPr>
                </pic:pic>
              </a:graphicData>
            </a:graphic>
          </wp:inline>
        </w:drawing>
      </w:r>
    </w:p>
    <w:p w14:paraId="7A65CD9A" w14:textId="6CC5843A" w:rsidR="00F33464" w:rsidRPr="00656BF8" w:rsidRDefault="00F33464" w:rsidP="00F33464">
      <w:pPr>
        <w:pStyle w:val="TtuloFigura"/>
        <w:spacing w:line="240" w:lineRule="auto"/>
        <w:ind w:firstLine="0"/>
        <w:jc w:val="center"/>
        <w:rPr>
          <w:sz w:val="20"/>
          <w:szCs w:val="20"/>
        </w:rPr>
      </w:pPr>
      <w:r w:rsidRPr="00656BF8">
        <w:rPr>
          <w:sz w:val="20"/>
          <w:szCs w:val="20"/>
        </w:rPr>
        <w:t xml:space="preserve">Painel B: Diferença de Fase¹ </w:t>
      </w:r>
    </w:p>
    <w:p w14:paraId="6C2B14CD" w14:textId="07EB7FAE" w:rsidR="00AC3E19" w:rsidRDefault="00AC3E19" w:rsidP="00D636B5">
      <w:pPr>
        <w:spacing w:line="240" w:lineRule="auto"/>
        <w:ind w:firstLine="0"/>
        <w:jc w:val="center"/>
      </w:pPr>
      <w:r>
        <w:rPr>
          <w:noProof/>
        </w:rPr>
        <w:drawing>
          <wp:inline distT="0" distB="0" distL="0" distR="0" wp14:anchorId="708DE351" wp14:editId="74357DE0">
            <wp:extent cx="4854556" cy="1216494"/>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1734" cy="1245857"/>
                    </a:xfrm>
                    <a:prstGeom prst="rect">
                      <a:avLst/>
                    </a:prstGeom>
                  </pic:spPr>
                </pic:pic>
              </a:graphicData>
            </a:graphic>
          </wp:inline>
        </w:drawing>
      </w:r>
    </w:p>
    <w:p w14:paraId="1D1B8D3A" w14:textId="706E88F2" w:rsidR="00F33464" w:rsidRPr="00656BF8" w:rsidRDefault="00F33464" w:rsidP="00F33464">
      <w:pPr>
        <w:pStyle w:val="TtuloFigura"/>
        <w:spacing w:line="240" w:lineRule="auto"/>
        <w:ind w:firstLine="0"/>
        <w:jc w:val="center"/>
        <w:rPr>
          <w:sz w:val="20"/>
          <w:szCs w:val="20"/>
        </w:rPr>
      </w:pPr>
      <w:r w:rsidRPr="00656BF8">
        <w:rPr>
          <w:sz w:val="20"/>
          <w:szCs w:val="20"/>
        </w:rPr>
        <w:t xml:space="preserve">Painel C: Causalidade Condicional de Granger² </w:t>
      </w:r>
    </w:p>
    <w:p w14:paraId="668CCC82" w14:textId="77777777" w:rsidR="00D636B5" w:rsidRDefault="00D636B5" w:rsidP="005433CD">
      <w:pPr>
        <w:spacing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9B132C" w14:paraId="05F4CFF9" w14:textId="77777777" w:rsidTr="009B132C">
        <w:tc>
          <w:tcPr>
            <w:tcW w:w="5097" w:type="dxa"/>
          </w:tcPr>
          <w:p w14:paraId="45ECF650" w14:textId="5518B747" w:rsidR="009B132C" w:rsidRDefault="009B132C" w:rsidP="005433CD">
            <w:pPr>
              <w:spacing w:line="240" w:lineRule="auto"/>
              <w:ind w:firstLine="0"/>
            </w:pPr>
            <w:r>
              <w:rPr>
                <w:noProof/>
              </w:rPr>
              <w:drawing>
                <wp:inline distT="0" distB="0" distL="0" distR="0" wp14:anchorId="303BF3EA" wp14:editId="1CDF856D">
                  <wp:extent cx="3095325" cy="809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8654" cy="860193"/>
                          </a:xfrm>
                          <a:prstGeom prst="rect">
                            <a:avLst/>
                          </a:prstGeom>
                        </pic:spPr>
                      </pic:pic>
                    </a:graphicData>
                  </a:graphic>
                </wp:inline>
              </w:drawing>
            </w:r>
          </w:p>
        </w:tc>
        <w:tc>
          <w:tcPr>
            <w:tcW w:w="5097" w:type="dxa"/>
          </w:tcPr>
          <w:p w14:paraId="2EB23700" w14:textId="3147E01C" w:rsidR="009B132C" w:rsidRDefault="009B132C" w:rsidP="005433CD">
            <w:pPr>
              <w:spacing w:line="240" w:lineRule="auto"/>
              <w:ind w:firstLine="0"/>
            </w:pPr>
            <w:r>
              <w:rPr>
                <w:noProof/>
              </w:rPr>
              <w:drawing>
                <wp:inline distT="0" distB="0" distL="0" distR="0" wp14:anchorId="2D6D602C" wp14:editId="37CD5B59">
                  <wp:extent cx="2984235" cy="817419"/>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3976" cy="872131"/>
                          </a:xfrm>
                          <a:prstGeom prst="rect">
                            <a:avLst/>
                          </a:prstGeom>
                        </pic:spPr>
                      </pic:pic>
                    </a:graphicData>
                  </a:graphic>
                </wp:inline>
              </w:drawing>
            </w:r>
          </w:p>
        </w:tc>
      </w:tr>
    </w:tbl>
    <w:p w14:paraId="33A32DE4" w14:textId="77777777" w:rsidR="009B132C" w:rsidRDefault="009B132C" w:rsidP="005433CD">
      <w:pPr>
        <w:spacing w:line="240" w:lineRule="auto"/>
      </w:pPr>
    </w:p>
    <w:p w14:paraId="56F631E1" w14:textId="1DE8AB94" w:rsidR="007832D6" w:rsidRDefault="00E07E30" w:rsidP="00531FB6">
      <w:pPr>
        <w:spacing w:line="240" w:lineRule="auto"/>
        <w:ind w:firstLine="0"/>
        <w:jc w:val="center"/>
      </w:pPr>
      <w:r>
        <w:rPr>
          <w:noProof/>
        </w:rPr>
        <mc:AlternateContent>
          <mc:Choice Requires="wps">
            <w:drawing>
              <wp:anchor distT="0" distB="0" distL="114300" distR="114300" simplePos="0" relativeHeight="251659264" behindDoc="0" locked="0" layoutInCell="1" allowOverlap="1" wp14:anchorId="28036637" wp14:editId="0D84432B">
                <wp:simplePos x="0" y="0"/>
                <wp:positionH relativeFrom="column">
                  <wp:posOffset>3207270</wp:posOffset>
                </wp:positionH>
                <wp:positionV relativeFrom="paragraph">
                  <wp:posOffset>170122</wp:posOffset>
                </wp:positionV>
                <wp:extent cx="145472" cy="394855"/>
                <wp:effectExtent l="0" t="0" r="26035" b="24765"/>
                <wp:wrapNone/>
                <wp:docPr id="10" name="Rectangle 10"/>
                <wp:cNvGraphicFramePr/>
                <a:graphic xmlns:a="http://schemas.openxmlformats.org/drawingml/2006/main">
                  <a:graphicData uri="http://schemas.microsoft.com/office/word/2010/wordprocessingShape">
                    <wps:wsp>
                      <wps:cNvSpPr/>
                      <wps:spPr>
                        <a:xfrm>
                          <a:off x="0" y="0"/>
                          <a:ext cx="145472" cy="3948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5E3B02" id="Rectangle 10" o:spid="_x0000_s1026" style="position:absolute;margin-left:252.55pt;margin-top:13.4pt;width:11.45pt;height:31.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" fillcolor="white [3212]" strokecolor="white [3212]" strokeweight="1pt"/>
            </w:pict>
          </mc:Fallback>
        </mc:AlternateContent>
      </w:r>
      <w:r w:rsidR="00531FB6">
        <w:rPr>
          <w:noProof/>
        </w:rPr>
        <w:drawing>
          <wp:inline distT="0" distB="0" distL="0" distR="0" wp14:anchorId="3D1B8825" wp14:editId="5517BAC9">
            <wp:extent cx="3019141" cy="6861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4949" cy="726098"/>
                    </a:xfrm>
                    <a:prstGeom prst="rect">
                      <a:avLst/>
                    </a:prstGeom>
                  </pic:spPr>
                </pic:pic>
              </a:graphicData>
            </a:graphic>
          </wp:inline>
        </w:drawing>
      </w:r>
    </w:p>
    <w:p w14:paraId="020B0A10" w14:textId="39826149" w:rsidR="00F33464" w:rsidRPr="00656BF8" w:rsidRDefault="00F33464" w:rsidP="00552116">
      <w:pPr>
        <w:spacing w:line="240" w:lineRule="auto"/>
        <w:ind w:firstLine="0"/>
        <w:jc w:val="both"/>
        <w:rPr>
          <w:sz w:val="16"/>
          <w:szCs w:val="16"/>
        </w:rPr>
      </w:pPr>
      <w:r w:rsidRPr="00656BF8">
        <w:rPr>
          <w:sz w:val="16"/>
          <w:szCs w:val="16"/>
        </w:rPr>
        <w:t>Fonte: Elaborado pelo autor. ¹ A área sombreada representa o intervalo de confiança de 95%. ² A linha horizontal representa o nível de significância de 5%</w:t>
      </w:r>
      <w:r w:rsidR="00552116" w:rsidRPr="00656BF8">
        <w:rPr>
          <w:sz w:val="16"/>
          <w:szCs w:val="16"/>
        </w:rPr>
        <w:t>.</w:t>
      </w:r>
    </w:p>
    <w:p w14:paraId="2104AC28" w14:textId="77777777" w:rsidR="00656BF8" w:rsidRDefault="00656BF8" w:rsidP="00552116">
      <w:pPr>
        <w:spacing w:line="240" w:lineRule="auto"/>
        <w:jc w:val="both"/>
      </w:pPr>
    </w:p>
    <w:p w14:paraId="3F2D812B" w14:textId="77777777" w:rsidR="00813107" w:rsidRDefault="00813107" w:rsidP="00813107">
      <w:pPr>
        <w:spacing w:line="240" w:lineRule="auto"/>
        <w:jc w:val="both"/>
      </w:pPr>
      <w:r>
        <w:t>Com referência a relação entre o Estado da Bahia e Ceará, o limite inferior da coerência é superior a 0.25 para frequência igual ou supeior a dois anos. A diferença de fase dos espectros oscila entre 0.17 – 0.85 ponto, sugerindo que o ciclo da Bahia antecede temporalmente o ciclo do Ceará no horizonte entre 2 e 4 anos. No entanto, a função condicional de Granger novamente indica causalidade bi-direcional, não dando suporte ao observado na diferença de fase.</w:t>
      </w:r>
    </w:p>
    <w:p w14:paraId="59DAF8AC" w14:textId="77A4C003" w:rsidR="00552116" w:rsidRPr="00F33464" w:rsidRDefault="00552116" w:rsidP="00552116">
      <w:pPr>
        <w:spacing w:line="240" w:lineRule="auto"/>
        <w:jc w:val="both"/>
        <w:rPr>
          <w:sz w:val="20"/>
          <w:szCs w:val="20"/>
        </w:rPr>
      </w:pPr>
      <w:r>
        <w:t>O baixo grau de associação linear entre os ciclos de Pernambuco e Ceará evidenciada na análise estática é confirmada no domínio da frequência ao longo de todas as frequências. A exceção das flutações com periodicidade superior oito trimestres, e um pico de coerência observado na frequência entre 4 e 5 trimestres, não é possível rejeitar a hipótese nula de ausência de coerência nas demais bandas frequenciais. A diferença de fase apresenta um padrão fortemente irregular na frequência de curto prazo, com a diferença de fase média indicando variação entre flutuações pró-cíclicas e contra-cíclicas ao longo deste intervalo espectral. Na mesma linha não é possível rejeitar a inexistência de causalidade no sentido de granger entre as séries para flutuações de curtíssimo prazo</w:t>
      </w:r>
    </w:p>
    <w:p w14:paraId="49A04CF4" w14:textId="2C0543E4" w:rsidR="007832D6" w:rsidRDefault="007832D6" w:rsidP="005433CD">
      <w:pPr>
        <w:spacing w:line="240" w:lineRule="auto"/>
      </w:pPr>
    </w:p>
    <w:p w14:paraId="546E47D3" w14:textId="300C5304" w:rsidR="005A0A88" w:rsidRDefault="005A0A88" w:rsidP="005A0A88">
      <w:pPr>
        <w:pStyle w:val="Heading3"/>
      </w:pPr>
      <w:r>
        <w:lastRenderedPageBreak/>
        <w:t>Região Sudeste</w:t>
      </w:r>
    </w:p>
    <w:p w14:paraId="610A402B" w14:textId="150A5087" w:rsidR="007832D6" w:rsidRDefault="008402A4" w:rsidP="005A0A88">
      <w:pPr>
        <w:spacing w:line="240" w:lineRule="auto"/>
        <w:jc w:val="both"/>
      </w:pPr>
      <w:r>
        <w:t xml:space="preserve">A análise espectral indica a presença de co-movimentos de curtíssimo prazo (2 a 4 trimestres) entre Minas Gerais e Rio de Janeiro, a coerência é superior </w:t>
      </w:r>
      <w:r w:rsidR="0094591E">
        <w:t>à 0.75 em três picos, com significância estatística verificada. A diferença de fase oscila em torno de zero, não havendo padrão de liderança, sugerindo sincronização nas flutuações de curto prazo entre os Estados, o que é confirmado pela função condicional de Granger, a qual atesta causalidade bi-direcional na banda de frequência (</w:t>
      </w:r>
      <m:oMath>
        <m:r>
          <w:rPr>
            <w:rFonts w:ascii="Cambria Math" w:hAnsi="Cambria Math"/>
          </w:rPr>
          <m:t>1.0≤</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≤1.5</m:t>
        </m:r>
      </m:oMath>
      <w:r w:rsidR="0094591E">
        <w:t xml:space="preserve">) e ausência de causalidade entre </w:t>
      </w:r>
      <w:r w:rsidR="00BB1890">
        <w:t>para os ciclos com duração entre 2 e 3 trimestres.</w:t>
      </w:r>
    </w:p>
    <w:p w14:paraId="61CAC893" w14:textId="77777777" w:rsidR="00813107" w:rsidRDefault="00813107" w:rsidP="00813107">
      <w:pPr>
        <w:spacing w:line="240" w:lineRule="auto"/>
        <w:jc w:val="both"/>
      </w:pPr>
      <w:r>
        <w:t xml:space="preserve">No horizonte de médio e longo prazos, reporta-se forte coerência entre os Estados da região Sudeste, confirmando a evidência de sincronização entre os ciclos no mercado de trabalho formal em nível intrarregional. Assim, como no domínio do tempo, o maior nível de integração em baixa e média frequências é observado entre MG e SP. </w:t>
      </w:r>
    </w:p>
    <w:p w14:paraId="4225926D" w14:textId="366F2AD4" w:rsidR="00813107" w:rsidRDefault="00813107" w:rsidP="00813107">
      <w:pPr>
        <w:spacing w:line="240" w:lineRule="auto"/>
        <w:jc w:val="both"/>
      </w:pPr>
      <w:r>
        <w:t>Ao longo de ambas as frequências o nível de coerência é superior à 0.80, sendo estatisticamente significante. A diferença de fase oscila é positiva durante o horizonte de médio e longo prazos, com intervalos regulares de significância estatística, no entanto, observa-se que o padrão de liderança altera-se no curtíssimo prazo, com SP antecendo os ciclos de MG no horizonte de 2 a 3 trimestres. Novamente, o teste condicional de Granger apresenta causalidade em ambas as direções para média e baixa frequências. Já no horizonte de curtíssimo prazo, o teste não observa qualquer padrão de causalidade.</w:t>
      </w:r>
    </w:p>
    <w:p w14:paraId="575F469A" w14:textId="7D246B5E" w:rsidR="00552116" w:rsidRDefault="00552116" w:rsidP="005A0A88">
      <w:pPr>
        <w:spacing w:line="240" w:lineRule="auto"/>
        <w:jc w:val="both"/>
      </w:pPr>
    </w:p>
    <w:p w14:paraId="4A13B7B4" w14:textId="5848015E" w:rsidR="00552116" w:rsidRDefault="00552116" w:rsidP="00656BF8">
      <w:pPr>
        <w:pStyle w:val="TtuloFigura"/>
        <w:spacing w:line="240" w:lineRule="auto"/>
      </w:pPr>
      <w:r>
        <w:t>Figura 7: Análise no Domínio da Frequência entre os Ciclos da Região Sudeste</w:t>
      </w:r>
    </w:p>
    <w:p w14:paraId="717B532C" w14:textId="77777777" w:rsidR="00552116" w:rsidRPr="00656BF8" w:rsidRDefault="00552116" w:rsidP="00552116">
      <w:pPr>
        <w:pStyle w:val="TtuloFigura"/>
        <w:spacing w:line="240" w:lineRule="auto"/>
        <w:ind w:firstLine="0"/>
        <w:jc w:val="center"/>
        <w:rPr>
          <w:sz w:val="20"/>
          <w:szCs w:val="20"/>
        </w:rPr>
      </w:pPr>
      <w:r w:rsidRPr="00656BF8">
        <w:rPr>
          <w:sz w:val="20"/>
          <w:szCs w:val="20"/>
        </w:rPr>
        <w:t xml:space="preserve">Painel A: Coerência¹ </w:t>
      </w:r>
    </w:p>
    <w:p w14:paraId="2332B692" w14:textId="1DAAE10A" w:rsidR="00552116" w:rsidRDefault="00552116" w:rsidP="00552116">
      <w:pPr>
        <w:spacing w:line="240" w:lineRule="auto"/>
        <w:ind w:firstLine="0"/>
        <w:jc w:val="center"/>
      </w:pPr>
      <w:r>
        <w:rPr>
          <w:noProof/>
        </w:rPr>
        <w:drawing>
          <wp:inline distT="0" distB="0" distL="0" distR="0" wp14:anchorId="3F87F2BB" wp14:editId="1D75F639">
            <wp:extent cx="4541369" cy="127064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4605" cy="1288333"/>
                    </a:xfrm>
                    <a:prstGeom prst="rect">
                      <a:avLst/>
                    </a:prstGeom>
                  </pic:spPr>
                </pic:pic>
              </a:graphicData>
            </a:graphic>
          </wp:inline>
        </w:drawing>
      </w:r>
    </w:p>
    <w:p w14:paraId="6B92D4FB" w14:textId="77777777" w:rsidR="00552116" w:rsidRPr="00656BF8" w:rsidRDefault="00552116" w:rsidP="00552116">
      <w:pPr>
        <w:pStyle w:val="TtuloFigura"/>
        <w:spacing w:line="240" w:lineRule="auto"/>
        <w:ind w:firstLine="0"/>
        <w:jc w:val="center"/>
        <w:rPr>
          <w:sz w:val="20"/>
          <w:szCs w:val="20"/>
        </w:rPr>
      </w:pPr>
      <w:r w:rsidRPr="00656BF8">
        <w:rPr>
          <w:sz w:val="20"/>
          <w:szCs w:val="20"/>
        </w:rPr>
        <w:t xml:space="preserve">Painel B: Diferença de Fase¹ </w:t>
      </w:r>
    </w:p>
    <w:p w14:paraId="7B018822" w14:textId="7AC6AF92" w:rsidR="00552116" w:rsidRDefault="00552116" w:rsidP="00552116">
      <w:pPr>
        <w:spacing w:line="240" w:lineRule="auto"/>
        <w:ind w:firstLine="0"/>
        <w:jc w:val="center"/>
      </w:pPr>
      <w:r>
        <w:rPr>
          <w:noProof/>
        </w:rPr>
        <w:drawing>
          <wp:inline distT="0" distB="0" distL="0" distR="0" wp14:anchorId="334A6EB3" wp14:editId="7460219C">
            <wp:extent cx="4443648" cy="124808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0752" cy="1280980"/>
                    </a:xfrm>
                    <a:prstGeom prst="rect">
                      <a:avLst/>
                    </a:prstGeom>
                  </pic:spPr>
                </pic:pic>
              </a:graphicData>
            </a:graphic>
          </wp:inline>
        </w:drawing>
      </w:r>
    </w:p>
    <w:p w14:paraId="04D07060" w14:textId="77777777" w:rsidR="00552116" w:rsidRPr="00656BF8" w:rsidRDefault="00552116" w:rsidP="00552116">
      <w:pPr>
        <w:pStyle w:val="TtuloFigura"/>
        <w:spacing w:line="240" w:lineRule="auto"/>
        <w:ind w:firstLine="0"/>
        <w:jc w:val="center"/>
        <w:rPr>
          <w:sz w:val="20"/>
          <w:szCs w:val="20"/>
        </w:rPr>
      </w:pPr>
      <w:r w:rsidRPr="00656BF8">
        <w:rPr>
          <w:sz w:val="20"/>
          <w:szCs w:val="20"/>
        </w:rPr>
        <w:t xml:space="preserve">Painel C: Causalidade Condicional de Granger² </w:t>
      </w:r>
    </w:p>
    <w:p w14:paraId="4B73B544" w14:textId="77777777" w:rsidR="00552116" w:rsidRDefault="00552116" w:rsidP="00552116">
      <w:pPr>
        <w:spacing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1"/>
        <w:gridCol w:w="5123"/>
      </w:tblGrid>
      <w:tr w:rsidR="00552116" w14:paraId="069CFD22" w14:textId="77777777" w:rsidTr="00C43862">
        <w:tc>
          <w:tcPr>
            <w:tcW w:w="5097" w:type="dxa"/>
          </w:tcPr>
          <w:p w14:paraId="30FDD9DB" w14:textId="7B001AF8" w:rsidR="00552116" w:rsidRDefault="00552116" w:rsidP="00C43862">
            <w:pPr>
              <w:spacing w:line="240" w:lineRule="auto"/>
              <w:ind w:firstLine="0"/>
            </w:pPr>
            <w:r>
              <w:rPr>
                <w:noProof/>
              </w:rPr>
              <w:drawing>
                <wp:inline distT="0" distB="0" distL="0" distR="0" wp14:anchorId="4E178452" wp14:editId="762815B1">
                  <wp:extent cx="3175346" cy="80889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5912" cy="854891"/>
                          </a:xfrm>
                          <a:prstGeom prst="rect">
                            <a:avLst/>
                          </a:prstGeom>
                        </pic:spPr>
                      </pic:pic>
                    </a:graphicData>
                  </a:graphic>
                </wp:inline>
              </w:drawing>
            </w:r>
          </w:p>
        </w:tc>
        <w:tc>
          <w:tcPr>
            <w:tcW w:w="5097" w:type="dxa"/>
          </w:tcPr>
          <w:p w14:paraId="159B6C78" w14:textId="5F3B9FF1" w:rsidR="00552116" w:rsidRDefault="00552116" w:rsidP="00C43862">
            <w:pPr>
              <w:spacing w:line="240" w:lineRule="auto"/>
              <w:ind w:firstLine="0"/>
            </w:pPr>
            <w:r>
              <w:rPr>
                <w:noProof/>
              </w:rPr>
              <w:drawing>
                <wp:inline distT="0" distB="0" distL="0" distR="0" wp14:anchorId="0D73C362" wp14:editId="5401877C">
                  <wp:extent cx="3209862" cy="7854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7909" cy="824120"/>
                          </a:xfrm>
                          <a:prstGeom prst="rect">
                            <a:avLst/>
                          </a:prstGeom>
                        </pic:spPr>
                      </pic:pic>
                    </a:graphicData>
                  </a:graphic>
                </wp:inline>
              </w:drawing>
            </w:r>
          </w:p>
        </w:tc>
      </w:tr>
    </w:tbl>
    <w:p w14:paraId="4FA7A40B" w14:textId="77777777" w:rsidR="00552116" w:rsidRDefault="00552116" w:rsidP="00552116">
      <w:pPr>
        <w:spacing w:line="240" w:lineRule="auto"/>
      </w:pPr>
    </w:p>
    <w:p w14:paraId="6D4D17A7" w14:textId="34C643DA" w:rsidR="00552116" w:rsidRDefault="00552116" w:rsidP="00552116">
      <w:pPr>
        <w:spacing w:line="240" w:lineRule="auto"/>
        <w:ind w:firstLine="0"/>
        <w:jc w:val="center"/>
      </w:pPr>
      <w:r w:rsidRPr="00552116">
        <w:rPr>
          <w:noProof/>
        </w:rPr>
        <w:t xml:space="preserve"> </w:t>
      </w:r>
      <w:r>
        <w:rPr>
          <w:noProof/>
        </w:rPr>
        <w:drawing>
          <wp:inline distT="0" distB="0" distL="0" distR="0" wp14:anchorId="5F29E66D" wp14:editId="6579D077">
            <wp:extent cx="2971800" cy="5717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9180" cy="592359"/>
                    </a:xfrm>
                    <a:prstGeom prst="rect">
                      <a:avLst/>
                    </a:prstGeom>
                  </pic:spPr>
                </pic:pic>
              </a:graphicData>
            </a:graphic>
          </wp:inline>
        </w:drawing>
      </w:r>
    </w:p>
    <w:p w14:paraId="419163D2" w14:textId="77777777" w:rsidR="00552116" w:rsidRPr="00656BF8" w:rsidRDefault="00552116" w:rsidP="00552116">
      <w:pPr>
        <w:spacing w:line="240" w:lineRule="auto"/>
        <w:ind w:firstLine="0"/>
        <w:jc w:val="both"/>
        <w:rPr>
          <w:sz w:val="16"/>
          <w:szCs w:val="16"/>
        </w:rPr>
      </w:pPr>
      <w:r w:rsidRPr="00656BF8">
        <w:rPr>
          <w:sz w:val="16"/>
          <w:szCs w:val="16"/>
        </w:rPr>
        <w:t>Fonte: Elaborado pelo autor. ¹ A área sombreada representa o intervalo de confiança de 95%. ² A linha horizontal representa o nível de significância de 5%.</w:t>
      </w:r>
    </w:p>
    <w:p w14:paraId="7173981C" w14:textId="77777777" w:rsidR="00656BF8" w:rsidRDefault="00656BF8" w:rsidP="00552116">
      <w:pPr>
        <w:spacing w:line="240" w:lineRule="auto"/>
        <w:jc w:val="both"/>
      </w:pPr>
    </w:p>
    <w:p w14:paraId="1549DAF1" w14:textId="384A9F1E" w:rsidR="006F5BEC" w:rsidRDefault="007F326E" w:rsidP="007F326E">
      <w:pPr>
        <w:spacing w:line="240" w:lineRule="auto"/>
        <w:jc w:val="both"/>
      </w:pPr>
      <w:r>
        <w:t xml:space="preserve">A capacidade preditiva do ciclo do RJ sobre os demais membros da região Sudeste em análise atestada no domínio do tempo, também é compartilhada no domínio da frequência, com o Estado causando no sentido de Granger SP e MG em grande parte do intervalo dos ciclos de médio e longo prazos, e sendo </w:t>
      </w:r>
      <w:r>
        <w:lastRenderedPageBreak/>
        <w:t>previsto em intervalos robustamente inferiores. No entanto, é importante resslatar que a diferença de fase apresentou um padrão errático, com MG e SP liderando oscilações de longo prazo do RJ</w:t>
      </w:r>
    </w:p>
    <w:p w14:paraId="20E99CB6" w14:textId="23FB089F" w:rsidR="006F5BEC" w:rsidRDefault="006F5BEC" w:rsidP="009E1DF9">
      <w:pPr>
        <w:spacing w:line="240" w:lineRule="auto"/>
        <w:ind w:firstLine="0"/>
        <w:jc w:val="both"/>
      </w:pPr>
    </w:p>
    <w:p w14:paraId="110A4127" w14:textId="4F972976" w:rsidR="005A0A88" w:rsidRDefault="005A0A88" w:rsidP="007B06A6">
      <w:pPr>
        <w:pStyle w:val="Heading3"/>
        <w:spacing w:line="240" w:lineRule="auto"/>
      </w:pPr>
      <w:r>
        <w:t>Região Sul</w:t>
      </w:r>
    </w:p>
    <w:p w14:paraId="70869380" w14:textId="122A5DA8" w:rsidR="0051236D" w:rsidRDefault="0051236D" w:rsidP="007F326E">
      <w:pPr>
        <w:spacing w:line="240" w:lineRule="auto"/>
        <w:jc w:val="both"/>
      </w:pPr>
      <w:r>
        <w:t xml:space="preserve">No tocante a região sul, </w:t>
      </w:r>
      <w:r w:rsidR="003713D0">
        <w:t>foi observada</w:t>
      </w:r>
      <w:r>
        <w:t xml:space="preserve"> forte integração nos ciclos de médio (4 ~ 8 trimestres) e longo prazos ( 8 ~ 32 trimestres), denotadas pela coerência média superior 0.75 entre todos os pares ordenados em ambas bandas frequências, com os espectros movendo-se em fase, denotando o caráter pró-cíclico intrarregional. </w:t>
      </w:r>
    </w:p>
    <w:p w14:paraId="0BD08D5D" w14:textId="77777777" w:rsidR="00813107" w:rsidRDefault="00813107" w:rsidP="00813107">
      <w:pPr>
        <w:spacing w:line="240" w:lineRule="auto"/>
        <w:jc w:val="both"/>
      </w:pPr>
      <w:r>
        <w:t xml:space="preserve">Controlado os efeitos da série de SC no sistema, ciclo do RS causa no sentido Granger o ciclo do PR em baixas e médias frequências, enquanto o inverso não é válido. Tendo em vista o alto nível de coerência e a diferença de fase indicar que o RS antecede as flutuações do PR no médio e longo prazos, com os espectros movendo-se em fase, o teste de causalidade de Granger dá robustez ao fato do cíclo do RS causar um contágio pró-cíclico sobre o ciclo do PR nestas bandas de frequência. </w:t>
      </w:r>
    </w:p>
    <w:p w14:paraId="7E579F9D" w14:textId="029342F9" w:rsidR="00813107" w:rsidRDefault="00813107" w:rsidP="007F326E">
      <w:pPr>
        <w:spacing w:line="240" w:lineRule="auto"/>
        <w:jc w:val="both"/>
      </w:pPr>
    </w:p>
    <w:p w14:paraId="667D0486" w14:textId="6523801E" w:rsidR="00813107" w:rsidRDefault="00813107" w:rsidP="007F326E">
      <w:pPr>
        <w:spacing w:line="240" w:lineRule="auto"/>
        <w:jc w:val="both"/>
      </w:pPr>
    </w:p>
    <w:p w14:paraId="250D3F56" w14:textId="77777777" w:rsidR="001E6752" w:rsidRDefault="001E6752" w:rsidP="001E6752">
      <w:pPr>
        <w:pStyle w:val="TtuloFigura"/>
        <w:spacing w:line="240" w:lineRule="auto"/>
        <w:ind w:firstLine="0"/>
        <w:jc w:val="center"/>
      </w:pPr>
      <w:r>
        <w:t>Figura 7: Análise no Domínio da Frequência entre os Ciclos da Região Sudeste</w:t>
      </w:r>
    </w:p>
    <w:p w14:paraId="08437E4B" w14:textId="77777777" w:rsidR="001E6752" w:rsidRPr="001E6752" w:rsidRDefault="001E6752" w:rsidP="001E6752">
      <w:pPr>
        <w:pStyle w:val="TtuloFigura"/>
        <w:spacing w:line="240" w:lineRule="auto"/>
        <w:ind w:firstLine="0"/>
        <w:jc w:val="center"/>
        <w:rPr>
          <w:sz w:val="20"/>
          <w:szCs w:val="20"/>
        </w:rPr>
      </w:pPr>
      <w:r w:rsidRPr="001E6752">
        <w:rPr>
          <w:sz w:val="20"/>
          <w:szCs w:val="20"/>
        </w:rPr>
        <w:t xml:space="preserve">Painel A: Coerência¹ </w:t>
      </w:r>
    </w:p>
    <w:p w14:paraId="2050B1A1" w14:textId="614C6FD0" w:rsidR="001E6752" w:rsidRDefault="001E6752" w:rsidP="001E6752">
      <w:pPr>
        <w:spacing w:line="240" w:lineRule="auto"/>
        <w:ind w:firstLine="0"/>
        <w:jc w:val="center"/>
      </w:pPr>
      <w:r>
        <w:rPr>
          <w:noProof/>
        </w:rPr>
        <w:drawing>
          <wp:inline distT="0" distB="0" distL="0" distR="0" wp14:anchorId="4C6A76F9" wp14:editId="32527BC3">
            <wp:extent cx="4774565" cy="1263829"/>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3322" cy="1284676"/>
                    </a:xfrm>
                    <a:prstGeom prst="rect">
                      <a:avLst/>
                    </a:prstGeom>
                  </pic:spPr>
                </pic:pic>
              </a:graphicData>
            </a:graphic>
          </wp:inline>
        </w:drawing>
      </w:r>
    </w:p>
    <w:p w14:paraId="52BB31AC" w14:textId="77777777" w:rsidR="001E6752" w:rsidRPr="001E6752" w:rsidRDefault="001E6752" w:rsidP="001E6752">
      <w:pPr>
        <w:pStyle w:val="TtuloFigura"/>
        <w:spacing w:line="240" w:lineRule="auto"/>
        <w:ind w:firstLine="0"/>
        <w:jc w:val="center"/>
        <w:rPr>
          <w:sz w:val="20"/>
          <w:szCs w:val="20"/>
        </w:rPr>
      </w:pPr>
      <w:r w:rsidRPr="001E6752">
        <w:rPr>
          <w:sz w:val="20"/>
          <w:szCs w:val="20"/>
        </w:rPr>
        <w:t xml:space="preserve">Painel B: Diferença de Fase¹ </w:t>
      </w:r>
    </w:p>
    <w:p w14:paraId="726D788F" w14:textId="2C332EBC" w:rsidR="001E6752" w:rsidRDefault="001E6752" w:rsidP="001E6752">
      <w:pPr>
        <w:spacing w:line="240" w:lineRule="auto"/>
        <w:ind w:firstLine="0"/>
        <w:jc w:val="center"/>
      </w:pPr>
      <w:r>
        <w:rPr>
          <w:noProof/>
        </w:rPr>
        <w:drawing>
          <wp:inline distT="0" distB="0" distL="0" distR="0" wp14:anchorId="4294BF5C" wp14:editId="23231168">
            <wp:extent cx="4865558" cy="12993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2013" cy="1317105"/>
                    </a:xfrm>
                    <a:prstGeom prst="rect">
                      <a:avLst/>
                    </a:prstGeom>
                  </pic:spPr>
                </pic:pic>
              </a:graphicData>
            </a:graphic>
          </wp:inline>
        </w:drawing>
      </w:r>
    </w:p>
    <w:p w14:paraId="6CB7076C" w14:textId="77777777" w:rsidR="001E6752" w:rsidRPr="001E6752" w:rsidRDefault="001E6752" w:rsidP="001E6752">
      <w:pPr>
        <w:pStyle w:val="TtuloFigura"/>
        <w:spacing w:line="240" w:lineRule="auto"/>
        <w:ind w:firstLine="0"/>
        <w:jc w:val="center"/>
        <w:rPr>
          <w:sz w:val="20"/>
          <w:szCs w:val="20"/>
        </w:rPr>
      </w:pPr>
      <w:r w:rsidRPr="001E6752">
        <w:rPr>
          <w:sz w:val="20"/>
          <w:szCs w:val="20"/>
        </w:rPr>
        <w:t xml:space="preserve">Painel C: Causalidade Condicional de Granger²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1"/>
        <w:gridCol w:w="5203"/>
      </w:tblGrid>
      <w:tr w:rsidR="001E6752" w14:paraId="648EBCD9" w14:textId="77777777" w:rsidTr="001E6752">
        <w:tc>
          <w:tcPr>
            <w:tcW w:w="5001" w:type="dxa"/>
          </w:tcPr>
          <w:p w14:paraId="7DD934B5" w14:textId="281501E9" w:rsidR="001E6752" w:rsidRDefault="001E6752" w:rsidP="00C43862">
            <w:pPr>
              <w:spacing w:line="240" w:lineRule="auto"/>
              <w:ind w:firstLine="0"/>
            </w:pPr>
            <w:r>
              <w:rPr>
                <w:noProof/>
              </w:rPr>
              <w:drawing>
                <wp:inline distT="0" distB="0" distL="0" distR="0" wp14:anchorId="48F7034A" wp14:editId="799E884C">
                  <wp:extent cx="3057525" cy="64014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5128" cy="675240"/>
                          </a:xfrm>
                          <a:prstGeom prst="rect">
                            <a:avLst/>
                          </a:prstGeom>
                        </pic:spPr>
                      </pic:pic>
                    </a:graphicData>
                  </a:graphic>
                </wp:inline>
              </w:drawing>
            </w:r>
          </w:p>
        </w:tc>
        <w:tc>
          <w:tcPr>
            <w:tcW w:w="5203" w:type="dxa"/>
          </w:tcPr>
          <w:p w14:paraId="10C805AF" w14:textId="6B862A6E" w:rsidR="001E6752" w:rsidRDefault="001E6752" w:rsidP="00C43862">
            <w:pPr>
              <w:spacing w:line="240" w:lineRule="auto"/>
              <w:ind w:firstLine="0"/>
            </w:pPr>
            <w:r>
              <w:rPr>
                <w:noProof/>
              </w:rPr>
              <w:drawing>
                <wp:inline distT="0" distB="0" distL="0" distR="0" wp14:anchorId="1516B5A0" wp14:editId="1FBCFE2C">
                  <wp:extent cx="3187141" cy="6565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6422" cy="672850"/>
                          </a:xfrm>
                          <a:prstGeom prst="rect">
                            <a:avLst/>
                          </a:prstGeom>
                        </pic:spPr>
                      </pic:pic>
                    </a:graphicData>
                  </a:graphic>
                </wp:inline>
              </w:drawing>
            </w:r>
          </w:p>
        </w:tc>
      </w:tr>
    </w:tbl>
    <w:p w14:paraId="52EFCC76" w14:textId="6C81AAAB" w:rsidR="001E6752" w:rsidRDefault="001E6752" w:rsidP="001E6752">
      <w:pPr>
        <w:spacing w:line="240" w:lineRule="auto"/>
        <w:ind w:firstLine="0"/>
        <w:jc w:val="center"/>
      </w:pPr>
      <w:r>
        <w:rPr>
          <w:noProof/>
        </w:rPr>
        <w:drawing>
          <wp:inline distT="0" distB="0" distL="0" distR="0" wp14:anchorId="457D513D" wp14:editId="57BA4C72">
            <wp:extent cx="3414730" cy="64809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0043" cy="673780"/>
                    </a:xfrm>
                    <a:prstGeom prst="rect">
                      <a:avLst/>
                    </a:prstGeom>
                  </pic:spPr>
                </pic:pic>
              </a:graphicData>
            </a:graphic>
          </wp:inline>
        </w:drawing>
      </w:r>
    </w:p>
    <w:p w14:paraId="5483BFD4" w14:textId="306F9834" w:rsidR="001E6752" w:rsidRDefault="001E6752" w:rsidP="001E6752">
      <w:pPr>
        <w:spacing w:line="240" w:lineRule="auto"/>
        <w:ind w:firstLine="0"/>
        <w:jc w:val="center"/>
      </w:pPr>
      <w:r w:rsidRPr="00552116">
        <w:rPr>
          <w:noProof/>
        </w:rPr>
        <w:t xml:space="preserve"> </w:t>
      </w:r>
    </w:p>
    <w:p w14:paraId="5196E648" w14:textId="5D63169C" w:rsidR="001E6752" w:rsidRPr="001E6752" w:rsidRDefault="001E6752" w:rsidP="001E6752">
      <w:pPr>
        <w:spacing w:line="240" w:lineRule="auto"/>
        <w:ind w:firstLine="0"/>
        <w:rPr>
          <w:sz w:val="16"/>
          <w:szCs w:val="16"/>
        </w:rPr>
      </w:pPr>
      <w:r w:rsidRPr="001E6752">
        <w:rPr>
          <w:sz w:val="16"/>
          <w:szCs w:val="16"/>
        </w:rPr>
        <w:t>Fonte: Elaborado pelo autor. ¹ A área sombreada representa o intervalo de confiança de 95%. ² A linha horizontal representa o nível de significância de 5%.</w:t>
      </w:r>
    </w:p>
    <w:p w14:paraId="38A2CEC3" w14:textId="77777777" w:rsidR="0051236D" w:rsidRDefault="0051236D" w:rsidP="009E1DF9">
      <w:pPr>
        <w:spacing w:line="240" w:lineRule="auto"/>
        <w:ind w:firstLine="0"/>
        <w:jc w:val="both"/>
      </w:pPr>
    </w:p>
    <w:p w14:paraId="60595A20" w14:textId="1628E242" w:rsidR="00990BD0" w:rsidRPr="0097481A" w:rsidRDefault="00990BD0" w:rsidP="005A0A88">
      <w:pPr>
        <w:spacing w:line="240" w:lineRule="auto"/>
        <w:jc w:val="both"/>
      </w:pPr>
      <w:r>
        <w:t xml:space="preserve">É interessante pontuar que a diferença de fase entre os ciclos do PR e SC apresenta ligeiras oscilações em torno de zero no intervalo frequencial (0.1 </w:t>
      </w:r>
      <m:oMath>
        <m:r>
          <w:rPr>
            <w:rFonts w:ascii="Cambria Math" w:hAnsi="Cambria Math"/>
          </w:rPr>
          <m:t>≤ w’≤</m:t>
        </m:r>
      </m:oMath>
      <w:r>
        <w:t xml:space="preserve">0.5), apresentando-se estatisticamente superior a </w:t>
      </w:r>
      <w:r w:rsidR="00027747">
        <w:t>0</w:t>
      </w:r>
      <w:r>
        <w:t xml:space="preserve"> n</w:t>
      </w:r>
      <w:r w:rsidR="00027747">
        <w:t>o intervalo de frequência</w:t>
      </w:r>
      <w:r>
        <w:t xml:space="preserve"> (0.25 </w:t>
      </w:r>
      <m:oMath>
        <m:r>
          <w:rPr>
            <w:rFonts w:ascii="Cambria Math" w:hAnsi="Cambria Math"/>
          </w:rPr>
          <m:t>≤ w’≤</m:t>
        </m:r>
      </m:oMath>
      <w:r>
        <w:t xml:space="preserve">0.4). Ou seja, a diferença de fase sugere uma relação de liderança pró-cíclica do Paraná em direção à Santa Catarina nos ciclos de </w:t>
      </w:r>
      <w:r w:rsidR="0097481A">
        <w:t>10 à 16 trimestres. Tendo em vista a presença de causalidade do RS sobre PR nesse horizonte de frequência, a causalidade condicional de Granger entre PR e SC, controlando o RS, é uma importante ferramenta para dar robustez a hipótese levantada via diferença de fase. Note que as flutuações na frequência (0.1</w:t>
      </w:r>
      <m:oMath>
        <m:r>
          <w:rPr>
            <w:rFonts w:ascii="Cambria Math" w:hAnsi="Cambria Math"/>
          </w:rPr>
          <m:t>≤ w’≤</m:t>
        </m:r>
      </m:oMath>
      <w:r w:rsidR="0097481A">
        <w:t xml:space="preserve">0.5) do ciclo do PR são capazes de prever as oscilações de SC, enquanto o inverso só é válido na banda frequencial </w:t>
      </w:r>
      <m:oMath>
        <m:r>
          <w:rPr>
            <w:rFonts w:ascii="Cambria Math" w:hAnsi="Cambria Math"/>
          </w:rPr>
          <m:t>(0.1≤ w’≤ 0.2</m:t>
        </m:r>
      </m:oMath>
      <w:r w:rsidR="0097481A">
        <w:t xml:space="preserve">), confimando que PR </w:t>
      </w:r>
      <w:r w:rsidR="0001791C" w:rsidRPr="0001791C">
        <w:t>lidera</w:t>
      </w:r>
      <w:r w:rsidR="0097481A">
        <w:t xml:space="preserve"> SC no horizonte de 10 à 16 trimestres, com os ciclos movendo-se em fase. </w:t>
      </w:r>
      <w:r w:rsidR="0097481A">
        <w:lastRenderedPageBreak/>
        <w:t>O mesmo é observado na relação entre RS e SC, com a diferença de que o ciclo catarinense não é capaz de prever as oscilações do ciclo gaúcho em nenhuma banda frequencial de médio e longo prazos.</w:t>
      </w:r>
    </w:p>
    <w:p w14:paraId="22A566D0" w14:textId="253C3CCF" w:rsidR="00BF5679" w:rsidRDefault="00070615" w:rsidP="005A0A88">
      <w:pPr>
        <w:spacing w:line="240" w:lineRule="auto"/>
        <w:ind w:firstLine="0"/>
        <w:jc w:val="both"/>
      </w:pPr>
      <w:r>
        <w:t xml:space="preserve"> </w:t>
      </w:r>
    </w:p>
    <w:p w14:paraId="2A1CACD2" w14:textId="77777777" w:rsidR="006F5BEC" w:rsidRPr="00284F43" w:rsidRDefault="006F5BEC" w:rsidP="00A143D4">
      <w:pPr>
        <w:spacing w:line="240" w:lineRule="auto"/>
        <w:ind w:firstLine="0"/>
        <w:jc w:val="center"/>
      </w:pPr>
    </w:p>
    <w:p w14:paraId="056125BA" w14:textId="77777777" w:rsidR="005433CD" w:rsidRDefault="005433CD" w:rsidP="005433CD">
      <w:pPr>
        <w:pStyle w:val="Heading1"/>
        <w:spacing w:line="240" w:lineRule="auto"/>
      </w:pPr>
      <w:bookmarkStart w:id="23" w:name="_Toc496278363"/>
      <w:bookmarkStart w:id="24" w:name="_Toc502166304"/>
      <w:r>
        <w:t>Considerações finais</w:t>
      </w:r>
      <w:bookmarkEnd w:id="23"/>
      <w:bookmarkEnd w:id="24"/>
      <w:r>
        <w:t xml:space="preserve"> </w:t>
      </w:r>
    </w:p>
    <w:p w14:paraId="5972A963" w14:textId="2610B806" w:rsidR="007D65C2" w:rsidRDefault="007D65C2" w:rsidP="0001791C">
      <w:pPr>
        <w:spacing w:line="240" w:lineRule="auto"/>
        <w:jc w:val="both"/>
      </w:pPr>
      <w:r>
        <w:t xml:space="preserve">Este artigo agrega à literatura de ciclos de negócios no ambiente nacional ao discutir as hipóteses de sincronização e liderança (contágio) entre as séries estaduais de saldo de emprego formal no domínio do tempo e da frequência. </w:t>
      </w:r>
    </w:p>
    <w:p w14:paraId="6A707AF2" w14:textId="20A78725" w:rsidR="007D65C2" w:rsidRDefault="007D65C2" w:rsidP="0001791C">
      <w:pPr>
        <w:spacing w:line="240" w:lineRule="auto"/>
        <w:jc w:val="both"/>
      </w:pPr>
      <w:r>
        <w:t xml:space="preserve">Os resultados reportados indicam que </w:t>
      </w:r>
      <w:r w:rsidR="000424A6">
        <w:t xml:space="preserve">os ciclos econômicos apresentam importante contribuição para a variância incondicional das séries estaduais. Observa-se também que os estados com maior participação relativa da indústria de transformação em sua matriz produtiva estão ainda mais propensos à volatilidade no horizonte de curto prazo. </w:t>
      </w:r>
    </w:p>
    <w:p w14:paraId="55F85C80" w14:textId="4297AAC6" w:rsidR="000424A6" w:rsidRDefault="000424A6" w:rsidP="0001791C">
      <w:pPr>
        <w:spacing w:line="240" w:lineRule="auto"/>
        <w:jc w:val="both"/>
      </w:pPr>
      <w:r>
        <w:t>A hipótese de forte integração entre os ciclos de negócios estaduais foi confirmada no domínio do tempo, com destaque para a maior interdependência entre as séries da região Sul e Sudeste. Nessa linha, os resultados no domínio da frequência reportaram que a sincronização nos ciclos deve-se aos componentes de médio (8 ~ 16 trimestres) e longo ( 16 ~ 32 trimestres) prazos, com os ciclos de curtíssimo prazo sendo fortemente heterogêneos.</w:t>
      </w:r>
    </w:p>
    <w:p w14:paraId="7F8562C0" w14:textId="4B6F6F81" w:rsidR="00027747" w:rsidRDefault="00027747" w:rsidP="0001791C">
      <w:pPr>
        <w:spacing w:line="240" w:lineRule="auto"/>
        <w:jc w:val="both"/>
      </w:pPr>
      <w:r>
        <w:t>Do ponto de vista empírico, o teste condicional de Granger no domínio da frequência apresenta-se como uma importante ferramente para o melhor entendimento dos atrasos ou lideranças entre as séries em ciclos de diferentes frequências. A análise intrarregional confirmou a baixa previsibilidade no horizonte de curto prazo entre os ciclos, o que sugere que os ciclos com intervalos inferiores à 1 ano são dirigidos por componentes idiossincráticos, próprios a cada unidade sub-nacional. No entanto, quando ampliamos o intervalo para frequências de médio e longo prazos, reportam-se frequentes relações de bi-causalidade, o que sugere transbordamento em ambas as direções das flutuações de média e baixa frequências.</w:t>
      </w:r>
    </w:p>
    <w:p w14:paraId="0D157C29" w14:textId="049D6EBD" w:rsidR="00027747" w:rsidRDefault="00027747" w:rsidP="0001791C">
      <w:pPr>
        <w:spacing w:line="240" w:lineRule="auto"/>
        <w:jc w:val="both"/>
      </w:pPr>
      <w:r>
        <w:t>Os testes condicionais confirmaram capacidade preditiva do RS sobre PR atestada no teste de causalidade de Granger clássico no horizonte de médio e longo prazos. O mesmo foi observado na capacidade de previsão do RJ sobre os ciclos dos demais Estados da região Sudeste.</w:t>
      </w:r>
    </w:p>
    <w:p w14:paraId="258A1682" w14:textId="77777777" w:rsidR="000D0E04" w:rsidRDefault="000D0E04" w:rsidP="000D0E04">
      <w:pPr>
        <w:spacing w:line="240" w:lineRule="auto"/>
        <w:jc w:val="both"/>
      </w:pPr>
      <w:r>
        <w:t>Na medida em que os resultados observados estão diretamente relacionados com as condições iniciais, estrutura produtiva e localização espacial dos Estados, um avanço natural ao presente estudo seria a análise dos principais determinantes da sincronização dos ciclos no mercado de trabalho formal. Ductor e Leiva-Leon (2016) avançam a discussão nesse sentido, indicando que o grau de comercialização, especialização e capital humano são importantes fatores para a integraçã entre os ciclos econômicos em nível internacional.</w:t>
      </w:r>
    </w:p>
    <w:p w14:paraId="7AF1046B" w14:textId="48B5FE25" w:rsidR="005433CD" w:rsidRDefault="000D0E04" w:rsidP="000D0E04">
      <w:pPr>
        <w:spacing w:line="240" w:lineRule="auto"/>
        <w:jc w:val="both"/>
      </w:pPr>
      <w:r>
        <w:t xml:space="preserve">Outro ponto importante diz respeito ao impacto das recessões econômicas sobre o grau de interdependência dos ciclos de negócios. </w:t>
      </w:r>
      <w:r w:rsidR="00C92096">
        <w:t>Firdmuc e Korhonen</w:t>
      </w:r>
      <w:r>
        <w:t xml:space="preserve"> (2012) e Aguiar-Conaria e Soares (2011) são proeminentes nesse sentido, destacando que as recessões econômicas apresentam maior grau de transbordamento do que os períodos de expansão, acentuando, assim, a interdependência dos ciclos.</w:t>
      </w:r>
    </w:p>
    <w:p w14:paraId="36B3F15B" w14:textId="77777777" w:rsidR="005433CD" w:rsidRDefault="005433CD" w:rsidP="005433CD">
      <w:pPr>
        <w:spacing w:line="240" w:lineRule="auto"/>
        <w:ind w:firstLine="0"/>
        <w:jc w:val="both"/>
      </w:pPr>
    </w:p>
    <w:p w14:paraId="5E7B888B" w14:textId="77777777" w:rsidR="005433CD" w:rsidRPr="00284F43" w:rsidRDefault="005433CD" w:rsidP="005433CD">
      <w:pPr>
        <w:spacing w:line="240" w:lineRule="auto"/>
        <w:ind w:firstLine="0"/>
      </w:pPr>
    </w:p>
    <w:p w14:paraId="443215F6" w14:textId="77777777" w:rsidR="005433CD" w:rsidRPr="007C18C9" w:rsidRDefault="005433CD" w:rsidP="005433CD">
      <w:pPr>
        <w:pStyle w:val="Heading1"/>
        <w:numPr>
          <w:ilvl w:val="0"/>
          <w:numId w:val="0"/>
        </w:numPr>
        <w:spacing w:line="240" w:lineRule="auto"/>
        <w:jc w:val="center"/>
        <w:rPr>
          <w:lang w:val="pt-BR"/>
        </w:rPr>
      </w:pPr>
      <w:bookmarkStart w:id="25" w:name="_Toc482104696"/>
      <w:bookmarkStart w:id="26" w:name="_Toc496278364"/>
      <w:bookmarkStart w:id="27" w:name="_Toc502166305"/>
      <w:r w:rsidRPr="007C18C9">
        <w:rPr>
          <w:lang w:val="pt-BR"/>
        </w:rPr>
        <w:t>REFERÊNCIAS</w:t>
      </w:r>
      <w:bookmarkEnd w:id="25"/>
      <w:bookmarkEnd w:id="26"/>
      <w:bookmarkEnd w:id="27"/>
    </w:p>
    <w:p w14:paraId="0C6F82F3" w14:textId="77777777" w:rsidR="005433CD" w:rsidRPr="007C18C9" w:rsidRDefault="005433CD" w:rsidP="005433CD">
      <w:pPr>
        <w:spacing w:line="240" w:lineRule="auto"/>
        <w:ind w:firstLine="0"/>
      </w:pPr>
    </w:p>
    <w:p w14:paraId="3B8ABD26" w14:textId="77777777" w:rsidR="00B17B77" w:rsidRPr="00E31C62" w:rsidRDefault="00B17B77" w:rsidP="00B17B77">
      <w:pPr>
        <w:spacing w:line="240" w:lineRule="auto"/>
        <w:ind w:firstLine="0"/>
        <w:jc w:val="both"/>
        <w:rPr>
          <w:rFonts w:cs="Times New Roman"/>
          <w:szCs w:val="24"/>
          <w:lang w:val="en-US"/>
        </w:rPr>
      </w:pPr>
      <w:r>
        <w:rPr>
          <w:rFonts w:cs="Times New Roman"/>
          <w:color w:val="222222"/>
          <w:szCs w:val="24"/>
          <w:shd w:val="clear" w:color="auto" w:fill="FFFFFF"/>
        </w:rPr>
        <w:t xml:space="preserve">AGUIAR-CONRARIA, L.; </w:t>
      </w:r>
      <w:r w:rsidRPr="00E31C62">
        <w:rPr>
          <w:rFonts w:cs="Times New Roman"/>
          <w:color w:val="222222"/>
          <w:szCs w:val="24"/>
          <w:shd w:val="clear" w:color="auto" w:fill="FFFFFF"/>
        </w:rPr>
        <w:t>SOARES</w:t>
      </w:r>
      <w:r>
        <w:rPr>
          <w:rFonts w:cs="Times New Roman"/>
          <w:color w:val="222222"/>
          <w:szCs w:val="24"/>
          <w:shd w:val="clear" w:color="auto" w:fill="FFFFFF"/>
        </w:rPr>
        <w:t xml:space="preserve">, M.J, </w:t>
      </w:r>
      <w:r w:rsidRPr="00E31C62">
        <w:rPr>
          <w:rFonts w:cs="Times New Roman"/>
          <w:color w:val="222222"/>
          <w:szCs w:val="24"/>
          <w:shd w:val="clear" w:color="auto" w:fill="FFFFFF"/>
        </w:rPr>
        <w:t xml:space="preserve">. </w:t>
      </w:r>
      <w:r w:rsidRPr="00E31C62">
        <w:rPr>
          <w:rFonts w:cs="Times New Roman"/>
          <w:color w:val="222222"/>
          <w:szCs w:val="24"/>
          <w:shd w:val="clear" w:color="auto" w:fill="FFFFFF"/>
          <w:lang w:val="en-US"/>
        </w:rPr>
        <w:t>Business cycle synchronization and the Euro: A wavelet analysis. </w:t>
      </w:r>
      <w:r w:rsidRPr="00E31C62">
        <w:rPr>
          <w:rFonts w:cs="Times New Roman"/>
          <w:b/>
          <w:bCs/>
          <w:color w:val="222222"/>
          <w:szCs w:val="24"/>
          <w:shd w:val="clear" w:color="auto" w:fill="FFFFFF"/>
          <w:lang w:val="en-US"/>
        </w:rPr>
        <w:t>Journal of Macroeconomics</w:t>
      </w:r>
      <w:r w:rsidRPr="00E31C62">
        <w:rPr>
          <w:rFonts w:cs="Times New Roman"/>
          <w:color w:val="222222"/>
          <w:szCs w:val="24"/>
          <w:shd w:val="clear" w:color="auto" w:fill="FFFFFF"/>
          <w:lang w:val="en-US"/>
        </w:rPr>
        <w:t>, v. 33, n. 3, p. 477-489, 2011.</w:t>
      </w:r>
      <w:r w:rsidRPr="00E31C62">
        <w:rPr>
          <w:rFonts w:cs="Times New Roman"/>
          <w:szCs w:val="24"/>
          <w:lang w:val="en-US"/>
        </w:rPr>
        <w:t xml:space="preserve"> </w:t>
      </w:r>
    </w:p>
    <w:p w14:paraId="548729C7" w14:textId="77777777" w:rsidR="00B17B77" w:rsidRDefault="00B17B77" w:rsidP="00B17B77">
      <w:pPr>
        <w:spacing w:line="240" w:lineRule="auto"/>
        <w:ind w:firstLine="0"/>
        <w:jc w:val="both"/>
        <w:rPr>
          <w:lang w:val="en-US"/>
        </w:rPr>
      </w:pPr>
      <w:r w:rsidRPr="00B61573">
        <w:rPr>
          <w:lang w:val="en-US"/>
        </w:rPr>
        <w:t>AGUIAR-CONRARIA, L; MARTINS, M.F; SOARES, M.J. Estimating the Taylor rule in the time-frequency domain</w:t>
      </w:r>
      <w:r w:rsidRPr="00B61573">
        <w:rPr>
          <w:b/>
          <w:bCs/>
          <w:lang w:val="en-US"/>
        </w:rPr>
        <w:t>. Journal of Macroeconomic</w:t>
      </w:r>
      <w:r w:rsidRPr="00B61573">
        <w:rPr>
          <w:lang w:val="en-US"/>
        </w:rPr>
        <w:t>s, v. 57, p. 122-137, 2018.</w:t>
      </w:r>
    </w:p>
    <w:p w14:paraId="605AA25D" w14:textId="77777777" w:rsidR="00B17B77" w:rsidRDefault="00B17B77" w:rsidP="00B17B77">
      <w:pPr>
        <w:spacing w:line="240" w:lineRule="auto"/>
        <w:ind w:firstLine="0"/>
        <w:jc w:val="both"/>
        <w:rPr>
          <w:lang w:val="en-US"/>
        </w:rPr>
      </w:pPr>
      <w:r w:rsidRPr="006D003E">
        <w:rPr>
          <w:lang w:val="en-US"/>
        </w:rPr>
        <w:t xml:space="preserve">BAXTER, M., </w:t>
      </w:r>
      <w:proofErr w:type="gramStart"/>
      <w:r w:rsidRPr="006D003E">
        <w:rPr>
          <w:lang w:val="en-US"/>
        </w:rPr>
        <w:t>KING,R.</w:t>
      </w:r>
      <w:proofErr w:type="gramEnd"/>
      <w:r w:rsidRPr="006D003E">
        <w:rPr>
          <w:lang w:val="en-US"/>
        </w:rPr>
        <w:t xml:space="preserve"> G. Measuring Business Cycles: Approximate Band-Pass Filters for Economic Time Se</w:t>
      </w:r>
      <w:r w:rsidRPr="00E17287">
        <w:rPr>
          <w:lang w:val="en-US"/>
        </w:rPr>
        <w:t xml:space="preserve">ries. </w:t>
      </w:r>
      <w:r w:rsidRPr="00E17287">
        <w:rPr>
          <w:b/>
          <w:lang w:val="en-US"/>
        </w:rPr>
        <w:t>The Review of Economics and Statistics</w:t>
      </w:r>
      <w:r w:rsidRPr="00E17287">
        <w:rPr>
          <w:lang w:val="en-US"/>
        </w:rPr>
        <w:t>, v. 81 (4), p. 575–593, 1999.</w:t>
      </w:r>
    </w:p>
    <w:p w14:paraId="1013B948" w14:textId="77777777" w:rsidR="00B17B77" w:rsidRDefault="00B17B77" w:rsidP="00B17B77">
      <w:pPr>
        <w:spacing w:line="240" w:lineRule="auto"/>
        <w:ind w:firstLine="0"/>
        <w:jc w:val="both"/>
        <w:rPr>
          <w:lang w:val="en-US"/>
        </w:rPr>
      </w:pPr>
      <w:r w:rsidRPr="00871C79">
        <w:rPr>
          <w:lang w:val="en-US"/>
        </w:rPr>
        <w:t>BRY, Gerhard; BOSCHAN, Charlotte. Programmed selection of cyclical turning points</w:t>
      </w:r>
      <w:r>
        <w:rPr>
          <w:lang w:val="en-US"/>
        </w:rPr>
        <w:t xml:space="preserve">. </w:t>
      </w:r>
      <w:r w:rsidRPr="00871C79">
        <w:rPr>
          <w:b/>
          <w:lang w:val="en-US"/>
        </w:rPr>
        <w:t xml:space="preserve">Cyclical Analysis of Time Series: Selected Procedures and Computer Programs. </w:t>
      </w:r>
      <w:proofErr w:type="spellStart"/>
      <w:r w:rsidRPr="00871C79">
        <w:rPr>
          <w:b/>
          <w:lang w:val="en-US"/>
        </w:rPr>
        <w:t>NBEr</w:t>
      </w:r>
      <w:proofErr w:type="spellEnd"/>
      <w:r w:rsidRPr="00871C79">
        <w:rPr>
          <w:lang w:val="en-US"/>
        </w:rPr>
        <w:t>, 1971. p. 7-63.</w:t>
      </w:r>
    </w:p>
    <w:p w14:paraId="5FB7BD6C" w14:textId="77777777" w:rsidR="00B17B77" w:rsidRPr="00B61573" w:rsidRDefault="00B17B77" w:rsidP="00B17B77">
      <w:pPr>
        <w:spacing w:line="240" w:lineRule="auto"/>
        <w:ind w:firstLine="0"/>
        <w:jc w:val="both"/>
        <w:rPr>
          <w:lang w:val="en-US"/>
        </w:rPr>
      </w:pPr>
      <w:proofErr w:type="spellStart"/>
      <w:r w:rsidRPr="00B61573">
        <w:rPr>
          <w:lang w:val="en-US"/>
        </w:rPr>
        <w:t>Bronnenberg</w:t>
      </w:r>
      <w:proofErr w:type="spellEnd"/>
      <w:r w:rsidRPr="00B61573">
        <w:rPr>
          <w:lang w:val="en-US"/>
        </w:rPr>
        <w:t xml:space="preserve">, B. J., Mela, C. F., Boulding, </w:t>
      </w:r>
      <w:proofErr w:type="gramStart"/>
      <w:r w:rsidRPr="00B61573">
        <w:rPr>
          <w:lang w:val="en-US"/>
        </w:rPr>
        <w:t>W..</w:t>
      </w:r>
      <w:proofErr w:type="gramEnd"/>
      <w:r w:rsidRPr="00B61573">
        <w:rPr>
          <w:lang w:val="en-US"/>
        </w:rPr>
        <w:t xml:space="preserve"> The periodicity of pricing. </w:t>
      </w:r>
      <w:r w:rsidRPr="00B61573">
        <w:rPr>
          <w:b/>
          <w:bCs/>
          <w:lang w:val="en-US"/>
        </w:rPr>
        <w:t>Journal of Marketing Research</w:t>
      </w:r>
      <w:r w:rsidRPr="00B61573">
        <w:rPr>
          <w:lang w:val="en-US"/>
        </w:rPr>
        <w:t xml:space="preserve">, </w:t>
      </w:r>
      <w:r>
        <w:rPr>
          <w:lang w:val="en-US"/>
        </w:rPr>
        <w:t>v.</w:t>
      </w:r>
      <w:r w:rsidRPr="00B61573">
        <w:rPr>
          <w:lang w:val="en-US"/>
        </w:rPr>
        <w:t>43</w:t>
      </w:r>
      <w:r>
        <w:rPr>
          <w:lang w:val="en-US"/>
        </w:rPr>
        <w:t>, n.</w:t>
      </w:r>
      <w:r w:rsidRPr="00B61573">
        <w:rPr>
          <w:lang w:val="en-US"/>
        </w:rPr>
        <w:t xml:space="preserve">3, </w:t>
      </w:r>
      <w:r>
        <w:rPr>
          <w:lang w:val="en-US"/>
        </w:rPr>
        <w:t>p.</w:t>
      </w:r>
      <w:r w:rsidRPr="00B61573">
        <w:rPr>
          <w:lang w:val="en-US"/>
        </w:rPr>
        <w:t>477-493</w:t>
      </w:r>
      <w:r>
        <w:rPr>
          <w:lang w:val="en-US"/>
        </w:rPr>
        <w:t>, 2006</w:t>
      </w:r>
      <w:r w:rsidRPr="00B61573">
        <w:rPr>
          <w:lang w:val="en-US"/>
        </w:rPr>
        <w:t>.</w:t>
      </w:r>
    </w:p>
    <w:p w14:paraId="26EAAFE7" w14:textId="77777777" w:rsidR="00B17B77" w:rsidRDefault="00B17B77" w:rsidP="00B17B77">
      <w:pPr>
        <w:spacing w:line="240" w:lineRule="auto"/>
        <w:ind w:firstLine="0"/>
        <w:jc w:val="both"/>
        <w:rPr>
          <w:lang w:val="en-US"/>
        </w:rPr>
      </w:pPr>
      <w:r w:rsidRPr="009D48B6">
        <w:rPr>
          <w:lang w:val="en-US"/>
        </w:rPr>
        <w:t>BURNS, A. F.</w:t>
      </w:r>
      <w:r>
        <w:rPr>
          <w:lang w:val="en-US"/>
        </w:rPr>
        <w:t>;</w:t>
      </w:r>
      <w:r w:rsidRPr="009D48B6">
        <w:rPr>
          <w:lang w:val="en-US"/>
        </w:rPr>
        <w:t xml:space="preserve"> MITCHELL, W. C. Measuring business cycles. </w:t>
      </w:r>
      <w:proofErr w:type="spellStart"/>
      <w:r w:rsidRPr="009D48B6">
        <w:rPr>
          <w:b/>
          <w:lang w:val="en-US"/>
        </w:rPr>
        <w:t>Nber</w:t>
      </w:r>
      <w:proofErr w:type="spellEnd"/>
      <w:r w:rsidRPr="009D48B6">
        <w:rPr>
          <w:b/>
          <w:lang w:val="en-US"/>
        </w:rPr>
        <w:t xml:space="preserve"> Books</w:t>
      </w:r>
      <w:r>
        <w:rPr>
          <w:lang w:val="en-US"/>
        </w:rPr>
        <w:t>, 1946</w:t>
      </w:r>
      <w:r w:rsidRPr="009D48B6">
        <w:rPr>
          <w:lang w:val="en-US"/>
        </w:rPr>
        <w:t>.</w:t>
      </w:r>
    </w:p>
    <w:p w14:paraId="146AF854" w14:textId="77777777" w:rsidR="00B17B77" w:rsidRPr="007C18C9" w:rsidRDefault="00B17B77" w:rsidP="00B17B77">
      <w:pPr>
        <w:spacing w:line="240" w:lineRule="auto"/>
        <w:ind w:firstLine="0"/>
        <w:jc w:val="both"/>
        <w:rPr>
          <w:rFonts w:eastAsia="Calibri" w:cs="Times New Roman"/>
          <w:bCs/>
          <w:szCs w:val="24"/>
        </w:rPr>
      </w:pPr>
      <w:r w:rsidRPr="00E31C62">
        <w:rPr>
          <w:lang w:val="en-US"/>
        </w:rPr>
        <w:lastRenderedPageBreak/>
        <w:t>CARDINALE, J., TAYLOR,</w:t>
      </w:r>
      <w:r w:rsidRPr="00B61573">
        <w:rPr>
          <w:rFonts w:eastAsia="Calibri" w:cs="Times New Roman"/>
          <w:bCs/>
          <w:szCs w:val="24"/>
          <w:lang w:val="en-US"/>
        </w:rPr>
        <w:t xml:space="preserve"> L. W. </w:t>
      </w:r>
      <w:r w:rsidRPr="00B61573">
        <w:rPr>
          <w:rFonts w:eastAsia="Calibri" w:cs="Times New Roman"/>
          <w:b/>
          <w:szCs w:val="24"/>
          <w:lang w:val="en-US"/>
        </w:rPr>
        <w:t>Economic cycles: Asymmetries, persistence, and synchronization</w:t>
      </w:r>
      <w:r w:rsidRPr="00B61573">
        <w:rPr>
          <w:rFonts w:eastAsia="Calibri" w:cs="Times New Roman"/>
          <w:bCs/>
          <w:szCs w:val="24"/>
          <w:lang w:val="en-US"/>
        </w:rPr>
        <w:t xml:space="preserve">. </w:t>
      </w:r>
      <w:r w:rsidRPr="007C18C9">
        <w:rPr>
          <w:rFonts w:eastAsia="Calibri" w:cs="Times New Roman"/>
          <w:bCs/>
          <w:szCs w:val="24"/>
        </w:rPr>
        <w:t>In Palgrave handbook of econometrics, pp. 308-348. Palgrave Macmillan, London, 2009.</w:t>
      </w:r>
    </w:p>
    <w:p w14:paraId="66C565F6" w14:textId="77777777" w:rsidR="00B17B77" w:rsidRPr="00A33D29" w:rsidRDefault="00B17B77" w:rsidP="00B17B77">
      <w:pPr>
        <w:spacing w:line="240" w:lineRule="auto"/>
        <w:ind w:firstLine="0"/>
        <w:jc w:val="both"/>
        <w:rPr>
          <w:rFonts w:eastAsia="Calibri" w:cs="Times New Roman"/>
          <w:szCs w:val="24"/>
          <w:lang w:val="en-US"/>
        </w:rPr>
      </w:pPr>
      <w:r w:rsidRPr="00260229">
        <w:rPr>
          <w:rFonts w:ascii="TimesNewRomanPSMT" w:hAnsi="TimesNewRomanPSMT" w:cs="TimesNewRomanPSMT"/>
          <w:szCs w:val="24"/>
        </w:rPr>
        <w:t>COLOMBO, J.A; LAZZARI, M.R. Timing, Dura</w:t>
      </w:r>
      <w:r>
        <w:rPr>
          <w:rFonts w:ascii="TimesNewRomanPSMT" w:hAnsi="TimesNewRomanPSMT" w:cs="TimesNewRomanPSMT"/>
          <w:szCs w:val="24"/>
        </w:rPr>
        <w:t xml:space="preserve">ção e Magnitude da Recessão Econômica 2014-16 nos Estados Brasileiros. </w:t>
      </w:r>
      <w:r w:rsidRPr="00A33D29">
        <w:rPr>
          <w:rFonts w:eastAsia="Calibri" w:cs="Times New Roman"/>
          <w:b/>
          <w:bCs/>
          <w:szCs w:val="24"/>
          <w:lang w:val="en-US"/>
        </w:rPr>
        <w:t xml:space="preserve">Anais: 46º </w:t>
      </w:r>
      <w:proofErr w:type="spellStart"/>
      <w:r w:rsidRPr="00A33D29">
        <w:rPr>
          <w:rFonts w:eastAsia="Calibri" w:cs="Times New Roman"/>
          <w:b/>
          <w:bCs/>
          <w:szCs w:val="24"/>
          <w:lang w:val="en-US"/>
        </w:rPr>
        <w:t>Encontro</w:t>
      </w:r>
      <w:proofErr w:type="spellEnd"/>
      <w:r w:rsidRPr="00A33D29">
        <w:rPr>
          <w:rFonts w:eastAsia="Calibri" w:cs="Times New Roman"/>
          <w:b/>
          <w:bCs/>
          <w:szCs w:val="24"/>
          <w:lang w:val="en-US"/>
        </w:rPr>
        <w:t xml:space="preserve"> Nacional de Economia – ANPEC</w:t>
      </w:r>
      <w:r>
        <w:rPr>
          <w:rFonts w:eastAsia="Calibri" w:cs="Times New Roman"/>
          <w:szCs w:val="24"/>
          <w:lang w:val="en-US"/>
        </w:rPr>
        <w:t xml:space="preserve">, 2018. </w:t>
      </w:r>
    </w:p>
    <w:p w14:paraId="3DE57817" w14:textId="77777777" w:rsidR="00B17B77" w:rsidRPr="007C18C9" w:rsidRDefault="00B17B77" w:rsidP="00B17B77">
      <w:pPr>
        <w:spacing w:line="240" w:lineRule="auto"/>
        <w:ind w:firstLine="0"/>
        <w:jc w:val="both"/>
        <w:rPr>
          <w:rFonts w:ascii="TimesNewRomanPSMT" w:hAnsi="TimesNewRomanPSMT" w:cs="TimesNewRomanPSMT"/>
          <w:szCs w:val="24"/>
        </w:rPr>
      </w:pPr>
      <w:r>
        <w:rPr>
          <w:rFonts w:ascii="TimesNewRomanPSMT" w:hAnsi="TimesNewRomanPSMT" w:cs="TimesNewRomanPSMT"/>
          <w:szCs w:val="24"/>
          <w:lang w:val="en-US"/>
        </w:rPr>
        <w:t xml:space="preserve">DIXON, R.; SHEPHERD, D. Trends and Cycles in Australian State and Territory Unemployment Rates. </w:t>
      </w:r>
      <w:r w:rsidRPr="007C18C9">
        <w:rPr>
          <w:rFonts w:ascii="TimesNewRomanPSMT" w:hAnsi="TimesNewRomanPSMT" w:cs="TimesNewRomanPSMT"/>
          <w:b/>
          <w:bCs/>
          <w:szCs w:val="24"/>
        </w:rPr>
        <w:t>The Economic Record</w:t>
      </w:r>
      <w:r w:rsidRPr="007C18C9">
        <w:rPr>
          <w:rFonts w:ascii="TimesNewRomanPSMT" w:hAnsi="TimesNewRomanPSMT" w:cs="TimesNewRomanPSMT"/>
          <w:szCs w:val="24"/>
        </w:rPr>
        <w:t>, v.77, n.238, p.252-269, 2001.</w:t>
      </w:r>
    </w:p>
    <w:p w14:paraId="273CEF83" w14:textId="77777777" w:rsidR="00B17B77" w:rsidRPr="00260229" w:rsidRDefault="00B17B77" w:rsidP="00B17B77">
      <w:pPr>
        <w:spacing w:line="240" w:lineRule="auto"/>
        <w:ind w:firstLine="0"/>
        <w:jc w:val="both"/>
        <w:rPr>
          <w:rFonts w:cs="Times New Roman"/>
          <w:szCs w:val="24"/>
        </w:rPr>
      </w:pPr>
      <w:r w:rsidRPr="00260229">
        <w:rPr>
          <w:rFonts w:cs="Times New Roman"/>
          <w:color w:val="222222"/>
          <w:szCs w:val="24"/>
          <w:shd w:val="clear" w:color="auto" w:fill="FFFFFF"/>
        </w:rPr>
        <w:t>DWECK, Esther; TEIXEIRA, Rodrigo Alves. A política fiscal do governo Dilma e a crise econômica. </w:t>
      </w:r>
      <w:r w:rsidRPr="00260229">
        <w:rPr>
          <w:rFonts w:cs="Times New Roman"/>
          <w:b/>
          <w:bCs/>
          <w:color w:val="222222"/>
          <w:szCs w:val="24"/>
          <w:shd w:val="clear" w:color="auto" w:fill="FFFFFF"/>
        </w:rPr>
        <w:t>Campinas: IE/Unicamp. Disponível em: http://www. eco. unicamp. br/docprod/downarq. php</w:t>
      </w:r>
      <w:r w:rsidRPr="00260229">
        <w:rPr>
          <w:rFonts w:cs="Times New Roman"/>
          <w:color w:val="222222"/>
          <w:szCs w:val="24"/>
          <w:shd w:val="clear" w:color="auto" w:fill="FFFFFF"/>
        </w:rPr>
        <w:t>, 2017.</w:t>
      </w:r>
    </w:p>
    <w:p w14:paraId="67BD304E" w14:textId="77777777" w:rsidR="00B17B77" w:rsidRPr="00260229" w:rsidRDefault="00B17B77" w:rsidP="00B17B77">
      <w:pPr>
        <w:spacing w:line="240" w:lineRule="auto"/>
        <w:ind w:firstLine="0"/>
        <w:jc w:val="both"/>
        <w:rPr>
          <w:rFonts w:eastAsia="Calibri" w:cs="Times New Roman"/>
          <w:bCs/>
          <w:szCs w:val="24"/>
          <w:lang w:val="en-US"/>
        </w:rPr>
      </w:pPr>
      <w:r w:rsidRPr="00260229">
        <w:rPr>
          <w:rFonts w:eastAsia="Calibri" w:cs="Times New Roman"/>
          <w:bCs/>
          <w:szCs w:val="24"/>
          <w:lang w:val="en-US"/>
        </w:rPr>
        <w:t xml:space="preserve">FARNÉ, </w:t>
      </w:r>
      <w:r>
        <w:rPr>
          <w:rFonts w:eastAsia="Calibri" w:cs="Times New Roman"/>
          <w:bCs/>
          <w:szCs w:val="24"/>
          <w:lang w:val="en-US"/>
        </w:rPr>
        <w:t>M</w:t>
      </w:r>
      <w:r w:rsidRPr="00260229">
        <w:rPr>
          <w:rFonts w:eastAsia="Calibri" w:cs="Times New Roman"/>
          <w:bCs/>
          <w:szCs w:val="24"/>
          <w:lang w:val="en-US"/>
        </w:rPr>
        <w:t xml:space="preserve">; MONTANARI, </w:t>
      </w:r>
      <w:r>
        <w:rPr>
          <w:rFonts w:eastAsia="Calibri" w:cs="Times New Roman"/>
          <w:bCs/>
          <w:szCs w:val="24"/>
          <w:lang w:val="en-US"/>
        </w:rPr>
        <w:t>A</w:t>
      </w:r>
      <w:r w:rsidRPr="00260229">
        <w:rPr>
          <w:rFonts w:eastAsia="Calibri" w:cs="Times New Roman"/>
          <w:bCs/>
          <w:szCs w:val="24"/>
          <w:lang w:val="en-US"/>
        </w:rPr>
        <w:t>. A bootstrap test to detect prominent Granger-causalities across frequencies</w:t>
      </w:r>
      <w:r w:rsidRPr="00260229">
        <w:rPr>
          <w:rFonts w:eastAsia="Calibri" w:cs="Times New Roman"/>
          <w:b/>
          <w:szCs w:val="24"/>
          <w:lang w:val="en-US"/>
        </w:rPr>
        <w:t xml:space="preserve">. </w:t>
      </w:r>
      <w:proofErr w:type="spellStart"/>
      <w:r w:rsidRPr="00260229">
        <w:rPr>
          <w:rFonts w:eastAsia="Calibri" w:cs="Times New Roman"/>
          <w:b/>
          <w:szCs w:val="24"/>
          <w:lang w:val="en-US"/>
        </w:rPr>
        <w:t>arXiv</w:t>
      </w:r>
      <w:proofErr w:type="spellEnd"/>
      <w:r w:rsidRPr="00260229">
        <w:rPr>
          <w:rFonts w:eastAsia="Calibri" w:cs="Times New Roman"/>
          <w:b/>
          <w:szCs w:val="24"/>
          <w:lang w:val="en-US"/>
        </w:rPr>
        <w:t xml:space="preserve"> preprint arXiv:1803.00374</w:t>
      </w:r>
      <w:r w:rsidRPr="00260229">
        <w:rPr>
          <w:rFonts w:eastAsia="Calibri" w:cs="Times New Roman"/>
          <w:bCs/>
          <w:szCs w:val="24"/>
          <w:lang w:val="en-US"/>
        </w:rPr>
        <w:t>, 2018.</w:t>
      </w:r>
    </w:p>
    <w:p w14:paraId="5FF3179F" w14:textId="77777777" w:rsidR="00B17B77" w:rsidRDefault="00B17B77" w:rsidP="00B17B77">
      <w:pPr>
        <w:spacing w:line="240" w:lineRule="auto"/>
        <w:ind w:firstLine="0"/>
        <w:jc w:val="both"/>
      </w:pPr>
      <w:r>
        <w:t xml:space="preserve">FERREIRA, R.C.C. </w:t>
      </w:r>
      <w:r w:rsidRPr="00B61573">
        <w:rPr>
          <w:b/>
          <w:bCs/>
        </w:rPr>
        <w:t>Crescimento e comportamento multissetorial: uma abordagem global VAR para o Brasil</w:t>
      </w:r>
      <w:r>
        <w:t>. Dissertação (MPFE) - Escola de Economia de São Paulo, FGB 78 f, 2018.</w:t>
      </w:r>
    </w:p>
    <w:p w14:paraId="0BDE0F33" w14:textId="77777777" w:rsidR="00B17B77" w:rsidRPr="00E31C62" w:rsidRDefault="00B17B77" w:rsidP="00B17B77">
      <w:pPr>
        <w:autoSpaceDE w:val="0"/>
        <w:autoSpaceDN w:val="0"/>
        <w:adjustRightInd w:val="0"/>
        <w:spacing w:line="240" w:lineRule="auto"/>
        <w:ind w:firstLine="0"/>
        <w:jc w:val="both"/>
        <w:rPr>
          <w:rFonts w:cs="Times New Roman"/>
          <w:color w:val="000000"/>
          <w:szCs w:val="24"/>
          <w:lang w:val="en-US"/>
        </w:rPr>
      </w:pPr>
      <w:r w:rsidRPr="00E31C62">
        <w:rPr>
          <w:rFonts w:cs="Times New Roman"/>
          <w:color w:val="000000"/>
          <w:szCs w:val="24"/>
          <w:lang w:val="en-US"/>
        </w:rPr>
        <w:t xml:space="preserve">FIDRMUC, J.; KORHONEN, I. The impact of the global financial crisis on business cycles in </w:t>
      </w:r>
      <w:proofErr w:type="spellStart"/>
      <w:r w:rsidRPr="00E31C62">
        <w:rPr>
          <w:rFonts w:cs="Times New Roman"/>
          <w:color w:val="000000"/>
          <w:szCs w:val="24"/>
          <w:lang w:val="en-US"/>
        </w:rPr>
        <w:t>asianemerging</w:t>
      </w:r>
      <w:proofErr w:type="spellEnd"/>
      <w:r w:rsidRPr="00E31C62">
        <w:rPr>
          <w:rFonts w:cs="Times New Roman"/>
          <w:color w:val="000000"/>
          <w:szCs w:val="24"/>
          <w:lang w:val="en-US"/>
        </w:rPr>
        <w:t xml:space="preserve"> economies. </w:t>
      </w:r>
      <w:r w:rsidRPr="00E31C62">
        <w:rPr>
          <w:rFonts w:cs="Times New Roman"/>
          <w:b/>
          <w:bCs/>
          <w:i/>
          <w:iCs/>
          <w:color w:val="000000"/>
          <w:szCs w:val="24"/>
          <w:lang w:val="en-US"/>
        </w:rPr>
        <w:t>Journal of Asian Economics</w:t>
      </w:r>
      <w:r w:rsidRPr="00E31C62">
        <w:rPr>
          <w:rFonts w:cs="Times New Roman"/>
          <w:color w:val="000000"/>
          <w:szCs w:val="24"/>
          <w:lang w:val="en-US"/>
        </w:rPr>
        <w:t xml:space="preserve">, Elsevier, v. 21, n. 3, p. 293–303, 2010. </w:t>
      </w:r>
    </w:p>
    <w:p w14:paraId="60F9C23C" w14:textId="77777777" w:rsidR="00B17B77" w:rsidRDefault="00B17B77" w:rsidP="00B17B77">
      <w:pPr>
        <w:spacing w:line="240" w:lineRule="auto"/>
        <w:ind w:firstLine="0"/>
        <w:jc w:val="both"/>
        <w:rPr>
          <w:rFonts w:eastAsia="Calibri" w:cs="Times New Roman"/>
          <w:bCs/>
          <w:szCs w:val="24"/>
          <w:lang w:val="en-US"/>
        </w:rPr>
      </w:pPr>
      <w:r w:rsidRPr="009D48B6">
        <w:rPr>
          <w:rFonts w:eastAsia="Calibri" w:cs="Times New Roman"/>
          <w:bCs/>
          <w:szCs w:val="24"/>
          <w:lang w:val="en-US"/>
        </w:rPr>
        <w:t>HARDING, D</w:t>
      </w:r>
      <w:r>
        <w:rPr>
          <w:rFonts w:eastAsia="Calibri" w:cs="Times New Roman"/>
          <w:bCs/>
          <w:szCs w:val="24"/>
          <w:lang w:val="en-US"/>
        </w:rPr>
        <w:t>.</w:t>
      </w:r>
      <w:r w:rsidRPr="009D48B6">
        <w:rPr>
          <w:rFonts w:eastAsia="Calibri" w:cs="Times New Roman"/>
          <w:bCs/>
          <w:szCs w:val="24"/>
          <w:lang w:val="en-US"/>
        </w:rPr>
        <w:t>; PAGA</w:t>
      </w:r>
      <w:r>
        <w:rPr>
          <w:rFonts w:eastAsia="Calibri" w:cs="Times New Roman"/>
          <w:bCs/>
          <w:szCs w:val="24"/>
          <w:lang w:val="en-US"/>
        </w:rPr>
        <w:t>N</w:t>
      </w:r>
      <w:r w:rsidRPr="009D48B6">
        <w:rPr>
          <w:rFonts w:eastAsia="Calibri" w:cs="Times New Roman"/>
          <w:bCs/>
          <w:szCs w:val="24"/>
          <w:lang w:val="en-US"/>
        </w:rPr>
        <w:t xml:space="preserve">, A. Dissecting the cycle: a methodological investigation. </w:t>
      </w:r>
      <w:r w:rsidRPr="009D48B6">
        <w:rPr>
          <w:rFonts w:eastAsia="Calibri" w:cs="Times New Roman"/>
          <w:b/>
          <w:bCs/>
          <w:szCs w:val="24"/>
          <w:lang w:val="en-US"/>
        </w:rPr>
        <w:t>Journal of monetary economics</w:t>
      </w:r>
      <w:r w:rsidRPr="009D48B6">
        <w:rPr>
          <w:rFonts w:eastAsia="Calibri" w:cs="Times New Roman"/>
          <w:bCs/>
          <w:szCs w:val="24"/>
          <w:lang w:val="en-US"/>
        </w:rPr>
        <w:t>, v. 49, n. 2, p. 365-381, 2002.</w:t>
      </w:r>
    </w:p>
    <w:p w14:paraId="689D662A" w14:textId="77777777" w:rsidR="00B17B77" w:rsidRDefault="00B17B77" w:rsidP="00B17B77">
      <w:pPr>
        <w:spacing w:line="240" w:lineRule="auto"/>
        <w:ind w:firstLine="0"/>
        <w:jc w:val="both"/>
        <w:rPr>
          <w:rFonts w:eastAsia="Calibri" w:cs="Times New Roman"/>
          <w:bCs/>
          <w:szCs w:val="24"/>
          <w:lang w:val="en-US"/>
        </w:rPr>
      </w:pPr>
      <w:r w:rsidRPr="00260229">
        <w:rPr>
          <w:rFonts w:eastAsia="Calibri" w:cs="Times New Roman"/>
          <w:bCs/>
          <w:szCs w:val="24"/>
          <w:lang w:val="en-US"/>
        </w:rPr>
        <w:t xml:space="preserve">HARDING, Don; PAGAN, Adrian. A comparison of two business cycle dating methods. </w:t>
      </w:r>
      <w:r w:rsidRPr="00260229">
        <w:rPr>
          <w:rFonts w:eastAsia="Calibri" w:cs="Times New Roman"/>
          <w:b/>
          <w:szCs w:val="24"/>
          <w:lang w:val="en-US"/>
        </w:rPr>
        <w:t>Journal of Economic Dynamics and Control</w:t>
      </w:r>
      <w:r w:rsidRPr="00260229">
        <w:rPr>
          <w:rFonts w:eastAsia="Calibri" w:cs="Times New Roman"/>
          <w:bCs/>
          <w:szCs w:val="24"/>
          <w:lang w:val="en-US"/>
        </w:rPr>
        <w:t>, v. 27, n. 9, p. 1681-1690, 2003.</w:t>
      </w:r>
    </w:p>
    <w:p w14:paraId="79654873" w14:textId="77777777" w:rsidR="00B17B77" w:rsidRPr="00260229" w:rsidRDefault="00B17B77" w:rsidP="00B17B77">
      <w:pPr>
        <w:spacing w:line="240" w:lineRule="auto"/>
        <w:ind w:firstLine="0"/>
        <w:jc w:val="both"/>
        <w:rPr>
          <w:rFonts w:eastAsia="Calibri" w:cs="Times New Roman"/>
          <w:bCs/>
          <w:szCs w:val="24"/>
          <w:lang w:val="en-US"/>
        </w:rPr>
      </w:pPr>
      <w:r w:rsidRPr="00260229">
        <w:rPr>
          <w:rFonts w:eastAsia="Calibri" w:cs="Times New Roman"/>
          <w:bCs/>
          <w:szCs w:val="24"/>
          <w:lang w:val="en-US"/>
        </w:rPr>
        <w:t xml:space="preserve">HARDING, </w:t>
      </w:r>
      <w:r>
        <w:rPr>
          <w:rFonts w:eastAsia="Calibri" w:cs="Times New Roman"/>
          <w:bCs/>
          <w:szCs w:val="24"/>
          <w:lang w:val="en-US"/>
        </w:rPr>
        <w:t>D</w:t>
      </w:r>
      <w:r w:rsidRPr="00260229">
        <w:rPr>
          <w:rFonts w:eastAsia="Calibri" w:cs="Times New Roman"/>
          <w:bCs/>
          <w:szCs w:val="24"/>
          <w:lang w:val="en-US"/>
        </w:rPr>
        <w:t xml:space="preserve">; PAGAN, </w:t>
      </w:r>
      <w:r>
        <w:rPr>
          <w:rFonts w:eastAsia="Calibri" w:cs="Times New Roman"/>
          <w:bCs/>
          <w:szCs w:val="24"/>
          <w:lang w:val="en-US"/>
        </w:rPr>
        <w:t>A</w:t>
      </w:r>
      <w:r w:rsidRPr="00260229">
        <w:rPr>
          <w:rFonts w:eastAsia="Calibri" w:cs="Times New Roman"/>
          <w:bCs/>
          <w:szCs w:val="24"/>
          <w:lang w:val="en-US"/>
        </w:rPr>
        <w:t xml:space="preserve">. Synchronization of cycles. </w:t>
      </w:r>
      <w:r w:rsidRPr="00260229">
        <w:rPr>
          <w:rFonts w:eastAsia="Calibri" w:cs="Times New Roman"/>
          <w:b/>
          <w:szCs w:val="24"/>
          <w:lang w:val="en-US"/>
        </w:rPr>
        <w:t>Journal of Econometrics</w:t>
      </w:r>
      <w:r w:rsidRPr="00260229">
        <w:rPr>
          <w:rFonts w:eastAsia="Calibri" w:cs="Times New Roman"/>
          <w:bCs/>
          <w:szCs w:val="24"/>
          <w:lang w:val="en-US"/>
        </w:rPr>
        <w:t>, v. 132, n. 1, p. 59-79, 2006.</w:t>
      </w:r>
    </w:p>
    <w:p w14:paraId="3D9952E5" w14:textId="77777777" w:rsidR="00B17B77" w:rsidRPr="00B17B77" w:rsidRDefault="00B17B77" w:rsidP="00B17B77">
      <w:pPr>
        <w:spacing w:line="240" w:lineRule="auto"/>
        <w:ind w:firstLine="0"/>
        <w:jc w:val="both"/>
        <w:rPr>
          <w:rFonts w:eastAsia="Calibri" w:cs="Times New Roman"/>
          <w:szCs w:val="24"/>
        </w:rPr>
      </w:pPr>
      <w:r w:rsidRPr="00E31C62">
        <w:rPr>
          <w:rFonts w:cs="Times New Roman"/>
          <w:color w:val="222222"/>
          <w:szCs w:val="24"/>
          <w:shd w:val="clear" w:color="auto" w:fill="FFFFFF"/>
          <w:lang w:val="en-US"/>
        </w:rPr>
        <w:t xml:space="preserve">LEMMENS, </w:t>
      </w:r>
      <w:r>
        <w:rPr>
          <w:rFonts w:cs="Times New Roman"/>
          <w:color w:val="222222"/>
          <w:szCs w:val="24"/>
          <w:shd w:val="clear" w:color="auto" w:fill="FFFFFF"/>
          <w:lang w:val="en-US"/>
        </w:rPr>
        <w:t>A.</w:t>
      </w:r>
      <w:r w:rsidRPr="00E31C62">
        <w:rPr>
          <w:rFonts w:cs="Times New Roman"/>
          <w:color w:val="222222"/>
          <w:szCs w:val="24"/>
          <w:shd w:val="clear" w:color="auto" w:fill="FFFFFF"/>
          <w:lang w:val="en-US"/>
        </w:rPr>
        <w:t xml:space="preserve">; CROUX, </w:t>
      </w:r>
      <w:r>
        <w:rPr>
          <w:rFonts w:cs="Times New Roman"/>
          <w:color w:val="222222"/>
          <w:szCs w:val="24"/>
          <w:shd w:val="clear" w:color="auto" w:fill="FFFFFF"/>
          <w:lang w:val="en-US"/>
        </w:rPr>
        <w:t>C</w:t>
      </w:r>
      <w:r w:rsidRPr="00E31C62">
        <w:rPr>
          <w:rFonts w:cs="Times New Roman"/>
          <w:color w:val="222222"/>
          <w:szCs w:val="24"/>
          <w:shd w:val="clear" w:color="auto" w:fill="FFFFFF"/>
          <w:lang w:val="en-US"/>
        </w:rPr>
        <w:t xml:space="preserve">; DEKIMPE, </w:t>
      </w:r>
      <w:r>
        <w:rPr>
          <w:rFonts w:cs="Times New Roman"/>
          <w:color w:val="222222"/>
          <w:szCs w:val="24"/>
          <w:shd w:val="clear" w:color="auto" w:fill="FFFFFF"/>
          <w:lang w:val="en-US"/>
        </w:rPr>
        <w:t>M.</w:t>
      </w:r>
      <w:r w:rsidRPr="00E31C62">
        <w:rPr>
          <w:rFonts w:cs="Times New Roman"/>
          <w:color w:val="222222"/>
          <w:szCs w:val="24"/>
          <w:shd w:val="clear" w:color="auto" w:fill="FFFFFF"/>
          <w:lang w:val="en-US"/>
        </w:rPr>
        <w:t>G. Measuring and testing Granger causality over the spectrum: An application to European production expectation surveys. </w:t>
      </w:r>
      <w:r w:rsidRPr="00B17B77">
        <w:rPr>
          <w:rFonts w:cs="Times New Roman"/>
          <w:b/>
          <w:bCs/>
          <w:color w:val="222222"/>
          <w:szCs w:val="24"/>
          <w:shd w:val="clear" w:color="auto" w:fill="FFFFFF"/>
        </w:rPr>
        <w:t>International Journal of Forecasting</w:t>
      </w:r>
      <w:r w:rsidRPr="00B17B77">
        <w:rPr>
          <w:rFonts w:cs="Times New Roman"/>
          <w:color w:val="222222"/>
          <w:szCs w:val="24"/>
          <w:shd w:val="clear" w:color="auto" w:fill="FFFFFF"/>
        </w:rPr>
        <w:t>, v. 24, n. 3, p. 414-431, 2008.</w:t>
      </w:r>
      <w:r w:rsidRPr="00B17B77">
        <w:rPr>
          <w:rFonts w:eastAsia="Calibri" w:cs="Times New Roman"/>
          <w:szCs w:val="24"/>
        </w:rPr>
        <w:t xml:space="preserve"> </w:t>
      </w:r>
    </w:p>
    <w:p w14:paraId="3E0E036B" w14:textId="77777777" w:rsidR="00B17B77" w:rsidRDefault="00B17B77" w:rsidP="00B17B77">
      <w:pPr>
        <w:spacing w:line="240" w:lineRule="auto"/>
        <w:ind w:firstLine="0"/>
        <w:jc w:val="both"/>
      </w:pPr>
      <w:r>
        <w:t xml:space="preserve">PEROBELLI, F. S., HADDAD, E. A. Padrões de comércio interestadual no Brasil, 1985 e 1997. </w:t>
      </w:r>
      <w:r w:rsidRPr="00E31C62">
        <w:rPr>
          <w:b/>
          <w:bCs/>
        </w:rPr>
        <w:t xml:space="preserve">Revista Economia Contemporânea </w:t>
      </w:r>
      <w:r>
        <w:t xml:space="preserve">v.10, no.1, p.61–88, 2006 </w:t>
      </w:r>
    </w:p>
    <w:p w14:paraId="3AA5ECC0" w14:textId="77777777" w:rsidR="00B17B77" w:rsidRDefault="00B17B77" w:rsidP="00B17B77">
      <w:pPr>
        <w:spacing w:line="240" w:lineRule="auto"/>
        <w:ind w:firstLine="0"/>
        <w:jc w:val="both"/>
      </w:pPr>
      <w:r>
        <w:t xml:space="preserve">PEROBELLI, F.S., HADDAD, E.A., Mota, G.P. &amp; Farinazzo, R. A. Estrutura de interdependência inter-regional no Brasil: Uma análise espacial de insumo-produto para os anos de 1996 e 2002, </w:t>
      </w:r>
      <w:r w:rsidRPr="00E31C62">
        <w:rPr>
          <w:b/>
          <w:bCs/>
        </w:rPr>
        <w:t>Pesquisa e Planejamento Econômico</w:t>
      </w:r>
      <w:r>
        <w:t>, v.40, no. 2, p. 281–325, 2010</w:t>
      </w:r>
    </w:p>
    <w:p w14:paraId="0A78432A" w14:textId="77777777" w:rsidR="00B17B77" w:rsidRDefault="00B17B77" w:rsidP="00B17B77">
      <w:pPr>
        <w:spacing w:line="240" w:lineRule="auto"/>
        <w:ind w:firstLine="0"/>
        <w:jc w:val="both"/>
        <w:rPr>
          <w:rFonts w:eastAsia="Calibri" w:cs="Times New Roman"/>
          <w:szCs w:val="24"/>
          <w:lang w:val="en-US"/>
        </w:rPr>
      </w:pPr>
      <w:r w:rsidRPr="00B17B77">
        <w:rPr>
          <w:rFonts w:eastAsia="Calibri" w:cs="Times New Roman"/>
          <w:szCs w:val="24"/>
          <w:lang w:val="en-US"/>
        </w:rPr>
        <w:t xml:space="preserve">ROGERSON, R.; SHIMER, R. (2011). </w:t>
      </w:r>
      <w:r w:rsidRPr="00B61573">
        <w:rPr>
          <w:rFonts w:eastAsia="Calibri" w:cs="Times New Roman"/>
          <w:szCs w:val="24"/>
          <w:lang w:val="en-US"/>
        </w:rPr>
        <w:t xml:space="preserve">Search in macroeconomic models of the labor market. </w:t>
      </w:r>
      <w:r w:rsidRPr="00B61573">
        <w:rPr>
          <w:rFonts w:eastAsia="Calibri" w:cs="Times New Roman"/>
          <w:b/>
          <w:bCs/>
          <w:szCs w:val="24"/>
          <w:lang w:val="en-US"/>
        </w:rPr>
        <w:t>In Handbook of Labor Economics</w:t>
      </w:r>
      <w:r>
        <w:rPr>
          <w:rFonts w:eastAsia="Calibri" w:cs="Times New Roman"/>
          <w:szCs w:val="24"/>
          <w:lang w:val="en-US"/>
        </w:rPr>
        <w:t>, v</w:t>
      </w:r>
      <w:r w:rsidRPr="00B61573">
        <w:rPr>
          <w:rFonts w:eastAsia="Calibri" w:cs="Times New Roman"/>
          <w:szCs w:val="24"/>
          <w:lang w:val="en-US"/>
        </w:rPr>
        <w:t>. 4, p. 619-700. Elsevier</w:t>
      </w:r>
      <w:r>
        <w:rPr>
          <w:rFonts w:eastAsia="Calibri" w:cs="Times New Roman"/>
          <w:szCs w:val="24"/>
          <w:lang w:val="en-US"/>
        </w:rPr>
        <w:t>, 2011.</w:t>
      </w:r>
    </w:p>
    <w:p w14:paraId="42B56BB0" w14:textId="77777777" w:rsidR="00B17B77" w:rsidRPr="00E31C62" w:rsidRDefault="00B17B77" w:rsidP="00B17B77">
      <w:pPr>
        <w:spacing w:line="240" w:lineRule="auto"/>
        <w:ind w:firstLine="0"/>
        <w:jc w:val="both"/>
        <w:rPr>
          <w:rFonts w:eastAsia="Calibri" w:cs="Times New Roman"/>
          <w:szCs w:val="24"/>
        </w:rPr>
      </w:pPr>
      <w:r w:rsidRPr="00B17B77">
        <w:rPr>
          <w:rFonts w:cs="Times New Roman"/>
          <w:color w:val="222222"/>
          <w:szCs w:val="24"/>
          <w:shd w:val="clear" w:color="auto" w:fill="FFFFFF"/>
          <w:lang w:val="en-US"/>
        </w:rPr>
        <w:t xml:space="preserve">RIBEIRO, Felipe Garcia et al. </w:t>
      </w:r>
      <w:r w:rsidRPr="00E31C62">
        <w:rPr>
          <w:rFonts w:cs="Times New Roman"/>
          <w:color w:val="222222"/>
          <w:szCs w:val="24"/>
          <w:shd w:val="clear" w:color="auto" w:fill="FFFFFF"/>
        </w:rPr>
        <w:t>O impacto econômico dos desastres naturais: o caso das chuvas de 2008 em Santa Catarina. </w:t>
      </w:r>
      <w:r w:rsidRPr="00E31C62">
        <w:rPr>
          <w:rFonts w:cs="Times New Roman"/>
          <w:b/>
          <w:bCs/>
          <w:color w:val="222222"/>
          <w:szCs w:val="24"/>
          <w:shd w:val="clear" w:color="auto" w:fill="FFFFFF"/>
        </w:rPr>
        <w:t>Planejamento e Políticas Públicas</w:t>
      </w:r>
      <w:r w:rsidRPr="00E31C62">
        <w:rPr>
          <w:rFonts w:cs="Times New Roman"/>
          <w:color w:val="222222"/>
          <w:szCs w:val="24"/>
          <w:shd w:val="clear" w:color="auto" w:fill="FFFFFF"/>
        </w:rPr>
        <w:t>, n. 43, 2014.</w:t>
      </w:r>
    </w:p>
    <w:p w14:paraId="44F11914" w14:textId="77777777" w:rsidR="00B17B77" w:rsidRPr="00B17B77" w:rsidRDefault="00B17B77" w:rsidP="00B17B77">
      <w:pPr>
        <w:spacing w:line="240" w:lineRule="auto"/>
        <w:ind w:firstLine="0"/>
        <w:jc w:val="both"/>
        <w:rPr>
          <w:rFonts w:eastAsia="Calibri" w:cs="Times New Roman"/>
          <w:szCs w:val="24"/>
          <w:lang w:val="en-US"/>
        </w:rPr>
      </w:pPr>
      <w:r w:rsidRPr="00A33D29">
        <w:rPr>
          <w:color w:val="000000"/>
          <w:szCs w:val="24"/>
        </w:rPr>
        <w:t>SILVA, C.; TROMPIERI NETO, N</w:t>
      </w:r>
      <w:r>
        <w:rPr>
          <w:color w:val="000000"/>
          <w:szCs w:val="24"/>
        </w:rPr>
        <w:t xml:space="preserve">.; CASTELAR, I. Ciclos Econômicos na Atividade Industrial Brasileira: Uma Análise no Domínio do Tempo e da Frequência. </w:t>
      </w:r>
      <w:r w:rsidRPr="00B17B77">
        <w:rPr>
          <w:b/>
          <w:bCs/>
          <w:color w:val="000000"/>
          <w:szCs w:val="24"/>
          <w:lang w:val="en-US"/>
        </w:rPr>
        <w:t xml:space="preserve">Anais: 44ª </w:t>
      </w:r>
      <w:proofErr w:type="spellStart"/>
      <w:r w:rsidRPr="00B17B77">
        <w:rPr>
          <w:b/>
          <w:bCs/>
          <w:color w:val="000000"/>
          <w:szCs w:val="24"/>
          <w:lang w:val="en-US"/>
        </w:rPr>
        <w:t>Encontro</w:t>
      </w:r>
      <w:proofErr w:type="spellEnd"/>
      <w:r w:rsidRPr="00B17B77">
        <w:rPr>
          <w:b/>
          <w:bCs/>
          <w:color w:val="000000"/>
          <w:szCs w:val="24"/>
          <w:lang w:val="en-US"/>
        </w:rPr>
        <w:t xml:space="preserve"> Nacional de Economia – ANPEC</w:t>
      </w:r>
      <w:r w:rsidRPr="00B17B77">
        <w:rPr>
          <w:color w:val="000000"/>
          <w:szCs w:val="24"/>
          <w:lang w:val="en-US"/>
        </w:rPr>
        <w:t>, 2016.</w:t>
      </w:r>
    </w:p>
    <w:p w14:paraId="705BDB72" w14:textId="77777777" w:rsidR="00B17B77" w:rsidRPr="00E17287" w:rsidRDefault="00B17B77" w:rsidP="00B17B77">
      <w:pPr>
        <w:spacing w:line="240" w:lineRule="auto"/>
        <w:ind w:firstLine="0"/>
        <w:jc w:val="both"/>
        <w:rPr>
          <w:rFonts w:eastAsia="Calibri" w:cs="Times New Roman"/>
          <w:szCs w:val="24"/>
          <w:lang w:val="en-US"/>
        </w:rPr>
      </w:pPr>
      <w:r>
        <w:rPr>
          <w:rFonts w:eastAsia="Calibri" w:cs="Times New Roman"/>
          <w:szCs w:val="24"/>
          <w:lang w:val="en-US"/>
        </w:rPr>
        <w:t>WANG, P</w:t>
      </w:r>
      <w:r w:rsidRPr="00C13E3E">
        <w:rPr>
          <w:rFonts w:eastAsia="Calibri" w:cs="Times New Roman"/>
          <w:szCs w:val="24"/>
          <w:lang w:val="en-US"/>
        </w:rPr>
        <w:t xml:space="preserve">. Business Cycle Phases and Coherence—a Spectral Analysis of UK Sectoral Output. </w:t>
      </w:r>
      <w:r w:rsidRPr="00C13E3E">
        <w:rPr>
          <w:rFonts w:eastAsia="Calibri" w:cs="Times New Roman"/>
          <w:b/>
          <w:szCs w:val="24"/>
          <w:lang w:val="en-US"/>
        </w:rPr>
        <w:t>The Manchester School</w:t>
      </w:r>
      <w:r w:rsidRPr="00C13E3E">
        <w:rPr>
          <w:rFonts w:eastAsia="Calibri" w:cs="Times New Roman"/>
          <w:szCs w:val="24"/>
          <w:lang w:val="en-US"/>
        </w:rPr>
        <w:t>, v. 81, n. 6, p. 1012-1026, 2013.</w:t>
      </w:r>
    </w:p>
    <w:p w14:paraId="0EFE93B0" w14:textId="77777777" w:rsidR="00B17B77" w:rsidRDefault="00B17B77" w:rsidP="00B17B77">
      <w:pPr>
        <w:spacing w:line="240" w:lineRule="auto"/>
        <w:ind w:firstLine="0"/>
        <w:jc w:val="both"/>
        <w:rPr>
          <w:rFonts w:eastAsia="Calibri" w:cs="Times New Roman"/>
          <w:bCs/>
          <w:szCs w:val="24"/>
          <w:lang w:val="en-US"/>
        </w:rPr>
      </w:pPr>
      <w:r w:rsidRPr="009D48B6">
        <w:rPr>
          <w:rFonts w:eastAsia="Calibri" w:cs="Times New Roman"/>
          <w:bCs/>
          <w:szCs w:val="24"/>
          <w:lang w:val="en-US"/>
        </w:rPr>
        <w:t xml:space="preserve">YOGO, </w:t>
      </w:r>
      <w:r>
        <w:rPr>
          <w:rFonts w:eastAsia="Calibri" w:cs="Times New Roman"/>
          <w:bCs/>
          <w:szCs w:val="24"/>
          <w:lang w:val="en-US"/>
        </w:rPr>
        <w:t>M</w:t>
      </w:r>
      <w:r w:rsidRPr="009D48B6">
        <w:rPr>
          <w:rFonts w:eastAsia="Calibri" w:cs="Times New Roman"/>
          <w:bCs/>
          <w:szCs w:val="24"/>
          <w:lang w:val="en-US"/>
        </w:rPr>
        <w:t xml:space="preserve">. Measuring business cycles: A wavelet analysis of economic time series. </w:t>
      </w:r>
      <w:r w:rsidRPr="009D48B6">
        <w:rPr>
          <w:rFonts w:eastAsia="Calibri" w:cs="Times New Roman"/>
          <w:b/>
          <w:bCs/>
          <w:szCs w:val="24"/>
          <w:lang w:val="en-US"/>
        </w:rPr>
        <w:t>Economics Letters</w:t>
      </w:r>
      <w:r w:rsidRPr="009D48B6">
        <w:rPr>
          <w:rFonts w:eastAsia="Calibri" w:cs="Times New Roman"/>
          <w:bCs/>
          <w:szCs w:val="24"/>
          <w:lang w:val="en-US"/>
        </w:rPr>
        <w:t>, v. 100, n. 2, p. 208-212, 2008.</w:t>
      </w:r>
    </w:p>
    <w:p w14:paraId="5774705F" w14:textId="77777777" w:rsidR="00B17B77" w:rsidRPr="00E31C62" w:rsidRDefault="00B17B77" w:rsidP="00B17B77">
      <w:pPr>
        <w:spacing w:line="240" w:lineRule="auto"/>
        <w:ind w:firstLine="0"/>
        <w:jc w:val="both"/>
        <w:rPr>
          <w:rFonts w:eastAsia="Calibri" w:cs="Times New Roman"/>
          <w:bCs/>
          <w:szCs w:val="24"/>
          <w:lang w:val="en-US"/>
        </w:rPr>
      </w:pPr>
      <w:r w:rsidRPr="00E31C62">
        <w:rPr>
          <w:rFonts w:cs="Times New Roman"/>
          <w:color w:val="222222"/>
          <w:szCs w:val="24"/>
          <w:shd w:val="clear" w:color="auto" w:fill="FFFFFF"/>
          <w:lang w:val="en-US"/>
        </w:rPr>
        <w:t>ZARNOWITZ, Victor; OZYILDIRIM, Ataman. Time series decomposition and measurement of business cycles, trends and growth cycles. </w:t>
      </w:r>
      <w:r w:rsidRPr="00E31C62">
        <w:rPr>
          <w:rFonts w:cs="Times New Roman"/>
          <w:b/>
          <w:bCs/>
          <w:color w:val="222222"/>
          <w:szCs w:val="24"/>
          <w:shd w:val="clear" w:color="auto" w:fill="FFFFFF"/>
        </w:rPr>
        <w:t>Journal of Monetary Economics</w:t>
      </w:r>
      <w:r w:rsidRPr="00E31C62">
        <w:rPr>
          <w:rFonts w:cs="Times New Roman"/>
          <w:color w:val="222222"/>
          <w:szCs w:val="24"/>
          <w:shd w:val="clear" w:color="auto" w:fill="FFFFFF"/>
        </w:rPr>
        <w:t>, v. 53, n. 7, p. 1717-1739, 2006.</w:t>
      </w:r>
    </w:p>
    <w:p w14:paraId="0512C80B" w14:textId="77777777" w:rsidR="00AC34E6" w:rsidRPr="005433CD" w:rsidRDefault="00AC34E6">
      <w:pPr>
        <w:rPr>
          <w:lang w:val="en-US"/>
        </w:rPr>
      </w:pPr>
    </w:p>
    <w:sectPr w:rsidR="00AC34E6" w:rsidRPr="005433CD" w:rsidSect="002B2C5D">
      <w:headerReference w:type="default" r:id="rId31"/>
      <w:pgSz w:w="11906" w:h="16838"/>
      <w:pgMar w:top="1134" w:right="851" w:bottom="1134"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57FEFD" w14:textId="77777777" w:rsidR="007403F9" w:rsidRDefault="007403F9" w:rsidP="005433CD">
      <w:pPr>
        <w:spacing w:line="240" w:lineRule="auto"/>
      </w:pPr>
      <w:r>
        <w:separator/>
      </w:r>
    </w:p>
  </w:endnote>
  <w:endnote w:type="continuationSeparator" w:id="0">
    <w:p w14:paraId="745D4822" w14:textId="77777777" w:rsidR="007403F9" w:rsidRDefault="007403F9" w:rsidP="005433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8CAA68" w14:textId="77777777" w:rsidR="007403F9" w:rsidRDefault="007403F9" w:rsidP="005433CD">
      <w:pPr>
        <w:spacing w:line="240" w:lineRule="auto"/>
      </w:pPr>
      <w:r>
        <w:separator/>
      </w:r>
    </w:p>
  </w:footnote>
  <w:footnote w:type="continuationSeparator" w:id="0">
    <w:p w14:paraId="1D1B8C30" w14:textId="77777777" w:rsidR="007403F9" w:rsidRDefault="007403F9" w:rsidP="005433CD">
      <w:pPr>
        <w:spacing w:line="240" w:lineRule="auto"/>
      </w:pPr>
      <w:r>
        <w:continuationSeparator/>
      </w:r>
    </w:p>
  </w:footnote>
  <w:footnote w:id="1">
    <w:p w14:paraId="5BB7BC1D" w14:textId="7A739B4B" w:rsidR="00E00F3B" w:rsidRDefault="00E00F3B">
      <w:pPr>
        <w:pStyle w:val="FootnoteText"/>
      </w:pPr>
      <w:r>
        <w:rPr>
          <w:rStyle w:val="FootnoteReference"/>
        </w:rPr>
        <w:footnoteRef/>
      </w:r>
      <w:r>
        <w:t xml:space="preserve"> E-mail: </w:t>
      </w:r>
      <w:hyperlink r:id="rId1" w:history="1">
        <w:r w:rsidRPr="002C05F9">
          <w:rPr>
            <w:rStyle w:val="Hyperlink"/>
          </w:rPr>
          <w:t>cristiano.dacostadasilva@hotmail.com</w:t>
        </w:r>
      </w:hyperlink>
    </w:p>
    <w:p w14:paraId="2AA85E0C" w14:textId="77777777" w:rsidR="00E00F3B" w:rsidRDefault="00E00F3B">
      <w:pPr>
        <w:pStyle w:val="FootnoteText"/>
      </w:pPr>
      <w:bookmarkStart w:id="0" w:name="_GoBack"/>
      <w:bookmarkEnd w:id="0"/>
    </w:p>
  </w:footnote>
  <w:footnote w:id="2">
    <w:p w14:paraId="66B67EBD" w14:textId="1E7B0B1D" w:rsidR="008D52D5" w:rsidRDefault="008D52D5">
      <w:pPr>
        <w:pStyle w:val="FootnoteText"/>
      </w:pPr>
      <w:r>
        <w:rPr>
          <w:rStyle w:val="FootnoteReference"/>
        </w:rPr>
        <w:footnoteRef/>
      </w:r>
      <w:r>
        <w:t xml:space="preserve"> </w:t>
      </w:r>
      <w:r>
        <w:t>Crise 1: fatores e assim por diante</w:t>
      </w:r>
    </w:p>
  </w:footnote>
  <w:footnote w:id="3">
    <w:p w14:paraId="1CB6B682" w14:textId="73B4D30A" w:rsidR="008D52D5" w:rsidRDefault="008D52D5">
      <w:pPr>
        <w:pStyle w:val="FootnoteText"/>
      </w:pPr>
      <w:r>
        <w:rPr>
          <w:rStyle w:val="FootnoteReference"/>
        </w:rPr>
        <w:footnoteRef/>
      </w:r>
      <w:r>
        <w:t xml:space="preserve"> </w:t>
      </w:r>
      <w:r>
        <w:t xml:space="preserve">Imbs </w:t>
      </w:r>
      <w:r>
        <w:t>(1998) , Imbs (1999) e Imbs (2003) encontraram evidências de relação direta entre similaridade setorial e níveis de correlação dos ciclos de negócios em nível internacional.</w:t>
      </w:r>
    </w:p>
  </w:footnote>
  <w:footnote w:id="4">
    <w:p w14:paraId="330A6C14" w14:textId="300E8895" w:rsidR="008D52D5" w:rsidRDefault="008D52D5" w:rsidP="00923DC2">
      <w:pPr>
        <w:pStyle w:val="FootnoteText"/>
        <w:ind w:firstLine="0"/>
      </w:pPr>
      <w:r>
        <w:rPr>
          <w:rStyle w:val="FootnoteReference"/>
        </w:rPr>
        <w:footnoteRef/>
      </w:r>
      <w:r>
        <w:t xml:space="preserve"> </w:t>
      </w:r>
      <w:r>
        <w:t xml:space="preserve">Por </w:t>
      </w:r>
      <w:r>
        <w:t>construção, os níveis de detalhamento das séries originais são independentes entre si, de modo que a variância na frequência dos ciclos de negócios (4-32 trimestres) é igual a soma das variâncias dos níveis 0,1 e 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033057"/>
      <w:docPartObj>
        <w:docPartGallery w:val="Page Numbers (Top of Page)"/>
        <w:docPartUnique/>
      </w:docPartObj>
    </w:sdtPr>
    <w:sdtContent>
      <w:p w14:paraId="72B80F11" w14:textId="77777777" w:rsidR="008D52D5" w:rsidRDefault="008D52D5">
        <w:pPr>
          <w:pStyle w:val="Header"/>
          <w:jc w:val="right"/>
        </w:pPr>
        <w:r>
          <w:fldChar w:fldCharType="begin"/>
        </w:r>
        <w:r>
          <w:instrText>PAGE   \* MERGEFORMAT</w:instrText>
        </w:r>
        <w:r>
          <w:fldChar w:fldCharType="separate"/>
        </w:r>
        <w:r>
          <w:rPr>
            <w:noProof/>
          </w:rPr>
          <w:t>27</w:t>
        </w:r>
        <w:r>
          <w:fldChar w:fldCharType="end"/>
        </w:r>
      </w:p>
    </w:sdtContent>
  </w:sdt>
  <w:p w14:paraId="1A26E229" w14:textId="77777777" w:rsidR="008D52D5" w:rsidRDefault="008D52D5" w:rsidP="00AC34E6">
    <w:pPr>
      <w:pStyle w:val="Header"/>
      <w:tabs>
        <w:tab w:val="clear" w:pos="8504"/>
        <w:tab w:val="left" w:pos="425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19F9"/>
    <w:multiLevelType w:val="hybridMultilevel"/>
    <w:tmpl w:val="69AE9F86"/>
    <w:lvl w:ilvl="0" w:tplc="1FCE64DA">
      <w:start w:val="1"/>
      <w:numFmt w:val="lowerRoman"/>
      <w:lvlText w:val="%1)"/>
      <w:lvlJc w:val="left"/>
      <w:pPr>
        <w:ind w:left="1854" w:hanging="72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1" w15:restartNumberingAfterBreak="0">
    <w:nsid w:val="08A5585E"/>
    <w:multiLevelType w:val="hybridMultilevel"/>
    <w:tmpl w:val="8A1E1700"/>
    <w:lvl w:ilvl="0" w:tplc="B078724A">
      <w:start w:val="1"/>
      <w:numFmt w:val="decimal"/>
      <w:lvlText w:val="Tabela %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94A5A9B"/>
    <w:multiLevelType w:val="hybridMultilevel"/>
    <w:tmpl w:val="B53A08BC"/>
    <w:lvl w:ilvl="0" w:tplc="93A49550">
      <w:start w:val="1"/>
      <w:numFmt w:val="lowerRoman"/>
      <w:lvlText w:val="%1)"/>
      <w:lvlJc w:val="left"/>
      <w:pPr>
        <w:ind w:left="1080" w:hanging="720"/>
      </w:pPr>
      <w:rPr>
        <w:rFonts w:eastAsiaTheme="minorEastAsia"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E206FFB"/>
    <w:multiLevelType w:val="multilevel"/>
    <w:tmpl w:val="9E9A1C7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0790390"/>
    <w:multiLevelType w:val="hybridMultilevel"/>
    <w:tmpl w:val="71A897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2763924"/>
    <w:multiLevelType w:val="hybridMultilevel"/>
    <w:tmpl w:val="321A9812"/>
    <w:lvl w:ilvl="0" w:tplc="5A2821C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9CA770B"/>
    <w:multiLevelType w:val="hybridMultilevel"/>
    <w:tmpl w:val="46E0580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7" w15:restartNumberingAfterBreak="0">
    <w:nsid w:val="4CB32C6B"/>
    <w:multiLevelType w:val="hybridMultilevel"/>
    <w:tmpl w:val="A06CE2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E7B1AD8"/>
    <w:multiLevelType w:val="hybridMultilevel"/>
    <w:tmpl w:val="E990C0BA"/>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9" w15:restartNumberingAfterBreak="0">
    <w:nsid w:val="4FB6374C"/>
    <w:multiLevelType w:val="hybridMultilevel"/>
    <w:tmpl w:val="DBF00934"/>
    <w:lvl w:ilvl="0" w:tplc="54E4FF6E">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AA97F89"/>
    <w:multiLevelType w:val="hybridMultilevel"/>
    <w:tmpl w:val="0DD64816"/>
    <w:lvl w:ilvl="0" w:tplc="A2F620F0">
      <w:start w:val="1"/>
      <w:numFmt w:val="lowerRoman"/>
      <w:lvlText w:val="%1)"/>
      <w:lvlJc w:val="left"/>
      <w:pPr>
        <w:ind w:left="1854" w:hanging="72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num w:numId="1">
    <w:abstractNumId w:val="5"/>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4"/>
  </w:num>
  <w:num w:numId="6">
    <w:abstractNumId w:val="6"/>
  </w:num>
  <w:num w:numId="7">
    <w:abstractNumId w:val="7"/>
  </w:num>
  <w:num w:numId="8">
    <w:abstractNumId w:val="2"/>
  </w:num>
  <w:num w:numId="9">
    <w:abstractNumId w:val="9"/>
  </w:num>
  <w:num w:numId="10">
    <w:abstractNumId w:val="0"/>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3CD"/>
    <w:rsid w:val="000035CB"/>
    <w:rsid w:val="0001791C"/>
    <w:rsid w:val="00020581"/>
    <w:rsid w:val="000233BE"/>
    <w:rsid w:val="00023C5B"/>
    <w:rsid w:val="00027747"/>
    <w:rsid w:val="00037D34"/>
    <w:rsid w:val="000424A6"/>
    <w:rsid w:val="000669F4"/>
    <w:rsid w:val="00070615"/>
    <w:rsid w:val="000814B2"/>
    <w:rsid w:val="000931E0"/>
    <w:rsid w:val="000A1876"/>
    <w:rsid w:val="000B69DE"/>
    <w:rsid w:val="000C4684"/>
    <w:rsid w:val="000C4DB0"/>
    <w:rsid w:val="000D0E04"/>
    <w:rsid w:val="000E0BF3"/>
    <w:rsid w:val="000E3314"/>
    <w:rsid w:val="000E512A"/>
    <w:rsid w:val="00117819"/>
    <w:rsid w:val="001256B8"/>
    <w:rsid w:val="0013719F"/>
    <w:rsid w:val="0015195B"/>
    <w:rsid w:val="0015320C"/>
    <w:rsid w:val="00155573"/>
    <w:rsid w:val="001577AB"/>
    <w:rsid w:val="001855FB"/>
    <w:rsid w:val="0019519C"/>
    <w:rsid w:val="0019735C"/>
    <w:rsid w:val="001A0208"/>
    <w:rsid w:val="001E26CE"/>
    <w:rsid w:val="001E5B1A"/>
    <w:rsid w:val="001E6752"/>
    <w:rsid w:val="00213A57"/>
    <w:rsid w:val="002272BF"/>
    <w:rsid w:val="00240D72"/>
    <w:rsid w:val="002433E5"/>
    <w:rsid w:val="00244CDA"/>
    <w:rsid w:val="002700E5"/>
    <w:rsid w:val="00273F92"/>
    <w:rsid w:val="002750D3"/>
    <w:rsid w:val="00292135"/>
    <w:rsid w:val="00293EA7"/>
    <w:rsid w:val="0029647A"/>
    <w:rsid w:val="002B2C5D"/>
    <w:rsid w:val="002C67A4"/>
    <w:rsid w:val="002F27D6"/>
    <w:rsid w:val="002F3D70"/>
    <w:rsid w:val="00302FF5"/>
    <w:rsid w:val="0030753D"/>
    <w:rsid w:val="00310673"/>
    <w:rsid w:val="00317973"/>
    <w:rsid w:val="003212C7"/>
    <w:rsid w:val="00337C04"/>
    <w:rsid w:val="00347DAA"/>
    <w:rsid w:val="00360B57"/>
    <w:rsid w:val="00367ED7"/>
    <w:rsid w:val="003713D0"/>
    <w:rsid w:val="00382A32"/>
    <w:rsid w:val="003A3FDD"/>
    <w:rsid w:val="003D6AC4"/>
    <w:rsid w:val="003E2BBE"/>
    <w:rsid w:val="003E44FF"/>
    <w:rsid w:val="003F2B08"/>
    <w:rsid w:val="00400403"/>
    <w:rsid w:val="00403607"/>
    <w:rsid w:val="004102D6"/>
    <w:rsid w:val="00413531"/>
    <w:rsid w:val="00430806"/>
    <w:rsid w:val="004345CC"/>
    <w:rsid w:val="004453A7"/>
    <w:rsid w:val="00497D07"/>
    <w:rsid w:val="00497E03"/>
    <w:rsid w:val="004A4C5C"/>
    <w:rsid w:val="004B5F51"/>
    <w:rsid w:val="004D0B3A"/>
    <w:rsid w:val="004D784E"/>
    <w:rsid w:val="0051236D"/>
    <w:rsid w:val="005168D6"/>
    <w:rsid w:val="00521D75"/>
    <w:rsid w:val="00531FB6"/>
    <w:rsid w:val="005343DE"/>
    <w:rsid w:val="00536ED3"/>
    <w:rsid w:val="005433CD"/>
    <w:rsid w:val="00543A21"/>
    <w:rsid w:val="00552116"/>
    <w:rsid w:val="005730F4"/>
    <w:rsid w:val="00575C6F"/>
    <w:rsid w:val="0059058E"/>
    <w:rsid w:val="005A0A88"/>
    <w:rsid w:val="005A7952"/>
    <w:rsid w:val="005B1FD5"/>
    <w:rsid w:val="005C2F71"/>
    <w:rsid w:val="005C4346"/>
    <w:rsid w:val="005E1305"/>
    <w:rsid w:val="005F015B"/>
    <w:rsid w:val="005F01D4"/>
    <w:rsid w:val="00607830"/>
    <w:rsid w:val="00627D68"/>
    <w:rsid w:val="00656BF8"/>
    <w:rsid w:val="00657B08"/>
    <w:rsid w:val="00663BB8"/>
    <w:rsid w:val="00680532"/>
    <w:rsid w:val="00687ED8"/>
    <w:rsid w:val="00697439"/>
    <w:rsid w:val="006B33A2"/>
    <w:rsid w:val="006B51A2"/>
    <w:rsid w:val="006B7406"/>
    <w:rsid w:val="006C4859"/>
    <w:rsid w:val="006C5827"/>
    <w:rsid w:val="006E2A70"/>
    <w:rsid w:val="006F2D03"/>
    <w:rsid w:val="006F5BEC"/>
    <w:rsid w:val="00712C4A"/>
    <w:rsid w:val="00723929"/>
    <w:rsid w:val="007318D6"/>
    <w:rsid w:val="007403F9"/>
    <w:rsid w:val="00750479"/>
    <w:rsid w:val="007542BC"/>
    <w:rsid w:val="00762F68"/>
    <w:rsid w:val="0076694E"/>
    <w:rsid w:val="007707BC"/>
    <w:rsid w:val="00771546"/>
    <w:rsid w:val="007832D6"/>
    <w:rsid w:val="0078378E"/>
    <w:rsid w:val="00784E73"/>
    <w:rsid w:val="00793FF3"/>
    <w:rsid w:val="007B06A6"/>
    <w:rsid w:val="007C18C9"/>
    <w:rsid w:val="007D65C2"/>
    <w:rsid w:val="007E70FD"/>
    <w:rsid w:val="007F326E"/>
    <w:rsid w:val="007F459B"/>
    <w:rsid w:val="00813107"/>
    <w:rsid w:val="00830EEA"/>
    <w:rsid w:val="008402A4"/>
    <w:rsid w:val="00852635"/>
    <w:rsid w:val="00864965"/>
    <w:rsid w:val="00871C79"/>
    <w:rsid w:val="00894279"/>
    <w:rsid w:val="0089476E"/>
    <w:rsid w:val="00895BFD"/>
    <w:rsid w:val="008A0E4D"/>
    <w:rsid w:val="008C0A60"/>
    <w:rsid w:val="008C2614"/>
    <w:rsid w:val="008C694C"/>
    <w:rsid w:val="008D52D5"/>
    <w:rsid w:val="0090555A"/>
    <w:rsid w:val="009072C4"/>
    <w:rsid w:val="00914811"/>
    <w:rsid w:val="00915953"/>
    <w:rsid w:val="00915D28"/>
    <w:rsid w:val="00923DC2"/>
    <w:rsid w:val="00931EE9"/>
    <w:rsid w:val="0094591E"/>
    <w:rsid w:val="00946230"/>
    <w:rsid w:val="00947FDA"/>
    <w:rsid w:val="00965459"/>
    <w:rsid w:val="0097481A"/>
    <w:rsid w:val="00990BD0"/>
    <w:rsid w:val="00994FCD"/>
    <w:rsid w:val="009B132C"/>
    <w:rsid w:val="009C3210"/>
    <w:rsid w:val="009D48B6"/>
    <w:rsid w:val="009E1DF9"/>
    <w:rsid w:val="009E7EF7"/>
    <w:rsid w:val="009F1978"/>
    <w:rsid w:val="00A130CA"/>
    <w:rsid w:val="00A143D4"/>
    <w:rsid w:val="00A20B30"/>
    <w:rsid w:val="00A36E88"/>
    <w:rsid w:val="00A41CDB"/>
    <w:rsid w:val="00A74616"/>
    <w:rsid w:val="00A82C6C"/>
    <w:rsid w:val="00A85E2F"/>
    <w:rsid w:val="00AA0BD4"/>
    <w:rsid w:val="00AC34E6"/>
    <w:rsid w:val="00AC3E19"/>
    <w:rsid w:val="00AD11BA"/>
    <w:rsid w:val="00B0252D"/>
    <w:rsid w:val="00B17695"/>
    <w:rsid w:val="00B17B77"/>
    <w:rsid w:val="00B20E62"/>
    <w:rsid w:val="00B339AF"/>
    <w:rsid w:val="00B35573"/>
    <w:rsid w:val="00B37C3A"/>
    <w:rsid w:val="00B41CB5"/>
    <w:rsid w:val="00B6383A"/>
    <w:rsid w:val="00B762D8"/>
    <w:rsid w:val="00B84A6F"/>
    <w:rsid w:val="00B84B60"/>
    <w:rsid w:val="00BA3C97"/>
    <w:rsid w:val="00BB1890"/>
    <w:rsid w:val="00BC43FD"/>
    <w:rsid w:val="00BD1E9D"/>
    <w:rsid w:val="00BF09E1"/>
    <w:rsid w:val="00BF5679"/>
    <w:rsid w:val="00C01548"/>
    <w:rsid w:val="00C15E7A"/>
    <w:rsid w:val="00C17EE3"/>
    <w:rsid w:val="00C31416"/>
    <w:rsid w:val="00C43862"/>
    <w:rsid w:val="00C46B09"/>
    <w:rsid w:val="00C5779E"/>
    <w:rsid w:val="00C70540"/>
    <w:rsid w:val="00C75A78"/>
    <w:rsid w:val="00C82D55"/>
    <w:rsid w:val="00C83031"/>
    <w:rsid w:val="00C91B21"/>
    <w:rsid w:val="00C92096"/>
    <w:rsid w:val="00CC3BC8"/>
    <w:rsid w:val="00CE2F94"/>
    <w:rsid w:val="00CE4484"/>
    <w:rsid w:val="00CE7849"/>
    <w:rsid w:val="00D10459"/>
    <w:rsid w:val="00D636B5"/>
    <w:rsid w:val="00D7291D"/>
    <w:rsid w:val="00D75B11"/>
    <w:rsid w:val="00D92ED6"/>
    <w:rsid w:val="00D93950"/>
    <w:rsid w:val="00DB0669"/>
    <w:rsid w:val="00DC61DB"/>
    <w:rsid w:val="00DE414B"/>
    <w:rsid w:val="00E00F3B"/>
    <w:rsid w:val="00E00FC8"/>
    <w:rsid w:val="00E07E30"/>
    <w:rsid w:val="00E17530"/>
    <w:rsid w:val="00E33C82"/>
    <w:rsid w:val="00E34E12"/>
    <w:rsid w:val="00E46F74"/>
    <w:rsid w:val="00E47DD2"/>
    <w:rsid w:val="00E51963"/>
    <w:rsid w:val="00E60A29"/>
    <w:rsid w:val="00E8297A"/>
    <w:rsid w:val="00E9446F"/>
    <w:rsid w:val="00EB661A"/>
    <w:rsid w:val="00ED2DE3"/>
    <w:rsid w:val="00F11CD1"/>
    <w:rsid w:val="00F33464"/>
    <w:rsid w:val="00F467B9"/>
    <w:rsid w:val="00F76F80"/>
    <w:rsid w:val="00F94738"/>
    <w:rsid w:val="00FB2F20"/>
    <w:rsid w:val="00FD6718"/>
    <w:rsid w:val="00FE33A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33EFC"/>
  <w15:chartTrackingRefBased/>
  <w15:docId w15:val="{A0DD24BA-5355-4263-96B5-235FF265F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3CD"/>
    <w:pPr>
      <w:spacing w:after="0" w:line="360" w:lineRule="auto"/>
      <w:ind w:firstLine="1134"/>
    </w:pPr>
    <w:rPr>
      <w:rFonts w:ascii="Times New Roman" w:hAnsi="Times New Roman"/>
      <w:sz w:val="24"/>
    </w:rPr>
  </w:style>
  <w:style w:type="paragraph" w:styleId="Heading1">
    <w:name w:val="heading 1"/>
    <w:basedOn w:val="Normal"/>
    <w:next w:val="Normal"/>
    <w:link w:val="Heading1Char"/>
    <w:uiPriority w:val="9"/>
    <w:qFormat/>
    <w:rsid w:val="005433CD"/>
    <w:pPr>
      <w:keepNext/>
      <w:keepLines/>
      <w:numPr>
        <w:numId w:val="2"/>
      </w:numPr>
      <w:ind w:left="284" w:hanging="284"/>
      <w:jc w:val="both"/>
      <w:outlineLvl w:val="0"/>
    </w:pPr>
    <w:rPr>
      <w:rFonts w:eastAsiaTheme="majorEastAsia" w:cs="Times New Roman"/>
      <w:b/>
      <w:bCs/>
      <w:caps/>
      <w:szCs w:val="24"/>
      <w:lang w:val="en-US"/>
    </w:rPr>
  </w:style>
  <w:style w:type="paragraph" w:styleId="Heading2">
    <w:name w:val="heading 2"/>
    <w:basedOn w:val="Normal"/>
    <w:next w:val="Normal"/>
    <w:link w:val="Heading2Char"/>
    <w:uiPriority w:val="9"/>
    <w:unhideWhenUsed/>
    <w:qFormat/>
    <w:rsid w:val="00656BF8"/>
    <w:pPr>
      <w:keepNext/>
      <w:keepLines/>
      <w:numPr>
        <w:ilvl w:val="1"/>
        <w:numId w:val="2"/>
      </w:numPr>
      <w:spacing w:line="240" w:lineRule="auto"/>
      <w:ind w:left="425" w:hanging="425"/>
      <w:outlineLvl w:val="1"/>
    </w:pPr>
    <w:rPr>
      <w:rFonts w:eastAsiaTheme="majorEastAsia" w:cs="Times New Roman"/>
      <w:b/>
      <w:bCs/>
      <w:color w:val="000000" w:themeColor="text1"/>
      <w:szCs w:val="26"/>
    </w:rPr>
  </w:style>
  <w:style w:type="paragraph" w:styleId="Heading3">
    <w:name w:val="heading 3"/>
    <w:basedOn w:val="Normal"/>
    <w:next w:val="Normal"/>
    <w:link w:val="Heading3Char"/>
    <w:uiPriority w:val="9"/>
    <w:unhideWhenUsed/>
    <w:qFormat/>
    <w:rsid w:val="005433CD"/>
    <w:pPr>
      <w:keepNext/>
      <w:keepLines/>
      <w:numPr>
        <w:ilvl w:val="2"/>
        <w:numId w:val="2"/>
      </w:numPr>
      <w:outlineLvl w:val="2"/>
    </w:pPr>
    <w:rPr>
      <w:rFonts w:eastAsiaTheme="majorEastAsia" w:cs="Times New Roman"/>
      <w:b/>
      <w:bCs/>
      <w:i/>
    </w:rPr>
  </w:style>
  <w:style w:type="paragraph" w:styleId="Heading4">
    <w:name w:val="heading 4"/>
    <w:basedOn w:val="Normal"/>
    <w:next w:val="Normal"/>
    <w:link w:val="Heading4Char"/>
    <w:uiPriority w:val="9"/>
    <w:semiHidden/>
    <w:unhideWhenUsed/>
    <w:qFormat/>
    <w:rsid w:val="005433CD"/>
    <w:pPr>
      <w:keepNext/>
      <w:keepLines/>
      <w:numPr>
        <w:ilvl w:val="3"/>
        <w:numId w:val="2"/>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5433CD"/>
    <w:pPr>
      <w:keepNext/>
      <w:keepLines/>
      <w:numPr>
        <w:ilvl w:val="4"/>
        <w:numId w:val="2"/>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5433CD"/>
    <w:pPr>
      <w:keepNext/>
      <w:keepLines/>
      <w:numPr>
        <w:ilvl w:val="5"/>
        <w:numId w:val="2"/>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5433CD"/>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33CD"/>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33CD"/>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3CD"/>
    <w:rPr>
      <w:rFonts w:ascii="Times New Roman" w:eastAsiaTheme="majorEastAsia" w:hAnsi="Times New Roman" w:cs="Times New Roman"/>
      <w:b/>
      <w:bCs/>
      <w:caps/>
      <w:sz w:val="24"/>
      <w:szCs w:val="24"/>
      <w:lang w:val="en-US"/>
    </w:rPr>
  </w:style>
  <w:style w:type="character" w:customStyle="1" w:styleId="Heading2Char">
    <w:name w:val="Heading 2 Char"/>
    <w:basedOn w:val="DefaultParagraphFont"/>
    <w:link w:val="Heading2"/>
    <w:uiPriority w:val="9"/>
    <w:rsid w:val="00656BF8"/>
    <w:rPr>
      <w:rFonts w:ascii="Times New Roman" w:eastAsiaTheme="majorEastAsia" w:hAnsi="Times New Roman" w:cs="Times New Roman"/>
      <w:b/>
      <w:bCs/>
      <w:color w:val="000000" w:themeColor="text1"/>
      <w:sz w:val="24"/>
      <w:szCs w:val="26"/>
    </w:rPr>
  </w:style>
  <w:style w:type="character" w:customStyle="1" w:styleId="Heading3Char">
    <w:name w:val="Heading 3 Char"/>
    <w:basedOn w:val="DefaultParagraphFont"/>
    <w:link w:val="Heading3"/>
    <w:uiPriority w:val="9"/>
    <w:rsid w:val="005433CD"/>
    <w:rPr>
      <w:rFonts w:ascii="Times New Roman" w:eastAsiaTheme="majorEastAsia" w:hAnsi="Times New Roman" w:cs="Times New Roman"/>
      <w:b/>
      <w:bCs/>
      <w:i/>
      <w:sz w:val="24"/>
    </w:rPr>
  </w:style>
  <w:style w:type="character" w:customStyle="1" w:styleId="Heading4Char">
    <w:name w:val="Heading 4 Char"/>
    <w:basedOn w:val="DefaultParagraphFont"/>
    <w:link w:val="Heading4"/>
    <w:uiPriority w:val="9"/>
    <w:semiHidden/>
    <w:rsid w:val="005433CD"/>
    <w:rPr>
      <w:rFonts w:asciiTheme="majorHAnsi" w:eastAsiaTheme="majorEastAsia" w:hAnsiTheme="majorHAnsi" w:cstheme="majorBidi"/>
      <w:b/>
      <w:bCs/>
      <w:i/>
      <w:iCs/>
      <w:color w:val="4472C4" w:themeColor="accent1"/>
      <w:sz w:val="24"/>
    </w:rPr>
  </w:style>
  <w:style w:type="character" w:customStyle="1" w:styleId="Heading5Char">
    <w:name w:val="Heading 5 Char"/>
    <w:basedOn w:val="DefaultParagraphFont"/>
    <w:link w:val="Heading5"/>
    <w:uiPriority w:val="9"/>
    <w:semiHidden/>
    <w:rsid w:val="005433CD"/>
    <w:rPr>
      <w:rFonts w:asciiTheme="majorHAnsi" w:eastAsiaTheme="majorEastAsia" w:hAnsiTheme="majorHAnsi" w:cstheme="majorBidi"/>
      <w:color w:val="1F3763" w:themeColor="accent1" w:themeShade="7F"/>
      <w:sz w:val="24"/>
    </w:rPr>
  </w:style>
  <w:style w:type="character" w:customStyle="1" w:styleId="Heading6Char">
    <w:name w:val="Heading 6 Char"/>
    <w:basedOn w:val="DefaultParagraphFont"/>
    <w:link w:val="Heading6"/>
    <w:uiPriority w:val="9"/>
    <w:semiHidden/>
    <w:rsid w:val="005433CD"/>
    <w:rPr>
      <w:rFonts w:asciiTheme="majorHAnsi" w:eastAsiaTheme="majorEastAsia" w:hAnsiTheme="majorHAnsi" w:cstheme="majorBidi"/>
      <w:i/>
      <w:iCs/>
      <w:color w:val="1F3763" w:themeColor="accent1" w:themeShade="7F"/>
      <w:sz w:val="24"/>
    </w:rPr>
  </w:style>
  <w:style w:type="character" w:customStyle="1" w:styleId="Heading7Char">
    <w:name w:val="Heading 7 Char"/>
    <w:basedOn w:val="DefaultParagraphFont"/>
    <w:link w:val="Heading7"/>
    <w:uiPriority w:val="9"/>
    <w:semiHidden/>
    <w:rsid w:val="005433CD"/>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5433C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33C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5433CD"/>
    <w:pPr>
      <w:ind w:left="720"/>
      <w:contextualSpacing/>
    </w:pPr>
  </w:style>
  <w:style w:type="character" w:styleId="PlaceholderText">
    <w:name w:val="Placeholder Text"/>
    <w:basedOn w:val="DefaultParagraphFont"/>
    <w:uiPriority w:val="99"/>
    <w:semiHidden/>
    <w:rsid w:val="005433CD"/>
    <w:rPr>
      <w:color w:val="808080"/>
    </w:rPr>
  </w:style>
  <w:style w:type="paragraph" w:styleId="BalloonText">
    <w:name w:val="Balloon Text"/>
    <w:basedOn w:val="Normal"/>
    <w:link w:val="BalloonTextChar"/>
    <w:uiPriority w:val="99"/>
    <w:semiHidden/>
    <w:unhideWhenUsed/>
    <w:rsid w:val="005433C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3CD"/>
    <w:rPr>
      <w:rFonts w:ascii="Tahoma" w:hAnsi="Tahoma" w:cs="Tahoma"/>
      <w:sz w:val="16"/>
      <w:szCs w:val="16"/>
    </w:rPr>
  </w:style>
  <w:style w:type="paragraph" w:styleId="FootnoteText">
    <w:name w:val="footnote text"/>
    <w:basedOn w:val="Normal"/>
    <w:link w:val="FootnoteTextChar"/>
    <w:uiPriority w:val="99"/>
    <w:semiHidden/>
    <w:unhideWhenUsed/>
    <w:rsid w:val="005433CD"/>
    <w:pPr>
      <w:spacing w:line="240" w:lineRule="auto"/>
    </w:pPr>
    <w:rPr>
      <w:sz w:val="20"/>
      <w:szCs w:val="20"/>
    </w:rPr>
  </w:style>
  <w:style w:type="character" w:customStyle="1" w:styleId="FootnoteTextChar">
    <w:name w:val="Footnote Text Char"/>
    <w:basedOn w:val="DefaultParagraphFont"/>
    <w:link w:val="FootnoteText"/>
    <w:uiPriority w:val="99"/>
    <w:semiHidden/>
    <w:rsid w:val="005433CD"/>
    <w:rPr>
      <w:rFonts w:ascii="Times New Roman" w:hAnsi="Times New Roman"/>
      <w:sz w:val="20"/>
      <w:szCs w:val="20"/>
    </w:rPr>
  </w:style>
  <w:style w:type="character" w:styleId="FootnoteReference">
    <w:name w:val="footnote reference"/>
    <w:basedOn w:val="DefaultParagraphFont"/>
    <w:uiPriority w:val="99"/>
    <w:semiHidden/>
    <w:unhideWhenUsed/>
    <w:rsid w:val="005433CD"/>
    <w:rPr>
      <w:vertAlign w:val="superscript"/>
    </w:rPr>
  </w:style>
  <w:style w:type="table" w:styleId="TableGrid">
    <w:name w:val="Table Grid"/>
    <w:basedOn w:val="TableNormal"/>
    <w:uiPriority w:val="39"/>
    <w:rsid w:val="00543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33CD"/>
    <w:pPr>
      <w:spacing w:line="240" w:lineRule="auto"/>
    </w:pPr>
    <w:rPr>
      <w:bCs/>
      <w:szCs w:val="18"/>
    </w:rPr>
  </w:style>
  <w:style w:type="character" w:styleId="Hyperlink">
    <w:name w:val="Hyperlink"/>
    <w:basedOn w:val="DefaultParagraphFont"/>
    <w:uiPriority w:val="99"/>
    <w:unhideWhenUsed/>
    <w:rsid w:val="005433CD"/>
    <w:rPr>
      <w:color w:val="0563C1" w:themeColor="hyperlink"/>
      <w:u w:val="single"/>
    </w:rPr>
  </w:style>
  <w:style w:type="paragraph" w:styleId="Header">
    <w:name w:val="header"/>
    <w:basedOn w:val="Normal"/>
    <w:link w:val="HeaderChar"/>
    <w:uiPriority w:val="99"/>
    <w:unhideWhenUsed/>
    <w:rsid w:val="005433CD"/>
    <w:pPr>
      <w:tabs>
        <w:tab w:val="center" w:pos="4252"/>
        <w:tab w:val="right" w:pos="8504"/>
      </w:tabs>
      <w:spacing w:line="240" w:lineRule="auto"/>
    </w:pPr>
  </w:style>
  <w:style w:type="character" w:customStyle="1" w:styleId="HeaderChar">
    <w:name w:val="Header Char"/>
    <w:basedOn w:val="DefaultParagraphFont"/>
    <w:link w:val="Header"/>
    <w:uiPriority w:val="99"/>
    <w:rsid w:val="005433CD"/>
    <w:rPr>
      <w:rFonts w:ascii="Times New Roman" w:hAnsi="Times New Roman"/>
      <w:sz w:val="24"/>
    </w:rPr>
  </w:style>
  <w:style w:type="paragraph" w:styleId="Footer">
    <w:name w:val="footer"/>
    <w:basedOn w:val="Normal"/>
    <w:link w:val="FooterChar"/>
    <w:uiPriority w:val="99"/>
    <w:unhideWhenUsed/>
    <w:rsid w:val="005433CD"/>
    <w:pPr>
      <w:tabs>
        <w:tab w:val="center" w:pos="4252"/>
        <w:tab w:val="right" w:pos="8504"/>
      </w:tabs>
      <w:spacing w:line="240" w:lineRule="auto"/>
    </w:pPr>
  </w:style>
  <w:style w:type="character" w:customStyle="1" w:styleId="FooterChar">
    <w:name w:val="Footer Char"/>
    <w:basedOn w:val="DefaultParagraphFont"/>
    <w:link w:val="Footer"/>
    <w:uiPriority w:val="99"/>
    <w:rsid w:val="005433CD"/>
    <w:rPr>
      <w:rFonts w:ascii="Times New Roman" w:hAnsi="Times New Roman"/>
      <w:sz w:val="24"/>
    </w:rPr>
  </w:style>
  <w:style w:type="paragraph" w:styleId="NoSpacing">
    <w:name w:val="No Spacing"/>
    <w:aliases w:val="Tabela"/>
    <w:uiPriority w:val="1"/>
    <w:qFormat/>
    <w:rsid w:val="005433CD"/>
    <w:pPr>
      <w:spacing w:after="0" w:line="240" w:lineRule="auto"/>
    </w:pPr>
    <w:rPr>
      <w:rFonts w:ascii="Calibri" w:eastAsia="Times New Roman" w:hAnsi="Calibri" w:cs="Times New Roman"/>
      <w:lang w:eastAsia="pt-BR"/>
    </w:rPr>
  </w:style>
  <w:style w:type="paragraph" w:styleId="TOC1">
    <w:name w:val="toc 1"/>
    <w:basedOn w:val="Normal"/>
    <w:next w:val="Normal"/>
    <w:autoRedefine/>
    <w:uiPriority w:val="39"/>
    <w:unhideWhenUsed/>
    <w:rsid w:val="005433CD"/>
    <w:pPr>
      <w:tabs>
        <w:tab w:val="right" w:leader="dot" w:pos="8504"/>
      </w:tabs>
      <w:ind w:left="709" w:hanging="709"/>
      <w:jc w:val="both"/>
    </w:pPr>
    <w:rPr>
      <w:rFonts w:cs="Times New Roman"/>
      <w:szCs w:val="24"/>
    </w:rPr>
  </w:style>
  <w:style w:type="paragraph" w:customStyle="1" w:styleId="TituloTabela">
    <w:name w:val="Titulo Tabela"/>
    <w:basedOn w:val="Normal"/>
    <w:link w:val="TituloTabelaChar"/>
    <w:qFormat/>
    <w:rsid w:val="005433CD"/>
    <w:pPr>
      <w:ind w:firstLine="0"/>
      <w:jc w:val="both"/>
    </w:pPr>
    <w:rPr>
      <w:rFonts w:cs="Times New Roman"/>
      <w:szCs w:val="24"/>
    </w:rPr>
  </w:style>
  <w:style w:type="paragraph" w:customStyle="1" w:styleId="TtuloFigura">
    <w:name w:val="Título Figura"/>
    <w:basedOn w:val="Normal"/>
    <w:link w:val="TtuloFiguraChar"/>
    <w:qFormat/>
    <w:rsid w:val="0078378E"/>
    <w:pPr>
      <w:jc w:val="both"/>
    </w:pPr>
    <w:rPr>
      <w:rFonts w:cs="Times New Roman"/>
      <w:szCs w:val="24"/>
    </w:rPr>
  </w:style>
  <w:style w:type="character" w:customStyle="1" w:styleId="TituloTabelaChar">
    <w:name w:val="Titulo Tabela Char"/>
    <w:basedOn w:val="DefaultParagraphFont"/>
    <w:link w:val="TituloTabela"/>
    <w:rsid w:val="005433CD"/>
    <w:rPr>
      <w:rFonts w:ascii="Times New Roman" w:hAnsi="Times New Roman" w:cs="Times New Roman"/>
      <w:sz w:val="24"/>
      <w:szCs w:val="24"/>
    </w:rPr>
  </w:style>
  <w:style w:type="character" w:customStyle="1" w:styleId="TtuloFiguraChar">
    <w:name w:val="Título Figura Char"/>
    <w:basedOn w:val="DefaultParagraphFont"/>
    <w:link w:val="TtuloFigura"/>
    <w:rsid w:val="0078378E"/>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543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5433CD"/>
    <w:rPr>
      <w:rFonts w:ascii="Courier New" w:eastAsia="Times New Roman" w:hAnsi="Courier New" w:cs="Courier New"/>
      <w:sz w:val="20"/>
      <w:szCs w:val="20"/>
      <w:lang w:eastAsia="pt-BR"/>
    </w:rPr>
  </w:style>
  <w:style w:type="paragraph" w:styleId="NormalWeb">
    <w:name w:val="Normal (Web)"/>
    <w:basedOn w:val="Normal"/>
    <w:uiPriority w:val="99"/>
    <w:unhideWhenUsed/>
    <w:rsid w:val="005433CD"/>
    <w:pPr>
      <w:spacing w:before="100" w:beforeAutospacing="1" w:after="100" w:afterAutospacing="1" w:line="240" w:lineRule="auto"/>
      <w:ind w:firstLine="0"/>
    </w:pPr>
    <w:rPr>
      <w:rFonts w:eastAsia="Times New Roman" w:cs="Times New Roman"/>
      <w:szCs w:val="24"/>
      <w:lang w:val="en-US"/>
    </w:rPr>
  </w:style>
  <w:style w:type="paragraph" w:styleId="TOCHeading">
    <w:name w:val="TOC Heading"/>
    <w:basedOn w:val="Heading1"/>
    <w:next w:val="Normal"/>
    <w:uiPriority w:val="39"/>
    <w:unhideWhenUsed/>
    <w:qFormat/>
    <w:rsid w:val="005433CD"/>
    <w:pPr>
      <w:numPr>
        <w:numId w:val="0"/>
      </w:numPr>
      <w:spacing w:before="240" w:line="259" w:lineRule="auto"/>
      <w:jc w:val="left"/>
      <w:outlineLvl w:val="9"/>
    </w:pPr>
    <w:rPr>
      <w:rFonts w:asciiTheme="majorHAnsi" w:hAnsiTheme="majorHAnsi" w:cstheme="majorBidi"/>
      <w:b w:val="0"/>
      <w:bCs w:val="0"/>
      <w:caps w:val="0"/>
      <w:color w:val="2F5496" w:themeColor="accent1" w:themeShade="BF"/>
      <w:sz w:val="32"/>
      <w:szCs w:val="32"/>
    </w:rPr>
  </w:style>
  <w:style w:type="paragraph" w:styleId="TOC2">
    <w:name w:val="toc 2"/>
    <w:basedOn w:val="Normal"/>
    <w:next w:val="Normal"/>
    <w:autoRedefine/>
    <w:uiPriority w:val="39"/>
    <w:unhideWhenUsed/>
    <w:rsid w:val="005433CD"/>
    <w:pPr>
      <w:tabs>
        <w:tab w:val="left" w:pos="709"/>
        <w:tab w:val="right" w:leader="dot" w:pos="8494"/>
      </w:tabs>
      <w:spacing w:after="100"/>
      <w:ind w:left="240" w:hanging="240"/>
    </w:pPr>
  </w:style>
  <w:style w:type="character" w:customStyle="1" w:styleId="normaltextrun">
    <w:name w:val="normaltextrun"/>
    <w:basedOn w:val="DefaultParagraphFont"/>
    <w:rsid w:val="00310673"/>
  </w:style>
  <w:style w:type="character" w:customStyle="1" w:styleId="eop">
    <w:name w:val="eop"/>
    <w:basedOn w:val="DefaultParagraphFont"/>
    <w:rsid w:val="00310673"/>
  </w:style>
  <w:style w:type="character" w:customStyle="1" w:styleId="spellingerror">
    <w:name w:val="spellingerror"/>
    <w:basedOn w:val="DefaultParagraphFont"/>
    <w:rsid w:val="00680532"/>
  </w:style>
  <w:style w:type="character" w:styleId="UnresolvedMention">
    <w:name w:val="Unresolved Mention"/>
    <w:basedOn w:val="DefaultParagraphFont"/>
    <w:uiPriority w:val="99"/>
    <w:semiHidden/>
    <w:unhideWhenUsed/>
    <w:rsid w:val="00E00F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726473">
      <w:bodyDiv w:val="1"/>
      <w:marLeft w:val="0"/>
      <w:marRight w:val="0"/>
      <w:marTop w:val="0"/>
      <w:marBottom w:val="0"/>
      <w:divBdr>
        <w:top w:val="none" w:sz="0" w:space="0" w:color="auto"/>
        <w:left w:val="none" w:sz="0" w:space="0" w:color="auto"/>
        <w:bottom w:val="none" w:sz="0" w:space="0" w:color="auto"/>
        <w:right w:val="none" w:sz="0" w:space="0" w:color="auto"/>
      </w:divBdr>
    </w:div>
    <w:div w:id="607274734">
      <w:bodyDiv w:val="1"/>
      <w:marLeft w:val="0"/>
      <w:marRight w:val="0"/>
      <w:marTop w:val="0"/>
      <w:marBottom w:val="0"/>
      <w:divBdr>
        <w:top w:val="none" w:sz="0" w:space="0" w:color="auto"/>
        <w:left w:val="none" w:sz="0" w:space="0" w:color="auto"/>
        <w:bottom w:val="none" w:sz="0" w:space="0" w:color="auto"/>
        <w:right w:val="none" w:sz="0" w:space="0" w:color="auto"/>
      </w:divBdr>
    </w:div>
    <w:div w:id="733352611">
      <w:bodyDiv w:val="1"/>
      <w:marLeft w:val="0"/>
      <w:marRight w:val="0"/>
      <w:marTop w:val="0"/>
      <w:marBottom w:val="0"/>
      <w:divBdr>
        <w:top w:val="none" w:sz="0" w:space="0" w:color="auto"/>
        <w:left w:val="none" w:sz="0" w:space="0" w:color="auto"/>
        <w:bottom w:val="none" w:sz="0" w:space="0" w:color="auto"/>
        <w:right w:val="none" w:sz="0" w:space="0" w:color="auto"/>
      </w:divBdr>
    </w:div>
    <w:div w:id="880635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footnotes.xml.rels><?xml version="1.0" encoding="UTF-8" standalone="yes"?>
<Relationships xmlns="http://schemas.openxmlformats.org/package/2006/relationships"><Relationship Id="rId1" Type="http://schemas.openxmlformats.org/officeDocument/2006/relationships/hyperlink" Target="mailto:cristiano.dacostadasilva@hotmail.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rist\Desktop\Artigos\Matheus\VAB.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794267427011544"/>
          <c:y val="5.1935788479697827E-2"/>
          <c:w val="0.80673225761421963"/>
          <c:h val="0.80494969998438581"/>
        </c:manualLayout>
      </c:layout>
      <c:scatterChart>
        <c:scatterStyle val="lineMarker"/>
        <c:varyColors val="0"/>
        <c:ser>
          <c:idx val="0"/>
          <c:order val="0"/>
          <c:spPr>
            <a:ln w="25400" cap="rnd">
              <a:noFill/>
              <a:round/>
            </a:ln>
            <a:effectLst/>
          </c:spPr>
          <c:marker>
            <c:symbol val="circle"/>
            <c:size val="5"/>
            <c:spPr>
              <a:solidFill>
                <a:schemeClr val="bg1">
                  <a:lumMod val="50000"/>
                </a:schemeClr>
              </a:solidFill>
              <a:ln w="9525">
                <a:solidFill>
                  <a:schemeClr val="bg1">
                    <a:lumMod val="50000"/>
                  </a:schemeClr>
                </a:solidFill>
              </a:ln>
              <a:effectLst/>
            </c:spPr>
          </c:marker>
          <c:trendline>
            <c:spPr>
              <a:ln w="19050" cap="rnd">
                <a:solidFill>
                  <a:schemeClr val="bg1">
                    <a:lumMod val="50000"/>
                  </a:schemeClr>
                </a:solidFill>
                <a:prstDash val="sysDot"/>
              </a:ln>
              <a:effectLst/>
            </c:spPr>
            <c:trendlineType val="linear"/>
            <c:dispRSqr val="0"/>
            <c:dispEq val="0"/>
          </c:trendline>
          <c:xVal>
            <c:numRef>
              <c:f>GRUPO!$G$2:$G$10</c:f>
              <c:numCache>
                <c:formatCode>0.00%</c:formatCode>
                <c:ptCount val="9"/>
                <c:pt idx="0">
                  <c:v>0.1082</c:v>
                </c:pt>
                <c:pt idx="1">
                  <c:v>0.114</c:v>
                </c:pt>
                <c:pt idx="2">
                  <c:v>0.105</c:v>
                </c:pt>
                <c:pt idx="3">
                  <c:v>0.16420000000000001</c:v>
                </c:pt>
                <c:pt idx="4">
                  <c:v>7.8700000000000006E-2</c:v>
                </c:pt>
                <c:pt idx="5">
                  <c:v>0.18990000000000001</c:v>
                </c:pt>
                <c:pt idx="6">
                  <c:v>0.17649999999999999</c:v>
                </c:pt>
                <c:pt idx="7">
                  <c:v>0.23480000000000001</c:v>
                </c:pt>
                <c:pt idx="8">
                  <c:v>0.19170000000000001</c:v>
                </c:pt>
              </c:numCache>
            </c:numRef>
          </c:xVal>
          <c:yVal>
            <c:numRef>
              <c:f>GRUPO!$I$2:$I$10</c:f>
              <c:numCache>
                <c:formatCode>General</c:formatCode>
                <c:ptCount val="9"/>
                <c:pt idx="0">
                  <c:v>1.5810999999999999</c:v>
                </c:pt>
                <c:pt idx="1">
                  <c:v>1.4786999999999999</c:v>
                </c:pt>
                <c:pt idx="2">
                  <c:v>1.1068</c:v>
                </c:pt>
                <c:pt idx="3">
                  <c:v>2.1215000000000002</c:v>
                </c:pt>
                <c:pt idx="4">
                  <c:v>0.77980000000000005</c:v>
                </c:pt>
                <c:pt idx="5">
                  <c:v>1.5549999999999999</c:v>
                </c:pt>
                <c:pt idx="6">
                  <c:v>1.4827999999999999</c:v>
                </c:pt>
                <c:pt idx="7">
                  <c:v>1.5792999999999999</c:v>
                </c:pt>
                <c:pt idx="8">
                  <c:v>2.6234999999999999</c:v>
                </c:pt>
              </c:numCache>
            </c:numRef>
          </c:yVal>
          <c:smooth val="0"/>
          <c:extLst>
            <c:ext xmlns:c16="http://schemas.microsoft.com/office/drawing/2014/chart" uri="{C3380CC4-5D6E-409C-BE32-E72D297353CC}">
              <c16:uniqueId val="{00000001-37ED-46D7-8ACF-A794CF8EFF2A}"/>
            </c:ext>
          </c:extLst>
        </c:ser>
        <c:dLbls>
          <c:showLegendKey val="0"/>
          <c:showVal val="0"/>
          <c:showCatName val="0"/>
          <c:showSerName val="0"/>
          <c:showPercent val="0"/>
          <c:showBubbleSize val="0"/>
        </c:dLbls>
        <c:axId val="421821960"/>
        <c:axId val="421822616"/>
      </c:scatterChart>
      <c:valAx>
        <c:axId val="421821960"/>
        <c:scaling>
          <c:orientation val="minMax"/>
          <c:min val="5.000000000000001E-2"/>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pt-BR">
                    <a:solidFill>
                      <a:sysClr val="windowText" lastClr="000000"/>
                    </a:solidFill>
                    <a:latin typeface="Times New Roman" panose="02020603050405020304" pitchFamily="18" charset="0"/>
                    <a:cs typeface="Times New Roman" panose="02020603050405020304" pitchFamily="18" charset="0"/>
                  </a:rPr>
                  <a:t>Participação</a:t>
                </a:r>
                <a:r>
                  <a:rPr lang="pt-BR" baseline="0">
                    <a:solidFill>
                      <a:sysClr val="windowText" lastClr="000000"/>
                    </a:solidFill>
                    <a:latin typeface="Times New Roman" panose="02020603050405020304" pitchFamily="18" charset="0"/>
                    <a:cs typeface="Times New Roman" panose="02020603050405020304" pitchFamily="18" charset="0"/>
                  </a:rPr>
                  <a:t> Relativa - Indústria de Transformação</a:t>
                </a:r>
                <a:endParaRPr lang="pt-BR">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26064553486953329"/>
              <c:y val="0.9315391879131256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crossAx val="421822616"/>
        <c:crosses val="autoZero"/>
        <c:crossBetween val="midCat"/>
      </c:valAx>
      <c:valAx>
        <c:axId val="421822616"/>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pt-BR">
                    <a:solidFill>
                      <a:sysClr val="windowText" lastClr="000000"/>
                    </a:solidFill>
                    <a:latin typeface="Times New Roman" panose="02020603050405020304" pitchFamily="18" charset="0"/>
                    <a:cs typeface="Times New Roman" panose="02020603050405020304" pitchFamily="18" charset="0"/>
                  </a:rPr>
                  <a:t>Taxa</a:t>
                </a:r>
              </a:p>
            </c:rich>
          </c:tx>
          <c:layout>
            <c:manualLayout>
              <c:xMode val="edge"/>
              <c:yMode val="edge"/>
              <c:x val="1.8384766907419567E-2"/>
              <c:y val="0.3930554006528220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t-BR"/>
          </a:p>
        </c:txPr>
        <c:crossAx val="421821960"/>
        <c:crosses val="autoZero"/>
        <c:crossBetween val="midCat"/>
      </c:valAx>
      <c:spPr>
        <a:pattFill prst="pct30">
          <a:fgClr>
            <a:schemeClr val="bg1">
              <a:lumMod val="95000"/>
            </a:schemeClr>
          </a:fgClr>
          <a:bgClr>
            <a:schemeClr val="bg1"/>
          </a:bgClr>
        </a:patt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7B24F-2378-4FF5-B3F1-AAB7C66CE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9797</Words>
  <Characters>52905</Characters>
  <Application>Microsoft Office Word</Application>
  <DocSecurity>0</DocSecurity>
  <Lines>440</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Desconhecido</dc:creator>
  <cp:keywords/>
  <dc:description/>
  <cp:lastModifiedBy>Cristiano da Silva</cp:lastModifiedBy>
  <cp:revision>5</cp:revision>
  <dcterms:created xsi:type="dcterms:W3CDTF">2019-07-22T01:34:00Z</dcterms:created>
  <dcterms:modified xsi:type="dcterms:W3CDTF">2019-07-22T01:41:00Z</dcterms:modified>
</cp:coreProperties>
</file>