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9E3D5" w14:textId="2C800911" w:rsidR="00E00BFC" w:rsidRPr="00710158" w:rsidRDefault="00C43C1E" w:rsidP="00710158">
      <w:pPr>
        <w:rPr>
          <w:b/>
        </w:rPr>
      </w:pPr>
      <w:bookmarkStart w:id="0" w:name="OLE_LINK1"/>
      <w:r w:rsidRPr="00971206">
        <w:rPr>
          <w:b/>
        </w:rPr>
        <w:t xml:space="preserve">Benefícios fiscais do </w:t>
      </w:r>
      <w:r w:rsidR="00A63DB9" w:rsidRPr="00971206">
        <w:rPr>
          <w:b/>
        </w:rPr>
        <w:t>Imposto sobre a Renda da Pessoa Física</w:t>
      </w:r>
      <w:r w:rsidRPr="00971206">
        <w:rPr>
          <w:b/>
        </w:rPr>
        <w:t xml:space="preserve"> e seus impactos </w:t>
      </w:r>
      <w:r w:rsidR="00720062" w:rsidRPr="00971206">
        <w:rPr>
          <w:b/>
        </w:rPr>
        <w:t>re</w:t>
      </w:r>
      <w:r w:rsidRPr="00971206">
        <w:rPr>
          <w:b/>
        </w:rPr>
        <w:t>distributivos</w:t>
      </w:r>
      <w:bookmarkEnd w:id="0"/>
    </w:p>
    <w:p w14:paraId="48195516" w14:textId="77777777" w:rsidR="00E00BFC" w:rsidRPr="00E00BFC" w:rsidRDefault="00E00BFC" w:rsidP="00E00BFC">
      <w:pPr>
        <w:jc w:val="center"/>
        <w:rPr>
          <w:iCs/>
        </w:rPr>
      </w:pPr>
    </w:p>
    <w:p w14:paraId="6B086A18" w14:textId="050A0167" w:rsidR="00BB5A3B" w:rsidRPr="00D37144" w:rsidRDefault="00371AFC" w:rsidP="00D37144">
      <w:pPr>
        <w:jc w:val="right"/>
        <w:outlineLvl w:val="0"/>
        <w:rPr>
          <w:iCs/>
        </w:rPr>
      </w:pPr>
      <w:r w:rsidRPr="00E00BFC">
        <w:rPr>
          <w:iCs/>
        </w:rPr>
        <w:t xml:space="preserve">Fernando </w:t>
      </w:r>
      <w:proofErr w:type="spellStart"/>
      <w:r w:rsidRPr="00E00BFC">
        <w:rPr>
          <w:iCs/>
        </w:rPr>
        <w:t>Gaiger</w:t>
      </w:r>
      <w:proofErr w:type="spellEnd"/>
      <w:r w:rsidRPr="00E00BFC">
        <w:rPr>
          <w:iCs/>
        </w:rPr>
        <w:t xml:space="preserve"> Silveira</w:t>
      </w:r>
      <w:r w:rsidR="00BB5A3B">
        <w:rPr>
          <w:rStyle w:val="Refdenotaderodap"/>
          <w:iCs/>
        </w:rPr>
        <w:footnoteReference w:id="1"/>
      </w:r>
      <w:r w:rsidR="00D37144">
        <w:rPr>
          <w:iCs/>
        </w:rPr>
        <w:t xml:space="preserve">; </w:t>
      </w:r>
      <w:r w:rsidRPr="00E00BFC">
        <w:rPr>
          <w:iCs/>
        </w:rPr>
        <w:t xml:space="preserve">Rodrigo </w:t>
      </w:r>
      <w:r w:rsidR="00B745E3" w:rsidRPr="00E00BFC">
        <w:rPr>
          <w:iCs/>
        </w:rPr>
        <w:t xml:space="preserve">Cardoso </w:t>
      </w:r>
      <w:r w:rsidRPr="00E00BFC">
        <w:rPr>
          <w:iCs/>
        </w:rPr>
        <w:t>Fernandes</w:t>
      </w:r>
      <w:r w:rsidR="00BB5A3B">
        <w:rPr>
          <w:rStyle w:val="Refdenotaderodap"/>
          <w:iCs/>
        </w:rPr>
        <w:footnoteReference w:id="2"/>
      </w:r>
      <w:r w:rsidR="00D37144">
        <w:rPr>
          <w:iCs/>
        </w:rPr>
        <w:t xml:space="preserve">; </w:t>
      </w:r>
      <w:r w:rsidRPr="00E00BFC">
        <w:rPr>
          <w:iCs/>
        </w:rPr>
        <w:t>Luana Passos</w:t>
      </w:r>
      <w:r w:rsidR="00BB5A3B">
        <w:rPr>
          <w:rStyle w:val="Refdenotaderodap"/>
          <w:iCs/>
        </w:rPr>
        <w:footnoteReference w:id="3"/>
      </w:r>
    </w:p>
    <w:p w14:paraId="7D32253D" w14:textId="692FB84A" w:rsidR="00BB5A3B" w:rsidRPr="00710158" w:rsidRDefault="00BB5A3B" w:rsidP="00D37144">
      <w:pPr>
        <w:spacing w:before="120" w:after="120"/>
        <w:jc w:val="both"/>
        <w:rPr>
          <w:b/>
          <w:bCs/>
        </w:rPr>
      </w:pPr>
      <w:r w:rsidRPr="00BB5A3B">
        <w:rPr>
          <w:b/>
          <w:bCs/>
        </w:rPr>
        <w:t>Resumo</w:t>
      </w:r>
      <w:r w:rsidR="00710158">
        <w:rPr>
          <w:b/>
          <w:bCs/>
        </w:rPr>
        <w:t>:</w:t>
      </w:r>
    </w:p>
    <w:p w14:paraId="0F2F1468" w14:textId="2A6E6BB8" w:rsidR="00BB5A3B" w:rsidRDefault="0073403D" w:rsidP="008467EA">
      <w:pPr>
        <w:jc w:val="both"/>
      </w:pPr>
      <w:r w:rsidRPr="0073403D">
        <w:t>O objetivo desse trabalho é analisar os impactos distributivos d</w:t>
      </w:r>
      <w:r>
        <w:t xml:space="preserve">e alguns </w:t>
      </w:r>
      <w:r w:rsidRPr="0073403D">
        <w:t>benefícios do IRPF, a saber: três tipos de rendas isentas – a duplicidade do limite de isenção para aposentadorias e pensões de pessoas com 65 anos e mais; as pensões/aposentadorias de portadores de moléstias graves; e lucros e dividendos distribuídos – e duas deduções nos rendimentos tributados, os gastos em saúde e em educação formal privadas. Para tanto, por meio de metodologia de associação e pareamento de base</w:t>
      </w:r>
      <w:r>
        <w:t>s</w:t>
      </w:r>
      <w:r w:rsidRPr="0073403D">
        <w:t xml:space="preserve"> </w:t>
      </w:r>
      <w:r>
        <w:t xml:space="preserve">de </w:t>
      </w:r>
      <w:r w:rsidRPr="0073403D">
        <w:t xml:space="preserve">dados de rendas – no caso, a POF 2008/09 e os dados da receita federal do IRPF – ano base 2008 –, se identifica os beneficiários dos benefícios tributários na estrutura da distribuição de renda </w:t>
      </w:r>
      <w:r w:rsidR="006C1D78">
        <w:t xml:space="preserve">pessoal </w:t>
      </w:r>
      <w:r w:rsidRPr="0073403D">
        <w:t>da população adulta</w:t>
      </w:r>
      <w:r w:rsidR="006C1D78">
        <w:t xml:space="preserve">, </w:t>
      </w:r>
      <w:r w:rsidRPr="0073403D">
        <w:t xml:space="preserve">se estimam os valores dos gastos tributários e </w:t>
      </w:r>
      <w:r w:rsidR="006C1D78">
        <w:t>apura</w:t>
      </w:r>
      <w:r w:rsidRPr="0073403D">
        <w:t xml:space="preserve"> </w:t>
      </w:r>
      <w:r w:rsidR="006C1D78">
        <w:t xml:space="preserve">o </w:t>
      </w:r>
      <w:r w:rsidRPr="0073403D">
        <w:t xml:space="preserve">que ocorreria caso fossem eliminados. Os achados apontam que a isenção de lucros e dividendos e das pensões aos portadores de doenças crônicas são desproporcionalmente concentrados no topo da distribuição de renda: nos 5% e, mais especificamente, nos 1% mais ricos. Já a parcela isenta para as aposentadorias e pensões e os benefícios decorrentes das deduções com gastos em educação se mostram menos concentradas no topo. Em situação intermediária, encontram-se as deduções com gastos em </w:t>
      </w:r>
      <w:r w:rsidR="006C1D78" w:rsidRPr="0073403D">
        <w:t>saúde</w:t>
      </w:r>
      <w:r w:rsidRPr="0073403D">
        <w:t xml:space="preserve">. A extinção desses benefícios aumentaria o poder de redução do </w:t>
      </w:r>
      <w:proofErr w:type="spellStart"/>
      <w:r w:rsidRPr="0073403D">
        <w:t>Gini</w:t>
      </w:r>
      <w:proofErr w:type="spellEnd"/>
      <w:r w:rsidRPr="0073403D">
        <w:t xml:space="preserve"> via IRPF </w:t>
      </w:r>
      <w:r w:rsidR="00710158">
        <w:t>de</w:t>
      </w:r>
      <w:r w:rsidRPr="0073403D">
        <w:t xml:space="preserve"> 3,30% (educação) até 9,92% (saúde). A alteração de maior impacto redistributivo é a tributação progressiva dos lucros e dividendos com a queda no </w:t>
      </w:r>
      <w:proofErr w:type="spellStart"/>
      <w:r w:rsidRPr="0073403D">
        <w:t>Gini</w:t>
      </w:r>
      <w:proofErr w:type="spellEnd"/>
      <w:r w:rsidRPr="0073403D">
        <w:t xml:space="preserve"> causada pela incidência do IRPF aumentando em 55%</w:t>
      </w:r>
      <w:r>
        <w:t>.</w:t>
      </w:r>
    </w:p>
    <w:p w14:paraId="03C33D2F" w14:textId="740EE021" w:rsidR="00BB5A3B" w:rsidRDefault="00BB5A3B" w:rsidP="008467EA">
      <w:pPr>
        <w:jc w:val="both"/>
      </w:pPr>
    </w:p>
    <w:p w14:paraId="3560C48A" w14:textId="208D2336" w:rsidR="00470493" w:rsidRPr="00470493" w:rsidRDefault="00BB5A3B" w:rsidP="00470493">
      <w:r w:rsidRPr="00470493">
        <w:rPr>
          <w:b/>
          <w:bCs/>
        </w:rPr>
        <w:t>Palavras-Chave</w:t>
      </w:r>
      <w:r w:rsidRPr="00470493">
        <w:t>:</w:t>
      </w:r>
      <w:r w:rsidR="00470493" w:rsidRPr="00470493">
        <w:t xml:space="preserve"> distribuição de renda</w:t>
      </w:r>
      <w:r w:rsidR="00D37144">
        <w:t>;</w:t>
      </w:r>
      <w:r w:rsidR="00470493" w:rsidRPr="00470493">
        <w:t xml:space="preserve"> imposto de renda</w:t>
      </w:r>
      <w:r w:rsidR="00D37144">
        <w:t>;</w:t>
      </w:r>
      <w:r w:rsidR="00470493" w:rsidRPr="00470493">
        <w:t xml:space="preserve"> </w:t>
      </w:r>
      <w:r w:rsidR="00D37144">
        <w:t>isenções e deduções pessoais; benefícios fiscais; progressividade.</w:t>
      </w:r>
    </w:p>
    <w:p w14:paraId="28E1E73A" w14:textId="7D706785" w:rsidR="00BB5A3B" w:rsidRPr="00470493" w:rsidRDefault="00BB5A3B" w:rsidP="008467EA">
      <w:pPr>
        <w:jc w:val="both"/>
      </w:pPr>
    </w:p>
    <w:p w14:paraId="6C42D577" w14:textId="43E09539" w:rsidR="00BB5A3B" w:rsidRPr="00710158" w:rsidRDefault="00BB5A3B" w:rsidP="00710158">
      <w:pPr>
        <w:spacing w:after="120"/>
        <w:jc w:val="both"/>
        <w:rPr>
          <w:b/>
          <w:bCs/>
        </w:rPr>
      </w:pPr>
      <w:r w:rsidRPr="00BB5A3B">
        <w:rPr>
          <w:b/>
          <w:bCs/>
        </w:rPr>
        <w:t>Abstract</w:t>
      </w:r>
    </w:p>
    <w:p w14:paraId="1C69C38D" w14:textId="34AB5086" w:rsidR="00BB5A3B" w:rsidRPr="00710158" w:rsidRDefault="00710158" w:rsidP="008467EA">
      <w:pPr>
        <w:jc w:val="both"/>
        <w:rPr>
          <w:lang w:val="en-US"/>
        </w:rPr>
      </w:pPr>
      <w:r w:rsidRPr="00710158">
        <w:rPr>
          <w:lang w:val="en-US"/>
        </w:rPr>
        <w:t xml:space="preserve">The aim of this paper is to analyze the distributional impacts of some </w:t>
      </w:r>
      <w:r w:rsidR="00470493">
        <w:rPr>
          <w:lang w:val="en-US"/>
        </w:rPr>
        <w:t xml:space="preserve">personal </w:t>
      </w:r>
      <w:r w:rsidRPr="00710158">
        <w:rPr>
          <w:lang w:val="en-US"/>
        </w:rPr>
        <w:t xml:space="preserve">income tax benefits, namely: three types of exempt income - double the exemption limit for pensions of people 65 and over; the pensions of patients with serious diseases; and profits and dividends - and two deductions on taxable income, health spending, and private formal education. To do so, through the methodology of association and matching of income databases - in this case, the POF 2008/09 and the data of federal </w:t>
      </w:r>
      <w:r w:rsidR="00470493">
        <w:rPr>
          <w:lang w:val="en-US"/>
        </w:rPr>
        <w:t xml:space="preserve">personal </w:t>
      </w:r>
      <w:r w:rsidRPr="00710158">
        <w:rPr>
          <w:lang w:val="en-US"/>
        </w:rPr>
        <w:t>income tax 2008 -, identifies the beneficiaries of the tax benefits in the structure of the distribution of personal income of the adult population, estimate the values of tax expenditures and determine what would happen if they were eliminated. The findings point out that the exemption of profits and dividends and pensions from chronic diseases are disproportionately concentrated at the top of the income distribution: on the 5%, and more specifically on the 1% richer. The exempt portion for pensions and pensions, and the benefits derived from deductions with education expenses, are less concentrated at the top. In an intermediate situation, the deductions with expenses in health. The extinction of these benefits would increase the power of reduction of the Gini through IRPF of 3.30% (education) to 9.92% (health). The change with the greatest redistributive impact is the progressive taxation of profits and dividends with the fall in the Gini caused by the incidence of Personal Income Tax (IRPF), increasing by 55%.</w:t>
      </w:r>
    </w:p>
    <w:p w14:paraId="6E5046BA" w14:textId="18B631C1" w:rsidR="00BB5A3B" w:rsidRPr="00710158" w:rsidRDefault="00BB5A3B" w:rsidP="008467EA">
      <w:pPr>
        <w:jc w:val="both"/>
        <w:rPr>
          <w:lang w:val="en-US"/>
        </w:rPr>
      </w:pPr>
    </w:p>
    <w:p w14:paraId="209F670C" w14:textId="44DA00FF" w:rsidR="00BB5A3B" w:rsidRPr="00D37144" w:rsidRDefault="00BB5A3B" w:rsidP="008467EA">
      <w:pPr>
        <w:jc w:val="both"/>
        <w:rPr>
          <w:b/>
          <w:bCs/>
          <w:lang w:val="en-US"/>
        </w:rPr>
      </w:pPr>
      <w:r w:rsidRPr="00D37144">
        <w:rPr>
          <w:b/>
          <w:bCs/>
          <w:lang w:val="en-US"/>
        </w:rPr>
        <w:t>Key-Word</w:t>
      </w:r>
      <w:r w:rsidR="00D37144" w:rsidRPr="00D37144">
        <w:rPr>
          <w:b/>
          <w:bCs/>
          <w:lang w:val="en-US"/>
        </w:rPr>
        <w:t xml:space="preserve">: </w:t>
      </w:r>
      <w:r w:rsidR="00D37144" w:rsidRPr="00D37144">
        <w:rPr>
          <w:lang w:val="en-US"/>
        </w:rPr>
        <w:t xml:space="preserve">income distribution; personal income tax; personal exemptions and deductions; tax </w:t>
      </w:r>
      <w:proofErr w:type="gramStart"/>
      <w:r w:rsidR="00D37144" w:rsidRPr="00D37144">
        <w:rPr>
          <w:lang w:val="en-US"/>
        </w:rPr>
        <w:t>benefits;  progressivity</w:t>
      </w:r>
      <w:proofErr w:type="gramEnd"/>
      <w:r w:rsidR="00D37144" w:rsidRPr="00D37144">
        <w:rPr>
          <w:lang w:val="en-US"/>
        </w:rPr>
        <w:t>;</w:t>
      </w:r>
    </w:p>
    <w:p w14:paraId="4B044707" w14:textId="7E25B606" w:rsidR="00BB5A3B" w:rsidRPr="00D37144" w:rsidRDefault="00BB5A3B" w:rsidP="008467EA">
      <w:pPr>
        <w:jc w:val="both"/>
        <w:rPr>
          <w:lang w:val="en-US"/>
        </w:rPr>
      </w:pPr>
    </w:p>
    <w:p w14:paraId="6504F6A1" w14:textId="437B7D43" w:rsidR="00D828C4" w:rsidRDefault="00D828C4" w:rsidP="008467EA">
      <w:pPr>
        <w:jc w:val="both"/>
      </w:pPr>
      <w:r>
        <w:t>Área 5- Economia do Setor Público</w:t>
      </w:r>
    </w:p>
    <w:p w14:paraId="55B40E2F" w14:textId="19C97B35" w:rsidR="00BB5A3B" w:rsidRPr="00971206" w:rsidRDefault="00D828C4" w:rsidP="008467EA">
      <w:pPr>
        <w:jc w:val="both"/>
      </w:pPr>
      <w:r>
        <w:t>JEL: H2; H23; H24</w:t>
      </w:r>
    </w:p>
    <w:p w14:paraId="50A2F362" w14:textId="77777777" w:rsidR="00BB5A3B" w:rsidRDefault="00BB5A3B" w:rsidP="002E6CAE">
      <w:pPr>
        <w:pStyle w:val="PargrafodaLista"/>
        <w:numPr>
          <w:ilvl w:val="0"/>
          <w:numId w:val="1"/>
        </w:numPr>
        <w:jc w:val="both"/>
        <w:rPr>
          <w:rFonts w:ascii="Times New Roman" w:eastAsia="Times New Roman" w:hAnsi="Times New Roman" w:cs="Times New Roman"/>
          <w:color w:val="000000"/>
          <w:lang w:eastAsia="pt-BR"/>
        </w:rPr>
        <w:sectPr w:rsidR="00BB5A3B" w:rsidSect="00971206">
          <w:footerReference w:type="even" r:id="rId8"/>
          <w:footerReference w:type="default" r:id="rId9"/>
          <w:pgSz w:w="11900" w:h="16840"/>
          <w:pgMar w:top="1134" w:right="1134" w:bottom="1134" w:left="1134" w:header="709" w:footer="709" w:gutter="0"/>
          <w:cols w:space="708"/>
          <w:docGrid w:linePitch="360"/>
        </w:sectPr>
      </w:pPr>
    </w:p>
    <w:p w14:paraId="12707DDE" w14:textId="477D0AE2" w:rsidR="002E6CAE" w:rsidRPr="00F3014C" w:rsidRDefault="002E6CAE" w:rsidP="002E6CAE">
      <w:pPr>
        <w:pStyle w:val="PargrafodaLista"/>
        <w:numPr>
          <w:ilvl w:val="0"/>
          <w:numId w:val="1"/>
        </w:numPr>
        <w:jc w:val="both"/>
        <w:rPr>
          <w:rFonts w:ascii="Times New Roman" w:hAnsi="Times New Roman" w:cs="Times New Roman"/>
          <w:b/>
          <w:bCs/>
        </w:rPr>
      </w:pPr>
      <w:r w:rsidRPr="00F3014C">
        <w:rPr>
          <w:rFonts w:ascii="Times New Roman" w:hAnsi="Times New Roman" w:cs="Times New Roman"/>
          <w:b/>
          <w:bCs/>
        </w:rPr>
        <w:lastRenderedPageBreak/>
        <w:t>Introdução</w:t>
      </w:r>
    </w:p>
    <w:p w14:paraId="009965A0" w14:textId="77777777" w:rsidR="006156A3" w:rsidRPr="00971206" w:rsidRDefault="006156A3" w:rsidP="008467EA">
      <w:pPr>
        <w:jc w:val="both"/>
        <w:rPr>
          <w:color w:val="000000"/>
        </w:rPr>
      </w:pPr>
    </w:p>
    <w:p w14:paraId="7A574070" w14:textId="77777777" w:rsidR="00754527" w:rsidRPr="00971206" w:rsidRDefault="00754527" w:rsidP="006156A3">
      <w:pPr>
        <w:jc w:val="both"/>
        <w:rPr>
          <w:color w:val="000000"/>
        </w:rPr>
      </w:pPr>
    </w:p>
    <w:p w14:paraId="140C44EE" w14:textId="77777777" w:rsidR="00044C02" w:rsidRDefault="00754527" w:rsidP="00044C02">
      <w:pPr>
        <w:ind w:firstLine="851"/>
        <w:jc w:val="both"/>
        <w:rPr>
          <w:color w:val="000000"/>
        </w:rPr>
      </w:pPr>
      <w:r w:rsidRPr="00971206">
        <w:rPr>
          <w:color w:val="000000"/>
        </w:rPr>
        <w:t>Em que pes</w:t>
      </w:r>
      <w:r w:rsidR="00B043C7" w:rsidRPr="00971206">
        <w:rPr>
          <w:color w:val="000000"/>
        </w:rPr>
        <w:t>em os avanços em prol de uma sociedade mais justa e solidária, d</w:t>
      </w:r>
      <w:r w:rsidR="00076767" w:rsidRPr="00971206">
        <w:rPr>
          <w:color w:val="000000"/>
        </w:rPr>
        <w:t xml:space="preserve">istorções afastam o </w:t>
      </w:r>
      <w:r w:rsidR="00B50FF8" w:rsidRPr="00971206">
        <w:rPr>
          <w:color w:val="000000"/>
        </w:rPr>
        <w:t xml:space="preserve">sistema tributário brasileiro </w:t>
      </w:r>
      <w:r w:rsidR="00076767" w:rsidRPr="00971206">
        <w:rPr>
          <w:color w:val="000000"/>
        </w:rPr>
        <w:t>do princípio basilar de equidade</w:t>
      </w:r>
      <w:r w:rsidR="00B50FF8" w:rsidRPr="00971206">
        <w:rPr>
          <w:color w:val="000000"/>
        </w:rPr>
        <w:t xml:space="preserve">, </w:t>
      </w:r>
      <w:r w:rsidR="00076767" w:rsidRPr="00971206">
        <w:rPr>
          <w:color w:val="000000"/>
        </w:rPr>
        <w:t xml:space="preserve">preconizado na </w:t>
      </w:r>
      <w:r w:rsidR="00B50FF8" w:rsidRPr="00971206">
        <w:rPr>
          <w:color w:val="000000"/>
        </w:rPr>
        <w:t>C</w:t>
      </w:r>
      <w:r w:rsidR="00076767" w:rsidRPr="00971206">
        <w:rPr>
          <w:color w:val="000000"/>
        </w:rPr>
        <w:t>onstituição de 1988</w:t>
      </w:r>
      <w:r w:rsidR="00B50FF8" w:rsidRPr="00971206">
        <w:rPr>
          <w:color w:val="000000"/>
        </w:rPr>
        <w:t>, e da boa prática internacional, com destaque para benefícios fiscais que se configuram como privilégios na medida em que são apropriados p</w:t>
      </w:r>
      <w:r w:rsidRPr="00971206">
        <w:rPr>
          <w:color w:val="000000"/>
        </w:rPr>
        <w:t>elo</w:t>
      </w:r>
      <w:r w:rsidR="00D71D7A" w:rsidRPr="00971206">
        <w:rPr>
          <w:color w:val="000000"/>
        </w:rPr>
        <w:t>s</w:t>
      </w:r>
      <w:r w:rsidRPr="00971206">
        <w:rPr>
          <w:color w:val="000000"/>
        </w:rPr>
        <w:t xml:space="preserve"> estrato</w:t>
      </w:r>
      <w:r w:rsidR="00D71D7A" w:rsidRPr="00971206">
        <w:rPr>
          <w:color w:val="000000"/>
        </w:rPr>
        <w:t>s</w:t>
      </w:r>
      <w:r w:rsidRPr="00971206">
        <w:rPr>
          <w:color w:val="000000"/>
        </w:rPr>
        <w:t xml:space="preserve"> mais rico</w:t>
      </w:r>
      <w:r w:rsidR="00D71D7A" w:rsidRPr="00971206">
        <w:rPr>
          <w:color w:val="000000"/>
        </w:rPr>
        <w:t>s</w:t>
      </w:r>
      <w:r w:rsidRPr="00971206">
        <w:rPr>
          <w:color w:val="000000"/>
        </w:rPr>
        <w:t xml:space="preserve"> da população.</w:t>
      </w:r>
    </w:p>
    <w:p w14:paraId="66C895CF" w14:textId="77777777" w:rsidR="00044C02" w:rsidRDefault="00C43C1E" w:rsidP="00044C02">
      <w:pPr>
        <w:ind w:firstLine="851"/>
        <w:jc w:val="both"/>
        <w:rPr>
          <w:color w:val="000000"/>
        </w:rPr>
      </w:pPr>
      <w:r w:rsidRPr="00971206">
        <w:t xml:space="preserve">A isenção do </w:t>
      </w:r>
      <w:r w:rsidR="00765E62" w:rsidRPr="00971206">
        <w:t>Imposto sobre a Renda da Pessoa Física (</w:t>
      </w:r>
      <w:r w:rsidRPr="00971206">
        <w:t>IRPF</w:t>
      </w:r>
      <w:r w:rsidR="00765E62" w:rsidRPr="00971206">
        <w:t>)</w:t>
      </w:r>
      <w:r w:rsidRPr="00971206">
        <w:t xml:space="preserve"> </w:t>
      </w:r>
      <w:r w:rsidR="00765E62" w:rsidRPr="00971206">
        <w:t xml:space="preserve">sobre </w:t>
      </w:r>
      <w:r w:rsidRPr="00971206">
        <w:t xml:space="preserve">lucros e dividendos distribuídos às pessoas físicas </w:t>
      </w:r>
      <w:r w:rsidR="00765E62" w:rsidRPr="00971206">
        <w:t xml:space="preserve">figura como um dos temas centrais nas discussões sobre </w:t>
      </w:r>
      <w:r w:rsidR="00012FFA" w:rsidRPr="00971206">
        <w:t>um</w:t>
      </w:r>
      <w:r w:rsidR="00765E62" w:rsidRPr="00971206">
        <w:t>a reforma do</w:t>
      </w:r>
      <w:r w:rsidRPr="00971206">
        <w:t xml:space="preserve"> sistema tributário brasileiro</w:t>
      </w:r>
      <w:r w:rsidR="00765E62" w:rsidRPr="00971206">
        <w:t xml:space="preserve">. O aumento do volume </w:t>
      </w:r>
      <w:r w:rsidR="00A04CE2" w:rsidRPr="00971206">
        <w:t>de</w:t>
      </w:r>
      <w:r w:rsidR="00765E62" w:rsidRPr="00971206">
        <w:t xml:space="preserve"> debates em torno dessa questão</w:t>
      </w:r>
      <w:r w:rsidR="001F7899" w:rsidRPr="00971206">
        <w:t xml:space="preserve"> </w:t>
      </w:r>
      <w:r w:rsidR="00765E62" w:rsidRPr="00971206">
        <w:t>reflete</w:t>
      </w:r>
      <w:r w:rsidR="001F7899" w:rsidRPr="00971206">
        <w:t xml:space="preserve"> uma preocupação</w:t>
      </w:r>
      <w:r w:rsidR="00A04CE2" w:rsidRPr="00971206">
        <w:t xml:space="preserve"> crescente</w:t>
      </w:r>
      <w:r w:rsidR="001F7899" w:rsidRPr="00971206">
        <w:t xml:space="preserve"> com o</w:t>
      </w:r>
      <w:r w:rsidRPr="00971206">
        <w:t xml:space="preserve"> caráter </w:t>
      </w:r>
      <w:r w:rsidR="001F7899" w:rsidRPr="00971206">
        <w:t xml:space="preserve">iníquo do sistema tributário nacional e </w:t>
      </w:r>
      <w:r w:rsidR="00A04CE2" w:rsidRPr="00971206">
        <w:t xml:space="preserve">seu notório desrespeito ao </w:t>
      </w:r>
      <w:r w:rsidRPr="00971206">
        <w:t>preceito constitucional da capacidade contributiva</w:t>
      </w:r>
      <w:r w:rsidR="00A04CE2" w:rsidRPr="00971206">
        <w:t xml:space="preserve"> – o qual determina que a carga tributária </w:t>
      </w:r>
      <w:r w:rsidR="00012FFA" w:rsidRPr="00971206">
        <w:t>incidente sobre o contribuinte</w:t>
      </w:r>
      <w:r w:rsidR="00A04CE2" w:rsidRPr="00971206">
        <w:t xml:space="preserve"> deve ser </w:t>
      </w:r>
      <w:r w:rsidR="00012FFA" w:rsidRPr="00971206">
        <w:t>graduada de acordo</w:t>
      </w:r>
      <w:r w:rsidR="00A04CE2" w:rsidRPr="00971206">
        <w:t xml:space="preserve"> com a sua capacidade </w:t>
      </w:r>
      <w:r w:rsidR="00012FFA" w:rsidRPr="00971206">
        <w:t>econômica</w:t>
      </w:r>
      <w:r w:rsidRPr="00971206">
        <w:t>. A defesa da não tributação na pessoa física dos lucros e dividendos distri</w:t>
      </w:r>
      <w:r w:rsidR="00EA45FF" w:rsidRPr="00971206">
        <w:t xml:space="preserve">buídos tem por argumento </w:t>
      </w:r>
      <w:r w:rsidR="001F7899" w:rsidRPr="00971206">
        <w:t xml:space="preserve">principal </w:t>
      </w:r>
      <w:r w:rsidR="00A04CE2" w:rsidRPr="00971206">
        <w:t xml:space="preserve">o fato de </w:t>
      </w:r>
      <w:r w:rsidR="00EA45FF" w:rsidRPr="00971206">
        <w:t xml:space="preserve">que </w:t>
      </w:r>
      <w:r w:rsidR="001F7899" w:rsidRPr="00971206">
        <w:t>t</w:t>
      </w:r>
      <w:r w:rsidR="00EA45FF" w:rsidRPr="00971206">
        <w:t>a</w:t>
      </w:r>
      <w:r w:rsidR="001F7899" w:rsidRPr="00971206">
        <w:t>l</w:t>
      </w:r>
      <w:r w:rsidRPr="00971206">
        <w:t xml:space="preserve"> medida implicaria </w:t>
      </w:r>
      <w:r w:rsidR="00A04CE2" w:rsidRPr="00971206">
        <w:t xml:space="preserve">uma </w:t>
      </w:r>
      <w:r w:rsidRPr="00971206">
        <w:t xml:space="preserve">dupla tributação, uma vez que os lucros já foram </w:t>
      </w:r>
      <w:r w:rsidR="00A04CE2" w:rsidRPr="00971206">
        <w:t>tributados</w:t>
      </w:r>
      <w:r w:rsidR="001F7899" w:rsidRPr="00971206">
        <w:t xml:space="preserve"> na </w:t>
      </w:r>
      <w:r w:rsidRPr="00971206">
        <w:t>pessoa jurídica.</w:t>
      </w:r>
      <w:r w:rsidR="00A63DB9" w:rsidRPr="00971206">
        <w:t xml:space="preserve"> Essa defesa, que se escorava na Teoria da Tributação Ótima e seus preceitos de não tributação do capital, na prática</w:t>
      </w:r>
      <w:r w:rsidR="00D71D7A" w:rsidRPr="00971206">
        <w:t>,</w:t>
      </w:r>
      <w:r w:rsidR="00A63DB9" w:rsidRPr="00971206">
        <w:t xml:space="preserve"> foi pouco adotada pelos países, e hoje apenas o Brasil e a </w:t>
      </w:r>
      <w:r w:rsidR="00622B14" w:rsidRPr="00971206">
        <w:t xml:space="preserve">Estônia </w:t>
      </w:r>
      <w:r w:rsidR="00A63DB9" w:rsidRPr="00971206">
        <w:t>mantêm a isenção.</w:t>
      </w:r>
      <w:r w:rsidR="00D71D7A" w:rsidRPr="00971206">
        <w:t xml:space="preserve"> Vale lembrar Murphy </w:t>
      </w:r>
      <w:r w:rsidR="00D77747" w:rsidRPr="00971206">
        <w:t>e</w:t>
      </w:r>
      <w:r w:rsidR="00D71D7A" w:rsidRPr="00971206">
        <w:t xml:space="preserve"> </w:t>
      </w:r>
      <w:proofErr w:type="spellStart"/>
      <w:r w:rsidR="00D71D7A" w:rsidRPr="00971206">
        <w:t>Nagel</w:t>
      </w:r>
      <w:proofErr w:type="spellEnd"/>
      <w:r w:rsidR="00D71D7A" w:rsidRPr="00971206">
        <w:t xml:space="preserve"> </w:t>
      </w:r>
      <w:r w:rsidR="00CE5069" w:rsidRPr="00971206">
        <w:t xml:space="preserve">(2005: 196) ao afirmarem que “os impostos não são como as </w:t>
      </w:r>
      <w:r w:rsidR="00D71D7A" w:rsidRPr="00971206">
        <w:t xml:space="preserve">penas criminais, que não podem </w:t>
      </w:r>
      <w:r w:rsidR="00CE5069" w:rsidRPr="00971206">
        <w:t xml:space="preserve">ser impostas duas </w:t>
      </w:r>
      <w:r w:rsidR="00D71D7A" w:rsidRPr="00971206">
        <w:t>vezes</w:t>
      </w:r>
      <w:r w:rsidR="00CE5069" w:rsidRPr="00971206">
        <w:t xml:space="preserve"> pel</w:t>
      </w:r>
      <w:r w:rsidR="00D71D7A" w:rsidRPr="00971206">
        <w:t>o mesmo crime</w:t>
      </w:r>
      <w:r w:rsidR="00CE5069" w:rsidRPr="00971206">
        <w:t>” – ou seja, o argumento da bitributação coloca o tributo no mesmo patamar da sanção penal.</w:t>
      </w:r>
    </w:p>
    <w:p w14:paraId="0AE97331" w14:textId="77777777" w:rsidR="00044C02" w:rsidRDefault="00514140" w:rsidP="00044C02">
      <w:pPr>
        <w:ind w:firstLine="851"/>
        <w:jc w:val="both"/>
        <w:rPr>
          <w:color w:val="000000"/>
        </w:rPr>
      </w:pPr>
      <w:r w:rsidRPr="00971206">
        <w:t>No entanto, além da isenção sobre lucros e dividendos, são diversos os benefícios concedidos ao contribuinte na forma de isenções e deduções que, pela longevidade, se naturalizaram sem que houvesse um exame mais detalhado de sua justificativa, seu impacto fiscal e do segmento populacional que</w:t>
      </w:r>
      <w:r w:rsidR="007053CC" w:rsidRPr="00971206">
        <w:t xml:space="preserve"> realmente</w:t>
      </w:r>
      <w:r w:rsidRPr="00971206">
        <w:t xml:space="preserve"> beneficiam. </w:t>
      </w:r>
      <w:r w:rsidR="009928DB" w:rsidRPr="00971206">
        <w:t>O pouco</w:t>
      </w:r>
      <w:r w:rsidR="007057DB" w:rsidRPr="00971206">
        <w:t xml:space="preserve"> debate sobre o tema escamoteia os privilégios nele engendrados </w:t>
      </w:r>
      <w:r w:rsidR="00C63E10" w:rsidRPr="00971206">
        <w:t xml:space="preserve">e como esses são </w:t>
      </w:r>
      <w:r w:rsidR="001B6044" w:rsidRPr="00971206">
        <w:t>mecanismos reprodutores</w:t>
      </w:r>
      <w:r w:rsidR="00C63E10" w:rsidRPr="00971206">
        <w:t xml:space="preserve"> de iniquidade</w:t>
      </w:r>
      <w:r w:rsidR="001B6044" w:rsidRPr="00971206">
        <w:t>s</w:t>
      </w:r>
      <w:r w:rsidR="00C63E10" w:rsidRPr="00971206">
        <w:t xml:space="preserve">. </w:t>
      </w:r>
    </w:p>
    <w:p w14:paraId="5E75A69C" w14:textId="63C54BC4" w:rsidR="00044C02" w:rsidRDefault="00720062" w:rsidP="00044C02">
      <w:pPr>
        <w:ind w:firstLine="851"/>
        <w:jc w:val="both"/>
        <w:rPr>
          <w:color w:val="000000"/>
        </w:rPr>
      </w:pPr>
      <w:r w:rsidRPr="00971206">
        <w:t>Posto isso, este trabalho tem como objetivo estimar os impactos distributivos d</w:t>
      </w:r>
      <w:r w:rsidR="007F577D">
        <w:t xml:space="preserve">e alguns </w:t>
      </w:r>
      <w:r w:rsidRPr="00971206">
        <w:t>benefícios do IRPF</w:t>
      </w:r>
      <w:r w:rsidR="007F577D">
        <w:t xml:space="preserve">, quais sejam: </w:t>
      </w:r>
      <w:r w:rsidRPr="00971206">
        <w:t>três</w:t>
      </w:r>
      <w:r w:rsidR="007F577D">
        <w:t xml:space="preserve"> rendas </w:t>
      </w:r>
      <w:r w:rsidRPr="00971206">
        <w:t>isen</w:t>
      </w:r>
      <w:r w:rsidR="007F577D">
        <w:t>ta</w:t>
      </w:r>
      <w:r w:rsidRPr="00971206">
        <w:t xml:space="preserve">s </w:t>
      </w:r>
      <w:r w:rsidR="007F577D">
        <w:t>–</w:t>
      </w:r>
      <w:r w:rsidRPr="00971206">
        <w:t xml:space="preserve"> a</w:t>
      </w:r>
      <w:r w:rsidR="007F577D">
        <w:t xml:space="preserve"> duplicidade do limite de isenção para aposentadorias e pensões de pessoas com </w:t>
      </w:r>
      <w:r w:rsidRPr="00971206">
        <w:t xml:space="preserve">65 anos ou mais; </w:t>
      </w:r>
      <w:r w:rsidR="007F577D">
        <w:t xml:space="preserve">as pensões dos </w:t>
      </w:r>
      <w:r w:rsidRPr="00971206">
        <w:t xml:space="preserve">portadores de moléstias graves; e as </w:t>
      </w:r>
      <w:r w:rsidR="007F577D">
        <w:t>advidndas de</w:t>
      </w:r>
      <w:r w:rsidRPr="00971206">
        <w:t xml:space="preserve"> lucros e dividendos distribuídos – e d</w:t>
      </w:r>
      <w:r w:rsidR="007F577D">
        <w:t xml:space="preserve">uas deduções sobre a renda tributada, os </w:t>
      </w:r>
      <w:r w:rsidRPr="00971206">
        <w:t xml:space="preserve">gastos </w:t>
      </w:r>
      <w:r w:rsidR="007F577D">
        <w:t xml:space="preserve">em </w:t>
      </w:r>
      <w:r w:rsidRPr="00971206">
        <w:t xml:space="preserve">saúde e </w:t>
      </w:r>
      <w:r w:rsidR="007F577D">
        <w:t xml:space="preserve">em </w:t>
      </w:r>
      <w:r w:rsidRPr="00971206">
        <w:t>educação formal privada</w:t>
      </w:r>
      <w:r w:rsidR="007F577D">
        <w:t>s</w:t>
      </w:r>
      <w:r w:rsidRPr="00971206">
        <w:t>.</w:t>
      </w:r>
    </w:p>
    <w:p w14:paraId="08FE96B4" w14:textId="77777777" w:rsidR="00044C02" w:rsidRDefault="00720062" w:rsidP="00044C02">
      <w:pPr>
        <w:ind w:firstLine="851"/>
        <w:jc w:val="both"/>
        <w:rPr>
          <w:color w:val="000000"/>
        </w:rPr>
      </w:pPr>
      <w:r w:rsidRPr="00971206">
        <w:t>Não resta dúvida de que a realização de exercícios semelhantes para os outros grupos de rendimentos isentos pode jogar luz sobre os grupos a quem beneficiam e a progressividade ou regressividade que verdadeiramente produzem. No entanto, por motivos de escopo, aqueles não são analisados neste trabalho, os rendimentos de indenização trabalhista, o gasto com a contribuição patronal de empregado doméstico, as bolsas de estudo e a atividade rural. No que concerne as deduções, sustentamos que as outras: dependentes, contribuição previdenciária, livro-caixa e padrão não cabe propor sua alteração ou extinção.</w:t>
      </w:r>
    </w:p>
    <w:p w14:paraId="3F7191E5" w14:textId="77777777" w:rsidR="00044C02" w:rsidRDefault="00C213E3" w:rsidP="00044C02">
      <w:pPr>
        <w:ind w:firstLine="851"/>
        <w:jc w:val="both"/>
        <w:rPr>
          <w:color w:val="000000"/>
        </w:rPr>
      </w:pPr>
      <w:r w:rsidRPr="00971206">
        <w:t>A despeito</w:t>
      </w:r>
      <w:r w:rsidR="00A97527" w:rsidRPr="00971206">
        <w:t xml:space="preserve"> </w:t>
      </w:r>
      <w:r w:rsidRPr="00971206">
        <w:t>d</w:t>
      </w:r>
      <w:r w:rsidR="00A97527" w:rsidRPr="00971206">
        <w:t>a concessão dos benefícios fiscais se amparar</w:t>
      </w:r>
      <w:r w:rsidR="000770A6" w:rsidRPr="00971206">
        <w:t xml:space="preserve"> no apoio aos gastos com capital humano</w:t>
      </w:r>
      <w:r w:rsidR="001B6044" w:rsidRPr="00971206">
        <w:t xml:space="preserve">, </w:t>
      </w:r>
      <w:r w:rsidR="000770A6" w:rsidRPr="00971206">
        <w:t>na assistência aos idosos e ao consumo de serviços de saúde</w:t>
      </w:r>
      <w:r w:rsidR="00A97527" w:rsidRPr="00971206">
        <w:t xml:space="preserve">, essa pesquisa procura, </w:t>
      </w:r>
      <w:r w:rsidR="000770A6" w:rsidRPr="00971206">
        <w:t>amparado</w:t>
      </w:r>
      <w:r w:rsidR="00A97527" w:rsidRPr="00971206">
        <w:t xml:space="preserve"> </w:t>
      </w:r>
      <w:r w:rsidR="003E130D" w:rsidRPr="00971206">
        <w:t>na dimensão fiscal e distributiva que os mesmos se inserem</w:t>
      </w:r>
      <w:r w:rsidR="000770A6" w:rsidRPr="00971206">
        <w:t>,</w:t>
      </w:r>
      <w:r w:rsidR="003E130D" w:rsidRPr="00971206">
        <w:t xml:space="preserve"> questionar o modelo vigente. Baseando-se nos princípios de equidade horizontal e vertical busca lançar es</w:t>
      </w:r>
      <w:r w:rsidR="004E3226" w:rsidRPr="00971206">
        <w:t>t</w:t>
      </w:r>
      <w:r w:rsidR="003E130D" w:rsidRPr="00971206">
        <w:t xml:space="preserve">e questionamento, </w:t>
      </w:r>
      <w:r w:rsidR="00A97527" w:rsidRPr="00971206">
        <w:t xml:space="preserve">deveras relevante </w:t>
      </w:r>
      <w:r w:rsidR="003E130D" w:rsidRPr="00971206">
        <w:t>diante do panorama fiscal deprimido e do fato de que há uma inversão na ênfase da carga tributária</w:t>
      </w:r>
      <w:r w:rsidR="004E3226" w:rsidRPr="00971206">
        <w:t xml:space="preserve"> – com maior peso na</w:t>
      </w:r>
      <w:r w:rsidR="003E130D" w:rsidRPr="00971206">
        <w:t xml:space="preserve"> indireta sobre a direta, onerando proporcionalmente os mais pobres (SILVEIRA, </w:t>
      </w:r>
      <w:r w:rsidR="004E3226" w:rsidRPr="00971206">
        <w:t xml:space="preserve">2008; </w:t>
      </w:r>
      <w:r w:rsidR="003E130D" w:rsidRPr="00971206">
        <w:t>2012)</w:t>
      </w:r>
      <w:r w:rsidR="004E3226" w:rsidRPr="00971206">
        <w:t>; e, dentro do IRPF, uma ênfase sobre rendimentos do trabalho em relação ao de capital, favorecendo o topo da distribuição em detrimento da classe média (CASTRO, 2014; GOBETTI</w:t>
      </w:r>
      <w:r w:rsidR="000F666A" w:rsidRPr="00971206">
        <w:t>;</w:t>
      </w:r>
      <w:r w:rsidR="004E3226" w:rsidRPr="00971206">
        <w:t xml:space="preserve"> ORAIR, 2015; FERNANDES, 2016</w:t>
      </w:r>
      <w:r w:rsidR="000F666A" w:rsidRPr="00971206">
        <w:t>; MORGAN, 2018</w:t>
      </w:r>
      <w:r w:rsidR="004E3226" w:rsidRPr="00971206">
        <w:t>)</w:t>
      </w:r>
      <w:r w:rsidR="00A97527" w:rsidRPr="00971206">
        <w:t>. U</w:t>
      </w:r>
      <w:r w:rsidR="004E3226" w:rsidRPr="00971206">
        <w:t xml:space="preserve">ma análise pormenorizada do sistema tributário, </w:t>
      </w:r>
      <w:r w:rsidR="00230ECC" w:rsidRPr="00971206">
        <w:t>avaliando seus méritos e corrigindo eventuais deficiências,</w:t>
      </w:r>
      <w:r w:rsidR="00A97527" w:rsidRPr="00971206">
        <w:t xml:space="preserve"> nesse contexto de crise fiscal não é apenas relevante mais essencial para a retomada de um crescimento inclusivo no país</w:t>
      </w:r>
      <w:r w:rsidRPr="00971206">
        <w:t>, devendo ser meta prioritária.</w:t>
      </w:r>
    </w:p>
    <w:p w14:paraId="2E32519B" w14:textId="49A7A4FE" w:rsidR="00A97527" w:rsidRPr="00044C02" w:rsidRDefault="00A97527" w:rsidP="00044C02">
      <w:pPr>
        <w:ind w:firstLine="851"/>
        <w:jc w:val="both"/>
        <w:rPr>
          <w:color w:val="000000"/>
        </w:rPr>
      </w:pPr>
      <w:r w:rsidRPr="00971206">
        <w:t xml:space="preserve">Esse texto se organiza em </w:t>
      </w:r>
      <w:r w:rsidR="00953C5F" w:rsidRPr="00971206">
        <w:t>três seções além desta introdução e das considerações finais. Na primeira seção se analisa</w:t>
      </w:r>
      <w:r w:rsidR="005727C0" w:rsidRPr="00971206">
        <w:t xml:space="preserve"> os privilégios do sistema tributário via </w:t>
      </w:r>
      <w:r w:rsidR="00953C5F" w:rsidRPr="00971206">
        <w:t>benefícios</w:t>
      </w:r>
      <w:r w:rsidR="005727C0" w:rsidRPr="00971206">
        <w:t xml:space="preserve"> fiscais</w:t>
      </w:r>
      <w:r w:rsidR="00953C5F" w:rsidRPr="00971206">
        <w:t xml:space="preserve"> do IRPF. </w:t>
      </w:r>
      <w:r w:rsidR="00273E9A" w:rsidRPr="00971206">
        <w:t>Na</w:t>
      </w:r>
      <w:r w:rsidR="00953C5F" w:rsidRPr="00971206">
        <w:t xml:space="preserve"> </w:t>
      </w:r>
      <w:r w:rsidR="00953C5F" w:rsidRPr="00971206">
        <w:lastRenderedPageBreak/>
        <w:t xml:space="preserve">segunda </w:t>
      </w:r>
      <w:r w:rsidR="00273E9A" w:rsidRPr="00971206">
        <w:t xml:space="preserve">seção </w:t>
      </w:r>
      <w:r w:rsidR="00953C5F" w:rsidRPr="00971206">
        <w:t>se descreve</w:t>
      </w:r>
      <w:r w:rsidR="002847D2" w:rsidRPr="00971206">
        <w:t xml:space="preserve"> a elaboração da base de dados e</w:t>
      </w:r>
      <w:r w:rsidR="00953C5F" w:rsidRPr="00971206">
        <w:t xml:space="preserve"> </w:t>
      </w:r>
      <w:r w:rsidR="002847D2" w:rsidRPr="00971206">
        <w:t>o método</w:t>
      </w:r>
      <w:r w:rsidR="00953C5F" w:rsidRPr="00971206">
        <w:t xml:space="preserve"> utilizad</w:t>
      </w:r>
      <w:r w:rsidR="002847D2" w:rsidRPr="00971206">
        <w:t>o</w:t>
      </w:r>
      <w:r w:rsidR="00273E9A" w:rsidRPr="00971206">
        <w:t xml:space="preserve"> na estimativa dos impactos distributivos do IRPF</w:t>
      </w:r>
      <w:r w:rsidR="00953C5F" w:rsidRPr="00971206">
        <w:t xml:space="preserve">. E na terceira e última seção são apresentados os resultados. </w:t>
      </w:r>
    </w:p>
    <w:p w14:paraId="5B716EF0" w14:textId="77777777" w:rsidR="00410329" w:rsidRPr="00971206" w:rsidRDefault="005C43B8" w:rsidP="005C43B8">
      <w:pPr>
        <w:tabs>
          <w:tab w:val="left" w:pos="6810"/>
        </w:tabs>
        <w:jc w:val="both"/>
      </w:pPr>
      <w:r w:rsidRPr="00971206">
        <w:tab/>
      </w:r>
    </w:p>
    <w:p w14:paraId="29B9DFE8" w14:textId="77777777" w:rsidR="00ED4F4E" w:rsidRPr="00F3014C" w:rsidRDefault="005733A5" w:rsidP="009E46B1">
      <w:pPr>
        <w:pStyle w:val="PargrafodaLista"/>
        <w:numPr>
          <w:ilvl w:val="0"/>
          <w:numId w:val="1"/>
        </w:numPr>
        <w:jc w:val="both"/>
        <w:rPr>
          <w:rFonts w:ascii="Times New Roman" w:hAnsi="Times New Roman" w:cs="Times New Roman"/>
          <w:b/>
          <w:bCs/>
        </w:rPr>
      </w:pPr>
      <w:r w:rsidRPr="00F3014C">
        <w:rPr>
          <w:rFonts w:ascii="Times New Roman" w:hAnsi="Times New Roman" w:cs="Times New Roman"/>
          <w:b/>
          <w:bCs/>
        </w:rPr>
        <w:t>Os privilégios do sistema tributário brasileiro: a</w:t>
      </w:r>
      <w:r w:rsidR="002E6CAE" w:rsidRPr="00F3014C">
        <w:rPr>
          <w:rFonts w:ascii="Times New Roman" w:hAnsi="Times New Roman" w:cs="Times New Roman"/>
          <w:b/>
          <w:bCs/>
        </w:rPr>
        <w:t>nálise dos rendimentos e benefícios no IRPF</w:t>
      </w:r>
    </w:p>
    <w:p w14:paraId="5ACF7E47" w14:textId="77777777" w:rsidR="002E6CAE" w:rsidRPr="00971206" w:rsidRDefault="002E6CAE" w:rsidP="008467EA">
      <w:pPr>
        <w:jc w:val="both"/>
      </w:pPr>
    </w:p>
    <w:p w14:paraId="4BEB40CB" w14:textId="77777777" w:rsidR="00BB5151" w:rsidRDefault="008062A1" w:rsidP="00BB5151">
      <w:pPr>
        <w:ind w:firstLine="851"/>
        <w:jc w:val="both"/>
      </w:pPr>
      <w:r w:rsidRPr="00971206">
        <w:t>Tem ganhado destaque</w:t>
      </w:r>
      <w:r w:rsidR="000F59CB" w:rsidRPr="00971206">
        <w:t xml:space="preserve">, no cenário recente, </w:t>
      </w:r>
      <w:r w:rsidRPr="00971206">
        <w:t xml:space="preserve">o fato </w:t>
      </w:r>
      <w:r w:rsidR="008470BB" w:rsidRPr="00971206">
        <w:t xml:space="preserve">de </w:t>
      </w:r>
      <w:r w:rsidRPr="00971206">
        <w:t xml:space="preserve">que o Estado brasileiro </w:t>
      </w:r>
      <w:r w:rsidR="00315A55" w:rsidRPr="00971206">
        <w:t xml:space="preserve">se apropria de parcela expressiva do </w:t>
      </w:r>
      <w:r w:rsidR="00D01770" w:rsidRPr="00971206">
        <w:t>PIB</w:t>
      </w:r>
      <w:r w:rsidR="00315A55" w:rsidRPr="00971206">
        <w:t xml:space="preserve"> em tributação, com uma carga tributária com perfil mais regressivo do que países com cargas tributárias similares e efeitos distributivos de menor envergadura. </w:t>
      </w:r>
      <w:r w:rsidR="000F59CB" w:rsidRPr="00971206">
        <w:t xml:space="preserve">Assiste-se a uma grande quantidade de notícias, declarações e textos sobre a iniquidade da tributação nacional, e como esta privilegia os 1% mais ricos em detrimento da classe média e dos pobres. </w:t>
      </w:r>
    </w:p>
    <w:p w14:paraId="28E40867" w14:textId="77777777" w:rsidR="00BB5151" w:rsidRDefault="008B4E9D" w:rsidP="00BB5151">
      <w:pPr>
        <w:ind w:firstLine="851"/>
        <w:jc w:val="both"/>
      </w:pPr>
      <w:r w:rsidRPr="00971206">
        <w:t xml:space="preserve">O princípio da progressividade </w:t>
      </w:r>
      <w:r w:rsidR="00984BEF" w:rsidRPr="00971206">
        <w:t>demanda</w:t>
      </w:r>
      <w:r w:rsidRPr="00971206">
        <w:t xml:space="preserve"> que os impostos tenham maior peso sobre os </w:t>
      </w:r>
      <w:r w:rsidR="00D01770" w:rsidRPr="00971206">
        <w:t xml:space="preserve">indivíduos </w:t>
      </w:r>
      <w:r w:rsidRPr="00971206">
        <w:t xml:space="preserve">com maior capacidade </w:t>
      </w:r>
      <w:r w:rsidR="00D77747" w:rsidRPr="00971206">
        <w:t>contributiva</w:t>
      </w:r>
      <w:r w:rsidRPr="00971206">
        <w:t>, mas tratando-se do IRPF</w:t>
      </w:r>
      <w:r w:rsidR="002F1CC3" w:rsidRPr="00971206">
        <w:t>, foco do texto,</w:t>
      </w:r>
      <w:r w:rsidRPr="00971206">
        <w:t xml:space="preserve"> a mesma</w:t>
      </w:r>
      <w:r w:rsidR="007C2876" w:rsidRPr="00971206">
        <w:t xml:space="preserve"> é rompida quando se considera por parâmetro de avaliação a renda total </w:t>
      </w:r>
      <w:r w:rsidR="00032011" w:rsidRPr="00971206">
        <w:t xml:space="preserve">– </w:t>
      </w:r>
      <w:r w:rsidR="007C2876" w:rsidRPr="00971206">
        <w:t xml:space="preserve">e não </w:t>
      </w:r>
      <w:r w:rsidR="00032011" w:rsidRPr="00971206">
        <w:t xml:space="preserve">somente </w:t>
      </w:r>
      <w:r w:rsidR="007C2876" w:rsidRPr="00971206">
        <w:t xml:space="preserve">a </w:t>
      </w:r>
      <w:r w:rsidR="00410329" w:rsidRPr="00971206">
        <w:t xml:space="preserve">renda </w:t>
      </w:r>
      <w:r w:rsidR="007C2876" w:rsidRPr="00971206">
        <w:t>tributável</w:t>
      </w:r>
      <w:r w:rsidR="007C1106" w:rsidRPr="00971206">
        <w:t xml:space="preserve"> (composta pelos rendimentos tributáveis e sujeitos à tributação exclusiva)</w:t>
      </w:r>
      <w:r w:rsidR="007C2876" w:rsidRPr="00971206">
        <w:t xml:space="preserve">. Essa quebra da progressividade se faz acompanhar </w:t>
      </w:r>
      <w:r w:rsidR="00032011" w:rsidRPr="00971206">
        <w:t xml:space="preserve">por </w:t>
      </w:r>
      <w:r w:rsidR="007C2876" w:rsidRPr="00971206">
        <w:t xml:space="preserve">uma redução generalizada das alíquotas efetivas, </w:t>
      </w:r>
      <w:r w:rsidR="00B16833" w:rsidRPr="00971206">
        <w:t xml:space="preserve">queda </w:t>
      </w:r>
      <w:r w:rsidR="005A64AE" w:rsidRPr="00971206">
        <w:t>que se acentua</w:t>
      </w:r>
      <w:r w:rsidR="00B16833" w:rsidRPr="00971206">
        <w:t xml:space="preserve"> justamente sobre os declarantes de maior renda (GOBETTI; ORAIR, 2015)</w:t>
      </w:r>
      <w:r w:rsidR="007C2876" w:rsidRPr="00971206">
        <w:t xml:space="preserve">. </w:t>
      </w:r>
      <w:r w:rsidR="00887769" w:rsidRPr="00971206">
        <w:t>Além disso</w:t>
      </w:r>
      <w:r w:rsidR="007C2876" w:rsidRPr="00971206">
        <w:t xml:space="preserve">, as alíquotas efetivas sobre os rendimentos tributáveis se mostram bem inferiores </w:t>
      </w:r>
      <w:r w:rsidR="0030327D" w:rsidRPr="00971206">
        <w:t xml:space="preserve">às </w:t>
      </w:r>
      <w:r w:rsidR="007C2876" w:rsidRPr="00971206">
        <w:t>alíquotas m</w:t>
      </w:r>
      <w:r w:rsidR="00410329" w:rsidRPr="00971206">
        <w:t xml:space="preserve">arginais em razão das </w:t>
      </w:r>
      <w:r w:rsidR="00887769" w:rsidRPr="00971206">
        <w:t xml:space="preserve">diversas opções de </w:t>
      </w:r>
      <w:r w:rsidR="00410329" w:rsidRPr="00971206">
        <w:t>deduções</w:t>
      </w:r>
      <w:r w:rsidR="00DD74E1" w:rsidRPr="00971206">
        <w:rPr>
          <w:rStyle w:val="Refdenotaderodap"/>
        </w:rPr>
        <w:footnoteReference w:id="4"/>
      </w:r>
      <w:r w:rsidR="00D01770" w:rsidRPr="00971206">
        <w:t>.</w:t>
      </w:r>
      <w:r w:rsidR="00410329" w:rsidRPr="00971206">
        <w:t xml:space="preserve"> </w:t>
      </w:r>
    </w:p>
    <w:p w14:paraId="1DE742A8" w14:textId="709896F4" w:rsidR="004E57A8" w:rsidRPr="00971206" w:rsidRDefault="00EF723E" w:rsidP="00BB5151">
      <w:pPr>
        <w:ind w:firstLine="851"/>
        <w:jc w:val="both"/>
      </w:pPr>
      <w:r w:rsidRPr="00971206">
        <w:t>Mediante esse cenário é de se esperar que os benefícios fiscais concedidos no IRPF t</w:t>
      </w:r>
      <w:r w:rsidR="00967BA0" w:rsidRPr="00971206">
        <w:t>enha</w:t>
      </w:r>
      <w:r w:rsidR="00520558" w:rsidRPr="00971206">
        <w:t>m</w:t>
      </w:r>
      <w:r w:rsidRPr="00971206">
        <w:t xml:space="preserve"> efeitos regressivos, pois incrementam a renda disponível do quinto mais rico da população brasileira.</w:t>
      </w:r>
      <w:r w:rsidR="004E57A8" w:rsidRPr="00971206">
        <w:t xml:space="preserve"> </w:t>
      </w:r>
      <w:r w:rsidR="00C1554D" w:rsidRPr="00971206">
        <w:t>Os gastos tributários via IRPF decorrem de rendas isentas e das deduções, cabendo apresentar o perfil dos rendimentos isentos e das deduções, apontando aqueles que aqui são objeto e os respectivos gastos tributários deles decorrentes.</w:t>
      </w:r>
    </w:p>
    <w:p w14:paraId="4BF4E1D9" w14:textId="495520CB" w:rsidR="008D4E06" w:rsidRPr="00971206" w:rsidRDefault="008D4E06" w:rsidP="008467EA">
      <w:pPr>
        <w:jc w:val="both"/>
      </w:pPr>
    </w:p>
    <w:p w14:paraId="0C89323A" w14:textId="77777777" w:rsidR="00ED4F4E" w:rsidRPr="00971206" w:rsidRDefault="00B745E3" w:rsidP="00984BEF">
      <w:pPr>
        <w:pStyle w:val="PargrafodaLista"/>
        <w:numPr>
          <w:ilvl w:val="1"/>
          <w:numId w:val="1"/>
        </w:numPr>
        <w:jc w:val="both"/>
        <w:rPr>
          <w:rFonts w:ascii="Times New Roman" w:hAnsi="Times New Roman" w:cs="Times New Roman"/>
        </w:rPr>
      </w:pPr>
      <w:r w:rsidRPr="00971206">
        <w:rPr>
          <w:rFonts w:ascii="Times New Roman" w:hAnsi="Times New Roman" w:cs="Times New Roman"/>
        </w:rPr>
        <w:t>Rendimentos isentos</w:t>
      </w:r>
    </w:p>
    <w:p w14:paraId="0658A03C" w14:textId="77777777" w:rsidR="00B745E3" w:rsidRPr="00971206" w:rsidRDefault="00B745E3" w:rsidP="008467EA">
      <w:pPr>
        <w:jc w:val="both"/>
      </w:pPr>
    </w:p>
    <w:p w14:paraId="51F8A283" w14:textId="77777777" w:rsidR="00BB5151" w:rsidRDefault="00DD74E1" w:rsidP="00BB5151">
      <w:pPr>
        <w:ind w:firstLine="851"/>
        <w:jc w:val="both"/>
      </w:pPr>
      <w:r w:rsidRPr="00971206">
        <w:t xml:space="preserve">Nem todos os valores que o contribuinte recebe </w:t>
      </w:r>
      <w:r w:rsidR="00A03528" w:rsidRPr="00971206">
        <w:t>são passíveis</w:t>
      </w:r>
      <w:r w:rsidRPr="00971206">
        <w:t xml:space="preserve"> de tributação, sendo vasta a lista de valores isentos</w:t>
      </w:r>
      <w:r w:rsidRPr="00971206">
        <w:rPr>
          <w:rStyle w:val="Refdenotaderodap"/>
        </w:rPr>
        <w:footnoteReference w:id="5"/>
      </w:r>
      <w:r w:rsidRPr="00971206">
        <w:t>. A isenção d</w:t>
      </w:r>
      <w:r w:rsidR="00CC6DD8" w:rsidRPr="00971206">
        <w:t>a tributação</w:t>
      </w:r>
      <w:r w:rsidRPr="00971206">
        <w:t xml:space="preserve"> faz com que as alíquotas efetivas sejam muito menores, dado </w:t>
      </w:r>
      <w:r w:rsidR="00984BEF" w:rsidRPr="00971206">
        <w:t xml:space="preserve">que </w:t>
      </w:r>
      <w:r w:rsidR="00DB4FCF" w:rsidRPr="00971206">
        <w:t xml:space="preserve">apenas </w:t>
      </w:r>
      <w:r w:rsidR="00D943FF" w:rsidRPr="00971206">
        <w:t xml:space="preserve">parcela dos rendimentos do indivíduo que aufere rendas isentas é tributada, o que pode resultar em uma </w:t>
      </w:r>
      <w:r w:rsidR="00997C76" w:rsidRPr="00971206">
        <w:t>quebra</w:t>
      </w:r>
      <w:r w:rsidR="00D943FF" w:rsidRPr="00971206">
        <w:t xml:space="preserve"> na equidade horizontal da tributação</w:t>
      </w:r>
      <w:r w:rsidR="00997C76" w:rsidRPr="00971206">
        <w:t>:</w:t>
      </w:r>
      <w:r w:rsidR="00D943FF" w:rsidRPr="00971206">
        <w:t xml:space="preserve"> quando dois indivíduos com mesmo nível de renda são sujeitos a tributação </w:t>
      </w:r>
      <w:r w:rsidR="00997C76" w:rsidRPr="00971206">
        <w:t xml:space="preserve">díspar. </w:t>
      </w:r>
      <w:r w:rsidRPr="00971206">
        <w:t xml:space="preserve"> Vale notar</w:t>
      </w:r>
      <w:r w:rsidR="00997C76" w:rsidRPr="00971206">
        <w:t xml:space="preserve"> que, em média, quanto maior a renda do indivíduo maior a parcela de rendimentos isentos que este possui, o que também representa uma ameaça para o princípio da capacidade de contribuição: quanto maior a renda do indivíduo, maior deve ser o tributo pago.</w:t>
      </w:r>
    </w:p>
    <w:p w14:paraId="0DE9F920" w14:textId="34D7B2F1" w:rsidR="00816EA4" w:rsidRPr="00971206" w:rsidRDefault="002440C0" w:rsidP="00BB5151">
      <w:pPr>
        <w:ind w:firstLine="851"/>
        <w:jc w:val="both"/>
      </w:pPr>
      <w:r w:rsidRPr="00971206">
        <w:t xml:space="preserve">O </w:t>
      </w:r>
      <w:r w:rsidR="00C8540A" w:rsidRPr="00971206">
        <w:t>G</w:t>
      </w:r>
      <w:r w:rsidR="00040E43" w:rsidRPr="00971206">
        <w:t xml:space="preserve">ráfico </w:t>
      </w:r>
      <w:r w:rsidR="00C8540A" w:rsidRPr="00971206">
        <w:t>1</w:t>
      </w:r>
      <w:r w:rsidR="009544D8" w:rsidRPr="00971206">
        <w:t>,</w:t>
      </w:r>
      <w:r w:rsidR="00040E43" w:rsidRPr="00971206">
        <w:t xml:space="preserve"> </w:t>
      </w:r>
      <w:r w:rsidRPr="00971206">
        <w:t xml:space="preserve">que </w:t>
      </w:r>
      <w:r w:rsidR="00E833B9" w:rsidRPr="00971206">
        <w:t>exibe</w:t>
      </w:r>
      <w:r w:rsidR="00040E43" w:rsidRPr="00971206">
        <w:t xml:space="preserve"> a composição dos </w:t>
      </w:r>
      <w:r w:rsidR="00BE435D" w:rsidRPr="00971206">
        <w:t>rendimentos isentos de tributação no IRPF</w:t>
      </w:r>
      <w:r w:rsidR="009544D8" w:rsidRPr="00971206">
        <w:t>,</w:t>
      </w:r>
      <w:r w:rsidRPr="00971206">
        <w:t xml:space="preserve"> desnuda </w:t>
      </w:r>
      <w:r w:rsidR="009B7F56" w:rsidRPr="00971206">
        <w:t xml:space="preserve">a </w:t>
      </w:r>
      <w:r w:rsidR="00040E43" w:rsidRPr="00971206">
        <w:t xml:space="preserve">prevalência </w:t>
      </w:r>
      <w:r w:rsidR="009B7F56" w:rsidRPr="00971206">
        <w:t>de lucros e dividendos</w:t>
      </w:r>
      <w:r w:rsidR="00040E43" w:rsidRPr="00971206">
        <w:t xml:space="preserve"> dent</w:t>
      </w:r>
      <w:r w:rsidR="009544D8" w:rsidRPr="00971206">
        <w:t>r</w:t>
      </w:r>
      <w:r w:rsidR="00040E43" w:rsidRPr="00971206">
        <w:t xml:space="preserve">o </w:t>
      </w:r>
      <w:r w:rsidR="00997C76" w:rsidRPr="00971206">
        <w:t>dos rendimentos isentos</w:t>
      </w:r>
      <w:r w:rsidR="0036564B" w:rsidRPr="00971206">
        <w:t xml:space="preserve">, cuja parcela </w:t>
      </w:r>
      <w:r w:rsidR="00DD74E1" w:rsidRPr="00971206">
        <w:t xml:space="preserve">alcança </w:t>
      </w:r>
      <w:r w:rsidR="0036564B" w:rsidRPr="00971206">
        <w:t>4</w:t>
      </w:r>
      <w:r w:rsidR="00DD74E1" w:rsidRPr="00971206">
        <w:t>5</w:t>
      </w:r>
      <w:r w:rsidR="0036564B" w:rsidRPr="00971206">
        <w:t>% do montante total</w:t>
      </w:r>
      <w:r w:rsidR="00816EA4" w:rsidRPr="00971206">
        <w:t>.</w:t>
      </w:r>
      <w:r w:rsidR="003F7213" w:rsidRPr="00971206">
        <w:t xml:space="preserve"> Ademais, se destacam na composição </w:t>
      </w:r>
      <w:r w:rsidR="00997C76" w:rsidRPr="00971206">
        <w:t xml:space="preserve">desses </w:t>
      </w:r>
      <w:r w:rsidR="003F7213" w:rsidRPr="00971206">
        <w:t>rendimentos as transferências de patrimônio, poupança, letras hipot</w:t>
      </w:r>
      <w:r w:rsidR="000770A6" w:rsidRPr="00971206">
        <w:t>ecárias</w:t>
      </w:r>
      <w:r w:rsidR="003F7213" w:rsidRPr="00971206">
        <w:t xml:space="preserve"> e pecúlio por morte (2</w:t>
      </w:r>
      <w:r w:rsidR="00DD74E1" w:rsidRPr="00971206">
        <w:t>2</w:t>
      </w:r>
      <w:r w:rsidR="003F7213" w:rsidRPr="00971206">
        <w:t xml:space="preserve">%); </w:t>
      </w:r>
      <w:r w:rsidR="00725248" w:rsidRPr="00971206">
        <w:t>parcela isenta</w:t>
      </w:r>
      <w:r w:rsidR="005E6DDC" w:rsidRPr="00971206">
        <w:t xml:space="preserve"> para aposentado</w:t>
      </w:r>
      <w:r w:rsidR="00BB76E7" w:rsidRPr="00971206">
        <w:t>rias</w:t>
      </w:r>
      <w:r w:rsidR="005E6DDC" w:rsidRPr="00971206">
        <w:t xml:space="preserve"> </w:t>
      </w:r>
      <w:r w:rsidR="00BB76E7" w:rsidRPr="00971206">
        <w:t>de contribuintes com</w:t>
      </w:r>
      <w:r w:rsidR="005E6DDC" w:rsidRPr="00971206">
        <w:t xml:space="preserve"> 65 anos ou mais</w:t>
      </w:r>
      <w:r w:rsidR="003F7213" w:rsidRPr="00971206">
        <w:t xml:space="preserve"> (7%); </w:t>
      </w:r>
      <w:r w:rsidR="00CA280A" w:rsidRPr="00971206">
        <w:t xml:space="preserve">e </w:t>
      </w:r>
      <w:r w:rsidR="00BB76E7" w:rsidRPr="00971206">
        <w:t xml:space="preserve">aposentadorias de portadores de </w:t>
      </w:r>
      <w:r w:rsidR="003F7213" w:rsidRPr="00971206">
        <w:t>moléstia grave (5%)</w:t>
      </w:r>
      <w:r w:rsidR="00CA280A" w:rsidRPr="00971206">
        <w:t>.</w:t>
      </w:r>
    </w:p>
    <w:p w14:paraId="640703E9" w14:textId="77777777" w:rsidR="00816EA4" w:rsidRPr="00971206" w:rsidRDefault="00816EA4" w:rsidP="008467EA">
      <w:pPr>
        <w:jc w:val="both"/>
      </w:pPr>
    </w:p>
    <w:p w14:paraId="7C2DDFD3" w14:textId="7A5CAEE8" w:rsidR="00AB527C" w:rsidRPr="00971206" w:rsidRDefault="00AB527C" w:rsidP="00AC6F19">
      <w:pPr>
        <w:keepNext/>
        <w:spacing w:after="120"/>
        <w:jc w:val="both"/>
      </w:pPr>
      <w:r w:rsidRPr="00971206">
        <w:lastRenderedPageBreak/>
        <w:t xml:space="preserve">Gráfico </w:t>
      </w:r>
      <w:r w:rsidR="00C8540A" w:rsidRPr="00971206">
        <w:t>1</w:t>
      </w:r>
      <w:r w:rsidRPr="00971206">
        <w:t xml:space="preserve"> – Composição dos rendimentos isentos e não tributáveis – Brasil, 2015.</w:t>
      </w:r>
    </w:p>
    <w:p w14:paraId="06F0AE39" w14:textId="77777777" w:rsidR="00ED4F4E" w:rsidRPr="00971206" w:rsidRDefault="00AB527C" w:rsidP="00AC6F19">
      <w:pPr>
        <w:jc w:val="center"/>
      </w:pPr>
      <w:r w:rsidRPr="00971206">
        <w:rPr>
          <w:noProof/>
        </w:rPr>
        <w:drawing>
          <wp:inline distT="0" distB="0" distL="0" distR="0" wp14:anchorId="2F694E66" wp14:editId="75F16DCD">
            <wp:extent cx="4572000" cy="30575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338" cy="3070457"/>
                    </a:xfrm>
                    <a:prstGeom prst="rect">
                      <a:avLst/>
                    </a:prstGeom>
                    <a:noFill/>
                  </pic:spPr>
                </pic:pic>
              </a:graphicData>
            </a:graphic>
          </wp:inline>
        </w:drawing>
      </w:r>
    </w:p>
    <w:p w14:paraId="5A586AE4" w14:textId="77777777" w:rsidR="00AB527C" w:rsidRPr="00BB5151" w:rsidRDefault="00AB527C" w:rsidP="00AB527C">
      <w:pPr>
        <w:spacing w:before="120"/>
        <w:ind w:firstLine="2127"/>
        <w:jc w:val="both"/>
        <w:rPr>
          <w:sz w:val="20"/>
          <w:szCs w:val="20"/>
        </w:rPr>
      </w:pPr>
      <w:r w:rsidRPr="00BB5151">
        <w:rPr>
          <w:sz w:val="20"/>
          <w:szCs w:val="20"/>
        </w:rPr>
        <w:t>Fonte: Receita Federal do Brasil. Elaboração própria.</w:t>
      </w:r>
    </w:p>
    <w:p w14:paraId="0D0990C9" w14:textId="77777777" w:rsidR="002E7FB2" w:rsidRPr="00971206" w:rsidRDefault="002E7FB2" w:rsidP="008467EA">
      <w:pPr>
        <w:jc w:val="both"/>
      </w:pPr>
    </w:p>
    <w:p w14:paraId="12725F61" w14:textId="77777777" w:rsidR="00C2260C" w:rsidRPr="00971206" w:rsidRDefault="00C2260C" w:rsidP="008467EA">
      <w:pPr>
        <w:jc w:val="both"/>
      </w:pPr>
    </w:p>
    <w:p w14:paraId="0F3A7DB0" w14:textId="7D415F63" w:rsidR="00ED4F4E" w:rsidRPr="00971206" w:rsidRDefault="008D4E06" w:rsidP="009E46B1">
      <w:pPr>
        <w:keepNext/>
        <w:spacing w:after="120"/>
        <w:jc w:val="both"/>
      </w:pPr>
      <w:r w:rsidRPr="00971206">
        <w:t xml:space="preserve">Gráfico </w:t>
      </w:r>
      <w:r w:rsidR="00C8540A" w:rsidRPr="00971206">
        <w:t>2</w:t>
      </w:r>
      <w:r w:rsidRPr="00971206">
        <w:t xml:space="preserve"> – Alíquotas máximas estimadas para rendimentos do trabalho e para de aposentadorias para 65 anos</w:t>
      </w:r>
      <w:r w:rsidR="00725248" w:rsidRPr="00971206">
        <w:t xml:space="preserve"> ou mais</w:t>
      </w:r>
      <w:r w:rsidRPr="00971206">
        <w:t xml:space="preserve"> – Brasil, 2017</w:t>
      </w:r>
      <w:r w:rsidR="00F23847" w:rsidRPr="00971206">
        <w:t>.</w:t>
      </w:r>
    </w:p>
    <w:p w14:paraId="51F473CC" w14:textId="77777777" w:rsidR="00A86622" w:rsidRPr="00971206" w:rsidRDefault="00A86622" w:rsidP="00A86622">
      <w:pPr>
        <w:jc w:val="center"/>
      </w:pPr>
      <w:r w:rsidRPr="00971206">
        <w:rPr>
          <w:noProof/>
        </w:rPr>
        <w:drawing>
          <wp:inline distT="0" distB="0" distL="0" distR="0" wp14:anchorId="4A0E4E01" wp14:editId="21D35202">
            <wp:extent cx="3933825" cy="2921900"/>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963204" cy="2943722"/>
                    </a:xfrm>
                    <a:prstGeom prst="rect">
                      <a:avLst/>
                    </a:prstGeom>
                  </pic:spPr>
                </pic:pic>
              </a:graphicData>
            </a:graphic>
          </wp:inline>
        </w:drawing>
      </w:r>
    </w:p>
    <w:p w14:paraId="2A0B2F0E" w14:textId="77777777" w:rsidR="00ED4F4E" w:rsidRPr="00BB5151" w:rsidRDefault="008D4E06">
      <w:pPr>
        <w:spacing w:before="120"/>
        <w:ind w:firstLine="1843"/>
        <w:jc w:val="both"/>
        <w:rPr>
          <w:sz w:val="20"/>
          <w:szCs w:val="20"/>
        </w:rPr>
      </w:pPr>
      <w:r w:rsidRPr="00BB5151">
        <w:rPr>
          <w:sz w:val="20"/>
          <w:szCs w:val="20"/>
        </w:rPr>
        <w:t>Fonte: Receita Federal do Brasil</w:t>
      </w:r>
      <w:r w:rsidR="00F23847" w:rsidRPr="00BB5151">
        <w:rPr>
          <w:sz w:val="20"/>
          <w:szCs w:val="20"/>
        </w:rPr>
        <w:t>.</w:t>
      </w:r>
      <w:r w:rsidR="00565039" w:rsidRPr="00BB5151">
        <w:rPr>
          <w:sz w:val="20"/>
          <w:szCs w:val="20"/>
        </w:rPr>
        <w:t xml:space="preserve"> Elaboração própria.</w:t>
      </w:r>
    </w:p>
    <w:p w14:paraId="0A18ECAE" w14:textId="77777777" w:rsidR="00A86622" w:rsidRPr="00971206" w:rsidRDefault="00A86622" w:rsidP="008467EA">
      <w:pPr>
        <w:jc w:val="both"/>
      </w:pPr>
    </w:p>
    <w:p w14:paraId="63EAD9DD" w14:textId="77777777" w:rsidR="00BB5151" w:rsidRDefault="00BB5151" w:rsidP="00BB5151">
      <w:pPr>
        <w:ind w:firstLine="851"/>
        <w:jc w:val="both"/>
      </w:pPr>
      <w:r w:rsidRPr="00971206">
        <w:t xml:space="preserve">A parcela isenta para aposentadorias se refere à ampliação – na verdade duplicação – do limite de isenção da tabela do IRPF para os rendimentos oriundos de aposentadorias e pensões para os declarantes com 65 anos ou mais, tendo como resultado a redução das alíquotas efetivas para esses rendimentos. Como forma de ilustrar essa mudança de alíquota efetiva decorrente dessa isenção, apresenta-se o Gráfico 2, onde constam as alíquotas efetivas para rendimentos, entre R$ 2.700 (valor que, com desconto simplificado de 20%, é objeto da tabela progressiva) e R$ 35.000 (valor próximo do teto de recebimento no setor público) mensais, oriundos do trabalho e de aposentadorias do ano-base de 2016, considerando o desconto simplificado de 20% sobre esses rendimentos. Em termos </w:t>
      </w:r>
      <w:r w:rsidRPr="00971206">
        <w:lastRenderedPageBreak/>
        <w:t>sintéticos, o gráfico mostra o efeito da ampliação do limite de isenção sobre a alíquota efetiva, considerando que os declarantes contam somente com rendimentos de aposentadorias ou pensões e empregam o desconto simplificado, cotejando os resultados com a isenção e sem ela.</w:t>
      </w:r>
    </w:p>
    <w:p w14:paraId="5A08C31D" w14:textId="77777777" w:rsidR="00BB5151" w:rsidRDefault="00DE0B07" w:rsidP="00BB5151">
      <w:pPr>
        <w:ind w:firstLine="851"/>
        <w:jc w:val="both"/>
      </w:pPr>
      <w:r w:rsidRPr="00971206">
        <w:t xml:space="preserve">Pela Lei de Acesso à Informação </w:t>
      </w:r>
      <w:r w:rsidR="00725248" w:rsidRPr="00971206">
        <w:t>foram obtidos dados referentes à</w:t>
      </w:r>
      <w:r w:rsidRPr="00971206">
        <w:t xml:space="preserve"> quantidade de declarantes de aposentadorias e pensões com 65 anos</w:t>
      </w:r>
      <w:r w:rsidR="00725248" w:rsidRPr="00971206">
        <w:t xml:space="preserve"> ou mais</w:t>
      </w:r>
      <w:r w:rsidRPr="00971206">
        <w:t xml:space="preserve"> que tiveram acesso a essa isenção, número que totalizou, em 2015, pouco mais de 2,7 milhões de declarantes. Considerando que o conjunto de aposentadorias e pensões do RGPS e dos RPPS </w:t>
      </w:r>
      <w:r w:rsidR="000235C7" w:rsidRPr="00971206">
        <w:t xml:space="preserve">eram, nesse mesmo ano, ao redor </w:t>
      </w:r>
      <w:r w:rsidRPr="00971206">
        <w:t xml:space="preserve">de </w:t>
      </w:r>
      <w:r w:rsidR="000235C7" w:rsidRPr="00971206">
        <w:t xml:space="preserve">30 </w:t>
      </w:r>
      <w:r w:rsidRPr="00971206">
        <w:t>milhões de pessoas</w:t>
      </w:r>
      <w:r w:rsidR="000235C7" w:rsidRPr="00971206">
        <w:rPr>
          <w:rStyle w:val="Refdenotaderodap"/>
        </w:rPr>
        <w:footnoteReference w:id="6"/>
      </w:r>
      <w:r w:rsidRPr="00971206">
        <w:t>, tem-se que cerca de 10% dos beneficiários do sistema previdenciário contam com benefícios fiscais que reduzem entre 1,5 e 4,5 pontos percentuais as alíquotas efetivas às quais se sujeitam.</w:t>
      </w:r>
    </w:p>
    <w:p w14:paraId="3C2CECE6" w14:textId="1D3206FB" w:rsidR="00277B54" w:rsidRDefault="00A86622" w:rsidP="00BB5151">
      <w:pPr>
        <w:ind w:firstLine="851"/>
        <w:jc w:val="both"/>
      </w:pPr>
      <w:r w:rsidRPr="00971206">
        <w:t xml:space="preserve">Associando os dados disponibilizados </w:t>
      </w:r>
      <w:r w:rsidR="00037186" w:rsidRPr="00971206">
        <w:t xml:space="preserve">acerca </w:t>
      </w:r>
      <w:r w:rsidRPr="00971206">
        <w:t xml:space="preserve">do total de declarantes com parcela isenta de aposentadoria com os dados do total desse rendimento </w:t>
      </w:r>
      <w:r w:rsidR="00FC6932" w:rsidRPr="00971206">
        <w:t>discriminado n</w:t>
      </w:r>
      <w:r w:rsidR="00D65B5C" w:rsidRPr="00971206">
        <w:t xml:space="preserve">os Grandes Números das Declarações do Imposto sobre a Renda da Pessoa </w:t>
      </w:r>
      <w:r w:rsidR="00FC6932" w:rsidRPr="00971206">
        <w:t xml:space="preserve"> </w:t>
      </w:r>
      <w:r w:rsidR="00D65B5C" w:rsidRPr="00971206">
        <w:t>(</w:t>
      </w:r>
      <w:r w:rsidR="00FC6932" w:rsidRPr="00971206">
        <w:t>DIRPF</w:t>
      </w:r>
      <w:r w:rsidR="00D65B5C" w:rsidRPr="00971206">
        <w:t>)</w:t>
      </w:r>
      <w:r w:rsidR="00FC6932" w:rsidRPr="00971206">
        <w:t xml:space="preserve"> </w:t>
      </w:r>
      <w:r w:rsidRPr="00971206">
        <w:t xml:space="preserve">e </w:t>
      </w:r>
      <w:r w:rsidR="00D65B5C" w:rsidRPr="00971206">
        <w:t>no Demonstrativo do Gasto Tributário (DGT), ambos publicados pela Receita Federal (2018a; 2018b),</w:t>
      </w:r>
      <w:r w:rsidR="00D65B5C" w:rsidRPr="00971206" w:rsidDel="00D65B5C">
        <w:t xml:space="preserve"> </w:t>
      </w:r>
      <w:r w:rsidRPr="00971206">
        <w:t>, cheg</w:t>
      </w:r>
      <w:r w:rsidR="003C0959" w:rsidRPr="00971206">
        <w:t>a-se a um valor médio mensal (13</w:t>
      </w:r>
      <w:r w:rsidRPr="00971206">
        <w:t xml:space="preserve"> parcelas) de R$ </w:t>
      </w:r>
      <w:r w:rsidR="00277B54" w:rsidRPr="00971206">
        <w:t>156,75 em 2015</w:t>
      </w:r>
      <w:r w:rsidRPr="00971206">
        <w:t xml:space="preserve">, com a </w:t>
      </w:r>
      <w:r w:rsidR="00D64542" w:rsidRPr="00971206">
        <w:t>T</w:t>
      </w:r>
      <w:r w:rsidRPr="00971206">
        <w:t xml:space="preserve">abela </w:t>
      </w:r>
      <w:r w:rsidR="00D64542" w:rsidRPr="00971206">
        <w:t>1</w:t>
      </w:r>
      <w:r w:rsidRPr="00971206">
        <w:t xml:space="preserve"> apresentando os resultados para o período </w:t>
      </w:r>
      <w:r w:rsidR="00D653E6" w:rsidRPr="00971206">
        <w:t xml:space="preserve">de </w:t>
      </w:r>
      <w:r w:rsidR="00277B54" w:rsidRPr="00971206">
        <w:t>2008 a 2015</w:t>
      </w:r>
      <w:r w:rsidRPr="00971206">
        <w:t>.</w:t>
      </w:r>
      <w:r w:rsidR="00277B54" w:rsidRPr="00971206">
        <w:t xml:space="preserve"> Em valores de 2016, o benefício médio mensal</w:t>
      </w:r>
      <w:r w:rsidR="000770A6" w:rsidRPr="00971206">
        <w:t xml:space="preserve"> – valor que o declarante deixou de recolher em razão da majoração do limite de isenção –</w:t>
      </w:r>
      <w:r w:rsidR="00277B54" w:rsidRPr="00971206">
        <w:t xml:space="preserve"> variou entre R$ 163,58 e R$ 200,17.</w:t>
      </w:r>
    </w:p>
    <w:p w14:paraId="23427DB0" w14:textId="77777777" w:rsidR="00BB5151" w:rsidRPr="00971206" w:rsidRDefault="00BB5151" w:rsidP="00BB5151">
      <w:pPr>
        <w:ind w:firstLine="851"/>
        <w:jc w:val="both"/>
      </w:pPr>
    </w:p>
    <w:p w14:paraId="7C5869F1" w14:textId="77777777" w:rsidR="00ED4F4E" w:rsidRPr="00971206" w:rsidRDefault="008D4E06" w:rsidP="009E46B1">
      <w:pPr>
        <w:keepNext/>
        <w:spacing w:after="120"/>
        <w:jc w:val="both"/>
      </w:pPr>
      <w:r w:rsidRPr="00971206">
        <w:t xml:space="preserve">Tabela 1 – Declarantes aposentados com 65 e mais, valor total dos rendimentos isentos de </w:t>
      </w:r>
      <w:r w:rsidR="007A6C03" w:rsidRPr="00971206">
        <w:t xml:space="preserve">parcela isenta de </w:t>
      </w:r>
      <w:r w:rsidRPr="00971206">
        <w:t xml:space="preserve">aposentadoria, da renúncia com o </w:t>
      </w:r>
      <w:r w:rsidR="009F0B32" w:rsidRPr="00971206">
        <w:t>benefício</w:t>
      </w:r>
      <w:r w:rsidRPr="00971206">
        <w:t xml:space="preserve"> e do benefício mensal médio – Brasil, 2008-2015</w:t>
      </w:r>
      <w:r w:rsidR="00905382" w:rsidRPr="00971206">
        <w:t>.</w:t>
      </w:r>
    </w:p>
    <w:tbl>
      <w:tblPr>
        <w:tblW w:w="5000" w:type="pct"/>
        <w:tblCellMar>
          <w:left w:w="70" w:type="dxa"/>
          <w:right w:w="70" w:type="dxa"/>
        </w:tblCellMar>
        <w:tblLook w:val="04A0" w:firstRow="1" w:lastRow="0" w:firstColumn="1" w:lastColumn="0" w:noHBand="0" w:noVBand="1"/>
      </w:tblPr>
      <w:tblGrid>
        <w:gridCol w:w="1233"/>
        <w:gridCol w:w="1420"/>
        <w:gridCol w:w="1722"/>
        <w:gridCol w:w="1279"/>
        <w:gridCol w:w="1233"/>
        <w:gridCol w:w="1256"/>
        <w:gridCol w:w="1489"/>
      </w:tblGrid>
      <w:tr w:rsidR="00A86622" w:rsidRPr="00971206" w14:paraId="4E07BB1C" w14:textId="77777777" w:rsidTr="00277B54">
        <w:trPr>
          <w:trHeight w:val="600"/>
        </w:trPr>
        <w:tc>
          <w:tcPr>
            <w:tcW w:w="640" w:type="pct"/>
            <w:vMerge w:val="restart"/>
            <w:tcBorders>
              <w:top w:val="single" w:sz="4" w:space="0" w:color="auto"/>
              <w:left w:val="nil"/>
              <w:bottom w:val="single" w:sz="4" w:space="0" w:color="000000"/>
              <w:right w:val="nil"/>
            </w:tcBorders>
            <w:shd w:val="clear" w:color="auto" w:fill="auto"/>
            <w:noWrap/>
            <w:vAlign w:val="center"/>
            <w:hideMark/>
          </w:tcPr>
          <w:p w14:paraId="66E53856" w14:textId="77777777" w:rsidR="00ED4F4E" w:rsidRPr="00971206" w:rsidRDefault="00277B54" w:rsidP="009E46B1">
            <w:pPr>
              <w:keepNext/>
              <w:jc w:val="center"/>
              <w:rPr>
                <w:b/>
                <w:bCs/>
                <w:color w:val="000000"/>
              </w:rPr>
            </w:pPr>
            <w:r w:rsidRPr="00971206">
              <w:rPr>
                <w:b/>
                <w:bCs/>
                <w:color w:val="000000"/>
              </w:rPr>
              <w:t>A</w:t>
            </w:r>
            <w:r w:rsidR="00A86622" w:rsidRPr="00971206">
              <w:rPr>
                <w:b/>
                <w:bCs/>
                <w:color w:val="000000"/>
              </w:rPr>
              <w:t>no</w:t>
            </w:r>
          </w:p>
        </w:tc>
        <w:tc>
          <w:tcPr>
            <w:tcW w:w="737" w:type="pct"/>
            <w:vMerge w:val="restart"/>
            <w:tcBorders>
              <w:top w:val="single" w:sz="4" w:space="0" w:color="auto"/>
              <w:left w:val="nil"/>
              <w:bottom w:val="single" w:sz="4" w:space="0" w:color="000000"/>
              <w:right w:val="nil"/>
            </w:tcBorders>
            <w:shd w:val="clear" w:color="auto" w:fill="auto"/>
            <w:noWrap/>
            <w:vAlign w:val="center"/>
            <w:hideMark/>
          </w:tcPr>
          <w:p w14:paraId="02AF29C4" w14:textId="77777777" w:rsidR="00ED4F4E" w:rsidRPr="00971206" w:rsidRDefault="00277B54" w:rsidP="009E46B1">
            <w:pPr>
              <w:keepNext/>
              <w:jc w:val="center"/>
              <w:rPr>
                <w:b/>
                <w:bCs/>
                <w:color w:val="000000"/>
              </w:rPr>
            </w:pPr>
            <w:r w:rsidRPr="00971206">
              <w:rPr>
                <w:b/>
                <w:bCs/>
                <w:color w:val="000000"/>
              </w:rPr>
              <w:t>Declarantes</w:t>
            </w:r>
          </w:p>
          <w:p w14:paraId="14E1F49C" w14:textId="77777777" w:rsidR="000770A6" w:rsidRPr="00971206" w:rsidRDefault="000770A6" w:rsidP="009E46B1">
            <w:pPr>
              <w:keepNext/>
              <w:jc w:val="center"/>
              <w:rPr>
                <w:b/>
                <w:bCs/>
                <w:color w:val="000000"/>
              </w:rPr>
            </w:pPr>
            <w:r w:rsidRPr="00971206">
              <w:rPr>
                <w:b/>
                <w:bCs/>
                <w:color w:val="000000"/>
              </w:rPr>
              <w:t>(A)</w:t>
            </w:r>
          </w:p>
        </w:tc>
        <w:tc>
          <w:tcPr>
            <w:tcW w:w="894" w:type="pct"/>
            <w:tcBorders>
              <w:top w:val="single" w:sz="4" w:space="0" w:color="auto"/>
              <w:left w:val="nil"/>
              <w:bottom w:val="single" w:sz="4" w:space="0" w:color="auto"/>
              <w:right w:val="nil"/>
            </w:tcBorders>
            <w:shd w:val="clear" w:color="auto" w:fill="auto"/>
            <w:vAlign w:val="center"/>
            <w:hideMark/>
          </w:tcPr>
          <w:p w14:paraId="3B71C530" w14:textId="77777777" w:rsidR="00ED4F4E" w:rsidRPr="00971206" w:rsidRDefault="00277B54" w:rsidP="009E46B1">
            <w:pPr>
              <w:keepNext/>
              <w:jc w:val="center"/>
              <w:rPr>
                <w:b/>
                <w:bCs/>
                <w:color w:val="000000"/>
              </w:rPr>
            </w:pPr>
            <w:r w:rsidRPr="00971206">
              <w:rPr>
                <w:b/>
                <w:bCs/>
                <w:color w:val="000000"/>
              </w:rPr>
              <w:t>R</w:t>
            </w:r>
            <w:r w:rsidR="00A86622" w:rsidRPr="00971206">
              <w:rPr>
                <w:b/>
                <w:bCs/>
                <w:color w:val="000000"/>
              </w:rPr>
              <w:t>endimento parcela isenta</w:t>
            </w:r>
            <w:r w:rsidR="00725248" w:rsidRPr="00971206">
              <w:rPr>
                <w:b/>
                <w:bCs/>
                <w:color w:val="000000"/>
              </w:rPr>
              <w:t xml:space="preserve"> (B)</w:t>
            </w:r>
          </w:p>
        </w:tc>
        <w:tc>
          <w:tcPr>
            <w:tcW w:w="664" w:type="pct"/>
            <w:tcBorders>
              <w:top w:val="single" w:sz="4" w:space="0" w:color="auto"/>
              <w:left w:val="nil"/>
              <w:bottom w:val="single" w:sz="4" w:space="0" w:color="auto"/>
              <w:right w:val="nil"/>
            </w:tcBorders>
            <w:shd w:val="clear" w:color="auto" w:fill="auto"/>
            <w:noWrap/>
            <w:vAlign w:val="center"/>
            <w:hideMark/>
          </w:tcPr>
          <w:p w14:paraId="16A69BFB" w14:textId="77777777" w:rsidR="00ED4F4E" w:rsidRPr="00971206" w:rsidRDefault="00277B54" w:rsidP="009E46B1">
            <w:pPr>
              <w:keepNext/>
              <w:jc w:val="center"/>
              <w:rPr>
                <w:b/>
                <w:bCs/>
                <w:color w:val="000000"/>
              </w:rPr>
            </w:pPr>
            <w:r w:rsidRPr="00971206">
              <w:rPr>
                <w:b/>
                <w:bCs/>
                <w:color w:val="000000"/>
              </w:rPr>
              <w:t>Renú</w:t>
            </w:r>
            <w:r w:rsidR="00A86622" w:rsidRPr="00971206">
              <w:rPr>
                <w:b/>
                <w:bCs/>
                <w:color w:val="000000"/>
              </w:rPr>
              <w:t>ncia</w:t>
            </w:r>
          </w:p>
          <w:p w14:paraId="10BAA1FC" w14:textId="364D099C" w:rsidR="000770A6" w:rsidRPr="00971206" w:rsidRDefault="000770A6" w:rsidP="009E46B1">
            <w:pPr>
              <w:keepNext/>
              <w:jc w:val="center"/>
              <w:rPr>
                <w:b/>
                <w:bCs/>
                <w:color w:val="000000"/>
              </w:rPr>
            </w:pPr>
            <w:r w:rsidRPr="00971206">
              <w:rPr>
                <w:b/>
                <w:bCs/>
                <w:color w:val="000000"/>
              </w:rPr>
              <w:t>(</w:t>
            </w:r>
            <w:r w:rsidR="00725248" w:rsidRPr="00971206">
              <w:rPr>
                <w:b/>
                <w:bCs/>
                <w:color w:val="000000"/>
              </w:rPr>
              <w:t>C</w:t>
            </w:r>
            <w:r w:rsidRPr="00971206">
              <w:rPr>
                <w:b/>
                <w:bCs/>
                <w:color w:val="000000"/>
              </w:rPr>
              <w:t>)</w:t>
            </w:r>
          </w:p>
        </w:tc>
        <w:tc>
          <w:tcPr>
            <w:tcW w:w="1292" w:type="pct"/>
            <w:gridSpan w:val="2"/>
            <w:tcBorders>
              <w:top w:val="single" w:sz="4" w:space="0" w:color="auto"/>
              <w:left w:val="nil"/>
              <w:bottom w:val="single" w:sz="4" w:space="0" w:color="auto"/>
              <w:right w:val="nil"/>
            </w:tcBorders>
            <w:shd w:val="clear" w:color="auto" w:fill="auto"/>
            <w:noWrap/>
            <w:vAlign w:val="center"/>
            <w:hideMark/>
          </w:tcPr>
          <w:p w14:paraId="62E5040E" w14:textId="77777777" w:rsidR="00ED4F4E" w:rsidRPr="00971206" w:rsidRDefault="00277B54" w:rsidP="009E46B1">
            <w:pPr>
              <w:keepNext/>
              <w:jc w:val="center"/>
              <w:rPr>
                <w:b/>
                <w:bCs/>
                <w:color w:val="000000"/>
              </w:rPr>
            </w:pPr>
            <w:r w:rsidRPr="00971206">
              <w:rPr>
                <w:b/>
                <w:bCs/>
                <w:color w:val="000000"/>
              </w:rPr>
              <w:t>Benefí</w:t>
            </w:r>
            <w:r w:rsidR="00A86622" w:rsidRPr="00971206">
              <w:rPr>
                <w:b/>
                <w:bCs/>
                <w:color w:val="000000"/>
              </w:rPr>
              <w:t>cio mensal</w:t>
            </w:r>
          </w:p>
          <w:p w14:paraId="06D9802E" w14:textId="44766CEE" w:rsidR="000770A6" w:rsidRPr="00971206" w:rsidRDefault="000770A6" w:rsidP="009E46B1">
            <w:pPr>
              <w:keepNext/>
              <w:jc w:val="center"/>
              <w:rPr>
                <w:b/>
                <w:bCs/>
                <w:color w:val="000000"/>
              </w:rPr>
            </w:pPr>
            <w:r w:rsidRPr="00971206">
              <w:rPr>
                <w:b/>
                <w:bCs/>
                <w:color w:val="000000"/>
              </w:rPr>
              <w:t>(</w:t>
            </w:r>
            <w:r w:rsidR="00725248" w:rsidRPr="00971206">
              <w:rPr>
                <w:b/>
                <w:bCs/>
                <w:color w:val="000000"/>
              </w:rPr>
              <w:t>C</w:t>
            </w:r>
            <w:r w:rsidRPr="00971206">
              <w:rPr>
                <w:b/>
                <w:bCs/>
                <w:color w:val="000000"/>
              </w:rPr>
              <w:t>/A/13)</w:t>
            </w:r>
          </w:p>
        </w:tc>
        <w:tc>
          <w:tcPr>
            <w:tcW w:w="773" w:type="pct"/>
            <w:vMerge w:val="restart"/>
            <w:tcBorders>
              <w:top w:val="single" w:sz="4" w:space="0" w:color="auto"/>
              <w:left w:val="nil"/>
              <w:bottom w:val="single" w:sz="4" w:space="0" w:color="000000"/>
              <w:right w:val="nil"/>
            </w:tcBorders>
            <w:shd w:val="clear" w:color="auto" w:fill="auto"/>
            <w:vAlign w:val="center"/>
            <w:hideMark/>
          </w:tcPr>
          <w:p w14:paraId="6117182F" w14:textId="77777777" w:rsidR="00ED4F4E" w:rsidRPr="00971206" w:rsidRDefault="00277B54" w:rsidP="009E46B1">
            <w:pPr>
              <w:keepNext/>
              <w:jc w:val="center"/>
              <w:rPr>
                <w:b/>
                <w:bCs/>
                <w:color w:val="000000"/>
              </w:rPr>
            </w:pPr>
            <w:r w:rsidRPr="00971206">
              <w:rPr>
                <w:b/>
                <w:bCs/>
                <w:color w:val="000000"/>
              </w:rPr>
              <w:t>Benefício</w:t>
            </w:r>
            <w:r w:rsidR="00A86622" w:rsidRPr="00971206">
              <w:rPr>
                <w:b/>
                <w:bCs/>
                <w:color w:val="000000"/>
              </w:rPr>
              <w:t>/ rendimento</w:t>
            </w:r>
            <w:r w:rsidR="00725248" w:rsidRPr="00971206">
              <w:rPr>
                <w:b/>
                <w:bCs/>
                <w:color w:val="000000"/>
              </w:rPr>
              <w:t xml:space="preserve"> (C/ B)</w:t>
            </w:r>
          </w:p>
        </w:tc>
      </w:tr>
      <w:tr w:rsidR="00A86622" w:rsidRPr="00971206" w14:paraId="35F5CAD1" w14:textId="77777777" w:rsidTr="00277B54">
        <w:trPr>
          <w:trHeight w:val="600"/>
        </w:trPr>
        <w:tc>
          <w:tcPr>
            <w:tcW w:w="640" w:type="pct"/>
            <w:vMerge/>
            <w:tcBorders>
              <w:top w:val="single" w:sz="4" w:space="0" w:color="auto"/>
              <w:left w:val="nil"/>
              <w:bottom w:val="single" w:sz="4" w:space="0" w:color="000000"/>
              <w:right w:val="nil"/>
            </w:tcBorders>
            <w:vAlign w:val="center"/>
            <w:hideMark/>
          </w:tcPr>
          <w:p w14:paraId="19A1FA90" w14:textId="77777777" w:rsidR="00ED4F4E" w:rsidRPr="00971206" w:rsidRDefault="00ED4F4E" w:rsidP="009E46B1">
            <w:pPr>
              <w:keepNext/>
              <w:jc w:val="center"/>
              <w:rPr>
                <w:b/>
                <w:bCs/>
                <w:color w:val="000000"/>
              </w:rPr>
            </w:pPr>
          </w:p>
        </w:tc>
        <w:tc>
          <w:tcPr>
            <w:tcW w:w="737" w:type="pct"/>
            <w:vMerge/>
            <w:tcBorders>
              <w:top w:val="single" w:sz="4" w:space="0" w:color="auto"/>
              <w:left w:val="nil"/>
              <w:bottom w:val="single" w:sz="4" w:space="0" w:color="000000"/>
              <w:right w:val="nil"/>
            </w:tcBorders>
            <w:vAlign w:val="center"/>
            <w:hideMark/>
          </w:tcPr>
          <w:p w14:paraId="76163489" w14:textId="77777777" w:rsidR="00ED4F4E" w:rsidRPr="00971206" w:rsidRDefault="00ED4F4E" w:rsidP="009E46B1">
            <w:pPr>
              <w:keepNext/>
              <w:jc w:val="center"/>
              <w:rPr>
                <w:b/>
                <w:bCs/>
                <w:color w:val="000000"/>
              </w:rPr>
            </w:pPr>
          </w:p>
        </w:tc>
        <w:tc>
          <w:tcPr>
            <w:tcW w:w="1558" w:type="pct"/>
            <w:gridSpan w:val="2"/>
            <w:tcBorders>
              <w:top w:val="nil"/>
              <w:left w:val="nil"/>
              <w:bottom w:val="single" w:sz="4" w:space="0" w:color="auto"/>
              <w:right w:val="nil"/>
            </w:tcBorders>
            <w:shd w:val="clear" w:color="auto" w:fill="auto"/>
            <w:noWrap/>
            <w:vAlign w:val="center"/>
            <w:hideMark/>
          </w:tcPr>
          <w:p w14:paraId="4CEA5DE3" w14:textId="77777777" w:rsidR="00ED4F4E" w:rsidRPr="00971206" w:rsidRDefault="00A86622" w:rsidP="009E46B1">
            <w:pPr>
              <w:keepNext/>
              <w:jc w:val="center"/>
              <w:rPr>
                <w:b/>
                <w:bCs/>
                <w:color w:val="000000"/>
              </w:rPr>
            </w:pPr>
            <w:r w:rsidRPr="00971206">
              <w:rPr>
                <w:b/>
                <w:bCs/>
                <w:color w:val="000000"/>
              </w:rPr>
              <w:t xml:space="preserve">R$ </w:t>
            </w:r>
            <w:r w:rsidR="00277B54" w:rsidRPr="00971206">
              <w:rPr>
                <w:b/>
                <w:bCs/>
                <w:color w:val="000000"/>
              </w:rPr>
              <w:t>milhões nominais</w:t>
            </w:r>
          </w:p>
        </w:tc>
        <w:tc>
          <w:tcPr>
            <w:tcW w:w="640" w:type="pct"/>
            <w:tcBorders>
              <w:top w:val="nil"/>
              <w:left w:val="nil"/>
              <w:bottom w:val="single" w:sz="4" w:space="0" w:color="auto"/>
              <w:right w:val="nil"/>
            </w:tcBorders>
            <w:shd w:val="clear" w:color="auto" w:fill="auto"/>
            <w:vAlign w:val="center"/>
            <w:hideMark/>
          </w:tcPr>
          <w:p w14:paraId="56209984" w14:textId="77777777" w:rsidR="00ED4F4E" w:rsidRPr="00971206" w:rsidRDefault="00A86622" w:rsidP="009E46B1">
            <w:pPr>
              <w:keepNext/>
              <w:jc w:val="center"/>
              <w:rPr>
                <w:b/>
                <w:bCs/>
                <w:color w:val="000000"/>
              </w:rPr>
            </w:pPr>
            <w:r w:rsidRPr="00971206">
              <w:rPr>
                <w:b/>
                <w:bCs/>
                <w:color w:val="000000"/>
              </w:rPr>
              <w:t>R$ nominais</w:t>
            </w:r>
          </w:p>
        </w:tc>
        <w:tc>
          <w:tcPr>
            <w:tcW w:w="652" w:type="pct"/>
            <w:tcBorders>
              <w:top w:val="nil"/>
              <w:left w:val="nil"/>
              <w:bottom w:val="single" w:sz="4" w:space="0" w:color="auto"/>
              <w:right w:val="nil"/>
            </w:tcBorders>
            <w:shd w:val="clear" w:color="auto" w:fill="auto"/>
            <w:vAlign w:val="center"/>
            <w:hideMark/>
          </w:tcPr>
          <w:p w14:paraId="3BAE44CE" w14:textId="77777777" w:rsidR="00ED4F4E" w:rsidRPr="00971206" w:rsidRDefault="00277B54" w:rsidP="009E46B1">
            <w:pPr>
              <w:keepNext/>
              <w:jc w:val="center"/>
              <w:rPr>
                <w:b/>
                <w:bCs/>
                <w:color w:val="000000"/>
              </w:rPr>
            </w:pPr>
            <w:r w:rsidRPr="00971206">
              <w:rPr>
                <w:b/>
                <w:bCs/>
                <w:color w:val="000000"/>
              </w:rPr>
              <w:t>R$</w:t>
            </w:r>
            <w:r w:rsidR="00A86622" w:rsidRPr="00971206">
              <w:rPr>
                <w:b/>
                <w:bCs/>
                <w:color w:val="000000"/>
              </w:rPr>
              <w:t xml:space="preserve"> de 2016</w:t>
            </w:r>
          </w:p>
        </w:tc>
        <w:tc>
          <w:tcPr>
            <w:tcW w:w="773" w:type="pct"/>
            <w:vMerge/>
            <w:tcBorders>
              <w:top w:val="single" w:sz="4" w:space="0" w:color="auto"/>
              <w:left w:val="nil"/>
              <w:bottom w:val="single" w:sz="4" w:space="0" w:color="000000"/>
              <w:right w:val="nil"/>
            </w:tcBorders>
            <w:vAlign w:val="center"/>
            <w:hideMark/>
          </w:tcPr>
          <w:p w14:paraId="2792633C" w14:textId="77777777" w:rsidR="00ED4F4E" w:rsidRPr="00971206" w:rsidRDefault="00ED4F4E" w:rsidP="009E46B1">
            <w:pPr>
              <w:keepNext/>
              <w:jc w:val="center"/>
              <w:rPr>
                <w:b/>
                <w:bCs/>
                <w:color w:val="000000"/>
              </w:rPr>
            </w:pPr>
          </w:p>
        </w:tc>
      </w:tr>
      <w:tr w:rsidR="00A86622" w:rsidRPr="00971206" w14:paraId="7D24793E" w14:textId="77777777" w:rsidTr="00277B54">
        <w:trPr>
          <w:trHeight w:val="300"/>
        </w:trPr>
        <w:tc>
          <w:tcPr>
            <w:tcW w:w="640" w:type="pct"/>
            <w:tcBorders>
              <w:top w:val="nil"/>
              <w:left w:val="nil"/>
              <w:bottom w:val="nil"/>
              <w:right w:val="nil"/>
            </w:tcBorders>
            <w:shd w:val="clear" w:color="auto" w:fill="auto"/>
            <w:noWrap/>
            <w:vAlign w:val="center"/>
            <w:hideMark/>
          </w:tcPr>
          <w:p w14:paraId="31727B7C" w14:textId="77777777" w:rsidR="00ED4F4E" w:rsidRPr="00971206" w:rsidRDefault="00A86622" w:rsidP="009E46B1">
            <w:pPr>
              <w:keepNext/>
              <w:jc w:val="center"/>
              <w:rPr>
                <w:color w:val="000000"/>
              </w:rPr>
            </w:pPr>
            <w:r w:rsidRPr="00971206">
              <w:rPr>
                <w:color w:val="000000"/>
              </w:rPr>
              <w:t>2008</w:t>
            </w:r>
          </w:p>
        </w:tc>
        <w:tc>
          <w:tcPr>
            <w:tcW w:w="737" w:type="pct"/>
            <w:tcBorders>
              <w:top w:val="nil"/>
              <w:left w:val="nil"/>
              <w:bottom w:val="nil"/>
              <w:right w:val="nil"/>
            </w:tcBorders>
            <w:shd w:val="clear" w:color="auto" w:fill="auto"/>
            <w:noWrap/>
            <w:vAlign w:val="center"/>
            <w:hideMark/>
          </w:tcPr>
          <w:p w14:paraId="0FF8096F" w14:textId="77777777" w:rsidR="00ED4F4E" w:rsidRPr="00971206" w:rsidRDefault="00A86622" w:rsidP="009E46B1">
            <w:pPr>
              <w:keepNext/>
              <w:jc w:val="right"/>
              <w:rPr>
                <w:color w:val="000000"/>
              </w:rPr>
            </w:pPr>
            <w:r w:rsidRPr="00971206">
              <w:rPr>
                <w:color w:val="000000"/>
              </w:rPr>
              <w:t>1.809.109</w:t>
            </w:r>
          </w:p>
        </w:tc>
        <w:tc>
          <w:tcPr>
            <w:tcW w:w="894" w:type="pct"/>
            <w:tcBorders>
              <w:top w:val="nil"/>
              <w:left w:val="nil"/>
              <w:bottom w:val="nil"/>
              <w:right w:val="nil"/>
            </w:tcBorders>
            <w:shd w:val="clear" w:color="auto" w:fill="auto"/>
            <w:noWrap/>
            <w:vAlign w:val="center"/>
            <w:hideMark/>
          </w:tcPr>
          <w:p w14:paraId="398EA272" w14:textId="77777777" w:rsidR="00ED4F4E" w:rsidRPr="00971206" w:rsidRDefault="00A86622" w:rsidP="009E46B1">
            <w:pPr>
              <w:keepNext/>
              <w:jc w:val="right"/>
              <w:rPr>
                <w:color w:val="000000"/>
              </w:rPr>
            </w:pPr>
            <w:r w:rsidRPr="00971206">
              <w:rPr>
                <w:color w:val="000000"/>
              </w:rPr>
              <w:t>26.229</w:t>
            </w:r>
          </w:p>
        </w:tc>
        <w:tc>
          <w:tcPr>
            <w:tcW w:w="664" w:type="pct"/>
            <w:tcBorders>
              <w:top w:val="nil"/>
              <w:left w:val="nil"/>
              <w:bottom w:val="nil"/>
              <w:right w:val="nil"/>
            </w:tcBorders>
            <w:shd w:val="clear" w:color="auto" w:fill="auto"/>
            <w:noWrap/>
            <w:vAlign w:val="center"/>
            <w:hideMark/>
          </w:tcPr>
          <w:p w14:paraId="2FFAAEF4" w14:textId="77777777" w:rsidR="00ED4F4E" w:rsidRPr="00971206" w:rsidRDefault="00A86622" w:rsidP="009E46B1">
            <w:pPr>
              <w:keepNext/>
              <w:jc w:val="right"/>
              <w:rPr>
                <w:color w:val="000000"/>
              </w:rPr>
            </w:pPr>
            <w:r w:rsidRPr="00971206">
              <w:rPr>
                <w:color w:val="000000"/>
              </w:rPr>
              <w:t>2.412</w:t>
            </w:r>
          </w:p>
        </w:tc>
        <w:tc>
          <w:tcPr>
            <w:tcW w:w="640" w:type="pct"/>
            <w:tcBorders>
              <w:top w:val="nil"/>
              <w:left w:val="nil"/>
              <w:bottom w:val="nil"/>
              <w:right w:val="nil"/>
            </w:tcBorders>
            <w:shd w:val="clear" w:color="auto" w:fill="auto"/>
            <w:noWrap/>
            <w:vAlign w:val="center"/>
            <w:hideMark/>
          </w:tcPr>
          <w:p w14:paraId="3F16A1AE" w14:textId="77777777" w:rsidR="00ED4F4E" w:rsidRPr="00971206" w:rsidRDefault="00A86622" w:rsidP="009E46B1">
            <w:pPr>
              <w:keepNext/>
              <w:jc w:val="right"/>
              <w:rPr>
                <w:color w:val="000000"/>
              </w:rPr>
            </w:pPr>
            <w:r w:rsidRPr="00971206">
              <w:rPr>
                <w:color w:val="000000"/>
              </w:rPr>
              <w:t>102,57</w:t>
            </w:r>
          </w:p>
        </w:tc>
        <w:tc>
          <w:tcPr>
            <w:tcW w:w="652" w:type="pct"/>
            <w:tcBorders>
              <w:top w:val="nil"/>
              <w:left w:val="nil"/>
              <w:bottom w:val="nil"/>
              <w:right w:val="nil"/>
            </w:tcBorders>
            <w:shd w:val="clear" w:color="auto" w:fill="auto"/>
            <w:noWrap/>
            <w:vAlign w:val="center"/>
            <w:hideMark/>
          </w:tcPr>
          <w:p w14:paraId="62455E49" w14:textId="77777777" w:rsidR="00ED4F4E" w:rsidRPr="00971206" w:rsidRDefault="00A86622" w:rsidP="009E46B1">
            <w:pPr>
              <w:keepNext/>
              <w:jc w:val="right"/>
              <w:rPr>
                <w:color w:val="000000"/>
              </w:rPr>
            </w:pPr>
            <w:r w:rsidRPr="00971206">
              <w:rPr>
                <w:color w:val="000000"/>
              </w:rPr>
              <w:t>168,71</w:t>
            </w:r>
          </w:p>
        </w:tc>
        <w:tc>
          <w:tcPr>
            <w:tcW w:w="773" w:type="pct"/>
            <w:tcBorders>
              <w:top w:val="nil"/>
              <w:left w:val="nil"/>
              <w:bottom w:val="nil"/>
              <w:right w:val="nil"/>
            </w:tcBorders>
            <w:shd w:val="clear" w:color="auto" w:fill="auto"/>
            <w:noWrap/>
            <w:vAlign w:val="center"/>
            <w:hideMark/>
          </w:tcPr>
          <w:p w14:paraId="1A3EFAB4" w14:textId="77777777" w:rsidR="00ED4F4E" w:rsidRPr="00971206" w:rsidRDefault="00A86622" w:rsidP="009E46B1">
            <w:pPr>
              <w:keepNext/>
              <w:jc w:val="right"/>
              <w:rPr>
                <w:color w:val="000000"/>
              </w:rPr>
            </w:pPr>
            <w:r w:rsidRPr="00971206">
              <w:rPr>
                <w:color w:val="000000"/>
              </w:rPr>
              <w:t>9,2%</w:t>
            </w:r>
          </w:p>
        </w:tc>
      </w:tr>
      <w:tr w:rsidR="00A86622" w:rsidRPr="00971206" w14:paraId="0A7B8E45" w14:textId="77777777" w:rsidTr="00277B54">
        <w:trPr>
          <w:trHeight w:val="300"/>
        </w:trPr>
        <w:tc>
          <w:tcPr>
            <w:tcW w:w="640" w:type="pct"/>
            <w:tcBorders>
              <w:top w:val="nil"/>
              <w:left w:val="nil"/>
              <w:bottom w:val="nil"/>
              <w:right w:val="nil"/>
            </w:tcBorders>
            <w:shd w:val="clear" w:color="auto" w:fill="auto"/>
            <w:noWrap/>
            <w:vAlign w:val="center"/>
            <w:hideMark/>
          </w:tcPr>
          <w:p w14:paraId="7B4C4604" w14:textId="77777777" w:rsidR="00ED4F4E" w:rsidRPr="00971206" w:rsidRDefault="00A86622" w:rsidP="009E46B1">
            <w:pPr>
              <w:keepNext/>
              <w:jc w:val="center"/>
              <w:rPr>
                <w:color w:val="000000"/>
              </w:rPr>
            </w:pPr>
            <w:r w:rsidRPr="00971206">
              <w:rPr>
                <w:color w:val="000000"/>
              </w:rPr>
              <w:t>2009</w:t>
            </w:r>
          </w:p>
        </w:tc>
        <w:tc>
          <w:tcPr>
            <w:tcW w:w="737" w:type="pct"/>
            <w:tcBorders>
              <w:top w:val="nil"/>
              <w:left w:val="nil"/>
              <w:bottom w:val="nil"/>
              <w:right w:val="nil"/>
            </w:tcBorders>
            <w:shd w:val="clear" w:color="auto" w:fill="auto"/>
            <w:noWrap/>
            <w:vAlign w:val="center"/>
            <w:hideMark/>
          </w:tcPr>
          <w:p w14:paraId="38270974" w14:textId="77777777" w:rsidR="00ED4F4E" w:rsidRPr="00971206" w:rsidRDefault="00A86622" w:rsidP="009E46B1">
            <w:pPr>
              <w:keepNext/>
              <w:jc w:val="right"/>
              <w:rPr>
                <w:color w:val="000000"/>
              </w:rPr>
            </w:pPr>
            <w:r w:rsidRPr="00971206">
              <w:rPr>
                <w:color w:val="000000"/>
              </w:rPr>
              <w:t>1.811.702</w:t>
            </w:r>
          </w:p>
        </w:tc>
        <w:tc>
          <w:tcPr>
            <w:tcW w:w="894" w:type="pct"/>
            <w:tcBorders>
              <w:top w:val="nil"/>
              <w:left w:val="nil"/>
              <w:bottom w:val="nil"/>
              <w:right w:val="nil"/>
            </w:tcBorders>
            <w:shd w:val="clear" w:color="auto" w:fill="auto"/>
            <w:noWrap/>
            <w:vAlign w:val="center"/>
            <w:hideMark/>
          </w:tcPr>
          <w:p w14:paraId="4CA286AC" w14:textId="77777777" w:rsidR="00ED4F4E" w:rsidRPr="00971206" w:rsidRDefault="00A86622" w:rsidP="009E46B1">
            <w:pPr>
              <w:keepNext/>
              <w:jc w:val="right"/>
              <w:rPr>
                <w:color w:val="000000"/>
              </w:rPr>
            </w:pPr>
            <w:r w:rsidRPr="00971206">
              <w:rPr>
                <w:color w:val="000000"/>
              </w:rPr>
              <w:t>27.867</w:t>
            </w:r>
          </w:p>
        </w:tc>
        <w:tc>
          <w:tcPr>
            <w:tcW w:w="664" w:type="pct"/>
            <w:tcBorders>
              <w:top w:val="nil"/>
              <w:left w:val="nil"/>
              <w:bottom w:val="nil"/>
              <w:right w:val="nil"/>
            </w:tcBorders>
            <w:shd w:val="clear" w:color="auto" w:fill="auto"/>
            <w:noWrap/>
            <w:vAlign w:val="center"/>
            <w:hideMark/>
          </w:tcPr>
          <w:p w14:paraId="12156508" w14:textId="77777777" w:rsidR="00ED4F4E" w:rsidRPr="00971206" w:rsidRDefault="00A86622" w:rsidP="009E46B1">
            <w:pPr>
              <w:keepNext/>
              <w:jc w:val="right"/>
              <w:rPr>
                <w:color w:val="000000"/>
              </w:rPr>
            </w:pPr>
            <w:r w:rsidRPr="00971206">
              <w:rPr>
                <w:color w:val="000000"/>
              </w:rPr>
              <w:t>2.480</w:t>
            </w:r>
          </w:p>
        </w:tc>
        <w:tc>
          <w:tcPr>
            <w:tcW w:w="640" w:type="pct"/>
            <w:tcBorders>
              <w:top w:val="nil"/>
              <w:left w:val="nil"/>
              <w:bottom w:val="nil"/>
              <w:right w:val="nil"/>
            </w:tcBorders>
            <w:shd w:val="clear" w:color="auto" w:fill="auto"/>
            <w:noWrap/>
            <w:vAlign w:val="center"/>
            <w:hideMark/>
          </w:tcPr>
          <w:p w14:paraId="59D190A3" w14:textId="77777777" w:rsidR="00ED4F4E" w:rsidRPr="00971206" w:rsidRDefault="00A86622" w:rsidP="009E46B1">
            <w:pPr>
              <w:keepNext/>
              <w:jc w:val="right"/>
              <w:rPr>
                <w:color w:val="000000"/>
              </w:rPr>
            </w:pPr>
            <w:r w:rsidRPr="00971206">
              <w:rPr>
                <w:color w:val="000000"/>
              </w:rPr>
              <w:t>105,32</w:t>
            </w:r>
          </w:p>
        </w:tc>
        <w:tc>
          <w:tcPr>
            <w:tcW w:w="652" w:type="pct"/>
            <w:tcBorders>
              <w:top w:val="nil"/>
              <w:left w:val="nil"/>
              <w:bottom w:val="nil"/>
              <w:right w:val="nil"/>
            </w:tcBorders>
            <w:shd w:val="clear" w:color="auto" w:fill="auto"/>
            <w:noWrap/>
            <w:vAlign w:val="center"/>
            <w:hideMark/>
          </w:tcPr>
          <w:p w14:paraId="57A6A7E9" w14:textId="77777777" w:rsidR="00ED4F4E" w:rsidRPr="00971206" w:rsidRDefault="00A86622" w:rsidP="009E46B1">
            <w:pPr>
              <w:keepNext/>
              <w:jc w:val="right"/>
              <w:rPr>
                <w:color w:val="000000"/>
              </w:rPr>
            </w:pPr>
            <w:r w:rsidRPr="00971206">
              <w:rPr>
                <w:color w:val="000000"/>
              </w:rPr>
              <w:t>163,58</w:t>
            </w:r>
          </w:p>
        </w:tc>
        <w:tc>
          <w:tcPr>
            <w:tcW w:w="773" w:type="pct"/>
            <w:tcBorders>
              <w:top w:val="nil"/>
              <w:left w:val="nil"/>
              <w:bottom w:val="nil"/>
              <w:right w:val="nil"/>
            </w:tcBorders>
            <w:shd w:val="clear" w:color="auto" w:fill="auto"/>
            <w:noWrap/>
            <w:vAlign w:val="center"/>
            <w:hideMark/>
          </w:tcPr>
          <w:p w14:paraId="2F8488A9" w14:textId="77777777" w:rsidR="00ED4F4E" w:rsidRPr="00971206" w:rsidRDefault="00A86622" w:rsidP="009E46B1">
            <w:pPr>
              <w:keepNext/>
              <w:jc w:val="right"/>
              <w:rPr>
                <w:color w:val="000000"/>
              </w:rPr>
            </w:pPr>
            <w:r w:rsidRPr="00971206">
              <w:rPr>
                <w:color w:val="000000"/>
              </w:rPr>
              <w:t>8,9%</w:t>
            </w:r>
          </w:p>
        </w:tc>
      </w:tr>
      <w:tr w:rsidR="00A86622" w:rsidRPr="00971206" w14:paraId="17CAC3F7" w14:textId="77777777" w:rsidTr="00277B54">
        <w:trPr>
          <w:trHeight w:val="300"/>
        </w:trPr>
        <w:tc>
          <w:tcPr>
            <w:tcW w:w="640" w:type="pct"/>
            <w:tcBorders>
              <w:top w:val="nil"/>
              <w:left w:val="nil"/>
              <w:bottom w:val="nil"/>
              <w:right w:val="nil"/>
            </w:tcBorders>
            <w:shd w:val="clear" w:color="auto" w:fill="auto"/>
            <w:noWrap/>
            <w:vAlign w:val="center"/>
            <w:hideMark/>
          </w:tcPr>
          <w:p w14:paraId="410D9C7F" w14:textId="77777777" w:rsidR="00ED4F4E" w:rsidRPr="00971206" w:rsidRDefault="00A86622" w:rsidP="009E46B1">
            <w:pPr>
              <w:keepNext/>
              <w:jc w:val="center"/>
              <w:rPr>
                <w:color w:val="000000"/>
              </w:rPr>
            </w:pPr>
            <w:r w:rsidRPr="00971206">
              <w:rPr>
                <w:color w:val="000000"/>
              </w:rPr>
              <w:t>2010</w:t>
            </w:r>
          </w:p>
        </w:tc>
        <w:tc>
          <w:tcPr>
            <w:tcW w:w="737" w:type="pct"/>
            <w:tcBorders>
              <w:top w:val="nil"/>
              <w:left w:val="nil"/>
              <w:bottom w:val="nil"/>
              <w:right w:val="nil"/>
            </w:tcBorders>
            <w:shd w:val="clear" w:color="auto" w:fill="auto"/>
            <w:noWrap/>
            <w:vAlign w:val="center"/>
            <w:hideMark/>
          </w:tcPr>
          <w:p w14:paraId="42398D27" w14:textId="77777777" w:rsidR="00ED4F4E" w:rsidRPr="00971206" w:rsidRDefault="00A86622" w:rsidP="009E46B1">
            <w:pPr>
              <w:keepNext/>
              <w:jc w:val="right"/>
              <w:rPr>
                <w:color w:val="000000"/>
              </w:rPr>
            </w:pPr>
            <w:r w:rsidRPr="00971206">
              <w:rPr>
                <w:color w:val="000000"/>
              </w:rPr>
              <w:t>1.864.699</w:t>
            </w:r>
          </w:p>
        </w:tc>
        <w:tc>
          <w:tcPr>
            <w:tcW w:w="894" w:type="pct"/>
            <w:tcBorders>
              <w:top w:val="nil"/>
              <w:left w:val="nil"/>
              <w:bottom w:val="nil"/>
              <w:right w:val="nil"/>
            </w:tcBorders>
            <w:shd w:val="clear" w:color="auto" w:fill="auto"/>
            <w:noWrap/>
            <w:vAlign w:val="center"/>
            <w:hideMark/>
          </w:tcPr>
          <w:p w14:paraId="34E8E2EA" w14:textId="77777777" w:rsidR="00ED4F4E" w:rsidRPr="00971206" w:rsidRDefault="00A86622" w:rsidP="009E46B1">
            <w:pPr>
              <w:keepNext/>
              <w:jc w:val="right"/>
              <w:rPr>
                <w:color w:val="000000"/>
              </w:rPr>
            </w:pPr>
            <w:r w:rsidRPr="00971206">
              <w:rPr>
                <w:color w:val="000000"/>
              </w:rPr>
              <w:t>30.770</w:t>
            </w:r>
          </w:p>
        </w:tc>
        <w:tc>
          <w:tcPr>
            <w:tcW w:w="664" w:type="pct"/>
            <w:tcBorders>
              <w:top w:val="nil"/>
              <w:left w:val="nil"/>
              <w:bottom w:val="nil"/>
              <w:right w:val="nil"/>
            </w:tcBorders>
            <w:shd w:val="clear" w:color="auto" w:fill="auto"/>
            <w:noWrap/>
            <w:vAlign w:val="center"/>
            <w:hideMark/>
          </w:tcPr>
          <w:p w14:paraId="65560B5D" w14:textId="77777777" w:rsidR="00ED4F4E" w:rsidRPr="00971206" w:rsidRDefault="00A86622" w:rsidP="009E46B1">
            <w:pPr>
              <w:keepNext/>
              <w:jc w:val="right"/>
              <w:rPr>
                <w:color w:val="000000"/>
              </w:rPr>
            </w:pPr>
            <w:r w:rsidRPr="00971206">
              <w:rPr>
                <w:color w:val="000000"/>
              </w:rPr>
              <w:t>2.920</w:t>
            </w:r>
          </w:p>
        </w:tc>
        <w:tc>
          <w:tcPr>
            <w:tcW w:w="640" w:type="pct"/>
            <w:tcBorders>
              <w:top w:val="nil"/>
              <w:left w:val="nil"/>
              <w:bottom w:val="nil"/>
              <w:right w:val="nil"/>
            </w:tcBorders>
            <w:shd w:val="clear" w:color="auto" w:fill="auto"/>
            <w:noWrap/>
            <w:vAlign w:val="center"/>
            <w:hideMark/>
          </w:tcPr>
          <w:p w14:paraId="30FEDF41" w14:textId="77777777" w:rsidR="00ED4F4E" w:rsidRPr="00971206" w:rsidRDefault="00A86622" w:rsidP="009E46B1">
            <w:pPr>
              <w:keepNext/>
              <w:jc w:val="right"/>
              <w:rPr>
                <w:color w:val="000000"/>
              </w:rPr>
            </w:pPr>
            <w:r w:rsidRPr="00971206">
              <w:rPr>
                <w:color w:val="000000"/>
              </w:rPr>
              <w:t>120,46</w:t>
            </w:r>
          </w:p>
        </w:tc>
        <w:tc>
          <w:tcPr>
            <w:tcW w:w="652" w:type="pct"/>
            <w:tcBorders>
              <w:top w:val="nil"/>
              <w:left w:val="nil"/>
              <w:bottom w:val="nil"/>
              <w:right w:val="nil"/>
            </w:tcBorders>
            <w:shd w:val="clear" w:color="auto" w:fill="auto"/>
            <w:noWrap/>
            <w:vAlign w:val="center"/>
            <w:hideMark/>
          </w:tcPr>
          <w:p w14:paraId="3CC78CBE" w14:textId="77777777" w:rsidR="00ED4F4E" w:rsidRPr="00971206" w:rsidRDefault="00A86622" w:rsidP="009E46B1">
            <w:pPr>
              <w:keepNext/>
              <w:jc w:val="right"/>
              <w:rPr>
                <w:color w:val="000000"/>
              </w:rPr>
            </w:pPr>
            <w:r w:rsidRPr="00971206">
              <w:rPr>
                <w:color w:val="000000"/>
              </w:rPr>
              <w:t>179,37</w:t>
            </w:r>
          </w:p>
        </w:tc>
        <w:tc>
          <w:tcPr>
            <w:tcW w:w="773" w:type="pct"/>
            <w:tcBorders>
              <w:top w:val="nil"/>
              <w:left w:val="nil"/>
              <w:bottom w:val="nil"/>
              <w:right w:val="nil"/>
            </w:tcBorders>
            <w:shd w:val="clear" w:color="auto" w:fill="auto"/>
            <w:noWrap/>
            <w:vAlign w:val="center"/>
            <w:hideMark/>
          </w:tcPr>
          <w:p w14:paraId="4E6F1D7B" w14:textId="77777777" w:rsidR="00ED4F4E" w:rsidRPr="00971206" w:rsidRDefault="00A86622" w:rsidP="009E46B1">
            <w:pPr>
              <w:keepNext/>
              <w:jc w:val="right"/>
              <w:rPr>
                <w:color w:val="000000"/>
              </w:rPr>
            </w:pPr>
            <w:r w:rsidRPr="00971206">
              <w:rPr>
                <w:color w:val="000000"/>
              </w:rPr>
              <w:t>9,5%</w:t>
            </w:r>
          </w:p>
        </w:tc>
      </w:tr>
      <w:tr w:rsidR="00A86622" w:rsidRPr="00971206" w14:paraId="4B8F8A2E" w14:textId="77777777" w:rsidTr="00277B54">
        <w:trPr>
          <w:trHeight w:val="300"/>
        </w:trPr>
        <w:tc>
          <w:tcPr>
            <w:tcW w:w="640" w:type="pct"/>
            <w:tcBorders>
              <w:top w:val="nil"/>
              <w:left w:val="nil"/>
              <w:bottom w:val="nil"/>
              <w:right w:val="nil"/>
            </w:tcBorders>
            <w:shd w:val="clear" w:color="auto" w:fill="auto"/>
            <w:noWrap/>
            <w:vAlign w:val="center"/>
            <w:hideMark/>
          </w:tcPr>
          <w:p w14:paraId="58CC8AC2" w14:textId="77777777" w:rsidR="00ED4F4E" w:rsidRPr="00971206" w:rsidRDefault="00A86622" w:rsidP="009E46B1">
            <w:pPr>
              <w:keepNext/>
              <w:jc w:val="center"/>
              <w:rPr>
                <w:color w:val="000000"/>
              </w:rPr>
            </w:pPr>
            <w:r w:rsidRPr="00971206">
              <w:rPr>
                <w:color w:val="000000"/>
              </w:rPr>
              <w:t>2011</w:t>
            </w:r>
          </w:p>
        </w:tc>
        <w:tc>
          <w:tcPr>
            <w:tcW w:w="737" w:type="pct"/>
            <w:tcBorders>
              <w:top w:val="nil"/>
              <w:left w:val="nil"/>
              <w:bottom w:val="nil"/>
              <w:right w:val="nil"/>
            </w:tcBorders>
            <w:shd w:val="clear" w:color="auto" w:fill="auto"/>
            <w:noWrap/>
            <w:vAlign w:val="center"/>
            <w:hideMark/>
          </w:tcPr>
          <w:p w14:paraId="39F41EE0" w14:textId="77777777" w:rsidR="00ED4F4E" w:rsidRPr="00971206" w:rsidRDefault="00A86622" w:rsidP="009E46B1">
            <w:pPr>
              <w:keepNext/>
              <w:jc w:val="right"/>
              <w:rPr>
                <w:color w:val="000000"/>
              </w:rPr>
            </w:pPr>
            <w:r w:rsidRPr="00971206">
              <w:rPr>
                <w:color w:val="000000"/>
              </w:rPr>
              <w:t>1.948.247</w:t>
            </w:r>
          </w:p>
        </w:tc>
        <w:tc>
          <w:tcPr>
            <w:tcW w:w="894" w:type="pct"/>
            <w:tcBorders>
              <w:top w:val="nil"/>
              <w:left w:val="nil"/>
              <w:bottom w:val="nil"/>
              <w:right w:val="nil"/>
            </w:tcBorders>
            <w:shd w:val="clear" w:color="auto" w:fill="auto"/>
            <w:noWrap/>
            <w:vAlign w:val="center"/>
            <w:hideMark/>
          </w:tcPr>
          <w:p w14:paraId="65514E84" w14:textId="77777777" w:rsidR="00ED4F4E" w:rsidRPr="00971206" w:rsidRDefault="00A86622" w:rsidP="009E46B1">
            <w:pPr>
              <w:keepNext/>
              <w:jc w:val="right"/>
              <w:rPr>
                <w:color w:val="000000"/>
              </w:rPr>
            </w:pPr>
            <w:r w:rsidRPr="00971206">
              <w:rPr>
                <w:color w:val="000000"/>
              </w:rPr>
              <w:t>32.953</w:t>
            </w:r>
          </w:p>
        </w:tc>
        <w:tc>
          <w:tcPr>
            <w:tcW w:w="664" w:type="pct"/>
            <w:tcBorders>
              <w:top w:val="nil"/>
              <w:left w:val="nil"/>
              <w:bottom w:val="nil"/>
              <w:right w:val="nil"/>
            </w:tcBorders>
            <w:shd w:val="clear" w:color="auto" w:fill="auto"/>
            <w:noWrap/>
            <w:vAlign w:val="center"/>
            <w:hideMark/>
          </w:tcPr>
          <w:p w14:paraId="7B3E014E" w14:textId="77777777" w:rsidR="00ED4F4E" w:rsidRPr="00971206" w:rsidRDefault="00A86622" w:rsidP="009E46B1">
            <w:pPr>
              <w:keepNext/>
              <w:jc w:val="right"/>
              <w:rPr>
                <w:color w:val="000000"/>
              </w:rPr>
            </w:pPr>
            <w:r w:rsidRPr="00971206">
              <w:rPr>
                <w:color w:val="000000"/>
              </w:rPr>
              <w:t>3.306</w:t>
            </w:r>
          </w:p>
        </w:tc>
        <w:tc>
          <w:tcPr>
            <w:tcW w:w="640" w:type="pct"/>
            <w:tcBorders>
              <w:top w:val="nil"/>
              <w:left w:val="nil"/>
              <w:bottom w:val="nil"/>
              <w:right w:val="nil"/>
            </w:tcBorders>
            <w:shd w:val="clear" w:color="auto" w:fill="auto"/>
            <w:noWrap/>
            <w:vAlign w:val="center"/>
            <w:hideMark/>
          </w:tcPr>
          <w:p w14:paraId="14C507FF" w14:textId="77777777" w:rsidR="00ED4F4E" w:rsidRPr="00971206" w:rsidRDefault="00A86622" w:rsidP="009E46B1">
            <w:pPr>
              <w:keepNext/>
              <w:jc w:val="right"/>
              <w:rPr>
                <w:color w:val="000000"/>
              </w:rPr>
            </w:pPr>
            <w:r w:rsidRPr="00971206">
              <w:rPr>
                <w:color w:val="000000"/>
              </w:rPr>
              <w:t>130,53</w:t>
            </w:r>
          </w:p>
        </w:tc>
        <w:tc>
          <w:tcPr>
            <w:tcW w:w="652" w:type="pct"/>
            <w:tcBorders>
              <w:top w:val="nil"/>
              <w:left w:val="nil"/>
              <w:bottom w:val="nil"/>
              <w:right w:val="nil"/>
            </w:tcBorders>
            <w:shd w:val="clear" w:color="auto" w:fill="auto"/>
            <w:noWrap/>
            <w:vAlign w:val="center"/>
            <w:hideMark/>
          </w:tcPr>
          <w:p w14:paraId="65D08273" w14:textId="77777777" w:rsidR="00ED4F4E" w:rsidRPr="00971206" w:rsidRDefault="00A86622" w:rsidP="009E46B1">
            <w:pPr>
              <w:keepNext/>
              <w:jc w:val="right"/>
              <w:rPr>
                <w:color w:val="000000"/>
              </w:rPr>
            </w:pPr>
            <w:r w:rsidRPr="00971206">
              <w:rPr>
                <w:color w:val="000000"/>
              </w:rPr>
              <w:t>183,51</w:t>
            </w:r>
          </w:p>
        </w:tc>
        <w:tc>
          <w:tcPr>
            <w:tcW w:w="773" w:type="pct"/>
            <w:tcBorders>
              <w:top w:val="nil"/>
              <w:left w:val="nil"/>
              <w:bottom w:val="nil"/>
              <w:right w:val="nil"/>
            </w:tcBorders>
            <w:shd w:val="clear" w:color="auto" w:fill="auto"/>
            <w:noWrap/>
            <w:vAlign w:val="center"/>
            <w:hideMark/>
          </w:tcPr>
          <w:p w14:paraId="0B295431" w14:textId="77777777" w:rsidR="00ED4F4E" w:rsidRPr="00971206" w:rsidRDefault="00A86622" w:rsidP="009E46B1">
            <w:pPr>
              <w:keepNext/>
              <w:jc w:val="right"/>
              <w:rPr>
                <w:color w:val="000000"/>
              </w:rPr>
            </w:pPr>
            <w:r w:rsidRPr="00971206">
              <w:rPr>
                <w:color w:val="000000"/>
              </w:rPr>
              <w:t>10,0%</w:t>
            </w:r>
          </w:p>
        </w:tc>
      </w:tr>
      <w:tr w:rsidR="00A86622" w:rsidRPr="00971206" w14:paraId="34E698D0" w14:textId="77777777" w:rsidTr="00277B54">
        <w:trPr>
          <w:trHeight w:val="300"/>
        </w:trPr>
        <w:tc>
          <w:tcPr>
            <w:tcW w:w="640" w:type="pct"/>
            <w:tcBorders>
              <w:top w:val="nil"/>
              <w:left w:val="nil"/>
              <w:bottom w:val="nil"/>
              <w:right w:val="nil"/>
            </w:tcBorders>
            <w:shd w:val="clear" w:color="auto" w:fill="auto"/>
            <w:noWrap/>
            <w:vAlign w:val="center"/>
            <w:hideMark/>
          </w:tcPr>
          <w:p w14:paraId="5CB4F142" w14:textId="77777777" w:rsidR="00ED4F4E" w:rsidRPr="00971206" w:rsidRDefault="00A86622" w:rsidP="009E46B1">
            <w:pPr>
              <w:keepNext/>
              <w:jc w:val="center"/>
              <w:rPr>
                <w:color w:val="000000"/>
              </w:rPr>
            </w:pPr>
            <w:r w:rsidRPr="00971206">
              <w:rPr>
                <w:color w:val="000000"/>
              </w:rPr>
              <w:t>2012</w:t>
            </w:r>
          </w:p>
        </w:tc>
        <w:tc>
          <w:tcPr>
            <w:tcW w:w="737" w:type="pct"/>
            <w:tcBorders>
              <w:top w:val="nil"/>
              <w:left w:val="nil"/>
              <w:bottom w:val="nil"/>
              <w:right w:val="nil"/>
            </w:tcBorders>
            <w:shd w:val="clear" w:color="auto" w:fill="auto"/>
            <w:noWrap/>
            <w:vAlign w:val="center"/>
            <w:hideMark/>
          </w:tcPr>
          <w:p w14:paraId="2498560F" w14:textId="77777777" w:rsidR="00ED4F4E" w:rsidRPr="00971206" w:rsidRDefault="00A86622" w:rsidP="009E46B1">
            <w:pPr>
              <w:keepNext/>
              <w:jc w:val="right"/>
              <w:rPr>
                <w:color w:val="000000"/>
              </w:rPr>
            </w:pPr>
            <w:r w:rsidRPr="00971206">
              <w:rPr>
                <w:color w:val="000000"/>
              </w:rPr>
              <w:t>2.043.356</w:t>
            </w:r>
          </w:p>
        </w:tc>
        <w:tc>
          <w:tcPr>
            <w:tcW w:w="894" w:type="pct"/>
            <w:tcBorders>
              <w:top w:val="nil"/>
              <w:left w:val="nil"/>
              <w:bottom w:val="nil"/>
              <w:right w:val="nil"/>
            </w:tcBorders>
            <w:shd w:val="clear" w:color="auto" w:fill="auto"/>
            <w:noWrap/>
            <w:vAlign w:val="center"/>
            <w:hideMark/>
          </w:tcPr>
          <w:p w14:paraId="032A3234" w14:textId="77777777" w:rsidR="00ED4F4E" w:rsidRPr="00971206" w:rsidRDefault="00A86622" w:rsidP="009E46B1">
            <w:pPr>
              <w:keepNext/>
              <w:jc w:val="right"/>
              <w:rPr>
                <w:color w:val="000000"/>
              </w:rPr>
            </w:pPr>
            <w:r w:rsidRPr="00971206">
              <w:rPr>
                <w:color w:val="000000"/>
              </w:rPr>
              <w:t>37.146</w:t>
            </w:r>
          </w:p>
        </w:tc>
        <w:tc>
          <w:tcPr>
            <w:tcW w:w="664" w:type="pct"/>
            <w:tcBorders>
              <w:top w:val="nil"/>
              <w:left w:val="nil"/>
              <w:bottom w:val="nil"/>
              <w:right w:val="nil"/>
            </w:tcBorders>
            <w:shd w:val="clear" w:color="auto" w:fill="auto"/>
            <w:noWrap/>
            <w:vAlign w:val="center"/>
            <w:hideMark/>
          </w:tcPr>
          <w:p w14:paraId="04D4A393" w14:textId="77777777" w:rsidR="00ED4F4E" w:rsidRPr="00971206" w:rsidRDefault="00A86622" w:rsidP="009E46B1">
            <w:pPr>
              <w:keepNext/>
              <w:jc w:val="right"/>
              <w:rPr>
                <w:color w:val="000000"/>
              </w:rPr>
            </w:pPr>
            <w:r w:rsidRPr="00971206">
              <w:rPr>
                <w:color w:val="000000"/>
              </w:rPr>
              <w:t>3.905</w:t>
            </w:r>
          </w:p>
        </w:tc>
        <w:tc>
          <w:tcPr>
            <w:tcW w:w="640" w:type="pct"/>
            <w:tcBorders>
              <w:top w:val="nil"/>
              <w:left w:val="nil"/>
              <w:bottom w:val="nil"/>
              <w:right w:val="nil"/>
            </w:tcBorders>
            <w:shd w:val="clear" w:color="auto" w:fill="auto"/>
            <w:noWrap/>
            <w:vAlign w:val="center"/>
            <w:hideMark/>
          </w:tcPr>
          <w:p w14:paraId="6C93F819" w14:textId="77777777" w:rsidR="00ED4F4E" w:rsidRPr="00971206" w:rsidRDefault="00A86622" w:rsidP="009E46B1">
            <w:pPr>
              <w:keepNext/>
              <w:jc w:val="right"/>
              <w:rPr>
                <w:color w:val="000000"/>
              </w:rPr>
            </w:pPr>
            <w:r w:rsidRPr="00971206">
              <w:rPr>
                <w:color w:val="000000"/>
              </w:rPr>
              <w:t>147,02</w:t>
            </w:r>
          </w:p>
        </w:tc>
        <w:tc>
          <w:tcPr>
            <w:tcW w:w="652" w:type="pct"/>
            <w:tcBorders>
              <w:top w:val="nil"/>
              <w:left w:val="nil"/>
              <w:bottom w:val="nil"/>
              <w:right w:val="nil"/>
            </w:tcBorders>
            <w:shd w:val="clear" w:color="auto" w:fill="auto"/>
            <w:noWrap/>
            <w:vAlign w:val="center"/>
            <w:hideMark/>
          </w:tcPr>
          <w:p w14:paraId="03A1C2AC" w14:textId="77777777" w:rsidR="00ED4F4E" w:rsidRPr="00971206" w:rsidRDefault="00A86622" w:rsidP="009E46B1">
            <w:pPr>
              <w:keepNext/>
              <w:jc w:val="right"/>
              <w:rPr>
                <w:color w:val="000000"/>
              </w:rPr>
            </w:pPr>
            <w:r w:rsidRPr="00971206">
              <w:rPr>
                <w:color w:val="000000"/>
              </w:rPr>
              <w:t>194,08</w:t>
            </w:r>
          </w:p>
        </w:tc>
        <w:tc>
          <w:tcPr>
            <w:tcW w:w="773" w:type="pct"/>
            <w:tcBorders>
              <w:top w:val="nil"/>
              <w:left w:val="nil"/>
              <w:bottom w:val="nil"/>
              <w:right w:val="nil"/>
            </w:tcBorders>
            <w:shd w:val="clear" w:color="auto" w:fill="auto"/>
            <w:noWrap/>
            <w:vAlign w:val="center"/>
            <w:hideMark/>
          </w:tcPr>
          <w:p w14:paraId="6FB604E4" w14:textId="77777777" w:rsidR="00ED4F4E" w:rsidRPr="00971206" w:rsidRDefault="00A86622" w:rsidP="009E46B1">
            <w:pPr>
              <w:keepNext/>
              <w:jc w:val="right"/>
              <w:rPr>
                <w:color w:val="000000"/>
              </w:rPr>
            </w:pPr>
            <w:r w:rsidRPr="00971206">
              <w:rPr>
                <w:color w:val="000000"/>
              </w:rPr>
              <w:t>10,5%</w:t>
            </w:r>
          </w:p>
        </w:tc>
      </w:tr>
      <w:tr w:rsidR="00A86622" w:rsidRPr="00971206" w14:paraId="24ED073D" w14:textId="77777777" w:rsidTr="00277B54">
        <w:trPr>
          <w:trHeight w:val="300"/>
        </w:trPr>
        <w:tc>
          <w:tcPr>
            <w:tcW w:w="640" w:type="pct"/>
            <w:tcBorders>
              <w:top w:val="nil"/>
              <w:left w:val="nil"/>
              <w:bottom w:val="nil"/>
              <w:right w:val="nil"/>
            </w:tcBorders>
            <w:shd w:val="clear" w:color="auto" w:fill="auto"/>
            <w:noWrap/>
            <w:vAlign w:val="center"/>
            <w:hideMark/>
          </w:tcPr>
          <w:p w14:paraId="0D813251" w14:textId="77777777" w:rsidR="00ED4F4E" w:rsidRPr="00971206" w:rsidRDefault="00A86622" w:rsidP="009E46B1">
            <w:pPr>
              <w:keepNext/>
              <w:jc w:val="center"/>
              <w:rPr>
                <w:color w:val="000000"/>
              </w:rPr>
            </w:pPr>
            <w:r w:rsidRPr="00971206">
              <w:rPr>
                <w:color w:val="000000"/>
              </w:rPr>
              <w:t>2013</w:t>
            </w:r>
          </w:p>
        </w:tc>
        <w:tc>
          <w:tcPr>
            <w:tcW w:w="737" w:type="pct"/>
            <w:tcBorders>
              <w:top w:val="nil"/>
              <w:left w:val="nil"/>
              <w:bottom w:val="nil"/>
              <w:right w:val="nil"/>
            </w:tcBorders>
            <w:shd w:val="clear" w:color="auto" w:fill="auto"/>
            <w:noWrap/>
            <w:vAlign w:val="center"/>
            <w:hideMark/>
          </w:tcPr>
          <w:p w14:paraId="3073FD3B" w14:textId="77777777" w:rsidR="00ED4F4E" w:rsidRPr="00971206" w:rsidRDefault="00A86622" w:rsidP="009E46B1">
            <w:pPr>
              <w:keepNext/>
              <w:jc w:val="right"/>
              <w:rPr>
                <w:color w:val="000000"/>
              </w:rPr>
            </w:pPr>
            <w:r w:rsidRPr="00971206">
              <w:rPr>
                <w:color w:val="000000"/>
              </w:rPr>
              <w:t>2.262.244</w:t>
            </w:r>
          </w:p>
        </w:tc>
        <w:tc>
          <w:tcPr>
            <w:tcW w:w="894" w:type="pct"/>
            <w:tcBorders>
              <w:top w:val="nil"/>
              <w:left w:val="nil"/>
              <w:bottom w:val="nil"/>
              <w:right w:val="nil"/>
            </w:tcBorders>
            <w:shd w:val="clear" w:color="auto" w:fill="auto"/>
            <w:noWrap/>
            <w:vAlign w:val="center"/>
            <w:hideMark/>
          </w:tcPr>
          <w:p w14:paraId="6CC695ED" w14:textId="77777777" w:rsidR="00ED4F4E" w:rsidRPr="00971206" w:rsidRDefault="00A86622" w:rsidP="009E46B1">
            <w:pPr>
              <w:keepNext/>
              <w:jc w:val="right"/>
              <w:rPr>
                <w:color w:val="000000"/>
              </w:rPr>
            </w:pPr>
            <w:r w:rsidRPr="00971206">
              <w:rPr>
                <w:color w:val="000000"/>
              </w:rPr>
              <w:t>42.930</w:t>
            </w:r>
          </w:p>
        </w:tc>
        <w:tc>
          <w:tcPr>
            <w:tcW w:w="664" w:type="pct"/>
            <w:tcBorders>
              <w:top w:val="nil"/>
              <w:left w:val="nil"/>
              <w:bottom w:val="nil"/>
              <w:right w:val="nil"/>
            </w:tcBorders>
            <w:shd w:val="clear" w:color="auto" w:fill="auto"/>
            <w:noWrap/>
            <w:vAlign w:val="center"/>
            <w:hideMark/>
          </w:tcPr>
          <w:p w14:paraId="1972889B" w14:textId="77777777" w:rsidR="00ED4F4E" w:rsidRPr="00971206" w:rsidRDefault="00A86622" w:rsidP="009E46B1">
            <w:pPr>
              <w:keepNext/>
              <w:jc w:val="right"/>
              <w:rPr>
                <w:color w:val="000000"/>
              </w:rPr>
            </w:pPr>
            <w:r w:rsidRPr="00971206">
              <w:rPr>
                <w:color w:val="000000"/>
              </w:rPr>
              <w:t>4.684</w:t>
            </w:r>
          </w:p>
        </w:tc>
        <w:tc>
          <w:tcPr>
            <w:tcW w:w="640" w:type="pct"/>
            <w:tcBorders>
              <w:top w:val="nil"/>
              <w:left w:val="nil"/>
              <w:bottom w:val="nil"/>
              <w:right w:val="nil"/>
            </w:tcBorders>
            <w:shd w:val="clear" w:color="auto" w:fill="auto"/>
            <w:noWrap/>
            <w:vAlign w:val="center"/>
            <w:hideMark/>
          </w:tcPr>
          <w:p w14:paraId="59EF5E2D" w14:textId="77777777" w:rsidR="00ED4F4E" w:rsidRPr="00971206" w:rsidRDefault="00A86622" w:rsidP="009E46B1">
            <w:pPr>
              <w:keepNext/>
              <w:jc w:val="right"/>
              <w:rPr>
                <w:color w:val="000000"/>
              </w:rPr>
            </w:pPr>
            <w:r w:rsidRPr="00971206">
              <w:rPr>
                <w:color w:val="000000"/>
              </w:rPr>
              <w:t>159,28</w:t>
            </w:r>
          </w:p>
        </w:tc>
        <w:tc>
          <w:tcPr>
            <w:tcW w:w="652" w:type="pct"/>
            <w:tcBorders>
              <w:top w:val="nil"/>
              <w:left w:val="nil"/>
              <w:bottom w:val="nil"/>
              <w:right w:val="nil"/>
            </w:tcBorders>
            <w:shd w:val="clear" w:color="auto" w:fill="auto"/>
            <w:noWrap/>
            <w:vAlign w:val="center"/>
            <w:hideMark/>
          </w:tcPr>
          <w:p w14:paraId="4EFCC335" w14:textId="77777777" w:rsidR="00ED4F4E" w:rsidRPr="00971206" w:rsidRDefault="00A86622" w:rsidP="009E46B1">
            <w:pPr>
              <w:keepNext/>
              <w:jc w:val="right"/>
              <w:rPr>
                <w:color w:val="000000"/>
              </w:rPr>
            </w:pPr>
            <w:r w:rsidRPr="00971206">
              <w:rPr>
                <w:color w:val="000000"/>
              </w:rPr>
              <w:t>198,66</w:t>
            </w:r>
          </w:p>
        </w:tc>
        <w:tc>
          <w:tcPr>
            <w:tcW w:w="773" w:type="pct"/>
            <w:tcBorders>
              <w:top w:val="nil"/>
              <w:left w:val="nil"/>
              <w:bottom w:val="nil"/>
              <w:right w:val="nil"/>
            </w:tcBorders>
            <w:shd w:val="clear" w:color="auto" w:fill="auto"/>
            <w:noWrap/>
            <w:vAlign w:val="center"/>
            <w:hideMark/>
          </w:tcPr>
          <w:p w14:paraId="51D9A072" w14:textId="77777777" w:rsidR="00ED4F4E" w:rsidRPr="00971206" w:rsidRDefault="00A86622" w:rsidP="009E46B1">
            <w:pPr>
              <w:keepNext/>
              <w:jc w:val="right"/>
              <w:rPr>
                <w:color w:val="000000"/>
              </w:rPr>
            </w:pPr>
            <w:r w:rsidRPr="00971206">
              <w:rPr>
                <w:color w:val="000000"/>
              </w:rPr>
              <w:t>10,9%</w:t>
            </w:r>
          </w:p>
        </w:tc>
      </w:tr>
      <w:tr w:rsidR="00A86622" w:rsidRPr="00971206" w14:paraId="4D583975" w14:textId="77777777" w:rsidTr="00277B54">
        <w:trPr>
          <w:trHeight w:val="300"/>
        </w:trPr>
        <w:tc>
          <w:tcPr>
            <w:tcW w:w="640" w:type="pct"/>
            <w:tcBorders>
              <w:top w:val="nil"/>
              <w:left w:val="nil"/>
              <w:bottom w:val="nil"/>
              <w:right w:val="nil"/>
            </w:tcBorders>
            <w:shd w:val="clear" w:color="auto" w:fill="auto"/>
            <w:noWrap/>
            <w:vAlign w:val="center"/>
            <w:hideMark/>
          </w:tcPr>
          <w:p w14:paraId="343B7020" w14:textId="77777777" w:rsidR="00ED4F4E" w:rsidRPr="00971206" w:rsidRDefault="00A86622" w:rsidP="009E46B1">
            <w:pPr>
              <w:keepNext/>
              <w:jc w:val="center"/>
              <w:rPr>
                <w:color w:val="000000"/>
              </w:rPr>
            </w:pPr>
            <w:r w:rsidRPr="00971206">
              <w:rPr>
                <w:color w:val="000000"/>
              </w:rPr>
              <w:t>2014</w:t>
            </w:r>
          </w:p>
        </w:tc>
        <w:tc>
          <w:tcPr>
            <w:tcW w:w="737" w:type="pct"/>
            <w:tcBorders>
              <w:top w:val="nil"/>
              <w:left w:val="nil"/>
              <w:bottom w:val="nil"/>
              <w:right w:val="nil"/>
            </w:tcBorders>
            <w:shd w:val="clear" w:color="auto" w:fill="auto"/>
            <w:noWrap/>
            <w:vAlign w:val="center"/>
            <w:hideMark/>
          </w:tcPr>
          <w:p w14:paraId="6749419B" w14:textId="77777777" w:rsidR="00ED4F4E" w:rsidRPr="00971206" w:rsidRDefault="00A86622" w:rsidP="009E46B1">
            <w:pPr>
              <w:keepNext/>
              <w:jc w:val="right"/>
              <w:rPr>
                <w:color w:val="000000"/>
              </w:rPr>
            </w:pPr>
            <w:r w:rsidRPr="00971206">
              <w:rPr>
                <w:color w:val="000000"/>
              </w:rPr>
              <w:t>2.443.012</w:t>
            </w:r>
          </w:p>
        </w:tc>
        <w:tc>
          <w:tcPr>
            <w:tcW w:w="894" w:type="pct"/>
            <w:tcBorders>
              <w:top w:val="nil"/>
              <w:left w:val="nil"/>
              <w:bottom w:val="nil"/>
              <w:right w:val="nil"/>
            </w:tcBorders>
            <w:shd w:val="clear" w:color="auto" w:fill="auto"/>
            <w:noWrap/>
            <w:vAlign w:val="center"/>
            <w:hideMark/>
          </w:tcPr>
          <w:p w14:paraId="0066CA2E" w14:textId="77777777" w:rsidR="00ED4F4E" w:rsidRPr="00971206" w:rsidRDefault="00A86622" w:rsidP="009E46B1">
            <w:pPr>
              <w:keepNext/>
              <w:jc w:val="right"/>
              <w:rPr>
                <w:color w:val="000000"/>
              </w:rPr>
            </w:pPr>
            <w:r w:rsidRPr="00971206">
              <w:rPr>
                <w:color w:val="000000"/>
              </w:rPr>
              <w:t>48.727</w:t>
            </w:r>
          </w:p>
        </w:tc>
        <w:tc>
          <w:tcPr>
            <w:tcW w:w="664" w:type="pct"/>
            <w:tcBorders>
              <w:top w:val="nil"/>
              <w:left w:val="nil"/>
              <w:bottom w:val="nil"/>
              <w:right w:val="nil"/>
            </w:tcBorders>
            <w:shd w:val="clear" w:color="auto" w:fill="auto"/>
            <w:noWrap/>
            <w:vAlign w:val="center"/>
            <w:hideMark/>
          </w:tcPr>
          <w:p w14:paraId="0266E549" w14:textId="77777777" w:rsidR="00ED4F4E" w:rsidRPr="00971206" w:rsidRDefault="00A86622" w:rsidP="009E46B1">
            <w:pPr>
              <w:keepNext/>
              <w:jc w:val="right"/>
              <w:rPr>
                <w:color w:val="000000"/>
              </w:rPr>
            </w:pPr>
            <w:r w:rsidRPr="00971206">
              <w:rPr>
                <w:color w:val="000000"/>
              </w:rPr>
              <w:t>5.398</w:t>
            </w:r>
          </w:p>
        </w:tc>
        <w:tc>
          <w:tcPr>
            <w:tcW w:w="640" w:type="pct"/>
            <w:tcBorders>
              <w:top w:val="nil"/>
              <w:left w:val="nil"/>
              <w:bottom w:val="nil"/>
              <w:right w:val="nil"/>
            </w:tcBorders>
            <w:shd w:val="clear" w:color="auto" w:fill="auto"/>
            <w:noWrap/>
            <w:vAlign w:val="center"/>
            <w:hideMark/>
          </w:tcPr>
          <w:p w14:paraId="4076D931" w14:textId="77777777" w:rsidR="00ED4F4E" w:rsidRPr="00971206" w:rsidRDefault="00A86622" w:rsidP="009E46B1">
            <w:pPr>
              <w:keepNext/>
              <w:jc w:val="right"/>
              <w:rPr>
                <w:color w:val="000000"/>
              </w:rPr>
            </w:pPr>
            <w:r w:rsidRPr="00971206">
              <w:rPr>
                <w:color w:val="000000"/>
              </w:rPr>
              <w:t>169,98</w:t>
            </w:r>
          </w:p>
        </w:tc>
        <w:tc>
          <w:tcPr>
            <w:tcW w:w="652" w:type="pct"/>
            <w:tcBorders>
              <w:top w:val="nil"/>
              <w:left w:val="nil"/>
              <w:bottom w:val="nil"/>
              <w:right w:val="nil"/>
            </w:tcBorders>
            <w:shd w:val="clear" w:color="auto" w:fill="auto"/>
            <w:noWrap/>
            <w:vAlign w:val="center"/>
            <w:hideMark/>
          </w:tcPr>
          <w:p w14:paraId="2A771371" w14:textId="77777777" w:rsidR="00ED4F4E" w:rsidRPr="00971206" w:rsidRDefault="00A86622" w:rsidP="009E46B1">
            <w:pPr>
              <w:keepNext/>
              <w:jc w:val="right"/>
              <w:rPr>
                <w:color w:val="000000"/>
              </w:rPr>
            </w:pPr>
            <w:r w:rsidRPr="00971206">
              <w:rPr>
                <w:color w:val="000000"/>
              </w:rPr>
              <w:t>200,17</w:t>
            </w:r>
          </w:p>
        </w:tc>
        <w:tc>
          <w:tcPr>
            <w:tcW w:w="773" w:type="pct"/>
            <w:tcBorders>
              <w:top w:val="nil"/>
              <w:left w:val="nil"/>
              <w:bottom w:val="nil"/>
              <w:right w:val="nil"/>
            </w:tcBorders>
            <w:shd w:val="clear" w:color="auto" w:fill="auto"/>
            <w:noWrap/>
            <w:vAlign w:val="center"/>
            <w:hideMark/>
          </w:tcPr>
          <w:p w14:paraId="3531AA1F" w14:textId="77777777" w:rsidR="00ED4F4E" w:rsidRPr="00971206" w:rsidRDefault="00A86622" w:rsidP="009E46B1">
            <w:pPr>
              <w:keepNext/>
              <w:jc w:val="right"/>
              <w:rPr>
                <w:color w:val="000000"/>
              </w:rPr>
            </w:pPr>
            <w:r w:rsidRPr="00971206">
              <w:rPr>
                <w:color w:val="000000"/>
              </w:rPr>
              <w:t>11,1%</w:t>
            </w:r>
          </w:p>
        </w:tc>
      </w:tr>
      <w:tr w:rsidR="00A86622" w:rsidRPr="00971206" w14:paraId="1C80168D" w14:textId="77777777" w:rsidTr="00277B54">
        <w:trPr>
          <w:trHeight w:val="300"/>
        </w:trPr>
        <w:tc>
          <w:tcPr>
            <w:tcW w:w="640" w:type="pct"/>
            <w:tcBorders>
              <w:top w:val="nil"/>
              <w:left w:val="nil"/>
              <w:bottom w:val="single" w:sz="4" w:space="0" w:color="auto"/>
              <w:right w:val="nil"/>
            </w:tcBorders>
            <w:shd w:val="clear" w:color="auto" w:fill="auto"/>
            <w:noWrap/>
            <w:vAlign w:val="center"/>
            <w:hideMark/>
          </w:tcPr>
          <w:p w14:paraId="4CA1214F" w14:textId="77777777" w:rsidR="00ED4F4E" w:rsidRPr="00971206" w:rsidRDefault="00A86622" w:rsidP="009E46B1">
            <w:pPr>
              <w:keepNext/>
              <w:jc w:val="center"/>
              <w:rPr>
                <w:color w:val="000000"/>
              </w:rPr>
            </w:pPr>
            <w:r w:rsidRPr="00971206">
              <w:rPr>
                <w:color w:val="000000"/>
              </w:rPr>
              <w:t>2015</w:t>
            </w:r>
          </w:p>
        </w:tc>
        <w:tc>
          <w:tcPr>
            <w:tcW w:w="737" w:type="pct"/>
            <w:tcBorders>
              <w:top w:val="nil"/>
              <w:left w:val="nil"/>
              <w:bottom w:val="single" w:sz="4" w:space="0" w:color="auto"/>
              <w:right w:val="nil"/>
            </w:tcBorders>
            <w:shd w:val="clear" w:color="auto" w:fill="auto"/>
            <w:noWrap/>
            <w:vAlign w:val="center"/>
            <w:hideMark/>
          </w:tcPr>
          <w:p w14:paraId="5C87AB70" w14:textId="77777777" w:rsidR="00ED4F4E" w:rsidRPr="00971206" w:rsidRDefault="00A86622" w:rsidP="009E46B1">
            <w:pPr>
              <w:keepNext/>
              <w:jc w:val="right"/>
              <w:rPr>
                <w:color w:val="000000"/>
              </w:rPr>
            </w:pPr>
            <w:r w:rsidRPr="00971206">
              <w:rPr>
                <w:color w:val="000000"/>
              </w:rPr>
              <w:t>2.722.025</w:t>
            </w:r>
          </w:p>
        </w:tc>
        <w:tc>
          <w:tcPr>
            <w:tcW w:w="894" w:type="pct"/>
            <w:tcBorders>
              <w:top w:val="nil"/>
              <w:left w:val="nil"/>
              <w:bottom w:val="single" w:sz="4" w:space="0" w:color="auto"/>
              <w:right w:val="nil"/>
            </w:tcBorders>
            <w:shd w:val="clear" w:color="auto" w:fill="auto"/>
            <w:noWrap/>
            <w:vAlign w:val="center"/>
            <w:hideMark/>
          </w:tcPr>
          <w:p w14:paraId="5BC8DC6D" w14:textId="77777777" w:rsidR="00ED4F4E" w:rsidRPr="00971206" w:rsidRDefault="00A86622" w:rsidP="009E46B1">
            <w:pPr>
              <w:keepNext/>
              <w:jc w:val="right"/>
              <w:rPr>
                <w:color w:val="000000"/>
              </w:rPr>
            </w:pPr>
            <w:r w:rsidRPr="00971206">
              <w:rPr>
                <w:color w:val="000000"/>
              </w:rPr>
              <w:t>56.674</w:t>
            </w:r>
          </w:p>
        </w:tc>
        <w:tc>
          <w:tcPr>
            <w:tcW w:w="664" w:type="pct"/>
            <w:tcBorders>
              <w:top w:val="nil"/>
              <w:left w:val="nil"/>
              <w:bottom w:val="single" w:sz="4" w:space="0" w:color="auto"/>
              <w:right w:val="nil"/>
            </w:tcBorders>
            <w:shd w:val="clear" w:color="auto" w:fill="auto"/>
            <w:noWrap/>
            <w:vAlign w:val="center"/>
            <w:hideMark/>
          </w:tcPr>
          <w:p w14:paraId="43BD1B49" w14:textId="77777777" w:rsidR="00ED4F4E" w:rsidRPr="00971206" w:rsidRDefault="00A86622" w:rsidP="009E46B1">
            <w:pPr>
              <w:keepNext/>
              <w:jc w:val="right"/>
              <w:rPr>
                <w:color w:val="000000"/>
              </w:rPr>
            </w:pPr>
            <w:r w:rsidRPr="00971206">
              <w:rPr>
                <w:color w:val="000000"/>
              </w:rPr>
              <w:t>5.547</w:t>
            </w:r>
          </w:p>
        </w:tc>
        <w:tc>
          <w:tcPr>
            <w:tcW w:w="640" w:type="pct"/>
            <w:tcBorders>
              <w:top w:val="nil"/>
              <w:left w:val="nil"/>
              <w:bottom w:val="single" w:sz="4" w:space="0" w:color="auto"/>
              <w:right w:val="nil"/>
            </w:tcBorders>
            <w:shd w:val="clear" w:color="auto" w:fill="auto"/>
            <w:noWrap/>
            <w:vAlign w:val="center"/>
            <w:hideMark/>
          </w:tcPr>
          <w:p w14:paraId="48CCA99E" w14:textId="77777777" w:rsidR="00ED4F4E" w:rsidRPr="00971206" w:rsidRDefault="00A86622" w:rsidP="009E46B1">
            <w:pPr>
              <w:keepNext/>
              <w:jc w:val="right"/>
              <w:rPr>
                <w:color w:val="000000"/>
              </w:rPr>
            </w:pPr>
            <w:r w:rsidRPr="00971206">
              <w:rPr>
                <w:color w:val="000000"/>
              </w:rPr>
              <w:t>156,75</w:t>
            </w:r>
          </w:p>
        </w:tc>
        <w:tc>
          <w:tcPr>
            <w:tcW w:w="652" w:type="pct"/>
            <w:tcBorders>
              <w:top w:val="nil"/>
              <w:left w:val="nil"/>
              <w:bottom w:val="single" w:sz="4" w:space="0" w:color="auto"/>
              <w:right w:val="nil"/>
            </w:tcBorders>
            <w:shd w:val="clear" w:color="auto" w:fill="auto"/>
            <w:noWrap/>
            <w:vAlign w:val="center"/>
            <w:hideMark/>
          </w:tcPr>
          <w:p w14:paraId="6E93F407" w14:textId="77777777" w:rsidR="00ED4F4E" w:rsidRPr="00971206" w:rsidRDefault="00A86622" w:rsidP="009E46B1">
            <w:pPr>
              <w:keepNext/>
              <w:jc w:val="right"/>
              <w:rPr>
                <w:color w:val="000000"/>
              </w:rPr>
            </w:pPr>
            <w:r w:rsidRPr="00971206">
              <w:rPr>
                <w:color w:val="000000"/>
              </w:rPr>
              <w:t>173,48</w:t>
            </w:r>
          </w:p>
        </w:tc>
        <w:tc>
          <w:tcPr>
            <w:tcW w:w="773" w:type="pct"/>
            <w:tcBorders>
              <w:top w:val="nil"/>
              <w:left w:val="nil"/>
              <w:bottom w:val="single" w:sz="4" w:space="0" w:color="auto"/>
              <w:right w:val="nil"/>
            </w:tcBorders>
            <w:shd w:val="clear" w:color="auto" w:fill="auto"/>
            <w:noWrap/>
            <w:vAlign w:val="center"/>
            <w:hideMark/>
          </w:tcPr>
          <w:p w14:paraId="3D05A462" w14:textId="77777777" w:rsidR="00ED4F4E" w:rsidRPr="00971206" w:rsidRDefault="00A86622" w:rsidP="009E46B1">
            <w:pPr>
              <w:keepNext/>
              <w:jc w:val="right"/>
              <w:rPr>
                <w:color w:val="000000"/>
              </w:rPr>
            </w:pPr>
            <w:r w:rsidRPr="00971206">
              <w:rPr>
                <w:color w:val="000000"/>
              </w:rPr>
              <w:t>9,8%</w:t>
            </w:r>
          </w:p>
        </w:tc>
      </w:tr>
    </w:tbl>
    <w:p w14:paraId="78EDD59E" w14:textId="77777777" w:rsidR="00ED4F4E" w:rsidRPr="00BB5151" w:rsidRDefault="008D4E06" w:rsidP="009E46B1">
      <w:pPr>
        <w:spacing w:before="120"/>
        <w:jc w:val="both"/>
        <w:rPr>
          <w:sz w:val="20"/>
          <w:szCs w:val="20"/>
        </w:rPr>
      </w:pPr>
      <w:r w:rsidRPr="00BB5151">
        <w:rPr>
          <w:sz w:val="20"/>
          <w:szCs w:val="20"/>
        </w:rPr>
        <w:t>Fonte: Receita Federal do Brasil</w:t>
      </w:r>
      <w:r w:rsidR="00905382" w:rsidRPr="00BB5151">
        <w:rPr>
          <w:sz w:val="20"/>
          <w:szCs w:val="20"/>
        </w:rPr>
        <w:t>. Elaboração própria.</w:t>
      </w:r>
    </w:p>
    <w:p w14:paraId="572909A8" w14:textId="77777777" w:rsidR="00ED4F4E" w:rsidRPr="00971206" w:rsidRDefault="00ED4F4E" w:rsidP="00346D37">
      <w:pPr>
        <w:jc w:val="both"/>
      </w:pPr>
    </w:p>
    <w:p w14:paraId="72EA911D" w14:textId="4B275EDF" w:rsidR="00A65B5B" w:rsidRPr="00971206" w:rsidRDefault="00A65B5B" w:rsidP="00BB5151">
      <w:pPr>
        <w:ind w:firstLine="851"/>
        <w:jc w:val="both"/>
      </w:pPr>
      <w:r w:rsidRPr="00971206">
        <w:t xml:space="preserve">No caso das isenções </w:t>
      </w:r>
      <w:r w:rsidR="00D653E6" w:rsidRPr="00971206">
        <w:t xml:space="preserve">sobre os </w:t>
      </w:r>
      <w:r w:rsidRPr="00971206">
        <w:t xml:space="preserve">rendimentos oriundos de aposentadorias ou pensões de declarantes </w:t>
      </w:r>
      <w:r w:rsidR="00821564" w:rsidRPr="00971206">
        <w:t xml:space="preserve">portadores de </w:t>
      </w:r>
      <w:r w:rsidRPr="00971206">
        <w:t>moléstias graves</w:t>
      </w:r>
      <w:r w:rsidR="003C6D7A" w:rsidRPr="00971206">
        <w:rPr>
          <w:rStyle w:val="Refdenotaderodap"/>
        </w:rPr>
        <w:footnoteReference w:id="7"/>
      </w:r>
      <w:r w:rsidRPr="00971206">
        <w:t xml:space="preserve">, o </w:t>
      </w:r>
      <w:r w:rsidR="00905382" w:rsidRPr="00971206">
        <w:t xml:space="preserve">público </w:t>
      </w:r>
      <w:r w:rsidRPr="00971206">
        <w:t xml:space="preserve">beneficiado foi da ordem </w:t>
      </w:r>
      <w:r w:rsidR="00D7789A" w:rsidRPr="00971206">
        <w:t xml:space="preserve">de </w:t>
      </w:r>
      <w:r w:rsidR="009C0ADB" w:rsidRPr="00971206">
        <w:t>580 mil</w:t>
      </w:r>
      <w:r w:rsidRPr="00971206">
        <w:t xml:space="preserve"> pessoas, em 20</w:t>
      </w:r>
      <w:r w:rsidR="009C0ADB" w:rsidRPr="00971206">
        <w:t>15</w:t>
      </w:r>
      <w:r w:rsidR="003E31F2" w:rsidRPr="00971206">
        <w:t xml:space="preserve">. Considerando que o gasto tributário estimado pela Receita </w:t>
      </w:r>
      <w:r w:rsidR="009C0ADB" w:rsidRPr="00971206">
        <w:t xml:space="preserve">Federal nesse ano foi de </w:t>
      </w:r>
      <w:r w:rsidR="000770A6" w:rsidRPr="00971206">
        <w:t>mais</w:t>
      </w:r>
      <w:r w:rsidR="009C0ADB" w:rsidRPr="00971206">
        <w:t xml:space="preserve"> R$ </w:t>
      </w:r>
      <w:r w:rsidR="000770A6" w:rsidRPr="00971206">
        <w:t>9</w:t>
      </w:r>
      <w:r w:rsidR="003E31F2" w:rsidRPr="00971206">
        <w:t xml:space="preserve"> bilhões, chega-se a um </w:t>
      </w:r>
      <w:r w:rsidR="009F0B32" w:rsidRPr="00971206">
        <w:t>benefício</w:t>
      </w:r>
      <w:r w:rsidR="003E31F2" w:rsidRPr="00971206">
        <w:t xml:space="preserve"> médio mensal (13 parcelas) de R$ 1.</w:t>
      </w:r>
      <w:r w:rsidR="009C0ADB" w:rsidRPr="00971206">
        <w:t>347,14</w:t>
      </w:r>
      <w:r w:rsidR="003E31F2" w:rsidRPr="00971206">
        <w:t>.</w:t>
      </w:r>
      <w:r w:rsidR="000770A6" w:rsidRPr="00971206">
        <w:t xml:space="preserve"> Esse valor refere-se </w:t>
      </w:r>
      <w:r w:rsidR="00821564" w:rsidRPr="00971206">
        <w:t xml:space="preserve">à </w:t>
      </w:r>
      <w:r w:rsidR="000770A6" w:rsidRPr="00971206">
        <w:t>razão entre o gasto</w:t>
      </w:r>
      <w:r w:rsidR="00821564" w:rsidRPr="00971206">
        <w:t xml:space="preserve"> tributário</w:t>
      </w:r>
      <w:r w:rsidR="000770A6" w:rsidRPr="00971206">
        <w:t xml:space="preserve"> estimado pela </w:t>
      </w:r>
      <w:r w:rsidR="00821564" w:rsidRPr="00971206">
        <w:t xml:space="preserve">Receita Federal </w:t>
      </w:r>
      <w:r w:rsidR="000770A6" w:rsidRPr="00971206">
        <w:t xml:space="preserve">com esse </w:t>
      </w:r>
      <w:r w:rsidR="00346D37" w:rsidRPr="00971206">
        <w:t>benefício</w:t>
      </w:r>
      <w:r w:rsidR="000770A6" w:rsidRPr="00971206">
        <w:t xml:space="preserve"> e o </w:t>
      </w:r>
      <w:r w:rsidR="00346D37" w:rsidRPr="00971206">
        <w:t>número</w:t>
      </w:r>
      <w:r w:rsidR="000770A6" w:rsidRPr="00971206">
        <w:t xml:space="preserve"> de declarantes com isenção por doenças crônicas, considerando treze parcelas anuais. </w:t>
      </w:r>
      <w:r w:rsidR="003E31F2" w:rsidRPr="00971206">
        <w:t xml:space="preserve">A </w:t>
      </w:r>
      <w:r w:rsidR="00D64542" w:rsidRPr="00971206">
        <w:t>T</w:t>
      </w:r>
      <w:r w:rsidR="003E31F2" w:rsidRPr="00971206">
        <w:t xml:space="preserve">abela </w:t>
      </w:r>
      <w:r w:rsidR="00D64542" w:rsidRPr="00971206">
        <w:t>2</w:t>
      </w:r>
      <w:r w:rsidR="003E31F2" w:rsidRPr="00971206">
        <w:t xml:space="preserve"> apresenta os dados do </w:t>
      </w:r>
      <w:r w:rsidR="008E1691" w:rsidRPr="00971206">
        <w:t xml:space="preserve">número </w:t>
      </w:r>
      <w:r w:rsidR="003E31F2" w:rsidRPr="00971206">
        <w:t xml:space="preserve">de declarantes com doenças crônicas beneficiados da isenção, o valor </w:t>
      </w:r>
      <w:r w:rsidR="003E31F2" w:rsidRPr="00971206">
        <w:lastRenderedPageBreak/>
        <w:t xml:space="preserve">total dessas aposentadorias/pensões isentas e o gasto tributário estimado, com os benefícios médios mensais em valores nominais e de 2016. </w:t>
      </w:r>
    </w:p>
    <w:p w14:paraId="2BCDFA46" w14:textId="77777777" w:rsidR="008D4E06" w:rsidRPr="00971206" w:rsidRDefault="008D4E06" w:rsidP="008D4E06">
      <w:pPr>
        <w:jc w:val="both"/>
      </w:pPr>
    </w:p>
    <w:p w14:paraId="18072945" w14:textId="77777777" w:rsidR="00277B54" w:rsidRPr="00971206" w:rsidRDefault="008D4E06" w:rsidP="008D4E06">
      <w:pPr>
        <w:spacing w:after="120"/>
        <w:jc w:val="both"/>
      </w:pPr>
      <w:r w:rsidRPr="00971206">
        <w:t xml:space="preserve">Tabela 2 – Declarantes com </w:t>
      </w:r>
      <w:r w:rsidR="00905382" w:rsidRPr="00971206">
        <w:t>moléstias graves</w:t>
      </w:r>
      <w:r w:rsidRPr="00971206">
        <w:t xml:space="preserve">, valor total dos rendimentos isentos, da renúncia com o </w:t>
      </w:r>
      <w:r w:rsidR="009F0B32" w:rsidRPr="00971206">
        <w:t>benefício</w:t>
      </w:r>
      <w:r w:rsidR="008E1691" w:rsidRPr="00971206">
        <w:t xml:space="preserve"> </w:t>
      </w:r>
      <w:r w:rsidRPr="00971206">
        <w:t>e do benefício mensal médio – Brasil, 2008-2015</w:t>
      </w:r>
      <w:r w:rsidR="00905382" w:rsidRPr="00971206">
        <w:t>.</w:t>
      </w:r>
    </w:p>
    <w:tbl>
      <w:tblPr>
        <w:tblW w:w="8367" w:type="dxa"/>
        <w:tblCellMar>
          <w:left w:w="70" w:type="dxa"/>
          <w:right w:w="70" w:type="dxa"/>
        </w:tblCellMar>
        <w:tblLook w:val="04A0" w:firstRow="1" w:lastRow="0" w:firstColumn="1" w:lastColumn="0" w:noHBand="0" w:noVBand="1"/>
      </w:tblPr>
      <w:tblGrid>
        <w:gridCol w:w="1071"/>
        <w:gridCol w:w="1353"/>
        <w:gridCol w:w="1496"/>
        <w:gridCol w:w="1114"/>
        <w:gridCol w:w="1074"/>
        <w:gridCol w:w="1091"/>
        <w:gridCol w:w="1327"/>
      </w:tblGrid>
      <w:tr w:rsidR="009C0ADB" w:rsidRPr="00971206" w14:paraId="5B040757" w14:textId="77777777" w:rsidTr="00B232F1">
        <w:trPr>
          <w:trHeight w:val="537"/>
        </w:trPr>
        <w:tc>
          <w:tcPr>
            <w:tcW w:w="1071" w:type="dxa"/>
            <w:vMerge w:val="restart"/>
            <w:tcBorders>
              <w:top w:val="single" w:sz="4" w:space="0" w:color="auto"/>
              <w:left w:val="nil"/>
              <w:bottom w:val="single" w:sz="4" w:space="0" w:color="000000"/>
              <w:right w:val="nil"/>
            </w:tcBorders>
            <w:shd w:val="clear" w:color="auto" w:fill="auto"/>
            <w:noWrap/>
            <w:vAlign w:val="center"/>
            <w:hideMark/>
          </w:tcPr>
          <w:p w14:paraId="65C70DBC" w14:textId="77777777" w:rsidR="009C0ADB" w:rsidRPr="00971206" w:rsidRDefault="009C0ADB" w:rsidP="009C0ADB">
            <w:pPr>
              <w:jc w:val="center"/>
              <w:rPr>
                <w:b/>
                <w:bCs/>
                <w:color w:val="000000"/>
              </w:rPr>
            </w:pPr>
            <w:r w:rsidRPr="00971206">
              <w:rPr>
                <w:b/>
                <w:bCs/>
                <w:color w:val="000000"/>
              </w:rPr>
              <w:t>Ano</w:t>
            </w:r>
          </w:p>
        </w:tc>
        <w:tc>
          <w:tcPr>
            <w:tcW w:w="1233" w:type="dxa"/>
            <w:vMerge w:val="restart"/>
            <w:tcBorders>
              <w:top w:val="single" w:sz="4" w:space="0" w:color="auto"/>
              <w:left w:val="nil"/>
              <w:bottom w:val="single" w:sz="4" w:space="0" w:color="000000"/>
              <w:right w:val="nil"/>
            </w:tcBorders>
            <w:shd w:val="clear" w:color="auto" w:fill="auto"/>
            <w:noWrap/>
            <w:vAlign w:val="center"/>
            <w:hideMark/>
          </w:tcPr>
          <w:p w14:paraId="2066E50D" w14:textId="77777777" w:rsidR="009C0ADB" w:rsidRPr="00971206" w:rsidRDefault="009C0ADB" w:rsidP="009C0ADB">
            <w:pPr>
              <w:jc w:val="center"/>
              <w:rPr>
                <w:b/>
                <w:bCs/>
                <w:color w:val="000000"/>
              </w:rPr>
            </w:pPr>
            <w:r w:rsidRPr="00971206">
              <w:rPr>
                <w:b/>
                <w:bCs/>
                <w:color w:val="000000"/>
              </w:rPr>
              <w:t>Declarantes</w:t>
            </w:r>
          </w:p>
          <w:p w14:paraId="266DF1F3" w14:textId="77777777" w:rsidR="000770A6" w:rsidRPr="00971206" w:rsidRDefault="000770A6" w:rsidP="009C0ADB">
            <w:pPr>
              <w:jc w:val="center"/>
              <w:rPr>
                <w:b/>
                <w:bCs/>
                <w:color w:val="000000"/>
              </w:rPr>
            </w:pPr>
            <w:r w:rsidRPr="00971206">
              <w:rPr>
                <w:b/>
                <w:bCs/>
                <w:color w:val="000000"/>
              </w:rPr>
              <w:t>(A)</w:t>
            </w:r>
          </w:p>
        </w:tc>
        <w:tc>
          <w:tcPr>
            <w:tcW w:w="1496" w:type="dxa"/>
            <w:tcBorders>
              <w:top w:val="single" w:sz="4" w:space="0" w:color="auto"/>
              <w:left w:val="nil"/>
              <w:bottom w:val="single" w:sz="4" w:space="0" w:color="auto"/>
              <w:right w:val="nil"/>
            </w:tcBorders>
            <w:shd w:val="clear" w:color="auto" w:fill="auto"/>
            <w:vAlign w:val="center"/>
            <w:hideMark/>
          </w:tcPr>
          <w:p w14:paraId="62E7C307" w14:textId="77777777" w:rsidR="009C0ADB" w:rsidRPr="00971206" w:rsidRDefault="009C0ADB" w:rsidP="009C0ADB">
            <w:pPr>
              <w:jc w:val="center"/>
              <w:rPr>
                <w:b/>
                <w:bCs/>
                <w:color w:val="000000"/>
              </w:rPr>
            </w:pPr>
            <w:r w:rsidRPr="00971206">
              <w:rPr>
                <w:b/>
                <w:bCs/>
                <w:color w:val="000000"/>
              </w:rPr>
              <w:t xml:space="preserve">Rendimento </w:t>
            </w:r>
            <w:r w:rsidR="00905382" w:rsidRPr="00971206">
              <w:rPr>
                <w:b/>
                <w:bCs/>
                <w:color w:val="000000"/>
              </w:rPr>
              <w:t>moléstias graves</w:t>
            </w:r>
            <w:r w:rsidR="00821564" w:rsidRPr="00971206">
              <w:rPr>
                <w:b/>
                <w:bCs/>
                <w:color w:val="000000"/>
              </w:rPr>
              <w:t xml:space="preserve"> (B)</w:t>
            </w:r>
          </w:p>
        </w:tc>
        <w:tc>
          <w:tcPr>
            <w:tcW w:w="1111" w:type="dxa"/>
            <w:tcBorders>
              <w:top w:val="single" w:sz="4" w:space="0" w:color="auto"/>
              <w:left w:val="nil"/>
              <w:bottom w:val="single" w:sz="4" w:space="0" w:color="auto"/>
              <w:right w:val="nil"/>
            </w:tcBorders>
            <w:shd w:val="clear" w:color="auto" w:fill="auto"/>
            <w:noWrap/>
            <w:vAlign w:val="center"/>
            <w:hideMark/>
          </w:tcPr>
          <w:p w14:paraId="7031D5E2" w14:textId="77777777" w:rsidR="009C0ADB" w:rsidRPr="00971206" w:rsidRDefault="009C0ADB" w:rsidP="009C0ADB">
            <w:pPr>
              <w:jc w:val="center"/>
              <w:rPr>
                <w:b/>
                <w:bCs/>
                <w:color w:val="000000"/>
              </w:rPr>
            </w:pPr>
            <w:r w:rsidRPr="00971206">
              <w:rPr>
                <w:b/>
                <w:bCs/>
                <w:color w:val="000000"/>
              </w:rPr>
              <w:t>Renúncia</w:t>
            </w:r>
          </w:p>
          <w:p w14:paraId="42E71FFC" w14:textId="406F7A23" w:rsidR="000770A6" w:rsidRPr="00971206" w:rsidRDefault="000770A6" w:rsidP="009C0ADB">
            <w:pPr>
              <w:jc w:val="center"/>
              <w:rPr>
                <w:b/>
                <w:bCs/>
                <w:color w:val="000000"/>
              </w:rPr>
            </w:pPr>
            <w:r w:rsidRPr="00971206">
              <w:rPr>
                <w:b/>
                <w:bCs/>
                <w:color w:val="000000"/>
              </w:rPr>
              <w:t>(</w:t>
            </w:r>
            <w:r w:rsidR="00821564" w:rsidRPr="00971206">
              <w:rPr>
                <w:b/>
                <w:bCs/>
                <w:color w:val="000000"/>
              </w:rPr>
              <w:t>C</w:t>
            </w:r>
            <w:r w:rsidRPr="00971206">
              <w:rPr>
                <w:b/>
                <w:bCs/>
                <w:color w:val="000000"/>
              </w:rPr>
              <w:t>)</w:t>
            </w:r>
          </w:p>
        </w:tc>
        <w:tc>
          <w:tcPr>
            <w:tcW w:w="2163" w:type="dxa"/>
            <w:gridSpan w:val="2"/>
            <w:tcBorders>
              <w:top w:val="single" w:sz="4" w:space="0" w:color="auto"/>
              <w:left w:val="nil"/>
              <w:bottom w:val="single" w:sz="4" w:space="0" w:color="auto"/>
              <w:right w:val="nil"/>
            </w:tcBorders>
            <w:shd w:val="clear" w:color="auto" w:fill="auto"/>
            <w:noWrap/>
            <w:vAlign w:val="center"/>
            <w:hideMark/>
          </w:tcPr>
          <w:p w14:paraId="37C2DB24" w14:textId="77777777" w:rsidR="009C0ADB" w:rsidRPr="00971206" w:rsidRDefault="009C0ADB" w:rsidP="009C0ADB">
            <w:pPr>
              <w:jc w:val="center"/>
              <w:rPr>
                <w:b/>
                <w:bCs/>
                <w:color w:val="000000"/>
              </w:rPr>
            </w:pPr>
            <w:r w:rsidRPr="00971206">
              <w:rPr>
                <w:b/>
                <w:bCs/>
                <w:color w:val="000000"/>
              </w:rPr>
              <w:t>Benefício mensal</w:t>
            </w:r>
          </w:p>
          <w:p w14:paraId="495DD0B0" w14:textId="0FAD647D" w:rsidR="000770A6" w:rsidRPr="00971206" w:rsidRDefault="000770A6" w:rsidP="009C0ADB">
            <w:pPr>
              <w:jc w:val="center"/>
              <w:rPr>
                <w:b/>
                <w:bCs/>
                <w:color w:val="000000"/>
              </w:rPr>
            </w:pPr>
            <w:r w:rsidRPr="00971206">
              <w:rPr>
                <w:b/>
                <w:bCs/>
                <w:color w:val="000000"/>
              </w:rPr>
              <w:t>(</w:t>
            </w:r>
            <w:r w:rsidR="00821564" w:rsidRPr="00971206">
              <w:rPr>
                <w:b/>
                <w:bCs/>
                <w:color w:val="000000"/>
              </w:rPr>
              <w:t>C</w:t>
            </w:r>
            <w:r w:rsidRPr="00971206">
              <w:rPr>
                <w:b/>
                <w:bCs/>
                <w:color w:val="000000"/>
              </w:rPr>
              <w:t>/A/13)</w:t>
            </w:r>
          </w:p>
        </w:tc>
        <w:tc>
          <w:tcPr>
            <w:tcW w:w="1293" w:type="dxa"/>
            <w:vMerge w:val="restart"/>
            <w:tcBorders>
              <w:top w:val="single" w:sz="4" w:space="0" w:color="auto"/>
              <w:left w:val="nil"/>
              <w:bottom w:val="single" w:sz="4" w:space="0" w:color="000000"/>
              <w:right w:val="nil"/>
            </w:tcBorders>
            <w:shd w:val="clear" w:color="auto" w:fill="auto"/>
            <w:vAlign w:val="center"/>
            <w:hideMark/>
          </w:tcPr>
          <w:p w14:paraId="2F1BDD42" w14:textId="77777777" w:rsidR="009C0ADB" w:rsidRPr="00971206" w:rsidRDefault="009C0ADB" w:rsidP="009C0ADB">
            <w:pPr>
              <w:jc w:val="center"/>
              <w:rPr>
                <w:b/>
                <w:bCs/>
                <w:color w:val="000000"/>
              </w:rPr>
            </w:pPr>
            <w:r w:rsidRPr="00971206">
              <w:rPr>
                <w:b/>
                <w:bCs/>
                <w:color w:val="000000"/>
              </w:rPr>
              <w:t>Benefício/ rendimento</w:t>
            </w:r>
            <w:r w:rsidR="00821564" w:rsidRPr="00971206">
              <w:rPr>
                <w:b/>
                <w:bCs/>
                <w:color w:val="000000"/>
              </w:rPr>
              <w:t xml:space="preserve"> (C/ B)</w:t>
            </w:r>
          </w:p>
        </w:tc>
      </w:tr>
      <w:tr w:rsidR="009C0ADB" w:rsidRPr="00971206" w14:paraId="01994638" w14:textId="77777777" w:rsidTr="00B232F1">
        <w:trPr>
          <w:trHeight w:val="537"/>
        </w:trPr>
        <w:tc>
          <w:tcPr>
            <w:tcW w:w="1071" w:type="dxa"/>
            <w:vMerge/>
            <w:tcBorders>
              <w:top w:val="single" w:sz="4" w:space="0" w:color="auto"/>
              <w:left w:val="nil"/>
              <w:bottom w:val="single" w:sz="4" w:space="0" w:color="000000"/>
              <w:right w:val="nil"/>
            </w:tcBorders>
            <w:vAlign w:val="center"/>
            <w:hideMark/>
          </w:tcPr>
          <w:p w14:paraId="449A70B1" w14:textId="77777777" w:rsidR="009C0ADB" w:rsidRPr="00971206" w:rsidRDefault="009C0ADB" w:rsidP="009C0ADB">
            <w:pPr>
              <w:jc w:val="center"/>
              <w:rPr>
                <w:b/>
                <w:bCs/>
                <w:color w:val="000000"/>
              </w:rPr>
            </w:pPr>
          </w:p>
        </w:tc>
        <w:tc>
          <w:tcPr>
            <w:tcW w:w="1233" w:type="dxa"/>
            <w:vMerge/>
            <w:tcBorders>
              <w:top w:val="single" w:sz="4" w:space="0" w:color="auto"/>
              <w:left w:val="nil"/>
              <w:bottom w:val="single" w:sz="4" w:space="0" w:color="000000"/>
              <w:right w:val="nil"/>
            </w:tcBorders>
            <w:vAlign w:val="center"/>
            <w:hideMark/>
          </w:tcPr>
          <w:p w14:paraId="73E21934" w14:textId="77777777" w:rsidR="009C0ADB" w:rsidRPr="00971206" w:rsidRDefault="009C0ADB" w:rsidP="009C0ADB">
            <w:pPr>
              <w:rPr>
                <w:b/>
                <w:bCs/>
                <w:color w:val="000000"/>
              </w:rPr>
            </w:pPr>
          </w:p>
        </w:tc>
        <w:tc>
          <w:tcPr>
            <w:tcW w:w="2608" w:type="dxa"/>
            <w:gridSpan w:val="2"/>
            <w:tcBorders>
              <w:top w:val="nil"/>
              <w:left w:val="nil"/>
              <w:bottom w:val="single" w:sz="4" w:space="0" w:color="auto"/>
              <w:right w:val="nil"/>
            </w:tcBorders>
            <w:shd w:val="clear" w:color="auto" w:fill="auto"/>
            <w:noWrap/>
            <w:vAlign w:val="center"/>
            <w:hideMark/>
          </w:tcPr>
          <w:p w14:paraId="43EDD71A" w14:textId="77777777" w:rsidR="009C0ADB" w:rsidRPr="00971206" w:rsidRDefault="009C0ADB" w:rsidP="009C0ADB">
            <w:pPr>
              <w:jc w:val="center"/>
              <w:rPr>
                <w:b/>
                <w:bCs/>
                <w:color w:val="000000"/>
              </w:rPr>
            </w:pPr>
            <w:r w:rsidRPr="00971206">
              <w:rPr>
                <w:b/>
                <w:bCs/>
                <w:color w:val="000000"/>
              </w:rPr>
              <w:t>R$ milhões nominais</w:t>
            </w:r>
          </w:p>
        </w:tc>
        <w:tc>
          <w:tcPr>
            <w:tcW w:w="1071" w:type="dxa"/>
            <w:tcBorders>
              <w:top w:val="nil"/>
              <w:left w:val="nil"/>
              <w:bottom w:val="single" w:sz="4" w:space="0" w:color="auto"/>
              <w:right w:val="nil"/>
            </w:tcBorders>
            <w:shd w:val="clear" w:color="auto" w:fill="auto"/>
            <w:vAlign w:val="center"/>
            <w:hideMark/>
          </w:tcPr>
          <w:p w14:paraId="1661D9FD" w14:textId="77777777" w:rsidR="009C0ADB" w:rsidRPr="00971206" w:rsidRDefault="009C0ADB" w:rsidP="009C0ADB">
            <w:pPr>
              <w:jc w:val="center"/>
              <w:rPr>
                <w:b/>
                <w:bCs/>
                <w:color w:val="000000"/>
              </w:rPr>
            </w:pPr>
            <w:r w:rsidRPr="00971206">
              <w:rPr>
                <w:b/>
                <w:bCs/>
                <w:color w:val="000000"/>
              </w:rPr>
              <w:t>R$ nominais</w:t>
            </w:r>
          </w:p>
        </w:tc>
        <w:tc>
          <w:tcPr>
            <w:tcW w:w="1091" w:type="dxa"/>
            <w:tcBorders>
              <w:top w:val="nil"/>
              <w:left w:val="nil"/>
              <w:bottom w:val="single" w:sz="4" w:space="0" w:color="auto"/>
              <w:right w:val="nil"/>
            </w:tcBorders>
            <w:shd w:val="clear" w:color="auto" w:fill="auto"/>
            <w:vAlign w:val="center"/>
            <w:hideMark/>
          </w:tcPr>
          <w:p w14:paraId="42F474B5" w14:textId="77777777" w:rsidR="009C0ADB" w:rsidRPr="00971206" w:rsidRDefault="009C0ADB" w:rsidP="009C0ADB">
            <w:pPr>
              <w:jc w:val="center"/>
              <w:rPr>
                <w:b/>
                <w:bCs/>
                <w:color w:val="000000"/>
              </w:rPr>
            </w:pPr>
            <w:r w:rsidRPr="00971206">
              <w:rPr>
                <w:b/>
                <w:bCs/>
                <w:color w:val="000000"/>
              </w:rPr>
              <w:t>R$ de 2016</w:t>
            </w:r>
          </w:p>
        </w:tc>
        <w:tc>
          <w:tcPr>
            <w:tcW w:w="1293" w:type="dxa"/>
            <w:vMerge/>
            <w:tcBorders>
              <w:top w:val="single" w:sz="4" w:space="0" w:color="auto"/>
              <w:left w:val="nil"/>
              <w:bottom w:val="single" w:sz="4" w:space="0" w:color="000000"/>
              <w:right w:val="nil"/>
            </w:tcBorders>
            <w:vAlign w:val="center"/>
            <w:hideMark/>
          </w:tcPr>
          <w:p w14:paraId="372E2DA1" w14:textId="77777777" w:rsidR="009C0ADB" w:rsidRPr="00971206" w:rsidRDefault="009C0ADB" w:rsidP="009C0ADB">
            <w:pPr>
              <w:rPr>
                <w:b/>
                <w:bCs/>
                <w:color w:val="000000"/>
              </w:rPr>
            </w:pPr>
          </w:p>
        </w:tc>
      </w:tr>
      <w:tr w:rsidR="00D7789A" w:rsidRPr="00971206" w14:paraId="57FE354C" w14:textId="77777777" w:rsidTr="00B232F1">
        <w:trPr>
          <w:trHeight w:val="268"/>
        </w:trPr>
        <w:tc>
          <w:tcPr>
            <w:tcW w:w="1071" w:type="dxa"/>
            <w:tcBorders>
              <w:top w:val="nil"/>
              <w:left w:val="nil"/>
              <w:bottom w:val="nil"/>
              <w:right w:val="nil"/>
            </w:tcBorders>
            <w:shd w:val="clear" w:color="auto" w:fill="auto"/>
            <w:noWrap/>
            <w:vAlign w:val="center"/>
            <w:hideMark/>
          </w:tcPr>
          <w:p w14:paraId="702785D1" w14:textId="77777777" w:rsidR="00D7789A" w:rsidRPr="00971206" w:rsidRDefault="00D7789A" w:rsidP="009C0ADB">
            <w:pPr>
              <w:jc w:val="center"/>
              <w:rPr>
                <w:color w:val="000000"/>
              </w:rPr>
            </w:pPr>
            <w:r w:rsidRPr="00971206">
              <w:rPr>
                <w:color w:val="000000"/>
              </w:rPr>
              <w:t>2008</w:t>
            </w:r>
          </w:p>
        </w:tc>
        <w:tc>
          <w:tcPr>
            <w:tcW w:w="1233" w:type="dxa"/>
            <w:tcBorders>
              <w:top w:val="nil"/>
              <w:left w:val="nil"/>
              <w:bottom w:val="nil"/>
              <w:right w:val="nil"/>
            </w:tcBorders>
            <w:shd w:val="clear" w:color="auto" w:fill="auto"/>
            <w:noWrap/>
            <w:vAlign w:val="center"/>
            <w:hideMark/>
          </w:tcPr>
          <w:p w14:paraId="37459AF7" w14:textId="77777777" w:rsidR="00D7789A" w:rsidRPr="00971206" w:rsidRDefault="00D7789A" w:rsidP="009C0ADB">
            <w:pPr>
              <w:jc w:val="right"/>
              <w:rPr>
                <w:color w:val="000000"/>
              </w:rPr>
            </w:pPr>
            <w:r w:rsidRPr="00971206">
              <w:rPr>
                <w:color w:val="000000"/>
              </w:rPr>
              <w:t>645.659</w:t>
            </w:r>
          </w:p>
        </w:tc>
        <w:tc>
          <w:tcPr>
            <w:tcW w:w="1496" w:type="dxa"/>
            <w:tcBorders>
              <w:top w:val="nil"/>
              <w:left w:val="nil"/>
              <w:bottom w:val="nil"/>
              <w:right w:val="nil"/>
            </w:tcBorders>
            <w:shd w:val="clear" w:color="auto" w:fill="auto"/>
            <w:noWrap/>
            <w:vAlign w:val="center"/>
            <w:hideMark/>
          </w:tcPr>
          <w:p w14:paraId="0456B44D" w14:textId="77777777" w:rsidR="00D7789A" w:rsidRPr="00971206" w:rsidRDefault="00D7789A" w:rsidP="009C0ADB">
            <w:pPr>
              <w:jc w:val="right"/>
              <w:rPr>
                <w:color w:val="000000"/>
              </w:rPr>
            </w:pPr>
            <w:r w:rsidRPr="00971206">
              <w:rPr>
                <w:color w:val="000000"/>
              </w:rPr>
              <w:t>22.639</w:t>
            </w:r>
          </w:p>
        </w:tc>
        <w:tc>
          <w:tcPr>
            <w:tcW w:w="1111" w:type="dxa"/>
            <w:tcBorders>
              <w:top w:val="nil"/>
              <w:left w:val="nil"/>
              <w:bottom w:val="nil"/>
              <w:right w:val="nil"/>
            </w:tcBorders>
            <w:shd w:val="clear" w:color="auto" w:fill="auto"/>
            <w:noWrap/>
            <w:vAlign w:val="center"/>
            <w:hideMark/>
          </w:tcPr>
          <w:p w14:paraId="0D4F94CA" w14:textId="77777777" w:rsidR="00D7789A" w:rsidRPr="00971206" w:rsidRDefault="00D7789A" w:rsidP="009C0ADB">
            <w:pPr>
              <w:jc w:val="right"/>
              <w:rPr>
                <w:color w:val="000000"/>
              </w:rPr>
            </w:pPr>
            <w:r w:rsidRPr="00971206">
              <w:rPr>
                <w:color w:val="000000"/>
              </w:rPr>
              <w:t>5.535</w:t>
            </w:r>
          </w:p>
        </w:tc>
        <w:tc>
          <w:tcPr>
            <w:tcW w:w="1071" w:type="dxa"/>
            <w:tcBorders>
              <w:top w:val="nil"/>
              <w:left w:val="nil"/>
              <w:bottom w:val="nil"/>
              <w:right w:val="nil"/>
            </w:tcBorders>
            <w:shd w:val="clear" w:color="auto" w:fill="auto"/>
            <w:noWrap/>
            <w:vAlign w:val="center"/>
            <w:hideMark/>
          </w:tcPr>
          <w:p w14:paraId="410BC04E" w14:textId="77777777" w:rsidR="00D7789A" w:rsidRPr="00971206" w:rsidRDefault="00D7789A" w:rsidP="009C0ADB">
            <w:pPr>
              <w:jc w:val="right"/>
              <w:rPr>
                <w:color w:val="000000"/>
              </w:rPr>
            </w:pPr>
            <w:r w:rsidRPr="00971206">
              <w:rPr>
                <w:color w:val="000000"/>
              </w:rPr>
              <w:t>659,39</w:t>
            </w:r>
          </w:p>
        </w:tc>
        <w:tc>
          <w:tcPr>
            <w:tcW w:w="1091" w:type="dxa"/>
            <w:tcBorders>
              <w:top w:val="nil"/>
              <w:left w:val="nil"/>
              <w:bottom w:val="nil"/>
              <w:right w:val="nil"/>
            </w:tcBorders>
            <w:shd w:val="clear" w:color="auto" w:fill="auto"/>
            <w:noWrap/>
            <w:vAlign w:val="center"/>
            <w:hideMark/>
          </w:tcPr>
          <w:p w14:paraId="7ADD4FA4" w14:textId="77777777" w:rsidR="00D7789A" w:rsidRPr="00971206" w:rsidRDefault="00D7789A" w:rsidP="009C0ADB">
            <w:pPr>
              <w:jc w:val="right"/>
              <w:rPr>
                <w:color w:val="000000"/>
              </w:rPr>
            </w:pPr>
            <w:r w:rsidRPr="00971206">
              <w:rPr>
                <w:color w:val="000000"/>
              </w:rPr>
              <w:t>1.084,61</w:t>
            </w:r>
          </w:p>
        </w:tc>
        <w:tc>
          <w:tcPr>
            <w:tcW w:w="1293" w:type="dxa"/>
            <w:tcBorders>
              <w:top w:val="nil"/>
              <w:left w:val="nil"/>
              <w:bottom w:val="nil"/>
              <w:right w:val="nil"/>
            </w:tcBorders>
            <w:shd w:val="clear" w:color="auto" w:fill="auto"/>
            <w:noWrap/>
            <w:vAlign w:val="center"/>
            <w:hideMark/>
          </w:tcPr>
          <w:p w14:paraId="17454895" w14:textId="77777777" w:rsidR="00D7789A" w:rsidRPr="00971206" w:rsidRDefault="00D7789A" w:rsidP="009C0ADB">
            <w:pPr>
              <w:jc w:val="right"/>
              <w:rPr>
                <w:color w:val="000000"/>
              </w:rPr>
            </w:pPr>
            <w:r w:rsidRPr="00971206">
              <w:rPr>
                <w:color w:val="000000"/>
              </w:rPr>
              <w:t>24,4%</w:t>
            </w:r>
          </w:p>
        </w:tc>
      </w:tr>
      <w:tr w:rsidR="00D7789A" w:rsidRPr="00971206" w14:paraId="27158953" w14:textId="77777777" w:rsidTr="00B232F1">
        <w:trPr>
          <w:trHeight w:val="268"/>
        </w:trPr>
        <w:tc>
          <w:tcPr>
            <w:tcW w:w="1071" w:type="dxa"/>
            <w:tcBorders>
              <w:top w:val="nil"/>
              <w:left w:val="nil"/>
              <w:bottom w:val="nil"/>
              <w:right w:val="nil"/>
            </w:tcBorders>
            <w:shd w:val="clear" w:color="auto" w:fill="auto"/>
            <w:noWrap/>
            <w:vAlign w:val="center"/>
            <w:hideMark/>
          </w:tcPr>
          <w:p w14:paraId="4E4F9527" w14:textId="77777777" w:rsidR="00D7789A" w:rsidRPr="00971206" w:rsidRDefault="00D7789A" w:rsidP="009C0ADB">
            <w:pPr>
              <w:jc w:val="center"/>
              <w:rPr>
                <w:color w:val="000000"/>
              </w:rPr>
            </w:pPr>
            <w:r w:rsidRPr="00971206">
              <w:rPr>
                <w:color w:val="000000"/>
              </w:rPr>
              <w:t>2009</w:t>
            </w:r>
          </w:p>
        </w:tc>
        <w:tc>
          <w:tcPr>
            <w:tcW w:w="1233" w:type="dxa"/>
            <w:tcBorders>
              <w:top w:val="nil"/>
              <w:left w:val="nil"/>
              <w:bottom w:val="nil"/>
              <w:right w:val="nil"/>
            </w:tcBorders>
            <w:shd w:val="clear" w:color="auto" w:fill="auto"/>
            <w:noWrap/>
            <w:vAlign w:val="center"/>
            <w:hideMark/>
          </w:tcPr>
          <w:p w14:paraId="5E19CC43" w14:textId="77777777" w:rsidR="00D7789A" w:rsidRPr="00971206" w:rsidRDefault="00D7789A" w:rsidP="009C0ADB">
            <w:pPr>
              <w:jc w:val="right"/>
              <w:rPr>
                <w:color w:val="000000"/>
              </w:rPr>
            </w:pPr>
            <w:r w:rsidRPr="00971206">
              <w:rPr>
                <w:color w:val="000000"/>
              </w:rPr>
              <w:t>635.411</w:t>
            </w:r>
          </w:p>
        </w:tc>
        <w:tc>
          <w:tcPr>
            <w:tcW w:w="1496" w:type="dxa"/>
            <w:tcBorders>
              <w:top w:val="nil"/>
              <w:left w:val="nil"/>
              <w:bottom w:val="nil"/>
              <w:right w:val="nil"/>
            </w:tcBorders>
            <w:shd w:val="clear" w:color="auto" w:fill="auto"/>
            <w:noWrap/>
            <w:vAlign w:val="center"/>
            <w:hideMark/>
          </w:tcPr>
          <w:p w14:paraId="1EBE110A" w14:textId="77777777" w:rsidR="00D7789A" w:rsidRPr="00971206" w:rsidRDefault="00D7789A" w:rsidP="009C0ADB">
            <w:pPr>
              <w:jc w:val="right"/>
              <w:rPr>
                <w:color w:val="000000"/>
              </w:rPr>
            </w:pPr>
            <w:r w:rsidRPr="00971206">
              <w:rPr>
                <w:color w:val="000000"/>
              </w:rPr>
              <w:t>24.401</w:t>
            </w:r>
          </w:p>
        </w:tc>
        <w:tc>
          <w:tcPr>
            <w:tcW w:w="1111" w:type="dxa"/>
            <w:tcBorders>
              <w:top w:val="nil"/>
              <w:left w:val="nil"/>
              <w:bottom w:val="nil"/>
              <w:right w:val="nil"/>
            </w:tcBorders>
            <w:shd w:val="clear" w:color="auto" w:fill="auto"/>
            <w:noWrap/>
            <w:vAlign w:val="center"/>
            <w:hideMark/>
          </w:tcPr>
          <w:p w14:paraId="7CA07948" w14:textId="77777777" w:rsidR="00D7789A" w:rsidRPr="00971206" w:rsidRDefault="00D7789A" w:rsidP="009C0ADB">
            <w:pPr>
              <w:jc w:val="right"/>
              <w:rPr>
                <w:color w:val="000000"/>
              </w:rPr>
            </w:pPr>
            <w:r w:rsidRPr="00971206">
              <w:rPr>
                <w:color w:val="000000"/>
              </w:rPr>
              <w:t>5.636</w:t>
            </w:r>
          </w:p>
        </w:tc>
        <w:tc>
          <w:tcPr>
            <w:tcW w:w="1071" w:type="dxa"/>
            <w:tcBorders>
              <w:top w:val="nil"/>
              <w:left w:val="nil"/>
              <w:bottom w:val="nil"/>
              <w:right w:val="nil"/>
            </w:tcBorders>
            <w:shd w:val="clear" w:color="auto" w:fill="auto"/>
            <w:noWrap/>
            <w:vAlign w:val="center"/>
            <w:hideMark/>
          </w:tcPr>
          <w:p w14:paraId="3359B864" w14:textId="77777777" w:rsidR="00D7789A" w:rsidRPr="00971206" w:rsidRDefault="00D7789A" w:rsidP="009C0ADB">
            <w:pPr>
              <w:jc w:val="right"/>
              <w:rPr>
                <w:color w:val="000000"/>
              </w:rPr>
            </w:pPr>
            <w:r w:rsidRPr="00971206">
              <w:rPr>
                <w:color w:val="000000"/>
              </w:rPr>
              <w:t>682,24</w:t>
            </w:r>
          </w:p>
        </w:tc>
        <w:tc>
          <w:tcPr>
            <w:tcW w:w="1091" w:type="dxa"/>
            <w:tcBorders>
              <w:top w:val="nil"/>
              <w:left w:val="nil"/>
              <w:bottom w:val="nil"/>
              <w:right w:val="nil"/>
            </w:tcBorders>
            <w:shd w:val="clear" w:color="auto" w:fill="auto"/>
            <w:noWrap/>
            <w:vAlign w:val="center"/>
            <w:hideMark/>
          </w:tcPr>
          <w:p w14:paraId="1403AA46" w14:textId="77777777" w:rsidR="00D7789A" w:rsidRPr="00971206" w:rsidRDefault="00D7789A" w:rsidP="009C0ADB">
            <w:pPr>
              <w:jc w:val="right"/>
              <w:rPr>
                <w:color w:val="000000"/>
              </w:rPr>
            </w:pPr>
            <w:r w:rsidRPr="00971206">
              <w:rPr>
                <w:color w:val="000000"/>
              </w:rPr>
              <w:t>1.059,65</w:t>
            </w:r>
          </w:p>
        </w:tc>
        <w:tc>
          <w:tcPr>
            <w:tcW w:w="1293" w:type="dxa"/>
            <w:tcBorders>
              <w:top w:val="nil"/>
              <w:left w:val="nil"/>
              <w:bottom w:val="nil"/>
              <w:right w:val="nil"/>
            </w:tcBorders>
            <w:shd w:val="clear" w:color="auto" w:fill="auto"/>
            <w:noWrap/>
            <w:vAlign w:val="center"/>
            <w:hideMark/>
          </w:tcPr>
          <w:p w14:paraId="6BA80004" w14:textId="77777777" w:rsidR="00D7789A" w:rsidRPr="00971206" w:rsidRDefault="00D7789A" w:rsidP="009C0ADB">
            <w:pPr>
              <w:jc w:val="right"/>
              <w:rPr>
                <w:color w:val="000000"/>
              </w:rPr>
            </w:pPr>
            <w:r w:rsidRPr="00971206">
              <w:rPr>
                <w:color w:val="000000"/>
              </w:rPr>
              <w:t>23,1%</w:t>
            </w:r>
          </w:p>
        </w:tc>
      </w:tr>
      <w:tr w:rsidR="00D7789A" w:rsidRPr="00971206" w14:paraId="0AE4824C" w14:textId="77777777" w:rsidTr="00B232F1">
        <w:trPr>
          <w:trHeight w:val="268"/>
        </w:trPr>
        <w:tc>
          <w:tcPr>
            <w:tcW w:w="1071" w:type="dxa"/>
            <w:tcBorders>
              <w:top w:val="nil"/>
              <w:left w:val="nil"/>
              <w:bottom w:val="nil"/>
              <w:right w:val="nil"/>
            </w:tcBorders>
            <w:shd w:val="clear" w:color="auto" w:fill="auto"/>
            <w:noWrap/>
            <w:vAlign w:val="center"/>
            <w:hideMark/>
          </w:tcPr>
          <w:p w14:paraId="0041EFFA" w14:textId="77777777" w:rsidR="00D7789A" w:rsidRPr="00971206" w:rsidRDefault="00D7789A" w:rsidP="009C0ADB">
            <w:pPr>
              <w:jc w:val="center"/>
              <w:rPr>
                <w:color w:val="000000"/>
              </w:rPr>
            </w:pPr>
            <w:r w:rsidRPr="00971206">
              <w:rPr>
                <w:color w:val="000000"/>
              </w:rPr>
              <w:t>2010</w:t>
            </w:r>
          </w:p>
        </w:tc>
        <w:tc>
          <w:tcPr>
            <w:tcW w:w="1233" w:type="dxa"/>
            <w:tcBorders>
              <w:top w:val="nil"/>
              <w:left w:val="nil"/>
              <w:bottom w:val="nil"/>
              <w:right w:val="nil"/>
            </w:tcBorders>
            <w:shd w:val="clear" w:color="auto" w:fill="auto"/>
            <w:noWrap/>
            <w:vAlign w:val="center"/>
            <w:hideMark/>
          </w:tcPr>
          <w:p w14:paraId="7C9FED7C" w14:textId="77777777" w:rsidR="00D7789A" w:rsidRPr="00971206" w:rsidRDefault="00D7789A" w:rsidP="009C0ADB">
            <w:pPr>
              <w:jc w:val="right"/>
              <w:rPr>
                <w:color w:val="000000"/>
              </w:rPr>
            </w:pPr>
            <w:r w:rsidRPr="00971206">
              <w:rPr>
                <w:color w:val="000000"/>
              </w:rPr>
              <w:t>599.432</w:t>
            </w:r>
          </w:p>
        </w:tc>
        <w:tc>
          <w:tcPr>
            <w:tcW w:w="1496" w:type="dxa"/>
            <w:tcBorders>
              <w:top w:val="nil"/>
              <w:left w:val="nil"/>
              <w:bottom w:val="nil"/>
              <w:right w:val="nil"/>
            </w:tcBorders>
            <w:shd w:val="clear" w:color="auto" w:fill="auto"/>
            <w:noWrap/>
            <w:vAlign w:val="center"/>
            <w:hideMark/>
          </w:tcPr>
          <w:p w14:paraId="1E669993" w14:textId="77777777" w:rsidR="00D7789A" w:rsidRPr="00971206" w:rsidRDefault="00D7789A" w:rsidP="009C0ADB">
            <w:pPr>
              <w:jc w:val="right"/>
              <w:rPr>
                <w:color w:val="000000"/>
              </w:rPr>
            </w:pPr>
            <w:r w:rsidRPr="00971206">
              <w:rPr>
                <w:color w:val="000000"/>
              </w:rPr>
              <w:t>26.412</w:t>
            </w:r>
          </w:p>
        </w:tc>
        <w:tc>
          <w:tcPr>
            <w:tcW w:w="1111" w:type="dxa"/>
            <w:tcBorders>
              <w:top w:val="nil"/>
              <w:left w:val="nil"/>
              <w:bottom w:val="nil"/>
              <w:right w:val="nil"/>
            </w:tcBorders>
            <w:shd w:val="clear" w:color="auto" w:fill="auto"/>
            <w:noWrap/>
            <w:vAlign w:val="center"/>
            <w:hideMark/>
          </w:tcPr>
          <w:p w14:paraId="611E5113" w14:textId="77777777" w:rsidR="00D7789A" w:rsidRPr="00971206" w:rsidRDefault="00D7789A" w:rsidP="009C0ADB">
            <w:pPr>
              <w:jc w:val="right"/>
              <w:rPr>
                <w:color w:val="000000"/>
              </w:rPr>
            </w:pPr>
            <w:r w:rsidRPr="00971206">
              <w:rPr>
                <w:color w:val="000000"/>
              </w:rPr>
              <w:t>6.169</w:t>
            </w:r>
          </w:p>
        </w:tc>
        <w:tc>
          <w:tcPr>
            <w:tcW w:w="1071" w:type="dxa"/>
            <w:tcBorders>
              <w:top w:val="nil"/>
              <w:left w:val="nil"/>
              <w:bottom w:val="nil"/>
              <w:right w:val="nil"/>
            </w:tcBorders>
            <w:shd w:val="clear" w:color="auto" w:fill="auto"/>
            <w:noWrap/>
            <w:vAlign w:val="center"/>
            <w:hideMark/>
          </w:tcPr>
          <w:p w14:paraId="63193A57" w14:textId="77777777" w:rsidR="00D7789A" w:rsidRPr="00971206" w:rsidRDefault="00D7789A" w:rsidP="009C0ADB">
            <w:pPr>
              <w:jc w:val="right"/>
              <w:rPr>
                <w:color w:val="000000"/>
              </w:rPr>
            </w:pPr>
            <w:r w:rsidRPr="00971206">
              <w:rPr>
                <w:color w:val="000000"/>
              </w:rPr>
              <w:t>791,59</w:t>
            </w:r>
          </w:p>
        </w:tc>
        <w:tc>
          <w:tcPr>
            <w:tcW w:w="1091" w:type="dxa"/>
            <w:tcBorders>
              <w:top w:val="nil"/>
              <w:left w:val="nil"/>
              <w:bottom w:val="nil"/>
              <w:right w:val="nil"/>
            </w:tcBorders>
            <w:shd w:val="clear" w:color="auto" w:fill="auto"/>
            <w:noWrap/>
            <w:vAlign w:val="center"/>
            <w:hideMark/>
          </w:tcPr>
          <w:p w14:paraId="59DFFFC9" w14:textId="77777777" w:rsidR="00D7789A" w:rsidRPr="00971206" w:rsidRDefault="00D7789A" w:rsidP="009C0ADB">
            <w:pPr>
              <w:jc w:val="right"/>
              <w:rPr>
                <w:color w:val="000000"/>
              </w:rPr>
            </w:pPr>
            <w:r w:rsidRPr="00971206">
              <w:rPr>
                <w:color w:val="000000"/>
              </w:rPr>
              <w:t>1.178,67</w:t>
            </w:r>
          </w:p>
        </w:tc>
        <w:tc>
          <w:tcPr>
            <w:tcW w:w="1293" w:type="dxa"/>
            <w:tcBorders>
              <w:top w:val="nil"/>
              <w:left w:val="nil"/>
              <w:bottom w:val="nil"/>
              <w:right w:val="nil"/>
            </w:tcBorders>
            <w:shd w:val="clear" w:color="auto" w:fill="auto"/>
            <w:noWrap/>
            <w:vAlign w:val="center"/>
            <w:hideMark/>
          </w:tcPr>
          <w:p w14:paraId="0164963E" w14:textId="77777777" w:rsidR="00D7789A" w:rsidRPr="00971206" w:rsidRDefault="00D7789A" w:rsidP="009C0ADB">
            <w:pPr>
              <w:jc w:val="right"/>
              <w:rPr>
                <w:color w:val="000000"/>
              </w:rPr>
            </w:pPr>
            <w:r w:rsidRPr="00971206">
              <w:rPr>
                <w:color w:val="000000"/>
              </w:rPr>
              <w:t>23,4%</w:t>
            </w:r>
          </w:p>
        </w:tc>
      </w:tr>
      <w:tr w:rsidR="00D7789A" w:rsidRPr="00971206" w14:paraId="6462C395" w14:textId="77777777" w:rsidTr="00B232F1">
        <w:trPr>
          <w:trHeight w:val="268"/>
        </w:trPr>
        <w:tc>
          <w:tcPr>
            <w:tcW w:w="1071" w:type="dxa"/>
            <w:tcBorders>
              <w:top w:val="nil"/>
              <w:left w:val="nil"/>
              <w:bottom w:val="nil"/>
              <w:right w:val="nil"/>
            </w:tcBorders>
            <w:shd w:val="clear" w:color="auto" w:fill="auto"/>
            <w:noWrap/>
            <w:vAlign w:val="center"/>
            <w:hideMark/>
          </w:tcPr>
          <w:p w14:paraId="7B6752CE" w14:textId="77777777" w:rsidR="00D7789A" w:rsidRPr="00971206" w:rsidRDefault="00D7789A" w:rsidP="009C0ADB">
            <w:pPr>
              <w:jc w:val="center"/>
              <w:rPr>
                <w:color w:val="000000"/>
              </w:rPr>
            </w:pPr>
            <w:r w:rsidRPr="00971206">
              <w:rPr>
                <w:color w:val="000000"/>
              </w:rPr>
              <w:t>2011</w:t>
            </w:r>
          </w:p>
        </w:tc>
        <w:tc>
          <w:tcPr>
            <w:tcW w:w="1233" w:type="dxa"/>
            <w:tcBorders>
              <w:top w:val="nil"/>
              <w:left w:val="nil"/>
              <w:bottom w:val="nil"/>
              <w:right w:val="nil"/>
            </w:tcBorders>
            <w:shd w:val="clear" w:color="auto" w:fill="auto"/>
            <w:noWrap/>
            <w:vAlign w:val="center"/>
            <w:hideMark/>
          </w:tcPr>
          <w:p w14:paraId="45E0B331" w14:textId="77777777" w:rsidR="00D7789A" w:rsidRPr="00971206" w:rsidRDefault="00D7789A" w:rsidP="009C0ADB">
            <w:pPr>
              <w:jc w:val="right"/>
              <w:rPr>
                <w:color w:val="000000"/>
              </w:rPr>
            </w:pPr>
            <w:r w:rsidRPr="00971206">
              <w:rPr>
                <w:color w:val="000000"/>
              </w:rPr>
              <w:t>491.283</w:t>
            </w:r>
          </w:p>
        </w:tc>
        <w:tc>
          <w:tcPr>
            <w:tcW w:w="1496" w:type="dxa"/>
            <w:tcBorders>
              <w:top w:val="nil"/>
              <w:left w:val="nil"/>
              <w:bottom w:val="nil"/>
              <w:right w:val="nil"/>
            </w:tcBorders>
            <w:shd w:val="clear" w:color="auto" w:fill="auto"/>
            <w:noWrap/>
            <w:vAlign w:val="center"/>
            <w:hideMark/>
          </w:tcPr>
          <w:p w14:paraId="584734E4" w14:textId="77777777" w:rsidR="00D7789A" w:rsidRPr="00971206" w:rsidRDefault="00D7789A" w:rsidP="009C0ADB">
            <w:pPr>
              <w:jc w:val="right"/>
              <w:rPr>
                <w:color w:val="000000"/>
              </w:rPr>
            </w:pPr>
            <w:r w:rsidRPr="00971206">
              <w:rPr>
                <w:color w:val="000000"/>
              </w:rPr>
              <w:t>28.447</w:t>
            </w:r>
          </w:p>
        </w:tc>
        <w:tc>
          <w:tcPr>
            <w:tcW w:w="1111" w:type="dxa"/>
            <w:tcBorders>
              <w:top w:val="nil"/>
              <w:left w:val="nil"/>
              <w:bottom w:val="nil"/>
              <w:right w:val="nil"/>
            </w:tcBorders>
            <w:shd w:val="clear" w:color="auto" w:fill="auto"/>
            <w:noWrap/>
            <w:vAlign w:val="center"/>
            <w:hideMark/>
          </w:tcPr>
          <w:p w14:paraId="3EC503B7" w14:textId="77777777" w:rsidR="00D7789A" w:rsidRPr="00971206" w:rsidRDefault="00D7789A" w:rsidP="009C0ADB">
            <w:pPr>
              <w:jc w:val="right"/>
              <w:rPr>
                <w:color w:val="000000"/>
              </w:rPr>
            </w:pPr>
            <w:r w:rsidRPr="00971206">
              <w:rPr>
                <w:color w:val="000000"/>
              </w:rPr>
              <w:t>6.976</w:t>
            </w:r>
          </w:p>
        </w:tc>
        <w:tc>
          <w:tcPr>
            <w:tcW w:w="1071" w:type="dxa"/>
            <w:tcBorders>
              <w:top w:val="nil"/>
              <w:left w:val="nil"/>
              <w:bottom w:val="nil"/>
              <w:right w:val="nil"/>
            </w:tcBorders>
            <w:shd w:val="clear" w:color="auto" w:fill="auto"/>
            <w:noWrap/>
            <w:vAlign w:val="center"/>
            <w:hideMark/>
          </w:tcPr>
          <w:p w14:paraId="272C6B1C" w14:textId="77777777" w:rsidR="00D7789A" w:rsidRPr="00971206" w:rsidRDefault="00D7789A" w:rsidP="009C0ADB">
            <w:pPr>
              <w:jc w:val="right"/>
              <w:rPr>
                <w:color w:val="000000"/>
              </w:rPr>
            </w:pPr>
            <w:r w:rsidRPr="00971206">
              <w:rPr>
                <w:color w:val="000000"/>
              </w:rPr>
              <w:t>1.092,32</w:t>
            </w:r>
          </w:p>
        </w:tc>
        <w:tc>
          <w:tcPr>
            <w:tcW w:w="1091" w:type="dxa"/>
            <w:tcBorders>
              <w:top w:val="nil"/>
              <w:left w:val="nil"/>
              <w:bottom w:val="nil"/>
              <w:right w:val="nil"/>
            </w:tcBorders>
            <w:shd w:val="clear" w:color="auto" w:fill="auto"/>
            <w:noWrap/>
            <w:vAlign w:val="center"/>
            <w:hideMark/>
          </w:tcPr>
          <w:p w14:paraId="6E15CCAA" w14:textId="77777777" w:rsidR="00D7789A" w:rsidRPr="00971206" w:rsidRDefault="00D7789A" w:rsidP="009C0ADB">
            <w:pPr>
              <w:jc w:val="right"/>
              <w:rPr>
                <w:color w:val="000000"/>
              </w:rPr>
            </w:pPr>
            <w:r w:rsidRPr="00971206">
              <w:rPr>
                <w:color w:val="000000"/>
              </w:rPr>
              <w:t>1.535,71</w:t>
            </w:r>
          </w:p>
        </w:tc>
        <w:tc>
          <w:tcPr>
            <w:tcW w:w="1293" w:type="dxa"/>
            <w:tcBorders>
              <w:top w:val="nil"/>
              <w:left w:val="nil"/>
              <w:bottom w:val="nil"/>
              <w:right w:val="nil"/>
            </w:tcBorders>
            <w:shd w:val="clear" w:color="auto" w:fill="auto"/>
            <w:noWrap/>
            <w:vAlign w:val="center"/>
            <w:hideMark/>
          </w:tcPr>
          <w:p w14:paraId="55597823" w14:textId="77777777" w:rsidR="00D7789A" w:rsidRPr="00971206" w:rsidRDefault="00D7789A" w:rsidP="009C0ADB">
            <w:pPr>
              <w:jc w:val="right"/>
              <w:rPr>
                <w:color w:val="000000"/>
              </w:rPr>
            </w:pPr>
            <w:r w:rsidRPr="00971206">
              <w:rPr>
                <w:color w:val="000000"/>
              </w:rPr>
              <w:t>24,5%</w:t>
            </w:r>
          </w:p>
        </w:tc>
      </w:tr>
      <w:tr w:rsidR="00D7789A" w:rsidRPr="00971206" w14:paraId="21DF4D1E" w14:textId="77777777" w:rsidTr="00B232F1">
        <w:trPr>
          <w:trHeight w:val="268"/>
        </w:trPr>
        <w:tc>
          <w:tcPr>
            <w:tcW w:w="1071" w:type="dxa"/>
            <w:tcBorders>
              <w:top w:val="nil"/>
              <w:left w:val="nil"/>
              <w:bottom w:val="nil"/>
              <w:right w:val="nil"/>
            </w:tcBorders>
            <w:shd w:val="clear" w:color="auto" w:fill="auto"/>
            <w:noWrap/>
            <w:vAlign w:val="center"/>
            <w:hideMark/>
          </w:tcPr>
          <w:p w14:paraId="3BF62869" w14:textId="77777777" w:rsidR="00D7789A" w:rsidRPr="00971206" w:rsidRDefault="00D7789A" w:rsidP="009C0ADB">
            <w:pPr>
              <w:jc w:val="center"/>
              <w:rPr>
                <w:color w:val="000000"/>
              </w:rPr>
            </w:pPr>
            <w:r w:rsidRPr="00971206">
              <w:rPr>
                <w:color w:val="000000"/>
              </w:rPr>
              <w:t>2012</w:t>
            </w:r>
          </w:p>
        </w:tc>
        <w:tc>
          <w:tcPr>
            <w:tcW w:w="1233" w:type="dxa"/>
            <w:tcBorders>
              <w:top w:val="nil"/>
              <w:left w:val="nil"/>
              <w:bottom w:val="nil"/>
              <w:right w:val="nil"/>
            </w:tcBorders>
            <w:shd w:val="clear" w:color="auto" w:fill="auto"/>
            <w:noWrap/>
            <w:vAlign w:val="center"/>
            <w:hideMark/>
          </w:tcPr>
          <w:p w14:paraId="6D791298" w14:textId="77777777" w:rsidR="00D7789A" w:rsidRPr="00971206" w:rsidRDefault="00D7789A" w:rsidP="009C0ADB">
            <w:pPr>
              <w:jc w:val="right"/>
              <w:rPr>
                <w:color w:val="000000"/>
              </w:rPr>
            </w:pPr>
            <w:r w:rsidRPr="00971206">
              <w:rPr>
                <w:color w:val="000000"/>
              </w:rPr>
              <w:t>541.161</w:t>
            </w:r>
          </w:p>
        </w:tc>
        <w:tc>
          <w:tcPr>
            <w:tcW w:w="1496" w:type="dxa"/>
            <w:tcBorders>
              <w:top w:val="nil"/>
              <w:left w:val="nil"/>
              <w:bottom w:val="nil"/>
              <w:right w:val="nil"/>
            </w:tcBorders>
            <w:shd w:val="clear" w:color="auto" w:fill="auto"/>
            <w:noWrap/>
            <w:vAlign w:val="center"/>
            <w:hideMark/>
          </w:tcPr>
          <w:p w14:paraId="58CB31E0" w14:textId="77777777" w:rsidR="00D7789A" w:rsidRPr="00971206" w:rsidRDefault="00D7789A" w:rsidP="009C0ADB">
            <w:pPr>
              <w:jc w:val="right"/>
              <w:rPr>
                <w:color w:val="000000"/>
              </w:rPr>
            </w:pPr>
            <w:r w:rsidRPr="00971206">
              <w:rPr>
                <w:color w:val="000000"/>
              </w:rPr>
              <w:t>30.975</w:t>
            </w:r>
          </w:p>
        </w:tc>
        <w:tc>
          <w:tcPr>
            <w:tcW w:w="1111" w:type="dxa"/>
            <w:tcBorders>
              <w:top w:val="nil"/>
              <w:left w:val="nil"/>
              <w:bottom w:val="nil"/>
              <w:right w:val="nil"/>
            </w:tcBorders>
            <w:shd w:val="clear" w:color="auto" w:fill="auto"/>
            <w:noWrap/>
            <w:vAlign w:val="center"/>
            <w:hideMark/>
          </w:tcPr>
          <w:p w14:paraId="06454482" w14:textId="77777777" w:rsidR="00D7789A" w:rsidRPr="00971206" w:rsidRDefault="00D7789A" w:rsidP="009C0ADB">
            <w:pPr>
              <w:jc w:val="right"/>
              <w:rPr>
                <w:color w:val="000000"/>
              </w:rPr>
            </w:pPr>
            <w:r w:rsidRPr="00971206">
              <w:rPr>
                <w:color w:val="000000"/>
              </w:rPr>
              <w:t>7.197</w:t>
            </w:r>
          </w:p>
        </w:tc>
        <w:tc>
          <w:tcPr>
            <w:tcW w:w="1071" w:type="dxa"/>
            <w:tcBorders>
              <w:top w:val="nil"/>
              <w:left w:val="nil"/>
              <w:bottom w:val="nil"/>
              <w:right w:val="nil"/>
            </w:tcBorders>
            <w:shd w:val="clear" w:color="auto" w:fill="auto"/>
            <w:noWrap/>
            <w:vAlign w:val="center"/>
            <w:hideMark/>
          </w:tcPr>
          <w:p w14:paraId="2A61D272" w14:textId="77777777" w:rsidR="00D7789A" w:rsidRPr="00971206" w:rsidRDefault="00D7789A" w:rsidP="009C0ADB">
            <w:pPr>
              <w:jc w:val="right"/>
              <w:rPr>
                <w:color w:val="000000"/>
              </w:rPr>
            </w:pPr>
            <w:r w:rsidRPr="00971206">
              <w:rPr>
                <w:color w:val="000000"/>
              </w:rPr>
              <w:t>1.023,07</w:t>
            </w:r>
          </w:p>
        </w:tc>
        <w:tc>
          <w:tcPr>
            <w:tcW w:w="1091" w:type="dxa"/>
            <w:tcBorders>
              <w:top w:val="nil"/>
              <w:left w:val="nil"/>
              <w:bottom w:val="nil"/>
              <w:right w:val="nil"/>
            </w:tcBorders>
            <w:shd w:val="clear" w:color="auto" w:fill="auto"/>
            <w:noWrap/>
            <w:vAlign w:val="center"/>
            <w:hideMark/>
          </w:tcPr>
          <w:p w14:paraId="05D32121" w14:textId="77777777" w:rsidR="00D7789A" w:rsidRPr="00971206" w:rsidRDefault="00D7789A" w:rsidP="009C0ADB">
            <w:pPr>
              <w:jc w:val="right"/>
              <w:rPr>
                <w:color w:val="000000"/>
              </w:rPr>
            </w:pPr>
            <w:r w:rsidRPr="00971206">
              <w:rPr>
                <w:color w:val="000000"/>
              </w:rPr>
              <w:t>1.350,53</w:t>
            </w:r>
          </w:p>
        </w:tc>
        <w:tc>
          <w:tcPr>
            <w:tcW w:w="1293" w:type="dxa"/>
            <w:tcBorders>
              <w:top w:val="nil"/>
              <w:left w:val="nil"/>
              <w:bottom w:val="nil"/>
              <w:right w:val="nil"/>
            </w:tcBorders>
            <w:shd w:val="clear" w:color="auto" w:fill="auto"/>
            <w:noWrap/>
            <w:vAlign w:val="center"/>
            <w:hideMark/>
          </w:tcPr>
          <w:p w14:paraId="0FAAADEE" w14:textId="77777777" w:rsidR="00D7789A" w:rsidRPr="00971206" w:rsidRDefault="00D7789A" w:rsidP="009C0ADB">
            <w:pPr>
              <w:jc w:val="right"/>
              <w:rPr>
                <w:color w:val="000000"/>
              </w:rPr>
            </w:pPr>
            <w:r w:rsidRPr="00971206">
              <w:rPr>
                <w:color w:val="000000"/>
              </w:rPr>
              <w:t>23,2%</w:t>
            </w:r>
          </w:p>
        </w:tc>
      </w:tr>
      <w:tr w:rsidR="00D7789A" w:rsidRPr="00971206" w14:paraId="66A08584" w14:textId="77777777" w:rsidTr="00B232F1">
        <w:trPr>
          <w:trHeight w:val="268"/>
        </w:trPr>
        <w:tc>
          <w:tcPr>
            <w:tcW w:w="1071" w:type="dxa"/>
            <w:tcBorders>
              <w:top w:val="nil"/>
              <w:left w:val="nil"/>
              <w:bottom w:val="nil"/>
              <w:right w:val="nil"/>
            </w:tcBorders>
            <w:shd w:val="clear" w:color="auto" w:fill="auto"/>
            <w:noWrap/>
            <w:vAlign w:val="center"/>
            <w:hideMark/>
          </w:tcPr>
          <w:p w14:paraId="0E9E4095" w14:textId="77777777" w:rsidR="00D7789A" w:rsidRPr="00971206" w:rsidRDefault="00D7789A" w:rsidP="009C0ADB">
            <w:pPr>
              <w:jc w:val="center"/>
              <w:rPr>
                <w:color w:val="000000"/>
              </w:rPr>
            </w:pPr>
            <w:r w:rsidRPr="00971206">
              <w:rPr>
                <w:color w:val="000000"/>
              </w:rPr>
              <w:t>2013</w:t>
            </w:r>
          </w:p>
        </w:tc>
        <w:tc>
          <w:tcPr>
            <w:tcW w:w="1233" w:type="dxa"/>
            <w:tcBorders>
              <w:top w:val="nil"/>
              <w:left w:val="nil"/>
              <w:bottom w:val="nil"/>
              <w:right w:val="nil"/>
            </w:tcBorders>
            <w:shd w:val="clear" w:color="auto" w:fill="auto"/>
            <w:noWrap/>
            <w:vAlign w:val="center"/>
            <w:hideMark/>
          </w:tcPr>
          <w:p w14:paraId="68204EF2" w14:textId="77777777" w:rsidR="00D7789A" w:rsidRPr="00971206" w:rsidRDefault="00D7789A" w:rsidP="009C0ADB">
            <w:pPr>
              <w:jc w:val="right"/>
              <w:rPr>
                <w:color w:val="000000"/>
              </w:rPr>
            </w:pPr>
            <w:r w:rsidRPr="00971206">
              <w:rPr>
                <w:color w:val="000000"/>
              </w:rPr>
              <w:t>563.992</w:t>
            </w:r>
          </w:p>
        </w:tc>
        <w:tc>
          <w:tcPr>
            <w:tcW w:w="1496" w:type="dxa"/>
            <w:tcBorders>
              <w:top w:val="nil"/>
              <w:left w:val="nil"/>
              <w:bottom w:val="nil"/>
              <w:right w:val="nil"/>
            </w:tcBorders>
            <w:shd w:val="clear" w:color="auto" w:fill="auto"/>
            <w:noWrap/>
            <w:vAlign w:val="center"/>
            <w:hideMark/>
          </w:tcPr>
          <w:p w14:paraId="3A818A4F" w14:textId="77777777" w:rsidR="00D7789A" w:rsidRPr="00971206" w:rsidRDefault="00D7789A" w:rsidP="009C0ADB">
            <w:pPr>
              <w:jc w:val="right"/>
              <w:rPr>
                <w:color w:val="000000"/>
              </w:rPr>
            </w:pPr>
            <w:r w:rsidRPr="00971206">
              <w:rPr>
                <w:color w:val="000000"/>
              </w:rPr>
              <w:t>33.554</w:t>
            </w:r>
          </w:p>
        </w:tc>
        <w:tc>
          <w:tcPr>
            <w:tcW w:w="1111" w:type="dxa"/>
            <w:tcBorders>
              <w:top w:val="nil"/>
              <w:left w:val="nil"/>
              <w:bottom w:val="nil"/>
              <w:right w:val="nil"/>
            </w:tcBorders>
            <w:shd w:val="clear" w:color="auto" w:fill="auto"/>
            <w:noWrap/>
            <w:vAlign w:val="center"/>
            <w:hideMark/>
          </w:tcPr>
          <w:p w14:paraId="16A3BDDC" w14:textId="77777777" w:rsidR="00D7789A" w:rsidRPr="00971206" w:rsidRDefault="00D7789A" w:rsidP="009C0ADB">
            <w:pPr>
              <w:jc w:val="right"/>
              <w:rPr>
                <w:color w:val="000000"/>
              </w:rPr>
            </w:pPr>
            <w:r w:rsidRPr="00971206">
              <w:rPr>
                <w:color w:val="000000"/>
              </w:rPr>
              <w:t>7.924</w:t>
            </w:r>
          </w:p>
        </w:tc>
        <w:tc>
          <w:tcPr>
            <w:tcW w:w="1071" w:type="dxa"/>
            <w:tcBorders>
              <w:top w:val="nil"/>
              <w:left w:val="nil"/>
              <w:bottom w:val="nil"/>
              <w:right w:val="nil"/>
            </w:tcBorders>
            <w:shd w:val="clear" w:color="auto" w:fill="auto"/>
            <w:noWrap/>
            <w:vAlign w:val="center"/>
            <w:hideMark/>
          </w:tcPr>
          <w:p w14:paraId="22B76D80" w14:textId="77777777" w:rsidR="00D7789A" w:rsidRPr="00971206" w:rsidRDefault="00D7789A" w:rsidP="009C0ADB">
            <w:pPr>
              <w:jc w:val="right"/>
              <w:rPr>
                <w:color w:val="000000"/>
              </w:rPr>
            </w:pPr>
            <w:r w:rsidRPr="00971206">
              <w:rPr>
                <w:color w:val="000000"/>
              </w:rPr>
              <w:t>1.080,79</w:t>
            </w:r>
          </w:p>
        </w:tc>
        <w:tc>
          <w:tcPr>
            <w:tcW w:w="1091" w:type="dxa"/>
            <w:tcBorders>
              <w:top w:val="nil"/>
              <w:left w:val="nil"/>
              <w:bottom w:val="nil"/>
              <w:right w:val="nil"/>
            </w:tcBorders>
            <w:shd w:val="clear" w:color="auto" w:fill="auto"/>
            <w:noWrap/>
            <w:vAlign w:val="center"/>
            <w:hideMark/>
          </w:tcPr>
          <w:p w14:paraId="71F09366" w14:textId="77777777" w:rsidR="00D7789A" w:rsidRPr="00971206" w:rsidRDefault="00D7789A" w:rsidP="009C0ADB">
            <w:pPr>
              <w:jc w:val="right"/>
              <w:rPr>
                <w:color w:val="000000"/>
              </w:rPr>
            </w:pPr>
            <w:r w:rsidRPr="00971206">
              <w:rPr>
                <w:color w:val="000000"/>
              </w:rPr>
              <w:t>1.348,02</w:t>
            </w:r>
          </w:p>
        </w:tc>
        <w:tc>
          <w:tcPr>
            <w:tcW w:w="1293" w:type="dxa"/>
            <w:tcBorders>
              <w:top w:val="nil"/>
              <w:left w:val="nil"/>
              <w:bottom w:val="nil"/>
              <w:right w:val="nil"/>
            </w:tcBorders>
            <w:shd w:val="clear" w:color="auto" w:fill="auto"/>
            <w:noWrap/>
            <w:vAlign w:val="center"/>
            <w:hideMark/>
          </w:tcPr>
          <w:p w14:paraId="3553B055" w14:textId="77777777" w:rsidR="00D7789A" w:rsidRPr="00971206" w:rsidRDefault="00D7789A" w:rsidP="009C0ADB">
            <w:pPr>
              <w:jc w:val="right"/>
              <w:rPr>
                <w:color w:val="000000"/>
              </w:rPr>
            </w:pPr>
            <w:r w:rsidRPr="00971206">
              <w:rPr>
                <w:color w:val="000000"/>
              </w:rPr>
              <w:t>23,6%</w:t>
            </w:r>
          </w:p>
        </w:tc>
      </w:tr>
      <w:tr w:rsidR="00D7789A" w:rsidRPr="00971206" w14:paraId="02D46162" w14:textId="77777777" w:rsidTr="00B232F1">
        <w:trPr>
          <w:trHeight w:val="268"/>
        </w:trPr>
        <w:tc>
          <w:tcPr>
            <w:tcW w:w="1071" w:type="dxa"/>
            <w:tcBorders>
              <w:top w:val="nil"/>
              <w:left w:val="nil"/>
              <w:bottom w:val="nil"/>
              <w:right w:val="nil"/>
            </w:tcBorders>
            <w:shd w:val="clear" w:color="auto" w:fill="auto"/>
            <w:noWrap/>
            <w:vAlign w:val="center"/>
            <w:hideMark/>
          </w:tcPr>
          <w:p w14:paraId="372F1496" w14:textId="77777777" w:rsidR="00D7789A" w:rsidRPr="00971206" w:rsidRDefault="00D7789A" w:rsidP="009C0ADB">
            <w:pPr>
              <w:jc w:val="center"/>
              <w:rPr>
                <w:color w:val="000000"/>
              </w:rPr>
            </w:pPr>
            <w:r w:rsidRPr="00971206">
              <w:rPr>
                <w:color w:val="000000"/>
              </w:rPr>
              <w:t>2014</w:t>
            </w:r>
          </w:p>
        </w:tc>
        <w:tc>
          <w:tcPr>
            <w:tcW w:w="1233" w:type="dxa"/>
            <w:tcBorders>
              <w:top w:val="nil"/>
              <w:left w:val="nil"/>
              <w:bottom w:val="nil"/>
              <w:right w:val="nil"/>
            </w:tcBorders>
            <w:shd w:val="clear" w:color="auto" w:fill="auto"/>
            <w:noWrap/>
            <w:vAlign w:val="center"/>
            <w:hideMark/>
          </w:tcPr>
          <w:p w14:paraId="24358D18" w14:textId="77777777" w:rsidR="00D7789A" w:rsidRPr="00971206" w:rsidRDefault="00D7789A" w:rsidP="009C0ADB">
            <w:pPr>
              <w:jc w:val="right"/>
              <w:rPr>
                <w:color w:val="000000"/>
              </w:rPr>
            </w:pPr>
            <w:r w:rsidRPr="00971206">
              <w:rPr>
                <w:color w:val="000000"/>
              </w:rPr>
              <w:t>574.362</w:t>
            </w:r>
          </w:p>
        </w:tc>
        <w:tc>
          <w:tcPr>
            <w:tcW w:w="1496" w:type="dxa"/>
            <w:tcBorders>
              <w:top w:val="nil"/>
              <w:left w:val="nil"/>
              <w:bottom w:val="nil"/>
              <w:right w:val="nil"/>
            </w:tcBorders>
            <w:shd w:val="clear" w:color="auto" w:fill="auto"/>
            <w:noWrap/>
            <w:vAlign w:val="center"/>
            <w:hideMark/>
          </w:tcPr>
          <w:p w14:paraId="357299F3" w14:textId="77777777" w:rsidR="00D7789A" w:rsidRPr="00971206" w:rsidRDefault="00D7789A" w:rsidP="009C0ADB">
            <w:pPr>
              <w:jc w:val="right"/>
              <w:rPr>
                <w:color w:val="000000"/>
              </w:rPr>
            </w:pPr>
            <w:r w:rsidRPr="00971206">
              <w:rPr>
                <w:color w:val="000000"/>
              </w:rPr>
              <w:t>37.892</w:t>
            </w:r>
          </w:p>
        </w:tc>
        <w:tc>
          <w:tcPr>
            <w:tcW w:w="1111" w:type="dxa"/>
            <w:tcBorders>
              <w:top w:val="nil"/>
              <w:left w:val="nil"/>
              <w:bottom w:val="nil"/>
              <w:right w:val="nil"/>
            </w:tcBorders>
            <w:shd w:val="clear" w:color="auto" w:fill="auto"/>
            <w:noWrap/>
            <w:vAlign w:val="center"/>
            <w:hideMark/>
          </w:tcPr>
          <w:p w14:paraId="0888DD04" w14:textId="77777777" w:rsidR="00D7789A" w:rsidRPr="00971206" w:rsidRDefault="00D7789A" w:rsidP="009C0ADB">
            <w:pPr>
              <w:jc w:val="right"/>
              <w:rPr>
                <w:color w:val="000000"/>
              </w:rPr>
            </w:pPr>
            <w:r w:rsidRPr="00971206">
              <w:rPr>
                <w:color w:val="000000"/>
              </w:rPr>
              <w:t>9.008</w:t>
            </w:r>
          </w:p>
        </w:tc>
        <w:tc>
          <w:tcPr>
            <w:tcW w:w="1071" w:type="dxa"/>
            <w:tcBorders>
              <w:top w:val="nil"/>
              <w:left w:val="nil"/>
              <w:bottom w:val="nil"/>
              <w:right w:val="nil"/>
            </w:tcBorders>
            <w:shd w:val="clear" w:color="auto" w:fill="auto"/>
            <w:noWrap/>
            <w:vAlign w:val="center"/>
            <w:hideMark/>
          </w:tcPr>
          <w:p w14:paraId="05939ED9" w14:textId="77777777" w:rsidR="00D7789A" w:rsidRPr="00971206" w:rsidRDefault="00D7789A" w:rsidP="009C0ADB">
            <w:pPr>
              <w:jc w:val="right"/>
              <w:rPr>
                <w:color w:val="000000"/>
              </w:rPr>
            </w:pPr>
            <w:r w:rsidRPr="00971206">
              <w:rPr>
                <w:color w:val="000000"/>
              </w:rPr>
              <w:t>1.206,47</w:t>
            </w:r>
          </w:p>
        </w:tc>
        <w:tc>
          <w:tcPr>
            <w:tcW w:w="1091" w:type="dxa"/>
            <w:tcBorders>
              <w:top w:val="nil"/>
              <w:left w:val="nil"/>
              <w:bottom w:val="nil"/>
              <w:right w:val="nil"/>
            </w:tcBorders>
            <w:shd w:val="clear" w:color="auto" w:fill="auto"/>
            <w:noWrap/>
            <w:vAlign w:val="center"/>
            <w:hideMark/>
          </w:tcPr>
          <w:p w14:paraId="0B41ADBF" w14:textId="77777777" w:rsidR="00D7789A" w:rsidRPr="00971206" w:rsidRDefault="00D7789A" w:rsidP="009C0ADB">
            <w:pPr>
              <w:jc w:val="right"/>
              <w:rPr>
                <w:color w:val="000000"/>
              </w:rPr>
            </w:pPr>
            <w:r w:rsidRPr="00971206">
              <w:rPr>
                <w:color w:val="000000"/>
              </w:rPr>
              <w:t>1.420,79</w:t>
            </w:r>
          </w:p>
        </w:tc>
        <w:tc>
          <w:tcPr>
            <w:tcW w:w="1293" w:type="dxa"/>
            <w:tcBorders>
              <w:top w:val="nil"/>
              <w:left w:val="nil"/>
              <w:bottom w:val="nil"/>
              <w:right w:val="nil"/>
            </w:tcBorders>
            <w:shd w:val="clear" w:color="auto" w:fill="auto"/>
            <w:noWrap/>
            <w:vAlign w:val="center"/>
            <w:hideMark/>
          </w:tcPr>
          <w:p w14:paraId="71B333BA" w14:textId="77777777" w:rsidR="00D7789A" w:rsidRPr="00971206" w:rsidRDefault="00D7789A" w:rsidP="009C0ADB">
            <w:pPr>
              <w:jc w:val="right"/>
              <w:rPr>
                <w:color w:val="000000"/>
              </w:rPr>
            </w:pPr>
            <w:r w:rsidRPr="00971206">
              <w:rPr>
                <w:color w:val="000000"/>
              </w:rPr>
              <w:t>23,8%</w:t>
            </w:r>
          </w:p>
        </w:tc>
      </w:tr>
      <w:tr w:rsidR="00D7789A" w:rsidRPr="00971206" w14:paraId="64BDCD17" w14:textId="77777777" w:rsidTr="00B232F1">
        <w:trPr>
          <w:trHeight w:val="268"/>
        </w:trPr>
        <w:tc>
          <w:tcPr>
            <w:tcW w:w="1071" w:type="dxa"/>
            <w:tcBorders>
              <w:top w:val="nil"/>
              <w:left w:val="nil"/>
              <w:bottom w:val="single" w:sz="4" w:space="0" w:color="auto"/>
              <w:right w:val="nil"/>
            </w:tcBorders>
            <w:shd w:val="clear" w:color="auto" w:fill="auto"/>
            <w:noWrap/>
            <w:vAlign w:val="center"/>
            <w:hideMark/>
          </w:tcPr>
          <w:p w14:paraId="28A894FD" w14:textId="77777777" w:rsidR="00D7789A" w:rsidRPr="00971206" w:rsidRDefault="00D7789A" w:rsidP="009C0ADB">
            <w:pPr>
              <w:jc w:val="center"/>
              <w:rPr>
                <w:color w:val="000000"/>
              </w:rPr>
            </w:pPr>
            <w:r w:rsidRPr="00971206">
              <w:rPr>
                <w:color w:val="000000"/>
              </w:rPr>
              <w:t>2015</w:t>
            </w:r>
          </w:p>
        </w:tc>
        <w:tc>
          <w:tcPr>
            <w:tcW w:w="1233" w:type="dxa"/>
            <w:tcBorders>
              <w:top w:val="nil"/>
              <w:left w:val="nil"/>
              <w:bottom w:val="single" w:sz="4" w:space="0" w:color="auto"/>
              <w:right w:val="nil"/>
            </w:tcBorders>
            <w:shd w:val="clear" w:color="auto" w:fill="auto"/>
            <w:noWrap/>
            <w:vAlign w:val="center"/>
            <w:hideMark/>
          </w:tcPr>
          <w:p w14:paraId="66688414" w14:textId="77777777" w:rsidR="00D7789A" w:rsidRPr="00971206" w:rsidRDefault="00D7789A" w:rsidP="009C0ADB">
            <w:pPr>
              <w:jc w:val="right"/>
              <w:rPr>
                <w:color w:val="000000"/>
              </w:rPr>
            </w:pPr>
            <w:r w:rsidRPr="00971206">
              <w:rPr>
                <w:color w:val="000000"/>
              </w:rPr>
              <w:t>584.952</w:t>
            </w:r>
          </w:p>
        </w:tc>
        <w:tc>
          <w:tcPr>
            <w:tcW w:w="1496" w:type="dxa"/>
            <w:tcBorders>
              <w:top w:val="nil"/>
              <w:left w:val="nil"/>
              <w:bottom w:val="single" w:sz="4" w:space="0" w:color="auto"/>
              <w:right w:val="nil"/>
            </w:tcBorders>
            <w:shd w:val="clear" w:color="auto" w:fill="auto"/>
            <w:noWrap/>
            <w:vAlign w:val="center"/>
            <w:hideMark/>
          </w:tcPr>
          <w:p w14:paraId="529FDFC3" w14:textId="77777777" w:rsidR="00D7789A" w:rsidRPr="00971206" w:rsidRDefault="00D7789A" w:rsidP="009C0ADB">
            <w:pPr>
              <w:jc w:val="right"/>
              <w:rPr>
                <w:color w:val="000000"/>
              </w:rPr>
            </w:pPr>
            <w:r w:rsidRPr="00971206">
              <w:rPr>
                <w:color w:val="000000"/>
              </w:rPr>
              <w:t>41.869</w:t>
            </w:r>
          </w:p>
        </w:tc>
        <w:tc>
          <w:tcPr>
            <w:tcW w:w="1111" w:type="dxa"/>
            <w:tcBorders>
              <w:top w:val="nil"/>
              <w:left w:val="nil"/>
              <w:bottom w:val="single" w:sz="4" w:space="0" w:color="auto"/>
              <w:right w:val="nil"/>
            </w:tcBorders>
            <w:shd w:val="clear" w:color="auto" w:fill="auto"/>
            <w:noWrap/>
            <w:vAlign w:val="center"/>
            <w:hideMark/>
          </w:tcPr>
          <w:p w14:paraId="5A581647" w14:textId="77777777" w:rsidR="00D7789A" w:rsidRPr="00971206" w:rsidRDefault="00D7789A" w:rsidP="009C0ADB">
            <w:pPr>
              <w:jc w:val="right"/>
              <w:rPr>
                <w:color w:val="000000"/>
              </w:rPr>
            </w:pPr>
            <w:r w:rsidRPr="00971206">
              <w:rPr>
                <w:color w:val="000000"/>
              </w:rPr>
              <w:t>9.256</w:t>
            </w:r>
          </w:p>
        </w:tc>
        <w:tc>
          <w:tcPr>
            <w:tcW w:w="1071" w:type="dxa"/>
            <w:tcBorders>
              <w:top w:val="nil"/>
              <w:left w:val="nil"/>
              <w:bottom w:val="single" w:sz="4" w:space="0" w:color="auto"/>
              <w:right w:val="nil"/>
            </w:tcBorders>
            <w:shd w:val="clear" w:color="auto" w:fill="auto"/>
            <w:noWrap/>
            <w:vAlign w:val="center"/>
            <w:hideMark/>
          </w:tcPr>
          <w:p w14:paraId="005B84DA" w14:textId="77777777" w:rsidR="00D7789A" w:rsidRPr="00971206" w:rsidRDefault="00D7789A" w:rsidP="009C0ADB">
            <w:pPr>
              <w:jc w:val="right"/>
              <w:rPr>
                <w:color w:val="000000"/>
              </w:rPr>
            </w:pPr>
            <w:r w:rsidRPr="00971206">
              <w:rPr>
                <w:color w:val="000000"/>
              </w:rPr>
              <w:t>1.217,22</w:t>
            </w:r>
          </w:p>
        </w:tc>
        <w:tc>
          <w:tcPr>
            <w:tcW w:w="1091" w:type="dxa"/>
            <w:tcBorders>
              <w:top w:val="nil"/>
              <w:left w:val="nil"/>
              <w:bottom w:val="single" w:sz="4" w:space="0" w:color="auto"/>
              <w:right w:val="nil"/>
            </w:tcBorders>
            <w:shd w:val="clear" w:color="auto" w:fill="auto"/>
            <w:noWrap/>
            <w:vAlign w:val="center"/>
            <w:hideMark/>
          </w:tcPr>
          <w:p w14:paraId="5204579E" w14:textId="77777777" w:rsidR="00D7789A" w:rsidRPr="00971206" w:rsidRDefault="00D7789A" w:rsidP="009C0ADB">
            <w:pPr>
              <w:jc w:val="right"/>
              <w:rPr>
                <w:color w:val="000000"/>
              </w:rPr>
            </w:pPr>
            <w:r w:rsidRPr="00971206">
              <w:rPr>
                <w:color w:val="000000"/>
              </w:rPr>
              <w:t>1.347,14</w:t>
            </w:r>
          </w:p>
        </w:tc>
        <w:tc>
          <w:tcPr>
            <w:tcW w:w="1293" w:type="dxa"/>
            <w:tcBorders>
              <w:top w:val="nil"/>
              <w:left w:val="nil"/>
              <w:bottom w:val="single" w:sz="4" w:space="0" w:color="auto"/>
              <w:right w:val="nil"/>
            </w:tcBorders>
            <w:shd w:val="clear" w:color="auto" w:fill="auto"/>
            <w:noWrap/>
            <w:vAlign w:val="center"/>
            <w:hideMark/>
          </w:tcPr>
          <w:p w14:paraId="0BA219A0" w14:textId="77777777" w:rsidR="00D7789A" w:rsidRPr="00971206" w:rsidRDefault="00D7789A" w:rsidP="009C0ADB">
            <w:pPr>
              <w:jc w:val="right"/>
              <w:rPr>
                <w:color w:val="000000"/>
              </w:rPr>
            </w:pPr>
            <w:r w:rsidRPr="00971206">
              <w:rPr>
                <w:color w:val="000000"/>
              </w:rPr>
              <w:t>22,1%</w:t>
            </w:r>
          </w:p>
        </w:tc>
      </w:tr>
    </w:tbl>
    <w:p w14:paraId="6071CD83" w14:textId="77777777" w:rsidR="008D4E06" w:rsidRPr="00BB5151" w:rsidRDefault="008D4E06" w:rsidP="008D4E06">
      <w:pPr>
        <w:spacing w:before="120"/>
        <w:jc w:val="both"/>
        <w:rPr>
          <w:sz w:val="20"/>
          <w:szCs w:val="20"/>
        </w:rPr>
      </w:pPr>
      <w:r w:rsidRPr="00BB5151">
        <w:rPr>
          <w:sz w:val="20"/>
          <w:szCs w:val="20"/>
        </w:rPr>
        <w:t>Fonte: Receita Federal do Brasil</w:t>
      </w:r>
      <w:r w:rsidR="00382876" w:rsidRPr="00BB5151">
        <w:rPr>
          <w:sz w:val="20"/>
          <w:szCs w:val="20"/>
        </w:rPr>
        <w:t>. Elaboração própria.</w:t>
      </w:r>
    </w:p>
    <w:p w14:paraId="08E5F27C" w14:textId="77777777" w:rsidR="00277B54" w:rsidRPr="00971206" w:rsidRDefault="00277B54" w:rsidP="008467EA">
      <w:pPr>
        <w:jc w:val="both"/>
      </w:pPr>
    </w:p>
    <w:p w14:paraId="694A3166" w14:textId="5E5609E4" w:rsidR="00BB5151" w:rsidRDefault="000770A6" w:rsidP="00BB5151">
      <w:pPr>
        <w:ind w:firstLine="851"/>
        <w:jc w:val="both"/>
      </w:pPr>
      <w:r w:rsidRPr="00971206">
        <w:t>Como se pode verificar, o valor médio do benefício cresceu bastante entre 2008 e 2015, tendo alcançado novo patamar no biênio 2011/12. Há que</w:t>
      </w:r>
      <w:r w:rsidR="00821564" w:rsidRPr="00971206">
        <w:t xml:space="preserve"> se</w:t>
      </w:r>
      <w:r w:rsidRPr="00971206">
        <w:t xml:space="preserve"> ter presente que o crescimento do valor médio se deve, em parte, </w:t>
      </w:r>
      <w:r w:rsidR="00821564" w:rsidRPr="00971206">
        <w:t xml:space="preserve">à </w:t>
      </w:r>
      <w:r w:rsidRPr="00971206">
        <w:t xml:space="preserve">redução no </w:t>
      </w:r>
      <w:r w:rsidR="00346D37" w:rsidRPr="00971206">
        <w:t>número</w:t>
      </w:r>
      <w:r w:rsidRPr="00971206">
        <w:t xml:space="preserve"> de beneficiários, </w:t>
      </w:r>
      <w:r w:rsidR="00720062" w:rsidRPr="00971206">
        <w:t xml:space="preserve">mas com </w:t>
      </w:r>
      <w:r w:rsidRPr="00971206">
        <w:t>o crescimento da renda desse grupo populacional</w:t>
      </w:r>
      <w:r w:rsidR="00720062" w:rsidRPr="00971206">
        <w:t xml:space="preserve"> exercendo um papel maior nesse </w:t>
      </w:r>
      <w:r w:rsidR="0070503B" w:rsidRPr="00971206">
        <w:t>incremento</w:t>
      </w:r>
      <w:r w:rsidRPr="00971206">
        <w:t xml:space="preserve">. </w:t>
      </w:r>
      <w:r w:rsidR="00720062" w:rsidRPr="00971206">
        <w:t>F</w:t>
      </w:r>
      <w:r w:rsidR="00821564" w:rsidRPr="00971206">
        <w:t xml:space="preserve">ato </w:t>
      </w:r>
      <w:r w:rsidR="00720062" w:rsidRPr="00971206">
        <w:t xml:space="preserve">esse </w:t>
      </w:r>
      <w:r w:rsidRPr="00971206">
        <w:t xml:space="preserve">evidenciado pela redução de importância do </w:t>
      </w:r>
      <w:r w:rsidR="00346D37" w:rsidRPr="00971206">
        <w:t>benefício</w:t>
      </w:r>
      <w:r w:rsidRPr="00971206">
        <w:t xml:space="preserve"> frente ao rendimento. </w:t>
      </w:r>
    </w:p>
    <w:p w14:paraId="63721B2A" w14:textId="49AF6889" w:rsidR="00984BEF" w:rsidRPr="00971206" w:rsidRDefault="0079418B" w:rsidP="00BB5151">
      <w:pPr>
        <w:ind w:firstLine="851"/>
        <w:jc w:val="both"/>
      </w:pPr>
      <w:r w:rsidRPr="00971206">
        <w:t xml:space="preserve">Por fim, os lucros e dividendos se incluem na análise não somente pela parcela que este tipo de ganho </w:t>
      </w:r>
      <w:r w:rsidR="00155435" w:rsidRPr="00971206">
        <w:t xml:space="preserve">representa </w:t>
      </w:r>
      <w:r w:rsidRPr="00971206">
        <w:t xml:space="preserve">dentro dos rendimentos isentos, mas também por sua concentração na renda dos declarantes mais ricos. Conforme estimativas de Fernandes (2016) sobre os dados </w:t>
      </w:r>
      <w:r w:rsidR="00131F56" w:rsidRPr="00971206">
        <w:t xml:space="preserve">do </w:t>
      </w:r>
      <w:r w:rsidRPr="00971206">
        <w:t>DIRPF do ano-base de 2013, os poucos</w:t>
      </w:r>
      <w:r w:rsidR="00056835" w:rsidRPr="00971206">
        <w:t xml:space="preserve"> mais</w:t>
      </w:r>
      <w:r w:rsidRPr="00971206">
        <w:t xml:space="preserve"> de 7</w:t>
      </w:r>
      <w:r w:rsidR="00056835" w:rsidRPr="00971206">
        <w:t>1</w:t>
      </w:r>
      <w:r w:rsidRPr="00971206">
        <w:t xml:space="preserve"> mil declarantes que possuíam rendimento mensal acima de 160 salários mínimos (SM) (0,27% dos declarantes) concentravam 43,3%</w:t>
      </w:r>
      <w:r w:rsidR="00056835" w:rsidRPr="00971206">
        <w:t xml:space="preserve"> de todos os lucros e dividendos declarados. Essa estimativa, por sua vez, se tornava explicação fundamental na constatação de que as alíquotas efetivas declinavam para os indivíduos mais ricos em comparação ao miolo e base das declarações, e, mesmo quando </w:t>
      </w:r>
      <w:r w:rsidR="000F666A" w:rsidRPr="00971206">
        <w:t>se confrontavam</w:t>
      </w:r>
      <w:r w:rsidR="00056835" w:rsidRPr="00971206">
        <w:t xml:space="preserve"> declarações dentro da mesma faixa de renda, indivíduos que auferiam lucros e dividendos pagavam sistematicamente menos IRPF do que pares equivalentes </w:t>
      </w:r>
      <w:r w:rsidR="000F666A" w:rsidRPr="00971206">
        <w:t xml:space="preserve">em renda </w:t>
      </w:r>
      <w:r w:rsidR="00056835" w:rsidRPr="00971206">
        <w:t xml:space="preserve">que não declararam esse tipo de </w:t>
      </w:r>
      <w:r w:rsidR="000F666A" w:rsidRPr="00971206">
        <w:t>rendimento</w:t>
      </w:r>
      <w:r w:rsidR="00056835" w:rsidRPr="00971206">
        <w:t>.</w:t>
      </w:r>
    </w:p>
    <w:p w14:paraId="51D61EC7" w14:textId="3B613625" w:rsidR="00230ECC" w:rsidRPr="00971206" w:rsidRDefault="00230ECC" w:rsidP="008467EA">
      <w:pPr>
        <w:jc w:val="both"/>
      </w:pPr>
    </w:p>
    <w:p w14:paraId="1E67A551" w14:textId="77777777" w:rsidR="00ED4F4E" w:rsidRPr="00971206" w:rsidRDefault="007F3BBF" w:rsidP="009E46B1">
      <w:pPr>
        <w:pStyle w:val="PargrafodaLista"/>
        <w:numPr>
          <w:ilvl w:val="1"/>
          <w:numId w:val="1"/>
        </w:numPr>
        <w:jc w:val="both"/>
        <w:rPr>
          <w:rFonts w:ascii="Times New Roman" w:hAnsi="Times New Roman" w:cs="Times New Roman"/>
        </w:rPr>
      </w:pPr>
      <w:r w:rsidRPr="00971206">
        <w:rPr>
          <w:rFonts w:ascii="Times New Roman" w:hAnsi="Times New Roman" w:cs="Times New Roman"/>
        </w:rPr>
        <w:t>Deduções</w:t>
      </w:r>
    </w:p>
    <w:p w14:paraId="093DD2EB" w14:textId="77777777" w:rsidR="007F3BBF" w:rsidRPr="00971206" w:rsidRDefault="007F3BBF" w:rsidP="008467EA">
      <w:pPr>
        <w:jc w:val="both"/>
      </w:pPr>
    </w:p>
    <w:p w14:paraId="23D14795" w14:textId="41BF89E5" w:rsidR="00C43C1E" w:rsidRPr="00971206" w:rsidRDefault="0090217A" w:rsidP="00BB5151">
      <w:pPr>
        <w:ind w:firstLine="851"/>
        <w:jc w:val="both"/>
      </w:pPr>
      <w:r w:rsidRPr="00971206">
        <w:t xml:space="preserve">Somadas às isenções sobre determinados tipos de rendimentos, figura </w:t>
      </w:r>
      <w:r w:rsidR="00101923" w:rsidRPr="00971206">
        <w:t>em paralelo</w:t>
      </w:r>
      <w:r w:rsidRPr="00971206">
        <w:t xml:space="preserve"> </w:t>
      </w:r>
      <w:r w:rsidR="00101923" w:rsidRPr="00971206">
        <w:t>as</w:t>
      </w:r>
      <w:r w:rsidR="007E0334" w:rsidRPr="00971206">
        <w:t xml:space="preserve"> deduções</w:t>
      </w:r>
      <w:r w:rsidR="000F666A" w:rsidRPr="00971206">
        <w:t>,</w:t>
      </w:r>
      <w:r w:rsidR="00101923" w:rsidRPr="00971206">
        <w:t xml:space="preserve"> um conjunto de despesas incorridas pelo contribuinte que a legislação autoriza abater da base de cálculo do IRPF, e que, portanto, diminui o imposto devido. As deduções mais comuns são as</w:t>
      </w:r>
      <w:r w:rsidR="007E0334" w:rsidRPr="00971206">
        <w:t xml:space="preserve"> relacionadas à dependência econômica, </w:t>
      </w:r>
      <w:r w:rsidR="00101923" w:rsidRPr="00971206">
        <w:t xml:space="preserve">ao </w:t>
      </w:r>
      <w:r w:rsidR="007E0334" w:rsidRPr="00971206">
        <w:t xml:space="preserve">pagamento de contribuições previdenciárias, às pensões alimentícias e aos gastos com saúde e educação. No caso da dependência, busca-se considerar a redução da capacidade contributiva em função da presença de crianças e adolescentes e de inativos, havendo, assim, uma redução da alíquota para uma pessoa com dependentes frente outra </w:t>
      </w:r>
      <w:r w:rsidRPr="00971206">
        <w:t>que não os possui</w:t>
      </w:r>
      <w:r w:rsidR="007E0334" w:rsidRPr="00971206">
        <w:t xml:space="preserve">. Em relação às contribuições à previdência, não caberia tributar a parcela da renda destinada ao financiamento da previdência, </w:t>
      </w:r>
      <w:r w:rsidRPr="00971206">
        <w:t xml:space="preserve">uma vez </w:t>
      </w:r>
      <w:r w:rsidR="007E0334" w:rsidRPr="00971206">
        <w:t>que o percebiment</w:t>
      </w:r>
      <w:r w:rsidR="00366E15" w:rsidRPr="00971206">
        <w:t>o dos benefícios serão objeto do</w:t>
      </w:r>
      <w:r w:rsidR="007E0334" w:rsidRPr="00971206">
        <w:t xml:space="preserve"> imposto de renda</w:t>
      </w:r>
      <w:r w:rsidRPr="00971206">
        <w:t xml:space="preserve"> futuramente</w:t>
      </w:r>
      <w:r w:rsidR="007E0334" w:rsidRPr="00971206">
        <w:t>.</w:t>
      </w:r>
      <w:r w:rsidR="00366E15" w:rsidRPr="00971206">
        <w:t xml:space="preserve"> </w:t>
      </w:r>
      <w:r w:rsidR="007E0334" w:rsidRPr="00971206">
        <w:t xml:space="preserve">As pensões alimentícias serão objeto de tributação pelos recebedores desses valores, ou seja, o IRPF incidirá sobre os alimentados. </w:t>
      </w:r>
    </w:p>
    <w:p w14:paraId="2EB3DA2C" w14:textId="77777777" w:rsidR="007E0334" w:rsidRPr="00971206" w:rsidRDefault="007E0334" w:rsidP="008467EA">
      <w:pPr>
        <w:jc w:val="both"/>
      </w:pPr>
    </w:p>
    <w:p w14:paraId="01C6C5E9" w14:textId="77777777" w:rsidR="00BB5151" w:rsidRDefault="000F666A" w:rsidP="00BB5151">
      <w:pPr>
        <w:ind w:firstLine="851"/>
        <w:jc w:val="both"/>
      </w:pPr>
      <w:r w:rsidRPr="00971206">
        <w:lastRenderedPageBreak/>
        <w:t xml:space="preserve">Por outro lado, as </w:t>
      </w:r>
      <w:r w:rsidR="007E0334" w:rsidRPr="00971206">
        <w:t xml:space="preserve">deduções de gastos em educação e saúde se fundamentam, no primeiro caso, </w:t>
      </w:r>
      <w:r w:rsidR="007F3BBF" w:rsidRPr="00971206">
        <w:t>na</w:t>
      </w:r>
      <w:r w:rsidR="00EA2264" w:rsidRPr="00971206">
        <w:t xml:space="preserve"> </w:t>
      </w:r>
      <w:r w:rsidR="00A41C61" w:rsidRPr="00971206">
        <w:t xml:space="preserve">concessão </w:t>
      </w:r>
      <w:r w:rsidR="007E0334" w:rsidRPr="00971206">
        <w:t xml:space="preserve">de benefícios fiscais </w:t>
      </w:r>
      <w:r w:rsidR="00A41C61" w:rsidRPr="00971206">
        <w:t>para o</w:t>
      </w:r>
      <w:r w:rsidR="007E0334" w:rsidRPr="00971206">
        <w:t xml:space="preserve"> capital </w:t>
      </w:r>
      <w:r w:rsidR="00A41C61" w:rsidRPr="00971206">
        <w:t xml:space="preserve">humano </w:t>
      </w:r>
      <w:r w:rsidR="007E0334" w:rsidRPr="00971206">
        <w:t xml:space="preserve">que se acumula com esses gastos, e, no segundo, à </w:t>
      </w:r>
      <w:r w:rsidR="00694320" w:rsidRPr="00971206">
        <w:t xml:space="preserve">imprevisibilidade dos </w:t>
      </w:r>
      <w:r w:rsidR="007E0334" w:rsidRPr="00971206">
        <w:t>gastos</w:t>
      </w:r>
      <w:r w:rsidR="00694320" w:rsidRPr="00971206">
        <w:t xml:space="preserve"> em saúde, que reduz, por vezes, de modo substancial, a capacidade contributiva das famílias.</w:t>
      </w:r>
      <w:r w:rsidR="007E0334" w:rsidRPr="00971206">
        <w:t xml:space="preserve"> </w:t>
      </w:r>
      <w:r w:rsidR="00814A89" w:rsidRPr="00971206">
        <w:t xml:space="preserve">O que coloca em xeque a pertinência dessas deduções é seu caráter discriminatório, uma vez que somente 20% da população adulta </w:t>
      </w:r>
      <w:r w:rsidR="007F3BBF" w:rsidRPr="00971206">
        <w:t>se encontra</w:t>
      </w:r>
      <w:r w:rsidR="00814A89" w:rsidRPr="00971206">
        <w:t xml:space="preserve"> entre os declarantes do IRPF, sendo que a oferta pública em saúde e educação </w:t>
      </w:r>
      <w:r w:rsidR="007F3BBF" w:rsidRPr="00971206">
        <w:t xml:space="preserve">é, usualmente, de qualidade inferior </w:t>
      </w:r>
      <w:r w:rsidR="00851D42" w:rsidRPr="00971206">
        <w:t>à</w:t>
      </w:r>
      <w:r w:rsidR="007F3BBF" w:rsidRPr="00971206">
        <w:t xml:space="preserve"> que pode</w:t>
      </w:r>
      <w:r w:rsidR="00091C2E" w:rsidRPr="00971206">
        <w:t xml:space="preserve"> ser</w:t>
      </w:r>
      <w:r w:rsidR="007F3BBF" w:rsidRPr="00971206">
        <w:t xml:space="preserve"> contratada por meios privados e que então serão objeto de dedução no IRPF a ser pago pelos contribuintes mais afluentes</w:t>
      </w:r>
      <w:r w:rsidR="00814A89" w:rsidRPr="00971206">
        <w:t xml:space="preserve">. </w:t>
      </w:r>
    </w:p>
    <w:p w14:paraId="6316151B" w14:textId="2B980363" w:rsidR="00A41C61" w:rsidRPr="00971206" w:rsidRDefault="000F666A" w:rsidP="00BB5151">
      <w:pPr>
        <w:ind w:firstLine="851"/>
        <w:jc w:val="both"/>
      </w:pPr>
      <w:r w:rsidRPr="00971206">
        <w:t xml:space="preserve">Somado a esse fato, </w:t>
      </w:r>
      <w:r w:rsidR="00AB21C8" w:rsidRPr="00971206">
        <w:t xml:space="preserve">está a verificação nos dados do DIRPF que, por não possuir limite de dedução, as declarações de gasto com saúde são crescentes quando analisada de modo </w:t>
      </w:r>
      <w:r w:rsidR="00AB21C8" w:rsidRPr="00971206">
        <w:rPr>
          <w:i/>
        </w:rPr>
        <w:t>per capita</w:t>
      </w:r>
      <w:r w:rsidR="00AB21C8" w:rsidRPr="00971206">
        <w:t xml:space="preserve"> para o ano-base de 2016</w:t>
      </w:r>
      <w:r w:rsidR="00155F16" w:rsidRPr="00971206">
        <w:t>.</w:t>
      </w:r>
      <w:r w:rsidR="00AB21C8" w:rsidRPr="00971206">
        <w:t xml:space="preserve"> </w:t>
      </w:r>
      <w:r w:rsidR="00155F16" w:rsidRPr="00971206">
        <w:t>E</w:t>
      </w:r>
      <w:r w:rsidR="00AB21C8" w:rsidRPr="00971206">
        <w:t xml:space="preserve">nquanto os declarantes com renda mensal </w:t>
      </w:r>
      <w:r w:rsidR="00984BEF" w:rsidRPr="00971206">
        <w:t xml:space="preserve">entre 3 e 5 </w:t>
      </w:r>
      <w:r w:rsidR="00AB21C8" w:rsidRPr="00971206">
        <w:t>SM declara</w:t>
      </w:r>
      <w:r w:rsidR="006026D2" w:rsidRPr="00971206">
        <w:t>ra</w:t>
      </w:r>
      <w:r w:rsidR="00AB21C8" w:rsidRPr="00971206">
        <w:t xml:space="preserve">m em média R$ </w:t>
      </w:r>
      <w:r w:rsidR="00984BEF" w:rsidRPr="00971206">
        <w:t>1.109</w:t>
      </w:r>
      <w:r w:rsidR="00AB21C8" w:rsidRPr="00971206">
        <w:t xml:space="preserve"> de gastos anuais em saúde, os declarantes com renda mensal acima de 320 SM declararam um gasto médio de R$ 18.206. Para o caso dos gastos com educação o mesmo não ocorre, pois há um limite de valor para tal dedução.</w:t>
      </w:r>
      <w:r w:rsidR="00382876" w:rsidRPr="00971206">
        <w:t xml:space="preserve"> Os valores estão dispostos na </w:t>
      </w:r>
      <w:r w:rsidR="003D417E" w:rsidRPr="00971206">
        <w:t>T</w:t>
      </w:r>
      <w:r w:rsidR="00382876" w:rsidRPr="00971206">
        <w:t>abela 3</w:t>
      </w:r>
      <w:r w:rsidR="003D417E" w:rsidRPr="00971206">
        <w:t>.</w:t>
      </w:r>
    </w:p>
    <w:p w14:paraId="61349495" w14:textId="77777777" w:rsidR="00382876" w:rsidRPr="00971206" w:rsidRDefault="00382876" w:rsidP="008467EA">
      <w:pPr>
        <w:jc w:val="both"/>
      </w:pPr>
    </w:p>
    <w:p w14:paraId="393507EC" w14:textId="77777777" w:rsidR="00382876" w:rsidRPr="00971206" w:rsidRDefault="00382876" w:rsidP="009E46B1">
      <w:pPr>
        <w:keepNext/>
        <w:spacing w:after="120"/>
        <w:jc w:val="both"/>
      </w:pPr>
      <w:r w:rsidRPr="00971206">
        <w:t xml:space="preserve">Tabela 3 – Declarações do IRPF de rendimentos e deduções em educação e saúde </w:t>
      </w:r>
      <w:r w:rsidRPr="00971206">
        <w:rPr>
          <w:i/>
        </w:rPr>
        <w:t>per capita</w:t>
      </w:r>
      <w:r w:rsidRPr="00971206">
        <w:t xml:space="preserve"> – Brasil, </w:t>
      </w:r>
      <w:r w:rsidR="00155435" w:rsidRPr="00971206">
        <w:t xml:space="preserve">valores correntes, </w:t>
      </w:r>
      <w:r w:rsidRPr="00971206">
        <w:t>2016.</w:t>
      </w:r>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5"/>
        <w:gridCol w:w="1725"/>
        <w:gridCol w:w="1363"/>
        <w:gridCol w:w="1321"/>
      </w:tblGrid>
      <w:tr w:rsidR="00382876" w:rsidRPr="00971206" w14:paraId="32FF215C" w14:textId="77777777" w:rsidTr="00382876">
        <w:trPr>
          <w:trHeight w:val="495"/>
          <w:jc w:val="center"/>
        </w:trPr>
        <w:tc>
          <w:tcPr>
            <w:tcW w:w="1725" w:type="dxa"/>
            <w:vMerge w:val="restart"/>
            <w:vAlign w:val="center"/>
          </w:tcPr>
          <w:p w14:paraId="427DC2E0" w14:textId="77777777" w:rsidR="00382876" w:rsidRPr="00971206" w:rsidRDefault="00382876" w:rsidP="009E46B1">
            <w:pPr>
              <w:keepNext/>
              <w:jc w:val="center"/>
              <w:rPr>
                <w:b/>
              </w:rPr>
            </w:pPr>
            <w:r w:rsidRPr="00971206">
              <w:rPr>
                <w:b/>
                <w:bCs/>
              </w:rPr>
              <w:t>Faixa de Salário Mín. Mensal</w:t>
            </w:r>
          </w:p>
        </w:tc>
        <w:tc>
          <w:tcPr>
            <w:tcW w:w="1725" w:type="dxa"/>
            <w:vMerge w:val="restart"/>
            <w:noWrap/>
            <w:vAlign w:val="center"/>
            <w:hideMark/>
          </w:tcPr>
          <w:p w14:paraId="6DA9D28E" w14:textId="77777777" w:rsidR="00382876" w:rsidRPr="00971206" w:rsidRDefault="00382876" w:rsidP="009E46B1">
            <w:pPr>
              <w:keepNext/>
              <w:jc w:val="center"/>
              <w:rPr>
                <w:b/>
              </w:rPr>
            </w:pPr>
            <w:r w:rsidRPr="00971206">
              <w:rPr>
                <w:b/>
              </w:rPr>
              <w:t>Rendimentos totais</w:t>
            </w:r>
          </w:p>
        </w:tc>
        <w:tc>
          <w:tcPr>
            <w:tcW w:w="2684" w:type="dxa"/>
            <w:gridSpan w:val="2"/>
            <w:tcBorders>
              <w:bottom w:val="single" w:sz="4" w:space="0" w:color="auto"/>
            </w:tcBorders>
            <w:noWrap/>
            <w:vAlign w:val="center"/>
            <w:hideMark/>
          </w:tcPr>
          <w:p w14:paraId="26FF80DB" w14:textId="77777777" w:rsidR="00382876" w:rsidRPr="00971206" w:rsidRDefault="00382876" w:rsidP="009E46B1">
            <w:pPr>
              <w:keepNext/>
              <w:jc w:val="center"/>
              <w:rPr>
                <w:b/>
              </w:rPr>
            </w:pPr>
            <w:r w:rsidRPr="00971206">
              <w:rPr>
                <w:b/>
              </w:rPr>
              <w:t>Deduções</w:t>
            </w:r>
          </w:p>
        </w:tc>
      </w:tr>
      <w:tr w:rsidR="00382876" w:rsidRPr="00971206" w14:paraId="78FAD12F" w14:textId="77777777" w:rsidTr="00382876">
        <w:trPr>
          <w:trHeight w:val="495"/>
          <w:jc w:val="center"/>
        </w:trPr>
        <w:tc>
          <w:tcPr>
            <w:tcW w:w="1725" w:type="dxa"/>
            <w:vMerge/>
            <w:tcBorders>
              <w:bottom w:val="single" w:sz="4" w:space="0" w:color="auto"/>
            </w:tcBorders>
            <w:vAlign w:val="center"/>
          </w:tcPr>
          <w:p w14:paraId="00AF8B0F" w14:textId="77777777" w:rsidR="00382876" w:rsidRPr="00971206" w:rsidRDefault="00382876" w:rsidP="009E46B1">
            <w:pPr>
              <w:keepNext/>
              <w:jc w:val="center"/>
              <w:rPr>
                <w:b/>
              </w:rPr>
            </w:pPr>
          </w:p>
        </w:tc>
        <w:tc>
          <w:tcPr>
            <w:tcW w:w="1725" w:type="dxa"/>
            <w:vMerge/>
            <w:tcBorders>
              <w:bottom w:val="single" w:sz="4" w:space="0" w:color="auto"/>
            </w:tcBorders>
            <w:noWrap/>
            <w:vAlign w:val="center"/>
            <w:hideMark/>
          </w:tcPr>
          <w:p w14:paraId="6976809C" w14:textId="77777777" w:rsidR="00382876" w:rsidRPr="00971206" w:rsidRDefault="00382876" w:rsidP="009E46B1">
            <w:pPr>
              <w:keepNext/>
              <w:jc w:val="center"/>
              <w:rPr>
                <w:b/>
              </w:rPr>
            </w:pPr>
          </w:p>
        </w:tc>
        <w:tc>
          <w:tcPr>
            <w:tcW w:w="1363" w:type="dxa"/>
            <w:tcBorders>
              <w:top w:val="single" w:sz="4" w:space="0" w:color="auto"/>
              <w:bottom w:val="single" w:sz="4" w:space="0" w:color="auto"/>
            </w:tcBorders>
            <w:noWrap/>
            <w:vAlign w:val="center"/>
            <w:hideMark/>
          </w:tcPr>
          <w:p w14:paraId="0230C96D" w14:textId="77777777" w:rsidR="00382876" w:rsidRPr="00971206" w:rsidRDefault="00382876" w:rsidP="009E46B1">
            <w:pPr>
              <w:keepNext/>
              <w:jc w:val="center"/>
              <w:rPr>
                <w:b/>
              </w:rPr>
            </w:pPr>
            <w:r w:rsidRPr="00971206">
              <w:rPr>
                <w:b/>
              </w:rPr>
              <w:t>Educação</w:t>
            </w:r>
          </w:p>
        </w:tc>
        <w:tc>
          <w:tcPr>
            <w:tcW w:w="1321" w:type="dxa"/>
            <w:tcBorders>
              <w:top w:val="single" w:sz="4" w:space="0" w:color="auto"/>
              <w:bottom w:val="single" w:sz="4" w:space="0" w:color="auto"/>
            </w:tcBorders>
            <w:noWrap/>
            <w:vAlign w:val="center"/>
            <w:hideMark/>
          </w:tcPr>
          <w:p w14:paraId="24AC16FE" w14:textId="77777777" w:rsidR="00382876" w:rsidRPr="00971206" w:rsidRDefault="00382876" w:rsidP="009E46B1">
            <w:pPr>
              <w:keepNext/>
              <w:jc w:val="center"/>
              <w:rPr>
                <w:b/>
              </w:rPr>
            </w:pPr>
            <w:r w:rsidRPr="00971206">
              <w:rPr>
                <w:b/>
              </w:rPr>
              <w:t>Saúde</w:t>
            </w:r>
          </w:p>
        </w:tc>
      </w:tr>
      <w:tr w:rsidR="00382876" w:rsidRPr="00971206" w14:paraId="2CC2D7F8" w14:textId="77777777" w:rsidTr="009E46B1">
        <w:trPr>
          <w:trHeight w:val="300"/>
          <w:jc w:val="center"/>
        </w:trPr>
        <w:tc>
          <w:tcPr>
            <w:tcW w:w="1725" w:type="dxa"/>
            <w:tcBorders>
              <w:top w:val="single" w:sz="4" w:space="0" w:color="auto"/>
              <w:bottom w:val="nil"/>
            </w:tcBorders>
            <w:vAlign w:val="center"/>
          </w:tcPr>
          <w:p w14:paraId="4937F0C9" w14:textId="77777777" w:rsidR="00382876" w:rsidRPr="00971206" w:rsidRDefault="00382876" w:rsidP="009E46B1">
            <w:pPr>
              <w:keepNext/>
              <w:jc w:val="center"/>
            </w:pPr>
            <w:r w:rsidRPr="00971206">
              <w:t xml:space="preserve">Até </w:t>
            </w:r>
            <w:r w:rsidR="004E57A8" w:rsidRPr="00971206">
              <w:t>½</w:t>
            </w:r>
          </w:p>
        </w:tc>
        <w:tc>
          <w:tcPr>
            <w:tcW w:w="1725" w:type="dxa"/>
            <w:tcBorders>
              <w:top w:val="single" w:sz="4" w:space="0" w:color="auto"/>
              <w:bottom w:val="nil"/>
            </w:tcBorders>
            <w:noWrap/>
            <w:vAlign w:val="center"/>
            <w:hideMark/>
          </w:tcPr>
          <w:p w14:paraId="021D1A7A" w14:textId="77777777" w:rsidR="00382876" w:rsidRPr="00971206" w:rsidRDefault="00382876" w:rsidP="009E46B1">
            <w:pPr>
              <w:keepNext/>
              <w:jc w:val="right"/>
            </w:pPr>
            <w:r w:rsidRPr="00971206">
              <w:t xml:space="preserve">391 </w:t>
            </w:r>
          </w:p>
        </w:tc>
        <w:tc>
          <w:tcPr>
            <w:tcW w:w="1363" w:type="dxa"/>
            <w:tcBorders>
              <w:top w:val="single" w:sz="4" w:space="0" w:color="auto"/>
              <w:bottom w:val="nil"/>
            </w:tcBorders>
            <w:noWrap/>
            <w:vAlign w:val="center"/>
            <w:hideMark/>
          </w:tcPr>
          <w:p w14:paraId="318D6A6D" w14:textId="77777777" w:rsidR="00382876" w:rsidRPr="00971206" w:rsidRDefault="00382876" w:rsidP="009E46B1">
            <w:pPr>
              <w:keepNext/>
              <w:jc w:val="right"/>
            </w:pPr>
            <w:r w:rsidRPr="00971206">
              <w:t xml:space="preserve">16 </w:t>
            </w:r>
          </w:p>
        </w:tc>
        <w:tc>
          <w:tcPr>
            <w:tcW w:w="1321" w:type="dxa"/>
            <w:tcBorders>
              <w:top w:val="single" w:sz="4" w:space="0" w:color="auto"/>
              <w:bottom w:val="nil"/>
            </w:tcBorders>
            <w:noWrap/>
            <w:vAlign w:val="center"/>
            <w:hideMark/>
          </w:tcPr>
          <w:p w14:paraId="1938A29B" w14:textId="77777777" w:rsidR="00382876" w:rsidRPr="00971206" w:rsidRDefault="00382876" w:rsidP="009E46B1">
            <w:pPr>
              <w:keepNext/>
              <w:jc w:val="right"/>
            </w:pPr>
            <w:r w:rsidRPr="00971206">
              <w:t xml:space="preserve">73 </w:t>
            </w:r>
          </w:p>
        </w:tc>
      </w:tr>
      <w:tr w:rsidR="00382876" w:rsidRPr="00971206" w14:paraId="424CF9E1" w14:textId="77777777" w:rsidTr="009E46B1">
        <w:trPr>
          <w:trHeight w:val="300"/>
          <w:jc w:val="center"/>
        </w:trPr>
        <w:tc>
          <w:tcPr>
            <w:tcW w:w="1725" w:type="dxa"/>
            <w:tcBorders>
              <w:top w:val="nil"/>
            </w:tcBorders>
            <w:vAlign w:val="center"/>
          </w:tcPr>
          <w:p w14:paraId="49E41FC2" w14:textId="77777777" w:rsidR="00382876" w:rsidRPr="00971206" w:rsidRDefault="00382876" w:rsidP="009E46B1">
            <w:pPr>
              <w:keepNext/>
              <w:jc w:val="center"/>
            </w:pPr>
            <w:r w:rsidRPr="00971206">
              <w:t>De 1/2 a 1</w:t>
            </w:r>
          </w:p>
        </w:tc>
        <w:tc>
          <w:tcPr>
            <w:tcW w:w="1725" w:type="dxa"/>
            <w:tcBorders>
              <w:top w:val="nil"/>
            </w:tcBorders>
            <w:noWrap/>
            <w:vAlign w:val="center"/>
            <w:hideMark/>
          </w:tcPr>
          <w:p w14:paraId="4FA32713" w14:textId="77777777" w:rsidR="00382876" w:rsidRPr="00971206" w:rsidRDefault="00382876" w:rsidP="009E46B1">
            <w:pPr>
              <w:keepNext/>
              <w:jc w:val="right"/>
            </w:pPr>
            <w:r w:rsidRPr="00971206">
              <w:t xml:space="preserve">9.558 </w:t>
            </w:r>
          </w:p>
        </w:tc>
        <w:tc>
          <w:tcPr>
            <w:tcW w:w="1363" w:type="dxa"/>
            <w:tcBorders>
              <w:top w:val="nil"/>
            </w:tcBorders>
            <w:noWrap/>
            <w:vAlign w:val="center"/>
            <w:hideMark/>
          </w:tcPr>
          <w:p w14:paraId="411ED653" w14:textId="77777777" w:rsidR="00382876" w:rsidRPr="00971206" w:rsidRDefault="00382876" w:rsidP="009E46B1">
            <w:pPr>
              <w:keepNext/>
              <w:jc w:val="right"/>
            </w:pPr>
            <w:r w:rsidRPr="00971206">
              <w:t xml:space="preserve">26 </w:t>
            </w:r>
          </w:p>
        </w:tc>
        <w:tc>
          <w:tcPr>
            <w:tcW w:w="1321" w:type="dxa"/>
            <w:tcBorders>
              <w:top w:val="nil"/>
            </w:tcBorders>
            <w:noWrap/>
            <w:vAlign w:val="center"/>
            <w:hideMark/>
          </w:tcPr>
          <w:p w14:paraId="5711007F" w14:textId="77777777" w:rsidR="00382876" w:rsidRPr="00971206" w:rsidRDefault="00382876" w:rsidP="009E46B1">
            <w:pPr>
              <w:keepNext/>
              <w:jc w:val="right"/>
            </w:pPr>
            <w:r w:rsidRPr="00971206">
              <w:t xml:space="preserve">88 </w:t>
            </w:r>
          </w:p>
        </w:tc>
      </w:tr>
      <w:tr w:rsidR="00382876" w:rsidRPr="00971206" w14:paraId="7DD6209A" w14:textId="77777777" w:rsidTr="009E46B1">
        <w:trPr>
          <w:trHeight w:val="300"/>
          <w:jc w:val="center"/>
        </w:trPr>
        <w:tc>
          <w:tcPr>
            <w:tcW w:w="1725" w:type="dxa"/>
            <w:vAlign w:val="center"/>
          </w:tcPr>
          <w:p w14:paraId="1E1AFC3D" w14:textId="77777777" w:rsidR="00382876" w:rsidRPr="00971206" w:rsidRDefault="00382876" w:rsidP="009E46B1">
            <w:pPr>
              <w:keepNext/>
              <w:jc w:val="center"/>
            </w:pPr>
            <w:r w:rsidRPr="00971206">
              <w:t>De 1 a 2</w:t>
            </w:r>
          </w:p>
        </w:tc>
        <w:tc>
          <w:tcPr>
            <w:tcW w:w="1725" w:type="dxa"/>
            <w:noWrap/>
            <w:vAlign w:val="center"/>
            <w:hideMark/>
          </w:tcPr>
          <w:p w14:paraId="0C4B7F4A" w14:textId="77777777" w:rsidR="00382876" w:rsidRPr="00971206" w:rsidRDefault="00382876" w:rsidP="009E46B1">
            <w:pPr>
              <w:keepNext/>
              <w:jc w:val="right"/>
            </w:pPr>
            <w:r w:rsidRPr="00971206">
              <w:t xml:space="preserve">16.141 </w:t>
            </w:r>
          </w:p>
        </w:tc>
        <w:tc>
          <w:tcPr>
            <w:tcW w:w="1363" w:type="dxa"/>
            <w:noWrap/>
            <w:vAlign w:val="center"/>
            <w:hideMark/>
          </w:tcPr>
          <w:p w14:paraId="475EE62A" w14:textId="77777777" w:rsidR="00382876" w:rsidRPr="00971206" w:rsidRDefault="00382876" w:rsidP="009E46B1">
            <w:pPr>
              <w:keepNext/>
              <w:jc w:val="right"/>
            </w:pPr>
            <w:r w:rsidRPr="00971206">
              <w:t xml:space="preserve">48 </w:t>
            </w:r>
          </w:p>
        </w:tc>
        <w:tc>
          <w:tcPr>
            <w:tcW w:w="1321" w:type="dxa"/>
            <w:noWrap/>
            <w:vAlign w:val="center"/>
            <w:hideMark/>
          </w:tcPr>
          <w:p w14:paraId="1EB0C083" w14:textId="77777777" w:rsidR="00382876" w:rsidRPr="00971206" w:rsidRDefault="00382876" w:rsidP="009E46B1">
            <w:pPr>
              <w:keepNext/>
              <w:jc w:val="right"/>
            </w:pPr>
            <w:r w:rsidRPr="00971206">
              <w:t xml:space="preserve">175 </w:t>
            </w:r>
          </w:p>
        </w:tc>
      </w:tr>
      <w:tr w:rsidR="00382876" w:rsidRPr="00971206" w14:paraId="44183156" w14:textId="77777777" w:rsidTr="009E46B1">
        <w:trPr>
          <w:trHeight w:val="300"/>
          <w:jc w:val="center"/>
        </w:trPr>
        <w:tc>
          <w:tcPr>
            <w:tcW w:w="1725" w:type="dxa"/>
            <w:vAlign w:val="center"/>
          </w:tcPr>
          <w:p w14:paraId="1AADAAEF" w14:textId="77777777" w:rsidR="00382876" w:rsidRPr="00971206" w:rsidRDefault="00382876" w:rsidP="009E46B1">
            <w:pPr>
              <w:keepNext/>
              <w:jc w:val="center"/>
            </w:pPr>
            <w:r w:rsidRPr="00971206">
              <w:t>De 2 a 3</w:t>
            </w:r>
          </w:p>
        </w:tc>
        <w:tc>
          <w:tcPr>
            <w:tcW w:w="1725" w:type="dxa"/>
            <w:noWrap/>
            <w:vAlign w:val="center"/>
            <w:hideMark/>
          </w:tcPr>
          <w:p w14:paraId="13835763" w14:textId="77777777" w:rsidR="00382876" w:rsidRPr="00971206" w:rsidRDefault="00382876" w:rsidP="009E46B1">
            <w:pPr>
              <w:keepNext/>
              <w:jc w:val="right"/>
            </w:pPr>
            <w:r w:rsidRPr="00971206">
              <w:t xml:space="preserve">27.240 </w:t>
            </w:r>
          </w:p>
        </w:tc>
        <w:tc>
          <w:tcPr>
            <w:tcW w:w="1363" w:type="dxa"/>
            <w:noWrap/>
            <w:vAlign w:val="center"/>
            <w:hideMark/>
          </w:tcPr>
          <w:p w14:paraId="30BC2C29" w14:textId="77777777" w:rsidR="00382876" w:rsidRPr="00971206" w:rsidRDefault="00382876" w:rsidP="009E46B1">
            <w:pPr>
              <w:keepNext/>
              <w:jc w:val="right"/>
            </w:pPr>
            <w:r w:rsidRPr="00971206">
              <w:t xml:space="preserve">70 </w:t>
            </w:r>
          </w:p>
        </w:tc>
        <w:tc>
          <w:tcPr>
            <w:tcW w:w="1321" w:type="dxa"/>
            <w:noWrap/>
            <w:vAlign w:val="center"/>
            <w:hideMark/>
          </w:tcPr>
          <w:p w14:paraId="3DF6E767" w14:textId="77777777" w:rsidR="00382876" w:rsidRPr="00971206" w:rsidRDefault="00382876" w:rsidP="009E46B1">
            <w:pPr>
              <w:keepNext/>
              <w:jc w:val="right"/>
            </w:pPr>
            <w:r w:rsidRPr="00971206">
              <w:t xml:space="preserve">221 </w:t>
            </w:r>
          </w:p>
        </w:tc>
      </w:tr>
      <w:tr w:rsidR="00382876" w:rsidRPr="00971206" w14:paraId="49F97089" w14:textId="77777777" w:rsidTr="009E46B1">
        <w:trPr>
          <w:trHeight w:val="300"/>
          <w:jc w:val="center"/>
        </w:trPr>
        <w:tc>
          <w:tcPr>
            <w:tcW w:w="1725" w:type="dxa"/>
            <w:vAlign w:val="center"/>
          </w:tcPr>
          <w:p w14:paraId="6F297EB1" w14:textId="77777777" w:rsidR="00382876" w:rsidRPr="00971206" w:rsidRDefault="00382876" w:rsidP="009E46B1">
            <w:pPr>
              <w:keepNext/>
              <w:jc w:val="center"/>
            </w:pPr>
            <w:r w:rsidRPr="00971206">
              <w:t>De 3 a 5</w:t>
            </w:r>
          </w:p>
        </w:tc>
        <w:tc>
          <w:tcPr>
            <w:tcW w:w="1725" w:type="dxa"/>
            <w:noWrap/>
            <w:vAlign w:val="center"/>
            <w:hideMark/>
          </w:tcPr>
          <w:p w14:paraId="25EE2CF6" w14:textId="77777777" w:rsidR="00382876" w:rsidRPr="00971206" w:rsidRDefault="00382876" w:rsidP="009E46B1">
            <w:pPr>
              <w:keepNext/>
              <w:jc w:val="right"/>
            </w:pPr>
            <w:r w:rsidRPr="00971206">
              <w:t xml:space="preserve">41.278 </w:t>
            </w:r>
          </w:p>
        </w:tc>
        <w:tc>
          <w:tcPr>
            <w:tcW w:w="1363" w:type="dxa"/>
            <w:noWrap/>
            <w:vAlign w:val="center"/>
            <w:hideMark/>
          </w:tcPr>
          <w:p w14:paraId="3D3F9922" w14:textId="77777777" w:rsidR="00382876" w:rsidRPr="00971206" w:rsidRDefault="00382876" w:rsidP="009E46B1">
            <w:pPr>
              <w:keepNext/>
              <w:jc w:val="right"/>
            </w:pPr>
            <w:r w:rsidRPr="00971206">
              <w:t xml:space="preserve">483 </w:t>
            </w:r>
          </w:p>
        </w:tc>
        <w:tc>
          <w:tcPr>
            <w:tcW w:w="1321" w:type="dxa"/>
            <w:noWrap/>
            <w:vAlign w:val="center"/>
            <w:hideMark/>
          </w:tcPr>
          <w:p w14:paraId="4BE276EE" w14:textId="77777777" w:rsidR="00382876" w:rsidRPr="00971206" w:rsidRDefault="00382876" w:rsidP="009E46B1">
            <w:pPr>
              <w:keepNext/>
              <w:jc w:val="right"/>
            </w:pPr>
            <w:r w:rsidRPr="00971206">
              <w:t xml:space="preserve">1.109 </w:t>
            </w:r>
          </w:p>
        </w:tc>
      </w:tr>
      <w:tr w:rsidR="00382876" w:rsidRPr="00971206" w14:paraId="185FF6BB" w14:textId="77777777" w:rsidTr="009E46B1">
        <w:trPr>
          <w:trHeight w:val="300"/>
          <w:jc w:val="center"/>
        </w:trPr>
        <w:tc>
          <w:tcPr>
            <w:tcW w:w="1725" w:type="dxa"/>
            <w:vAlign w:val="center"/>
          </w:tcPr>
          <w:p w14:paraId="015F1D14" w14:textId="77777777" w:rsidR="00382876" w:rsidRPr="00971206" w:rsidRDefault="00382876" w:rsidP="009E46B1">
            <w:pPr>
              <w:keepNext/>
              <w:jc w:val="center"/>
            </w:pPr>
            <w:r w:rsidRPr="00971206">
              <w:t>De 5 a 7</w:t>
            </w:r>
          </w:p>
        </w:tc>
        <w:tc>
          <w:tcPr>
            <w:tcW w:w="1725" w:type="dxa"/>
            <w:noWrap/>
            <w:vAlign w:val="center"/>
            <w:hideMark/>
          </w:tcPr>
          <w:p w14:paraId="38EB2B8F" w14:textId="77777777" w:rsidR="00382876" w:rsidRPr="00971206" w:rsidRDefault="00382876" w:rsidP="009E46B1">
            <w:pPr>
              <w:keepNext/>
              <w:jc w:val="right"/>
            </w:pPr>
            <w:r w:rsidRPr="00971206">
              <w:t xml:space="preserve">62.266 </w:t>
            </w:r>
          </w:p>
        </w:tc>
        <w:tc>
          <w:tcPr>
            <w:tcW w:w="1363" w:type="dxa"/>
            <w:noWrap/>
            <w:vAlign w:val="center"/>
            <w:hideMark/>
          </w:tcPr>
          <w:p w14:paraId="30F2D5A2" w14:textId="77777777" w:rsidR="00382876" w:rsidRPr="00971206" w:rsidRDefault="00382876" w:rsidP="009E46B1">
            <w:pPr>
              <w:keepNext/>
              <w:jc w:val="right"/>
            </w:pPr>
            <w:r w:rsidRPr="00971206">
              <w:t xml:space="preserve">975 </w:t>
            </w:r>
          </w:p>
        </w:tc>
        <w:tc>
          <w:tcPr>
            <w:tcW w:w="1321" w:type="dxa"/>
            <w:noWrap/>
            <w:vAlign w:val="center"/>
            <w:hideMark/>
          </w:tcPr>
          <w:p w14:paraId="6EFA6E22" w14:textId="77777777" w:rsidR="00382876" w:rsidRPr="00971206" w:rsidRDefault="00382876" w:rsidP="009E46B1">
            <w:pPr>
              <w:keepNext/>
              <w:jc w:val="right"/>
            </w:pPr>
            <w:r w:rsidRPr="00971206">
              <w:t xml:space="preserve">2.284 </w:t>
            </w:r>
          </w:p>
        </w:tc>
      </w:tr>
      <w:tr w:rsidR="00382876" w:rsidRPr="00971206" w14:paraId="03177197" w14:textId="77777777" w:rsidTr="009E46B1">
        <w:trPr>
          <w:trHeight w:val="300"/>
          <w:jc w:val="center"/>
        </w:trPr>
        <w:tc>
          <w:tcPr>
            <w:tcW w:w="1725" w:type="dxa"/>
            <w:vAlign w:val="center"/>
          </w:tcPr>
          <w:p w14:paraId="34891876" w14:textId="77777777" w:rsidR="00382876" w:rsidRPr="00971206" w:rsidRDefault="00382876" w:rsidP="009E46B1">
            <w:pPr>
              <w:keepNext/>
              <w:jc w:val="center"/>
            </w:pPr>
            <w:r w:rsidRPr="00971206">
              <w:t>De 7 a 10</w:t>
            </w:r>
          </w:p>
        </w:tc>
        <w:tc>
          <w:tcPr>
            <w:tcW w:w="1725" w:type="dxa"/>
            <w:noWrap/>
            <w:vAlign w:val="center"/>
            <w:hideMark/>
          </w:tcPr>
          <w:p w14:paraId="0A7C2702" w14:textId="77777777" w:rsidR="00382876" w:rsidRPr="00971206" w:rsidRDefault="00382876" w:rsidP="009E46B1">
            <w:pPr>
              <w:keepNext/>
              <w:jc w:val="right"/>
            </w:pPr>
            <w:r w:rsidRPr="00971206">
              <w:t xml:space="preserve">87.834 </w:t>
            </w:r>
          </w:p>
        </w:tc>
        <w:tc>
          <w:tcPr>
            <w:tcW w:w="1363" w:type="dxa"/>
            <w:noWrap/>
            <w:vAlign w:val="center"/>
            <w:hideMark/>
          </w:tcPr>
          <w:p w14:paraId="57F13DC9" w14:textId="77777777" w:rsidR="00382876" w:rsidRPr="00971206" w:rsidRDefault="00382876" w:rsidP="009E46B1">
            <w:pPr>
              <w:keepNext/>
              <w:jc w:val="right"/>
            </w:pPr>
            <w:r w:rsidRPr="00971206">
              <w:t xml:space="preserve">1.315 </w:t>
            </w:r>
          </w:p>
        </w:tc>
        <w:tc>
          <w:tcPr>
            <w:tcW w:w="1321" w:type="dxa"/>
            <w:noWrap/>
            <w:vAlign w:val="center"/>
            <w:hideMark/>
          </w:tcPr>
          <w:p w14:paraId="5CDC1B7D" w14:textId="77777777" w:rsidR="00382876" w:rsidRPr="00971206" w:rsidRDefault="00382876" w:rsidP="009E46B1">
            <w:pPr>
              <w:keepNext/>
              <w:jc w:val="right"/>
            </w:pPr>
            <w:r w:rsidRPr="00971206">
              <w:t xml:space="preserve">3.369 </w:t>
            </w:r>
          </w:p>
        </w:tc>
      </w:tr>
      <w:tr w:rsidR="00382876" w:rsidRPr="00971206" w14:paraId="60AE4608" w14:textId="77777777" w:rsidTr="009E46B1">
        <w:trPr>
          <w:trHeight w:val="300"/>
          <w:jc w:val="center"/>
        </w:trPr>
        <w:tc>
          <w:tcPr>
            <w:tcW w:w="1725" w:type="dxa"/>
            <w:vAlign w:val="center"/>
          </w:tcPr>
          <w:p w14:paraId="356D65E7" w14:textId="77777777" w:rsidR="00382876" w:rsidRPr="00971206" w:rsidRDefault="00382876" w:rsidP="009E46B1">
            <w:pPr>
              <w:keepNext/>
              <w:jc w:val="center"/>
            </w:pPr>
            <w:r w:rsidRPr="00971206">
              <w:t>De 10 a 15</w:t>
            </w:r>
          </w:p>
        </w:tc>
        <w:tc>
          <w:tcPr>
            <w:tcW w:w="1725" w:type="dxa"/>
            <w:noWrap/>
            <w:vAlign w:val="center"/>
            <w:hideMark/>
          </w:tcPr>
          <w:p w14:paraId="40EB23AA" w14:textId="77777777" w:rsidR="00382876" w:rsidRPr="00971206" w:rsidRDefault="00382876" w:rsidP="009E46B1">
            <w:pPr>
              <w:keepNext/>
              <w:jc w:val="right"/>
            </w:pPr>
            <w:r w:rsidRPr="00971206">
              <w:t xml:space="preserve">128.298 </w:t>
            </w:r>
          </w:p>
        </w:tc>
        <w:tc>
          <w:tcPr>
            <w:tcW w:w="1363" w:type="dxa"/>
            <w:noWrap/>
            <w:vAlign w:val="center"/>
            <w:hideMark/>
          </w:tcPr>
          <w:p w14:paraId="17C40BF3" w14:textId="77777777" w:rsidR="00382876" w:rsidRPr="00971206" w:rsidRDefault="00382876" w:rsidP="009E46B1">
            <w:pPr>
              <w:keepNext/>
              <w:jc w:val="right"/>
            </w:pPr>
            <w:r w:rsidRPr="00971206">
              <w:t xml:space="preserve">1.519 </w:t>
            </w:r>
          </w:p>
        </w:tc>
        <w:tc>
          <w:tcPr>
            <w:tcW w:w="1321" w:type="dxa"/>
            <w:noWrap/>
            <w:vAlign w:val="center"/>
            <w:hideMark/>
          </w:tcPr>
          <w:p w14:paraId="570B1EED" w14:textId="77777777" w:rsidR="00382876" w:rsidRPr="00971206" w:rsidRDefault="00382876" w:rsidP="009E46B1">
            <w:pPr>
              <w:keepNext/>
              <w:jc w:val="right"/>
            </w:pPr>
            <w:r w:rsidRPr="00971206">
              <w:t xml:space="preserve">4.786 </w:t>
            </w:r>
          </w:p>
        </w:tc>
      </w:tr>
      <w:tr w:rsidR="00382876" w:rsidRPr="00971206" w14:paraId="60E46BA5" w14:textId="77777777" w:rsidTr="009E46B1">
        <w:trPr>
          <w:trHeight w:val="300"/>
          <w:jc w:val="center"/>
        </w:trPr>
        <w:tc>
          <w:tcPr>
            <w:tcW w:w="1725" w:type="dxa"/>
            <w:vAlign w:val="center"/>
          </w:tcPr>
          <w:p w14:paraId="18C19C3E" w14:textId="77777777" w:rsidR="00382876" w:rsidRPr="00971206" w:rsidRDefault="00382876" w:rsidP="009E46B1">
            <w:pPr>
              <w:keepNext/>
              <w:jc w:val="center"/>
            </w:pPr>
            <w:r w:rsidRPr="00971206">
              <w:t>De 15 a 20</w:t>
            </w:r>
          </w:p>
        </w:tc>
        <w:tc>
          <w:tcPr>
            <w:tcW w:w="1725" w:type="dxa"/>
            <w:noWrap/>
            <w:vAlign w:val="center"/>
            <w:hideMark/>
          </w:tcPr>
          <w:p w14:paraId="5693A940" w14:textId="77777777" w:rsidR="00382876" w:rsidRPr="00971206" w:rsidRDefault="00382876" w:rsidP="009E46B1">
            <w:pPr>
              <w:keepNext/>
              <w:jc w:val="right"/>
            </w:pPr>
            <w:r w:rsidRPr="00971206">
              <w:t xml:space="preserve">181.958 </w:t>
            </w:r>
          </w:p>
        </w:tc>
        <w:tc>
          <w:tcPr>
            <w:tcW w:w="1363" w:type="dxa"/>
            <w:noWrap/>
            <w:vAlign w:val="center"/>
            <w:hideMark/>
          </w:tcPr>
          <w:p w14:paraId="79D0D4F6" w14:textId="77777777" w:rsidR="00382876" w:rsidRPr="00971206" w:rsidRDefault="00382876" w:rsidP="009E46B1">
            <w:pPr>
              <w:keepNext/>
              <w:jc w:val="right"/>
            </w:pPr>
            <w:r w:rsidRPr="00971206">
              <w:t xml:space="preserve">1.600 </w:t>
            </w:r>
          </w:p>
        </w:tc>
        <w:tc>
          <w:tcPr>
            <w:tcW w:w="1321" w:type="dxa"/>
            <w:noWrap/>
            <w:vAlign w:val="center"/>
            <w:hideMark/>
          </w:tcPr>
          <w:p w14:paraId="5B86E3F7" w14:textId="77777777" w:rsidR="00382876" w:rsidRPr="00971206" w:rsidRDefault="00382876" w:rsidP="009E46B1">
            <w:pPr>
              <w:keepNext/>
              <w:jc w:val="right"/>
            </w:pPr>
            <w:r w:rsidRPr="00971206">
              <w:t xml:space="preserve">6.499 </w:t>
            </w:r>
          </w:p>
        </w:tc>
      </w:tr>
      <w:tr w:rsidR="00382876" w:rsidRPr="00971206" w14:paraId="671DF75A" w14:textId="77777777" w:rsidTr="009E46B1">
        <w:trPr>
          <w:trHeight w:val="300"/>
          <w:jc w:val="center"/>
        </w:trPr>
        <w:tc>
          <w:tcPr>
            <w:tcW w:w="1725" w:type="dxa"/>
            <w:vAlign w:val="center"/>
          </w:tcPr>
          <w:p w14:paraId="36028EE1" w14:textId="77777777" w:rsidR="00382876" w:rsidRPr="00971206" w:rsidRDefault="00382876" w:rsidP="009E46B1">
            <w:pPr>
              <w:keepNext/>
              <w:jc w:val="center"/>
            </w:pPr>
            <w:r w:rsidRPr="00971206">
              <w:t>De 20 a 30</w:t>
            </w:r>
          </w:p>
        </w:tc>
        <w:tc>
          <w:tcPr>
            <w:tcW w:w="1725" w:type="dxa"/>
            <w:noWrap/>
            <w:vAlign w:val="center"/>
            <w:hideMark/>
          </w:tcPr>
          <w:p w14:paraId="1B3023D5" w14:textId="77777777" w:rsidR="00382876" w:rsidRPr="00971206" w:rsidRDefault="00382876" w:rsidP="009E46B1">
            <w:pPr>
              <w:keepNext/>
              <w:jc w:val="right"/>
            </w:pPr>
            <w:r w:rsidRPr="00971206">
              <w:t xml:space="preserve">256.394 </w:t>
            </w:r>
          </w:p>
        </w:tc>
        <w:tc>
          <w:tcPr>
            <w:tcW w:w="1363" w:type="dxa"/>
            <w:noWrap/>
            <w:vAlign w:val="center"/>
            <w:hideMark/>
          </w:tcPr>
          <w:p w14:paraId="20DB70E8" w14:textId="77777777" w:rsidR="00382876" w:rsidRPr="00971206" w:rsidRDefault="00382876" w:rsidP="009E46B1">
            <w:pPr>
              <w:keepNext/>
              <w:jc w:val="right"/>
            </w:pPr>
            <w:r w:rsidRPr="00971206">
              <w:t xml:space="preserve">1.549 </w:t>
            </w:r>
          </w:p>
        </w:tc>
        <w:tc>
          <w:tcPr>
            <w:tcW w:w="1321" w:type="dxa"/>
            <w:noWrap/>
            <w:vAlign w:val="center"/>
            <w:hideMark/>
          </w:tcPr>
          <w:p w14:paraId="1D87358C" w14:textId="77777777" w:rsidR="00382876" w:rsidRPr="00971206" w:rsidRDefault="00382876" w:rsidP="009E46B1">
            <w:pPr>
              <w:keepNext/>
              <w:jc w:val="right"/>
            </w:pPr>
            <w:r w:rsidRPr="00971206">
              <w:t xml:space="preserve">8.240 </w:t>
            </w:r>
          </w:p>
        </w:tc>
      </w:tr>
      <w:tr w:rsidR="00382876" w:rsidRPr="00971206" w14:paraId="1507A69D" w14:textId="77777777" w:rsidTr="009E46B1">
        <w:trPr>
          <w:trHeight w:val="300"/>
          <w:jc w:val="center"/>
        </w:trPr>
        <w:tc>
          <w:tcPr>
            <w:tcW w:w="1725" w:type="dxa"/>
            <w:vAlign w:val="center"/>
          </w:tcPr>
          <w:p w14:paraId="03A71A15" w14:textId="77777777" w:rsidR="00382876" w:rsidRPr="00971206" w:rsidRDefault="00382876" w:rsidP="009E46B1">
            <w:pPr>
              <w:keepNext/>
              <w:jc w:val="center"/>
            </w:pPr>
            <w:r w:rsidRPr="00971206">
              <w:t>De 30 a 40</w:t>
            </w:r>
          </w:p>
        </w:tc>
        <w:tc>
          <w:tcPr>
            <w:tcW w:w="1725" w:type="dxa"/>
            <w:noWrap/>
            <w:vAlign w:val="center"/>
            <w:hideMark/>
          </w:tcPr>
          <w:p w14:paraId="3CA037B3" w14:textId="77777777" w:rsidR="00382876" w:rsidRPr="00971206" w:rsidRDefault="00382876" w:rsidP="009E46B1">
            <w:pPr>
              <w:keepNext/>
              <w:jc w:val="right"/>
            </w:pPr>
            <w:r w:rsidRPr="00971206">
              <w:t xml:space="preserve">363.058 </w:t>
            </w:r>
          </w:p>
        </w:tc>
        <w:tc>
          <w:tcPr>
            <w:tcW w:w="1363" w:type="dxa"/>
            <w:noWrap/>
            <w:vAlign w:val="center"/>
            <w:hideMark/>
          </w:tcPr>
          <w:p w14:paraId="69859DF9" w14:textId="77777777" w:rsidR="00382876" w:rsidRPr="00971206" w:rsidRDefault="00382876" w:rsidP="009E46B1">
            <w:pPr>
              <w:keepNext/>
              <w:jc w:val="right"/>
            </w:pPr>
            <w:r w:rsidRPr="00971206">
              <w:t xml:space="preserve">1.502 </w:t>
            </w:r>
          </w:p>
        </w:tc>
        <w:tc>
          <w:tcPr>
            <w:tcW w:w="1321" w:type="dxa"/>
            <w:noWrap/>
            <w:vAlign w:val="center"/>
            <w:hideMark/>
          </w:tcPr>
          <w:p w14:paraId="460A5264" w14:textId="77777777" w:rsidR="00382876" w:rsidRPr="00971206" w:rsidRDefault="00382876" w:rsidP="009E46B1">
            <w:pPr>
              <w:keepNext/>
              <w:jc w:val="right"/>
            </w:pPr>
            <w:r w:rsidRPr="00971206">
              <w:t xml:space="preserve">10.094 </w:t>
            </w:r>
          </w:p>
        </w:tc>
      </w:tr>
      <w:tr w:rsidR="00382876" w:rsidRPr="00971206" w14:paraId="099F4AC5" w14:textId="77777777" w:rsidTr="009E46B1">
        <w:trPr>
          <w:trHeight w:val="300"/>
          <w:jc w:val="center"/>
        </w:trPr>
        <w:tc>
          <w:tcPr>
            <w:tcW w:w="1725" w:type="dxa"/>
            <w:vAlign w:val="center"/>
          </w:tcPr>
          <w:p w14:paraId="618F982B" w14:textId="77777777" w:rsidR="00382876" w:rsidRPr="00971206" w:rsidRDefault="00382876" w:rsidP="009E46B1">
            <w:pPr>
              <w:keepNext/>
              <w:jc w:val="center"/>
            </w:pPr>
            <w:r w:rsidRPr="00971206">
              <w:t>De 40 a 60</w:t>
            </w:r>
          </w:p>
        </w:tc>
        <w:tc>
          <w:tcPr>
            <w:tcW w:w="1725" w:type="dxa"/>
            <w:noWrap/>
            <w:vAlign w:val="center"/>
            <w:hideMark/>
          </w:tcPr>
          <w:p w14:paraId="5CCDA03B" w14:textId="77777777" w:rsidR="00382876" w:rsidRPr="00971206" w:rsidRDefault="00382876" w:rsidP="009E46B1">
            <w:pPr>
              <w:keepNext/>
              <w:jc w:val="right"/>
            </w:pPr>
            <w:r w:rsidRPr="00971206">
              <w:t xml:space="preserve">508.542 </w:t>
            </w:r>
          </w:p>
        </w:tc>
        <w:tc>
          <w:tcPr>
            <w:tcW w:w="1363" w:type="dxa"/>
            <w:noWrap/>
            <w:vAlign w:val="center"/>
            <w:hideMark/>
          </w:tcPr>
          <w:p w14:paraId="5788E5E0" w14:textId="77777777" w:rsidR="00382876" w:rsidRPr="00971206" w:rsidRDefault="00382876" w:rsidP="009E46B1">
            <w:pPr>
              <w:keepNext/>
              <w:jc w:val="right"/>
            </w:pPr>
            <w:r w:rsidRPr="00971206">
              <w:t xml:space="preserve">1.541 </w:t>
            </w:r>
          </w:p>
        </w:tc>
        <w:tc>
          <w:tcPr>
            <w:tcW w:w="1321" w:type="dxa"/>
            <w:noWrap/>
            <w:vAlign w:val="center"/>
            <w:hideMark/>
          </w:tcPr>
          <w:p w14:paraId="39E7B88A" w14:textId="77777777" w:rsidR="00382876" w:rsidRPr="00971206" w:rsidRDefault="00382876" w:rsidP="009E46B1">
            <w:pPr>
              <w:keepNext/>
              <w:jc w:val="right"/>
            </w:pPr>
            <w:r w:rsidRPr="00971206">
              <w:t xml:space="preserve">11.054 </w:t>
            </w:r>
          </w:p>
        </w:tc>
      </w:tr>
      <w:tr w:rsidR="00382876" w:rsidRPr="00971206" w14:paraId="3B94B401" w14:textId="77777777" w:rsidTr="009E46B1">
        <w:trPr>
          <w:trHeight w:val="300"/>
          <w:jc w:val="center"/>
        </w:trPr>
        <w:tc>
          <w:tcPr>
            <w:tcW w:w="1725" w:type="dxa"/>
            <w:vAlign w:val="center"/>
          </w:tcPr>
          <w:p w14:paraId="3F0429BA" w14:textId="77777777" w:rsidR="00382876" w:rsidRPr="00971206" w:rsidRDefault="00382876" w:rsidP="009E46B1">
            <w:pPr>
              <w:keepNext/>
              <w:jc w:val="center"/>
            </w:pPr>
            <w:r w:rsidRPr="00971206">
              <w:t>De 60 a 80</w:t>
            </w:r>
          </w:p>
        </w:tc>
        <w:tc>
          <w:tcPr>
            <w:tcW w:w="1725" w:type="dxa"/>
            <w:noWrap/>
            <w:vAlign w:val="center"/>
            <w:hideMark/>
          </w:tcPr>
          <w:p w14:paraId="1DC1AD53" w14:textId="77777777" w:rsidR="00382876" w:rsidRPr="00971206" w:rsidRDefault="00382876" w:rsidP="009E46B1">
            <w:pPr>
              <w:keepNext/>
              <w:jc w:val="right"/>
            </w:pPr>
            <w:r w:rsidRPr="00971206">
              <w:t xml:space="preserve">724.596 </w:t>
            </w:r>
          </w:p>
        </w:tc>
        <w:tc>
          <w:tcPr>
            <w:tcW w:w="1363" w:type="dxa"/>
            <w:noWrap/>
            <w:vAlign w:val="center"/>
            <w:hideMark/>
          </w:tcPr>
          <w:p w14:paraId="2A22FA15" w14:textId="77777777" w:rsidR="00382876" w:rsidRPr="00971206" w:rsidRDefault="00382876" w:rsidP="009E46B1">
            <w:pPr>
              <w:keepNext/>
              <w:jc w:val="right"/>
            </w:pPr>
            <w:r w:rsidRPr="00971206">
              <w:t xml:space="preserve">1.515 </w:t>
            </w:r>
          </w:p>
        </w:tc>
        <w:tc>
          <w:tcPr>
            <w:tcW w:w="1321" w:type="dxa"/>
            <w:noWrap/>
            <w:vAlign w:val="center"/>
            <w:hideMark/>
          </w:tcPr>
          <w:p w14:paraId="1AE0C28F" w14:textId="77777777" w:rsidR="00382876" w:rsidRPr="00971206" w:rsidRDefault="00382876" w:rsidP="009E46B1">
            <w:pPr>
              <w:keepNext/>
              <w:jc w:val="right"/>
            </w:pPr>
            <w:r w:rsidRPr="00971206">
              <w:t xml:space="preserve">11.710 </w:t>
            </w:r>
          </w:p>
        </w:tc>
      </w:tr>
      <w:tr w:rsidR="00382876" w:rsidRPr="00971206" w14:paraId="3C2F9E3A" w14:textId="77777777" w:rsidTr="009E46B1">
        <w:trPr>
          <w:trHeight w:val="300"/>
          <w:jc w:val="center"/>
        </w:trPr>
        <w:tc>
          <w:tcPr>
            <w:tcW w:w="1725" w:type="dxa"/>
            <w:vAlign w:val="center"/>
          </w:tcPr>
          <w:p w14:paraId="52CA4BDA" w14:textId="77777777" w:rsidR="00382876" w:rsidRPr="00971206" w:rsidRDefault="00382876" w:rsidP="009E46B1">
            <w:pPr>
              <w:keepNext/>
              <w:jc w:val="center"/>
            </w:pPr>
            <w:r w:rsidRPr="00971206">
              <w:t>De 80 a 160</w:t>
            </w:r>
          </w:p>
        </w:tc>
        <w:tc>
          <w:tcPr>
            <w:tcW w:w="1725" w:type="dxa"/>
            <w:noWrap/>
            <w:vAlign w:val="center"/>
            <w:hideMark/>
          </w:tcPr>
          <w:p w14:paraId="35CCBA98" w14:textId="77777777" w:rsidR="00382876" w:rsidRPr="00971206" w:rsidRDefault="00382876" w:rsidP="009E46B1">
            <w:pPr>
              <w:keepNext/>
              <w:jc w:val="right"/>
            </w:pPr>
            <w:r w:rsidRPr="00971206">
              <w:t xml:space="preserve">1.135.459 </w:t>
            </w:r>
          </w:p>
        </w:tc>
        <w:tc>
          <w:tcPr>
            <w:tcW w:w="1363" w:type="dxa"/>
            <w:noWrap/>
            <w:vAlign w:val="center"/>
            <w:hideMark/>
          </w:tcPr>
          <w:p w14:paraId="0A1F2F3D" w14:textId="77777777" w:rsidR="00382876" w:rsidRPr="00971206" w:rsidRDefault="00382876" w:rsidP="009E46B1">
            <w:pPr>
              <w:keepNext/>
              <w:jc w:val="right"/>
            </w:pPr>
            <w:r w:rsidRPr="00971206">
              <w:t xml:space="preserve">1.367 </w:t>
            </w:r>
          </w:p>
        </w:tc>
        <w:tc>
          <w:tcPr>
            <w:tcW w:w="1321" w:type="dxa"/>
            <w:noWrap/>
            <w:vAlign w:val="center"/>
            <w:hideMark/>
          </w:tcPr>
          <w:p w14:paraId="6963FEB7" w14:textId="77777777" w:rsidR="00382876" w:rsidRPr="00971206" w:rsidRDefault="00382876" w:rsidP="009E46B1">
            <w:pPr>
              <w:keepNext/>
              <w:jc w:val="right"/>
            </w:pPr>
            <w:r w:rsidRPr="00971206">
              <w:t xml:space="preserve">11.661 </w:t>
            </w:r>
          </w:p>
        </w:tc>
      </w:tr>
      <w:tr w:rsidR="00382876" w:rsidRPr="00971206" w14:paraId="49A46B6E" w14:textId="77777777" w:rsidTr="009E46B1">
        <w:trPr>
          <w:trHeight w:val="300"/>
          <w:jc w:val="center"/>
        </w:trPr>
        <w:tc>
          <w:tcPr>
            <w:tcW w:w="1725" w:type="dxa"/>
            <w:vAlign w:val="center"/>
          </w:tcPr>
          <w:p w14:paraId="09D5F88E" w14:textId="77777777" w:rsidR="00382876" w:rsidRPr="00971206" w:rsidRDefault="00382876" w:rsidP="009E46B1">
            <w:pPr>
              <w:keepNext/>
              <w:jc w:val="center"/>
            </w:pPr>
            <w:r w:rsidRPr="00971206">
              <w:t>De 160 a 240</w:t>
            </w:r>
          </w:p>
        </w:tc>
        <w:tc>
          <w:tcPr>
            <w:tcW w:w="1725" w:type="dxa"/>
            <w:noWrap/>
            <w:vAlign w:val="center"/>
            <w:hideMark/>
          </w:tcPr>
          <w:p w14:paraId="70AD1F1F" w14:textId="77777777" w:rsidR="00382876" w:rsidRPr="00971206" w:rsidRDefault="00382876" w:rsidP="009E46B1">
            <w:pPr>
              <w:keepNext/>
              <w:jc w:val="right"/>
            </w:pPr>
            <w:r w:rsidRPr="00971206">
              <w:t xml:space="preserve">2.041.086 </w:t>
            </w:r>
          </w:p>
        </w:tc>
        <w:tc>
          <w:tcPr>
            <w:tcW w:w="1363" w:type="dxa"/>
            <w:noWrap/>
            <w:vAlign w:val="center"/>
            <w:hideMark/>
          </w:tcPr>
          <w:p w14:paraId="3C8FE9AA" w14:textId="77777777" w:rsidR="00382876" w:rsidRPr="00971206" w:rsidRDefault="00382876" w:rsidP="009E46B1">
            <w:pPr>
              <w:keepNext/>
              <w:jc w:val="right"/>
            </w:pPr>
            <w:r w:rsidRPr="00971206">
              <w:t xml:space="preserve">1.267 </w:t>
            </w:r>
          </w:p>
        </w:tc>
        <w:tc>
          <w:tcPr>
            <w:tcW w:w="1321" w:type="dxa"/>
            <w:noWrap/>
            <w:vAlign w:val="center"/>
            <w:hideMark/>
          </w:tcPr>
          <w:p w14:paraId="7803ECE8" w14:textId="77777777" w:rsidR="00382876" w:rsidRPr="00971206" w:rsidRDefault="00382876" w:rsidP="009E46B1">
            <w:pPr>
              <w:keepNext/>
              <w:jc w:val="right"/>
            </w:pPr>
            <w:r w:rsidRPr="00971206">
              <w:t xml:space="preserve">13.353 </w:t>
            </w:r>
          </w:p>
        </w:tc>
      </w:tr>
      <w:tr w:rsidR="00382876" w:rsidRPr="00971206" w14:paraId="3E4C35D5" w14:textId="77777777" w:rsidTr="009E46B1">
        <w:trPr>
          <w:trHeight w:val="300"/>
          <w:jc w:val="center"/>
        </w:trPr>
        <w:tc>
          <w:tcPr>
            <w:tcW w:w="1725" w:type="dxa"/>
            <w:vAlign w:val="center"/>
          </w:tcPr>
          <w:p w14:paraId="43BA2B36" w14:textId="77777777" w:rsidR="00382876" w:rsidRPr="00971206" w:rsidRDefault="00382876" w:rsidP="009E46B1">
            <w:pPr>
              <w:keepNext/>
              <w:jc w:val="center"/>
            </w:pPr>
            <w:r w:rsidRPr="00971206">
              <w:t>De 240 a 320</w:t>
            </w:r>
          </w:p>
        </w:tc>
        <w:tc>
          <w:tcPr>
            <w:tcW w:w="1725" w:type="dxa"/>
            <w:noWrap/>
            <w:vAlign w:val="center"/>
            <w:hideMark/>
          </w:tcPr>
          <w:p w14:paraId="58187EB2" w14:textId="77777777" w:rsidR="00382876" w:rsidRPr="00971206" w:rsidRDefault="00382876" w:rsidP="009E46B1">
            <w:pPr>
              <w:keepNext/>
              <w:jc w:val="right"/>
            </w:pPr>
            <w:r w:rsidRPr="00971206">
              <w:t xml:space="preserve">2.908.460 </w:t>
            </w:r>
          </w:p>
        </w:tc>
        <w:tc>
          <w:tcPr>
            <w:tcW w:w="1363" w:type="dxa"/>
            <w:noWrap/>
            <w:vAlign w:val="center"/>
            <w:hideMark/>
          </w:tcPr>
          <w:p w14:paraId="3EC168D4" w14:textId="77777777" w:rsidR="00382876" w:rsidRPr="00971206" w:rsidRDefault="00382876" w:rsidP="009E46B1">
            <w:pPr>
              <w:keepNext/>
              <w:jc w:val="right"/>
            </w:pPr>
            <w:r w:rsidRPr="00971206">
              <w:t xml:space="preserve">1.236 </w:t>
            </w:r>
          </w:p>
        </w:tc>
        <w:tc>
          <w:tcPr>
            <w:tcW w:w="1321" w:type="dxa"/>
            <w:noWrap/>
            <w:vAlign w:val="center"/>
            <w:hideMark/>
          </w:tcPr>
          <w:p w14:paraId="1CDF51A7" w14:textId="77777777" w:rsidR="00382876" w:rsidRPr="00971206" w:rsidRDefault="00382876" w:rsidP="009E46B1">
            <w:pPr>
              <w:keepNext/>
              <w:jc w:val="right"/>
            </w:pPr>
            <w:r w:rsidRPr="00971206">
              <w:t xml:space="preserve">14.285 </w:t>
            </w:r>
          </w:p>
        </w:tc>
      </w:tr>
      <w:tr w:rsidR="00382876" w:rsidRPr="00971206" w14:paraId="650C97EB" w14:textId="77777777" w:rsidTr="009E46B1">
        <w:trPr>
          <w:trHeight w:val="315"/>
          <w:jc w:val="center"/>
        </w:trPr>
        <w:tc>
          <w:tcPr>
            <w:tcW w:w="1725" w:type="dxa"/>
            <w:vAlign w:val="center"/>
          </w:tcPr>
          <w:p w14:paraId="0CB9EEC5" w14:textId="77777777" w:rsidR="00382876" w:rsidRPr="00971206" w:rsidRDefault="00382876" w:rsidP="009E46B1">
            <w:pPr>
              <w:keepNext/>
              <w:jc w:val="center"/>
            </w:pPr>
            <w:r w:rsidRPr="00971206">
              <w:t>Mais de 320</w:t>
            </w:r>
          </w:p>
        </w:tc>
        <w:tc>
          <w:tcPr>
            <w:tcW w:w="1725" w:type="dxa"/>
            <w:noWrap/>
            <w:vAlign w:val="center"/>
            <w:hideMark/>
          </w:tcPr>
          <w:p w14:paraId="5409AC7E" w14:textId="77777777" w:rsidR="00382876" w:rsidRPr="00971206" w:rsidRDefault="00382876" w:rsidP="009E46B1">
            <w:pPr>
              <w:keepNext/>
              <w:jc w:val="right"/>
            </w:pPr>
            <w:r w:rsidRPr="00971206">
              <w:t xml:space="preserve">11.152.496 </w:t>
            </w:r>
          </w:p>
        </w:tc>
        <w:tc>
          <w:tcPr>
            <w:tcW w:w="1363" w:type="dxa"/>
            <w:noWrap/>
            <w:vAlign w:val="center"/>
            <w:hideMark/>
          </w:tcPr>
          <w:p w14:paraId="122B4F11" w14:textId="77777777" w:rsidR="00382876" w:rsidRPr="00971206" w:rsidRDefault="00382876" w:rsidP="009E46B1">
            <w:pPr>
              <w:keepNext/>
              <w:jc w:val="right"/>
            </w:pPr>
            <w:r w:rsidRPr="00971206">
              <w:t xml:space="preserve">1.276 </w:t>
            </w:r>
          </w:p>
        </w:tc>
        <w:tc>
          <w:tcPr>
            <w:tcW w:w="1321" w:type="dxa"/>
            <w:noWrap/>
            <w:vAlign w:val="center"/>
            <w:hideMark/>
          </w:tcPr>
          <w:p w14:paraId="22850B3B" w14:textId="77777777" w:rsidR="00382876" w:rsidRPr="00971206" w:rsidRDefault="00382876" w:rsidP="009E46B1">
            <w:pPr>
              <w:keepNext/>
              <w:jc w:val="right"/>
            </w:pPr>
            <w:r w:rsidRPr="00971206">
              <w:t xml:space="preserve">18.206 </w:t>
            </w:r>
          </w:p>
        </w:tc>
      </w:tr>
    </w:tbl>
    <w:p w14:paraId="2F2D0922" w14:textId="77777777" w:rsidR="00A41C61" w:rsidRPr="00BB5151" w:rsidRDefault="00382876" w:rsidP="009E46B1">
      <w:pPr>
        <w:spacing w:before="120"/>
        <w:ind w:left="1218"/>
        <w:jc w:val="both"/>
        <w:rPr>
          <w:sz w:val="20"/>
          <w:szCs w:val="20"/>
        </w:rPr>
      </w:pPr>
      <w:r w:rsidRPr="00BB5151">
        <w:rPr>
          <w:sz w:val="20"/>
          <w:szCs w:val="20"/>
        </w:rPr>
        <w:t>Fonte: Receita Federal do Brasil. Elaboração própria.</w:t>
      </w:r>
    </w:p>
    <w:p w14:paraId="6DC4335E" w14:textId="77777777" w:rsidR="00382876" w:rsidRPr="00971206" w:rsidRDefault="00382876" w:rsidP="009E46B1">
      <w:pPr>
        <w:spacing w:before="120"/>
        <w:jc w:val="both"/>
      </w:pPr>
    </w:p>
    <w:p w14:paraId="1AF38B12" w14:textId="77777777" w:rsidR="00ED4F4E" w:rsidRPr="00971206" w:rsidRDefault="007F3BBF" w:rsidP="009E46B1">
      <w:pPr>
        <w:pStyle w:val="PargrafodaLista"/>
        <w:keepNext/>
        <w:numPr>
          <w:ilvl w:val="1"/>
          <w:numId w:val="1"/>
        </w:numPr>
        <w:jc w:val="both"/>
        <w:rPr>
          <w:rFonts w:ascii="Times New Roman" w:hAnsi="Times New Roman" w:cs="Times New Roman"/>
        </w:rPr>
      </w:pPr>
      <w:r w:rsidRPr="00971206">
        <w:rPr>
          <w:rFonts w:ascii="Times New Roman" w:hAnsi="Times New Roman" w:cs="Times New Roman"/>
        </w:rPr>
        <w:t xml:space="preserve"> </w:t>
      </w:r>
      <w:r w:rsidR="00DE4873" w:rsidRPr="00971206">
        <w:rPr>
          <w:rFonts w:ascii="Times New Roman" w:hAnsi="Times New Roman" w:cs="Times New Roman"/>
        </w:rPr>
        <w:t>G</w:t>
      </w:r>
      <w:r w:rsidRPr="00971206">
        <w:rPr>
          <w:rFonts w:ascii="Times New Roman" w:hAnsi="Times New Roman" w:cs="Times New Roman"/>
        </w:rPr>
        <w:t>astos tributários</w:t>
      </w:r>
    </w:p>
    <w:p w14:paraId="0C2AF700" w14:textId="77777777" w:rsidR="00ED4F4E" w:rsidRPr="00971206" w:rsidRDefault="00ED4F4E" w:rsidP="009E46B1">
      <w:pPr>
        <w:keepNext/>
        <w:jc w:val="both"/>
      </w:pPr>
    </w:p>
    <w:p w14:paraId="49994B91" w14:textId="77777777" w:rsidR="00BB5151" w:rsidRDefault="00814A89" w:rsidP="00BB5151">
      <w:pPr>
        <w:ind w:firstLine="851"/>
        <w:jc w:val="both"/>
      </w:pPr>
      <w:r w:rsidRPr="00971206">
        <w:t xml:space="preserve">A </w:t>
      </w:r>
      <w:r w:rsidR="00A41C61" w:rsidRPr="00971206">
        <w:t xml:space="preserve">Receita Federal </w:t>
      </w:r>
      <w:r w:rsidRPr="00971206">
        <w:t xml:space="preserve">realiza estimativas dos montantes que se deixa de arrecadar em razão de algumas </w:t>
      </w:r>
      <w:r w:rsidR="003E5863" w:rsidRPr="00971206">
        <w:t xml:space="preserve">isenções e </w:t>
      </w:r>
      <w:r w:rsidRPr="00971206">
        <w:t xml:space="preserve">deduções, o que se denomina gastos tributários. Tais gastos </w:t>
      </w:r>
      <w:r w:rsidR="00B64CA7" w:rsidRPr="00971206">
        <w:t xml:space="preserve">são definidos como os originários de tratamentos especiais frente ao que a norma determina. </w:t>
      </w:r>
      <w:r w:rsidR="00871CF7" w:rsidRPr="00971206">
        <w:t xml:space="preserve">A Receita </w:t>
      </w:r>
      <w:r w:rsidR="00B64CA7" w:rsidRPr="00971206">
        <w:t>consider</w:t>
      </w:r>
      <w:r w:rsidR="00871CF7" w:rsidRPr="00971206">
        <w:t>a</w:t>
      </w:r>
      <w:r w:rsidR="00B64CA7" w:rsidRPr="00971206">
        <w:t xml:space="preserve"> </w:t>
      </w:r>
      <w:r w:rsidR="00871CF7" w:rsidRPr="00971206">
        <w:t xml:space="preserve">como </w:t>
      </w:r>
      <w:r w:rsidR="00B64CA7" w:rsidRPr="00971206">
        <w:t>gastos tributários</w:t>
      </w:r>
      <w:r w:rsidR="00871CF7" w:rsidRPr="00971206">
        <w:t xml:space="preserve"> os decorrentes de</w:t>
      </w:r>
      <w:r w:rsidR="00B64CA7" w:rsidRPr="00971206">
        <w:t xml:space="preserve"> </w:t>
      </w:r>
      <w:r w:rsidR="00871CF7" w:rsidRPr="00971206">
        <w:t xml:space="preserve">algumas </w:t>
      </w:r>
      <w:r w:rsidR="00B64CA7" w:rsidRPr="00971206">
        <w:t xml:space="preserve">isenções e </w:t>
      </w:r>
      <w:r w:rsidR="00871CF7" w:rsidRPr="00971206">
        <w:t xml:space="preserve">das </w:t>
      </w:r>
      <w:r w:rsidR="00B64CA7" w:rsidRPr="00971206">
        <w:t xml:space="preserve">deduções do IRPF, a parcela isenta de aposentadorias, a isenção das aposentadorias/pensões </w:t>
      </w:r>
      <w:r w:rsidR="00A41C61" w:rsidRPr="00971206">
        <w:t>por moléstias graves</w:t>
      </w:r>
      <w:r w:rsidR="00B64CA7" w:rsidRPr="00971206">
        <w:t>, a isenção dos valores recebidos por indenização trabalhista</w:t>
      </w:r>
      <w:r w:rsidR="00366E15" w:rsidRPr="00971206">
        <w:t xml:space="preserve"> </w:t>
      </w:r>
      <w:r w:rsidR="00A41C61" w:rsidRPr="00971206">
        <w:t>e</w:t>
      </w:r>
      <w:r w:rsidR="00366E15" w:rsidRPr="00971206">
        <w:t xml:space="preserve"> as deduções dos gastos com educação e de saúde. </w:t>
      </w:r>
    </w:p>
    <w:p w14:paraId="0AC7CB87" w14:textId="54A7EF6F" w:rsidR="002F7998" w:rsidRPr="00971206" w:rsidRDefault="00366E15" w:rsidP="00BB5151">
      <w:pPr>
        <w:ind w:firstLine="851"/>
        <w:jc w:val="both"/>
      </w:pPr>
      <w:r w:rsidRPr="00971206">
        <w:lastRenderedPageBreak/>
        <w:t xml:space="preserve">Na </w:t>
      </w:r>
      <w:r w:rsidR="00AA7390" w:rsidRPr="00971206">
        <w:t>T</w:t>
      </w:r>
      <w:r w:rsidRPr="00971206">
        <w:t xml:space="preserve">abela </w:t>
      </w:r>
      <w:r w:rsidR="00382876" w:rsidRPr="00971206">
        <w:t>4</w:t>
      </w:r>
      <w:r w:rsidRPr="00971206">
        <w:t>, são apresentados os valores das estimativas dos gastos tributários</w:t>
      </w:r>
      <w:r w:rsidR="00760DB7" w:rsidRPr="00971206">
        <w:t xml:space="preserve"> </w:t>
      </w:r>
      <w:r w:rsidR="00075126" w:rsidRPr="00971206">
        <w:t xml:space="preserve">no universo </w:t>
      </w:r>
      <w:r w:rsidR="00760DB7" w:rsidRPr="00971206">
        <w:t>do IRPF</w:t>
      </w:r>
      <w:r w:rsidR="00075126" w:rsidRPr="00971206">
        <w:t>,</w:t>
      </w:r>
      <w:r w:rsidRPr="00971206">
        <w:t xml:space="preserve"> realizados em </w:t>
      </w:r>
      <w:r w:rsidR="007F3BBF" w:rsidRPr="00971206">
        <w:t>2016</w:t>
      </w:r>
      <w:r w:rsidRPr="00971206">
        <w:t xml:space="preserve">, onde se pode notar que os </w:t>
      </w:r>
      <w:r w:rsidR="00760DB7" w:rsidRPr="00971206">
        <w:t xml:space="preserve">benefícios </w:t>
      </w:r>
      <w:r w:rsidRPr="00971206">
        <w:t xml:space="preserve">aqui </w:t>
      </w:r>
      <w:r w:rsidR="00760DB7" w:rsidRPr="00971206">
        <w:t>analisados</w:t>
      </w:r>
      <w:r w:rsidR="00A41C61" w:rsidRPr="00971206">
        <w:t xml:space="preserve"> (em destaque</w:t>
      </w:r>
      <w:r w:rsidR="007A69E1" w:rsidRPr="00971206">
        <w:t xml:space="preserve"> na </w:t>
      </w:r>
      <w:r w:rsidR="00590E4D" w:rsidRPr="00971206">
        <w:t>T</w:t>
      </w:r>
      <w:r w:rsidR="007A69E1" w:rsidRPr="00971206">
        <w:t>abela</w:t>
      </w:r>
      <w:r w:rsidR="00590E4D" w:rsidRPr="00971206">
        <w:t xml:space="preserve"> 4</w:t>
      </w:r>
      <w:r w:rsidR="00A41C61" w:rsidRPr="00971206">
        <w:t>)</w:t>
      </w:r>
      <w:r w:rsidRPr="00971206">
        <w:t xml:space="preserve"> representam </w:t>
      </w:r>
      <w:r w:rsidR="0070199A" w:rsidRPr="00971206">
        <w:t>mais de 80%</w:t>
      </w:r>
      <w:r w:rsidRPr="00971206">
        <w:t xml:space="preserve"> </w:t>
      </w:r>
      <w:r w:rsidR="00075126" w:rsidRPr="00971206">
        <w:t>dos gastos tributários dentro do IRPF</w:t>
      </w:r>
      <w:r w:rsidRPr="00971206">
        <w:t xml:space="preserve">. </w:t>
      </w:r>
      <w:r w:rsidR="004059B3" w:rsidRPr="00971206">
        <w:t xml:space="preserve">Ficam fora do escrutínio do texto, os </w:t>
      </w:r>
      <w:r w:rsidR="00F31C09" w:rsidRPr="00971206">
        <w:t>benefícios</w:t>
      </w:r>
      <w:r w:rsidR="004059B3" w:rsidRPr="00971206">
        <w:t xml:space="preserve"> ligados à indenização trabalhista</w:t>
      </w:r>
      <w:r w:rsidR="0070199A" w:rsidRPr="00971206">
        <w:t xml:space="preserve">, </w:t>
      </w:r>
      <w:r w:rsidR="004059B3" w:rsidRPr="00971206">
        <w:t>de incentivo à formalização do trabalho doméstico</w:t>
      </w:r>
      <w:r w:rsidR="00F31C09" w:rsidRPr="00971206">
        <w:t xml:space="preserve">, </w:t>
      </w:r>
      <w:r w:rsidR="0070199A" w:rsidRPr="00971206">
        <w:t>ao recebimento de seguro ou pecúlio</w:t>
      </w:r>
      <w:r w:rsidR="001C5290" w:rsidRPr="00971206">
        <w:t xml:space="preserve"> e a categoria outros, cujo peso é marginal. Então, e</w:t>
      </w:r>
      <w:r w:rsidR="007A69E1" w:rsidRPr="00971206">
        <w:t xml:space="preserve">ssa exposição </w:t>
      </w:r>
      <w:r w:rsidR="001C5290" w:rsidRPr="00971206">
        <w:t xml:space="preserve">busca mostrar o tamanho </w:t>
      </w:r>
      <w:r w:rsidR="00346D37" w:rsidRPr="00971206">
        <w:t>desses gastos</w:t>
      </w:r>
      <w:r w:rsidR="001C5290" w:rsidRPr="00971206">
        <w:t xml:space="preserve"> – da ordem de R$ 38 </w:t>
      </w:r>
      <w:r w:rsidR="00214DAC" w:rsidRPr="00971206">
        <w:t>bilhões</w:t>
      </w:r>
      <w:r w:rsidR="001C5290" w:rsidRPr="00971206">
        <w:t xml:space="preserve"> em 2016 – e </w:t>
      </w:r>
      <w:r w:rsidR="00F1435A" w:rsidRPr="00971206">
        <w:t xml:space="preserve">quais </w:t>
      </w:r>
      <w:r w:rsidR="001C5290" w:rsidRPr="00971206">
        <w:t xml:space="preserve">estratos de renda se beneficiam de tais </w:t>
      </w:r>
      <w:r w:rsidR="00214DAC" w:rsidRPr="00971206">
        <w:t>deduções</w:t>
      </w:r>
      <w:r w:rsidR="001C5290" w:rsidRPr="00971206">
        <w:t xml:space="preserve">. Fica evidente </w:t>
      </w:r>
      <w:r w:rsidR="00346D37" w:rsidRPr="00971206">
        <w:t>a pressão</w:t>
      </w:r>
      <w:r w:rsidR="007A69E1" w:rsidRPr="00971206">
        <w:t xml:space="preserve"> que </w:t>
      </w:r>
      <w:r w:rsidR="001C5290" w:rsidRPr="00971206">
        <w:t>esses</w:t>
      </w:r>
      <w:r w:rsidR="007A69E1" w:rsidRPr="00971206">
        <w:t xml:space="preserve"> benefícios </w:t>
      </w:r>
      <w:r w:rsidR="00E6632D" w:rsidRPr="00971206">
        <w:t>exercem sobre</w:t>
      </w:r>
      <w:r w:rsidR="007A69E1" w:rsidRPr="00971206">
        <w:t xml:space="preserve"> sistema tributário como um todo</w:t>
      </w:r>
      <w:r w:rsidR="001C5290" w:rsidRPr="00971206">
        <w:t xml:space="preserve">, pois, como bem aponta Afonso (2014), o </w:t>
      </w:r>
      <w:r w:rsidR="007A69E1" w:rsidRPr="00971206">
        <w:t xml:space="preserve">que se deixa de arrecadar via IRPF </w:t>
      </w:r>
      <w:r w:rsidR="00F1435A" w:rsidRPr="00971206">
        <w:t xml:space="preserve">é </w:t>
      </w:r>
      <w:r w:rsidR="00E6632D" w:rsidRPr="00971206">
        <w:t>compensado em outros tributos, notadamente mais regressivos, como os tributos sobre o consumo</w:t>
      </w:r>
      <w:r w:rsidR="001C5290" w:rsidRPr="00971206">
        <w:t>.</w:t>
      </w:r>
      <w:r w:rsidR="00F1435A" w:rsidRPr="00971206">
        <w:t xml:space="preserve"> Assim, constata-se que o sistema tributário brasileiro lança mão da tributação indireta, proporcionalmente mais onerosa sobre a base da pirâmide, para financiar benefícios tributários que </w:t>
      </w:r>
      <w:r w:rsidR="001C5290" w:rsidRPr="00971206">
        <w:t xml:space="preserve">se dirigem ao quinto mais rico da população, </w:t>
      </w:r>
      <w:r w:rsidR="00F1435A" w:rsidRPr="00971206">
        <w:t>contribuindo para reforçar</w:t>
      </w:r>
      <w:r w:rsidR="001C5290" w:rsidRPr="00971206">
        <w:t xml:space="preserve"> </w:t>
      </w:r>
      <w:r w:rsidR="00E6632D" w:rsidRPr="00971206">
        <w:t>a</w:t>
      </w:r>
      <w:r w:rsidR="001C5290" w:rsidRPr="00971206">
        <w:t xml:space="preserve"> concentração de renda.</w:t>
      </w:r>
      <w:r w:rsidR="00E6632D" w:rsidRPr="00971206">
        <w:t xml:space="preserve"> </w:t>
      </w:r>
    </w:p>
    <w:p w14:paraId="2DD7A341" w14:textId="77777777" w:rsidR="002F7998" w:rsidRPr="00971206" w:rsidRDefault="002F7998" w:rsidP="008467EA">
      <w:pPr>
        <w:jc w:val="both"/>
      </w:pPr>
    </w:p>
    <w:p w14:paraId="449ECAB5" w14:textId="77777777" w:rsidR="00ED4F4E" w:rsidRPr="00971206" w:rsidRDefault="00AB6B39" w:rsidP="009E46B1">
      <w:pPr>
        <w:keepNext/>
        <w:spacing w:after="120"/>
        <w:jc w:val="both"/>
      </w:pPr>
      <w:r w:rsidRPr="00971206">
        <w:t xml:space="preserve">Tabela </w:t>
      </w:r>
      <w:r w:rsidR="00382876" w:rsidRPr="00971206">
        <w:t xml:space="preserve">4 </w:t>
      </w:r>
      <w:r w:rsidRPr="00971206">
        <w:t>– Valor dos gastos tributários com IRPF – Brasil, 2016</w:t>
      </w:r>
      <w:r w:rsidR="00EA2264" w:rsidRPr="00971206">
        <w:t>.</w:t>
      </w:r>
    </w:p>
    <w:tbl>
      <w:tblPr>
        <w:tblW w:w="7296" w:type="dxa"/>
        <w:jc w:val="center"/>
        <w:tblLayout w:type="fixed"/>
        <w:tblCellMar>
          <w:left w:w="70" w:type="dxa"/>
          <w:right w:w="70" w:type="dxa"/>
        </w:tblCellMar>
        <w:tblLook w:val="04A0" w:firstRow="1" w:lastRow="0" w:firstColumn="1" w:lastColumn="0" w:noHBand="0" w:noVBand="1"/>
      </w:tblPr>
      <w:tblGrid>
        <w:gridCol w:w="4536"/>
        <w:gridCol w:w="1343"/>
        <w:gridCol w:w="1417"/>
      </w:tblGrid>
      <w:tr w:rsidR="00984262" w:rsidRPr="00971206" w14:paraId="26DD3513" w14:textId="77777777" w:rsidTr="00C05B73">
        <w:trPr>
          <w:trHeight w:val="320"/>
          <w:jc w:val="center"/>
        </w:trPr>
        <w:tc>
          <w:tcPr>
            <w:tcW w:w="4536" w:type="dxa"/>
            <w:tcBorders>
              <w:top w:val="single" w:sz="4" w:space="0" w:color="auto"/>
              <w:left w:val="nil"/>
              <w:bottom w:val="single" w:sz="4" w:space="0" w:color="auto"/>
              <w:right w:val="nil"/>
            </w:tcBorders>
            <w:shd w:val="clear" w:color="auto" w:fill="auto"/>
            <w:noWrap/>
            <w:vAlign w:val="center"/>
            <w:hideMark/>
          </w:tcPr>
          <w:p w14:paraId="1AD35048" w14:textId="77777777" w:rsidR="00ED4F4E" w:rsidRPr="00971206" w:rsidRDefault="00984262" w:rsidP="009E46B1">
            <w:pPr>
              <w:keepNext/>
              <w:jc w:val="center"/>
              <w:rPr>
                <w:b/>
                <w:bCs/>
                <w:color w:val="000000"/>
              </w:rPr>
            </w:pPr>
            <w:r w:rsidRPr="00971206">
              <w:rPr>
                <w:b/>
                <w:bCs/>
                <w:color w:val="000000"/>
              </w:rPr>
              <w:t>Categoria de gasto tributário IRPF</w:t>
            </w:r>
          </w:p>
        </w:tc>
        <w:tc>
          <w:tcPr>
            <w:tcW w:w="1343" w:type="dxa"/>
            <w:tcBorders>
              <w:top w:val="single" w:sz="4" w:space="0" w:color="auto"/>
              <w:left w:val="nil"/>
              <w:bottom w:val="single" w:sz="4" w:space="0" w:color="auto"/>
              <w:right w:val="nil"/>
            </w:tcBorders>
            <w:shd w:val="clear" w:color="auto" w:fill="auto"/>
            <w:noWrap/>
            <w:vAlign w:val="center"/>
            <w:hideMark/>
          </w:tcPr>
          <w:p w14:paraId="37BB9B6B" w14:textId="77777777" w:rsidR="00ED4F4E" w:rsidRPr="00971206" w:rsidRDefault="00984262" w:rsidP="009E46B1">
            <w:pPr>
              <w:keepNext/>
              <w:jc w:val="center"/>
              <w:rPr>
                <w:b/>
                <w:bCs/>
                <w:color w:val="000000"/>
              </w:rPr>
            </w:pPr>
            <w:r w:rsidRPr="00971206">
              <w:rPr>
                <w:b/>
                <w:bCs/>
                <w:color w:val="000000"/>
              </w:rPr>
              <w:t>Valor</w:t>
            </w:r>
          </w:p>
          <w:p w14:paraId="334639BB" w14:textId="77777777" w:rsidR="00ED4F4E" w:rsidRPr="00971206" w:rsidRDefault="00984262" w:rsidP="009E46B1">
            <w:pPr>
              <w:keepNext/>
              <w:jc w:val="center"/>
              <w:rPr>
                <w:b/>
                <w:bCs/>
                <w:color w:val="000000"/>
              </w:rPr>
            </w:pPr>
            <w:r w:rsidRPr="00971206">
              <w:rPr>
                <w:b/>
                <w:bCs/>
                <w:color w:val="000000"/>
              </w:rPr>
              <w:t>(R$ milhões)</w:t>
            </w:r>
          </w:p>
        </w:tc>
        <w:tc>
          <w:tcPr>
            <w:tcW w:w="1417" w:type="dxa"/>
            <w:tcBorders>
              <w:top w:val="single" w:sz="4" w:space="0" w:color="auto"/>
              <w:left w:val="nil"/>
              <w:bottom w:val="single" w:sz="4" w:space="0" w:color="auto"/>
              <w:right w:val="nil"/>
            </w:tcBorders>
            <w:shd w:val="clear" w:color="auto" w:fill="auto"/>
            <w:noWrap/>
            <w:vAlign w:val="center"/>
            <w:hideMark/>
          </w:tcPr>
          <w:p w14:paraId="282176F4" w14:textId="77777777" w:rsidR="00ED4F4E" w:rsidRPr="00971206" w:rsidRDefault="00984262" w:rsidP="009E46B1">
            <w:pPr>
              <w:keepNext/>
              <w:jc w:val="center"/>
              <w:rPr>
                <w:b/>
                <w:bCs/>
                <w:color w:val="000000"/>
              </w:rPr>
            </w:pPr>
            <w:r w:rsidRPr="00971206">
              <w:rPr>
                <w:b/>
                <w:bCs/>
                <w:color w:val="000000"/>
              </w:rPr>
              <w:t>Participação</w:t>
            </w:r>
          </w:p>
        </w:tc>
      </w:tr>
      <w:tr w:rsidR="00984262" w:rsidRPr="00971206" w14:paraId="034C138D"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0F49E9DB" w14:textId="77777777" w:rsidR="00ED4F4E" w:rsidRPr="00971206" w:rsidRDefault="00984262" w:rsidP="009E46B1">
            <w:pPr>
              <w:keepNext/>
              <w:rPr>
                <w:b/>
                <w:bCs/>
                <w:color w:val="000000"/>
              </w:rPr>
            </w:pPr>
            <w:r w:rsidRPr="00971206">
              <w:rPr>
                <w:b/>
                <w:bCs/>
                <w:color w:val="000000"/>
              </w:rPr>
              <w:t xml:space="preserve">Imposto sobre a Renda Pessoa Física </w:t>
            </w:r>
          </w:p>
        </w:tc>
        <w:tc>
          <w:tcPr>
            <w:tcW w:w="1343" w:type="dxa"/>
            <w:tcBorders>
              <w:top w:val="nil"/>
              <w:left w:val="nil"/>
              <w:bottom w:val="nil"/>
              <w:right w:val="nil"/>
            </w:tcBorders>
            <w:shd w:val="clear" w:color="auto" w:fill="auto"/>
            <w:noWrap/>
            <w:vAlign w:val="center"/>
            <w:hideMark/>
          </w:tcPr>
          <w:p w14:paraId="219D22C5" w14:textId="77777777" w:rsidR="00ED4F4E" w:rsidRPr="00971206" w:rsidRDefault="00984262" w:rsidP="009E46B1">
            <w:pPr>
              <w:keepNext/>
              <w:jc w:val="right"/>
              <w:rPr>
                <w:b/>
                <w:bCs/>
                <w:color w:val="000000"/>
              </w:rPr>
            </w:pPr>
            <w:r w:rsidRPr="00971206">
              <w:rPr>
                <w:b/>
                <w:bCs/>
                <w:color w:val="000000"/>
              </w:rPr>
              <w:t>39.933</w:t>
            </w:r>
          </w:p>
        </w:tc>
        <w:tc>
          <w:tcPr>
            <w:tcW w:w="1417" w:type="dxa"/>
            <w:tcBorders>
              <w:top w:val="nil"/>
              <w:left w:val="nil"/>
              <w:bottom w:val="nil"/>
              <w:right w:val="nil"/>
            </w:tcBorders>
            <w:shd w:val="clear" w:color="auto" w:fill="auto"/>
            <w:noWrap/>
            <w:vAlign w:val="center"/>
            <w:hideMark/>
          </w:tcPr>
          <w:p w14:paraId="244B997D" w14:textId="77777777" w:rsidR="00ED4F4E" w:rsidRPr="00971206" w:rsidRDefault="00F31C09" w:rsidP="009E46B1">
            <w:pPr>
              <w:keepNext/>
              <w:jc w:val="right"/>
              <w:rPr>
                <w:b/>
                <w:bCs/>
                <w:color w:val="000000"/>
              </w:rPr>
            </w:pPr>
            <w:r w:rsidRPr="00971206">
              <w:rPr>
                <w:b/>
                <w:bCs/>
                <w:color w:val="000000"/>
              </w:rPr>
              <w:t>100</w:t>
            </w:r>
            <w:r w:rsidR="00984262" w:rsidRPr="00971206">
              <w:rPr>
                <w:b/>
                <w:bCs/>
                <w:color w:val="000000"/>
              </w:rPr>
              <w:t>,</w:t>
            </w:r>
            <w:r w:rsidRPr="00971206">
              <w:rPr>
                <w:b/>
                <w:bCs/>
                <w:color w:val="000000"/>
              </w:rPr>
              <w:t>0</w:t>
            </w:r>
            <w:r w:rsidR="00984262" w:rsidRPr="00971206">
              <w:rPr>
                <w:b/>
                <w:bCs/>
                <w:color w:val="000000"/>
              </w:rPr>
              <w:t>%</w:t>
            </w:r>
          </w:p>
        </w:tc>
      </w:tr>
      <w:tr w:rsidR="00984262" w:rsidRPr="00971206" w14:paraId="09961C71"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1896B21C" w14:textId="77777777" w:rsidR="00ED4F4E" w:rsidRPr="00971206" w:rsidRDefault="00984262" w:rsidP="009E46B1">
            <w:pPr>
              <w:keepNext/>
              <w:rPr>
                <w:color w:val="FF0000"/>
              </w:rPr>
            </w:pPr>
            <w:r w:rsidRPr="00971206">
              <w:rPr>
                <w:color w:val="FF0000"/>
              </w:rPr>
              <w:t>Despesas médicas.</w:t>
            </w:r>
          </w:p>
        </w:tc>
        <w:tc>
          <w:tcPr>
            <w:tcW w:w="1343" w:type="dxa"/>
            <w:tcBorders>
              <w:top w:val="nil"/>
              <w:left w:val="nil"/>
              <w:bottom w:val="nil"/>
              <w:right w:val="nil"/>
            </w:tcBorders>
            <w:shd w:val="clear" w:color="auto" w:fill="auto"/>
            <w:noWrap/>
            <w:vAlign w:val="center"/>
            <w:hideMark/>
          </w:tcPr>
          <w:p w14:paraId="683BA441" w14:textId="77777777" w:rsidR="00ED4F4E" w:rsidRPr="00971206" w:rsidRDefault="00984262" w:rsidP="009E46B1">
            <w:pPr>
              <w:keepNext/>
              <w:jc w:val="right"/>
              <w:rPr>
                <w:bCs/>
                <w:color w:val="FF0000"/>
              </w:rPr>
            </w:pPr>
            <w:r w:rsidRPr="00971206">
              <w:rPr>
                <w:bCs/>
                <w:color w:val="FF0000"/>
              </w:rPr>
              <w:t>11.588</w:t>
            </w:r>
          </w:p>
        </w:tc>
        <w:tc>
          <w:tcPr>
            <w:tcW w:w="1417" w:type="dxa"/>
            <w:tcBorders>
              <w:top w:val="nil"/>
              <w:left w:val="nil"/>
              <w:bottom w:val="nil"/>
              <w:right w:val="nil"/>
            </w:tcBorders>
            <w:shd w:val="clear" w:color="auto" w:fill="auto"/>
            <w:noWrap/>
            <w:vAlign w:val="center"/>
            <w:hideMark/>
          </w:tcPr>
          <w:p w14:paraId="5319386A" w14:textId="77777777" w:rsidR="00ED4F4E" w:rsidRPr="00971206" w:rsidRDefault="00984262" w:rsidP="009E46B1">
            <w:pPr>
              <w:keepNext/>
              <w:jc w:val="right"/>
              <w:rPr>
                <w:bCs/>
                <w:color w:val="FF0000"/>
              </w:rPr>
            </w:pPr>
            <w:r w:rsidRPr="00971206">
              <w:rPr>
                <w:bCs/>
                <w:color w:val="FF0000"/>
              </w:rPr>
              <w:t>2</w:t>
            </w:r>
            <w:r w:rsidR="0070199A" w:rsidRPr="00971206">
              <w:rPr>
                <w:bCs/>
                <w:color w:val="FF0000"/>
              </w:rPr>
              <w:t>9</w:t>
            </w:r>
            <w:r w:rsidRPr="00971206">
              <w:rPr>
                <w:bCs/>
                <w:color w:val="FF0000"/>
              </w:rPr>
              <w:t>,</w:t>
            </w:r>
            <w:r w:rsidR="0070199A" w:rsidRPr="00971206">
              <w:rPr>
                <w:bCs/>
                <w:color w:val="FF0000"/>
              </w:rPr>
              <w:t>0</w:t>
            </w:r>
            <w:r w:rsidRPr="00971206">
              <w:rPr>
                <w:bCs/>
                <w:color w:val="FF0000"/>
              </w:rPr>
              <w:t>%</w:t>
            </w:r>
          </w:p>
        </w:tc>
      </w:tr>
      <w:tr w:rsidR="00984262" w:rsidRPr="00971206" w14:paraId="31859636"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5ECDDE09" w14:textId="77777777" w:rsidR="00ED4F4E" w:rsidRPr="00971206" w:rsidRDefault="00984262" w:rsidP="009E46B1">
            <w:pPr>
              <w:keepNext/>
              <w:rPr>
                <w:color w:val="FF0000"/>
              </w:rPr>
            </w:pPr>
            <w:r w:rsidRPr="00971206">
              <w:rPr>
                <w:color w:val="FF0000"/>
              </w:rPr>
              <w:t>Aposentadoria por moléstia grave</w:t>
            </w:r>
          </w:p>
        </w:tc>
        <w:tc>
          <w:tcPr>
            <w:tcW w:w="1343" w:type="dxa"/>
            <w:tcBorders>
              <w:top w:val="nil"/>
              <w:left w:val="nil"/>
              <w:bottom w:val="nil"/>
              <w:right w:val="nil"/>
            </w:tcBorders>
            <w:shd w:val="clear" w:color="auto" w:fill="auto"/>
            <w:noWrap/>
            <w:vAlign w:val="center"/>
            <w:hideMark/>
          </w:tcPr>
          <w:p w14:paraId="1ACBE7F2" w14:textId="77777777" w:rsidR="00ED4F4E" w:rsidRPr="00971206" w:rsidRDefault="00984262" w:rsidP="009E46B1">
            <w:pPr>
              <w:keepNext/>
              <w:jc w:val="right"/>
              <w:rPr>
                <w:bCs/>
                <w:color w:val="FF0000"/>
              </w:rPr>
            </w:pPr>
            <w:r w:rsidRPr="00971206">
              <w:rPr>
                <w:bCs/>
                <w:color w:val="FF0000"/>
              </w:rPr>
              <w:t>10.588</w:t>
            </w:r>
          </w:p>
        </w:tc>
        <w:tc>
          <w:tcPr>
            <w:tcW w:w="1417" w:type="dxa"/>
            <w:tcBorders>
              <w:top w:val="nil"/>
              <w:left w:val="nil"/>
              <w:bottom w:val="nil"/>
              <w:right w:val="nil"/>
            </w:tcBorders>
            <w:shd w:val="clear" w:color="auto" w:fill="auto"/>
            <w:noWrap/>
            <w:vAlign w:val="center"/>
            <w:hideMark/>
          </w:tcPr>
          <w:p w14:paraId="1B8DFF3D" w14:textId="77777777" w:rsidR="00ED4F4E" w:rsidRPr="00971206" w:rsidRDefault="00984262" w:rsidP="009E46B1">
            <w:pPr>
              <w:keepNext/>
              <w:jc w:val="right"/>
              <w:rPr>
                <w:bCs/>
                <w:color w:val="FF0000"/>
              </w:rPr>
            </w:pPr>
            <w:r w:rsidRPr="00971206">
              <w:rPr>
                <w:bCs/>
                <w:color w:val="FF0000"/>
              </w:rPr>
              <w:t>2</w:t>
            </w:r>
            <w:r w:rsidR="0070199A" w:rsidRPr="00971206">
              <w:rPr>
                <w:bCs/>
                <w:color w:val="FF0000"/>
              </w:rPr>
              <w:t>6</w:t>
            </w:r>
            <w:r w:rsidRPr="00971206">
              <w:rPr>
                <w:bCs/>
                <w:color w:val="FF0000"/>
              </w:rPr>
              <w:t>,</w:t>
            </w:r>
            <w:r w:rsidR="0070199A" w:rsidRPr="00971206">
              <w:rPr>
                <w:bCs/>
                <w:color w:val="FF0000"/>
              </w:rPr>
              <w:t>5</w:t>
            </w:r>
            <w:r w:rsidRPr="00971206">
              <w:rPr>
                <w:bCs/>
                <w:color w:val="FF0000"/>
              </w:rPr>
              <w:t>%</w:t>
            </w:r>
          </w:p>
        </w:tc>
      </w:tr>
      <w:tr w:rsidR="00984262" w:rsidRPr="00971206" w14:paraId="37BD7A82"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6CE0614B" w14:textId="77777777" w:rsidR="00ED4F4E" w:rsidRPr="00971206" w:rsidRDefault="00984262" w:rsidP="009E46B1">
            <w:pPr>
              <w:keepNext/>
              <w:rPr>
                <w:color w:val="FF0000"/>
              </w:rPr>
            </w:pPr>
            <w:r w:rsidRPr="00971206">
              <w:rPr>
                <w:color w:val="FF0000"/>
              </w:rPr>
              <w:t>Aposentadoria de declarante com 65 anos ou mais.</w:t>
            </w:r>
          </w:p>
        </w:tc>
        <w:tc>
          <w:tcPr>
            <w:tcW w:w="1343" w:type="dxa"/>
            <w:tcBorders>
              <w:top w:val="nil"/>
              <w:left w:val="nil"/>
              <w:bottom w:val="nil"/>
              <w:right w:val="nil"/>
            </w:tcBorders>
            <w:shd w:val="clear" w:color="auto" w:fill="auto"/>
            <w:noWrap/>
            <w:vAlign w:val="center"/>
            <w:hideMark/>
          </w:tcPr>
          <w:p w14:paraId="7701659E" w14:textId="77777777" w:rsidR="00ED4F4E" w:rsidRPr="00971206" w:rsidRDefault="00984262" w:rsidP="009E46B1">
            <w:pPr>
              <w:keepNext/>
              <w:jc w:val="right"/>
              <w:rPr>
                <w:bCs/>
                <w:color w:val="FF0000"/>
              </w:rPr>
            </w:pPr>
            <w:r w:rsidRPr="00971206">
              <w:rPr>
                <w:bCs/>
                <w:color w:val="FF0000"/>
              </w:rPr>
              <w:t>6.468</w:t>
            </w:r>
          </w:p>
        </w:tc>
        <w:tc>
          <w:tcPr>
            <w:tcW w:w="1417" w:type="dxa"/>
            <w:tcBorders>
              <w:top w:val="nil"/>
              <w:left w:val="nil"/>
              <w:bottom w:val="nil"/>
              <w:right w:val="nil"/>
            </w:tcBorders>
            <w:shd w:val="clear" w:color="auto" w:fill="auto"/>
            <w:noWrap/>
            <w:vAlign w:val="center"/>
            <w:hideMark/>
          </w:tcPr>
          <w:p w14:paraId="0BA4437B" w14:textId="77777777" w:rsidR="00ED4F4E" w:rsidRPr="00971206" w:rsidRDefault="00984262" w:rsidP="009E46B1">
            <w:pPr>
              <w:keepNext/>
              <w:jc w:val="right"/>
              <w:rPr>
                <w:bCs/>
                <w:color w:val="FF0000"/>
              </w:rPr>
            </w:pPr>
            <w:r w:rsidRPr="00971206">
              <w:rPr>
                <w:bCs/>
                <w:color w:val="FF0000"/>
              </w:rPr>
              <w:t>1</w:t>
            </w:r>
            <w:r w:rsidR="0070199A" w:rsidRPr="00971206">
              <w:rPr>
                <w:bCs/>
                <w:color w:val="FF0000"/>
              </w:rPr>
              <w:t>6</w:t>
            </w:r>
            <w:r w:rsidRPr="00971206">
              <w:rPr>
                <w:bCs/>
                <w:color w:val="FF0000"/>
              </w:rPr>
              <w:t>,</w:t>
            </w:r>
            <w:r w:rsidR="0070199A" w:rsidRPr="00971206">
              <w:rPr>
                <w:bCs/>
                <w:color w:val="FF0000"/>
              </w:rPr>
              <w:t>2</w:t>
            </w:r>
            <w:r w:rsidRPr="00971206">
              <w:rPr>
                <w:bCs/>
                <w:color w:val="FF0000"/>
              </w:rPr>
              <w:t>%</w:t>
            </w:r>
          </w:p>
        </w:tc>
      </w:tr>
      <w:tr w:rsidR="00984262" w:rsidRPr="00971206" w14:paraId="66B5BCC2"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7B11A93C" w14:textId="77777777" w:rsidR="00ED4F4E" w:rsidRPr="00971206" w:rsidRDefault="00984262" w:rsidP="009E46B1">
            <w:pPr>
              <w:keepNext/>
              <w:rPr>
                <w:color w:val="000000"/>
              </w:rPr>
            </w:pPr>
            <w:r w:rsidRPr="00971206">
              <w:rPr>
                <w:color w:val="000000"/>
              </w:rPr>
              <w:t>Indenizações por rescisão de contrato de trabalho</w:t>
            </w:r>
          </w:p>
        </w:tc>
        <w:tc>
          <w:tcPr>
            <w:tcW w:w="1343" w:type="dxa"/>
            <w:tcBorders>
              <w:top w:val="nil"/>
              <w:left w:val="nil"/>
              <w:bottom w:val="nil"/>
              <w:right w:val="nil"/>
            </w:tcBorders>
            <w:shd w:val="clear" w:color="auto" w:fill="auto"/>
            <w:noWrap/>
            <w:vAlign w:val="center"/>
            <w:hideMark/>
          </w:tcPr>
          <w:p w14:paraId="6F966518" w14:textId="77777777" w:rsidR="00ED4F4E" w:rsidRPr="00971206" w:rsidRDefault="00984262" w:rsidP="009E46B1">
            <w:pPr>
              <w:keepNext/>
              <w:jc w:val="right"/>
              <w:rPr>
                <w:color w:val="000000"/>
              </w:rPr>
            </w:pPr>
            <w:r w:rsidRPr="00971206">
              <w:rPr>
                <w:color w:val="000000"/>
              </w:rPr>
              <w:t>5.954</w:t>
            </w:r>
          </w:p>
        </w:tc>
        <w:tc>
          <w:tcPr>
            <w:tcW w:w="1417" w:type="dxa"/>
            <w:tcBorders>
              <w:top w:val="nil"/>
              <w:left w:val="nil"/>
              <w:bottom w:val="nil"/>
              <w:right w:val="nil"/>
            </w:tcBorders>
            <w:shd w:val="clear" w:color="auto" w:fill="auto"/>
            <w:noWrap/>
            <w:vAlign w:val="center"/>
            <w:hideMark/>
          </w:tcPr>
          <w:p w14:paraId="77B1451F" w14:textId="77777777" w:rsidR="00ED4F4E" w:rsidRPr="00971206" w:rsidRDefault="00984262" w:rsidP="009E46B1">
            <w:pPr>
              <w:keepNext/>
              <w:jc w:val="right"/>
              <w:rPr>
                <w:color w:val="000000"/>
              </w:rPr>
            </w:pPr>
            <w:r w:rsidRPr="00971206">
              <w:rPr>
                <w:color w:val="000000"/>
              </w:rPr>
              <w:t>1</w:t>
            </w:r>
            <w:r w:rsidR="0070199A" w:rsidRPr="00971206">
              <w:rPr>
                <w:color w:val="000000"/>
              </w:rPr>
              <w:t>4</w:t>
            </w:r>
            <w:r w:rsidRPr="00971206">
              <w:rPr>
                <w:color w:val="000000"/>
              </w:rPr>
              <w:t>,</w:t>
            </w:r>
            <w:r w:rsidR="0070199A" w:rsidRPr="00971206">
              <w:rPr>
                <w:color w:val="000000"/>
              </w:rPr>
              <w:t>9</w:t>
            </w:r>
            <w:r w:rsidRPr="00971206">
              <w:rPr>
                <w:color w:val="000000"/>
              </w:rPr>
              <w:t>%</w:t>
            </w:r>
          </w:p>
        </w:tc>
      </w:tr>
      <w:tr w:rsidR="00C05B73" w:rsidRPr="00971206" w14:paraId="798B220C"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65173A1D" w14:textId="77777777" w:rsidR="00ED4F4E" w:rsidRPr="00971206" w:rsidRDefault="00984262" w:rsidP="009E46B1">
            <w:pPr>
              <w:keepNext/>
              <w:rPr>
                <w:color w:val="FF0000"/>
              </w:rPr>
            </w:pPr>
            <w:r w:rsidRPr="00971206">
              <w:rPr>
                <w:color w:val="FF0000"/>
              </w:rPr>
              <w:t>Despesas com educação.</w:t>
            </w:r>
          </w:p>
        </w:tc>
        <w:tc>
          <w:tcPr>
            <w:tcW w:w="1343" w:type="dxa"/>
            <w:tcBorders>
              <w:top w:val="nil"/>
              <w:left w:val="nil"/>
              <w:bottom w:val="nil"/>
              <w:right w:val="nil"/>
            </w:tcBorders>
            <w:shd w:val="clear" w:color="auto" w:fill="auto"/>
            <w:noWrap/>
            <w:vAlign w:val="center"/>
            <w:hideMark/>
          </w:tcPr>
          <w:p w14:paraId="471D49FE" w14:textId="77777777" w:rsidR="00ED4F4E" w:rsidRPr="00971206" w:rsidRDefault="00984262" w:rsidP="009E46B1">
            <w:pPr>
              <w:keepNext/>
              <w:jc w:val="right"/>
              <w:rPr>
                <w:bCs/>
                <w:color w:val="FF0000"/>
              </w:rPr>
            </w:pPr>
            <w:r w:rsidRPr="00971206">
              <w:rPr>
                <w:bCs/>
                <w:color w:val="FF0000"/>
              </w:rPr>
              <w:t>3.766</w:t>
            </w:r>
          </w:p>
        </w:tc>
        <w:tc>
          <w:tcPr>
            <w:tcW w:w="1417" w:type="dxa"/>
            <w:tcBorders>
              <w:top w:val="nil"/>
              <w:left w:val="nil"/>
              <w:bottom w:val="nil"/>
              <w:right w:val="nil"/>
            </w:tcBorders>
            <w:shd w:val="clear" w:color="auto" w:fill="auto"/>
            <w:noWrap/>
            <w:vAlign w:val="center"/>
            <w:hideMark/>
          </w:tcPr>
          <w:p w14:paraId="49AC7ED9" w14:textId="77777777" w:rsidR="00ED4F4E" w:rsidRPr="00971206" w:rsidRDefault="0070199A" w:rsidP="009E46B1">
            <w:pPr>
              <w:keepNext/>
              <w:jc w:val="right"/>
              <w:rPr>
                <w:bCs/>
                <w:color w:val="FF0000"/>
              </w:rPr>
            </w:pPr>
            <w:r w:rsidRPr="00971206">
              <w:rPr>
                <w:bCs/>
                <w:color w:val="FF0000"/>
              </w:rPr>
              <w:t>9</w:t>
            </w:r>
            <w:r w:rsidR="00984262" w:rsidRPr="00971206">
              <w:rPr>
                <w:bCs/>
                <w:color w:val="FF0000"/>
              </w:rPr>
              <w:t>,</w:t>
            </w:r>
            <w:r w:rsidRPr="00971206">
              <w:rPr>
                <w:bCs/>
                <w:color w:val="FF0000"/>
              </w:rPr>
              <w:t>4</w:t>
            </w:r>
            <w:r w:rsidR="00984262" w:rsidRPr="00971206">
              <w:rPr>
                <w:bCs/>
                <w:color w:val="FF0000"/>
              </w:rPr>
              <w:t>%</w:t>
            </w:r>
          </w:p>
        </w:tc>
      </w:tr>
      <w:tr w:rsidR="00984262" w:rsidRPr="00971206" w14:paraId="68776B18" w14:textId="77777777" w:rsidTr="00C05B73">
        <w:trPr>
          <w:trHeight w:val="320"/>
          <w:jc w:val="center"/>
        </w:trPr>
        <w:tc>
          <w:tcPr>
            <w:tcW w:w="4536" w:type="dxa"/>
            <w:tcBorders>
              <w:top w:val="nil"/>
              <w:left w:val="nil"/>
              <w:bottom w:val="nil"/>
              <w:right w:val="nil"/>
            </w:tcBorders>
            <w:shd w:val="clear" w:color="auto" w:fill="auto"/>
            <w:noWrap/>
            <w:vAlign w:val="center"/>
            <w:hideMark/>
          </w:tcPr>
          <w:p w14:paraId="69A610AE" w14:textId="77777777" w:rsidR="00ED4F4E" w:rsidRPr="00971206" w:rsidRDefault="00984262" w:rsidP="009E46B1">
            <w:pPr>
              <w:keepNext/>
              <w:rPr>
                <w:color w:val="000000"/>
              </w:rPr>
            </w:pPr>
            <w:r w:rsidRPr="00971206">
              <w:rPr>
                <w:color w:val="000000"/>
              </w:rPr>
              <w:t>Seguro ou pecúlio pago por morte ou invalidez</w:t>
            </w:r>
          </w:p>
        </w:tc>
        <w:tc>
          <w:tcPr>
            <w:tcW w:w="1343" w:type="dxa"/>
            <w:tcBorders>
              <w:top w:val="nil"/>
              <w:left w:val="nil"/>
              <w:bottom w:val="nil"/>
              <w:right w:val="nil"/>
            </w:tcBorders>
            <w:shd w:val="clear" w:color="auto" w:fill="auto"/>
            <w:noWrap/>
            <w:vAlign w:val="center"/>
            <w:hideMark/>
          </w:tcPr>
          <w:p w14:paraId="22DAD9D3" w14:textId="77777777" w:rsidR="00ED4F4E" w:rsidRPr="00971206" w:rsidRDefault="00984262" w:rsidP="009E46B1">
            <w:pPr>
              <w:keepNext/>
              <w:jc w:val="right"/>
              <w:rPr>
                <w:color w:val="000000"/>
              </w:rPr>
            </w:pPr>
            <w:r w:rsidRPr="00971206">
              <w:rPr>
                <w:color w:val="000000"/>
              </w:rPr>
              <w:t>846</w:t>
            </w:r>
          </w:p>
        </w:tc>
        <w:tc>
          <w:tcPr>
            <w:tcW w:w="1417" w:type="dxa"/>
            <w:tcBorders>
              <w:top w:val="nil"/>
              <w:left w:val="nil"/>
              <w:bottom w:val="nil"/>
              <w:right w:val="nil"/>
            </w:tcBorders>
            <w:shd w:val="clear" w:color="auto" w:fill="auto"/>
            <w:noWrap/>
            <w:vAlign w:val="center"/>
            <w:hideMark/>
          </w:tcPr>
          <w:p w14:paraId="40E33BBC" w14:textId="77777777" w:rsidR="00ED4F4E" w:rsidRPr="00971206" w:rsidRDefault="0070199A" w:rsidP="009E46B1">
            <w:pPr>
              <w:keepNext/>
              <w:jc w:val="right"/>
              <w:rPr>
                <w:color w:val="000000"/>
              </w:rPr>
            </w:pPr>
            <w:r w:rsidRPr="00971206">
              <w:rPr>
                <w:color w:val="000000"/>
              </w:rPr>
              <w:t>2</w:t>
            </w:r>
            <w:r w:rsidR="00984262" w:rsidRPr="00971206">
              <w:rPr>
                <w:color w:val="000000"/>
              </w:rPr>
              <w:t>,</w:t>
            </w:r>
            <w:r w:rsidRPr="00971206">
              <w:rPr>
                <w:color w:val="000000"/>
              </w:rPr>
              <w:t>2</w:t>
            </w:r>
            <w:r w:rsidR="00984262" w:rsidRPr="00971206">
              <w:rPr>
                <w:color w:val="000000"/>
              </w:rPr>
              <w:t>%</w:t>
            </w:r>
          </w:p>
        </w:tc>
      </w:tr>
      <w:tr w:rsidR="00984262" w:rsidRPr="00971206" w14:paraId="7FAB49D3" w14:textId="77777777" w:rsidTr="00AC6F19">
        <w:trPr>
          <w:trHeight w:val="320"/>
          <w:jc w:val="center"/>
        </w:trPr>
        <w:tc>
          <w:tcPr>
            <w:tcW w:w="4536" w:type="dxa"/>
            <w:tcBorders>
              <w:top w:val="nil"/>
              <w:left w:val="nil"/>
              <w:right w:val="nil"/>
            </w:tcBorders>
            <w:shd w:val="clear" w:color="auto" w:fill="auto"/>
            <w:noWrap/>
            <w:vAlign w:val="center"/>
            <w:hideMark/>
          </w:tcPr>
          <w:p w14:paraId="485462B7" w14:textId="77777777" w:rsidR="00ED4F4E" w:rsidRPr="00971206" w:rsidRDefault="00984262" w:rsidP="009E46B1">
            <w:pPr>
              <w:keepNext/>
              <w:rPr>
                <w:color w:val="000000"/>
              </w:rPr>
            </w:pPr>
            <w:r w:rsidRPr="00971206">
              <w:rPr>
                <w:color w:val="000000"/>
              </w:rPr>
              <w:t>Incentivo à formalização do emprego doméstico.</w:t>
            </w:r>
          </w:p>
        </w:tc>
        <w:tc>
          <w:tcPr>
            <w:tcW w:w="1343" w:type="dxa"/>
            <w:tcBorders>
              <w:top w:val="nil"/>
              <w:left w:val="nil"/>
              <w:right w:val="nil"/>
            </w:tcBorders>
            <w:shd w:val="clear" w:color="auto" w:fill="auto"/>
            <w:noWrap/>
            <w:vAlign w:val="center"/>
            <w:hideMark/>
          </w:tcPr>
          <w:p w14:paraId="685BEF01" w14:textId="77777777" w:rsidR="00ED4F4E" w:rsidRPr="00971206" w:rsidRDefault="00984262" w:rsidP="009E46B1">
            <w:pPr>
              <w:keepNext/>
              <w:jc w:val="right"/>
              <w:rPr>
                <w:color w:val="000000"/>
              </w:rPr>
            </w:pPr>
            <w:r w:rsidRPr="00971206">
              <w:rPr>
                <w:color w:val="000000"/>
              </w:rPr>
              <w:t>594</w:t>
            </w:r>
          </w:p>
        </w:tc>
        <w:tc>
          <w:tcPr>
            <w:tcW w:w="1417" w:type="dxa"/>
            <w:tcBorders>
              <w:top w:val="nil"/>
              <w:left w:val="nil"/>
              <w:right w:val="nil"/>
            </w:tcBorders>
            <w:shd w:val="clear" w:color="auto" w:fill="auto"/>
            <w:noWrap/>
            <w:vAlign w:val="center"/>
            <w:hideMark/>
          </w:tcPr>
          <w:p w14:paraId="29ECE21D" w14:textId="77777777" w:rsidR="00ED4F4E" w:rsidRPr="00971206" w:rsidRDefault="00984262" w:rsidP="009E46B1">
            <w:pPr>
              <w:keepNext/>
              <w:jc w:val="right"/>
              <w:rPr>
                <w:color w:val="000000"/>
              </w:rPr>
            </w:pPr>
            <w:r w:rsidRPr="00971206">
              <w:rPr>
                <w:color w:val="000000"/>
              </w:rPr>
              <w:t>1,</w:t>
            </w:r>
            <w:r w:rsidR="0070199A" w:rsidRPr="00971206">
              <w:rPr>
                <w:color w:val="000000"/>
              </w:rPr>
              <w:t>5</w:t>
            </w:r>
            <w:r w:rsidRPr="00971206">
              <w:rPr>
                <w:color w:val="000000"/>
              </w:rPr>
              <w:t>%</w:t>
            </w:r>
          </w:p>
        </w:tc>
      </w:tr>
      <w:tr w:rsidR="00984262" w:rsidRPr="00971206" w14:paraId="218BAE87" w14:textId="77777777" w:rsidTr="00AC6F19">
        <w:trPr>
          <w:trHeight w:val="320"/>
          <w:jc w:val="center"/>
        </w:trPr>
        <w:tc>
          <w:tcPr>
            <w:tcW w:w="4536" w:type="dxa"/>
            <w:tcBorders>
              <w:top w:val="nil"/>
              <w:left w:val="nil"/>
              <w:bottom w:val="single" w:sz="4" w:space="0" w:color="auto"/>
              <w:right w:val="nil"/>
            </w:tcBorders>
            <w:shd w:val="clear" w:color="auto" w:fill="auto"/>
            <w:noWrap/>
            <w:vAlign w:val="center"/>
            <w:hideMark/>
          </w:tcPr>
          <w:p w14:paraId="693C14F1" w14:textId="77777777" w:rsidR="00ED4F4E" w:rsidRPr="00971206" w:rsidRDefault="00984262" w:rsidP="009E46B1">
            <w:pPr>
              <w:keepNext/>
              <w:rPr>
                <w:color w:val="000000"/>
              </w:rPr>
            </w:pPr>
            <w:r w:rsidRPr="00971206">
              <w:rPr>
                <w:color w:val="000000"/>
              </w:rPr>
              <w:t>Outros</w:t>
            </w:r>
            <w:r w:rsidR="0070199A" w:rsidRPr="00971206">
              <w:rPr>
                <w:color w:val="000000"/>
              </w:rPr>
              <w:t xml:space="preserve"> </w:t>
            </w:r>
            <w:r w:rsidR="0070199A" w:rsidRPr="00971206">
              <w:rPr>
                <w:color w:val="000000"/>
                <w:vertAlign w:val="superscript"/>
              </w:rPr>
              <w:t>(1)</w:t>
            </w:r>
          </w:p>
        </w:tc>
        <w:tc>
          <w:tcPr>
            <w:tcW w:w="1343" w:type="dxa"/>
            <w:tcBorders>
              <w:top w:val="nil"/>
              <w:left w:val="nil"/>
              <w:bottom w:val="single" w:sz="4" w:space="0" w:color="auto"/>
              <w:right w:val="nil"/>
            </w:tcBorders>
            <w:shd w:val="clear" w:color="auto" w:fill="auto"/>
            <w:noWrap/>
            <w:vAlign w:val="center"/>
            <w:hideMark/>
          </w:tcPr>
          <w:p w14:paraId="40FC53F7" w14:textId="77777777" w:rsidR="00ED4F4E" w:rsidRPr="00971206" w:rsidRDefault="00984262" w:rsidP="009E46B1">
            <w:pPr>
              <w:keepNext/>
              <w:jc w:val="right"/>
              <w:rPr>
                <w:color w:val="000000"/>
              </w:rPr>
            </w:pPr>
            <w:r w:rsidRPr="00971206">
              <w:rPr>
                <w:color w:val="000000"/>
              </w:rPr>
              <w:t>131</w:t>
            </w:r>
          </w:p>
        </w:tc>
        <w:tc>
          <w:tcPr>
            <w:tcW w:w="1417" w:type="dxa"/>
            <w:tcBorders>
              <w:top w:val="nil"/>
              <w:left w:val="nil"/>
              <w:bottom w:val="single" w:sz="4" w:space="0" w:color="auto"/>
              <w:right w:val="nil"/>
            </w:tcBorders>
            <w:shd w:val="clear" w:color="auto" w:fill="auto"/>
            <w:noWrap/>
            <w:vAlign w:val="center"/>
            <w:hideMark/>
          </w:tcPr>
          <w:p w14:paraId="2B2E1295" w14:textId="77777777" w:rsidR="00ED4F4E" w:rsidRPr="00971206" w:rsidRDefault="00984262" w:rsidP="009E46B1">
            <w:pPr>
              <w:keepNext/>
              <w:jc w:val="right"/>
              <w:rPr>
                <w:color w:val="000000"/>
              </w:rPr>
            </w:pPr>
            <w:r w:rsidRPr="00971206">
              <w:rPr>
                <w:color w:val="000000"/>
              </w:rPr>
              <w:t>0,3%</w:t>
            </w:r>
          </w:p>
        </w:tc>
      </w:tr>
    </w:tbl>
    <w:p w14:paraId="06B34711" w14:textId="77777777" w:rsidR="00984262" w:rsidRPr="00BB5151" w:rsidRDefault="00AB6B39" w:rsidP="00AC6F19">
      <w:pPr>
        <w:ind w:firstLine="709"/>
        <w:jc w:val="both"/>
        <w:rPr>
          <w:sz w:val="20"/>
          <w:szCs w:val="20"/>
        </w:rPr>
      </w:pPr>
      <w:r w:rsidRPr="00BB5151">
        <w:rPr>
          <w:sz w:val="20"/>
          <w:szCs w:val="20"/>
        </w:rPr>
        <w:t>Fonte: Receita Federal do Brasil</w:t>
      </w:r>
      <w:r w:rsidR="00905382" w:rsidRPr="00BB5151">
        <w:rPr>
          <w:sz w:val="20"/>
          <w:szCs w:val="20"/>
        </w:rPr>
        <w:t>.</w:t>
      </w:r>
    </w:p>
    <w:p w14:paraId="26B9F85F" w14:textId="77777777" w:rsidR="0070199A" w:rsidRPr="00BB5151" w:rsidRDefault="0070199A" w:rsidP="00AC6F19">
      <w:pPr>
        <w:ind w:left="851" w:right="560" w:hanging="142"/>
        <w:jc w:val="both"/>
        <w:rPr>
          <w:sz w:val="20"/>
          <w:szCs w:val="20"/>
        </w:rPr>
      </w:pPr>
      <w:r w:rsidRPr="00BB5151">
        <w:rPr>
          <w:sz w:val="20"/>
          <w:szCs w:val="20"/>
        </w:rPr>
        <w:t xml:space="preserve">(1): Fundos da criança e do adolescente, Programa Nacional de Apoio à cultura, Incentivo ao Desporto, Fundos do Idoso, </w:t>
      </w:r>
      <w:proofErr w:type="spellStart"/>
      <w:r w:rsidRPr="00BB5151">
        <w:rPr>
          <w:sz w:val="20"/>
          <w:szCs w:val="20"/>
        </w:rPr>
        <w:t>Pronon</w:t>
      </w:r>
      <w:proofErr w:type="spellEnd"/>
      <w:r w:rsidRPr="00BB5151">
        <w:rPr>
          <w:sz w:val="20"/>
          <w:szCs w:val="20"/>
        </w:rPr>
        <w:t>, Pronas/PCD, Atividade Audiovisual.</w:t>
      </w:r>
    </w:p>
    <w:p w14:paraId="477A19E5" w14:textId="77777777" w:rsidR="009924A4" w:rsidRPr="00971206" w:rsidRDefault="009924A4" w:rsidP="008467EA">
      <w:pPr>
        <w:jc w:val="both"/>
      </w:pPr>
    </w:p>
    <w:p w14:paraId="0B1D6C56" w14:textId="77777777" w:rsidR="00BB5151" w:rsidRDefault="00214DAC" w:rsidP="00BB5151">
      <w:pPr>
        <w:ind w:firstLine="851"/>
        <w:jc w:val="both"/>
      </w:pPr>
      <w:r w:rsidRPr="00971206">
        <w:t xml:space="preserve">Como se pode notar, o principal gasto tributário por meio do IRPF refere-se às despesas médicas, alcançando ao redor de R$ 12 bilhões. </w:t>
      </w:r>
      <w:proofErr w:type="spellStart"/>
      <w:r w:rsidRPr="00971206">
        <w:t>Ocke</w:t>
      </w:r>
      <w:proofErr w:type="spellEnd"/>
      <w:r w:rsidRPr="00971206">
        <w:t xml:space="preserve">-Reis </w:t>
      </w:r>
      <w:r w:rsidR="002F7998" w:rsidRPr="00971206">
        <w:t>e</w:t>
      </w:r>
      <w:r w:rsidRPr="00971206">
        <w:t xml:space="preserve"> Fernandes (2018) </w:t>
      </w:r>
      <w:r w:rsidR="002F7998" w:rsidRPr="00971206">
        <w:t>m</w:t>
      </w:r>
      <w:r w:rsidRPr="00971206">
        <w:t xml:space="preserve">ostram que </w:t>
      </w:r>
      <w:r w:rsidR="002F7998" w:rsidRPr="00971206">
        <w:t>os</w:t>
      </w:r>
      <w:r w:rsidRPr="00971206">
        <w:t xml:space="preserve"> gastos tributários representam cerca de 1/3 dos gastos federais em saúde, com os concedidos via IRPF respondendo por mais de 10% dos gastos do Ministério da Saúde. E, como se sabe, esse benefício tributário se dirige aos 20% mais ricos, enquanto os gastos federais em assistência à saúde têm caráter universal. </w:t>
      </w:r>
    </w:p>
    <w:p w14:paraId="254EB760" w14:textId="77777777" w:rsidR="00320F4F" w:rsidRDefault="00214DAC" w:rsidP="00320F4F">
      <w:pPr>
        <w:ind w:firstLine="851"/>
        <w:jc w:val="both"/>
      </w:pPr>
      <w:r w:rsidRPr="00971206">
        <w:t>Em segundo lugar</w:t>
      </w:r>
      <w:r w:rsidR="00D50249" w:rsidRPr="00971206">
        <w:t xml:space="preserve"> na lista</w:t>
      </w:r>
      <w:r w:rsidR="00871CF7" w:rsidRPr="00971206">
        <w:t xml:space="preserve">, </w:t>
      </w:r>
      <w:r w:rsidR="00D50249" w:rsidRPr="00971206">
        <w:t>figura</w:t>
      </w:r>
      <w:r w:rsidRPr="00971206">
        <w:t xml:space="preserve"> o gasto tributário decorrente da isenção do IRPF sobre aposentadorias e pensões dos declarantes com doenças crônicas,</w:t>
      </w:r>
      <w:r w:rsidR="00D50249" w:rsidRPr="00971206">
        <w:t xml:space="preserve"> somando um montante de quase R$ 11 bilhões</w:t>
      </w:r>
      <w:r w:rsidRPr="00971206">
        <w:t xml:space="preserve"> que, como se apontou, </w:t>
      </w:r>
      <w:r w:rsidR="00D50249" w:rsidRPr="00971206">
        <w:t>é direcionado para</w:t>
      </w:r>
      <w:r w:rsidRPr="00971206">
        <w:t xml:space="preserve"> menos de 600 mil pessoas. A seguir, os gastos decorrentes da maior faixa de isenção para os rendimentos de aposentadorias e pensões percebidas por pessoas de 65 e mais, que atingiu, em 2016, cerca de R$ 6,5 bilhões. Somando-se esses dois benefícios a aposentados e pensionistas tem-se pouco mais de R$ 17 bilhões, valor similar ao gasto com o </w:t>
      </w:r>
      <w:r w:rsidR="00C02FB0" w:rsidRPr="00971206">
        <w:t>Benefício de Prestação Continuada (</w:t>
      </w:r>
      <w:r w:rsidRPr="00971206">
        <w:t>BPC</w:t>
      </w:r>
      <w:r w:rsidR="00C02FB0" w:rsidRPr="00971206">
        <w:t>)</w:t>
      </w:r>
      <w:r w:rsidRPr="00971206">
        <w:t xml:space="preserve"> para idosos. As populações atendidas</w:t>
      </w:r>
      <w:r w:rsidR="00851D42" w:rsidRPr="00971206">
        <w:t>, em 2017, foram</w:t>
      </w:r>
      <w:r w:rsidRPr="00971206">
        <w:t xml:space="preserve"> de 2,7 milhões, no IRPF, e de </w:t>
      </w:r>
      <w:r w:rsidR="000235C7" w:rsidRPr="00971206">
        <w:t>2</w:t>
      </w:r>
      <w:r w:rsidRPr="00971206">
        <w:t xml:space="preserve"> milh</w:t>
      </w:r>
      <w:r w:rsidR="000235C7" w:rsidRPr="00971206">
        <w:t>ões</w:t>
      </w:r>
      <w:r w:rsidRPr="00971206">
        <w:t xml:space="preserve"> no BPC idosos</w:t>
      </w:r>
      <w:r w:rsidR="000235C7" w:rsidRPr="00971206">
        <w:rPr>
          <w:rStyle w:val="Refdenotaderodap"/>
        </w:rPr>
        <w:footnoteReference w:id="8"/>
      </w:r>
      <w:r w:rsidRPr="00971206">
        <w:t xml:space="preserve">, cabendo notar que os primeiros </w:t>
      </w:r>
      <w:r w:rsidR="00E15308" w:rsidRPr="00971206">
        <w:t xml:space="preserve">se </w:t>
      </w:r>
      <w:r w:rsidR="00E15308" w:rsidRPr="00971206">
        <w:lastRenderedPageBreak/>
        <w:t>situam</w:t>
      </w:r>
      <w:r w:rsidRPr="00971206">
        <w:t xml:space="preserve"> no quinto superior da distribuição de renda e os do BPC concentram-se- ao redor do percentil 60.</w:t>
      </w:r>
    </w:p>
    <w:p w14:paraId="13FBC458" w14:textId="61661C0B" w:rsidR="00BB5151" w:rsidRDefault="00107E44" w:rsidP="00320F4F">
      <w:pPr>
        <w:ind w:firstLine="851"/>
        <w:jc w:val="both"/>
      </w:pPr>
      <w:r w:rsidRPr="00971206">
        <w:t>Em quinto lugar no ranqueamento dos gastos tributários do IRPF</w:t>
      </w:r>
      <w:r w:rsidR="00214DAC" w:rsidRPr="00971206">
        <w:t xml:space="preserve"> </w:t>
      </w:r>
      <w:r w:rsidR="00E3112B" w:rsidRPr="00971206">
        <w:t xml:space="preserve">estão </w:t>
      </w:r>
      <w:r w:rsidR="00E851F4" w:rsidRPr="00971206">
        <w:t xml:space="preserve">as deduções com </w:t>
      </w:r>
      <w:r w:rsidR="00214DAC" w:rsidRPr="00971206">
        <w:t xml:space="preserve">gastos com educação, de cerca de R$ 4 bilhões, </w:t>
      </w:r>
      <w:r w:rsidR="00E3112B" w:rsidRPr="00971206">
        <w:t xml:space="preserve">despesa </w:t>
      </w:r>
      <w:r w:rsidR="00214DAC" w:rsidRPr="00971206">
        <w:t xml:space="preserve">que tem por particularidade ser </w:t>
      </w:r>
      <w:r w:rsidR="00E3112B" w:rsidRPr="00971206">
        <w:t xml:space="preserve">limitada </w:t>
      </w:r>
      <w:r w:rsidR="00214DAC" w:rsidRPr="00971206">
        <w:t xml:space="preserve">à determinado valor para o titular e cada dependente, o que </w:t>
      </w:r>
      <w:r w:rsidR="00E3112B" w:rsidRPr="00971206">
        <w:t xml:space="preserve">a </w:t>
      </w:r>
      <w:r w:rsidR="00214DAC" w:rsidRPr="00971206">
        <w:t xml:space="preserve">torna mais importante para os declarantes de renda intermediária ou inferior. </w:t>
      </w:r>
      <w:r w:rsidR="00415EFE" w:rsidRPr="00971206">
        <w:t xml:space="preserve">Por serem </w:t>
      </w:r>
      <w:r w:rsidR="00843F4D" w:rsidRPr="00971206">
        <w:t xml:space="preserve">sujeitos a essa limitação, </w:t>
      </w:r>
      <w:r w:rsidR="00E851F4" w:rsidRPr="00971206">
        <w:t xml:space="preserve">tais gastos </w:t>
      </w:r>
      <w:r w:rsidR="00843F4D" w:rsidRPr="00971206">
        <w:t>não têm, por exemplo,</w:t>
      </w:r>
      <w:r w:rsidR="00E851F4" w:rsidRPr="00971206">
        <w:t xml:space="preserve"> </w:t>
      </w:r>
      <w:r w:rsidR="00214DAC" w:rsidRPr="00971206">
        <w:t xml:space="preserve">a envergadura </w:t>
      </w:r>
      <w:r w:rsidR="00E851F4" w:rsidRPr="00971206">
        <w:t>das deduções</w:t>
      </w:r>
      <w:r w:rsidR="00214DAC" w:rsidRPr="00971206">
        <w:t xml:space="preserve"> </w:t>
      </w:r>
      <w:r w:rsidR="00E851F4" w:rsidRPr="00971206">
        <w:t xml:space="preserve">com </w:t>
      </w:r>
      <w:r w:rsidR="00214DAC" w:rsidRPr="00971206">
        <w:t xml:space="preserve">despesas médicas. </w:t>
      </w:r>
      <w:r w:rsidR="00843F4D" w:rsidRPr="00971206">
        <w:t xml:space="preserve">Ainda assim, as deduções do IRPF com gastos em educação possuem grande peso quando analisadas </w:t>
      </w:r>
      <w:r w:rsidR="00E851F4" w:rsidRPr="00971206">
        <w:t>à luz</w:t>
      </w:r>
      <w:r w:rsidR="00843F4D" w:rsidRPr="00971206">
        <w:t xml:space="preserve"> dos gastos tributários existentes na área da educação: conforme </w:t>
      </w:r>
      <w:r w:rsidR="00214DAC" w:rsidRPr="00971206">
        <w:t>a Receita Federal</w:t>
      </w:r>
      <w:r w:rsidR="00851D42" w:rsidRPr="00971206">
        <w:t xml:space="preserve"> (2018b)</w:t>
      </w:r>
      <w:r w:rsidR="00214DAC" w:rsidRPr="00971206">
        <w:t>, os gastos tributários em educação foram, em 2016, de pouco mais de R$ 13 bilhões,</w:t>
      </w:r>
      <w:r w:rsidR="00843F4D" w:rsidRPr="00971206">
        <w:t xml:space="preserve"> ou seja, quase um terço dos gastos nessa rubrica se referem ao benefício no IRPF.</w:t>
      </w:r>
      <w:r w:rsidR="00214DAC" w:rsidRPr="00971206">
        <w:t xml:space="preserve"> </w:t>
      </w:r>
    </w:p>
    <w:p w14:paraId="0EFE425E" w14:textId="649A715C" w:rsidR="00702D2E" w:rsidRPr="00971206" w:rsidRDefault="00702D2E" w:rsidP="00BB5151">
      <w:pPr>
        <w:ind w:firstLine="851"/>
        <w:jc w:val="both"/>
      </w:pPr>
      <w:r w:rsidRPr="00971206">
        <w:t xml:space="preserve">Assim, estão diante do foco deste trabalho deduções e isenções </w:t>
      </w:r>
      <w:r w:rsidR="00BC4A3D" w:rsidRPr="00971206">
        <w:t xml:space="preserve">que </w:t>
      </w:r>
      <w:r w:rsidR="00D65B5C" w:rsidRPr="00971206">
        <w:t>representam significativa</w:t>
      </w:r>
      <w:r w:rsidR="00BC4A3D" w:rsidRPr="00971206">
        <w:t xml:space="preserve"> </w:t>
      </w:r>
      <w:r w:rsidR="00D65B5C" w:rsidRPr="00971206">
        <w:t>renúncia de receitas da União em favor de grupos específicos de contribuintes</w:t>
      </w:r>
      <w:r w:rsidR="00BC4A3D" w:rsidRPr="00971206">
        <w:t xml:space="preserve">. </w:t>
      </w:r>
      <w:r w:rsidR="00C14CAD" w:rsidRPr="00971206">
        <w:t xml:space="preserve">Resta esmiuçar sua composição e como eles se distribuem </w:t>
      </w:r>
      <w:r w:rsidR="00D65B5C" w:rsidRPr="00971206">
        <w:t>n</w:t>
      </w:r>
      <w:r w:rsidR="00C14CAD" w:rsidRPr="00971206">
        <w:t xml:space="preserve">a população para </w:t>
      </w:r>
      <w:r w:rsidR="00D65B5C" w:rsidRPr="00971206">
        <w:t>então aferir impacto distributivo de alterações no IRPF</w:t>
      </w:r>
      <w:r w:rsidR="00C14CAD" w:rsidRPr="00971206">
        <w:t>.</w:t>
      </w:r>
    </w:p>
    <w:p w14:paraId="6F7D361B" w14:textId="77777777" w:rsidR="00214DAC" w:rsidRPr="00971206" w:rsidRDefault="00214DAC" w:rsidP="008467EA">
      <w:pPr>
        <w:jc w:val="both"/>
      </w:pPr>
    </w:p>
    <w:p w14:paraId="3191A91D" w14:textId="77777777" w:rsidR="00ED4F4E" w:rsidRPr="00F3014C" w:rsidRDefault="002E6CAE" w:rsidP="009E46B1">
      <w:pPr>
        <w:pStyle w:val="PargrafodaLista"/>
        <w:numPr>
          <w:ilvl w:val="0"/>
          <w:numId w:val="1"/>
        </w:numPr>
        <w:jc w:val="both"/>
        <w:rPr>
          <w:rFonts w:ascii="Times New Roman" w:hAnsi="Times New Roman" w:cs="Times New Roman"/>
          <w:b/>
          <w:bCs/>
        </w:rPr>
      </w:pPr>
      <w:r w:rsidRPr="00F3014C">
        <w:rPr>
          <w:rFonts w:ascii="Times New Roman" w:hAnsi="Times New Roman" w:cs="Times New Roman"/>
          <w:b/>
          <w:bCs/>
        </w:rPr>
        <w:t>Metodologia</w:t>
      </w:r>
    </w:p>
    <w:p w14:paraId="3C118864" w14:textId="77777777" w:rsidR="002E6CAE" w:rsidRPr="00971206" w:rsidRDefault="002E6CAE" w:rsidP="008467EA">
      <w:pPr>
        <w:jc w:val="both"/>
      </w:pPr>
    </w:p>
    <w:p w14:paraId="0D222D35" w14:textId="2F6B7B28" w:rsidR="00BB5151" w:rsidRDefault="00523B40" w:rsidP="00BB5151">
      <w:pPr>
        <w:ind w:firstLine="851"/>
        <w:jc w:val="both"/>
      </w:pPr>
      <w:r w:rsidRPr="00971206">
        <w:t xml:space="preserve">Associaram-se os dados </w:t>
      </w:r>
      <w:r w:rsidR="00131F56" w:rsidRPr="00971206">
        <w:t xml:space="preserve">do </w:t>
      </w:r>
      <w:r w:rsidR="005714DC" w:rsidRPr="00971206">
        <w:t>DIRPF</w:t>
      </w:r>
      <w:r w:rsidR="000A607C" w:rsidRPr="00971206">
        <w:t>,</w:t>
      </w:r>
      <w:r w:rsidRPr="00971206">
        <w:t xml:space="preserve"> publicados pela Receita Federal</w:t>
      </w:r>
      <w:r w:rsidR="000A607C" w:rsidRPr="00971206">
        <w:t>,</w:t>
      </w:r>
      <w:r w:rsidRPr="00971206">
        <w:t xml:space="preserve"> com os dados da Pesquisa de </w:t>
      </w:r>
      <w:r w:rsidR="005054F9" w:rsidRPr="00971206">
        <w:t>Orçamentos</w:t>
      </w:r>
      <w:r w:rsidRPr="00971206">
        <w:t xml:space="preserve"> Familiares </w:t>
      </w:r>
      <w:r w:rsidR="005F431B" w:rsidRPr="00971206">
        <w:t>(POF)</w:t>
      </w:r>
      <w:r w:rsidR="005F20CA" w:rsidRPr="00971206">
        <w:t xml:space="preserve"> 2008/09, </w:t>
      </w:r>
      <w:r w:rsidRPr="00971206">
        <w:t>por meio de metodologia empregada por vários autores – Medeiros</w:t>
      </w:r>
      <w:r w:rsidR="00214BE9" w:rsidRPr="00971206">
        <w:t>, Souza e Castro</w:t>
      </w:r>
      <w:r w:rsidR="00214BE9" w:rsidRPr="00971206">
        <w:rPr>
          <w:i/>
        </w:rPr>
        <w:t xml:space="preserve"> </w:t>
      </w:r>
      <w:r w:rsidR="00214BE9" w:rsidRPr="00971206">
        <w:t>(2015</w:t>
      </w:r>
      <w:r w:rsidRPr="00971206">
        <w:t xml:space="preserve">); </w:t>
      </w:r>
      <w:proofErr w:type="spellStart"/>
      <w:r w:rsidRPr="00971206">
        <w:t>Gobe</w:t>
      </w:r>
      <w:r w:rsidR="00F207D5" w:rsidRPr="00971206">
        <w:t>tti</w:t>
      </w:r>
      <w:proofErr w:type="spellEnd"/>
      <w:r w:rsidR="00F207D5" w:rsidRPr="00971206">
        <w:t xml:space="preserve"> </w:t>
      </w:r>
      <w:r w:rsidR="00496453" w:rsidRPr="00971206">
        <w:t xml:space="preserve">e </w:t>
      </w:r>
      <w:proofErr w:type="spellStart"/>
      <w:r w:rsidR="00F207D5" w:rsidRPr="00971206">
        <w:t>Orair</w:t>
      </w:r>
      <w:proofErr w:type="spellEnd"/>
      <w:r w:rsidR="00F207D5" w:rsidRPr="00971206">
        <w:t xml:space="preserve"> (</w:t>
      </w:r>
      <w:r w:rsidR="00565039" w:rsidRPr="00971206">
        <w:t>2015</w:t>
      </w:r>
      <w:r w:rsidR="00F207D5" w:rsidRPr="00971206">
        <w:t>), Morgan (</w:t>
      </w:r>
      <w:r w:rsidR="00565039" w:rsidRPr="00971206">
        <w:t>2018</w:t>
      </w:r>
      <w:r w:rsidRPr="00971206">
        <w:t xml:space="preserve">) e </w:t>
      </w:r>
      <w:r w:rsidR="00AA7D2C" w:rsidRPr="00971206">
        <w:t>Fernandes, Campolina e Silveira (201</w:t>
      </w:r>
      <w:r w:rsidR="00FA519F" w:rsidRPr="00971206">
        <w:t>7</w:t>
      </w:r>
      <w:r w:rsidR="00AA7D2C" w:rsidRPr="00971206">
        <w:t>)</w:t>
      </w:r>
      <w:r w:rsidR="00E56D42" w:rsidRPr="00971206">
        <w:t xml:space="preserve">. </w:t>
      </w:r>
    </w:p>
    <w:p w14:paraId="07AA296A" w14:textId="7942A789" w:rsidR="00C33E6C" w:rsidRPr="00971206" w:rsidRDefault="009F1642" w:rsidP="00BB5151">
      <w:pPr>
        <w:ind w:firstLine="851"/>
        <w:jc w:val="both"/>
      </w:pPr>
      <w:r w:rsidRPr="00971206">
        <w:t>Adicionalmente às duas bases de dados mencionadas, foram</w:t>
      </w:r>
      <w:r w:rsidR="00214BE9" w:rsidRPr="00971206">
        <w:t xml:space="preserve"> </w:t>
      </w:r>
      <w:r w:rsidRPr="00971206">
        <w:t xml:space="preserve">utilizados </w:t>
      </w:r>
      <w:r w:rsidR="00523B40" w:rsidRPr="00971206">
        <w:t xml:space="preserve">dados </w:t>
      </w:r>
      <w:r w:rsidRPr="00971206">
        <w:t xml:space="preserve">subsidiários, </w:t>
      </w:r>
      <w:r w:rsidR="00523B40" w:rsidRPr="00971206">
        <w:t>organizados por Castro (</w:t>
      </w:r>
      <w:r w:rsidR="00214BE9" w:rsidRPr="00971206">
        <w:t>2014</w:t>
      </w:r>
      <w:r w:rsidR="00523B40" w:rsidRPr="00971206">
        <w:t>)</w:t>
      </w:r>
      <w:r w:rsidR="00161B45" w:rsidRPr="00971206">
        <w:t xml:space="preserve"> e publicados pela Receita Federal (2018c),</w:t>
      </w:r>
      <w:r w:rsidR="00523B40" w:rsidRPr="00971206">
        <w:t xml:space="preserve"> </w:t>
      </w:r>
      <w:r w:rsidR="00214BE9" w:rsidRPr="00971206">
        <w:t xml:space="preserve">que </w:t>
      </w:r>
      <w:r w:rsidRPr="00971206">
        <w:t xml:space="preserve">complementam os dados do DIRPF ao disponibilizarem </w:t>
      </w:r>
      <w:r w:rsidR="00214BE9" w:rsidRPr="00971206">
        <w:t xml:space="preserve">abertura para </w:t>
      </w:r>
      <w:r w:rsidR="00523B40" w:rsidRPr="00971206">
        <w:t xml:space="preserve">a distribuição dos valores dos rendimentos isentos por estratos de renda bruta mensal em salários </w:t>
      </w:r>
      <w:r w:rsidR="005054F9" w:rsidRPr="00971206">
        <w:t>mínimos</w:t>
      </w:r>
      <w:r w:rsidR="00523B40" w:rsidRPr="00971206">
        <w:t xml:space="preserve">. Efetivamente, </w:t>
      </w:r>
      <w:r w:rsidR="005054F9" w:rsidRPr="00971206">
        <w:t xml:space="preserve">os dados </w:t>
      </w:r>
      <w:r w:rsidRPr="00971206">
        <w:t xml:space="preserve">do </w:t>
      </w:r>
      <w:r w:rsidR="0063108B" w:rsidRPr="00971206">
        <w:t>DIRPF discriminam</w:t>
      </w:r>
      <w:r w:rsidRPr="00971206">
        <w:t xml:space="preserve"> por estrato de renda os rendimentos tributáveis, tributados exclusivamente e isentos, além de cada tipo de dedução, apropriados por cada faixa de renda. </w:t>
      </w:r>
      <w:r w:rsidR="00C33E6C" w:rsidRPr="00971206">
        <w:t xml:space="preserve">No entanto, </w:t>
      </w:r>
      <w:r w:rsidR="00621D7C" w:rsidRPr="00971206">
        <w:t>as subcatego</w:t>
      </w:r>
      <w:r w:rsidR="00BC43B1" w:rsidRPr="00971206">
        <w:t>rias</w:t>
      </w:r>
      <w:r w:rsidR="00A557DE" w:rsidRPr="00971206">
        <w:t xml:space="preserve"> de </w:t>
      </w:r>
      <w:r w:rsidR="00C33E6C" w:rsidRPr="00971206">
        <w:t xml:space="preserve">rendimento </w:t>
      </w:r>
      <w:r w:rsidR="00BC43B1" w:rsidRPr="00971206">
        <w:t>(</w:t>
      </w:r>
      <w:r w:rsidR="00161B45" w:rsidRPr="00971206">
        <w:t>dentre eles os</w:t>
      </w:r>
      <w:r w:rsidR="00BC43B1" w:rsidRPr="00971206">
        <w:t xml:space="preserve"> lucros e dividendos, parcela isenta</w:t>
      </w:r>
      <w:r w:rsidR="00161B45" w:rsidRPr="00971206">
        <w:t xml:space="preserve"> e</w:t>
      </w:r>
      <w:r w:rsidR="00BC43B1" w:rsidRPr="00971206">
        <w:t xml:space="preserve"> moléstia grave) </w:t>
      </w:r>
      <w:r w:rsidR="00C33E6C" w:rsidRPr="00971206">
        <w:t>que compõe</w:t>
      </w:r>
      <w:r w:rsidR="00BC43B1" w:rsidRPr="00971206">
        <w:t>m</w:t>
      </w:r>
      <w:r w:rsidR="00C33E6C" w:rsidRPr="00971206">
        <w:t xml:space="preserve"> cada uma das três categorias</w:t>
      </w:r>
      <w:r w:rsidR="00BC43B1" w:rsidRPr="00971206">
        <w:t xml:space="preserve"> (tributáveis, exclusivas e isentos)</w:t>
      </w:r>
      <w:r w:rsidR="00C33E6C" w:rsidRPr="00971206">
        <w:t xml:space="preserve"> não </w:t>
      </w:r>
      <w:r w:rsidR="00BC43B1" w:rsidRPr="00971206">
        <w:t>são discriminadas por faixa de renda, possuem apenas o total informado em tabelas auxiliares do DIRPF.</w:t>
      </w:r>
      <w:r w:rsidR="00C33E6C" w:rsidRPr="00971206">
        <w:t xml:space="preserve"> </w:t>
      </w:r>
      <w:r w:rsidR="00BC43B1" w:rsidRPr="00971206">
        <w:t>Dessa forma, é</w:t>
      </w:r>
      <w:r w:rsidR="00C33E6C" w:rsidRPr="00971206">
        <w:t xml:space="preserve"> preciosa a contribuição dada por Castro (2014), </w:t>
      </w:r>
      <w:r w:rsidR="00BC43B1" w:rsidRPr="00971206">
        <w:t xml:space="preserve">ao permitir </w:t>
      </w:r>
      <w:r w:rsidR="00C33E6C" w:rsidRPr="00971206">
        <w:t xml:space="preserve">delinear com mais precisão a distribuição de cada </w:t>
      </w:r>
      <w:r w:rsidR="00BC43B1" w:rsidRPr="00971206">
        <w:t>sub</w:t>
      </w:r>
      <w:r w:rsidR="00A557DE" w:rsidRPr="00971206">
        <w:t xml:space="preserve">categoria de </w:t>
      </w:r>
      <w:r w:rsidR="00C33E6C" w:rsidRPr="00971206">
        <w:t>rendimento entre os estratos de renda.</w:t>
      </w:r>
    </w:p>
    <w:p w14:paraId="26038D1E" w14:textId="77777777" w:rsidR="000513FD" w:rsidRPr="00971206" w:rsidRDefault="000513FD" w:rsidP="008467EA">
      <w:pPr>
        <w:jc w:val="both"/>
      </w:pPr>
    </w:p>
    <w:p w14:paraId="714987EB" w14:textId="77777777" w:rsidR="000513FD" w:rsidRPr="00971206" w:rsidRDefault="000513FD" w:rsidP="000513FD">
      <w:pPr>
        <w:spacing w:line="360" w:lineRule="auto"/>
      </w:pPr>
      <w:r w:rsidRPr="00971206">
        <w:t>3.1 Base de dados: combinação POF 2008/09, dados Receita Federal e Contas Nacionais</w:t>
      </w:r>
    </w:p>
    <w:p w14:paraId="2CF04246" w14:textId="77777777" w:rsidR="000513FD" w:rsidRPr="00971206" w:rsidRDefault="000513FD" w:rsidP="000513FD">
      <w:pPr>
        <w:jc w:val="both"/>
      </w:pPr>
    </w:p>
    <w:p w14:paraId="6709E80C" w14:textId="77777777" w:rsidR="00BB5151" w:rsidRDefault="000513FD" w:rsidP="00BB5151">
      <w:pPr>
        <w:ind w:firstLine="851"/>
        <w:jc w:val="both"/>
      </w:pPr>
      <w:r w:rsidRPr="00971206">
        <w:t>A metodologia utilizada consistiu na combinação de duas bases de dados distintas na tentativa de espelhar de modo mais fiel a distribuição de renda dentre os estratos da sociedade brasileira. Para isso, lançou-se mão dos dados da POF 2008</w:t>
      </w:r>
      <w:r w:rsidR="00C14CAD" w:rsidRPr="00971206">
        <w:t>/</w:t>
      </w:r>
      <w:r w:rsidRPr="00971206">
        <w:t xml:space="preserve">09, </w:t>
      </w:r>
      <w:r w:rsidR="001A7D63" w:rsidRPr="00971206">
        <w:t xml:space="preserve">utilizada </w:t>
      </w:r>
      <w:r w:rsidRPr="00971206">
        <w:t>como a estrutura básica para a distribuição</w:t>
      </w:r>
      <w:r w:rsidR="001A7D63" w:rsidRPr="00971206">
        <w:t xml:space="preserve"> de renda</w:t>
      </w:r>
      <w:r w:rsidRPr="00971206">
        <w:t xml:space="preserve"> dos </w:t>
      </w:r>
      <w:r w:rsidR="001A7D63" w:rsidRPr="00971206">
        <w:t>indivíduos adultos (18 anos ou mais) do Brasil</w:t>
      </w:r>
      <w:r w:rsidRPr="00971206">
        <w:t xml:space="preserve">, e do DIRPF 2008, </w:t>
      </w:r>
      <w:r w:rsidR="001A7D63" w:rsidRPr="00971206">
        <w:t xml:space="preserve">empregado </w:t>
      </w:r>
      <w:r w:rsidRPr="00971206">
        <w:t>como um referencial para ajustar a renda dos percentis superiores</w:t>
      </w:r>
      <w:r w:rsidR="00EA3175" w:rsidRPr="00971206">
        <w:t>,</w:t>
      </w:r>
      <w:r w:rsidR="00F33778" w:rsidRPr="00971206">
        <w:t xml:space="preserve"> </w:t>
      </w:r>
      <w:r w:rsidR="00EA3175" w:rsidRPr="00971206">
        <w:t xml:space="preserve">usualmente </w:t>
      </w:r>
      <w:r w:rsidR="00F33778" w:rsidRPr="00971206">
        <w:t>sub</w:t>
      </w:r>
      <w:r w:rsidR="00EA3175" w:rsidRPr="00971206">
        <w:t>dimensionada</w:t>
      </w:r>
      <w:r w:rsidR="00F33778" w:rsidRPr="00971206">
        <w:t xml:space="preserve">  por</w:t>
      </w:r>
      <w:r w:rsidRPr="00971206">
        <w:t xml:space="preserve"> escapa</w:t>
      </w:r>
      <w:r w:rsidR="00F33778" w:rsidRPr="00971206">
        <w:t>rem</w:t>
      </w:r>
      <w:r w:rsidRPr="00971206">
        <w:t xml:space="preserve"> </w:t>
      </w:r>
      <w:r w:rsidR="00F33778" w:rsidRPr="00971206">
        <w:t>n</w:t>
      </w:r>
      <w:r w:rsidRPr="00971206">
        <w:t>a peneira amostral das pesquisas domiciliares</w:t>
      </w:r>
      <w:r w:rsidR="00F33778" w:rsidRPr="00971206">
        <w:t xml:space="preserve"> (MEDEIROS; SOUZA; CASTRO, 2015a) e pela não resposta ou subestimação intencional do respondente (PIKETTY, 2014)</w:t>
      </w:r>
      <w:r w:rsidRPr="00971206">
        <w:t>.</w:t>
      </w:r>
    </w:p>
    <w:p w14:paraId="3FB770B5" w14:textId="75FC11B4" w:rsidR="00EC3491" w:rsidRPr="00971206" w:rsidRDefault="00EC3491" w:rsidP="00BB5151">
      <w:pPr>
        <w:ind w:firstLine="851"/>
        <w:jc w:val="both"/>
      </w:pPr>
      <w:r w:rsidRPr="00971206">
        <w:t>O manuseio dos dados de 2008, ou seja, relativamente antigos é, de um lado, devido serem esses os empregados em trabalhos</w:t>
      </w:r>
      <w:r w:rsidR="00033340">
        <w:t xml:space="preserve"> anteriores</w:t>
      </w:r>
      <w:r w:rsidRPr="00971206">
        <w:t xml:space="preserve">, onde o uso da POF, permitiu examinar alterações nos tributos e/ou gastos. De outra parte, os dados desagregados das isenções aqui examinadas só foram disponibilizados pela Receita Federal até 2012, resultado da dissertação de mestrado de Castro (2014). Encontra-se, em desenvolvimento, a análise para os anos de 2012 e 2015 associando os dados da Receita com a Pnad e para 2017 com a Pnad-contínua. Entre o quadro aqui apurado de 2008 e os de 2012 e 2015 não se acredita que tenham ocorrido alterações com alguma expressão, podendo, em </w:t>
      </w:r>
      <w:r w:rsidRPr="00971206">
        <w:lastRenderedPageBreak/>
        <w:t>2017, apresentar uma ampliação dos efeitos redistributivos concentradores em razão da perda de renda dos mais pobres e das classes medianas de renda.</w:t>
      </w:r>
    </w:p>
    <w:p w14:paraId="4B562C02" w14:textId="77777777" w:rsidR="00EC3491" w:rsidRPr="00971206" w:rsidRDefault="00EC3491" w:rsidP="000513FD">
      <w:pPr>
        <w:jc w:val="both"/>
      </w:pPr>
    </w:p>
    <w:p w14:paraId="0F1F898E" w14:textId="77777777" w:rsidR="000513FD" w:rsidRPr="00971206" w:rsidRDefault="000513FD" w:rsidP="000513FD">
      <w:pPr>
        <w:jc w:val="both"/>
        <w:rPr>
          <w:i/>
          <w:u w:val="single"/>
        </w:rPr>
      </w:pPr>
      <w:r w:rsidRPr="00971206">
        <w:rPr>
          <w:i/>
          <w:u w:val="single"/>
        </w:rPr>
        <w:t>DIRPF</w:t>
      </w:r>
    </w:p>
    <w:p w14:paraId="47ECC070" w14:textId="77777777" w:rsidR="000513FD" w:rsidRPr="00971206" w:rsidRDefault="000513FD" w:rsidP="000513FD">
      <w:pPr>
        <w:jc w:val="both"/>
      </w:pPr>
    </w:p>
    <w:p w14:paraId="108F39A5" w14:textId="77777777" w:rsidR="00BB5151" w:rsidRDefault="000513FD" w:rsidP="00BB5151">
      <w:pPr>
        <w:ind w:firstLine="851"/>
        <w:jc w:val="both"/>
      </w:pPr>
      <w:r w:rsidRPr="00971206">
        <w:t xml:space="preserve">Os rendimentos totais do DIRPF são subdivididos em três </w:t>
      </w:r>
      <w:r w:rsidR="005A393C" w:rsidRPr="00971206">
        <w:t>categorias</w:t>
      </w:r>
      <w:r w:rsidRPr="00971206">
        <w:t xml:space="preserve">: i) rendimentos tributáveis; </w:t>
      </w:r>
      <w:proofErr w:type="spellStart"/>
      <w:r w:rsidRPr="00971206">
        <w:t>ii</w:t>
      </w:r>
      <w:proofErr w:type="spellEnd"/>
      <w:r w:rsidRPr="00971206">
        <w:t xml:space="preserve">) rendimentos sujeitos à tributação exclusiva na fonte; e </w:t>
      </w:r>
      <w:proofErr w:type="spellStart"/>
      <w:r w:rsidRPr="00971206">
        <w:t>iii</w:t>
      </w:r>
      <w:proofErr w:type="spellEnd"/>
      <w:r w:rsidRPr="00971206">
        <w:t xml:space="preserve">) rendimentos isentos. Para cada </w:t>
      </w:r>
      <w:r w:rsidR="00D45209" w:rsidRPr="00971206">
        <w:t xml:space="preserve">categoria </w:t>
      </w:r>
      <w:r w:rsidRPr="00971206">
        <w:t xml:space="preserve">de rendimento o DIRPF disponibiliza uma tabela específica, segmentada com </w:t>
      </w:r>
      <w:r w:rsidR="007F048B" w:rsidRPr="00971206">
        <w:t>a</w:t>
      </w:r>
      <w:r w:rsidRPr="00971206">
        <w:t>s divers</w:t>
      </w:r>
      <w:r w:rsidR="007F048B" w:rsidRPr="00971206">
        <w:t>a</w:t>
      </w:r>
      <w:r w:rsidRPr="00971206">
        <w:t xml:space="preserve">s </w:t>
      </w:r>
      <w:r w:rsidR="00D45209" w:rsidRPr="00971206">
        <w:t>sub</w:t>
      </w:r>
      <w:r w:rsidR="007F048B" w:rsidRPr="00971206">
        <w:t xml:space="preserve">categorias de </w:t>
      </w:r>
      <w:r w:rsidRPr="00971206">
        <w:t xml:space="preserve">rendimentos que </w:t>
      </w:r>
      <w:r w:rsidR="00D45209" w:rsidRPr="00971206">
        <w:t>a</w:t>
      </w:r>
      <w:r w:rsidR="00161B45" w:rsidRPr="00971206">
        <w:t>s</w:t>
      </w:r>
      <w:r w:rsidR="00D45209" w:rsidRPr="00971206">
        <w:t xml:space="preserve"> </w:t>
      </w:r>
      <w:r w:rsidRPr="00971206">
        <w:t>compõe</w:t>
      </w:r>
      <w:r w:rsidR="00161B45" w:rsidRPr="00971206">
        <w:t>m</w:t>
      </w:r>
      <w:r w:rsidRPr="00971206">
        <w:t>. Estas tabelas</w:t>
      </w:r>
      <w:r w:rsidR="00161B45" w:rsidRPr="00971206">
        <w:t xml:space="preserve"> auxiliares</w:t>
      </w:r>
      <w:r w:rsidRPr="00971206">
        <w:t xml:space="preserve">, contudo, não fornecem os valores </w:t>
      </w:r>
      <w:r w:rsidR="000E02A0" w:rsidRPr="00971206">
        <w:t xml:space="preserve">estratificados </w:t>
      </w:r>
      <w:r w:rsidRPr="00971206">
        <w:t>por faixa de renda</w:t>
      </w:r>
      <w:r w:rsidR="00161B45" w:rsidRPr="00971206">
        <w:t>, apenas o seu valor total, o que gera a necessidade de estimar a composição dos rendimentos por faixa de renda.</w:t>
      </w:r>
      <w:r w:rsidRPr="00971206">
        <w:t xml:space="preserve"> </w:t>
      </w:r>
      <w:r w:rsidR="00161B45" w:rsidRPr="00971206">
        <w:t>Assim,</w:t>
      </w:r>
      <w:r w:rsidRPr="00971206">
        <w:t xml:space="preserve"> </w:t>
      </w:r>
      <w:r w:rsidR="00161B45" w:rsidRPr="00971206">
        <w:t xml:space="preserve">foi </w:t>
      </w:r>
      <w:r w:rsidRPr="00971206">
        <w:t xml:space="preserve">utilizado </w:t>
      </w:r>
      <w:r w:rsidR="00161B45" w:rsidRPr="00971206">
        <w:t xml:space="preserve">o </w:t>
      </w:r>
      <w:r w:rsidRPr="00971206">
        <w:t xml:space="preserve">suplemento elaborado pela Receita Federal (2018c) para distribuir os valores de cada </w:t>
      </w:r>
      <w:r w:rsidR="00A557DE" w:rsidRPr="00971206">
        <w:t xml:space="preserve">categoria de </w:t>
      </w:r>
      <w:r w:rsidRPr="00971206">
        <w:t xml:space="preserve">rendimento entre as faixas. No entanto, o suplemento não possui abertura de valores para as faixas de renda superiores exibidas no DIRPF (acima de 20 salários mínimos (SM)), o que exigiu uma estimação ajustada da distribuição para as faixas superiores. </w:t>
      </w:r>
    </w:p>
    <w:p w14:paraId="3C217976" w14:textId="77777777" w:rsidR="00BB5151" w:rsidRDefault="000513FD" w:rsidP="00BB5151">
      <w:pPr>
        <w:ind w:firstLine="851"/>
        <w:jc w:val="both"/>
      </w:pPr>
      <w:r w:rsidRPr="00971206">
        <w:t xml:space="preserve">Desse modo, para estimar </w:t>
      </w:r>
      <w:r w:rsidR="00161B45" w:rsidRPr="00971206">
        <w:t>a composição d</w:t>
      </w:r>
      <w:r w:rsidRPr="00971206">
        <w:t xml:space="preserve">os rendimentos tributados exclusivamente na fonte e isentos dos estratos </w:t>
      </w:r>
      <w:r w:rsidR="00DC59D4" w:rsidRPr="00971206">
        <w:t>acima de 20 SM</w:t>
      </w:r>
      <w:r w:rsidRPr="00971206">
        <w:t xml:space="preserve">, foi utilizado procedimento similar ao aplicado em Fernandes (2016) e </w:t>
      </w:r>
      <w:proofErr w:type="spellStart"/>
      <w:r w:rsidRPr="00971206">
        <w:t>Gobetti</w:t>
      </w:r>
      <w:proofErr w:type="spellEnd"/>
      <w:r w:rsidRPr="00971206">
        <w:t xml:space="preserve"> e </w:t>
      </w:r>
      <w:proofErr w:type="spellStart"/>
      <w:r w:rsidRPr="00971206">
        <w:t>Orair</w:t>
      </w:r>
      <w:proofErr w:type="spellEnd"/>
      <w:r w:rsidRPr="00971206">
        <w:t xml:space="preserve"> (2015),</w:t>
      </w:r>
      <w:r w:rsidR="001A4751" w:rsidRPr="00971206">
        <w:t xml:space="preserve"> que consistiu no agrupamento d</w:t>
      </w:r>
      <w:r w:rsidR="0063108B" w:rsidRPr="00971206">
        <w:t>e</w:t>
      </w:r>
      <w:r w:rsidR="001A4751" w:rsidRPr="00971206">
        <w:t xml:space="preserve"> </w:t>
      </w:r>
      <w:r w:rsidR="0063108B" w:rsidRPr="00971206">
        <w:t xml:space="preserve">tipos de </w:t>
      </w:r>
      <w:r w:rsidR="001A4751" w:rsidRPr="00971206">
        <w:t>rendimentos de acordo com a sua afinidade entre o trabalho e capital, cuja classificação e tratamento estão sintetizados no Quadro 1. A etapa posterior à classificação</w:t>
      </w:r>
      <w:r w:rsidRPr="00971206">
        <w:t xml:space="preserve"> consistiu no uso de pesos para a distribuição </w:t>
      </w:r>
      <w:r w:rsidR="00346D37" w:rsidRPr="00971206">
        <w:t>das</w:t>
      </w:r>
      <w:r w:rsidRPr="00971206">
        <w:t xml:space="preserve"> </w:t>
      </w:r>
      <w:r w:rsidR="00DC59D4" w:rsidRPr="00971206">
        <w:t>sub</w:t>
      </w:r>
      <w:r w:rsidR="00A557DE" w:rsidRPr="00971206">
        <w:t>categorias de</w:t>
      </w:r>
      <w:r w:rsidR="00346D37" w:rsidRPr="00971206">
        <w:t xml:space="preserve"> </w:t>
      </w:r>
      <w:r w:rsidRPr="00971206">
        <w:t xml:space="preserve">rendimentos de acordo com a sua característica como renda derivada do trabalho ou do capital. </w:t>
      </w:r>
    </w:p>
    <w:p w14:paraId="3044EEAD" w14:textId="77777777" w:rsidR="0003612C" w:rsidRDefault="000513FD" w:rsidP="0003612C">
      <w:pPr>
        <w:ind w:firstLine="851"/>
        <w:jc w:val="both"/>
      </w:pPr>
      <w:r w:rsidRPr="00971206">
        <w:t xml:space="preserve">No caso dos rendimentos sujeitos à tributação exclusiva, foi estimado um peso para </w:t>
      </w:r>
      <w:r w:rsidR="0063108B" w:rsidRPr="00971206">
        <w:t>a</w:t>
      </w:r>
      <w:r w:rsidR="00346D37" w:rsidRPr="00971206">
        <w:t xml:space="preserve">s </w:t>
      </w:r>
      <w:r w:rsidR="0063108B" w:rsidRPr="00971206">
        <w:t xml:space="preserve">categorias de </w:t>
      </w:r>
      <w:r w:rsidRPr="00971206">
        <w:t>rendimentos advindos do trabalho a partir da razão entre os rendimentos tributáveis e a soma dos rendimentos tributáveis e isentos nas faixas de renda superiores</w:t>
      </w:r>
      <w:r w:rsidR="00685408" w:rsidRPr="00971206">
        <w:t xml:space="preserve"> – </w:t>
      </w:r>
      <w:r w:rsidRPr="00971206">
        <w:t xml:space="preserve">uma </w:t>
      </w:r>
      <w:r w:rsidRPr="00971206">
        <w:rPr>
          <w:i/>
        </w:rPr>
        <w:t>proxy</w:t>
      </w:r>
      <w:r w:rsidRPr="00971206">
        <w:t xml:space="preserve"> para a proporção entre os rendimentos do trabalho e a soma entre os rendimentos do trabalho e do capital. Para </w:t>
      </w:r>
      <w:r w:rsidR="00A557DE" w:rsidRPr="00971206">
        <w:t>a</w:t>
      </w:r>
      <w:r w:rsidRPr="00971206">
        <w:t xml:space="preserve">s </w:t>
      </w:r>
      <w:r w:rsidR="00A557DE" w:rsidRPr="00971206">
        <w:t xml:space="preserve">categorias de </w:t>
      </w:r>
      <w:r w:rsidRPr="00971206">
        <w:t>rendimentos do capital, estimou-se um segundo peso com o saldo residual dos estratos superiores sobre o saldo residual da renda sujeita à tributação exclusiva</w:t>
      </w:r>
      <w:r w:rsidR="00685408" w:rsidRPr="00971206">
        <w:t>. O valor total do suplemento Receita Federal (2018c) para a faixa de renda acima de 20 SM foi então distribuído para os estratos de acordo com os pesos estimados.</w:t>
      </w:r>
    </w:p>
    <w:p w14:paraId="52E2A68C" w14:textId="77777777" w:rsidR="0003612C" w:rsidRDefault="000513FD" w:rsidP="0003612C">
      <w:pPr>
        <w:ind w:firstLine="851"/>
        <w:jc w:val="both"/>
      </w:pPr>
      <w:r w:rsidRPr="00971206">
        <w:t xml:space="preserve">Uma vez que os rendimentos tributados exclusivamente na fonte são dispostos em valores líquidos, procedeu-se com o ajuste efetuado por </w:t>
      </w:r>
      <w:proofErr w:type="spellStart"/>
      <w:r w:rsidRPr="00971206">
        <w:t>Gobetti</w:t>
      </w:r>
      <w:proofErr w:type="spellEnd"/>
      <w:r w:rsidRPr="00971206">
        <w:t xml:space="preserve"> e </w:t>
      </w:r>
      <w:proofErr w:type="spellStart"/>
      <w:r w:rsidRPr="00971206">
        <w:t>Orair</w:t>
      </w:r>
      <w:proofErr w:type="spellEnd"/>
      <w:r w:rsidRPr="00971206">
        <w:t xml:space="preserve"> (2015) de imputar o imposto pago sobre cada tipo de rendimento de acordo com alíquotas teóricas, de forma a dispor de seu montante bruto, </w:t>
      </w:r>
      <w:proofErr w:type="spellStart"/>
      <w:r w:rsidRPr="00971206">
        <w:t>pré</w:t>
      </w:r>
      <w:proofErr w:type="spellEnd"/>
      <w:r w:rsidRPr="00971206">
        <w:t>-tributação. Assim</w:t>
      </w:r>
      <w:r w:rsidR="00122AE3" w:rsidRPr="00971206">
        <w:t>, seg</w:t>
      </w:r>
      <w:r w:rsidR="0097648B" w:rsidRPr="00971206">
        <w:t>uiu-se os seguintes passos:</w:t>
      </w:r>
      <w:r w:rsidRPr="00971206">
        <w:t xml:space="preserve"> i) para o 13º salário, considerou-se a aplicação da alíquota efetiva da faixa de renda sobre os seus rendimentos tributáveis; </w:t>
      </w:r>
      <w:proofErr w:type="spellStart"/>
      <w:r w:rsidRPr="00971206">
        <w:t>ii</w:t>
      </w:r>
      <w:proofErr w:type="spellEnd"/>
      <w:r w:rsidRPr="00971206">
        <w:t xml:space="preserve">) para os outros rendimentos vinculados ao trabalho também foi aplicada a alíquota efetiva, mas multiplicada por um coeficiente de 0,75, um redutor sobre o tributo exigível como forma de abarcar as possibilidades de maiores deduções sobre esses rendimentos; </w:t>
      </w:r>
      <w:proofErr w:type="spellStart"/>
      <w:r w:rsidRPr="00971206">
        <w:t>iii</w:t>
      </w:r>
      <w:proofErr w:type="spellEnd"/>
      <w:r w:rsidRPr="00971206">
        <w:t xml:space="preserve">) sobre os rendimentos de aplicações financeiras, determinou-se a alíquota incidente de 16%, como a tributação efetiva média para este tipo de rendimento verificada por Castro (2014) no período 2006-2012; </w:t>
      </w:r>
      <w:r w:rsidR="00904CFF" w:rsidRPr="00971206">
        <w:t xml:space="preserve"> </w:t>
      </w:r>
      <w:proofErr w:type="spellStart"/>
      <w:r w:rsidRPr="00971206">
        <w:t>iv</w:t>
      </w:r>
      <w:proofErr w:type="spellEnd"/>
      <w:r w:rsidRPr="00971206">
        <w:t>) sobre as outras rendas da propriedade do capital foi aplicada a alíquota de 15%, a regra geral para rendimentos de capital do IRPF.</w:t>
      </w:r>
    </w:p>
    <w:p w14:paraId="574B5A28" w14:textId="77777777" w:rsidR="001A4751" w:rsidRPr="00971206" w:rsidRDefault="001A4751" w:rsidP="000513FD">
      <w:pPr>
        <w:jc w:val="both"/>
        <w:sectPr w:rsidR="001A4751" w:rsidRPr="00971206" w:rsidSect="00BB5A3B">
          <w:headerReference w:type="default" r:id="rId12"/>
          <w:footerReference w:type="default" r:id="rId13"/>
          <w:pgSz w:w="11900" w:h="16840"/>
          <w:pgMar w:top="1134" w:right="1134" w:bottom="1134" w:left="1134" w:header="709" w:footer="709" w:gutter="0"/>
          <w:pgNumType w:start="1"/>
          <w:cols w:space="708"/>
          <w:docGrid w:linePitch="360"/>
        </w:sectPr>
      </w:pPr>
    </w:p>
    <w:p w14:paraId="607F63C4" w14:textId="77777777" w:rsidR="001A4751" w:rsidRPr="00971206" w:rsidRDefault="001A4751" w:rsidP="001A4751">
      <w:pPr>
        <w:keepNext/>
        <w:spacing w:line="360" w:lineRule="auto"/>
        <w:jc w:val="both"/>
        <w:rPr>
          <w:rFonts w:eastAsia="Calibri"/>
          <w:b/>
        </w:rPr>
      </w:pPr>
      <w:r w:rsidRPr="00971206">
        <w:rPr>
          <w:rFonts w:eastAsia="Calibri"/>
          <w:b/>
        </w:rPr>
        <w:lastRenderedPageBreak/>
        <w:t>Quadro 1 – Classificação e tratamento de rendimentos tributados exclusivamente na fonte e isentos.</w:t>
      </w:r>
    </w:p>
    <w:tbl>
      <w:tblPr>
        <w:tblW w:w="14944" w:type="dxa"/>
        <w:tblInd w:w="-5" w:type="dxa"/>
        <w:tblBorders>
          <w:top w:val="double" w:sz="4" w:space="0" w:color="auto"/>
          <w:bottom w:val="single" w:sz="4" w:space="0" w:color="auto"/>
        </w:tblBorders>
        <w:tblCellMar>
          <w:left w:w="70" w:type="dxa"/>
          <w:right w:w="70" w:type="dxa"/>
        </w:tblCellMar>
        <w:tblLook w:val="04A0" w:firstRow="1" w:lastRow="0" w:firstColumn="1" w:lastColumn="0" w:noHBand="0" w:noVBand="1"/>
      </w:tblPr>
      <w:tblGrid>
        <w:gridCol w:w="1400"/>
        <w:gridCol w:w="1518"/>
        <w:gridCol w:w="4820"/>
        <w:gridCol w:w="4413"/>
        <w:gridCol w:w="2793"/>
      </w:tblGrid>
      <w:tr w:rsidR="001A4751" w:rsidRPr="0003612C" w14:paraId="16F12BF9" w14:textId="77777777" w:rsidTr="0003612C">
        <w:trPr>
          <w:trHeight w:val="407"/>
        </w:trPr>
        <w:tc>
          <w:tcPr>
            <w:tcW w:w="1400" w:type="dxa"/>
            <w:tcBorders>
              <w:top w:val="single" w:sz="4" w:space="0" w:color="auto"/>
              <w:left w:val="single" w:sz="4" w:space="0" w:color="auto"/>
              <w:bottom w:val="single" w:sz="4" w:space="0" w:color="auto"/>
              <w:right w:val="single" w:sz="4" w:space="0" w:color="auto"/>
            </w:tcBorders>
            <w:shd w:val="clear" w:color="auto" w:fill="auto"/>
            <w:vAlign w:val="center"/>
          </w:tcPr>
          <w:p w14:paraId="12234F5E" w14:textId="77777777" w:rsidR="001A4751" w:rsidRPr="0003612C" w:rsidRDefault="001A4751" w:rsidP="0003612C">
            <w:pPr>
              <w:keepNext/>
              <w:spacing w:before="40" w:after="40"/>
              <w:rPr>
                <w:b/>
                <w:bCs/>
                <w:color w:val="000000"/>
                <w:sz w:val="20"/>
                <w:szCs w:val="20"/>
              </w:rPr>
            </w:pPr>
            <w:r w:rsidRPr="0003612C">
              <w:rPr>
                <w:b/>
                <w:bCs/>
                <w:color w:val="000000"/>
                <w:sz w:val="20"/>
                <w:szCs w:val="20"/>
              </w:rPr>
              <w:t>Tipo de Rendimento</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6FA8719B" w14:textId="77777777" w:rsidR="001A4751" w:rsidRPr="0003612C" w:rsidRDefault="001A4751" w:rsidP="001A4751">
            <w:pPr>
              <w:keepNext/>
              <w:spacing w:before="40" w:after="40"/>
              <w:jc w:val="center"/>
              <w:rPr>
                <w:b/>
                <w:color w:val="000000"/>
                <w:sz w:val="20"/>
                <w:szCs w:val="20"/>
              </w:rPr>
            </w:pPr>
            <w:r w:rsidRPr="0003612C">
              <w:rPr>
                <w:b/>
                <w:color w:val="000000"/>
                <w:sz w:val="20"/>
                <w:szCs w:val="20"/>
              </w:rPr>
              <w:t>Grupo</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1B4ACF" w14:textId="65FED928" w:rsidR="001A4751" w:rsidRPr="0003612C" w:rsidRDefault="001A4751" w:rsidP="001A4751">
            <w:pPr>
              <w:keepNext/>
              <w:spacing w:before="40" w:after="40"/>
              <w:jc w:val="center"/>
              <w:rPr>
                <w:b/>
                <w:color w:val="000000"/>
                <w:sz w:val="20"/>
                <w:szCs w:val="20"/>
              </w:rPr>
            </w:pPr>
            <w:r w:rsidRPr="0003612C">
              <w:rPr>
                <w:b/>
                <w:color w:val="000000"/>
                <w:sz w:val="20"/>
                <w:szCs w:val="20"/>
              </w:rPr>
              <w:t>Subcategoria</w:t>
            </w:r>
            <w:r w:rsidR="00BF6F09" w:rsidRPr="0003612C">
              <w:rPr>
                <w:b/>
                <w:color w:val="000000"/>
                <w:sz w:val="20"/>
                <w:szCs w:val="20"/>
              </w:rPr>
              <w:t>s</w:t>
            </w:r>
          </w:p>
        </w:tc>
        <w:tc>
          <w:tcPr>
            <w:tcW w:w="44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1B8A6" w14:textId="77777777" w:rsidR="001A4751" w:rsidRPr="0003612C" w:rsidRDefault="001A4751" w:rsidP="001A4751">
            <w:pPr>
              <w:keepNext/>
              <w:spacing w:before="40" w:after="40"/>
              <w:jc w:val="center"/>
              <w:rPr>
                <w:b/>
                <w:sz w:val="20"/>
                <w:szCs w:val="20"/>
              </w:rPr>
            </w:pPr>
            <w:r w:rsidRPr="0003612C">
              <w:rPr>
                <w:b/>
                <w:sz w:val="20"/>
                <w:szCs w:val="20"/>
              </w:rPr>
              <w:t>Tributação imputada</w:t>
            </w:r>
          </w:p>
        </w:tc>
        <w:tc>
          <w:tcPr>
            <w:tcW w:w="2793" w:type="dxa"/>
            <w:tcBorders>
              <w:top w:val="single" w:sz="4" w:space="0" w:color="auto"/>
              <w:left w:val="single" w:sz="4" w:space="0" w:color="auto"/>
              <w:bottom w:val="single" w:sz="4" w:space="0" w:color="auto"/>
              <w:right w:val="single" w:sz="4" w:space="0" w:color="auto"/>
            </w:tcBorders>
            <w:vAlign w:val="center"/>
          </w:tcPr>
          <w:p w14:paraId="78E57CC9" w14:textId="77777777" w:rsidR="001A4751" w:rsidRPr="0003612C" w:rsidRDefault="001A4751" w:rsidP="001A4751">
            <w:pPr>
              <w:keepNext/>
              <w:spacing w:before="40" w:after="40"/>
              <w:jc w:val="center"/>
              <w:rPr>
                <w:b/>
                <w:sz w:val="20"/>
                <w:szCs w:val="20"/>
              </w:rPr>
            </w:pPr>
            <w:r w:rsidRPr="0003612C">
              <w:rPr>
                <w:b/>
                <w:sz w:val="20"/>
                <w:szCs w:val="20"/>
              </w:rPr>
              <w:t>Tipo de Renda</w:t>
            </w:r>
          </w:p>
        </w:tc>
      </w:tr>
      <w:tr w:rsidR="001A4751" w:rsidRPr="0003612C" w14:paraId="4F40D177" w14:textId="77777777" w:rsidTr="0003612C">
        <w:trPr>
          <w:trHeight w:val="552"/>
        </w:trPr>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0BA29" w14:textId="77777777" w:rsidR="001A4751" w:rsidRPr="0003612C" w:rsidRDefault="001A4751" w:rsidP="001A4751">
            <w:pPr>
              <w:keepNext/>
              <w:spacing w:before="40" w:after="40"/>
              <w:jc w:val="center"/>
              <w:rPr>
                <w:b/>
                <w:bCs/>
                <w:color w:val="000000"/>
                <w:sz w:val="20"/>
                <w:szCs w:val="20"/>
              </w:rPr>
            </w:pPr>
            <w:r w:rsidRPr="0003612C">
              <w:rPr>
                <w:b/>
                <w:bCs/>
                <w:color w:val="000000"/>
                <w:sz w:val="20"/>
                <w:szCs w:val="20"/>
              </w:rPr>
              <w:t>Tributação Exclusiva</w:t>
            </w:r>
          </w:p>
        </w:tc>
        <w:tc>
          <w:tcPr>
            <w:tcW w:w="15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629469" w14:textId="77777777" w:rsidR="001A4751" w:rsidRPr="0003612C" w:rsidRDefault="001A4751" w:rsidP="001A4751">
            <w:pPr>
              <w:keepNext/>
              <w:spacing w:before="40" w:after="40"/>
              <w:jc w:val="center"/>
              <w:rPr>
                <w:sz w:val="20"/>
                <w:szCs w:val="20"/>
              </w:rPr>
            </w:pPr>
            <w:r w:rsidRPr="0003612C">
              <w:rPr>
                <w:sz w:val="20"/>
                <w:szCs w:val="20"/>
              </w:rPr>
              <w:t>Rendimentos vinculados ao trabalho</w:t>
            </w:r>
          </w:p>
          <w:p w14:paraId="0DE427A3" w14:textId="77777777" w:rsidR="001A4751" w:rsidRPr="0003612C" w:rsidRDefault="001A4751" w:rsidP="001A4751">
            <w:pPr>
              <w:keepNext/>
              <w:spacing w:before="40" w:after="40"/>
              <w:jc w:val="center"/>
              <w:rPr>
                <w:color w:val="000000"/>
                <w:sz w:val="20"/>
                <w:szCs w:val="20"/>
              </w:rPr>
            </w:pP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4121" w14:textId="77777777" w:rsidR="001A4751" w:rsidRPr="0003612C" w:rsidRDefault="001A4751" w:rsidP="001A4751">
            <w:pPr>
              <w:keepNext/>
              <w:spacing w:before="40" w:after="40"/>
              <w:jc w:val="center"/>
              <w:rPr>
                <w:color w:val="000000"/>
                <w:sz w:val="20"/>
                <w:szCs w:val="20"/>
              </w:rPr>
            </w:pPr>
            <w:r w:rsidRPr="0003612C">
              <w:rPr>
                <w:color w:val="000000"/>
                <w:sz w:val="20"/>
                <w:szCs w:val="20"/>
              </w:rPr>
              <w:t>13º salário do contribuinte e o 13º percebido por dependentes.</w:t>
            </w:r>
          </w:p>
        </w:tc>
        <w:tc>
          <w:tcPr>
            <w:tcW w:w="4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C4935" w14:textId="77777777" w:rsidR="001A4751" w:rsidRPr="0003612C" w:rsidRDefault="001A4751" w:rsidP="001A4751">
            <w:pPr>
              <w:keepNext/>
              <w:spacing w:before="40" w:after="40"/>
              <w:jc w:val="center"/>
              <w:rPr>
                <w:sz w:val="20"/>
                <w:szCs w:val="20"/>
              </w:rPr>
            </w:pPr>
            <w:r w:rsidRPr="0003612C">
              <w:rPr>
                <w:sz w:val="20"/>
                <w:szCs w:val="20"/>
              </w:rPr>
              <w:t>Mesma alíquota efetiva do que a aplicada aos rendimentos tributáveis.</w:t>
            </w:r>
          </w:p>
        </w:tc>
        <w:tc>
          <w:tcPr>
            <w:tcW w:w="2793" w:type="dxa"/>
            <w:tcBorders>
              <w:top w:val="single" w:sz="4" w:space="0" w:color="auto"/>
              <w:left w:val="single" w:sz="4" w:space="0" w:color="auto"/>
              <w:bottom w:val="single" w:sz="4" w:space="0" w:color="auto"/>
              <w:right w:val="single" w:sz="4" w:space="0" w:color="auto"/>
            </w:tcBorders>
            <w:vAlign w:val="center"/>
          </w:tcPr>
          <w:p w14:paraId="54515543" w14:textId="77777777" w:rsidR="001A4751" w:rsidRPr="0003612C" w:rsidRDefault="001A4751" w:rsidP="001A4751">
            <w:pPr>
              <w:keepNext/>
              <w:spacing w:before="40" w:after="40"/>
              <w:jc w:val="center"/>
              <w:rPr>
                <w:sz w:val="20"/>
                <w:szCs w:val="20"/>
              </w:rPr>
            </w:pPr>
            <w:r w:rsidRPr="0003612C">
              <w:rPr>
                <w:sz w:val="20"/>
                <w:szCs w:val="20"/>
              </w:rPr>
              <w:t>Trabalho</w:t>
            </w:r>
          </w:p>
        </w:tc>
      </w:tr>
      <w:tr w:rsidR="001A4751" w:rsidRPr="0003612C" w14:paraId="7B8CC311" w14:textId="77777777" w:rsidTr="0003612C">
        <w:trPr>
          <w:trHeight w:val="862"/>
        </w:trPr>
        <w:tc>
          <w:tcPr>
            <w:tcW w:w="1400" w:type="dxa"/>
            <w:vMerge/>
            <w:tcBorders>
              <w:top w:val="dashed" w:sz="4" w:space="0" w:color="auto"/>
              <w:left w:val="single" w:sz="4" w:space="0" w:color="auto"/>
              <w:bottom w:val="single" w:sz="4" w:space="0" w:color="auto"/>
              <w:right w:val="single" w:sz="4" w:space="0" w:color="auto"/>
            </w:tcBorders>
            <w:vAlign w:val="center"/>
            <w:hideMark/>
          </w:tcPr>
          <w:p w14:paraId="04B0B22D" w14:textId="77777777" w:rsidR="001A4751" w:rsidRPr="0003612C" w:rsidRDefault="001A4751" w:rsidP="001A4751">
            <w:pPr>
              <w:keepNext/>
              <w:spacing w:before="40" w:after="40"/>
              <w:jc w:val="center"/>
              <w:rPr>
                <w:b/>
                <w:bCs/>
                <w:color w:val="000000"/>
                <w:sz w:val="20"/>
                <w:szCs w:val="20"/>
              </w:rPr>
            </w:pPr>
          </w:p>
        </w:tc>
        <w:tc>
          <w:tcPr>
            <w:tcW w:w="151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09B02A10" w14:textId="77777777" w:rsidR="001A4751" w:rsidRPr="0003612C" w:rsidRDefault="001A4751" w:rsidP="001A4751">
            <w:pPr>
              <w:keepNext/>
              <w:spacing w:before="40" w:after="40"/>
              <w:jc w:val="center"/>
              <w:rPr>
                <w:color w:val="000000"/>
                <w:sz w:val="20"/>
                <w:szCs w:val="20"/>
              </w:rPr>
            </w:pP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A66C1" w14:textId="77777777" w:rsidR="001A4751" w:rsidRPr="0003612C" w:rsidRDefault="001A4751" w:rsidP="001A4751">
            <w:pPr>
              <w:keepNext/>
              <w:spacing w:before="40" w:after="40"/>
              <w:jc w:val="center"/>
              <w:rPr>
                <w:color w:val="000000"/>
                <w:sz w:val="20"/>
                <w:szCs w:val="20"/>
              </w:rPr>
            </w:pPr>
            <w:r w:rsidRPr="0003612C">
              <w:rPr>
                <w:color w:val="000000"/>
                <w:sz w:val="20"/>
                <w:szCs w:val="20"/>
              </w:rPr>
              <w:t>Composto por rendimentos recebidos acumuladamente (fruto de decisões judiciais transitadas em julgado), participação sobre os lucros ou resultados e outras fontes residuais relacionadas ao trabalho.</w:t>
            </w:r>
          </w:p>
        </w:tc>
        <w:tc>
          <w:tcPr>
            <w:tcW w:w="4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4C3C5" w14:textId="77777777" w:rsidR="001A4751" w:rsidRPr="0003612C" w:rsidRDefault="001A4751" w:rsidP="001A4751">
            <w:pPr>
              <w:keepNext/>
              <w:spacing w:before="40" w:after="40"/>
              <w:jc w:val="center"/>
              <w:rPr>
                <w:sz w:val="20"/>
                <w:szCs w:val="20"/>
              </w:rPr>
            </w:pPr>
            <w:r w:rsidRPr="0003612C">
              <w:rPr>
                <w:sz w:val="20"/>
                <w:szCs w:val="20"/>
              </w:rPr>
              <w:t>Alíquota efetiva aplicada aos rendimentos tributáveis com um coeficiente de 0,75 para abarcar a possibilidade de maiores descontos na tributação deste tipo de fonte.</w:t>
            </w:r>
          </w:p>
        </w:tc>
        <w:tc>
          <w:tcPr>
            <w:tcW w:w="2793" w:type="dxa"/>
            <w:tcBorders>
              <w:top w:val="single" w:sz="4" w:space="0" w:color="auto"/>
              <w:left w:val="single" w:sz="4" w:space="0" w:color="auto"/>
              <w:bottom w:val="single" w:sz="4" w:space="0" w:color="auto"/>
              <w:right w:val="single" w:sz="4" w:space="0" w:color="auto"/>
            </w:tcBorders>
            <w:vAlign w:val="center"/>
          </w:tcPr>
          <w:p w14:paraId="61E7253F" w14:textId="77777777" w:rsidR="001A4751" w:rsidRPr="0003612C" w:rsidRDefault="001A4751" w:rsidP="001A4751">
            <w:pPr>
              <w:keepNext/>
              <w:spacing w:before="40" w:after="40"/>
              <w:jc w:val="center"/>
              <w:rPr>
                <w:sz w:val="20"/>
                <w:szCs w:val="20"/>
              </w:rPr>
            </w:pPr>
            <w:r w:rsidRPr="0003612C">
              <w:rPr>
                <w:sz w:val="20"/>
                <w:szCs w:val="20"/>
              </w:rPr>
              <w:t>Trabalho</w:t>
            </w:r>
          </w:p>
        </w:tc>
      </w:tr>
      <w:tr w:rsidR="001A4751" w:rsidRPr="0003612C" w14:paraId="72AC0C8B" w14:textId="77777777" w:rsidTr="0003612C">
        <w:trPr>
          <w:trHeight w:val="196"/>
        </w:trPr>
        <w:tc>
          <w:tcPr>
            <w:tcW w:w="1400" w:type="dxa"/>
            <w:vMerge/>
            <w:tcBorders>
              <w:top w:val="dashed" w:sz="4" w:space="0" w:color="auto"/>
              <w:left w:val="single" w:sz="4" w:space="0" w:color="auto"/>
              <w:bottom w:val="single" w:sz="4" w:space="0" w:color="auto"/>
              <w:right w:val="single" w:sz="4" w:space="0" w:color="auto"/>
            </w:tcBorders>
            <w:vAlign w:val="center"/>
            <w:hideMark/>
          </w:tcPr>
          <w:p w14:paraId="62245391" w14:textId="77777777" w:rsidR="001A4751" w:rsidRPr="0003612C" w:rsidRDefault="001A4751" w:rsidP="001A4751">
            <w:pPr>
              <w:keepNext/>
              <w:spacing w:before="40" w:after="40"/>
              <w:jc w:val="center"/>
              <w:rPr>
                <w:b/>
                <w:bCs/>
                <w:color w:val="000000"/>
                <w:sz w:val="20"/>
                <w:szCs w:val="20"/>
              </w:rPr>
            </w:pP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6CD33" w14:textId="77777777" w:rsidR="001A4751" w:rsidRPr="0003612C" w:rsidRDefault="001A4751" w:rsidP="001A4751">
            <w:pPr>
              <w:keepNext/>
              <w:spacing w:before="40" w:after="40"/>
              <w:jc w:val="center"/>
              <w:rPr>
                <w:sz w:val="20"/>
                <w:szCs w:val="20"/>
              </w:rPr>
            </w:pPr>
            <w:r w:rsidRPr="0003612C">
              <w:rPr>
                <w:sz w:val="20"/>
                <w:szCs w:val="20"/>
              </w:rPr>
              <w:t>Rendimento de aplicações financeiras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AEA1A" w14:textId="77777777" w:rsidR="001A4751" w:rsidRPr="0003612C" w:rsidRDefault="001A4751" w:rsidP="001A4751">
            <w:pPr>
              <w:keepNext/>
              <w:spacing w:before="40" w:after="40"/>
              <w:jc w:val="center"/>
              <w:rPr>
                <w:color w:val="000000"/>
                <w:sz w:val="20"/>
                <w:szCs w:val="20"/>
              </w:rPr>
            </w:pPr>
            <w:r w:rsidRPr="0003612C">
              <w:rPr>
                <w:color w:val="000000"/>
                <w:sz w:val="20"/>
                <w:szCs w:val="20"/>
              </w:rPr>
              <w:t>Composta por único rendimento com mesmo nome, fruto de ganhos em aplicações de renda fixa.</w:t>
            </w:r>
          </w:p>
        </w:tc>
        <w:tc>
          <w:tcPr>
            <w:tcW w:w="4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3D9B5" w14:textId="77777777" w:rsidR="001A4751" w:rsidRPr="0003612C" w:rsidRDefault="001A4751" w:rsidP="001A4751">
            <w:pPr>
              <w:keepNext/>
              <w:spacing w:before="40" w:after="40"/>
              <w:jc w:val="center"/>
              <w:rPr>
                <w:sz w:val="20"/>
                <w:szCs w:val="20"/>
              </w:rPr>
            </w:pPr>
            <w:r w:rsidRPr="0003612C">
              <w:rPr>
                <w:sz w:val="20"/>
                <w:szCs w:val="20"/>
              </w:rPr>
              <w:t>Aplicação de alíquota de 16%, como uma média da variação entre 22,5% e 15%, pois, conforme analisado por Castro (2014), foi a alíquota efetiva média observada sobre este tipo de rendimento em 2007-2012.</w:t>
            </w:r>
          </w:p>
        </w:tc>
        <w:tc>
          <w:tcPr>
            <w:tcW w:w="2793" w:type="dxa"/>
            <w:tcBorders>
              <w:top w:val="single" w:sz="4" w:space="0" w:color="auto"/>
              <w:left w:val="single" w:sz="4" w:space="0" w:color="auto"/>
              <w:bottom w:val="single" w:sz="4" w:space="0" w:color="auto"/>
              <w:right w:val="single" w:sz="4" w:space="0" w:color="auto"/>
            </w:tcBorders>
            <w:vAlign w:val="center"/>
          </w:tcPr>
          <w:p w14:paraId="2213F509" w14:textId="77777777" w:rsidR="001A4751" w:rsidRPr="0003612C" w:rsidRDefault="001A4751" w:rsidP="001A4751">
            <w:pPr>
              <w:keepNext/>
              <w:spacing w:before="40" w:after="40"/>
              <w:jc w:val="center"/>
              <w:rPr>
                <w:sz w:val="20"/>
                <w:szCs w:val="20"/>
              </w:rPr>
            </w:pPr>
            <w:r w:rsidRPr="0003612C">
              <w:rPr>
                <w:sz w:val="20"/>
                <w:szCs w:val="20"/>
              </w:rPr>
              <w:t>Capital</w:t>
            </w:r>
          </w:p>
        </w:tc>
      </w:tr>
      <w:tr w:rsidR="001A4751" w:rsidRPr="0003612C" w14:paraId="3A890FF2" w14:textId="77777777" w:rsidTr="0003612C">
        <w:trPr>
          <w:trHeight w:val="852"/>
        </w:trPr>
        <w:tc>
          <w:tcPr>
            <w:tcW w:w="1400" w:type="dxa"/>
            <w:vMerge/>
            <w:tcBorders>
              <w:top w:val="dashed" w:sz="4" w:space="0" w:color="auto"/>
              <w:left w:val="single" w:sz="4" w:space="0" w:color="auto"/>
              <w:bottom w:val="single" w:sz="4" w:space="0" w:color="auto"/>
              <w:right w:val="single" w:sz="4" w:space="0" w:color="auto"/>
            </w:tcBorders>
            <w:vAlign w:val="center"/>
            <w:hideMark/>
          </w:tcPr>
          <w:p w14:paraId="4D6A2C21" w14:textId="77777777" w:rsidR="001A4751" w:rsidRPr="0003612C" w:rsidRDefault="001A4751" w:rsidP="001A4751">
            <w:pPr>
              <w:keepNext/>
              <w:spacing w:before="40" w:after="40"/>
              <w:jc w:val="center"/>
              <w:rPr>
                <w:b/>
                <w:bCs/>
                <w:color w:val="000000"/>
                <w:sz w:val="20"/>
                <w:szCs w:val="20"/>
              </w:rPr>
            </w:pP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2BBCBC" w14:textId="77777777" w:rsidR="001A4751" w:rsidRPr="0003612C" w:rsidRDefault="001A4751" w:rsidP="001A4751">
            <w:pPr>
              <w:keepNext/>
              <w:spacing w:before="40" w:after="40"/>
              <w:jc w:val="center"/>
              <w:rPr>
                <w:color w:val="000000"/>
                <w:sz w:val="20"/>
                <w:szCs w:val="20"/>
              </w:rPr>
            </w:pPr>
            <w:r w:rsidRPr="0003612C">
              <w:rPr>
                <w:color w:val="000000"/>
                <w:sz w:val="20"/>
                <w:szCs w:val="20"/>
              </w:rPr>
              <w:t>Outras rendas de propriedade de capital</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474D5" w14:textId="77777777" w:rsidR="001A4751" w:rsidRPr="0003612C" w:rsidRDefault="001A4751" w:rsidP="001A4751">
            <w:pPr>
              <w:keepNext/>
              <w:spacing w:before="40" w:after="40"/>
              <w:jc w:val="center"/>
              <w:rPr>
                <w:color w:val="000000"/>
                <w:sz w:val="20"/>
                <w:szCs w:val="20"/>
              </w:rPr>
            </w:pPr>
            <w:r w:rsidRPr="0003612C">
              <w:rPr>
                <w:color w:val="000000"/>
                <w:sz w:val="20"/>
                <w:szCs w:val="20"/>
              </w:rPr>
              <w:t>Composta pelos outros rendimentos mais relacionados ao capital, como ganhos de capital na alienação de bens e direitos, ganhos líquidos em renda variável e juros sobre capital próprio.</w:t>
            </w:r>
          </w:p>
        </w:tc>
        <w:tc>
          <w:tcPr>
            <w:tcW w:w="4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BEA8" w14:textId="77777777" w:rsidR="001A4751" w:rsidRPr="0003612C" w:rsidRDefault="001A4751" w:rsidP="001A4751">
            <w:pPr>
              <w:keepNext/>
              <w:spacing w:before="40" w:after="40"/>
              <w:jc w:val="center"/>
              <w:rPr>
                <w:sz w:val="20"/>
                <w:szCs w:val="20"/>
              </w:rPr>
            </w:pPr>
            <w:r w:rsidRPr="0003612C">
              <w:rPr>
                <w:sz w:val="20"/>
                <w:szCs w:val="20"/>
              </w:rPr>
              <w:t>Aplicação de alíquota de 15%.</w:t>
            </w:r>
          </w:p>
        </w:tc>
        <w:tc>
          <w:tcPr>
            <w:tcW w:w="2793" w:type="dxa"/>
            <w:tcBorders>
              <w:top w:val="single" w:sz="4" w:space="0" w:color="auto"/>
              <w:left w:val="single" w:sz="4" w:space="0" w:color="auto"/>
              <w:bottom w:val="single" w:sz="4" w:space="0" w:color="auto"/>
              <w:right w:val="single" w:sz="4" w:space="0" w:color="auto"/>
            </w:tcBorders>
            <w:vAlign w:val="center"/>
          </w:tcPr>
          <w:p w14:paraId="37C92479" w14:textId="77777777" w:rsidR="001A4751" w:rsidRPr="0003612C" w:rsidRDefault="001A4751" w:rsidP="001A4751">
            <w:pPr>
              <w:keepNext/>
              <w:spacing w:before="40" w:after="40"/>
              <w:jc w:val="center"/>
              <w:rPr>
                <w:sz w:val="20"/>
                <w:szCs w:val="20"/>
              </w:rPr>
            </w:pPr>
            <w:r w:rsidRPr="0003612C">
              <w:rPr>
                <w:sz w:val="20"/>
                <w:szCs w:val="20"/>
              </w:rPr>
              <w:t>Capital</w:t>
            </w:r>
          </w:p>
        </w:tc>
      </w:tr>
      <w:tr w:rsidR="001A4751" w:rsidRPr="0003612C" w14:paraId="7B30D379" w14:textId="77777777" w:rsidTr="0003612C">
        <w:trPr>
          <w:trHeight w:val="636"/>
        </w:trPr>
        <w:tc>
          <w:tcPr>
            <w:tcW w:w="1400" w:type="dxa"/>
            <w:vMerge w:val="restart"/>
            <w:tcBorders>
              <w:top w:val="single" w:sz="4" w:space="0" w:color="auto"/>
              <w:left w:val="single" w:sz="4" w:space="0" w:color="auto"/>
              <w:bottom w:val="dashed" w:sz="4" w:space="0" w:color="auto"/>
              <w:right w:val="single" w:sz="4" w:space="0" w:color="auto"/>
            </w:tcBorders>
            <w:shd w:val="clear" w:color="auto" w:fill="auto"/>
            <w:noWrap/>
            <w:vAlign w:val="center"/>
            <w:hideMark/>
          </w:tcPr>
          <w:p w14:paraId="37359686" w14:textId="77777777" w:rsidR="001A4751" w:rsidRPr="0003612C" w:rsidRDefault="001A4751" w:rsidP="001A4751">
            <w:pPr>
              <w:keepNext/>
              <w:spacing w:before="40" w:after="40"/>
              <w:jc w:val="center"/>
              <w:rPr>
                <w:b/>
                <w:bCs/>
                <w:color w:val="000000"/>
                <w:sz w:val="20"/>
                <w:szCs w:val="20"/>
              </w:rPr>
            </w:pPr>
            <w:r w:rsidRPr="0003612C">
              <w:rPr>
                <w:b/>
                <w:bCs/>
                <w:color w:val="000000"/>
                <w:sz w:val="20"/>
                <w:szCs w:val="20"/>
              </w:rPr>
              <w:t>Isentos</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C63D4" w14:textId="77777777" w:rsidR="001A4751" w:rsidRPr="0003612C" w:rsidRDefault="001A4751" w:rsidP="001A4751">
            <w:pPr>
              <w:keepNext/>
              <w:spacing w:before="40" w:after="40"/>
              <w:jc w:val="center"/>
              <w:rPr>
                <w:color w:val="000000"/>
                <w:sz w:val="20"/>
                <w:szCs w:val="20"/>
              </w:rPr>
            </w:pPr>
            <w:r w:rsidRPr="0003612C">
              <w:rPr>
                <w:color w:val="000000"/>
                <w:sz w:val="20"/>
                <w:szCs w:val="20"/>
              </w:rPr>
              <w:t>Lucros e dividendos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E8AFE" w14:textId="77777777" w:rsidR="001A4751" w:rsidRPr="0003612C" w:rsidRDefault="001A4751" w:rsidP="001A4751">
            <w:pPr>
              <w:keepNext/>
              <w:spacing w:before="40" w:after="40"/>
              <w:jc w:val="center"/>
              <w:rPr>
                <w:color w:val="000000"/>
                <w:sz w:val="20"/>
                <w:szCs w:val="20"/>
              </w:rPr>
            </w:pPr>
            <w:r w:rsidRPr="0003612C">
              <w:rPr>
                <w:color w:val="000000"/>
                <w:sz w:val="20"/>
                <w:szCs w:val="20"/>
              </w:rPr>
              <w:t>Composto por dois rendimentos: lucros e dividendos e rendimentos de sócio/titular de micro ou pequenas empresas.</w:t>
            </w:r>
          </w:p>
        </w:tc>
        <w:tc>
          <w:tcPr>
            <w:tcW w:w="44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6F6FC" w14:textId="77777777" w:rsidR="001A4751" w:rsidRPr="0003612C" w:rsidRDefault="001A4751" w:rsidP="001A4751">
            <w:pPr>
              <w:keepNext/>
              <w:spacing w:before="40" w:after="40"/>
              <w:jc w:val="center"/>
              <w:rPr>
                <w:sz w:val="20"/>
                <w:szCs w:val="20"/>
              </w:rPr>
            </w:pPr>
            <w:r w:rsidRPr="0003612C">
              <w:rPr>
                <w:sz w:val="20"/>
                <w:szCs w:val="20"/>
              </w:rPr>
              <w:t>Não sofrem tributação.</w:t>
            </w:r>
          </w:p>
        </w:tc>
        <w:tc>
          <w:tcPr>
            <w:tcW w:w="2793" w:type="dxa"/>
            <w:tcBorders>
              <w:top w:val="single" w:sz="4" w:space="0" w:color="auto"/>
              <w:left w:val="single" w:sz="4" w:space="0" w:color="auto"/>
              <w:bottom w:val="single" w:sz="4" w:space="0" w:color="auto"/>
              <w:right w:val="single" w:sz="4" w:space="0" w:color="auto"/>
            </w:tcBorders>
            <w:vAlign w:val="center"/>
          </w:tcPr>
          <w:p w14:paraId="4F4DEAAD" w14:textId="77777777" w:rsidR="001A4751" w:rsidRPr="0003612C" w:rsidRDefault="001A4751" w:rsidP="001A4751">
            <w:pPr>
              <w:keepNext/>
              <w:spacing w:before="40" w:after="40"/>
              <w:jc w:val="center"/>
              <w:rPr>
                <w:sz w:val="20"/>
                <w:szCs w:val="20"/>
              </w:rPr>
            </w:pPr>
            <w:r w:rsidRPr="0003612C">
              <w:rPr>
                <w:sz w:val="20"/>
                <w:szCs w:val="20"/>
              </w:rPr>
              <w:t>Capital</w:t>
            </w:r>
          </w:p>
        </w:tc>
      </w:tr>
      <w:tr w:rsidR="001A4751" w:rsidRPr="0003612C" w14:paraId="2303666A" w14:textId="77777777" w:rsidTr="0003612C">
        <w:trPr>
          <w:trHeight w:val="699"/>
        </w:trPr>
        <w:tc>
          <w:tcPr>
            <w:tcW w:w="1400" w:type="dxa"/>
            <w:vMerge/>
            <w:tcBorders>
              <w:top w:val="dashed" w:sz="4" w:space="0" w:color="auto"/>
              <w:left w:val="single" w:sz="4" w:space="0" w:color="auto"/>
              <w:bottom w:val="dashed" w:sz="4" w:space="0" w:color="auto"/>
              <w:right w:val="single" w:sz="4" w:space="0" w:color="auto"/>
            </w:tcBorders>
            <w:vAlign w:val="center"/>
            <w:hideMark/>
          </w:tcPr>
          <w:p w14:paraId="1B2DC6FD" w14:textId="77777777" w:rsidR="001A4751" w:rsidRPr="0003612C" w:rsidRDefault="001A4751" w:rsidP="001A4751">
            <w:pPr>
              <w:keepNext/>
              <w:spacing w:before="40" w:after="40"/>
              <w:jc w:val="center"/>
              <w:rPr>
                <w:b/>
                <w:bCs/>
                <w:color w:val="000000"/>
                <w:sz w:val="20"/>
                <w:szCs w:val="20"/>
              </w:rPr>
            </w:pP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79F77" w14:textId="77777777" w:rsidR="001A4751" w:rsidRPr="0003612C" w:rsidRDefault="001A4751" w:rsidP="001A4751">
            <w:pPr>
              <w:keepNext/>
              <w:spacing w:before="40" w:after="40"/>
              <w:jc w:val="center"/>
              <w:rPr>
                <w:color w:val="000000"/>
                <w:sz w:val="20"/>
                <w:szCs w:val="20"/>
              </w:rPr>
            </w:pPr>
            <w:r w:rsidRPr="0003612C">
              <w:rPr>
                <w:color w:val="000000"/>
                <w:sz w:val="20"/>
                <w:szCs w:val="20"/>
              </w:rPr>
              <w:t>Rendimentos vinculados ao trabalho</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83FA" w14:textId="77777777" w:rsidR="001A4751" w:rsidRPr="0003612C" w:rsidRDefault="001A4751" w:rsidP="001A4751">
            <w:pPr>
              <w:keepNext/>
              <w:spacing w:before="40" w:after="40"/>
              <w:jc w:val="center"/>
              <w:rPr>
                <w:color w:val="000000"/>
                <w:sz w:val="20"/>
                <w:szCs w:val="20"/>
              </w:rPr>
            </w:pPr>
            <w:r w:rsidRPr="0003612C">
              <w:rPr>
                <w:color w:val="000000"/>
                <w:sz w:val="20"/>
                <w:szCs w:val="20"/>
              </w:rPr>
              <w:t>Parcelas isenta de aposentadorias e pensões, bolsas de estudo, indenizações por rescisão de contrato de trabalho e FGTS.</w:t>
            </w:r>
          </w:p>
        </w:tc>
        <w:tc>
          <w:tcPr>
            <w:tcW w:w="4413"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CEF4D" w14:textId="77777777" w:rsidR="001A4751" w:rsidRPr="0003612C" w:rsidRDefault="001A4751" w:rsidP="001A4751">
            <w:pPr>
              <w:keepNext/>
              <w:spacing w:before="40" w:after="40"/>
              <w:jc w:val="center"/>
              <w:rPr>
                <w:sz w:val="20"/>
                <w:szCs w:val="20"/>
              </w:rPr>
            </w:pPr>
          </w:p>
        </w:tc>
        <w:tc>
          <w:tcPr>
            <w:tcW w:w="2793" w:type="dxa"/>
            <w:tcBorders>
              <w:top w:val="single" w:sz="4" w:space="0" w:color="auto"/>
              <w:left w:val="single" w:sz="4" w:space="0" w:color="auto"/>
              <w:bottom w:val="single" w:sz="4" w:space="0" w:color="auto"/>
              <w:right w:val="single" w:sz="4" w:space="0" w:color="auto"/>
            </w:tcBorders>
            <w:vAlign w:val="center"/>
          </w:tcPr>
          <w:p w14:paraId="14A542E1" w14:textId="77777777" w:rsidR="001A4751" w:rsidRPr="0003612C" w:rsidRDefault="001A4751" w:rsidP="001A4751">
            <w:pPr>
              <w:keepNext/>
              <w:spacing w:before="40" w:after="40"/>
              <w:jc w:val="center"/>
              <w:rPr>
                <w:sz w:val="20"/>
                <w:szCs w:val="20"/>
              </w:rPr>
            </w:pPr>
            <w:r w:rsidRPr="0003612C">
              <w:rPr>
                <w:sz w:val="20"/>
                <w:szCs w:val="20"/>
              </w:rPr>
              <w:t>Trabalho</w:t>
            </w:r>
          </w:p>
        </w:tc>
      </w:tr>
      <w:tr w:rsidR="001A4751" w:rsidRPr="0003612C" w14:paraId="74439D16" w14:textId="77777777" w:rsidTr="0003612C">
        <w:trPr>
          <w:trHeight w:val="642"/>
        </w:trPr>
        <w:tc>
          <w:tcPr>
            <w:tcW w:w="1400" w:type="dxa"/>
            <w:vMerge/>
            <w:tcBorders>
              <w:top w:val="dashed" w:sz="4" w:space="0" w:color="auto"/>
              <w:left w:val="single" w:sz="4" w:space="0" w:color="auto"/>
              <w:bottom w:val="dashed" w:sz="4" w:space="0" w:color="auto"/>
              <w:right w:val="single" w:sz="4" w:space="0" w:color="auto"/>
            </w:tcBorders>
            <w:vAlign w:val="center"/>
            <w:hideMark/>
          </w:tcPr>
          <w:p w14:paraId="547CBE95" w14:textId="77777777" w:rsidR="001A4751" w:rsidRPr="0003612C" w:rsidRDefault="001A4751" w:rsidP="001A4751">
            <w:pPr>
              <w:keepNext/>
              <w:spacing w:before="40" w:after="40"/>
              <w:jc w:val="center"/>
              <w:rPr>
                <w:b/>
                <w:bCs/>
                <w:color w:val="000000"/>
                <w:sz w:val="20"/>
                <w:szCs w:val="20"/>
              </w:rPr>
            </w:pP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83E4F" w14:textId="77777777" w:rsidR="001A4751" w:rsidRPr="0003612C" w:rsidRDefault="001A4751" w:rsidP="001A4751">
            <w:pPr>
              <w:keepNext/>
              <w:spacing w:before="40" w:after="40"/>
              <w:jc w:val="center"/>
              <w:rPr>
                <w:color w:val="000000"/>
                <w:sz w:val="20"/>
                <w:szCs w:val="20"/>
              </w:rPr>
            </w:pPr>
            <w:r w:rsidRPr="0003612C">
              <w:rPr>
                <w:color w:val="000000"/>
                <w:sz w:val="20"/>
                <w:szCs w:val="20"/>
              </w:rPr>
              <w:t>Outras rendas da propriedade do capital</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B30EB" w14:textId="77777777" w:rsidR="001A4751" w:rsidRPr="0003612C" w:rsidRDefault="001A4751" w:rsidP="001A4751">
            <w:pPr>
              <w:keepNext/>
              <w:spacing w:before="40" w:after="40"/>
              <w:jc w:val="center"/>
              <w:rPr>
                <w:color w:val="000000"/>
                <w:sz w:val="20"/>
                <w:szCs w:val="20"/>
              </w:rPr>
            </w:pPr>
            <w:r w:rsidRPr="0003612C">
              <w:rPr>
                <w:color w:val="000000"/>
                <w:sz w:val="20"/>
                <w:szCs w:val="20"/>
              </w:rPr>
              <w:t>Incorporação de reservas ao capital/Bonificação em ações, lucro na alienação de bens e direitos de pequeno valor, parcela isenta da atividade rural.</w:t>
            </w:r>
          </w:p>
        </w:tc>
        <w:tc>
          <w:tcPr>
            <w:tcW w:w="4413"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08781" w14:textId="77777777" w:rsidR="001A4751" w:rsidRPr="0003612C" w:rsidRDefault="001A4751" w:rsidP="001A4751">
            <w:pPr>
              <w:keepNext/>
              <w:spacing w:before="40" w:after="40"/>
              <w:jc w:val="center"/>
              <w:rPr>
                <w:sz w:val="20"/>
                <w:szCs w:val="20"/>
              </w:rPr>
            </w:pPr>
          </w:p>
        </w:tc>
        <w:tc>
          <w:tcPr>
            <w:tcW w:w="2793" w:type="dxa"/>
            <w:tcBorders>
              <w:top w:val="single" w:sz="4" w:space="0" w:color="auto"/>
              <w:left w:val="single" w:sz="4" w:space="0" w:color="auto"/>
              <w:bottom w:val="single" w:sz="4" w:space="0" w:color="auto"/>
              <w:right w:val="single" w:sz="4" w:space="0" w:color="auto"/>
            </w:tcBorders>
            <w:vAlign w:val="center"/>
          </w:tcPr>
          <w:p w14:paraId="0E9B3B6E" w14:textId="77777777" w:rsidR="001A4751" w:rsidRPr="0003612C" w:rsidRDefault="001A4751" w:rsidP="001A4751">
            <w:pPr>
              <w:keepNext/>
              <w:spacing w:before="40" w:after="40"/>
              <w:jc w:val="center"/>
              <w:rPr>
                <w:sz w:val="20"/>
                <w:szCs w:val="20"/>
              </w:rPr>
            </w:pPr>
            <w:r w:rsidRPr="0003612C">
              <w:rPr>
                <w:sz w:val="20"/>
                <w:szCs w:val="20"/>
              </w:rPr>
              <w:t>Capital</w:t>
            </w:r>
          </w:p>
        </w:tc>
      </w:tr>
      <w:tr w:rsidR="001A4751" w:rsidRPr="0003612C" w14:paraId="5FE2FE67" w14:textId="77777777" w:rsidTr="0003612C">
        <w:trPr>
          <w:trHeight w:val="196"/>
        </w:trPr>
        <w:tc>
          <w:tcPr>
            <w:tcW w:w="1400" w:type="dxa"/>
            <w:vMerge/>
            <w:tcBorders>
              <w:top w:val="dashed" w:sz="4" w:space="0" w:color="auto"/>
              <w:left w:val="single" w:sz="4" w:space="0" w:color="auto"/>
              <w:bottom w:val="single" w:sz="4" w:space="0" w:color="auto"/>
              <w:right w:val="single" w:sz="4" w:space="0" w:color="auto"/>
            </w:tcBorders>
            <w:vAlign w:val="center"/>
            <w:hideMark/>
          </w:tcPr>
          <w:p w14:paraId="60EE42AF" w14:textId="77777777" w:rsidR="001A4751" w:rsidRPr="0003612C" w:rsidRDefault="001A4751" w:rsidP="001A4751">
            <w:pPr>
              <w:keepNext/>
              <w:spacing w:before="40" w:after="40"/>
              <w:jc w:val="center"/>
              <w:rPr>
                <w:b/>
                <w:bCs/>
                <w:color w:val="000000"/>
                <w:sz w:val="20"/>
                <w:szCs w:val="20"/>
              </w:rPr>
            </w:pP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8130C8" w14:textId="77777777" w:rsidR="001A4751" w:rsidRPr="0003612C" w:rsidRDefault="001A4751" w:rsidP="001A4751">
            <w:pPr>
              <w:keepNext/>
              <w:spacing w:before="40" w:after="40"/>
              <w:jc w:val="center"/>
              <w:rPr>
                <w:color w:val="000000"/>
                <w:sz w:val="20"/>
                <w:szCs w:val="20"/>
              </w:rPr>
            </w:pPr>
            <w:r w:rsidRPr="0003612C">
              <w:rPr>
                <w:color w:val="000000"/>
                <w:sz w:val="20"/>
                <w:szCs w:val="20"/>
              </w:rPr>
              <w:t>Transferências patrimoniais</w:t>
            </w:r>
          </w:p>
        </w:tc>
        <w:tc>
          <w:tcPr>
            <w:tcW w:w="4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393024" w14:textId="77777777" w:rsidR="001A4751" w:rsidRPr="0003612C" w:rsidRDefault="001A4751" w:rsidP="001A4751">
            <w:pPr>
              <w:keepNext/>
              <w:spacing w:before="40" w:after="40"/>
              <w:jc w:val="center"/>
              <w:rPr>
                <w:color w:val="000000"/>
                <w:sz w:val="20"/>
                <w:szCs w:val="20"/>
              </w:rPr>
            </w:pPr>
            <w:r w:rsidRPr="0003612C">
              <w:rPr>
                <w:color w:val="000000"/>
                <w:sz w:val="20"/>
                <w:szCs w:val="20"/>
              </w:rPr>
              <w:t>Transferências de doações e heranças ou meação e dissolução de sociedade conjugal.</w:t>
            </w:r>
          </w:p>
        </w:tc>
        <w:tc>
          <w:tcPr>
            <w:tcW w:w="4413"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F8937E" w14:textId="77777777" w:rsidR="001A4751" w:rsidRPr="0003612C" w:rsidRDefault="001A4751" w:rsidP="001A4751">
            <w:pPr>
              <w:keepNext/>
              <w:spacing w:before="40" w:after="40"/>
              <w:jc w:val="center"/>
              <w:rPr>
                <w:sz w:val="20"/>
                <w:szCs w:val="20"/>
              </w:rPr>
            </w:pPr>
          </w:p>
        </w:tc>
        <w:tc>
          <w:tcPr>
            <w:tcW w:w="2793" w:type="dxa"/>
            <w:tcBorders>
              <w:top w:val="single" w:sz="4" w:space="0" w:color="auto"/>
              <w:left w:val="single" w:sz="4" w:space="0" w:color="auto"/>
              <w:bottom w:val="single" w:sz="4" w:space="0" w:color="auto"/>
              <w:right w:val="single" w:sz="4" w:space="0" w:color="auto"/>
            </w:tcBorders>
            <w:vAlign w:val="center"/>
          </w:tcPr>
          <w:p w14:paraId="313F2E61" w14:textId="77777777" w:rsidR="001A4751" w:rsidRPr="0003612C" w:rsidRDefault="001A4751" w:rsidP="001A4751">
            <w:pPr>
              <w:keepNext/>
              <w:spacing w:before="40" w:after="40"/>
              <w:jc w:val="center"/>
              <w:rPr>
                <w:sz w:val="20"/>
                <w:szCs w:val="20"/>
              </w:rPr>
            </w:pPr>
            <w:r w:rsidRPr="0003612C">
              <w:rPr>
                <w:sz w:val="20"/>
                <w:szCs w:val="20"/>
              </w:rPr>
              <w:t xml:space="preserve">Não é renda </w:t>
            </w:r>
            <w:r w:rsidRPr="0003612C">
              <w:rPr>
                <w:i/>
                <w:sz w:val="20"/>
                <w:szCs w:val="20"/>
              </w:rPr>
              <w:t>per se</w:t>
            </w:r>
            <w:r w:rsidRPr="0003612C">
              <w:rPr>
                <w:sz w:val="20"/>
                <w:szCs w:val="20"/>
              </w:rPr>
              <w:t>, mas transferência de propriedade.</w:t>
            </w:r>
          </w:p>
        </w:tc>
      </w:tr>
    </w:tbl>
    <w:p w14:paraId="224693FB" w14:textId="4B27DB0F" w:rsidR="001A4751" w:rsidRPr="0003612C" w:rsidRDefault="001A4751" w:rsidP="00BF6F09">
      <w:pPr>
        <w:spacing w:before="40" w:line="360" w:lineRule="auto"/>
        <w:rPr>
          <w:rFonts w:eastAsia="Calibri"/>
          <w:sz w:val="20"/>
          <w:szCs w:val="20"/>
        </w:rPr>
      </w:pPr>
      <w:r w:rsidRPr="0003612C">
        <w:rPr>
          <w:rFonts w:eastAsia="Calibri"/>
          <w:sz w:val="20"/>
          <w:szCs w:val="20"/>
        </w:rPr>
        <w:t xml:space="preserve">Fonte: </w:t>
      </w:r>
      <w:r w:rsidR="00033340">
        <w:rPr>
          <w:rFonts w:eastAsia="Calibri"/>
          <w:sz w:val="20"/>
          <w:szCs w:val="20"/>
        </w:rPr>
        <w:t xml:space="preserve">elaboração própria com </w:t>
      </w:r>
      <w:r w:rsidRPr="0003612C">
        <w:rPr>
          <w:rFonts w:eastAsia="Calibri"/>
          <w:sz w:val="20"/>
          <w:szCs w:val="20"/>
        </w:rPr>
        <w:t xml:space="preserve">base em </w:t>
      </w:r>
      <w:proofErr w:type="spellStart"/>
      <w:r w:rsidRPr="0003612C">
        <w:rPr>
          <w:rFonts w:eastAsia="Calibri"/>
          <w:sz w:val="20"/>
          <w:szCs w:val="20"/>
        </w:rPr>
        <w:t>Gobetti</w:t>
      </w:r>
      <w:proofErr w:type="spellEnd"/>
      <w:r w:rsidRPr="0003612C">
        <w:rPr>
          <w:rFonts w:eastAsia="Calibri"/>
          <w:sz w:val="20"/>
          <w:szCs w:val="20"/>
        </w:rPr>
        <w:t xml:space="preserve"> e </w:t>
      </w:r>
      <w:proofErr w:type="spellStart"/>
      <w:r w:rsidRPr="0003612C">
        <w:rPr>
          <w:rFonts w:eastAsia="Calibri"/>
          <w:sz w:val="20"/>
          <w:szCs w:val="20"/>
        </w:rPr>
        <w:t>Orair</w:t>
      </w:r>
      <w:proofErr w:type="spellEnd"/>
      <w:r w:rsidRPr="0003612C">
        <w:rPr>
          <w:rFonts w:eastAsia="Calibri"/>
          <w:sz w:val="20"/>
          <w:szCs w:val="20"/>
        </w:rPr>
        <w:t xml:space="preserve"> (2015).</w:t>
      </w:r>
    </w:p>
    <w:p w14:paraId="0F34A976" w14:textId="77777777" w:rsidR="001A4751" w:rsidRPr="00971206" w:rsidRDefault="001A4751">
      <w:pPr>
        <w:sectPr w:rsidR="001A4751" w:rsidRPr="00971206" w:rsidSect="001A4751">
          <w:pgSz w:w="16840" w:h="11900" w:orient="landscape"/>
          <w:pgMar w:top="1701" w:right="1418" w:bottom="1701" w:left="1418" w:header="709" w:footer="709" w:gutter="0"/>
          <w:cols w:space="708"/>
          <w:docGrid w:linePitch="360"/>
        </w:sectPr>
      </w:pPr>
    </w:p>
    <w:p w14:paraId="304509CF" w14:textId="77777777" w:rsidR="00AD76B0" w:rsidRPr="00971206" w:rsidRDefault="00AD76B0" w:rsidP="00AD76B0">
      <w:pPr>
        <w:ind w:firstLine="851"/>
        <w:jc w:val="both"/>
      </w:pPr>
      <w:r w:rsidRPr="00971206">
        <w:lastRenderedPageBreak/>
        <w:t>No caso dos rendimentos isentos, uma vez que é possível discriminar o grupo que recebe lucros e dividendos a partir de uma tabela própria fornecida no DIRPF, estes foram distribuídos em proporção da renda isenta das faixas superiores sobre o volume total de renda isenta desse grupo de estratos. Com o saldo remanescente, foi aplicada a mesma sequência de pesos para a distribuição dos rendimentos sujeitos à tributação exclusiva: em uma primeira etapa estimou-se um peso para as categorias de rendimento do trabalho a partir da proporção dos rendimentos tributáveis em relação</w:t>
      </w:r>
      <w:r>
        <w:t xml:space="preserve"> </w:t>
      </w:r>
      <w:r w:rsidRPr="00971206">
        <w:t>aos isentos e, na segunda etapa, distribuiu-se as categorias de rendimentos do capital conforme a renda isenta remanescente para cada faixa superior</w:t>
      </w:r>
      <w:r w:rsidRPr="00971206">
        <w:rPr>
          <w:rStyle w:val="Refdenotaderodap"/>
          <w:rFonts w:eastAsia="Calibri"/>
        </w:rPr>
        <w:footnoteReference w:id="9"/>
      </w:r>
      <w:r w:rsidRPr="00971206">
        <w:t>.</w:t>
      </w:r>
    </w:p>
    <w:p w14:paraId="63961BF2" w14:textId="77777777" w:rsidR="00AD76B0" w:rsidRPr="00971206" w:rsidRDefault="00AD76B0" w:rsidP="00AD76B0"/>
    <w:p w14:paraId="42D46852" w14:textId="77777777" w:rsidR="000513FD" w:rsidRPr="00971206" w:rsidRDefault="000513FD" w:rsidP="0063108B">
      <w:r w:rsidRPr="00971206">
        <w:rPr>
          <w:i/>
          <w:u w:val="single"/>
        </w:rPr>
        <w:t>POF</w:t>
      </w:r>
    </w:p>
    <w:p w14:paraId="69B2EC86" w14:textId="77777777" w:rsidR="000513FD" w:rsidRPr="00971206" w:rsidRDefault="000513FD" w:rsidP="000513FD">
      <w:pPr>
        <w:jc w:val="both"/>
      </w:pPr>
    </w:p>
    <w:p w14:paraId="55A7798D" w14:textId="77777777" w:rsidR="0003612C" w:rsidRDefault="000513FD" w:rsidP="0003612C">
      <w:pPr>
        <w:ind w:firstLine="851"/>
        <w:jc w:val="both"/>
      </w:pPr>
      <w:r w:rsidRPr="00971206">
        <w:t>Com a base de dados da POF, foram extraídos os rendimentos declarados pelos indivíduos, com discriminação entre rendimentos vinculados ao trabalho e ao capital. Os indivíduos com idade abaixo de 18 anos foram excluídos da base (ao todo, representavam 0,4% da renda total, o que foi desconsiderado no exercício). As despesas de consumo são dispostas por unidade domiciliar, porém, como os dados do DIRPF são apurados por indivíduo, foi necessário realizar uma imputação das despesas da POF para a transição de domicílio para indivíduo nesta. Assim, as despesas foram imputadas em proporção da renda de cada indivíduo remanescente (com a exclusão dos menores de 18 anos) na unidade domiciliar. Os indivíduos então foram ordenados pela renda e estratificados em duas mil partes,</w:t>
      </w:r>
      <w:r w:rsidR="007F048B" w:rsidRPr="00971206">
        <w:t xml:space="preserve"> ou seja, em ½ milésimos da população</w:t>
      </w:r>
      <w:r w:rsidRPr="00971206">
        <w:t xml:space="preserve"> </w:t>
      </w:r>
      <w:r w:rsidR="007F048B" w:rsidRPr="00971206">
        <w:t>(0,05 percentis)</w:t>
      </w:r>
      <w:r w:rsidR="00346D37" w:rsidRPr="00971206">
        <w:t xml:space="preserve"> </w:t>
      </w:r>
      <w:r w:rsidRPr="00971206">
        <w:t xml:space="preserve">da população adulta total. </w:t>
      </w:r>
    </w:p>
    <w:p w14:paraId="148ED719" w14:textId="77777777" w:rsidR="0003612C" w:rsidRDefault="000513FD" w:rsidP="0003612C">
      <w:pPr>
        <w:ind w:firstLine="851"/>
        <w:jc w:val="both"/>
      </w:pPr>
      <w:r w:rsidRPr="00971206">
        <w:t>Em seguida, para contornar possível subestimação da renda nos rendimentos dos estratos inferiores, aplicou-se o procedimento aventado por Silveira (2008) e realizado por Siqueira, Nogueira e Souza (2012), que consiste em eliminar os eventuais déficits orçamentários ajustando a renda declarada pelo indivíduo à sua despesa.</w:t>
      </w:r>
    </w:p>
    <w:p w14:paraId="3E4EC1E7" w14:textId="2E231FFC" w:rsidR="009C1D67" w:rsidRPr="00971206" w:rsidRDefault="000513FD" w:rsidP="0003612C">
      <w:pPr>
        <w:ind w:firstLine="851"/>
        <w:jc w:val="both"/>
      </w:pPr>
      <w:r w:rsidRPr="00971206">
        <w:t xml:space="preserve">As rendas mais altas, por sua vez, foram </w:t>
      </w:r>
      <w:r w:rsidR="008D07C8" w:rsidRPr="00971206">
        <w:t xml:space="preserve">substituídas </w:t>
      </w:r>
      <w:r w:rsidRPr="00971206">
        <w:t>pela</w:t>
      </w:r>
      <w:r w:rsidR="008D07C8" w:rsidRPr="00971206">
        <w:t>s rendas do topo da</w:t>
      </w:r>
      <w:r w:rsidRPr="00971206">
        <w:t xml:space="preserve"> base de dados do DIRPF,</w:t>
      </w:r>
      <w:r w:rsidR="00F17116" w:rsidRPr="00971206">
        <w:t xml:space="preserve"> controlando-se pela população </w:t>
      </w:r>
      <w:r w:rsidR="00EC36BA" w:rsidRPr="00971206">
        <w:t xml:space="preserve">equivalente </w:t>
      </w:r>
      <w:r w:rsidR="00F17116" w:rsidRPr="00971206">
        <w:t>no topo das duas bases de dados.</w:t>
      </w:r>
      <w:r w:rsidRPr="00971206">
        <w:t xml:space="preserve"> </w:t>
      </w:r>
      <w:r w:rsidR="00F17116" w:rsidRPr="00971206">
        <w:t>Assim, o</w:t>
      </w:r>
      <w:r w:rsidRPr="00971206">
        <w:t>s estratos a partir de cinco SM – equivalentes, em população, aos nove percentis superiores da POF – foram utilizados no ajuste, com base na premissa de que esse valor mínimo mensal obriga todos os indivíduos com tal renda a declararem o IRPF, o que garante que este topo seja equivalente</w:t>
      </w:r>
      <w:r w:rsidR="00F17116" w:rsidRPr="00971206">
        <w:t xml:space="preserve"> em população</w:t>
      </w:r>
      <w:r w:rsidRPr="00971206">
        <w:t xml:space="preserve"> ao topo da POF</w:t>
      </w:r>
      <w:r w:rsidR="00F17116" w:rsidRPr="00971206">
        <w:t>, com a vantagem de refletir de maneira mais fidedigna a renda apropriada pelos estratos superiores</w:t>
      </w:r>
      <w:r w:rsidRPr="00971206">
        <w:t>.</w:t>
      </w:r>
      <w:r w:rsidR="00FA0B99" w:rsidRPr="00971206">
        <w:t xml:space="preserve"> Em seguida, os estratos que não foram ajustados pela renda do DIRPF sofreram ajuste linear em sua renda para que a soma total da base resultasse na RDB.</w:t>
      </w:r>
    </w:p>
    <w:p w14:paraId="6BE76167" w14:textId="77777777" w:rsidR="00C67B86" w:rsidRPr="00971206" w:rsidRDefault="00C67B86" w:rsidP="000513FD">
      <w:pPr>
        <w:jc w:val="both"/>
      </w:pPr>
    </w:p>
    <w:p w14:paraId="0A4377F0" w14:textId="38B73E26" w:rsidR="000513FD" w:rsidRPr="00971206" w:rsidRDefault="00C67B86" w:rsidP="00A4671F">
      <w:pPr>
        <w:rPr>
          <w:i/>
          <w:u w:val="single"/>
        </w:rPr>
      </w:pPr>
      <w:r w:rsidRPr="00971206">
        <w:rPr>
          <w:i/>
          <w:u w:val="single"/>
        </w:rPr>
        <w:t>Base combinada POF-DIRPF</w:t>
      </w:r>
      <w:r w:rsidR="000513FD" w:rsidRPr="00971206">
        <w:rPr>
          <w:i/>
          <w:u w:val="single"/>
        </w:rPr>
        <w:t xml:space="preserve"> </w:t>
      </w:r>
    </w:p>
    <w:p w14:paraId="595CDCD2" w14:textId="77777777" w:rsidR="000513FD" w:rsidRPr="00971206" w:rsidRDefault="000513FD" w:rsidP="000513FD">
      <w:pPr>
        <w:jc w:val="both"/>
      </w:pPr>
    </w:p>
    <w:p w14:paraId="36F3711F" w14:textId="77777777" w:rsidR="0003612C" w:rsidRDefault="0059784A" w:rsidP="0003612C">
      <w:pPr>
        <w:ind w:firstLine="851"/>
        <w:jc w:val="both"/>
      </w:pPr>
      <w:r w:rsidRPr="00971206">
        <w:t>Com a base resultante</w:t>
      </w:r>
      <w:r w:rsidR="00EC36BA" w:rsidRPr="00971206">
        <w:t xml:space="preserve"> da combinação dos dados da POF e DIRPF, os rendimentos</w:t>
      </w:r>
      <w:r w:rsidR="000513FD" w:rsidRPr="00971206">
        <w:t xml:space="preserve"> foram </w:t>
      </w:r>
      <w:r w:rsidR="00EC36BA" w:rsidRPr="00971206">
        <w:t xml:space="preserve">classificados </w:t>
      </w:r>
      <w:r w:rsidR="000513FD" w:rsidRPr="00971206">
        <w:t>separadamente entre renda do trabalho e do capital – com desagregação para os rendimentos isentos por moléstia grave</w:t>
      </w:r>
      <w:r w:rsidR="00EC36BA" w:rsidRPr="00971206">
        <w:t xml:space="preserve"> (trabalho)</w:t>
      </w:r>
      <w:r w:rsidR="000513FD" w:rsidRPr="00971206">
        <w:t>, parcela isenta por aposentadoria</w:t>
      </w:r>
      <w:r w:rsidR="00EC36BA" w:rsidRPr="00971206">
        <w:t xml:space="preserve"> (trabalho)</w:t>
      </w:r>
      <w:r w:rsidR="000513FD" w:rsidRPr="00971206">
        <w:t xml:space="preserve"> e lucros e dividendos</w:t>
      </w:r>
      <w:r w:rsidR="00EC36BA" w:rsidRPr="00971206">
        <w:t xml:space="preserve"> (capital)</w:t>
      </w:r>
      <w:r w:rsidR="000513FD" w:rsidRPr="00971206">
        <w:t xml:space="preserve">. Para cada </w:t>
      </w:r>
      <w:r w:rsidR="007F048B" w:rsidRPr="00971206">
        <w:t>estrato de 0,5 milésimos</w:t>
      </w:r>
      <w:r w:rsidR="00346D37" w:rsidRPr="00971206">
        <w:t xml:space="preserve"> </w:t>
      </w:r>
      <w:r w:rsidR="000513FD" w:rsidRPr="00971206">
        <w:t xml:space="preserve">da população, </w:t>
      </w:r>
      <w:r w:rsidR="00EC36BA" w:rsidRPr="00971206">
        <w:t>a composição d</w:t>
      </w:r>
      <w:r w:rsidR="00A1646C" w:rsidRPr="00971206">
        <w:t>os</w:t>
      </w:r>
      <w:r w:rsidR="000513FD" w:rsidRPr="00971206">
        <w:t xml:space="preserve"> rendimentos </w:t>
      </w:r>
      <w:r w:rsidR="00EC36BA" w:rsidRPr="00971206">
        <w:t xml:space="preserve">foi parametrizada </w:t>
      </w:r>
      <w:r w:rsidR="000513FD" w:rsidRPr="00971206">
        <w:t xml:space="preserve">de acordo </w:t>
      </w:r>
      <w:r w:rsidR="000513FD" w:rsidRPr="00971206">
        <w:lastRenderedPageBreak/>
        <w:t>com a proporção apresentada no DIRPF</w:t>
      </w:r>
      <w:r w:rsidR="00A1646C" w:rsidRPr="00971206">
        <w:rPr>
          <w:rStyle w:val="Refdenotaderodap"/>
        </w:rPr>
        <w:footnoteReference w:id="10"/>
      </w:r>
      <w:r w:rsidR="000513FD" w:rsidRPr="00971206">
        <w:t xml:space="preserve">. O mesmo procedimento foi seguido para a atribuição dos valores da base de cálculo do IRPF e das deduções de saúde e educação. </w:t>
      </w:r>
    </w:p>
    <w:p w14:paraId="665B8FFE" w14:textId="3C9839F0" w:rsidR="000513FD" w:rsidRPr="00971206" w:rsidRDefault="000513FD" w:rsidP="0003612C">
      <w:pPr>
        <w:ind w:firstLine="851"/>
        <w:jc w:val="both"/>
      </w:pPr>
      <w:r w:rsidRPr="00971206">
        <w:t>De posse dessas variáveis – a renda do trabalho, os lucros e dividendos, rendimentos isentos de aposentadoria, deduções e base de cálculo – foi possível então aplicar variações na estrutura tributária de modo a aferir como essas variações afetam a distribuição de renda.</w:t>
      </w:r>
    </w:p>
    <w:p w14:paraId="61AFEF18" w14:textId="77777777" w:rsidR="000513FD" w:rsidRPr="00971206" w:rsidRDefault="000513FD" w:rsidP="000513FD">
      <w:pPr>
        <w:jc w:val="both"/>
      </w:pPr>
    </w:p>
    <w:p w14:paraId="3574542B" w14:textId="77777777" w:rsidR="000513FD" w:rsidRPr="00971206" w:rsidRDefault="000513FD" w:rsidP="00A7498E">
      <w:pPr>
        <w:keepNext/>
        <w:jc w:val="both"/>
      </w:pPr>
      <w:r w:rsidRPr="00971206">
        <w:t>3.2 Método da estimação</w:t>
      </w:r>
    </w:p>
    <w:p w14:paraId="4ACDD767" w14:textId="77777777" w:rsidR="00523B40" w:rsidRPr="00971206" w:rsidRDefault="00523B40" w:rsidP="008467EA">
      <w:pPr>
        <w:jc w:val="both"/>
      </w:pPr>
    </w:p>
    <w:p w14:paraId="02646AC4" w14:textId="77777777" w:rsidR="0003612C" w:rsidRDefault="00523B40" w:rsidP="0003612C">
      <w:pPr>
        <w:ind w:firstLine="851"/>
        <w:jc w:val="both"/>
      </w:pPr>
      <w:r w:rsidRPr="00971206">
        <w:t>A estrutura de distribuição da renda resultante</w:t>
      </w:r>
      <w:r w:rsidR="005714DC" w:rsidRPr="00971206">
        <w:t xml:space="preserve"> da metodologia utilizada é composta </w:t>
      </w:r>
      <w:r w:rsidR="005054F9" w:rsidRPr="00971206">
        <w:t>de</w:t>
      </w:r>
      <w:r w:rsidRPr="00971206">
        <w:t xml:space="preserve"> 2000 estratos populacionais</w:t>
      </w:r>
      <w:r w:rsidR="005F20CA" w:rsidRPr="00971206">
        <w:t>,</w:t>
      </w:r>
      <w:r w:rsidRPr="00971206">
        <w:t xml:space="preserve"> ordenados </w:t>
      </w:r>
      <w:r w:rsidR="005714DC" w:rsidRPr="00971206">
        <w:t xml:space="preserve">pela </w:t>
      </w:r>
      <w:r w:rsidRPr="00971206">
        <w:t xml:space="preserve">renda bruta mensal da população adulta </w:t>
      </w:r>
      <w:r w:rsidR="005F20CA" w:rsidRPr="00971206">
        <w:t>(18 anos ou mais)</w:t>
      </w:r>
      <w:r w:rsidRPr="00971206">
        <w:t xml:space="preserve">, sendo estimados também os valores da renda de capital, das deduções em saúde e educação, dos rendimentos isentos – lucros e dividendos, parcela isenta de aposentadorias e </w:t>
      </w:r>
      <w:r w:rsidR="009D698B" w:rsidRPr="00971206">
        <w:t>isenção</w:t>
      </w:r>
      <w:r w:rsidRPr="00971206">
        <w:t xml:space="preserve"> para </w:t>
      </w:r>
      <w:r w:rsidR="005714DC" w:rsidRPr="00971206">
        <w:t>portadores de</w:t>
      </w:r>
      <w:r w:rsidRPr="00971206">
        <w:t xml:space="preserve"> moléstias graves – e o imp</w:t>
      </w:r>
      <w:r w:rsidR="005054F9" w:rsidRPr="00971206">
        <w:t>osto devido para o ano de 2008. O</w:t>
      </w:r>
      <w:r w:rsidRPr="00971206">
        <w:t xml:space="preserve">u seja, </w:t>
      </w:r>
      <w:r w:rsidR="005054F9" w:rsidRPr="00971206">
        <w:t>por meio da compatibilização dos</w:t>
      </w:r>
      <w:r w:rsidRPr="00971206">
        <w:t xml:space="preserve"> dados da POF 2008/09 com os dados </w:t>
      </w:r>
      <w:r w:rsidR="00131F56" w:rsidRPr="00971206">
        <w:t xml:space="preserve">do </w:t>
      </w:r>
      <w:r w:rsidR="005F20CA" w:rsidRPr="00971206">
        <w:t>D</w:t>
      </w:r>
      <w:r w:rsidR="009D698B" w:rsidRPr="00971206">
        <w:t xml:space="preserve">IRPF e </w:t>
      </w:r>
      <w:r w:rsidR="005054F9" w:rsidRPr="00971206">
        <w:t>de Castro (</w:t>
      </w:r>
      <w:r w:rsidR="00C33E6C" w:rsidRPr="00971206">
        <w:t>2014</w:t>
      </w:r>
      <w:r w:rsidR="005054F9" w:rsidRPr="00971206">
        <w:t>)</w:t>
      </w:r>
      <w:r w:rsidR="005714DC" w:rsidRPr="00971206">
        <w:t>,</w:t>
      </w:r>
      <w:r w:rsidR="005054F9" w:rsidRPr="00971206">
        <w:t xml:space="preserve"> estimou-se a estrutura de distribuição da renda total </w:t>
      </w:r>
      <w:r w:rsidR="005F20CA" w:rsidRPr="00971206">
        <w:t xml:space="preserve">no Brasil </w:t>
      </w:r>
      <w:r w:rsidR="005054F9" w:rsidRPr="00971206">
        <w:t xml:space="preserve">e de suas principais categorias (trabalho e capital), das isenções e deduções selecionadas – </w:t>
      </w:r>
      <w:r w:rsidR="00C33E6C" w:rsidRPr="00971206">
        <w:t>parcela isenta</w:t>
      </w:r>
      <w:r w:rsidR="005054F9" w:rsidRPr="00971206">
        <w:t xml:space="preserve">, </w:t>
      </w:r>
      <w:r w:rsidR="005F20CA" w:rsidRPr="00971206">
        <w:t>moléstias graves</w:t>
      </w:r>
      <w:r w:rsidR="005054F9" w:rsidRPr="00971206">
        <w:t xml:space="preserve"> e gastos em saúde e educação</w:t>
      </w:r>
      <w:r w:rsidR="0097648B" w:rsidRPr="00971206">
        <w:t>.</w:t>
      </w:r>
      <w:r w:rsidR="0042666B" w:rsidRPr="00971206">
        <w:t xml:space="preserve"> </w:t>
      </w:r>
    </w:p>
    <w:p w14:paraId="7A21AE65" w14:textId="3990C864" w:rsidR="003560DE" w:rsidRPr="00971206" w:rsidRDefault="001C19A2" w:rsidP="0003612C">
      <w:pPr>
        <w:ind w:firstLine="851"/>
        <w:jc w:val="both"/>
      </w:pPr>
      <w:r w:rsidRPr="00971206">
        <w:t>Por fim, cumpre destacar que a</w:t>
      </w:r>
      <w:r w:rsidR="00050449" w:rsidRPr="00971206">
        <w:t>s estimativas do impacto de alterações no IRPF</w:t>
      </w:r>
      <w:r w:rsidR="00A756DF" w:rsidRPr="00971206">
        <w:t xml:space="preserve"> – </w:t>
      </w:r>
      <w:r w:rsidR="00050449" w:rsidRPr="00971206">
        <w:t>com</w:t>
      </w:r>
      <w:r w:rsidR="00A756DF" w:rsidRPr="00971206">
        <w:t>o</w:t>
      </w:r>
      <w:r w:rsidR="00050449" w:rsidRPr="00971206">
        <w:t xml:space="preserve"> a incidência da tabela progressiva </w:t>
      </w:r>
      <w:r w:rsidR="00A756DF" w:rsidRPr="00971206">
        <w:t xml:space="preserve">sobre </w:t>
      </w:r>
      <w:r w:rsidR="004E4D19" w:rsidRPr="00971206">
        <w:t>as aposentadorias</w:t>
      </w:r>
      <w:r w:rsidR="00A756DF" w:rsidRPr="00971206">
        <w:t xml:space="preserve"> de forma integral,</w:t>
      </w:r>
      <w:r w:rsidR="00050449" w:rsidRPr="00971206">
        <w:t xml:space="preserve"> sem </w:t>
      </w:r>
      <w:r w:rsidR="00A756DF" w:rsidRPr="00971206">
        <w:t>a parcela isenta; ou</w:t>
      </w:r>
      <w:r w:rsidR="00050449" w:rsidRPr="00971206">
        <w:t xml:space="preserve"> </w:t>
      </w:r>
      <w:r w:rsidR="00A756DF" w:rsidRPr="00971206">
        <w:t xml:space="preserve">o fim da isenção para as aposentadorias </w:t>
      </w:r>
      <w:r w:rsidR="00050449" w:rsidRPr="00971206">
        <w:t>de doentes crônicos</w:t>
      </w:r>
      <w:r w:rsidR="00A756DF" w:rsidRPr="00971206">
        <w:t>;</w:t>
      </w:r>
      <w:r w:rsidR="00050449" w:rsidRPr="00971206">
        <w:t xml:space="preserve"> e </w:t>
      </w:r>
      <w:r w:rsidR="00A756DF" w:rsidRPr="00971206">
        <w:t>da extinção</w:t>
      </w:r>
      <w:r w:rsidR="00050449" w:rsidRPr="00971206">
        <w:t xml:space="preserve"> das deduções em educação e saúde </w:t>
      </w:r>
      <w:r w:rsidR="00A756DF" w:rsidRPr="00971206">
        <w:t xml:space="preserve">– </w:t>
      </w:r>
      <w:r w:rsidR="00050449" w:rsidRPr="00971206">
        <w:t>podem ser bastante afetadas pe</w:t>
      </w:r>
      <w:r w:rsidR="004E4D19" w:rsidRPr="00971206">
        <w:t xml:space="preserve">lo fato dos dados do IRPF estarem agregados por faixas de rendimento. No caso das doenças crônicas, cujo universo de beneficiários é relativamente reduzido, sua concentração nos estratos superiores de renda diminui potenciais desvios. Já a </w:t>
      </w:r>
      <w:r w:rsidR="00A756DF" w:rsidRPr="00971206">
        <w:t>parcela isenta da aposentadoria</w:t>
      </w:r>
      <w:r w:rsidR="004E4D19" w:rsidRPr="00971206">
        <w:t>, cujos beneficiários se distribuem por todas as faixas de renda e são de pouca expressão</w:t>
      </w:r>
      <w:r w:rsidR="00A756DF" w:rsidRPr="00971206">
        <w:t>,</w:t>
      </w:r>
      <w:r w:rsidR="004E4D19" w:rsidRPr="00971206">
        <w:t xml:space="preserve"> implica maiores desvios nas estimativas. Educação e Saúde</w:t>
      </w:r>
      <w:r w:rsidR="00A756DF" w:rsidRPr="00971206">
        <w:t>,</w:t>
      </w:r>
      <w:r w:rsidR="004E4D19" w:rsidRPr="00971206">
        <w:t xml:space="preserve"> por serem empregados por um contingente expressivo de beneficiários</w:t>
      </w:r>
      <w:r w:rsidR="00A756DF" w:rsidRPr="00971206">
        <w:t>,</w:t>
      </w:r>
      <w:r w:rsidR="004E4D19" w:rsidRPr="00971206">
        <w:t xml:space="preserve"> </w:t>
      </w:r>
      <w:r w:rsidR="00A756DF" w:rsidRPr="00971206">
        <w:t xml:space="preserve">têm </w:t>
      </w:r>
      <w:r w:rsidR="00DE2152" w:rsidRPr="00971206">
        <w:t>suas estimativas menos afetadas</w:t>
      </w:r>
      <w:r w:rsidR="004E4D19" w:rsidRPr="00971206">
        <w:t xml:space="preserve"> pelo uso dos valores médios dos</w:t>
      </w:r>
      <w:r w:rsidR="00DE2152" w:rsidRPr="00971206">
        <w:t xml:space="preserve"> estratos sem conhecimento do nú</w:t>
      </w:r>
      <w:r w:rsidR="004E4D19" w:rsidRPr="00971206">
        <w:t xml:space="preserve">mero de declarantes que realizaram tais deduções. </w:t>
      </w:r>
    </w:p>
    <w:p w14:paraId="792C5525" w14:textId="77777777" w:rsidR="0093175A" w:rsidRPr="00971206" w:rsidRDefault="0093175A" w:rsidP="005D204B">
      <w:pPr>
        <w:jc w:val="both"/>
      </w:pPr>
    </w:p>
    <w:p w14:paraId="34CB6168" w14:textId="77777777" w:rsidR="00ED4F4E" w:rsidRPr="00F3014C" w:rsidRDefault="007C1340">
      <w:pPr>
        <w:pStyle w:val="PargrafodaLista"/>
        <w:keepNext/>
        <w:numPr>
          <w:ilvl w:val="0"/>
          <w:numId w:val="1"/>
        </w:numPr>
        <w:jc w:val="both"/>
        <w:rPr>
          <w:rFonts w:ascii="Times New Roman" w:hAnsi="Times New Roman" w:cs="Times New Roman"/>
          <w:b/>
          <w:bCs/>
        </w:rPr>
      </w:pPr>
      <w:r w:rsidRPr="00F3014C">
        <w:rPr>
          <w:rFonts w:ascii="Times New Roman" w:hAnsi="Times New Roman" w:cs="Times New Roman"/>
          <w:b/>
          <w:bCs/>
        </w:rPr>
        <w:t>Resultados</w:t>
      </w:r>
    </w:p>
    <w:p w14:paraId="79545929" w14:textId="76DF1A6D" w:rsidR="00331F87" w:rsidRPr="00971206" w:rsidRDefault="00331F87">
      <w:pPr>
        <w:jc w:val="both"/>
      </w:pPr>
    </w:p>
    <w:p w14:paraId="0B910010" w14:textId="5D5A1FF6" w:rsidR="00720062" w:rsidRPr="00971206" w:rsidRDefault="00720062" w:rsidP="0003612C">
      <w:pPr>
        <w:ind w:firstLine="851"/>
        <w:jc w:val="both"/>
      </w:pPr>
      <w:r w:rsidRPr="00971206">
        <w:t xml:space="preserve">Como dito, estimaram-se os impactos redistributivos provenientes de três isenções (lucros e dividendos, aposentadorias e doentes crônicos) e duas deduções (saúde e educação pública). A seleção da isenção de lucros e dividendos se deve a sua excepcionalidade em comparação com a tributação em outros países e pela enorme importância entre </w:t>
      </w:r>
      <w:proofErr w:type="gramStart"/>
      <w:r w:rsidRPr="00971206">
        <w:t>as renda</w:t>
      </w:r>
      <w:proofErr w:type="gramEnd"/>
      <w:r w:rsidRPr="00971206">
        <w:t xml:space="preserve"> isentas e nos rendimentos dos mais ricos. Já em relação as outras isenções aqui tratadas, se inscrever nas politicas de assistência social (no caso, aos idosos), a importância relativa de seu montante (12% dos rendimentos isentos) e a pouca atenção que esses benefícios apresentam na literatura, quando se debatem novas regras previdenciárias, sustentam a escolha. Já as deduções em saúde e educação devem ter seus efeitos redistributivos avaliados, quando se sabe que a oferta pública desses bens e </w:t>
      </w:r>
      <w:r w:rsidRPr="00971206">
        <w:lastRenderedPageBreak/>
        <w:t>serviços são, dentre as politicas tributaria e de gasto social, as de maior impacto redistributivo, mas que apresenta dificuldades de financiamento e gestão.</w:t>
      </w:r>
    </w:p>
    <w:p w14:paraId="4D1F725C" w14:textId="77777777" w:rsidR="00720062" w:rsidRPr="00971206" w:rsidRDefault="00720062" w:rsidP="00331F87">
      <w:pPr>
        <w:jc w:val="both"/>
      </w:pPr>
    </w:p>
    <w:p w14:paraId="584BAFB3" w14:textId="4B2889D1" w:rsidR="00720062" w:rsidRPr="00971206" w:rsidRDefault="00720062" w:rsidP="00720062">
      <w:pPr>
        <w:pStyle w:val="PargrafodaLista"/>
        <w:keepNext/>
        <w:jc w:val="both"/>
        <w:rPr>
          <w:rFonts w:ascii="Times New Roman" w:hAnsi="Times New Roman" w:cs="Times New Roman"/>
        </w:rPr>
      </w:pPr>
      <w:r w:rsidRPr="00971206">
        <w:rPr>
          <w:rFonts w:ascii="Times New Roman" w:hAnsi="Times New Roman" w:cs="Times New Roman"/>
        </w:rPr>
        <w:t>4.1 Estimativas das estruturas de distribuição dos benefícios fiscais do IRPF</w:t>
      </w:r>
    </w:p>
    <w:p w14:paraId="431EC865" w14:textId="77777777" w:rsidR="00720062" w:rsidRPr="00971206" w:rsidRDefault="00720062" w:rsidP="00331F87">
      <w:pPr>
        <w:jc w:val="both"/>
      </w:pPr>
    </w:p>
    <w:p w14:paraId="348C6FA2" w14:textId="185D01E7" w:rsidR="00331F87" w:rsidRPr="00971206" w:rsidRDefault="00EB1D14" w:rsidP="0003612C">
      <w:pPr>
        <w:ind w:firstLine="851"/>
        <w:jc w:val="both"/>
      </w:pPr>
      <w:r w:rsidRPr="00971206">
        <w:t xml:space="preserve">Pelo Gráfico </w:t>
      </w:r>
      <w:r w:rsidR="002F7998" w:rsidRPr="00971206">
        <w:t>3</w:t>
      </w:r>
      <w:r w:rsidRPr="00971206">
        <w:t>, produzido a</w:t>
      </w:r>
      <w:r w:rsidR="00331F87" w:rsidRPr="00971206">
        <w:t xml:space="preserve"> partir da </w:t>
      </w:r>
      <w:r w:rsidRPr="00971206">
        <w:t>base de dados elaborada para essa pesquisa,</w:t>
      </w:r>
      <w:r w:rsidR="00331F87" w:rsidRPr="00971206">
        <w:t xml:space="preserve"> fica patente a desigualdade de renda brasileira, com os 80% mais pobres apropriando-se de 28% da renda, enquanto os 0,1% mais ricos se apropriam de 14% desse quinhão. Os 1% mais ricos se apropriam de 28% da renda total, sendo cerca de 81% dessa renda proveniente do capital e apenas 19% composto por rendimentos do trabalho</w:t>
      </w:r>
      <w:r w:rsidR="00820AA8" w:rsidRPr="00971206">
        <w:rPr>
          <w:rStyle w:val="Refdenotaderodap"/>
        </w:rPr>
        <w:footnoteReference w:id="11"/>
      </w:r>
      <w:r w:rsidR="00331F87" w:rsidRPr="00971206">
        <w:t>. No que concerne aos benefícios</w:t>
      </w:r>
      <w:r w:rsidR="00D30D01" w:rsidRPr="00971206">
        <w:t>,</w:t>
      </w:r>
      <w:r w:rsidR="00331F87" w:rsidRPr="00971206">
        <w:t xml:space="preserve"> verifica-se de modo explícito quão regressiva é a isenção das pensões por doenças crônicas, com os 1% mais ricos respondendo por metade (49%) desses rendimentos, superando a fatia de 80% quando se trata dos 5% mais ricos. </w:t>
      </w:r>
    </w:p>
    <w:p w14:paraId="0941A99E" w14:textId="77777777" w:rsidR="00331F87" w:rsidRPr="00971206" w:rsidRDefault="00331F87" w:rsidP="00331F87"/>
    <w:p w14:paraId="3714CF17" w14:textId="2A269A3E" w:rsidR="003204EA" w:rsidRPr="00971206" w:rsidRDefault="00331F87" w:rsidP="009E46B1">
      <w:pPr>
        <w:keepNext/>
        <w:spacing w:after="120"/>
        <w:jc w:val="both"/>
      </w:pPr>
      <w:r w:rsidRPr="00971206">
        <w:t xml:space="preserve">Gráfico </w:t>
      </w:r>
      <w:r w:rsidR="002F7998" w:rsidRPr="00971206">
        <w:t>3</w:t>
      </w:r>
      <w:r w:rsidRPr="00971206">
        <w:t xml:space="preserve"> – Estrutura de distribuição das rendas total, do trabalho e do capital, da parcela isenta das aposentadorias, da isenção das pensões por doenças crônicas e dos gastos deduzidos em saúde e educação, para estratos selecionados de renda total – Brasil, 2008.</w:t>
      </w:r>
    </w:p>
    <w:p w14:paraId="34598424" w14:textId="77777777" w:rsidR="00E330F6" w:rsidRPr="00971206" w:rsidRDefault="00E330F6" w:rsidP="00AC6F19">
      <w:r w:rsidRPr="00971206">
        <w:rPr>
          <w:noProof/>
        </w:rPr>
        <w:drawing>
          <wp:inline distT="0" distB="0" distL="0" distR="0" wp14:anchorId="42FDE1CE" wp14:editId="20CC75D4">
            <wp:extent cx="5396230" cy="3681095"/>
            <wp:effectExtent l="0" t="0" r="1270" b="190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3681095"/>
                    </a:xfrm>
                    <a:prstGeom prst="rect">
                      <a:avLst/>
                    </a:prstGeom>
                  </pic:spPr>
                </pic:pic>
              </a:graphicData>
            </a:graphic>
          </wp:inline>
        </w:drawing>
      </w:r>
    </w:p>
    <w:p w14:paraId="692F2A4C" w14:textId="52814437" w:rsidR="00331F87" w:rsidRPr="0003612C" w:rsidRDefault="00331F87" w:rsidP="00331F87">
      <w:pPr>
        <w:spacing w:before="120"/>
        <w:ind w:firstLine="284"/>
        <w:jc w:val="both"/>
        <w:rPr>
          <w:sz w:val="20"/>
          <w:szCs w:val="20"/>
        </w:rPr>
      </w:pPr>
      <w:r w:rsidRPr="0003612C">
        <w:rPr>
          <w:sz w:val="20"/>
          <w:szCs w:val="20"/>
        </w:rPr>
        <w:t xml:space="preserve">Fonte: </w:t>
      </w:r>
      <w:r w:rsidR="00D30D01" w:rsidRPr="0003612C">
        <w:rPr>
          <w:sz w:val="20"/>
          <w:szCs w:val="20"/>
        </w:rPr>
        <w:t xml:space="preserve">Elaboração própria com dados da </w:t>
      </w:r>
      <w:r w:rsidRPr="0003612C">
        <w:rPr>
          <w:sz w:val="20"/>
          <w:szCs w:val="20"/>
        </w:rPr>
        <w:t xml:space="preserve">Receita Federal do Brasil, </w:t>
      </w:r>
      <w:proofErr w:type="spellStart"/>
      <w:r w:rsidRPr="0003612C">
        <w:rPr>
          <w:sz w:val="20"/>
          <w:szCs w:val="20"/>
        </w:rPr>
        <w:t>microdados</w:t>
      </w:r>
      <w:proofErr w:type="spellEnd"/>
      <w:r w:rsidRPr="0003612C">
        <w:rPr>
          <w:sz w:val="20"/>
          <w:szCs w:val="20"/>
        </w:rPr>
        <w:t xml:space="preserve"> da POF</w:t>
      </w:r>
      <w:r w:rsidR="00D30D01" w:rsidRPr="0003612C">
        <w:rPr>
          <w:sz w:val="20"/>
          <w:szCs w:val="20"/>
        </w:rPr>
        <w:t xml:space="preserve"> e</w:t>
      </w:r>
      <w:r w:rsidRPr="0003612C">
        <w:rPr>
          <w:sz w:val="20"/>
          <w:szCs w:val="20"/>
        </w:rPr>
        <w:t xml:space="preserve"> Contas Nacionais. </w:t>
      </w:r>
    </w:p>
    <w:p w14:paraId="5176A1EA" w14:textId="77777777" w:rsidR="00331F87" w:rsidRPr="00971206" w:rsidRDefault="00331F87" w:rsidP="00331F87"/>
    <w:p w14:paraId="4445D211" w14:textId="77777777" w:rsidR="0003612C" w:rsidRDefault="00D30D01" w:rsidP="0003612C">
      <w:pPr>
        <w:ind w:firstLine="851"/>
        <w:jc w:val="both"/>
      </w:pPr>
      <w:r w:rsidRPr="00971206">
        <w:t xml:space="preserve">Observa-se que a parcela </w:t>
      </w:r>
      <w:r w:rsidR="002F7998" w:rsidRPr="00971206">
        <w:t xml:space="preserve">isenta pela elevação do limite de IRPF para aposentados com </w:t>
      </w:r>
      <w:r w:rsidRPr="00971206">
        <w:t xml:space="preserve">65 anos ou mais </w:t>
      </w:r>
      <w:r w:rsidR="002F7998" w:rsidRPr="00971206">
        <w:t xml:space="preserve">se mostra o benefício com maior participação entre os declarantes situados entre o 80º e 95º percentil, ou seja, os beneficiários da base dos pagantes do IRPF, o que sugere caráter menos regressivo por parte desse benefício frente aos aqui analisados. O benefício para aposentados e pensionistas é usual em várias </w:t>
      </w:r>
      <w:r w:rsidR="002F7998" w:rsidRPr="00971206">
        <w:lastRenderedPageBreak/>
        <w:t>nações, tendo sua relação com o fato de as taxas de reposição das aposentadorias e pensões</w:t>
      </w:r>
      <w:r w:rsidR="002F7998" w:rsidRPr="00971206">
        <w:tab/>
        <w:t>situarem-se ao redor de 60%, diferentemente do caso brasileiro que chega a atingir quase 80% (OECD, 2017).</w:t>
      </w:r>
    </w:p>
    <w:p w14:paraId="5046072C" w14:textId="77777777" w:rsidR="0003612C" w:rsidRDefault="002F7998" w:rsidP="0003612C">
      <w:pPr>
        <w:ind w:firstLine="851"/>
        <w:jc w:val="both"/>
      </w:pPr>
      <w:r w:rsidRPr="00971206">
        <w:t xml:space="preserve">Assim como a parcela isenta, as deduções com </w:t>
      </w:r>
      <w:r w:rsidR="00D67D59" w:rsidRPr="00971206">
        <w:t>educação</w:t>
      </w:r>
      <w:r w:rsidRPr="00971206">
        <w:t xml:space="preserve"> apresentam um perfil menos concentrado, sobressaindo-se a menor participação dos 1% mais ricos e a importância dos situados entre o 90º e 99º percentil.</w:t>
      </w:r>
    </w:p>
    <w:p w14:paraId="28235592" w14:textId="77777777" w:rsidR="0003612C" w:rsidRDefault="00331F87" w:rsidP="0003612C">
      <w:pPr>
        <w:ind w:firstLine="851"/>
        <w:jc w:val="both"/>
      </w:pPr>
      <w:r w:rsidRPr="00971206">
        <w:t xml:space="preserve">As deduções relativas aos gastos com saúde, por não apresentarem limite determinado, se mostram muito regressivas, com a população da base dos declarantes do IRPF – 80º a 95º percentil – respondendo por somente 24% desses gastos, enquanto os 1% mais ricos concentram 27% desses gastos. Vale notar que os dados médios para esses gastos não são passiveis de serem realizados, uma vez que não se conta com o </w:t>
      </w:r>
      <w:r w:rsidR="00732C97" w:rsidRPr="00971206">
        <w:t>número</w:t>
      </w:r>
      <w:r w:rsidRPr="00971206">
        <w:t xml:space="preserve"> de declarantes que lançaram mão das deduções</w:t>
      </w:r>
      <w:r w:rsidR="008F7EFE" w:rsidRPr="00971206">
        <w:t>.</w:t>
      </w:r>
      <w:r w:rsidR="008F7EFE" w:rsidRPr="00971206">
        <w:rPr>
          <w:rStyle w:val="Refdenotaderodap"/>
        </w:rPr>
        <w:footnoteReference w:id="12"/>
      </w:r>
      <w:r w:rsidRPr="00971206">
        <w:t xml:space="preserve"> </w:t>
      </w:r>
    </w:p>
    <w:p w14:paraId="1EA7D778" w14:textId="45ECCA8D" w:rsidR="000E5BA4" w:rsidRPr="00971206" w:rsidRDefault="00331F87" w:rsidP="0003612C">
      <w:pPr>
        <w:ind w:firstLine="851"/>
        <w:jc w:val="both"/>
      </w:pPr>
      <w:r w:rsidRPr="00971206">
        <w:t xml:space="preserve">Na </w:t>
      </w:r>
      <w:r w:rsidR="000F52B9" w:rsidRPr="00971206">
        <w:t>T</w:t>
      </w:r>
      <w:r w:rsidRPr="00971206">
        <w:t>abela 5 são apresentados o valor total dos rendimentos isentos</w:t>
      </w:r>
      <w:r w:rsidR="00D10CB9" w:rsidRPr="00971206">
        <w:t>,</w:t>
      </w:r>
      <w:r w:rsidRPr="00971206">
        <w:t xml:space="preserve"> </w:t>
      </w:r>
      <w:r w:rsidR="000E5BA4" w:rsidRPr="00971206">
        <w:t xml:space="preserve">das </w:t>
      </w:r>
      <w:r w:rsidRPr="00971206">
        <w:t>deduções selecionadas e as respectivas estimativas</w:t>
      </w:r>
      <w:r w:rsidR="000E5BA4" w:rsidRPr="00971206">
        <w:t xml:space="preserve"> </w:t>
      </w:r>
      <w:r w:rsidR="00D10CB9" w:rsidRPr="00971206">
        <w:t>dos gastos tributários realizadas pela</w:t>
      </w:r>
      <w:r w:rsidR="000E5BA4" w:rsidRPr="00971206">
        <w:t xml:space="preserve"> </w:t>
      </w:r>
      <w:r w:rsidR="0007481E" w:rsidRPr="00971206">
        <w:t xml:space="preserve">Receita Federal </w:t>
      </w:r>
      <w:r w:rsidR="000E5BA4" w:rsidRPr="00971206">
        <w:t xml:space="preserve">e aqui </w:t>
      </w:r>
      <w:r w:rsidR="00346D37" w:rsidRPr="00971206">
        <w:t>desenvolvidas.</w:t>
      </w:r>
      <w:r w:rsidRPr="00971206">
        <w:t xml:space="preserve"> Como se pode notar</w:t>
      </w:r>
      <w:r w:rsidR="000E5BA4" w:rsidRPr="00971206">
        <w:t>, as diferenças são de pequena monta entre as estimativas relativ</w:t>
      </w:r>
      <w:r w:rsidR="005C5BB1" w:rsidRPr="00971206">
        <w:t>a</w:t>
      </w:r>
      <w:r w:rsidR="000E5BA4" w:rsidRPr="00971206">
        <w:t xml:space="preserve">s à isenção para aposentados e pensionistas com moléstias graves e </w:t>
      </w:r>
      <w:r w:rsidR="005C5BB1" w:rsidRPr="00971206">
        <w:t>à</w:t>
      </w:r>
      <w:r w:rsidR="000E5BA4" w:rsidRPr="00971206">
        <w:t>s deduções com educação. Com um</w:t>
      </w:r>
      <w:r w:rsidRPr="00971206">
        <w:t xml:space="preserve"> diferencial </w:t>
      </w:r>
      <w:r w:rsidR="000E5BA4" w:rsidRPr="00971206">
        <w:t>maior, mas não tão expressivo, se t</w:t>
      </w:r>
      <w:r w:rsidR="008443A5" w:rsidRPr="00971206">
        <w:t>ê</w:t>
      </w:r>
      <w:r w:rsidR="000E5BA4" w:rsidRPr="00971206">
        <w:t xml:space="preserve">m as estimativas de gasto devido às deduções com despesas médicas. Já </w:t>
      </w:r>
      <w:r w:rsidRPr="00971206">
        <w:t xml:space="preserve">no caso da parcela isenta </w:t>
      </w:r>
      <w:r w:rsidR="000E5BA4" w:rsidRPr="00971206">
        <w:t xml:space="preserve">dos rendimentos de aposentadorias e pensões dos declarantes de 65 ou mais, as estimativas do exercício aqui desenvolvido </w:t>
      </w:r>
      <w:r w:rsidR="005C5BB1" w:rsidRPr="00971206">
        <w:t xml:space="preserve">são bem superiores </w:t>
      </w:r>
      <w:r w:rsidR="00D10CB9" w:rsidRPr="00971206">
        <w:t>às da receita</w:t>
      </w:r>
      <w:r w:rsidR="000E5BA4" w:rsidRPr="00971206">
        <w:t xml:space="preserve">, </w:t>
      </w:r>
      <w:r w:rsidRPr="00971206">
        <w:t>pelos motivos acima apontados. Assim, os impactos distributivos dessa isenção devem ser vistos como superestimados.</w:t>
      </w:r>
    </w:p>
    <w:p w14:paraId="2801DEC0" w14:textId="77777777" w:rsidR="000E5BA4" w:rsidRPr="00971206" w:rsidRDefault="000E5BA4" w:rsidP="00331F87">
      <w:pPr>
        <w:jc w:val="both"/>
      </w:pPr>
    </w:p>
    <w:p w14:paraId="7730B5FD" w14:textId="77777777" w:rsidR="00331F87" w:rsidRPr="00971206" w:rsidRDefault="00331F87" w:rsidP="00331F87">
      <w:pPr>
        <w:jc w:val="both"/>
      </w:pPr>
      <w:r w:rsidRPr="00971206">
        <w:t>Tabela 5 – Valor das rendas da parcela isenta de aposentadorias e das pensões por doenças crônicas, valor das deduções em saúde e educação doenças e gastos tributários da Receita Federal e estimados para esses benefícios – Brasil, 2008, R$ milhões.</w:t>
      </w:r>
    </w:p>
    <w:p w14:paraId="22C2971C" w14:textId="77777777" w:rsidR="00331F87" w:rsidRPr="00971206" w:rsidRDefault="00331F87" w:rsidP="00331F87">
      <w:pPr>
        <w:jc w:val="both"/>
      </w:pPr>
    </w:p>
    <w:tbl>
      <w:tblPr>
        <w:tblW w:w="5662" w:type="dxa"/>
        <w:jc w:val="center"/>
        <w:tblLayout w:type="fixed"/>
        <w:tblCellMar>
          <w:left w:w="70" w:type="dxa"/>
          <w:right w:w="70" w:type="dxa"/>
        </w:tblCellMar>
        <w:tblLook w:val="04A0" w:firstRow="1" w:lastRow="0" w:firstColumn="1" w:lastColumn="0" w:noHBand="0" w:noVBand="1"/>
      </w:tblPr>
      <w:tblGrid>
        <w:gridCol w:w="2035"/>
        <w:gridCol w:w="1161"/>
        <w:gridCol w:w="1161"/>
        <w:gridCol w:w="1258"/>
        <w:gridCol w:w="47"/>
      </w:tblGrid>
      <w:tr w:rsidR="00331F87" w:rsidRPr="00971206" w14:paraId="147A0CDB" w14:textId="77777777" w:rsidTr="0007481E">
        <w:trPr>
          <w:trHeight w:val="261"/>
          <w:jc w:val="center"/>
        </w:trPr>
        <w:tc>
          <w:tcPr>
            <w:tcW w:w="2035" w:type="dxa"/>
            <w:vMerge w:val="restart"/>
            <w:tcBorders>
              <w:top w:val="single" w:sz="4" w:space="0" w:color="auto"/>
              <w:left w:val="nil"/>
              <w:bottom w:val="single" w:sz="4" w:space="0" w:color="auto"/>
              <w:right w:val="nil"/>
            </w:tcBorders>
            <w:shd w:val="clear" w:color="auto" w:fill="auto"/>
            <w:noWrap/>
            <w:vAlign w:val="center"/>
            <w:hideMark/>
          </w:tcPr>
          <w:p w14:paraId="1E2BCBBD" w14:textId="77777777" w:rsidR="00331F87" w:rsidRPr="00971206" w:rsidRDefault="00331F87" w:rsidP="005727C0">
            <w:pPr>
              <w:jc w:val="center"/>
              <w:rPr>
                <w:b/>
                <w:bCs/>
                <w:color w:val="000000"/>
              </w:rPr>
            </w:pPr>
            <w:r w:rsidRPr="00971206">
              <w:rPr>
                <w:b/>
                <w:bCs/>
                <w:color w:val="000000"/>
              </w:rPr>
              <w:t>Benefício</w:t>
            </w:r>
          </w:p>
        </w:tc>
        <w:tc>
          <w:tcPr>
            <w:tcW w:w="1161" w:type="dxa"/>
            <w:vMerge w:val="restart"/>
            <w:tcBorders>
              <w:top w:val="single" w:sz="4" w:space="0" w:color="auto"/>
              <w:left w:val="nil"/>
              <w:bottom w:val="single" w:sz="4" w:space="0" w:color="auto"/>
              <w:right w:val="nil"/>
            </w:tcBorders>
            <w:shd w:val="clear" w:color="auto" w:fill="auto"/>
            <w:noWrap/>
            <w:vAlign w:val="center"/>
            <w:hideMark/>
          </w:tcPr>
          <w:p w14:paraId="1133DED7" w14:textId="77777777" w:rsidR="00331F87" w:rsidRPr="00971206" w:rsidRDefault="00331F87" w:rsidP="005727C0">
            <w:pPr>
              <w:jc w:val="center"/>
              <w:rPr>
                <w:b/>
                <w:bCs/>
                <w:color w:val="000000"/>
              </w:rPr>
            </w:pPr>
            <w:r w:rsidRPr="00971206">
              <w:rPr>
                <w:b/>
                <w:bCs/>
                <w:color w:val="000000"/>
              </w:rPr>
              <w:t>Valor total</w:t>
            </w:r>
          </w:p>
        </w:tc>
        <w:tc>
          <w:tcPr>
            <w:tcW w:w="2466" w:type="dxa"/>
            <w:gridSpan w:val="3"/>
            <w:tcBorders>
              <w:top w:val="single" w:sz="4" w:space="0" w:color="auto"/>
              <w:left w:val="nil"/>
              <w:bottom w:val="single" w:sz="4" w:space="0" w:color="auto"/>
              <w:right w:val="nil"/>
            </w:tcBorders>
            <w:shd w:val="clear" w:color="auto" w:fill="auto"/>
            <w:noWrap/>
            <w:vAlign w:val="center"/>
            <w:hideMark/>
          </w:tcPr>
          <w:p w14:paraId="0DF89508" w14:textId="77777777" w:rsidR="00331F87" w:rsidRPr="00971206" w:rsidRDefault="00331F87" w:rsidP="005727C0">
            <w:pPr>
              <w:jc w:val="center"/>
              <w:rPr>
                <w:b/>
                <w:bCs/>
                <w:color w:val="000000"/>
              </w:rPr>
            </w:pPr>
            <w:r w:rsidRPr="00971206">
              <w:rPr>
                <w:b/>
                <w:bCs/>
                <w:color w:val="000000"/>
              </w:rPr>
              <w:t>Gasto tributário</w:t>
            </w:r>
          </w:p>
        </w:tc>
      </w:tr>
      <w:tr w:rsidR="00331F87" w:rsidRPr="00971206" w14:paraId="7B85D6E6" w14:textId="77777777" w:rsidTr="0007481E">
        <w:trPr>
          <w:gridAfter w:val="1"/>
          <w:wAfter w:w="47" w:type="dxa"/>
          <w:trHeight w:val="261"/>
          <w:jc w:val="center"/>
        </w:trPr>
        <w:tc>
          <w:tcPr>
            <w:tcW w:w="2035" w:type="dxa"/>
            <w:vMerge/>
            <w:tcBorders>
              <w:top w:val="single" w:sz="4" w:space="0" w:color="auto"/>
              <w:left w:val="nil"/>
              <w:bottom w:val="single" w:sz="4" w:space="0" w:color="auto"/>
              <w:right w:val="nil"/>
            </w:tcBorders>
            <w:vAlign w:val="center"/>
            <w:hideMark/>
          </w:tcPr>
          <w:p w14:paraId="294BE2D6" w14:textId="77777777" w:rsidR="00331F87" w:rsidRPr="00971206" w:rsidRDefault="00331F87" w:rsidP="005727C0">
            <w:pPr>
              <w:rPr>
                <w:b/>
                <w:bCs/>
                <w:color w:val="000000"/>
              </w:rPr>
            </w:pPr>
          </w:p>
        </w:tc>
        <w:tc>
          <w:tcPr>
            <w:tcW w:w="1161" w:type="dxa"/>
            <w:vMerge/>
            <w:tcBorders>
              <w:top w:val="single" w:sz="4" w:space="0" w:color="auto"/>
              <w:left w:val="nil"/>
              <w:bottom w:val="single" w:sz="4" w:space="0" w:color="auto"/>
              <w:right w:val="nil"/>
            </w:tcBorders>
            <w:vAlign w:val="center"/>
            <w:hideMark/>
          </w:tcPr>
          <w:p w14:paraId="5F49E4D6" w14:textId="77777777" w:rsidR="00331F87" w:rsidRPr="00971206" w:rsidRDefault="00331F87" w:rsidP="005727C0">
            <w:pPr>
              <w:rPr>
                <w:b/>
                <w:bCs/>
                <w:color w:val="000000"/>
              </w:rPr>
            </w:pPr>
          </w:p>
        </w:tc>
        <w:tc>
          <w:tcPr>
            <w:tcW w:w="1161" w:type="dxa"/>
            <w:tcBorders>
              <w:top w:val="nil"/>
              <w:left w:val="nil"/>
              <w:bottom w:val="single" w:sz="4" w:space="0" w:color="auto"/>
              <w:right w:val="nil"/>
            </w:tcBorders>
            <w:shd w:val="clear" w:color="auto" w:fill="auto"/>
            <w:noWrap/>
            <w:vAlign w:val="center"/>
            <w:hideMark/>
          </w:tcPr>
          <w:p w14:paraId="30DCCF51" w14:textId="77777777" w:rsidR="00331F87" w:rsidRPr="00971206" w:rsidRDefault="00331F87" w:rsidP="005727C0">
            <w:pPr>
              <w:jc w:val="center"/>
              <w:rPr>
                <w:b/>
                <w:bCs/>
                <w:color w:val="000000"/>
              </w:rPr>
            </w:pPr>
            <w:r w:rsidRPr="00971206">
              <w:rPr>
                <w:b/>
                <w:bCs/>
                <w:color w:val="000000"/>
              </w:rPr>
              <w:t>Receita Federal</w:t>
            </w:r>
          </w:p>
        </w:tc>
        <w:tc>
          <w:tcPr>
            <w:tcW w:w="1258" w:type="dxa"/>
            <w:tcBorders>
              <w:top w:val="nil"/>
              <w:left w:val="nil"/>
              <w:bottom w:val="single" w:sz="4" w:space="0" w:color="auto"/>
              <w:right w:val="nil"/>
            </w:tcBorders>
            <w:shd w:val="clear" w:color="auto" w:fill="auto"/>
            <w:noWrap/>
            <w:vAlign w:val="center"/>
            <w:hideMark/>
          </w:tcPr>
          <w:p w14:paraId="220A2DA5" w14:textId="77777777" w:rsidR="00331F87" w:rsidRPr="00971206" w:rsidRDefault="00331F87" w:rsidP="005727C0">
            <w:pPr>
              <w:jc w:val="center"/>
              <w:rPr>
                <w:b/>
                <w:bCs/>
                <w:color w:val="000000"/>
              </w:rPr>
            </w:pPr>
            <w:r w:rsidRPr="00971206">
              <w:rPr>
                <w:b/>
                <w:bCs/>
                <w:color w:val="000000"/>
              </w:rPr>
              <w:t>Estimativa</w:t>
            </w:r>
          </w:p>
        </w:tc>
      </w:tr>
      <w:tr w:rsidR="00331F87" w:rsidRPr="00971206" w14:paraId="3C2519A1" w14:textId="77777777" w:rsidTr="0007481E">
        <w:trPr>
          <w:gridAfter w:val="1"/>
          <w:wAfter w:w="47" w:type="dxa"/>
          <w:trHeight w:val="261"/>
          <w:jc w:val="center"/>
        </w:trPr>
        <w:tc>
          <w:tcPr>
            <w:tcW w:w="2035" w:type="dxa"/>
            <w:tcBorders>
              <w:top w:val="nil"/>
              <w:left w:val="nil"/>
              <w:bottom w:val="nil"/>
              <w:right w:val="nil"/>
            </w:tcBorders>
            <w:shd w:val="clear" w:color="auto" w:fill="auto"/>
            <w:noWrap/>
            <w:vAlign w:val="center"/>
            <w:hideMark/>
          </w:tcPr>
          <w:p w14:paraId="58922C17" w14:textId="77777777" w:rsidR="00331F87" w:rsidRPr="00971206" w:rsidRDefault="00331F87" w:rsidP="005727C0">
            <w:pPr>
              <w:rPr>
                <w:color w:val="000000"/>
              </w:rPr>
            </w:pPr>
            <w:r w:rsidRPr="00971206">
              <w:rPr>
                <w:color w:val="000000"/>
              </w:rPr>
              <w:t>Moléstia grave</w:t>
            </w:r>
          </w:p>
        </w:tc>
        <w:tc>
          <w:tcPr>
            <w:tcW w:w="1161" w:type="dxa"/>
            <w:tcBorders>
              <w:top w:val="nil"/>
              <w:left w:val="nil"/>
              <w:bottom w:val="nil"/>
              <w:right w:val="nil"/>
            </w:tcBorders>
            <w:shd w:val="clear" w:color="auto" w:fill="auto"/>
            <w:noWrap/>
            <w:vAlign w:val="center"/>
            <w:hideMark/>
          </w:tcPr>
          <w:p w14:paraId="7AB255FA" w14:textId="77777777" w:rsidR="00331F87" w:rsidRPr="00971206" w:rsidRDefault="00331F87" w:rsidP="005727C0">
            <w:pPr>
              <w:ind w:right="72"/>
              <w:jc w:val="right"/>
              <w:rPr>
                <w:color w:val="000000"/>
              </w:rPr>
            </w:pPr>
            <w:r w:rsidRPr="00971206">
              <w:rPr>
                <w:color w:val="000000"/>
              </w:rPr>
              <w:t>26.231</w:t>
            </w:r>
          </w:p>
        </w:tc>
        <w:tc>
          <w:tcPr>
            <w:tcW w:w="1161" w:type="dxa"/>
            <w:tcBorders>
              <w:top w:val="nil"/>
              <w:left w:val="nil"/>
              <w:bottom w:val="nil"/>
              <w:right w:val="nil"/>
            </w:tcBorders>
            <w:shd w:val="clear" w:color="auto" w:fill="auto"/>
            <w:noWrap/>
            <w:vAlign w:val="center"/>
            <w:hideMark/>
          </w:tcPr>
          <w:p w14:paraId="2699600B" w14:textId="77777777" w:rsidR="00331F87" w:rsidRPr="00971206" w:rsidRDefault="00331F87" w:rsidP="005727C0">
            <w:pPr>
              <w:ind w:right="165"/>
              <w:jc w:val="right"/>
              <w:rPr>
                <w:color w:val="000000"/>
              </w:rPr>
            </w:pPr>
            <w:r w:rsidRPr="00971206">
              <w:rPr>
                <w:color w:val="000000"/>
              </w:rPr>
              <w:t>5.535</w:t>
            </w:r>
          </w:p>
        </w:tc>
        <w:tc>
          <w:tcPr>
            <w:tcW w:w="1258" w:type="dxa"/>
            <w:tcBorders>
              <w:top w:val="nil"/>
              <w:left w:val="nil"/>
              <w:bottom w:val="nil"/>
              <w:right w:val="nil"/>
            </w:tcBorders>
            <w:shd w:val="clear" w:color="auto" w:fill="auto"/>
            <w:noWrap/>
            <w:vAlign w:val="center"/>
            <w:hideMark/>
          </w:tcPr>
          <w:p w14:paraId="65064229" w14:textId="77777777" w:rsidR="00331F87" w:rsidRPr="00971206" w:rsidRDefault="00331F87" w:rsidP="005727C0">
            <w:pPr>
              <w:ind w:right="165"/>
              <w:jc w:val="right"/>
              <w:rPr>
                <w:color w:val="000000"/>
              </w:rPr>
            </w:pPr>
            <w:r w:rsidRPr="00971206">
              <w:rPr>
                <w:color w:val="000000"/>
              </w:rPr>
              <w:t>5.076</w:t>
            </w:r>
          </w:p>
        </w:tc>
      </w:tr>
      <w:tr w:rsidR="00331F87" w:rsidRPr="00971206" w14:paraId="256506FB" w14:textId="77777777" w:rsidTr="0007481E">
        <w:trPr>
          <w:gridAfter w:val="1"/>
          <w:wAfter w:w="47" w:type="dxa"/>
          <w:trHeight w:val="261"/>
          <w:jc w:val="center"/>
        </w:trPr>
        <w:tc>
          <w:tcPr>
            <w:tcW w:w="2035" w:type="dxa"/>
            <w:tcBorders>
              <w:top w:val="nil"/>
              <w:left w:val="nil"/>
              <w:bottom w:val="nil"/>
              <w:right w:val="nil"/>
            </w:tcBorders>
            <w:shd w:val="clear" w:color="auto" w:fill="auto"/>
            <w:noWrap/>
            <w:vAlign w:val="center"/>
            <w:hideMark/>
          </w:tcPr>
          <w:p w14:paraId="7654FD31" w14:textId="77777777" w:rsidR="00331F87" w:rsidRPr="00971206" w:rsidRDefault="00331F87" w:rsidP="005727C0">
            <w:pPr>
              <w:rPr>
                <w:color w:val="000000"/>
              </w:rPr>
            </w:pPr>
            <w:r w:rsidRPr="00971206">
              <w:rPr>
                <w:color w:val="000000"/>
              </w:rPr>
              <w:t>Isenção aposentadorias</w:t>
            </w:r>
          </w:p>
        </w:tc>
        <w:tc>
          <w:tcPr>
            <w:tcW w:w="1161" w:type="dxa"/>
            <w:tcBorders>
              <w:top w:val="nil"/>
              <w:left w:val="nil"/>
              <w:bottom w:val="nil"/>
              <w:right w:val="nil"/>
            </w:tcBorders>
            <w:shd w:val="clear" w:color="auto" w:fill="auto"/>
            <w:noWrap/>
            <w:vAlign w:val="center"/>
            <w:hideMark/>
          </w:tcPr>
          <w:p w14:paraId="35823A7C" w14:textId="77777777" w:rsidR="00331F87" w:rsidRPr="00971206" w:rsidRDefault="00331F87" w:rsidP="005727C0">
            <w:pPr>
              <w:ind w:right="72"/>
              <w:jc w:val="right"/>
              <w:rPr>
                <w:color w:val="000000"/>
              </w:rPr>
            </w:pPr>
            <w:r w:rsidRPr="00971206">
              <w:rPr>
                <w:color w:val="000000"/>
              </w:rPr>
              <w:t>22.640</w:t>
            </w:r>
          </w:p>
        </w:tc>
        <w:tc>
          <w:tcPr>
            <w:tcW w:w="1161" w:type="dxa"/>
            <w:tcBorders>
              <w:top w:val="nil"/>
              <w:left w:val="nil"/>
              <w:bottom w:val="nil"/>
              <w:right w:val="nil"/>
            </w:tcBorders>
            <w:shd w:val="clear" w:color="auto" w:fill="auto"/>
            <w:noWrap/>
            <w:vAlign w:val="center"/>
            <w:hideMark/>
          </w:tcPr>
          <w:p w14:paraId="600A8049" w14:textId="77777777" w:rsidR="00331F87" w:rsidRPr="00971206" w:rsidRDefault="00331F87" w:rsidP="005727C0">
            <w:pPr>
              <w:ind w:right="165"/>
              <w:jc w:val="right"/>
              <w:rPr>
                <w:color w:val="000000"/>
              </w:rPr>
            </w:pPr>
            <w:r w:rsidRPr="00971206">
              <w:rPr>
                <w:color w:val="000000"/>
              </w:rPr>
              <w:t>2.412</w:t>
            </w:r>
          </w:p>
        </w:tc>
        <w:tc>
          <w:tcPr>
            <w:tcW w:w="1258" w:type="dxa"/>
            <w:tcBorders>
              <w:top w:val="nil"/>
              <w:left w:val="nil"/>
              <w:bottom w:val="nil"/>
              <w:right w:val="nil"/>
            </w:tcBorders>
            <w:shd w:val="clear" w:color="auto" w:fill="auto"/>
            <w:noWrap/>
            <w:vAlign w:val="center"/>
            <w:hideMark/>
          </w:tcPr>
          <w:p w14:paraId="0DE8572D" w14:textId="77777777" w:rsidR="00331F87" w:rsidRPr="00971206" w:rsidRDefault="00331F87" w:rsidP="005727C0">
            <w:pPr>
              <w:ind w:right="165"/>
              <w:jc w:val="right"/>
              <w:rPr>
                <w:color w:val="000000"/>
              </w:rPr>
            </w:pPr>
            <w:r w:rsidRPr="00971206">
              <w:rPr>
                <w:color w:val="000000"/>
              </w:rPr>
              <w:t>4.037</w:t>
            </w:r>
          </w:p>
        </w:tc>
      </w:tr>
      <w:tr w:rsidR="00331F87" w:rsidRPr="00971206" w14:paraId="6C9565B7" w14:textId="77777777" w:rsidTr="0007481E">
        <w:trPr>
          <w:gridAfter w:val="1"/>
          <w:wAfter w:w="47" w:type="dxa"/>
          <w:trHeight w:val="261"/>
          <w:jc w:val="center"/>
        </w:trPr>
        <w:tc>
          <w:tcPr>
            <w:tcW w:w="2035" w:type="dxa"/>
            <w:tcBorders>
              <w:top w:val="nil"/>
              <w:left w:val="nil"/>
              <w:bottom w:val="nil"/>
              <w:right w:val="nil"/>
            </w:tcBorders>
            <w:shd w:val="clear" w:color="auto" w:fill="auto"/>
            <w:noWrap/>
            <w:vAlign w:val="center"/>
            <w:hideMark/>
          </w:tcPr>
          <w:p w14:paraId="2FC9966A" w14:textId="736715BD" w:rsidR="00331F87" w:rsidRPr="00971206" w:rsidRDefault="00331F87" w:rsidP="005727C0">
            <w:pPr>
              <w:rPr>
                <w:color w:val="000000"/>
              </w:rPr>
            </w:pPr>
            <w:r w:rsidRPr="00971206">
              <w:rPr>
                <w:color w:val="000000"/>
              </w:rPr>
              <w:t xml:space="preserve">Gastos com </w:t>
            </w:r>
            <w:r w:rsidR="00D67D59" w:rsidRPr="00971206">
              <w:rPr>
                <w:color w:val="000000"/>
              </w:rPr>
              <w:t>educação</w:t>
            </w:r>
          </w:p>
        </w:tc>
        <w:tc>
          <w:tcPr>
            <w:tcW w:w="1161" w:type="dxa"/>
            <w:tcBorders>
              <w:top w:val="nil"/>
              <w:left w:val="nil"/>
              <w:bottom w:val="nil"/>
              <w:right w:val="nil"/>
            </w:tcBorders>
            <w:shd w:val="clear" w:color="auto" w:fill="auto"/>
            <w:noWrap/>
            <w:vAlign w:val="center"/>
            <w:hideMark/>
          </w:tcPr>
          <w:p w14:paraId="639C2211" w14:textId="77777777" w:rsidR="00331F87" w:rsidRPr="00971206" w:rsidRDefault="00331F87" w:rsidP="005727C0">
            <w:pPr>
              <w:ind w:right="72"/>
              <w:jc w:val="right"/>
              <w:rPr>
                <w:color w:val="000000"/>
              </w:rPr>
            </w:pPr>
            <w:r w:rsidRPr="00971206">
              <w:rPr>
                <w:color w:val="000000"/>
              </w:rPr>
              <w:t>14.503</w:t>
            </w:r>
          </w:p>
        </w:tc>
        <w:tc>
          <w:tcPr>
            <w:tcW w:w="1161" w:type="dxa"/>
            <w:tcBorders>
              <w:top w:val="nil"/>
              <w:left w:val="nil"/>
              <w:bottom w:val="nil"/>
              <w:right w:val="nil"/>
            </w:tcBorders>
            <w:shd w:val="clear" w:color="auto" w:fill="auto"/>
            <w:noWrap/>
            <w:vAlign w:val="center"/>
            <w:hideMark/>
          </w:tcPr>
          <w:p w14:paraId="77D3E3E7" w14:textId="77777777" w:rsidR="00331F87" w:rsidRPr="00971206" w:rsidRDefault="00331F87" w:rsidP="005727C0">
            <w:pPr>
              <w:ind w:right="165"/>
              <w:jc w:val="right"/>
              <w:rPr>
                <w:color w:val="000000"/>
              </w:rPr>
            </w:pPr>
            <w:r w:rsidRPr="00971206">
              <w:rPr>
                <w:color w:val="000000"/>
              </w:rPr>
              <w:t>2.752</w:t>
            </w:r>
          </w:p>
        </w:tc>
        <w:tc>
          <w:tcPr>
            <w:tcW w:w="1258" w:type="dxa"/>
            <w:tcBorders>
              <w:top w:val="nil"/>
              <w:left w:val="nil"/>
              <w:bottom w:val="nil"/>
              <w:right w:val="nil"/>
            </w:tcBorders>
            <w:shd w:val="clear" w:color="auto" w:fill="auto"/>
            <w:noWrap/>
            <w:vAlign w:val="center"/>
            <w:hideMark/>
          </w:tcPr>
          <w:p w14:paraId="16DB0D2E" w14:textId="77777777" w:rsidR="00331F87" w:rsidRPr="00971206" w:rsidRDefault="00331F87" w:rsidP="005727C0">
            <w:pPr>
              <w:ind w:right="165"/>
              <w:jc w:val="right"/>
              <w:rPr>
                <w:color w:val="000000"/>
              </w:rPr>
            </w:pPr>
            <w:r w:rsidRPr="00971206">
              <w:rPr>
                <w:color w:val="000000"/>
              </w:rPr>
              <w:t>2.855</w:t>
            </w:r>
          </w:p>
        </w:tc>
      </w:tr>
      <w:tr w:rsidR="00331F87" w:rsidRPr="00971206" w14:paraId="674AFACE" w14:textId="77777777" w:rsidTr="0007481E">
        <w:trPr>
          <w:gridAfter w:val="1"/>
          <w:wAfter w:w="47" w:type="dxa"/>
          <w:trHeight w:val="261"/>
          <w:jc w:val="center"/>
        </w:trPr>
        <w:tc>
          <w:tcPr>
            <w:tcW w:w="2035" w:type="dxa"/>
            <w:tcBorders>
              <w:top w:val="nil"/>
              <w:left w:val="nil"/>
              <w:bottom w:val="nil"/>
              <w:right w:val="nil"/>
            </w:tcBorders>
            <w:shd w:val="clear" w:color="auto" w:fill="auto"/>
            <w:noWrap/>
            <w:vAlign w:val="center"/>
            <w:hideMark/>
          </w:tcPr>
          <w:p w14:paraId="3A6C0CAD" w14:textId="77777777" w:rsidR="00331F87" w:rsidRPr="00971206" w:rsidRDefault="00331F87" w:rsidP="005727C0">
            <w:pPr>
              <w:rPr>
                <w:color w:val="000000"/>
              </w:rPr>
            </w:pPr>
            <w:r w:rsidRPr="00971206">
              <w:rPr>
                <w:color w:val="000000"/>
              </w:rPr>
              <w:t>Gastos em saúde</w:t>
            </w:r>
          </w:p>
        </w:tc>
        <w:tc>
          <w:tcPr>
            <w:tcW w:w="1161" w:type="dxa"/>
            <w:tcBorders>
              <w:top w:val="nil"/>
              <w:left w:val="nil"/>
              <w:bottom w:val="nil"/>
              <w:right w:val="nil"/>
            </w:tcBorders>
            <w:shd w:val="clear" w:color="auto" w:fill="auto"/>
            <w:noWrap/>
            <w:vAlign w:val="center"/>
            <w:hideMark/>
          </w:tcPr>
          <w:p w14:paraId="5E2F119A" w14:textId="77777777" w:rsidR="00331F87" w:rsidRPr="00971206" w:rsidRDefault="00331F87" w:rsidP="005727C0">
            <w:pPr>
              <w:ind w:right="72"/>
              <w:jc w:val="right"/>
              <w:rPr>
                <w:color w:val="000000"/>
              </w:rPr>
            </w:pPr>
            <w:r w:rsidRPr="00971206">
              <w:rPr>
                <w:color w:val="000000"/>
              </w:rPr>
              <w:t>37.511</w:t>
            </w:r>
          </w:p>
        </w:tc>
        <w:tc>
          <w:tcPr>
            <w:tcW w:w="1161" w:type="dxa"/>
            <w:tcBorders>
              <w:top w:val="nil"/>
              <w:left w:val="nil"/>
              <w:bottom w:val="nil"/>
              <w:right w:val="nil"/>
            </w:tcBorders>
            <w:shd w:val="clear" w:color="auto" w:fill="auto"/>
            <w:noWrap/>
            <w:vAlign w:val="center"/>
            <w:hideMark/>
          </w:tcPr>
          <w:p w14:paraId="4EC32918" w14:textId="77777777" w:rsidR="00331F87" w:rsidRPr="00971206" w:rsidRDefault="00331F87" w:rsidP="005727C0">
            <w:pPr>
              <w:ind w:right="165"/>
              <w:jc w:val="right"/>
              <w:rPr>
                <w:color w:val="000000"/>
              </w:rPr>
            </w:pPr>
            <w:r w:rsidRPr="00971206">
              <w:rPr>
                <w:color w:val="000000"/>
              </w:rPr>
              <w:t>7.521</w:t>
            </w:r>
          </w:p>
        </w:tc>
        <w:tc>
          <w:tcPr>
            <w:tcW w:w="1258" w:type="dxa"/>
            <w:tcBorders>
              <w:top w:val="nil"/>
              <w:left w:val="nil"/>
              <w:bottom w:val="nil"/>
              <w:right w:val="nil"/>
            </w:tcBorders>
            <w:shd w:val="clear" w:color="auto" w:fill="auto"/>
            <w:noWrap/>
            <w:vAlign w:val="center"/>
            <w:hideMark/>
          </w:tcPr>
          <w:p w14:paraId="300C69FE" w14:textId="77777777" w:rsidR="00331F87" w:rsidRPr="00971206" w:rsidRDefault="00331F87" w:rsidP="005727C0">
            <w:pPr>
              <w:ind w:right="165"/>
              <w:jc w:val="right"/>
              <w:rPr>
                <w:color w:val="000000"/>
              </w:rPr>
            </w:pPr>
            <w:r w:rsidRPr="00971206">
              <w:rPr>
                <w:color w:val="000000"/>
              </w:rPr>
              <w:t>8.215</w:t>
            </w:r>
          </w:p>
        </w:tc>
      </w:tr>
      <w:tr w:rsidR="00331F87" w:rsidRPr="00971206" w14:paraId="29B68C39" w14:textId="77777777" w:rsidTr="0007481E">
        <w:trPr>
          <w:gridAfter w:val="1"/>
          <w:wAfter w:w="47" w:type="dxa"/>
          <w:trHeight w:val="261"/>
          <w:jc w:val="center"/>
        </w:trPr>
        <w:tc>
          <w:tcPr>
            <w:tcW w:w="2035" w:type="dxa"/>
            <w:tcBorders>
              <w:top w:val="nil"/>
              <w:left w:val="nil"/>
              <w:bottom w:val="single" w:sz="4" w:space="0" w:color="auto"/>
              <w:right w:val="nil"/>
            </w:tcBorders>
            <w:shd w:val="clear" w:color="auto" w:fill="auto"/>
            <w:noWrap/>
            <w:vAlign w:val="center"/>
          </w:tcPr>
          <w:p w14:paraId="57CF121C" w14:textId="77777777" w:rsidR="00331F87" w:rsidRPr="00971206" w:rsidRDefault="00331F87" w:rsidP="005727C0">
            <w:pPr>
              <w:rPr>
                <w:b/>
                <w:color w:val="000000"/>
              </w:rPr>
            </w:pPr>
            <w:r w:rsidRPr="00971206">
              <w:rPr>
                <w:b/>
                <w:color w:val="000000"/>
              </w:rPr>
              <w:t>Total</w:t>
            </w:r>
          </w:p>
        </w:tc>
        <w:tc>
          <w:tcPr>
            <w:tcW w:w="1161" w:type="dxa"/>
            <w:tcBorders>
              <w:top w:val="nil"/>
              <w:left w:val="nil"/>
              <w:bottom w:val="single" w:sz="4" w:space="0" w:color="auto"/>
              <w:right w:val="nil"/>
            </w:tcBorders>
            <w:shd w:val="clear" w:color="auto" w:fill="auto"/>
            <w:noWrap/>
            <w:vAlign w:val="center"/>
          </w:tcPr>
          <w:p w14:paraId="3DF69FD4" w14:textId="77777777" w:rsidR="00331F87" w:rsidRPr="00971206" w:rsidRDefault="00331F87" w:rsidP="005727C0">
            <w:pPr>
              <w:ind w:right="72"/>
              <w:jc w:val="right"/>
              <w:rPr>
                <w:b/>
                <w:color w:val="000000"/>
              </w:rPr>
            </w:pPr>
            <w:r w:rsidRPr="00971206">
              <w:rPr>
                <w:b/>
                <w:color w:val="000000"/>
              </w:rPr>
              <w:t>100.885</w:t>
            </w:r>
          </w:p>
        </w:tc>
        <w:tc>
          <w:tcPr>
            <w:tcW w:w="1161" w:type="dxa"/>
            <w:tcBorders>
              <w:top w:val="nil"/>
              <w:left w:val="nil"/>
              <w:bottom w:val="single" w:sz="4" w:space="0" w:color="auto"/>
              <w:right w:val="nil"/>
            </w:tcBorders>
            <w:shd w:val="clear" w:color="auto" w:fill="auto"/>
            <w:noWrap/>
            <w:vAlign w:val="center"/>
          </w:tcPr>
          <w:p w14:paraId="395E51D2" w14:textId="77777777" w:rsidR="00331F87" w:rsidRPr="00971206" w:rsidRDefault="00331F87" w:rsidP="005727C0">
            <w:pPr>
              <w:ind w:right="165"/>
              <w:jc w:val="right"/>
              <w:rPr>
                <w:b/>
                <w:color w:val="000000"/>
              </w:rPr>
            </w:pPr>
            <w:r w:rsidRPr="00971206">
              <w:rPr>
                <w:b/>
                <w:color w:val="000000"/>
              </w:rPr>
              <w:t>18.220</w:t>
            </w:r>
          </w:p>
        </w:tc>
        <w:tc>
          <w:tcPr>
            <w:tcW w:w="1258" w:type="dxa"/>
            <w:tcBorders>
              <w:top w:val="nil"/>
              <w:left w:val="nil"/>
              <w:bottom w:val="single" w:sz="4" w:space="0" w:color="auto"/>
              <w:right w:val="nil"/>
            </w:tcBorders>
            <w:shd w:val="clear" w:color="auto" w:fill="auto"/>
            <w:noWrap/>
            <w:vAlign w:val="center"/>
          </w:tcPr>
          <w:p w14:paraId="7275BBE7" w14:textId="77777777" w:rsidR="00331F87" w:rsidRPr="00971206" w:rsidRDefault="00331F87" w:rsidP="005727C0">
            <w:pPr>
              <w:ind w:right="165"/>
              <w:jc w:val="right"/>
              <w:rPr>
                <w:b/>
                <w:color w:val="000000"/>
              </w:rPr>
            </w:pPr>
            <w:r w:rsidRPr="00971206">
              <w:rPr>
                <w:b/>
                <w:color w:val="000000"/>
              </w:rPr>
              <w:t>20.183</w:t>
            </w:r>
          </w:p>
        </w:tc>
      </w:tr>
    </w:tbl>
    <w:p w14:paraId="5B2E318F" w14:textId="442F9EE4" w:rsidR="00331F87" w:rsidRPr="0003612C" w:rsidRDefault="00331F87" w:rsidP="00331F87">
      <w:pPr>
        <w:spacing w:before="120"/>
        <w:ind w:left="708" w:firstLine="708"/>
        <w:jc w:val="both"/>
        <w:rPr>
          <w:sz w:val="20"/>
          <w:szCs w:val="20"/>
        </w:rPr>
      </w:pPr>
      <w:r w:rsidRPr="0003612C">
        <w:rPr>
          <w:sz w:val="20"/>
          <w:szCs w:val="20"/>
        </w:rPr>
        <w:t xml:space="preserve">Fonte: </w:t>
      </w:r>
      <w:r w:rsidR="00231BFE" w:rsidRPr="0003612C">
        <w:rPr>
          <w:sz w:val="20"/>
          <w:szCs w:val="20"/>
        </w:rPr>
        <w:t xml:space="preserve">Elaboração própria com dados da </w:t>
      </w:r>
      <w:r w:rsidRPr="0003612C">
        <w:rPr>
          <w:sz w:val="20"/>
          <w:szCs w:val="20"/>
        </w:rPr>
        <w:t xml:space="preserve">Receita Federal do Brasil, </w:t>
      </w:r>
      <w:proofErr w:type="spellStart"/>
      <w:r w:rsidRPr="0003612C">
        <w:rPr>
          <w:sz w:val="20"/>
          <w:szCs w:val="20"/>
        </w:rPr>
        <w:t>microdados</w:t>
      </w:r>
      <w:proofErr w:type="spellEnd"/>
      <w:r w:rsidRPr="0003612C">
        <w:rPr>
          <w:sz w:val="20"/>
          <w:szCs w:val="20"/>
        </w:rPr>
        <w:t xml:space="preserve"> da POF</w:t>
      </w:r>
      <w:r w:rsidR="00231BFE" w:rsidRPr="0003612C">
        <w:rPr>
          <w:sz w:val="20"/>
          <w:szCs w:val="20"/>
        </w:rPr>
        <w:t xml:space="preserve"> e </w:t>
      </w:r>
      <w:r w:rsidRPr="0003612C">
        <w:rPr>
          <w:sz w:val="20"/>
          <w:szCs w:val="20"/>
        </w:rPr>
        <w:t>Contas Nacionais.</w:t>
      </w:r>
    </w:p>
    <w:p w14:paraId="16302666" w14:textId="0CF655F2" w:rsidR="00CA280A" w:rsidRPr="00971206" w:rsidRDefault="00CA280A" w:rsidP="00331F87"/>
    <w:p w14:paraId="36AABB23" w14:textId="1D057249" w:rsidR="00231BFE" w:rsidRPr="00971206" w:rsidRDefault="00231BFE" w:rsidP="0003612C">
      <w:pPr>
        <w:ind w:firstLine="851"/>
        <w:jc w:val="both"/>
      </w:pPr>
      <w:r w:rsidRPr="00971206">
        <w:t xml:space="preserve">Espera-se, futuramente, com as informações obtidas via LAI aprimorar essas estimativas e, portanto, os resultados dos impactos distributivos. De todo modo, trata-se de cerca de R$ 20 bilhões de 2008 que deixariam de ser gastos e teriam impactos redistributivos. No caso dos lucros e dividendos não é possível o cotejamento, pois a Receita Federal não considera essa isenção um gasto tributário. Assim, a isenção de lucros e dividendos significa uma perda arrecadatória de R$ 40 bilhões, em valores de 2008, </w:t>
      </w:r>
      <w:r w:rsidRPr="00971206">
        <w:lastRenderedPageBreak/>
        <w:t>caso fossem tributados progressivamente, e de R$ 22 bilhões se aplicada uma alíquota única de 15%. Cumpre, por fim, alertar que as medidas quando tomadas em conjunto não implicam a adição dos valores estimados para cada medida.</w:t>
      </w:r>
    </w:p>
    <w:p w14:paraId="614BDEAF" w14:textId="77777777" w:rsidR="00231BFE" w:rsidRPr="00971206" w:rsidRDefault="00231BFE" w:rsidP="00331F87"/>
    <w:p w14:paraId="0730CCC8" w14:textId="748F0F01" w:rsidR="00142ED5" w:rsidRPr="00971206" w:rsidRDefault="00142ED5" w:rsidP="00142ED5">
      <w:pPr>
        <w:pStyle w:val="PargrafodaLista"/>
        <w:keepNext/>
        <w:jc w:val="both"/>
        <w:rPr>
          <w:rFonts w:ascii="Times New Roman" w:hAnsi="Times New Roman" w:cs="Times New Roman"/>
        </w:rPr>
      </w:pPr>
      <w:r w:rsidRPr="00971206">
        <w:rPr>
          <w:rFonts w:ascii="Times New Roman" w:hAnsi="Times New Roman" w:cs="Times New Roman"/>
        </w:rPr>
        <w:t>4.2 Impacto distributivo de alterações no IRPF</w:t>
      </w:r>
    </w:p>
    <w:p w14:paraId="15BB83E9" w14:textId="55C0356B" w:rsidR="00142ED5" w:rsidRPr="00971206" w:rsidRDefault="00142ED5">
      <w:pPr>
        <w:jc w:val="both"/>
      </w:pPr>
    </w:p>
    <w:p w14:paraId="49645AE2" w14:textId="77777777" w:rsidR="0003612C" w:rsidRDefault="007C1340" w:rsidP="0003612C">
      <w:pPr>
        <w:ind w:firstLine="851"/>
        <w:jc w:val="both"/>
      </w:pPr>
      <w:r w:rsidRPr="00971206">
        <w:t>De posse da base de dados elaborada, foram analisad</w:t>
      </w:r>
      <w:r w:rsidR="003D5694" w:rsidRPr="00971206">
        <w:t>o</w:t>
      </w:r>
      <w:r w:rsidRPr="00971206">
        <w:t>s</w:t>
      </w:r>
      <w:r w:rsidR="003D5694" w:rsidRPr="00971206">
        <w:t xml:space="preserve"> os impactos distributivos de</w:t>
      </w:r>
      <w:r w:rsidRPr="00971206">
        <w:t xml:space="preserve"> três diferentes hipóteses </w:t>
      </w:r>
      <w:r w:rsidR="003D5694" w:rsidRPr="00971206">
        <w:t xml:space="preserve">de modificação da tributação do IRPF: i) incidência de tributação progressiva sobre lucros e dividendos; </w:t>
      </w:r>
      <w:proofErr w:type="spellStart"/>
      <w:r w:rsidR="003D5694" w:rsidRPr="00971206">
        <w:t>ii</w:t>
      </w:r>
      <w:proofErr w:type="spellEnd"/>
      <w:r w:rsidR="003D5694" w:rsidRPr="00971206">
        <w:t xml:space="preserve">) fim das isenções para aposentados e pensionistas (parcela isenta e moléstias graves) e das deduções em saúde e educação; e </w:t>
      </w:r>
      <w:proofErr w:type="spellStart"/>
      <w:r w:rsidR="003D5694" w:rsidRPr="00971206">
        <w:t>iii</w:t>
      </w:r>
      <w:proofErr w:type="spellEnd"/>
      <w:r w:rsidR="003D5694" w:rsidRPr="00971206">
        <w:t xml:space="preserve">) a aplicação conjunta das duas medidas anteriores. </w:t>
      </w:r>
    </w:p>
    <w:p w14:paraId="76E71331" w14:textId="1EB964FF" w:rsidR="00ED4F4E" w:rsidRPr="00971206" w:rsidRDefault="00EA0DF8" w:rsidP="0003612C">
      <w:pPr>
        <w:ind w:firstLine="851"/>
        <w:jc w:val="both"/>
      </w:pPr>
      <w:r w:rsidRPr="00971206">
        <w:t xml:space="preserve">No </w:t>
      </w:r>
      <w:r w:rsidR="002F7998" w:rsidRPr="00971206">
        <w:t>G</w:t>
      </w:r>
      <w:r w:rsidRPr="00971206">
        <w:t xml:space="preserve">ráfico </w:t>
      </w:r>
      <w:r w:rsidR="002F7998" w:rsidRPr="00971206">
        <w:t>4</w:t>
      </w:r>
      <w:r w:rsidRPr="00971206">
        <w:t xml:space="preserve"> são apresentados os resultados das simulações em termos da </w:t>
      </w:r>
      <w:r w:rsidR="006D6ADC" w:rsidRPr="00971206">
        <w:t xml:space="preserve">participação de estratos populacionais, segundo a renda total, no imposto de renda. Fica evidente que </w:t>
      </w:r>
      <w:r w:rsidR="00D24DB6" w:rsidRPr="00971206">
        <w:t xml:space="preserve">a tributação </w:t>
      </w:r>
      <w:r w:rsidR="003D5694" w:rsidRPr="00971206">
        <w:t xml:space="preserve">progressiva </w:t>
      </w:r>
      <w:r w:rsidR="00D24DB6" w:rsidRPr="00971206">
        <w:t xml:space="preserve">de lucros e dividendos implica um crescimento expressivo </w:t>
      </w:r>
      <w:r w:rsidR="006D6ADC" w:rsidRPr="00971206">
        <w:t>na participação dos</w:t>
      </w:r>
      <w:r w:rsidR="00D24DB6" w:rsidRPr="00971206">
        <w:t xml:space="preserve"> 0,1% mais ricos</w:t>
      </w:r>
      <w:r w:rsidR="003D5694" w:rsidRPr="00971206">
        <w:t xml:space="preserve"> no</w:t>
      </w:r>
      <w:r w:rsidR="00686506" w:rsidRPr="00971206">
        <w:t xml:space="preserve"> pagamento do</w:t>
      </w:r>
      <w:r w:rsidR="003D5694" w:rsidRPr="00971206">
        <w:t xml:space="preserve"> IRPF</w:t>
      </w:r>
      <w:r w:rsidR="00D24DB6" w:rsidRPr="00971206">
        <w:t xml:space="preserve">, enquanto </w:t>
      </w:r>
      <w:r w:rsidR="006D6ADC" w:rsidRPr="00971206">
        <w:t xml:space="preserve">que </w:t>
      </w:r>
      <w:r w:rsidR="00D24DB6" w:rsidRPr="00971206">
        <w:t>o fim das deduções e isenções</w:t>
      </w:r>
      <w:r w:rsidR="003D5694" w:rsidRPr="00971206">
        <w:t xml:space="preserve"> para aposentadorias</w:t>
      </w:r>
      <w:r w:rsidR="00D24DB6" w:rsidRPr="00971206">
        <w:t xml:space="preserve"> aumenta a participação </w:t>
      </w:r>
      <w:r w:rsidR="003D5694" w:rsidRPr="00971206">
        <w:t xml:space="preserve">no tributo a pagar </w:t>
      </w:r>
      <w:r w:rsidR="00D24DB6" w:rsidRPr="00971206">
        <w:t xml:space="preserve">da população adulta localizada entre os percentis 90 e 99. Já a associação das duas medidas aumenta as participações dos 0,1% mais ricos e dos situados entre os percentis 90 e 95. </w:t>
      </w:r>
    </w:p>
    <w:p w14:paraId="19D84167" w14:textId="77777777" w:rsidR="00050449" w:rsidRPr="00971206" w:rsidRDefault="00050449" w:rsidP="005054F9"/>
    <w:p w14:paraId="1851D6F9" w14:textId="469DC0EA" w:rsidR="00ED4F4E" w:rsidRPr="00971206" w:rsidRDefault="007F1D35" w:rsidP="009E46B1">
      <w:pPr>
        <w:keepNext/>
        <w:spacing w:after="120"/>
        <w:jc w:val="both"/>
      </w:pPr>
      <w:r w:rsidRPr="00971206">
        <w:t xml:space="preserve">Gráfico </w:t>
      </w:r>
      <w:r w:rsidR="002F7998" w:rsidRPr="00971206">
        <w:t>4</w:t>
      </w:r>
      <w:r w:rsidRPr="00971206">
        <w:t xml:space="preserve"> – Estrutura de distribuição da</w:t>
      </w:r>
      <w:r w:rsidR="009924A4" w:rsidRPr="00971206">
        <w:t xml:space="preserve"> </w:t>
      </w:r>
      <w:r w:rsidRPr="00971206">
        <w:t>renda total e do IRPF devido no quadro atual, com a tributação de lucros e dividendos na tabela progressiva, sem as deduções em saúde e educação e com ambas medidas, para estratos selecionados de renda total – Brasil, 2008.</w:t>
      </w:r>
    </w:p>
    <w:p w14:paraId="16B0DE09" w14:textId="1AE11DEE" w:rsidR="00ED4F4E" w:rsidRPr="0003612C" w:rsidRDefault="00E330F6" w:rsidP="0003612C">
      <w:pPr>
        <w:spacing w:before="120"/>
        <w:ind w:firstLine="284"/>
        <w:jc w:val="both"/>
        <w:rPr>
          <w:sz w:val="20"/>
          <w:szCs w:val="20"/>
        </w:rPr>
      </w:pPr>
      <w:r w:rsidRPr="00971206">
        <w:rPr>
          <w:noProof/>
        </w:rPr>
        <w:drawing>
          <wp:inline distT="0" distB="0" distL="0" distR="0" wp14:anchorId="5ED0FF42" wp14:editId="12DD7E7E">
            <wp:extent cx="5396230" cy="3489960"/>
            <wp:effectExtent l="0" t="0" r="1270" b="25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3489960"/>
                    </a:xfrm>
                    <a:prstGeom prst="rect">
                      <a:avLst/>
                    </a:prstGeom>
                  </pic:spPr>
                </pic:pic>
              </a:graphicData>
            </a:graphic>
          </wp:inline>
        </w:drawing>
      </w:r>
      <w:r w:rsidR="007F1D35" w:rsidRPr="0003612C">
        <w:rPr>
          <w:sz w:val="20"/>
          <w:szCs w:val="20"/>
        </w:rPr>
        <w:t xml:space="preserve">Fonte: </w:t>
      </w:r>
      <w:r w:rsidR="007862D8" w:rsidRPr="0003612C">
        <w:rPr>
          <w:sz w:val="20"/>
          <w:szCs w:val="20"/>
        </w:rPr>
        <w:t xml:space="preserve">Elaboração própria com dados da Receita Federal do Brasil, </w:t>
      </w:r>
      <w:proofErr w:type="spellStart"/>
      <w:r w:rsidR="007862D8" w:rsidRPr="0003612C">
        <w:rPr>
          <w:sz w:val="20"/>
          <w:szCs w:val="20"/>
        </w:rPr>
        <w:t>microdados</w:t>
      </w:r>
      <w:proofErr w:type="spellEnd"/>
      <w:r w:rsidR="007862D8" w:rsidRPr="0003612C">
        <w:rPr>
          <w:sz w:val="20"/>
          <w:szCs w:val="20"/>
        </w:rPr>
        <w:t xml:space="preserve"> da POF e Contas Nacionais. </w:t>
      </w:r>
    </w:p>
    <w:p w14:paraId="1A42AF00" w14:textId="77777777" w:rsidR="00D24DB6" w:rsidRPr="00971206" w:rsidRDefault="00D24DB6"/>
    <w:p w14:paraId="56B1ACA4" w14:textId="77777777" w:rsidR="0003612C" w:rsidRDefault="003D5694" w:rsidP="0003612C">
      <w:pPr>
        <w:ind w:firstLine="851"/>
        <w:jc w:val="both"/>
      </w:pPr>
      <w:r w:rsidRPr="00971206">
        <w:t xml:space="preserve">Com o intuito de observar </w:t>
      </w:r>
      <w:r w:rsidR="00AE29F7" w:rsidRPr="00971206">
        <w:t xml:space="preserve">mais detalhadamente </w:t>
      </w:r>
      <w:r w:rsidRPr="00971206">
        <w:t>como se comp</w:t>
      </w:r>
      <w:r w:rsidR="00AE29F7" w:rsidRPr="00971206">
        <w:t>o</w:t>
      </w:r>
      <w:r w:rsidRPr="00971206">
        <w:t xml:space="preserve">rtam as alíquotas efetivas </w:t>
      </w:r>
      <w:r w:rsidR="00AE29F7" w:rsidRPr="00971206">
        <w:t>no topo dos</w:t>
      </w:r>
      <w:r w:rsidRPr="00971206">
        <w:t xml:space="preserve"> estratos de renda</w:t>
      </w:r>
      <w:r w:rsidR="00AE29F7" w:rsidRPr="00971206">
        <w:t xml:space="preserve">, o </w:t>
      </w:r>
      <w:r w:rsidR="00437E47" w:rsidRPr="00971206">
        <w:t>G</w:t>
      </w:r>
      <w:r w:rsidRPr="00971206">
        <w:t xml:space="preserve">ráfico </w:t>
      </w:r>
      <w:r w:rsidR="00D67D59" w:rsidRPr="00971206">
        <w:t xml:space="preserve">5 </w:t>
      </w:r>
      <w:r w:rsidR="00AE29F7" w:rsidRPr="00971206">
        <w:t>exibe</w:t>
      </w:r>
      <w:r w:rsidRPr="00971206">
        <w:t xml:space="preserve"> as alíquotas efetivas para os 5% mais ricos </w:t>
      </w:r>
      <w:r w:rsidR="00AE29F7" w:rsidRPr="00971206">
        <w:t xml:space="preserve">da população, </w:t>
      </w:r>
      <w:r w:rsidRPr="00971206">
        <w:t>n</w:t>
      </w:r>
      <w:r w:rsidR="00AE29F7" w:rsidRPr="00971206">
        <w:t>a legislação vigente</w:t>
      </w:r>
      <w:r w:rsidRPr="00971206">
        <w:t xml:space="preserve"> e nas três </w:t>
      </w:r>
      <w:r w:rsidR="00AE29F7" w:rsidRPr="00971206">
        <w:t>hipóteses de modificação tributária</w:t>
      </w:r>
      <w:r w:rsidRPr="00971206">
        <w:t xml:space="preserve"> simuladas.</w:t>
      </w:r>
      <w:r w:rsidR="00AE29F7" w:rsidRPr="00971206">
        <w:t xml:space="preserve"> </w:t>
      </w:r>
      <w:r w:rsidR="00D24DB6" w:rsidRPr="00971206">
        <w:t xml:space="preserve">Como já apontado por </w:t>
      </w:r>
      <w:proofErr w:type="spellStart"/>
      <w:r w:rsidR="00D24DB6" w:rsidRPr="00971206">
        <w:t>Gobetti</w:t>
      </w:r>
      <w:proofErr w:type="spellEnd"/>
      <w:r w:rsidR="00D24DB6" w:rsidRPr="00971206">
        <w:t xml:space="preserve"> </w:t>
      </w:r>
      <w:r w:rsidR="00496453" w:rsidRPr="00971206">
        <w:t>e</w:t>
      </w:r>
      <w:r w:rsidR="00D24DB6" w:rsidRPr="00971206">
        <w:t xml:space="preserve"> </w:t>
      </w:r>
      <w:proofErr w:type="spellStart"/>
      <w:r w:rsidR="00D24DB6" w:rsidRPr="00971206">
        <w:t>Orair</w:t>
      </w:r>
      <w:proofErr w:type="spellEnd"/>
      <w:r w:rsidR="00D24DB6" w:rsidRPr="00971206">
        <w:t xml:space="preserve"> (</w:t>
      </w:r>
      <w:r w:rsidR="00565039" w:rsidRPr="00971206">
        <w:t>2015</w:t>
      </w:r>
      <w:r w:rsidR="00D24DB6" w:rsidRPr="00971206">
        <w:t xml:space="preserve">), Silveira </w:t>
      </w:r>
      <w:r w:rsidR="00496453" w:rsidRPr="00971206">
        <w:t>e</w:t>
      </w:r>
      <w:r w:rsidR="00D24DB6" w:rsidRPr="00971206">
        <w:t xml:space="preserve"> Passos (2018) e outros analistas, </w:t>
      </w:r>
      <w:r w:rsidR="00B116EF" w:rsidRPr="00971206">
        <w:t xml:space="preserve">o atual desenho do IRPF </w:t>
      </w:r>
      <w:r w:rsidR="00AE29F7" w:rsidRPr="00971206">
        <w:t xml:space="preserve">resulta em </w:t>
      </w:r>
      <w:r w:rsidR="00B116EF" w:rsidRPr="00971206">
        <w:t xml:space="preserve">uma quebra da </w:t>
      </w:r>
      <w:r w:rsidR="00B116EF" w:rsidRPr="00971206">
        <w:lastRenderedPageBreak/>
        <w:t>progressividade</w:t>
      </w:r>
      <w:r w:rsidR="00AE29F7" w:rsidRPr="00971206">
        <w:t>,</w:t>
      </w:r>
      <w:r w:rsidR="00B116EF" w:rsidRPr="00971206">
        <w:t xml:space="preserve"> com as alíquotas efetivas apresentando tendência de queda no</w:t>
      </w:r>
      <w:r w:rsidR="005C54E0" w:rsidRPr="00971206">
        <w:t>s</w:t>
      </w:r>
      <w:r w:rsidR="00B116EF" w:rsidRPr="00971206">
        <w:t xml:space="preserve"> centésimo</w:t>
      </w:r>
      <w:r w:rsidR="005C54E0" w:rsidRPr="00971206">
        <w:t>s</w:t>
      </w:r>
      <w:r w:rsidR="00B116EF" w:rsidRPr="00971206">
        <w:t xml:space="preserve"> mais rico</w:t>
      </w:r>
      <w:r w:rsidR="005C54E0" w:rsidRPr="00971206">
        <w:t>s</w:t>
      </w:r>
      <w:r w:rsidR="00B116EF" w:rsidRPr="00971206">
        <w:t xml:space="preserve">, decorrente da isenção de lucros e dividendos e da importância dos rendimentos </w:t>
      </w:r>
      <w:r w:rsidR="00AE29F7" w:rsidRPr="00971206">
        <w:t xml:space="preserve">sujeitos a </w:t>
      </w:r>
      <w:r w:rsidR="00B116EF" w:rsidRPr="00971206">
        <w:t xml:space="preserve">tributação exclusiva. </w:t>
      </w:r>
      <w:r w:rsidR="00AE29F7" w:rsidRPr="00971206">
        <w:t>Nesse sentido, v</w:t>
      </w:r>
      <w:r w:rsidR="00B116EF" w:rsidRPr="00971206">
        <w:t xml:space="preserve">erifica-se que a tributação de lucros e dividendos corrige </w:t>
      </w:r>
      <w:r w:rsidR="005C54E0" w:rsidRPr="00971206">
        <w:t>a</w:t>
      </w:r>
      <w:r w:rsidR="00B116EF" w:rsidRPr="00971206">
        <w:t xml:space="preserve"> </w:t>
      </w:r>
      <w:r w:rsidR="00AE29F7" w:rsidRPr="00971206">
        <w:t xml:space="preserve">referida </w:t>
      </w:r>
      <w:r w:rsidR="00B116EF" w:rsidRPr="00971206">
        <w:t>quebra</w:t>
      </w:r>
      <w:r w:rsidR="00AE29F7" w:rsidRPr="00971206">
        <w:t>, visto que os indivíduos</w:t>
      </w:r>
      <w:r w:rsidR="005C54E0" w:rsidRPr="00971206">
        <w:t xml:space="preserve"> localizados no centésimo superior </w:t>
      </w:r>
      <w:r w:rsidR="00AE29F7" w:rsidRPr="00971206">
        <w:t xml:space="preserve">passam </w:t>
      </w:r>
      <w:r w:rsidR="005C54E0" w:rsidRPr="00971206">
        <w:t>de uma alíquota</w:t>
      </w:r>
      <w:r w:rsidR="00AE29F7" w:rsidRPr="00971206">
        <w:t xml:space="preserve"> efetiva</w:t>
      </w:r>
      <w:r w:rsidR="005C54E0" w:rsidRPr="00971206">
        <w:t xml:space="preserve"> de 12% para uma de 16%</w:t>
      </w:r>
      <w:r w:rsidR="00675F45" w:rsidRPr="00971206">
        <w:t>, percentagens maiores do que as pagas pelos centésimos imediatamente inferiores</w:t>
      </w:r>
      <w:r w:rsidR="005C54E0" w:rsidRPr="00971206">
        <w:t xml:space="preserve">. </w:t>
      </w:r>
    </w:p>
    <w:p w14:paraId="04B95EDC" w14:textId="77777777" w:rsidR="0003612C" w:rsidRDefault="002537C5" w:rsidP="0003612C">
      <w:pPr>
        <w:ind w:firstLine="851"/>
        <w:jc w:val="both"/>
      </w:pPr>
      <w:r w:rsidRPr="00971206">
        <w:t>Quando se associa a incidência de tributação sobre lucros e dividendos com o fim de deduções em saúde e educação e isenções para aposentadorias e pensões o patamar das alíquotas efetivas se elevam para todos os indivíduos no topo da distribuição, com o valor máximo da alíquota efetiva dos indivíduos no milésimo 99,8 passando de pouco menos de 13% no cenário atual para mais de 19%. No entanto, verifica-se que a progressividade é quebrada nos 0,2% mais ricos, o que ocorre pela importância dos rendimentos sujeitos a tributação exclusiva relacionados aos ganhos no mercado financeiro.</w:t>
      </w:r>
    </w:p>
    <w:p w14:paraId="3AA9052F" w14:textId="51EAC5CA" w:rsidR="00D24DB6" w:rsidRDefault="002537C5" w:rsidP="00AD76B0">
      <w:pPr>
        <w:ind w:firstLine="851"/>
        <w:jc w:val="both"/>
      </w:pPr>
      <w:r w:rsidRPr="00971206">
        <w:t>Observa-se, no Gráfico 5, que o nível das alíquotas efetivas sobre os 5% mais ricos não supera os 13% na simulação para a legislação vigente, passando para 15% com o fim de isenções e deduções, chegando a 18% com a tributação progressiva sobre lucros e dividendos e a quase 20% com a introdução simultânea dessas duas medidas. Nota-se, por outro lado, que a incidência poderia ser mais progressiva, já que a inclinação da curva não se acentua de modo expressivo. Verdade, por outro lado, que se eliminam as quebras de progressividade nos milésimos 995,0 e 998,5, continuando a haver no milésimo 999,5. Isso mostra tanto a necessidade de aplicar uma tabela mais progressiva e avaliar as alíquotas aplicadas nos rendimentos tributados exclusivamente na fonte. No caso do fim das isenções para aposentadorias e dos gastos em saúde e educação, verifica-se um aumento das alíquotas relativamente maior para os declarantes situados entre os percentis 95 e 98, com menor impacto relativo sobre os indivíduos do topo.</w:t>
      </w:r>
    </w:p>
    <w:p w14:paraId="36B2C906" w14:textId="77777777" w:rsidR="00AD76B0" w:rsidRPr="00971206" w:rsidRDefault="00AD76B0" w:rsidP="00AD76B0">
      <w:pPr>
        <w:ind w:firstLine="851"/>
        <w:jc w:val="both"/>
      </w:pPr>
    </w:p>
    <w:p w14:paraId="0138A283" w14:textId="1D7CA700" w:rsidR="00ED4F4E" w:rsidRPr="00971206" w:rsidRDefault="007F1D35" w:rsidP="009E46B1">
      <w:pPr>
        <w:keepNext/>
        <w:spacing w:after="120"/>
        <w:jc w:val="both"/>
      </w:pPr>
      <w:r w:rsidRPr="00971206">
        <w:t xml:space="preserve">Gráfico </w:t>
      </w:r>
      <w:r w:rsidR="002F7998" w:rsidRPr="00971206">
        <w:t>5</w:t>
      </w:r>
      <w:r w:rsidRPr="00971206">
        <w:t xml:space="preserve"> – Alíquotas efetivas (IRPF devido/renda total) no quadro atual, com tributação progressiva sobre lucros e dividendos, sem as deduções em saúde e educação e com ambas medidas para os 5% mais ricos – Brasil, 2008.</w:t>
      </w:r>
    </w:p>
    <w:p w14:paraId="74BF252C" w14:textId="77777777" w:rsidR="000358AE" w:rsidRPr="00971206" w:rsidRDefault="000358AE" w:rsidP="007F1D35">
      <w:pPr>
        <w:jc w:val="center"/>
      </w:pPr>
      <w:r w:rsidRPr="00971206">
        <w:rPr>
          <w:noProof/>
        </w:rPr>
        <w:drawing>
          <wp:inline distT="0" distB="0" distL="0" distR="0" wp14:anchorId="564A5062" wp14:editId="21DB8344">
            <wp:extent cx="5230082" cy="302944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247575" cy="3039580"/>
                    </a:xfrm>
                    <a:prstGeom prst="rect">
                      <a:avLst/>
                    </a:prstGeom>
                  </pic:spPr>
                </pic:pic>
              </a:graphicData>
            </a:graphic>
          </wp:inline>
        </w:drawing>
      </w:r>
    </w:p>
    <w:p w14:paraId="640201EB" w14:textId="77777777" w:rsidR="007F1D35" w:rsidRPr="0003612C" w:rsidRDefault="007F1D35" w:rsidP="007F1D35">
      <w:pPr>
        <w:spacing w:before="120"/>
        <w:ind w:firstLine="851"/>
        <w:jc w:val="both"/>
        <w:rPr>
          <w:sz w:val="20"/>
          <w:szCs w:val="20"/>
        </w:rPr>
      </w:pPr>
      <w:r w:rsidRPr="0003612C">
        <w:rPr>
          <w:sz w:val="20"/>
          <w:szCs w:val="20"/>
        </w:rPr>
        <w:t xml:space="preserve">Fonte: Receita Federal do Brasil, </w:t>
      </w:r>
      <w:proofErr w:type="spellStart"/>
      <w:r w:rsidRPr="0003612C">
        <w:rPr>
          <w:sz w:val="20"/>
          <w:szCs w:val="20"/>
        </w:rPr>
        <w:t>microdados</w:t>
      </w:r>
      <w:proofErr w:type="spellEnd"/>
      <w:r w:rsidRPr="0003612C">
        <w:rPr>
          <w:sz w:val="20"/>
          <w:szCs w:val="20"/>
        </w:rPr>
        <w:t xml:space="preserve"> da POF, Contas Nacionais.</w:t>
      </w:r>
    </w:p>
    <w:p w14:paraId="3C108032" w14:textId="77777777" w:rsidR="006D2C82" w:rsidRPr="00971206" w:rsidRDefault="006D2C82" w:rsidP="008467EA">
      <w:pPr>
        <w:jc w:val="both"/>
      </w:pPr>
    </w:p>
    <w:p w14:paraId="4A663908" w14:textId="77777777" w:rsidR="006D2C82" w:rsidRPr="00971206" w:rsidRDefault="006D2C82" w:rsidP="008467EA">
      <w:pPr>
        <w:jc w:val="both"/>
      </w:pPr>
    </w:p>
    <w:p w14:paraId="4BE13216" w14:textId="77777777" w:rsidR="0003612C" w:rsidRDefault="00F64F90" w:rsidP="0003612C">
      <w:pPr>
        <w:ind w:firstLine="851"/>
        <w:jc w:val="both"/>
      </w:pPr>
      <w:r w:rsidRPr="00971206">
        <w:t xml:space="preserve">Na </w:t>
      </w:r>
      <w:r w:rsidR="002F7998" w:rsidRPr="00971206">
        <w:t>T</w:t>
      </w:r>
      <w:r w:rsidRPr="00971206">
        <w:t xml:space="preserve">abela </w:t>
      </w:r>
      <w:r w:rsidR="00382876" w:rsidRPr="00971206">
        <w:t xml:space="preserve">6 </w:t>
      </w:r>
      <w:r w:rsidRPr="00971206">
        <w:t xml:space="preserve">são apresentados os efeitos sobre o índice </w:t>
      </w:r>
      <w:r w:rsidR="00084B6B" w:rsidRPr="00971206">
        <w:t xml:space="preserve">de </w:t>
      </w:r>
      <w:proofErr w:type="spellStart"/>
      <w:r w:rsidR="00084B6B" w:rsidRPr="00971206">
        <w:t>G</w:t>
      </w:r>
      <w:r w:rsidRPr="00971206">
        <w:t>in</w:t>
      </w:r>
      <w:r w:rsidR="001200C2" w:rsidRPr="00971206">
        <w:t>i</w:t>
      </w:r>
      <w:proofErr w:type="spellEnd"/>
      <w:r w:rsidR="001200C2" w:rsidRPr="00971206">
        <w:t xml:space="preserve"> </w:t>
      </w:r>
      <w:r w:rsidR="007F048B" w:rsidRPr="00971206">
        <w:t>d</w:t>
      </w:r>
      <w:r w:rsidR="001A6042" w:rsidRPr="00971206">
        <w:t>a distribuição d</w:t>
      </w:r>
      <w:r w:rsidR="007F048B" w:rsidRPr="00971206">
        <w:t>e</w:t>
      </w:r>
      <w:r w:rsidR="001A6042" w:rsidRPr="00971206">
        <w:t xml:space="preserve"> renda d</w:t>
      </w:r>
      <w:r w:rsidR="007F048B" w:rsidRPr="00971206">
        <w:t>as</w:t>
      </w:r>
      <w:r w:rsidR="001A6042" w:rsidRPr="00971206">
        <w:t xml:space="preserve"> pessoas adultas</w:t>
      </w:r>
      <w:r w:rsidR="007F048B" w:rsidRPr="00971206">
        <w:t xml:space="preserve"> de alterações do IRPF – eliminação das deduções e tributação progressiva sobre lucros e dividendos. Nota-se que</w:t>
      </w:r>
      <w:r w:rsidR="001200C2" w:rsidRPr="00971206">
        <w:t xml:space="preserve"> o índice de </w:t>
      </w:r>
      <w:proofErr w:type="spellStart"/>
      <w:r w:rsidR="007F048B" w:rsidRPr="00971206">
        <w:t>Gini</w:t>
      </w:r>
      <w:proofErr w:type="spellEnd"/>
      <w:r w:rsidR="007F048B" w:rsidRPr="00971206">
        <w:t xml:space="preserve"> inicial </w:t>
      </w:r>
      <w:r w:rsidR="001200C2" w:rsidRPr="00971206">
        <w:t xml:space="preserve">é </w:t>
      </w:r>
      <w:r w:rsidR="007F048B" w:rsidRPr="00971206">
        <w:t xml:space="preserve">muito </w:t>
      </w:r>
      <w:r w:rsidR="001200C2" w:rsidRPr="00971206">
        <w:t>elevado</w:t>
      </w:r>
      <w:r w:rsidR="007F048B" w:rsidRPr="00971206">
        <w:t xml:space="preserve"> (</w:t>
      </w:r>
      <w:r w:rsidR="001200C2" w:rsidRPr="00971206">
        <w:t>0,700</w:t>
      </w:r>
      <w:r w:rsidR="007F048B" w:rsidRPr="00971206">
        <w:t>)</w:t>
      </w:r>
      <w:r w:rsidR="00551947" w:rsidRPr="00971206">
        <w:t xml:space="preserve"> em relação às medições usuais</w:t>
      </w:r>
      <w:r w:rsidR="001200C2" w:rsidRPr="00971206">
        <w:t>,</w:t>
      </w:r>
      <w:r w:rsidR="007F048B" w:rsidRPr="00971206">
        <w:t xml:space="preserve"> o que se </w:t>
      </w:r>
      <w:r w:rsidR="00346D37" w:rsidRPr="00971206">
        <w:t>dev</w:t>
      </w:r>
      <w:r w:rsidR="00551947" w:rsidRPr="00971206">
        <w:t xml:space="preserve">e </w:t>
      </w:r>
      <w:r w:rsidR="00346D37" w:rsidRPr="00971206">
        <w:t>em</w:t>
      </w:r>
      <w:r w:rsidR="00084B6B" w:rsidRPr="00971206">
        <w:t xml:space="preserve"> </w:t>
      </w:r>
      <w:r w:rsidR="007F048B" w:rsidRPr="00971206">
        <w:t>grande medida ao fato de que</w:t>
      </w:r>
      <w:r w:rsidR="00084B6B" w:rsidRPr="00971206">
        <w:t xml:space="preserve"> </w:t>
      </w:r>
      <w:r w:rsidR="000B1F9F" w:rsidRPr="00971206">
        <w:t>21</w:t>
      </w:r>
      <w:r w:rsidR="00084B6B" w:rsidRPr="00971206">
        <w:t>% da população adulta não apresenta rendimentos</w:t>
      </w:r>
      <w:r w:rsidR="007F048B" w:rsidRPr="00971206">
        <w:t xml:space="preserve">, bem como a elevada </w:t>
      </w:r>
      <w:proofErr w:type="spellStart"/>
      <w:r w:rsidR="007F048B" w:rsidRPr="00971206">
        <w:t>subdeclaração</w:t>
      </w:r>
      <w:proofErr w:type="spellEnd"/>
      <w:r w:rsidR="007F048B" w:rsidRPr="00971206">
        <w:t xml:space="preserve"> de rendimentos no topo da distribuição</w:t>
      </w:r>
      <w:r w:rsidR="00551947" w:rsidRPr="00971206">
        <w:t>, corrigida com a inclusão dos dados do DIRPF</w:t>
      </w:r>
      <w:r w:rsidR="00084B6B" w:rsidRPr="00971206">
        <w:t>.</w:t>
      </w:r>
    </w:p>
    <w:p w14:paraId="7AD2935D" w14:textId="77777777" w:rsidR="0003612C" w:rsidRDefault="002537C5" w:rsidP="0003612C">
      <w:pPr>
        <w:ind w:firstLine="851"/>
        <w:jc w:val="both"/>
      </w:pPr>
      <w:r w:rsidRPr="00971206">
        <w:t xml:space="preserve">A tributação progressiva de lucros e dividendos é a medida isolada que reduz de modo mais significativo o índice de </w:t>
      </w:r>
      <w:proofErr w:type="spellStart"/>
      <w:r w:rsidRPr="00971206">
        <w:t>Gini</w:t>
      </w:r>
      <w:proofErr w:type="spellEnd"/>
      <w:r w:rsidRPr="00971206">
        <w:t xml:space="preserve">, aumentando em mais de 50% o efeito distributivo do IRPF. De outra parte, o fim da dedução dos gastos com educação e a parcela isenta para aposentados são as modificações com menor impacto redistributivo. Caso não houvesse a dedução de despesas médicas, a redução no índice de </w:t>
      </w:r>
      <w:proofErr w:type="spellStart"/>
      <w:r w:rsidRPr="00971206">
        <w:t>Gini</w:t>
      </w:r>
      <w:proofErr w:type="spellEnd"/>
      <w:r w:rsidRPr="00971206">
        <w:t xml:space="preserve"> pelo IRPF aumentaria em quase 10%. No caso da isenção para portadores de moléstias graves, seu fim acarretaria uma redução 6,6% maior. </w:t>
      </w:r>
    </w:p>
    <w:p w14:paraId="27359C8B" w14:textId="77777777" w:rsidR="00AD76B0" w:rsidRDefault="00AD76B0" w:rsidP="008467EA">
      <w:pPr>
        <w:jc w:val="both"/>
      </w:pPr>
    </w:p>
    <w:p w14:paraId="08145E8C" w14:textId="4F7A705E" w:rsidR="006D2C82" w:rsidRPr="00971206" w:rsidRDefault="007F1D35" w:rsidP="008467EA">
      <w:pPr>
        <w:jc w:val="both"/>
      </w:pPr>
      <w:r w:rsidRPr="00971206">
        <w:t xml:space="preserve">Tabela </w:t>
      </w:r>
      <w:r w:rsidR="00382876" w:rsidRPr="00971206">
        <w:t xml:space="preserve">6 </w:t>
      </w:r>
      <w:r w:rsidRPr="00971206">
        <w:t xml:space="preserve">– </w:t>
      </w:r>
      <w:r w:rsidR="005C5BB1" w:rsidRPr="00971206">
        <w:t>I</w:t>
      </w:r>
      <w:r w:rsidRPr="00971206">
        <w:t>mpactos distributivos de alterações no IRPF com a tributação de lucros e dividendos e extinção das deduções em saúde e educação – Brasil, 2008.</w:t>
      </w:r>
    </w:p>
    <w:p w14:paraId="107BD0BE" w14:textId="77777777" w:rsidR="007F1D35" w:rsidRPr="00971206" w:rsidRDefault="007F1D35" w:rsidP="008467EA">
      <w:pPr>
        <w:jc w:val="both"/>
      </w:pPr>
    </w:p>
    <w:tbl>
      <w:tblPr>
        <w:tblW w:w="5000" w:type="pct"/>
        <w:tblLayout w:type="fixed"/>
        <w:tblCellMar>
          <w:left w:w="70" w:type="dxa"/>
          <w:right w:w="70" w:type="dxa"/>
        </w:tblCellMar>
        <w:tblLook w:val="04A0" w:firstRow="1" w:lastRow="0" w:firstColumn="1" w:lastColumn="0" w:noHBand="0" w:noVBand="1"/>
      </w:tblPr>
      <w:tblGrid>
        <w:gridCol w:w="3502"/>
        <w:gridCol w:w="964"/>
        <w:gridCol w:w="969"/>
        <w:gridCol w:w="981"/>
        <w:gridCol w:w="976"/>
        <w:gridCol w:w="1106"/>
      </w:tblGrid>
      <w:tr w:rsidR="00880479" w:rsidRPr="00971206" w14:paraId="4F526D64" w14:textId="77777777" w:rsidTr="009E46B1">
        <w:trPr>
          <w:trHeight w:val="640"/>
        </w:trPr>
        <w:tc>
          <w:tcPr>
            <w:tcW w:w="2060" w:type="pct"/>
            <w:tcBorders>
              <w:top w:val="single" w:sz="4" w:space="0" w:color="auto"/>
              <w:left w:val="nil"/>
              <w:bottom w:val="single" w:sz="4" w:space="0" w:color="auto"/>
              <w:right w:val="nil"/>
            </w:tcBorders>
            <w:shd w:val="clear" w:color="000000" w:fill="FFFFFF"/>
            <w:vAlign w:val="center"/>
            <w:hideMark/>
          </w:tcPr>
          <w:p w14:paraId="7903BF1E" w14:textId="77777777" w:rsidR="006D2C82" w:rsidRPr="00971206" w:rsidRDefault="006D2C82" w:rsidP="006D2C82">
            <w:pPr>
              <w:jc w:val="center"/>
              <w:rPr>
                <w:b/>
                <w:bCs/>
                <w:color w:val="000000"/>
              </w:rPr>
            </w:pPr>
            <w:r w:rsidRPr="00971206">
              <w:rPr>
                <w:b/>
                <w:bCs/>
                <w:color w:val="000000"/>
              </w:rPr>
              <w:t>Estimativa</w:t>
            </w:r>
          </w:p>
        </w:tc>
        <w:tc>
          <w:tcPr>
            <w:tcW w:w="567" w:type="pct"/>
            <w:tcBorders>
              <w:top w:val="single" w:sz="4" w:space="0" w:color="auto"/>
              <w:left w:val="nil"/>
              <w:bottom w:val="single" w:sz="4" w:space="0" w:color="auto"/>
              <w:right w:val="nil"/>
            </w:tcBorders>
            <w:shd w:val="clear" w:color="000000" w:fill="FFFFFF"/>
            <w:vAlign w:val="center"/>
            <w:hideMark/>
          </w:tcPr>
          <w:p w14:paraId="1FC7E7A6" w14:textId="77777777" w:rsidR="006D2C82" w:rsidRPr="00971206" w:rsidRDefault="006D2C82" w:rsidP="006D2C82">
            <w:pPr>
              <w:jc w:val="center"/>
              <w:rPr>
                <w:b/>
                <w:bCs/>
                <w:color w:val="000000"/>
              </w:rPr>
            </w:pPr>
            <w:proofErr w:type="spellStart"/>
            <w:r w:rsidRPr="00971206">
              <w:rPr>
                <w:b/>
                <w:bCs/>
                <w:color w:val="000000"/>
              </w:rPr>
              <w:t>Gini</w:t>
            </w:r>
            <w:proofErr w:type="spellEnd"/>
            <w:r w:rsidRPr="00971206">
              <w:rPr>
                <w:b/>
                <w:bCs/>
                <w:color w:val="000000"/>
              </w:rPr>
              <w:t xml:space="preserve"> </w:t>
            </w:r>
            <w:proofErr w:type="spellStart"/>
            <w:r w:rsidRPr="00971206">
              <w:rPr>
                <w:b/>
                <w:bCs/>
                <w:color w:val="000000"/>
              </w:rPr>
              <w:t>Pré</w:t>
            </w:r>
            <w:proofErr w:type="spellEnd"/>
          </w:p>
        </w:tc>
        <w:tc>
          <w:tcPr>
            <w:tcW w:w="570" w:type="pct"/>
            <w:tcBorders>
              <w:top w:val="single" w:sz="4" w:space="0" w:color="auto"/>
              <w:left w:val="nil"/>
              <w:bottom w:val="single" w:sz="4" w:space="0" w:color="auto"/>
              <w:right w:val="nil"/>
            </w:tcBorders>
            <w:shd w:val="clear" w:color="000000" w:fill="FFFFFF"/>
            <w:vAlign w:val="center"/>
            <w:hideMark/>
          </w:tcPr>
          <w:p w14:paraId="530E879F" w14:textId="77777777" w:rsidR="006D2C82" w:rsidRPr="00971206" w:rsidRDefault="006D2C82" w:rsidP="006D2C82">
            <w:pPr>
              <w:jc w:val="center"/>
              <w:rPr>
                <w:b/>
                <w:bCs/>
                <w:color w:val="000000"/>
              </w:rPr>
            </w:pPr>
            <w:proofErr w:type="spellStart"/>
            <w:r w:rsidRPr="00971206">
              <w:rPr>
                <w:b/>
                <w:bCs/>
                <w:color w:val="000000"/>
              </w:rPr>
              <w:t>Gini</w:t>
            </w:r>
            <w:proofErr w:type="spellEnd"/>
            <w:r w:rsidRPr="00971206">
              <w:rPr>
                <w:b/>
                <w:bCs/>
                <w:color w:val="000000"/>
              </w:rPr>
              <w:t xml:space="preserve"> Pós</w:t>
            </w:r>
          </w:p>
        </w:tc>
        <w:tc>
          <w:tcPr>
            <w:tcW w:w="577" w:type="pct"/>
            <w:tcBorders>
              <w:top w:val="single" w:sz="4" w:space="0" w:color="auto"/>
              <w:left w:val="nil"/>
              <w:bottom w:val="single" w:sz="4" w:space="0" w:color="auto"/>
              <w:right w:val="nil"/>
            </w:tcBorders>
            <w:shd w:val="clear" w:color="000000" w:fill="FFFFFF"/>
            <w:vAlign w:val="center"/>
            <w:hideMark/>
          </w:tcPr>
          <w:p w14:paraId="6F75C111" w14:textId="77777777" w:rsidR="006D2C82" w:rsidRPr="00971206" w:rsidRDefault="006D2C82" w:rsidP="006D2C82">
            <w:pPr>
              <w:jc w:val="center"/>
              <w:rPr>
                <w:b/>
                <w:bCs/>
                <w:color w:val="000000"/>
              </w:rPr>
            </w:pPr>
            <w:r w:rsidRPr="00971206">
              <w:rPr>
                <w:b/>
                <w:bCs/>
                <w:color w:val="000000"/>
              </w:rPr>
              <w:t>Efeito</w:t>
            </w:r>
          </w:p>
        </w:tc>
        <w:tc>
          <w:tcPr>
            <w:tcW w:w="574" w:type="pct"/>
            <w:tcBorders>
              <w:top w:val="single" w:sz="4" w:space="0" w:color="auto"/>
              <w:left w:val="nil"/>
              <w:bottom w:val="single" w:sz="4" w:space="0" w:color="auto"/>
              <w:right w:val="nil"/>
            </w:tcBorders>
            <w:shd w:val="clear" w:color="000000" w:fill="FFFFFF"/>
            <w:vAlign w:val="center"/>
            <w:hideMark/>
          </w:tcPr>
          <w:p w14:paraId="137C8F02" w14:textId="77777777" w:rsidR="006D2C82" w:rsidRPr="00971206" w:rsidRDefault="006D2C82" w:rsidP="006D2C82">
            <w:pPr>
              <w:jc w:val="center"/>
              <w:rPr>
                <w:b/>
                <w:bCs/>
                <w:color w:val="000000"/>
              </w:rPr>
            </w:pPr>
            <w:r w:rsidRPr="00971206">
              <w:rPr>
                <w:b/>
                <w:bCs/>
                <w:color w:val="000000"/>
              </w:rPr>
              <w:t xml:space="preserve">Queda no </w:t>
            </w:r>
            <w:proofErr w:type="spellStart"/>
            <w:r w:rsidRPr="00971206">
              <w:rPr>
                <w:b/>
                <w:bCs/>
                <w:color w:val="000000"/>
              </w:rPr>
              <w:t>Gini</w:t>
            </w:r>
            <w:proofErr w:type="spellEnd"/>
          </w:p>
        </w:tc>
        <w:tc>
          <w:tcPr>
            <w:tcW w:w="651" w:type="pct"/>
            <w:tcBorders>
              <w:top w:val="single" w:sz="4" w:space="0" w:color="auto"/>
              <w:left w:val="nil"/>
              <w:bottom w:val="single" w:sz="4" w:space="0" w:color="auto"/>
              <w:right w:val="nil"/>
            </w:tcBorders>
            <w:shd w:val="clear" w:color="000000" w:fill="FFFFFF"/>
            <w:vAlign w:val="center"/>
            <w:hideMark/>
          </w:tcPr>
          <w:p w14:paraId="2C86ED82" w14:textId="77777777" w:rsidR="006D2C82" w:rsidRPr="00971206" w:rsidRDefault="00880479" w:rsidP="006D2C82">
            <w:pPr>
              <w:jc w:val="center"/>
              <w:rPr>
                <w:b/>
                <w:bCs/>
                <w:color w:val="000000"/>
              </w:rPr>
            </w:pPr>
            <w:r w:rsidRPr="00971206">
              <w:rPr>
                <w:b/>
                <w:bCs/>
                <w:color w:val="000000"/>
              </w:rPr>
              <w:t xml:space="preserve">Redução em relação ao </w:t>
            </w:r>
            <w:r w:rsidR="006D2C82" w:rsidRPr="00971206">
              <w:rPr>
                <w:b/>
                <w:bCs/>
                <w:color w:val="000000"/>
              </w:rPr>
              <w:t>teórico</w:t>
            </w:r>
          </w:p>
        </w:tc>
      </w:tr>
      <w:tr w:rsidR="00880479" w:rsidRPr="00971206" w14:paraId="699D5F7D" w14:textId="77777777" w:rsidTr="00880479">
        <w:trPr>
          <w:trHeight w:val="300"/>
        </w:trPr>
        <w:tc>
          <w:tcPr>
            <w:tcW w:w="2060" w:type="pct"/>
            <w:tcBorders>
              <w:top w:val="nil"/>
              <w:left w:val="nil"/>
              <w:bottom w:val="nil"/>
              <w:right w:val="nil"/>
            </w:tcBorders>
            <w:shd w:val="clear" w:color="000000" w:fill="FFFFFF"/>
            <w:vAlign w:val="center"/>
            <w:hideMark/>
          </w:tcPr>
          <w:p w14:paraId="283B7503" w14:textId="77777777" w:rsidR="006D2C82" w:rsidRPr="00971206" w:rsidRDefault="006D2C82" w:rsidP="00880479">
            <w:pPr>
              <w:rPr>
                <w:b/>
                <w:bCs/>
                <w:color w:val="000000"/>
              </w:rPr>
            </w:pPr>
            <w:r w:rsidRPr="00971206">
              <w:rPr>
                <w:b/>
                <w:bCs/>
                <w:color w:val="000000"/>
              </w:rPr>
              <w:t>IRPF teórico</w:t>
            </w:r>
          </w:p>
        </w:tc>
        <w:tc>
          <w:tcPr>
            <w:tcW w:w="567" w:type="pct"/>
            <w:tcBorders>
              <w:top w:val="nil"/>
              <w:left w:val="nil"/>
              <w:bottom w:val="nil"/>
              <w:right w:val="nil"/>
            </w:tcBorders>
            <w:shd w:val="clear" w:color="000000" w:fill="FFFFFF"/>
            <w:vAlign w:val="center"/>
            <w:hideMark/>
          </w:tcPr>
          <w:p w14:paraId="0C04CC36"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2F1AD81C" w14:textId="77777777" w:rsidR="006D2C82" w:rsidRPr="00971206" w:rsidRDefault="006D2C82" w:rsidP="00880479">
            <w:pPr>
              <w:ind w:right="12"/>
              <w:jc w:val="right"/>
              <w:rPr>
                <w:color w:val="000000"/>
              </w:rPr>
            </w:pPr>
            <w:r w:rsidRPr="00971206">
              <w:rPr>
                <w:color w:val="000000"/>
              </w:rPr>
              <w:t>0,6883</w:t>
            </w:r>
          </w:p>
        </w:tc>
        <w:tc>
          <w:tcPr>
            <w:tcW w:w="577" w:type="pct"/>
            <w:tcBorders>
              <w:top w:val="nil"/>
              <w:left w:val="nil"/>
              <w:bottom w:val="nil"/>
              <w:right w:val="nil"/>
            </w:tcBorders>
            <w:shd w:val="clear" w:color="000000" w:fill="FFFFFF"/>
            <w:vAlign w:val="center"/>
            <w:hideMark/>
          </w:tcPr>
          <w:p w14:paraId="33E16F42" w14:textId="77777777" w:rsidR="006D2C82" w:rsidRPr="00971206" w:rsidRDefault="006D2C82" w:rsidP="00880479">
            <w:pPr>
              <w:jc w:val="right"/>
              <w:rPr>
                <w:color w:val="000000"/>
              </w:rPr>
            </w:pPr>
            <w:r w:rsidRPr="00971206">
              <w:rPr>
                <w:color w:val="000000"/>
              </w:rPr>
              <w:t>-0,0125</w:t>
            </w:r>
          </w:p>
        </w:tc>
        <w:tc>
          <w:tcPr>
            <w:tcW w:w="574" w:type="pct"/>
            <w:tcBorders>
              <w:top w:val="nil"/>
              <w:left w:val="nil"/>
              <w:bottom w:val="nil"/>
              <w:right w:val="nil"/>
            </w:tcBorders>
            <w:shd w:val="clear" w:color="000000" w:fill="FFFFFF"/>
            <w:vAlign w:val="center"/>
            <w:hideMark/>
          </w:tcPr>
          <w:p w14:paraId="6A75FC95" w14:textId="77777777" w:rsidR="006D2C82" w:rsidRPr="00971206" w:rsidRDefault="006D2C82" w:rsidP="00880479">
            <w:pPr>
              <w:jc w:val="right"/>
              <w:rPr>
                <w:color w:val="000000"/>
              </w:rPr>
            </w:pPr>
            <w:r w:rsidRPr="00971206">
              <w:rPr>
                <w:color w:val="000000"/>
              </w:rPr>
              <w:t>-1,78%</w:t>
            </w:r>
          </w:p>
        </w:tc>
        <w:tc>
          <w:tcPr>
            <w:tcW w:w="651" w:type="pct"/>
            <w:tcBorders>
              <w:top w:val="nil"/>
              <w:left w:val="nil"/>
              <w:bottom w:val="nil"/>
              <w:right w:val="nil"/>
            </w:tcBorders>
            <w:shd w:val="clear" w:color="000000" w:fill="FFFFFF"/>
            <w:vAlign w:val="center"/>
            <w:hideMark/>
          </w:tcPr>
          <w:p w14:paraId="4B67D684" w14:textId="77777777" w:rsidR="006D2C82" w:rsidRPr="00971206" w:rsidRDefault="006D2C82" w:rsidP="00551947">
            <w:pPr>
              <w:jc w:val="center"/>
              <w:rPr>
                <w:color w:val="000000"/>
              </w:rPr>
            </w:pPr>
            <w:r w:rsidRPr="00971206">
              <w:rPr>
                <w:color w:val="000000"/>
              </w:rPr>
              <w:t>-</w:t>
            </w:r>
          </w:p>
        </w:tc>
      </w:tr>
      <w:tr w:rsidR="00880479" w:rsidRPr="00971206" w14:paraId="50AFBA1B" w14:textId="77777777" w:rsidTr="00880479">
        <w:trPr>
          <w:trHeight w:val="300"/>
        </w:trPr>
        <w:tc>
          <w:tcPr>
            <w:tcW w:w="2060" w:type="pct"/>
            <w:tcBorders>
              <w:top w:val="nil"/>
              <w:left w:val="nil"/>
              <w:bottom w:val="nil"/>
              <w:right w:val="nil"/>
            </w:tcBorders>
            <w:shd w:val="clear" w:color="000000" w:fill="FFFFFF"/>
            <w:vAlign w:val="center"/>
            <w:hideMark/>
          </w:tcPr>
          <w:p w14:paraId="556540EF" w14:textId="77777777" w:rsidR="0089715F" w:rsidRPr="00971206" w:rsidRDefault="006D2C82">
            <w:pPr>
              <w:rPr>
                <w:b/>
                <w:bCs/>
                <w:color w:val="000000"/>
              </w:rPr>
            </w:pPr>
            <w:r w:rsidRPr="00971206">
              <w:rPr>
                <w:b/>
                <w:bCs/>
                <w:color w:val="000000"/>
              </w:rPr>
              <w:t>s</w:t>
            </w:r>
            <w:r w:rsidR="007F1D35" w:rsidRPr="00971206">
              <w:rPr>
                <w:b/>
                <w:bCs/>
                <w:color w:val="000000"/>
              </w:rPr>
              <w:t>em deduções com</w:t>
            </w:r>
            <w:r w:rsidRPr="00971206">
              <w:rPr>
                <w:b/>
                <w:bCs/>
                <w:color w:val="000000"/>
              </w:rPr>
              <w:t xml:space="preserve"> </w:t>
            </w:r>
            <w:r w:rsidR="00D33960" w:rsidRPr="00971206">
              <w:rPr>
                <w:b/>
                <w:bCs/>
                <w:color w:val="000000"/>
              </w:rPr>
              <w:t>educação</w:t>
            </w:r>
          </w:p>
        </w:tc>
        <w:tc>
          <w:tcPr>
            <w:tcW w:w="567" w:type="pct"/>
            <w:tcBorders>
              <w:top w:val="nil"/>
              <w:left w:val="nil"/>
              <w:bottom w:val="nil"/>
              <w:right w:val="nil"/>
            </w:tcBorders>
            <w:shd w:val="clear" w:color="000000" w:fill="FFFFFF"/>
            <w:vAlign w:val="center"/>
            <w:hideMark/>
          </w:tcPr>
          <w:p w14:paraId="2878FAB3"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443671C1" w14:textId="77777777" w:rsidR="006D2C82" w:rsidRPr="00971206" w:rsidRDefault="006D2C82" w:rsidP="00880479">
            <w:pPr>
              <w:ind w:right="12"/>
              <w:jc w:val="right"/>
              <w:rPr>
                <w:color w:val="000000"/>
              </w:rPr>
            </w:pPr>
            <w:r w:rsidRPr="00971206">
              <w:rPr>
                <w:color w:val="000000"/>
              </w:rPr>
              <w:t>0,6879</w:t>
            </w:r>
          </w:p>
        </w:tc>
        <w:tc>
          <w:tcPr>
            <w:tcW w:w="577" w:type="pct"/>
            <w:tcBorders>
              <w:top w:val="nil"/>
              <w:left w:val="nil"/>
              <w:bottom w:val="nil"/>
              <w:right w:val="nil"/>
            </w:tcBorders>
            <w:shd w:val="clear" w:color="000000" w:fill="FFFFFF"/>
            <w:vAlign w:val="center"/>
            <w:hideMark/>
          </w:tcPr>
          <w:p w14:paraId="77B6D2F3" w14:textId="77777777" w:rsidR="006D2C82" w:rsidRPr="00971206" w:rsidRDefault="006D2C82" w:rsidP="00880479">
            <w:pPr>
              <w:jc w:val="right"/>
              <w:rPr>
                <w:color w:val="000000"/>
              </w:rPr>
            </w:pPr>
            <w:r w:rsidRPr="00971206">
              <w:rPr>
                <w:color w:val="000000"/>
              </w:rPr>
              <w:t>-0,0129</w:t>
            </w:r>
          </w:p>
        </w:tc>
        <w:tc>
          <w:tcPr>
            <w:tcW w:w="574" w:type="pct"/>
            <w:tcBorders>
              <w:top w:val="nil"/>
              <w:left w:val="nil"/>
              <w:bottom w:val="nil"/>
              <w:right w:val="nil"/>
            </w:tcBorders>
            <w:shd w:val="clear" w:color="000000" w:fill="FFFFFF"/>
            <w:vAlign w:val="center"/>
            <w:hideMark/>
          </w:tcPr>
          <w:p w14:paraId="3BC7AC50" w14:textId="77777777" w:rsidR="006D2C82" w:rsidRPr="00971206" w:rsidRDefault="006D2C82" w:rsidP="00880479">
            <w:pPr>
              <w:jc w:val="right"/>
              <w:rPr>
                <w:color w:val="000000"/>
              </w:rPr>
            </w:pPr>
            <w:r w:rsidRPr="00971206">
              <w:rPr>
                <w:color w:val="000000"/>
              </w:rPr>
              <w:t>-1,84%</w:t>
            </w:r>
          </w:p>
        </w:tc>
        <w:tc>
          <w:tcPr>
            <w:tcW w:w="651" w:type="pct"/>
            <w:tcBorders>
              <w:top w:val="nil"/>
              <w:left w:val="nil"/>
              <w:bottom w:val="nil"/>
              <w:right w:val="nil"/>
            </w:tcBorders>
            <w:shd w:val="clear" w:color="000000" w:fill="FFFFFF"/>
            <w:vAlign w:val="center"/>
            <w:hideMark/>
          </w:tcPr>
          <w:p w14:paraId="762A5299" w14:textId="77777777" w:rsidR="006D2C82" w:rsidRPr="00971206" w:rsidRDefault="006D2C82" w:rsidP="00880479">
            <w:pPr>
              <w:jc w:val="right"/>
              <w:rPr>
                <w:color w:val="000000"/>
              </w:rPr>
            </w:pPr>
            <w:r w:rsidRPr="00971206">
              <w:rPr>
                <w:color w:val="000000"/>
              </w:rPr>
              <w:t>3,30%</w:t>
            </w:r>
          </w:p>
        </w:tc>
      </w:tr>
      <w:tr w:rsidR="00880479" w:rsidRPr="00971206" w14:paraId="4D3CA7D8" w14:textId="77777777" w:rsidTr="00880479">
        <w:trPr>
          <w:trHeight w:val="300"/>
        </w:trPr>
        <w:tc>
          <w:tcPr>
            <w:tcW w:w="2060" w:type="pct"/>
            <w:tcBorders>
              <w:top w:val="nil"/>
              <w:left w:val="nil"/>
              <w:bottom w:val="nil"/>
              <w:right w:val="nil"/>
            </w:tcBorders>
            <w:shd w:val="clear" w:color="000000" w:fill="FFFFFF"/>
            <w:vAlign w:val="center"/>
            <w:hideMark/>
          </w:tcPr>
          <w:p w14:paraId="008387D6" w14:textId="77777777" w:rsidR="006D2C82" w:rsidRPr="00971206" w:rsidRDefault="006D2C82" w:rsidP="00880479">
            <w:pPr>
              <w:rPr>
                <w:b/>
                <w:bCs/>
                <w:color w:val="000000"/>
              </w:rPr>
            </w:pPr>
            <w:r w:rsidRPr="00971206">
              <w:rPr>
                <w:b/>
                <w:bCs/>
                <w:color w:val="000000"/>
              </w:rPr>
              <w:t>s</w:t>
            </w:r>
            <w:r w:rsidR="007F1D35" w:rsidRPr="00971206">
              <w:rPr>
                <w:b/>
                <w:bCs/>
                <w:color w:val="000000"/>
              </w:rPr>
              <w:t>em</w:t>
            </w:r>
            <w:r w:rsidRPr="00971206">
              <w:rPr>
                <w:b/>
                <w:bCs/>
                <w:color w:val="000000"/>
              </w:rPr>
              <w:t xml:space="preserve"> parcela isenta</w:t>
            </w:r>
          </w:p>
        </w:tc>
        <w:tc>
          <w:tcPr>
            <w:tcW w:w="567" w:type="pct"/>
            <w:tcBorders>
              <w:top w:val="nil"/>
              <w:left w:val="nil"/>
              <w:bottom w:val="nil"/>
              <w:right w:val="nil"/>
            </w:tcBorders>
            <w:shd w:val="clear" w:color="000000" w:fill="FFFFFF"/>
            <w:vAlign w:val="center"/>
            <w:hideMark/>
          </w:tcPr>
          <w:p w14:paraId="50FED10B"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5AA66498" w14:textId="77777777" w:rsidR="006D2C82" w:rsidRPr="00971206" w:rsidRDefault="006D2C82" w:rsidP="00880479">
            <w:pPr>
              <w:ind w:right="12"/>
              <w:jc w:val="right"/>
              <w:rPr>
                <w:color w:val="000000"/>
              </w:rPr>
            </w:pPr>
            <w:r w:rsidRPr="00971206">
              <w:rPr>
                <w:color w:val="000000"/>
              </w:rPr>
              <w:t>0,6877</w:t>
            </w:r>
          </w:p>
        </w:tc>
        <w:tc>
          <w:tcPr>
            <w:tcW w:w="577" w:type="pct"/>
            <w:tcBorders>
              <w:top w:val="nil"/>
              <w:left w:val="nil"/>
              <w:bottom w:val="nil"/>
              <w:right w:val="nil"/>
            </w:tcBorders>
            <w:shd w:val="clear" w:color="000000" w:fill="FFFFFF"/>
            <w:vAlign w:val="center"/>
            <w:hideMark/>
          </w:tcPr>
          <w:p w14:paraId="3C6DF91B" w14:textId="77777777" w:rsidR="006D2C82" w:rsidRPr="00971206" w:rsidRDefault="006D2C82" w:rsidP="00880479">
            <w:pPr>
              <w:jc w:val="right"/>
              <w:rPr>
                <w:color w:val="000000"/>
              </w:rPr>
            </w:pPr>
            <w:r w:rsidRPr="00971206">
              <w:rPr>
                <w:color w:val="000000"/>
              </w:rPr>
              <w:t>-0,0131</w:t>
            </w:r>
          </w:p>
        </w:tc>
        <w:tc>
          <w:tcPr>
            <w:tcW w:w="574" w:type="pct"/>
            <w:tcBorders>
              <w:top w:val="nil"/>
              <w:left w:val="nil"/>
              <w:bottom w:val="nil"/>
              <w:right w:val="nil"/>
            </w:tcBorders>
            <w:shd w:val="clear" w:color="000000" w:fill="FFFFFF"/>
            <w:vAlign w:val="center"/>
            <w:hideMark/>
          </w:tcPr>
          <w:p w14:paraId="61FA4B23" w14:textId="77777777" w:rsidR="006D2C82" w:rsidRPr="00971206" w:rsidRDefault="006D2C82" w:rsidP="00880479">
            <w:pPr>
              <w:jc w:val="right"/>
              <w:rPr>
                <w:color w:val="000000"/>
              </w:rPr>
            </w:pPr>
            <w:r w:rsidRPr="00971206">
              <w:rPr>
                <w:color w:val="000000"/>
              </w:rPr>
              <w:t>-1,87%</w:t>
            </w:r>
          </w:p>
        </w:tc>
        <w:tc>
          <w:tcPr>
            <w:tcW w:w="651" w:type="pct"/>
            <w:tcBorders>
              <w:top w:val="nil"/>
              <w:left w:val="nil"/>
              <w:bottom w:val="nil"/>
              <w:right w:val="nil"/>
            </w:tcBorders>
            <w:shd w:val="clear" w:color="000000" w:fill="FFFFFF"/>
            <w:vAlign w:val="center"/>
            <w:hideMark/>
          </w:tcPr>
          <w:p w14:paraId="5A215EBF" w14:textId="77777777" w:rsidR="006D2C82" w:rsidRPr="00971206" w:rsidRDefault="006D2C82" w:rsidP="00880479">
            <w:pPr>
              <w:jc w:val="right"/>
              <w:rPr>
                <w:color w:val="000000"/>
              </w:rPr>
            </w:pPr>
            <w:r w:rsidRPr="00971206">
              <w:rPr>
                <w:color w:val="000000"/>
              </w:rPr>
              <w:t>4,64%</w:t>
            </w:r>
          </w:p>
        </w:tc>
      </w:tr>
      <w:tr w:rsidR="00880479" w:rsidRPr="00971206" w14:paraId="0416DCCA" w14:textId="77777777" w:rsidTr="00880479">
        <w:trPr>
          <w:trHeight w:val="300"/>
        </w:trPr>
        <w:tc>
          <w:tcPr>
            <w:tcW w:w="2060" w:type="pct"/>
            <w:tcBorders>
              <w:top w:val="nil"/>
              <w:left w:val="nil"/>
              <w:bottom w:val="nil"/>
              <w:right w:val="nil"/>
            </w:tcBorders>
            <w:shd w:val="clear" w:color="000000" w:fill="FFFFFF"/>
            <w:vAlign w:val="center"/>
            <w:hideMark/>
          </w:tcPr>
          <w:p w14:paraId="2AFFD6DF" w14:textId="77777777" w:rsidR="006D2C82" w:rsidRPr="00971206" w:rsidRDefault="007F1D35" w:rsidP="00880479">
            <w:pPr>
              <w:rPr>
                <w:b/>
                <w:bCs/>
                <w:color w:val="000000"/>
              </w:rPr>
            </w:pPr>
            <w:r w:rsidRPr="00971206">
              <w:rPr>
                <w:b/>
                <w:bCs/>
                <w:color w:val="000000"/>
              </w:rPr>
              <w:t>sem</w:t>
            </w:r>
            <w:r w:rsidR="006D2C82" w:rsidRPr="00971206">
              <w:rPr>
                <w:b/>
                <w:bCs/>
                <w:color w:val="000000"/>
              </w:rPr>
              <w:t xml:space="preserve"> </w:t>
            </w:r>
            <w:r w:rsidRPr="00971206">
              <w:rPr>
                <w:b/>
                <w:bCs/>
                <w:color w:val="000000"/>
              </w:rPr>
              <w:t xml:space="preserve">isenção por </w:t>
            </w:r>
            <w:r w:rsidR="006D2C82" w:rsidRPr="00971206">
              <w:rPr>
                <w:b/>
                <w:bCs/>
                <w:color w:val="000000"/>
              </w:rPr>
              <w:t>moléstia grave</w:t>
            </w:r>
          </w:p>
        </w:tc>
        <w:tc>
          <w:tcPr>
            <w:tcW w:w="567" w:type="pct"/>
            <w:tcBorders>
              <w:top w:val="nil"/>
              <w:left w:val="nil"/>
              <w:bottom w:val="nil"/>
              <w:right w:val="nil"/>
            </w:tcBorders>
            <w:shd w:val="clear" w:color="000000" w:fill="FFFFFF"/>
            <w:vAlign w:val="center"/>
            <w:hideMark/>
          </w:tcPr>
          <w:p w14:paraId="33E2F4D7"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24D7AF0E" w14:textId="77777777" w:rsidR="006D2C82" w:rsidRPr="00971206" w:rsidRDefault="006D2C82" w:rsidP="00880479">
            <w:pPr>
              <w:ind w:right="12"/>
              <w:jc w:val="right"/>
              <w:rPr>
                <w:color w:val="000000"/>
              </w:rPr>
            </w:pPr>
            <w:r w:rsidRPr="00971206">
              <w:rPr>
                <w:color w:val="000000"/>
              </w:rPr>
              <w:t>0,6875</w:t>
            </w:r>
          </w:p>
        </w:tc>
        <w:tc>
          <w:tcPr>
            <w:tcW w:w="577" w:type="pct"/>
            <w:tcBorders>
              <w:top w:val="nil"/>
              <w:left w:val="nil"/>
              <w:bottom w:val="nil"/>
              <w:right w:val="nil"/>
            </w:tcBorders>
            <w:shd w:val="clear" w:color="000000" w:fill="FFFFFF"/>
            <w:vAlign w:val="center"/>
            <w:hideMark/>
          </w:tcPr>
          <w:p w14:paraId="0163627D" w14:textId="77777777" w:rsidR="006D2C82" w:rsidRPr="00971206" w:rsidRDefault="006D2C82" w:rsidP="00880479">
            <w:pPr>
              <w:jc w:val="right"/>
              <w:rPr>
                <w:color w:val="000000"/>
              </w:rPr>
            </w:pPr>
            <w:r w:rsidRPr="00971206">
              <w:rPr>
                <w:color w:val="000000"/>
              </w:rPr>
              <w:t>-0,0133</w:t>
            </w:r>
          </w:p>
        </w:tc>
        <w:tc>
          <w:tcPr>
            <w:tcW w:w="574" w:type="pct"/>
            <w:tcBorders>
              <w:top w:val="nil"/>
              <w:left w:val="nil"/>
              <w:bottom w:val="nil"/>
              <w:right w:val="nil"/>
            </w:tcBorders>
            <w:shd w:val="clear" w:color="000000" w:fill="FFFFFF"/>
            <w:vAlign w:val="center"/>
            <w:hideMark/>
          </w:tcPr>
          <w:p w14:paraId="5CC603F0" w14:textId="77777777" w:rsidR="006D2C82" w:rsidRPr="00971206" w:rsidRDefault="006D2C82" w:rsidP="00880479">
            <w:pPr>
              <w:jc w:val="right"/>
              <w:rPr>
                <w:color w:val="000000"/>
              </w:rPr>
            </w:pPr>
            <w:r w:rsidRPr="00971206">
              <w:rPr>
                <w:color w:val="000000"/>
              </w:rPr>
              <w:t>-1,90%</w:t>
            </w:r>
          </w:p>
        </w:tc>
        <w:tc>
          <w:tcPr>
            <w:tcW w:w="651" w:type="pct"/>
            <w:tcBorders>
              <w:top w:val="nil"/>
              <w:left w:val="nil"/>
              <w:bottom w:val="nil"/>
              <w:right w:val="nil"/>
            </w:tcBorders>
            <w:shd w:val="clear" w:color="000000" w:fill="FFFFFF"/>
            <w:vAlign w:val="center"/>
            <w:hideMark/>
          </w:tcPr>
          <w:p w14:paraId="339206AD" w14:textId="77777777" w:rsidR="006D2C82" w:rsidRPr="00971206" w:rsidRDefault="006D2C82" w:rsidP="00880479">
            <w:pPr>
              <w:jc w:val="right"/>
              <w:rPr>
                <w:color w:val="000000"/>
              </w:rPr>
            </w:pPr>
            <w:r w:rsidRPr="00971206">
              <w:rPr>
                <w:color w:val="000000"/>
              </w:rPr>
              <w:t>6,56%</w:t>
            </w:r>
          </w:p>
        </w:tc>
      </w:tr>
      <w:tr w:rsidR="00880479" w:rsidRPr="00971206" w14:paraId="520DC41C" w14:textId="77777777" w:rsidTr="00880479">
        <w:trPr>
          <w:trHeight w:val="300"/>
        </w:trPr>
        <w:tc>
          <w:tcPr>
            <w:tcW w:w="2060" w:type="pct"/>
            <w:tcBorders>
              <w:top w:val="nil"/>
              <w:left w:val="nil"/>
              <w:bottom w:val="nil"/>
              <w:right w:val="nil"/>
            </w:tcBorders>
            <w:shd w:val="clear" w:color="000000" w:fill="FFFFFF"/>
            <w:vAlign w:val="center"/>
            <w:hideMark/>
          </w:tcPr>
          <w:p w14:paraId="7C20DEDC" w14:textId="77777777" w:rsidR="006D2C82" w:rsidRPr="00971206" w:rsidRDefault="007F1D35" w:rsidP="00880479">
            <w:pPr>
              <w:rPr>
                <w:b/>
                <w:bCs/>
                <w:color w:val="000000"/>
              </w:rPr>
            </w:pPr>
            <w:r w:rsidRPr="00971206">
              <w:rPr>
                <w:b/>
                <w:bCs/>
                <w:color w:val="000000"/>
              </w:rPr>
              <w:t xml:space="preserve">sem deduções com </w:t>
            </w:r>
            <w:r w:rsidR="006D2C82" w:rsidRPr="00971206">
              <w:rPr>
                <w:b/>
                <w:bCs/>
                <w:color w:val="000000"/>
              </w:rPr>
              <w:t>desp</w:t>
            </w:r>
            <w:r w:rsidRPr="00971206">
              <w:rPr>
                <w:b/>
                <w:bCs/>
                <w:color w:val="000000"/>
              </w:rPr>
              <w:t>esas</w:t>
            </w:r>
            <w:r w:rsidR="006D2C82" w:rsidRPr="00971206">
              <w:rPr>
                <w:b/>
                <w:bCs/>
                <w:color w:val="000000"/>
              </w:rPr>
              <w:t xml:space="preserve"> médicas</w:t>
            </w:r>
          </w:p>
        </w:tc>
        <w:tc>
          <w:tcPr>
            <w:tcW w:w="567" w:type="pct"/>
            <w:tcBorders>
              <w:top w:val="nil"/>
              <w:left w:val="nil"/>
              <w:bottom w:val="nil"/>
              <w:right w:val="nil"/>
            </w:tcBorders>
            <w:shd w:val="clear" w:color="000000" w:fill="FFFFFF"/>
            <w:vAlign w:val="center"/>
            <w:hideMark/>
          </w:tcPr>
          <w:p w14:paraId="1412A7F1"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2AC19282" w14:textId="77777777" w:rsidR="006D2C82" w:rsidRPr="00971206" w:rsidRDefault="006D2C82" w:rsidP="00880479">
            <w:pPr>
              <w:ind w:right="12"/>
              <w:jc w:val="right"/>
              <w:rPr>
                <w:color w:val="000000"/>
              </w:rPr>
            </w:pPr>
            <w:r w:rsidRPr="00971206">
              <w:rPr>
                <w:color w:val="000000"/>
              </w:rPr>
              <w:t>0,6871</w:t>
            </w:r>
          </w:p>
        </w:tc>
        <w:tc>
          <w:tcPr>
            <w:tcW w:w="577" w:type="pct"/>
            <w:tcBorders>
              <w:top w:val="nil"/>
              <w:left w:val="nil"/>
              <w:bottom w:val="nil"/>
              <w:right w:val="nil"/>
            </w:tcBorders>
            <w:shd w:val="clear" w:color="000000" w:fill="FFFFFF"/>
            <w:vAlign w:val="center"/>
            <w:hideMark/>
          </w:tcPr>
          <w:p w14:paraId="5F1E436A" w14:textId="77777777" w:rsidR="006D2C82" w:rsidRPr="00971206" w:rsidRDefault="006D2C82" w:rsidP="00880479">
            <w:pPr>
              <w:jc w:val="right"/>
              <w:rPr>
                <w:color w:val="000000"/>
              </w:rPr>
            </w:pPr>
            <w:r w:rsidRPr="00971206">
              <w:rPr>
                <w:color w:val="000000"/>
              </w:rPr>
              <w:t>-0,0137</w:t>
            </w:r>
          </w:p>
        </w:tc>
        <w:tc>
          <w:tcPr>
            <w:tcW w:w="574" w:type="pct"/>
            <w:tcBorders>
              <w:top w:val="nil"/>
              <w:left w:val="nil"/>
              <w:bottom w:val="nil"/>
              <w:right w:val="nil"/>
            </w:tcBorders>
            <w:shd w:val="clear" w:color="000000" w:fill="FFFFFF"/>
            <w:vAlign w:val="center"/>
            <w:hideMark/>
          </w:tcPr>
          <w:p w14:paraId="270D3092" w14:textId="77777777" w:rsidR="006D2C82" w:rsidRPr="00971206" w:rsidRDefault="006D2C82" w:rsidP="00880479">
            <w:pPr>
              <w:jc w:val="right"/>
              <w:rPr>
                <w:color w:val="000000"/>
              </w:rPr>
            </w:pPr>
            <w:r w:rsidRPr="00971206">
              <w:rPr>
                <w:color w:val="000000"/>
              </w:rPr>
              <w:t>-1,96%</w:t>
            </w:r>
          </w:p>
        </w:tc>
        <w:tc>
          <w:tcPr>
            <w:tcW w:w="651" w:type="pct"/>
            <w:tcBorders>
              <w:top w:val="nil"/>
              <w:left w:val="nil"/>
              <w:bottom w:val="nil"/>
              <w:right w:val="nil"/>
            </w:tcBorders>
            <w:shd w:val="clear" w:color="000000" w:fill="FFFFFF"/>
            <w:vAlign w:val="center"/>
            <w:hideMark/>
          </w:tcPr>
          <w:p w14:paraId="400D1C91" w14:textId="77777777" w:rsidR="006D2C82" w:rsidRPr="00971206" w:rsidRDefault="006D2C82" w:rsidP="00880479">
            <w:pPr>
              <w:jc w:val="right"/>
              <w:rPr>
                <w:color w:val="000000"/>
              </w:rPr>
            </w:pPr>
            <w:r w:rsidRPr="00971206">
              <w:rPr>
                <w:color w:val="000000"/>
              </w:rPr>
              <w:t>9,92%</w:t>
            </w:r>
          </w:p>
        </w:tc>
      </w:tr>
      <w:tr w:rsidR="00880479" w:rsidRPr="00971206" w14:paraId="530AF7E9" w14:textId="77777777" w:rsidTr="00880479">
        <w:trPr>
          <w:trHeight w:val="300"/>
        </w:trPr>
        <w:tc>
          <w:tcPr>
            <w:tcW w:w="2060" w:type="pct"/>
            <w:tcBorders>
              <w:top w:val="nil"/>
              <w:left w:val="nil"/>
              <w:bottom w:val="nil"/>
              <w:right w:val="nil"/>
            </w:tcBorders>
            <w:shd w:val="clear" w:color="000000" w:fill="FFFFFF"/>
            <w:vAlign w:val="center"/>
            <w:hideMark/>
          </w:tcPr>
          <w:p w14:paraId="7529536A" w14:textId="77777777" w:rsidR="006D2C82" w:rsidRPr="00971206" w:rsidRDefault="007F1D35" w:rsidP="00880479">
            <w:pPr>
              <w:rPr>
                <w:b/>
                <w:bCs/>
                <w:color w:val="000000"/>
              </w:rPr>
            </w:pPr>
            <w:r w:rsidRPr="00971206">
              <w:rPr>
                <w:b/>
                <w:bCs/>
                <w:color w:val="000000"/>
              </w:rPr>
              <w:t>sem benefícios à aposentados</w:t>
            </w:r>
          </w:p>
        </w:tc>
        <w:tc>
          <w:tcPr>
            <w:tcW w:w="567" w:type="pct"/>
            <w:tcBorders>
              <w:top w:val="nil"/>
              <w:left w:val="nil"/>
              <w:bottom w:val="nil"/>
              <w:right w:val="nil"/>
            </w:tcBorders>
            <w:shd w:val="clear" w:color="000000" w:fill="FFFFFF"/>
            <w:vAlign w:val="center"/>
            <w:hideMark/>
          </w:tcPr>
          <w:p w14:paraId="4D720344"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29F427FD" w14:textId="77777777" w:rsidR="006D2C82" w:rsidRPr="00971206" w:rsidRDefault="006D2C82" w:rsidP="00880479">
            <w:pPr>
              <w:ind w:right="12"/>
              <w:jc w:val="right"/>
              <w:rPr>
                <w:color w:val="000000"/>
              </w:rPr>
            </w:pPr>
            <w:r w:rsidRPr="00971206">
              <w:rPr>
                <w:color w:val="000000"/>
              </w:rPr>
              <w:t>0,6869</w:t>
            </w:r>
          </w:p>
        </w:tc>
        <w:tc>
          <w:tcPr>
            <w:tcW w:w="577" w:type="pct"/>
            <w:tcBorders>
              <w:top w:val="nil"/>
              <w:left w:val="nil"/>
              <w:bottom w:val="nil"/>
              <w:right w:val="nil"/>
            </w:tcBorders>
            <w:shd w:val="clear" w:color="000000" w:fill="FFFFFF"/>
            <w:vAlign w:val="center"/>
            <w:hideMark/>
          </w:tcPr>
          <w:p w14:paraId="16AED80C" w14:textId="77777777" w:rsidR="006D2C82" w:rsidRPr="00971206" w:rsidRDefault="006D2C82" w:rsidP="00880479">
            <w:pPr>
              <w:jc w:val="right"/>
              <w:rPr>
                <w:color w:val="000000"/>
              </w:rPr>
            </w:pPr>
            <w:r w:rsidRPr="00971206">
              <w:rPr>
                <w:color w:val="000000"/>
              </w:rPr>
              <w:t>-0,0139</w:t>
            </w:r>
          </w:p>
        </w:tc>
        <w:tc>
          <w:tcPr>
            <w:tcW w:w="574" w:type="pct"/>
            <w:tcBorders>
              <w:top w:val="nil"/>
              <w:left w:val="nil"/>
              <w:bottom w:val="nil"/>
              <w:right w:val="nil"/>
            </w:tcBorders>
            <w:shd w:val="clear" w:color="000000" w:fill="FFFFFF"/>
            <w:vAlign w:val="center"/>
            <w:hideMark/>
          </w:tcPr>
          <w:p w14:paraId="4CA3149B" w14:textId="77777777" w:rsidR="006D2C82" w:rsidRPr="00971206" w:rsidRDefault="006D2C82" w:rsidP="00880479">
            <w:pPr>
              <w:jc w:val="right"/>
              <w:rPr>
                <w:color w:val="000000"/>
              </w:rPr>
            </w:pPr>
            <w:r w:rsidRPr="00971206">
              <w:rPr>
                <w:color w:val="000000"/>
              </w:rPr>
              <w:t>-1,99%</w:t>
            </w:r>
          </w:p>
        </w:tc>
        <w:tc>
          <w:tcPr>
            <w:tcW w:w="651" w:type="pct"/>
            <w:tcBorders>
              <w:top w:val="nil"/>
              <w:left w:val="nil"/>
              <w:bottom w:val="nil"/>
              <w:right w:val="nil"/>
            </w:tcBorders>
            <w:shd w:val="clear" w:color="000000" w:fill="FFFFFF"/>
            <w:vAlign w:val="center"/>
            <w:hideMark/>
          </w:tcPr>
          <w:p w14:paraId="275A6CC1" w14:textId="77777777" w:rsidR="006D2C82" w:rsidRPr="00971206" w:rsidRDefault="006D2C82" w:rsidP="00880479">
            <w:pPr>
              <w:jc w:val="right"/>
              <w:rPr>
                <w:color w:val="000000"/>
              </w:rPr>
            </w:pPr>
            <w:r w:rsidRPr="00971206">
              <w:rPr>
                <w:color w:val="000000"/>
              </w:rPr>
              <w:t>11,31%</w:t>
            </w:r>
          </w:p>
        </w:tc>
      </w:tr>
      <w:tr w:rsidR="00880479" w:rsidRPr="00971206" w14:paraId="533D1EBA" w14:textId="77777777" w:rsidTr="00880479">
        <w:trPr>
          <w:trHeight w:val="300"/>
        </w:trPr>
        <w:tc>
          <w:tcPr>
            <w:tcW w:w="2060" w:type="pct"/>
            <w:tcBorders>
              <w:top w:val="nil"/>
              <w:left w:val="nil"/>
              <w:bottom w:val="nil"/>
              <w:right w:val="nil"/>
            </w:tcBorders>
            <w:shd w:val="clear" w:color="000000" w:fill="FFFFFF"/>
            <w:vAlign w:val="center"/>
            <w:hideMark/>
          </w:tcPr>
          <w:p w14:paraId="66D590A4" w14:textId="77777777" w:rsidR="006D2C82" w:rsidRPr="00971206" w:rsidRDefault="007F1D35" w:rsidP="00880479">
            <w:pPr>
              <w:rPr>
                <w:b/>
                <w:bCs/>
                <w:color w:val="000000"/>
              </w:rPr>
            </w:pPr>
            <w:r w:rsidRPr="00971206">
              <w:rPr>
                <w:b/>
                <w:bCs/>
                <w:color w:val="000000"/>
              </w:rPr>
              <w:t xml:space="preserve">sem deduções com </w:t>
            </w:r>
            <w:r w:rsidR="00D33960" w:rsidRPr="00971206">
              <w:rPr>
                <w:b/>
                <w:bCs/>
                <w:color w:val="000000"/>
              </w:rPr>
              <w:t>educação</w:t>
            </w:r>
            <w:r w:rsidRPr="00971206">
              <w:rPr>
                <w:b/>
                <w:bCs/>
                <w:color w:val="000000"/>
              </w:rPr>
              <w:t xml:space="preserve"> e com despesas </w:t>
            </w:r>
            <w:r w:rsidR="006D2C82" w:rsidRPr="00971206">
              <w:rPr>
                <w:b/>
                <w:bCs/>
                <w:color w:val="000000"/>
              </w:rPr>
              <w:t>méd</w:t>
            </w:r>
            <w:r w:rsidRPr="00971206">
              <w:rPr>
                <w:b/>
                <w:bCs/>
                <w:color w:val="000000"/>
              </w:rPr>
              <w:t>icas</w:t>
            </w:r>
          </w:p>
        </w:tc>
        <w:tc>
          <w:tcPr>
            <w:tcW w:w="567" w:type="pct"/>
            <w:tcBorders>
              <w:top w:val="nil"/>
              <w:left w:val="nil"/>
              <w:bottom w:val="nil"/>
              <w:right w:val="nil"/>
            </w:tcBorders>
            <w:shd w:val="clear" w:color="000000" w:fill="FFFFFF"/>
            <w:vAlign w:val="center"/>
            <w:hideMark/>
          </w:tcPr>
          <w:p w14:paraId="2A1ACC1B"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6114EA32" w14:textId="77777777" w:rsidR="006D2C82" w:rsidRPr="00971206" w:rsidRDefault="006D2C82" w:rsidP="00880479">
            <w:pPr>
              <w:ind w:right="12"/>
              <w:jc w:val="right"/>
              <w:rPr>
                <w:color w:val="000000"/>
              </w:rPr>
            </w:pPr>
            <w:r w:rsidRPr="00971206">
              <w:rPr>
                <w:color w:val="000000"/>
              </w:rPr>
              <w:t>0,6866</w:t>
            </w:r>
          </w:p>
        </w:tc>
        <w:tc>
          <w:tcPr>
            <w:tcW w:w="577" w:type="pct"/>
            <w:tcBorders>
              <w:top w:val="nil"/>
              <w:left w:val="nil"/>
              <w:bottom w:val="nil"/>
              <w:right w:val="nil"/>
            </w:tcBorders>
            <w:shd w:val="clear" w:color="000000" w:fill="FFFFFF"/>
            <w:vAlign w:val="center"/>
            <w:hideMark/>
          </w:tcPr>
          <w:p w14:paraId="7A695774" w14:textId="77777777" w:rsidR="006D2C82" w:rsidRPr="00971206" w:rsidRDefault="006D2C82" w:rsidP="00880479">
            <w:pPr>
              <w:jc w:val="right"/>
              <w:rPr>
                <w:color w:val="000000"/>
              </w:rPr>
            </w:pPr>
            <w:r w:rsidRPr="00971206">
              <w:rPr>
                <w:color w:val="000000"/>
              </w:rPr>
              <w:t>-0,0142</w:t>
            </w:r>
          </w:p>
        </w:tc>
        <w:tc>
          <w:tcPr>
            <w:tcW w:w="574" w:type="pct"/>
            <w:tcBorders>
              <w:top w:val="nil"/>
              <w:left w:val="nil"/>
              <w:bottom w:val="nil"/>
              <w:right w:val="nil"/>
            </w:tcBorders>
            <w:shd w:val="clear" w:color="000000" w:fill="FFFFFF"/>
            <w:vAlign w:val="center"/>
            <w:hideMark/>
          </w:tcPr>
          <w:p w14:paraId="364CEE6F" w14:textId="77777777" w:rsidR="006D2C82" w:rsidRPr="00971206" w:rsidRDefault="006D2C82" w:rsidP="00880479">
            <w:pPr>
              <w:jc w:val="right"/>
              <w:rPr>
                <w:color w:val="000000"/>
              </w:rPr>
            </w:pPr>
            <w:r w:rsidRPr="00971206">
              <w:rPr>
                <w:color w:val="000000"/>
              </w:rPr>
              <w:t>-2,02%</w:t>
            </w:r>
          </w:p>
        </w:tc>
        <w:tc>
          <w:tcPr>
            <w:tcW w:w="651" w:type="pct"/>
            <w:tcBorders>
              <w:top w:val="nil"/>
              <w:left w:val="nil"/>
              <w:bottom w:val="nil"/>
              <w:right w:val="nil"/>
            </w:tcBorders>
            <w:shd w:val="clear" w:color="000000" w:fill="FFFFFF"/>
            <w:vAlign w:val="center"/>
            <w:hideMark/>
          </w:tcPr>
          <w:p w14:paraId="4063E460" w14:textId="77777777" w:rsidR="006D2C82" w:rsidRPr="00971206" w:rsidRDefault="006D2C82" w:rsidP="00880479">
            <w:pPr>
              <w:jc w:val="right"/>
              <w:rPr>
                <w:color w:val="000000"/>
              </w:rPr>
            </w:pPr>
            <w:r w:rsidRPr="00971206">
              <w:rPr>
                <w:color w:val="000000"/>
              </w:rPr>
              <w:t>13,43%</w:t>
            </w:r>
          </w:p>
        </w:tc>
      </w:tr>
      <w:tr w:rsidR="00880479" w:rsidRPr="00971206" w14:paraId="619B29F8" w14:textId="77777777" w:rsidTr="00880479">
        <w:trPr>
          <w:trHeight w:val="300"/>
        </w:trPr>
        <w:tc>
          <w:tcPr>
            <w:tcW w:w="2060" w:type="pct"/>
            <w:tcBorders>
              <w:top w:val="nil"/>
              <w:left w:val="nil"/>
              <w:bottom w:val="nil"/>
              <w:right w:val="nil"/>
            </w:tcBorders>
            <w:shd w:val="clear" w:color="000000" w:fill="FFFFFF"/>
            <w:vAlign w:val="center"/>
            <w:hideMark/>
          </w:tcPr>
          <w:p w14:paraId="6AD095F7" w14:textId="77777777" w:rsidR="0089715F" w:rsidRPr="00971206" w:rsidRDefault="007F1D35">
            <w:pPr>
              <w:rPr>
                <w:b/>
                <w:bCs/>
                <w:color w:val="000000"/>
              </w:rPr>
            </w:pPr>
            <w:r w:rsidRPr="00971206">
              <w:rPr>
                <w:b/>
                <w:bCs/>
                <w:color w:val="000000"/>
              </w:rPr>
              <w:t>sem</w:t>
            </w:r>
            <w:r w:rsidR="006D2C82" w:rsidRPr="00971206">
              <w:rPr>
                <w:b/>
                <w:bCs/>
                <w:color w:val="000000"/>
              </w:rPr>
              <w:t xml:space="preserve"> </w:t>
            </w:r>
            <w:r w:rsidRPr="00971206">
              <w:rPr>
                <w:b/>
                <w:bCs/>
                <w:color w:val="000000"/>
              </w:rPr>
              <w:t xml:space="preserve">benefícios </w:t>
            </w:r>
            <w:r w:rsidR="006726A7" w:rsidRPr="00971206">
              <w:rPr>
                <w:b/>
                <w:bCs/>
                <w:color w:val="000000"/>
              </w:rPr>
              <w:t xml:space="preserve">a </w:t>
            </w:r>
            <w:r w:rsidRPr="00971206">
              <w:rPr>
                <w:b/>
                <w:bCs/>
                <w:color w:val="000000"/>
              </w:rPr>
              <w:t xml:space="preserve">aposentados e sem deduções com </w:t>
            </w:r>
            <w:r w:rsidR="00D33960" w:rsidRPr="00971206">
              <w:rPr>
                <w:b/>
                <w:bCs/>
                <w:color w:val="000000"/>
              </w:rPr>
              <w:t>educação</w:t>
            </w:r>
            <w:r w:rsidRPr="00971206">
              <w:rPr>
                <w:b/>
                <w:bCs/>
                <w:color w:val="000000"/>
              </w:rPr>
              <w:t xml:space="preserve"> e despesas </w:t>
            </w:r>
            <w:r w:rsidR="006D2C82" w:rsidRPr="00971206">
              <w:rPr>
                <w:b/>
                <w:bCs/>
                <w:color w:val="000000"/>
              </w:rPr>
              <w:t>méd</w:t>
            </w:r>
            <w:r w:rsidRPr="00971206">
              <w:rPr>
                <w:b/>
                <w:bCs/>
                <w:color w:val="000000"/>
              </w:rPr>
              <w:t>icas</w:t>
            </w:r>
          </w:p>
        </w:tc>
        <w:tc>
          <w:tcPr>
            <w:tcW w:w="567" w:type="pct"/>
            <w:tcBorders>
              <w:top w:val="nil"/>
              <w:left w:val="nil"/>
              <w:bottom w:val="nil"/>
              <w:right w:val="nil"/>
            </w:tcBorders>
            <w:shd w:val="clear" w:color="000000" w:fill="FFFFFF"/>
            <w:vAlign w:val="center"/>
            <w:hideMark/>
          </w:tcPr>
          <w:p w14:paraId="5F16211C"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6F011D17" w14:textId="77777777" w:rsidR="006D2C82" w:rsidRPr="00971206" w:rsidRDefault="006D2C82" w:rsidP="00880479">
            <w:pPr>
              <w:ind w:right="12"/>
              <w:jc w:val="right"/>
              <w:rPr>
                <w:color w:val="000000"/>
              </w:rPr>
            </w:pPr>
            <w:r w:rsidRPr="00971206">
              <w:rPr>
                <w:color w:val="000000"/>
              </w:rPr>
              <w:t>0,6851</w:t>
            </w:r>
          </w:p>
        </w:tc>
        <w:tc>
          <w:tcPr>
            <w:tcW w:w="577" w:type="pct"/>
            <w:tcBorders>
              <w:top w:val="nil"/>
              <w:left w:val="nil"/>
              <w:bottom w:val="nil"/>
              <w:right w:val="nil"/>
            </w:tcBorders>
            <w:shd w:val="clear" w:color="000000" w:fill="FFFFFF"/>
            <w:vAlign w:val="center"/>
            <w:hideMark/>
          </w:tcPr>
          <w:p w14:paraId="18C5E71B" w14:textId="77777777" w:rsidR="006D2C82" w:rsidRPr="00971206" w:rsidRDefault="006D2C82" w:rsidP="00880479">
            <w:pPr>
              <w:jc w:val="right"/>
              <w:rPr>
                <w:color w:val="000000"/>
              </w:rPr>
            </w:pPr>
            <w:r w:rsidRPr="00971206">
              <w:rPr>
                <w:color w:val="000000"/>
              </w:rPr>
              <w:t>-0,0157</w:t>
            </w:r>
          </w:p>
        </w:tc>
        <w:tc>
          <w:tcPr>
            <w:tcW w:w="574" w:type="pct"/>
            <w:tcBorders>
              <w:top w:val="nil"/>
              <w:left w:val="nil"/>
              <w:bottom w:val="nil"/>
              <w:right w:val="nil"/>
            </w:tcBorders>
            <w:shd w:val="clear" w:color="000000" w:fill="FFFFFF"/>
            <w:vAlign w:val="center"/>
            <w:hideMark/>
          </w:tcPr>
          <w:p w14:paraId="7B3FB213" w14:textId="77777777" w:rsidR="006D2C82" w:rsidRPr="00971206" w:rsidRDefault="006D2C82" w:rsidP="00880479">
            <w:pPr>
              <w:jc w:val="right"/>
              <w:rPr>
                <w:color w:val="000000"/>
              </w:rPr>
            </w:pPr>
            <w:r w:rsidRPr="00971206">
              <w:rPr>
                <w:color w:val="000000"/>
              </w:rPr>
              <w:t>-2,24%</w:t>
            </w:r>
          </w:p>
        </w:tc>
        <w:tc>
          <w:tcPr>
            <w:tcW w:w="651" w:type="pct"/>
            <w:tcBorders>
              <w:top w:val="nil"/>
              <w:left w:val="nil"/>
              <w:bottom w:val="nil"/>
              <w:right w:val="nil"/>
            </w:tcBorders>
            <w:shd w:val="clear" w:color="000000" w:fill="FFFFFF"/>
            <w:vAlign w:val="center"/>
            <w:hideMark/>
          </w:tcPr>
          <w:p w14:paraId="559F76BE" w14:textId="77777777" w:rsidR="006D2C82" w:rsidRPr="00971206" w:rsidRDefault="006D2C82" w:rsidP="00880479">
            <w:pPr>
              <w:jc w:val="right"/>
              <w:rPr>
                <w:color w:val="000000"/>
              </w:rPr>
            </w:pPr>
            <w:r w:rsidRPr="00971206">
              <w:rPr>
                <w:color w:val="000000"/>
              </w:rPr>
              <w:t>25,28%</w:t>
            </w:r>
          </w:p>
        </w:tc>
      </w:tr>
      <w:tr w:rsidR="00880479" w:rsidRPr="00971206" w14:paraId="07E3A781" w14:textId="77777777" w:rsidTr="00880479">
        <w:trPr>
          <w:trHeight w:val="300"/>
        </w:trPr>
        <w:tc>
          <w:tcPr>
            <w:tcW w:w="2060" w:type="pct"/>
            <w:tcBorders>
              <w:top w:val="nil"/>
              <w:left w:val="nil"/>
              <w:bottom w:val="nil"/>
              <w:right w:val="nil"/>
            </w:tcBorders>
            <w:shd w:val="clear" w:color="000000" w:fill="FFFFFF"/>
            <w:vAlign w:val="center"/>
            <w:hideMark/>
          </w:tcPr>
          <w:p w14:paraId="18A5EBDC" w14:textId="77777777" w:rsidR="006D2C82" w:rsidRPr="00971206" w:rsidRDefault="007F1D35" w:rsidP="00880479">
            <w:pPr>
              <w:rPr>
                <w:b/>
                <w:bCs/>
                <w:color w:val="000000"/>
              </w:rPr>
            </w:pPr>
            <w:r w:rsidRPr="00971206">
              <w:rPr>
                <w:b/>
                <w:bCs/>
                <w:color w:val="000000"/>
              </w:rPr>
              <w:t>com tributação progressiva sobre lucros e dividendos</w:t>
            </w:r>
          </w:p>
        </w:tc>
        <w:tc>
          <w:tcPr>
            <w:tcW w:w="567" w:type="pct"/>
            <w:tcBorders>
              <w:top w:val="nil"/>
              <w:left w:val="nil"/>
              <w:bottom w:val="nil"/>
              <w:right w:val="nil"/>
            </w:tcBorders>
            <w:shd w:val="clear" w:color="000000" w:fill="FFFFFF"/>
            <w:vAlign w:val="center"/>
            <w:hideMark/>
          </w:tcPr>
          <w:p w14:paraId="30560574" w14:textId="77777777" w:rsidR="006D2C82" w:rsidRPr="00971206" w:rsidRDefault="006D2C82" w:rsidP="00880479">
            <w:pPr>
              <w:ind w:right="12"/>
              <w:jc w:val="right"/>
              <w:rPr>
                <w:color w:val="000000"/>
              </w:rPr>
            </w:pPr>
            <w:r w:rsidRPr="00971206">
              <w:rPr>
                <w:color w:val="000000"/>
              </w:rPr>
              <w:t>0,7008</w:t>
            </w:r>
          </w:p>
        </w:tc>
        <w:tc>
          <w:tcPr>
            <w:tcW w:w="570" w:type="pct"/>
            <w:tcBorders>
              <w:top w:val="nil"/>
              <w:left w:val="nil"/>
              <w:bottom w:val="nil"/>
              <w:right w:val="nil"/>
            </w:tcBorders>
            <w:shd w:val="clear" w:color="000000" w:fill="FFFFFF"/>
            <w:vAlign w:val="center"/>
            <w:hideMark/>
          </w:tcPr>
          <w:p w14:paraId="6F1C0542" w14:textId="77777777" w:rsidR="006D2C82" w:rsidRPr="00971206" w:rsidRDefault="006D2C82" w:rsidP="00880479">
            <w:pPr>
              <w:ind w:right="12"/>
              <w:jc w:val="right"/>
              <w:rPr>
                <w:color w:val="000000"/>
              </w:rPr>
            </w:pPr>
            <w:r w:rsidRPr="00971206">
              <w:rPr>
                <w:color w:val="000000"/>
              </w:rPr>
              <w:t>0,6814</w:t>
            </w:r>
          </w:p>
        </w:tc>
        <w:tc>
          <w:tcPr>
            <w:tcW w:w="577" w:type="pct"/>
            <w:tcBorders>
              <w:top w:val="nil"/>
              <w:left w:val="nil"/>
              <w:bottom w:val="nil"/>
              <w:right w:val="nil"/>
            </w:tcBorders>
            <w:shd w:val="clear" w:color="000000" w:fill="FFFFFF"/>
            <w:vAlign w:val="center"/>
            <w:hideMark/>
          </w:tcPr>
          <w:p w14:paraId="2102B82E" w14:textId="77777777" w:rsidR="006D2C82" w:rsidRPr="00971206" w:rsidRDefault="006D2C82" w:rsidP="00880479">
            <w:pPr>
              <w:jc w:val="right"/>
              <w:rPr>
                <w:color w:val="000000"/>
              </w:rPr>
            </w:pPr>
            <w:r w:rsidRPr="00971206">
              <w:rPr>
                <w:color w:val="000000"/>
              </w:rPr>
              <w:t>-0,0194</w:t>
            </w:r>
          </w:p>
        </w:tc>
        <w:tc>
          <w:tcPr>
            <w:tcW w:w="574" w:type="pct"/>
            <w:tcBorders>
              <w:top w:val="nil"/>
              <w:left w:val="nil"/>
              <w:bottom w:val="nil"/>
              <w:right w:val="nil"/>
            </w:tcBorders>
            <w:shd w:val="clear" w:color="000000" w:fill="FFFFFF"/>
            <w:vAlign w:val="center"/>
            <w:hideMark/>
          </w:tcPr>
          <w:p w14:paraId="0060724A" w14:textId="77777777" w:rsidR="006D2C82" w:rsidRPr="00971206" w:rsidRDefault="006D2C82" w:rsidP="00880479">
            <w:pPr>
              <w:jc w:val="right"/>
              <w:rPr>
                <w:color w:val="000000"/>
              </w:rPr>
            </w:pPr>
            <w:r w:rsidRPr="00971206">
              <w:rPr>
                <w:color w:val="000000"/>
              </w:rPr>
              <w:t>-2,77%</w:t>
            </w:r>
          </w:p>
        </w:tc>
        <w:tc>
          <w:tcPr>
            <w:tcW w:w="651" w:type="pct"/>
            <w:tcBorders>
              <w:top w:val="nil"/>
              <w:left w:val="nil"/>
              <w:bottom w:val="nil"/>
              <w:right w:val="nil"/>
            </w:tcBorders>
            <w:shd w:val="clear" w:color="000000" w:fill="FFFFFF"/>
            <w:vAlign w:val="center"/>
            <w:hideMark/>
          </w:tcPr>
          <w:p w14:paraId="0F0D2F7E" w14:textId="77777777" w:rsidR="006D2C82" w:rsidRPr="00971206" w:rsidRDefault="006D2C82" w:rsidP="00880479">
            <w:pPr>
              <w:jc w:val="right"/>
              <w:rPr>
                <w:color w:val="000000"/>
              </w:rPr>
            </w:pPr>
            <w:r w:rsidRPr="00971206">
              <w:rPr>
                <w:color w:val="000000"/>
              </w:rPr>
              <w:t>55,29%</w:t>
            </w:r>
          </w:p>
        </w:tc>
      </w:tr>
      <w:tr w:rsidR="00880479" w:rsidRPr="00971206" w14:paraId="12A586EE" w14:textId="77777777" w:rsidTr="00880479">
        <w:trPr>
          <w:trHeight w:val="320"/>
        </w:trPr>
        <w:tc>
          <w:tcPr>
            <w:tcW w:w="2060" w:type="pct"/>
            <w:tcBorders>
              <w:top w:val="nil"/>
              <w:left w:val="nil"/>
              <w:bottom w:val="single" w:sz="4" w:space="0" w:color="auto"/>
              <w:right w:val="nil"/>
            </w:tcBorders>
            <w:shd w:val="clear" w:color="000000" w:fill="FFFFFF"/>
            <w:vAlign w:val="center"/>
          </w:tcPr>
          <w:p w14:paraId="439DC095" w14:textId="77777777" w:rsidR="00880479" w:rsidRPr="00971206" w:rsidRDefault="00880479" w:rsidP="00880479">
            <w:pPr>
              <w:rPr>
                <w:b/>
                <w:bCs/>
                <w:color w:val="000000"/>
              </w:rPr>
            </w:pPr>
            <w:r w:rsidRPr="00971206">
              <w:rPr>
                <w:b/>
                <w:bCs/>
                <w:color w:val="000000"/>
              </w:rPr>
              <w:t xml:space="preserve">sem benefícios à aposentados e sem deduções com </w:t>
            </w:r>
            <w:r w:rsidR="00D33960" w:rsidRPr="00971206">
              <w:rPr>
                <w:b/>
                <w:bCs/>
                <w:color w:val="000000"/>
              </w:rPr>
              <w:t>educação</w:t>
            </w:r>
            <w:r w:rsidRPr="00971206">
              <w:rPr>
                <w:b/>
                <w:bCs/>
                <w:color w:val="000000"/>
              </w:rPr>
              <w:t xml:space="preserve"> e despesas médicas </w:t>
            </w:r>
            <w:r w:rsidR="00496453" w:rsidRPr="00971206">
              <w:rPr>
                <w:b/>
                <w:bCs/>
                <w:color w:val="000000"/>
              </w:rPr>
              <w:t>e</w:t>
            </w:r>
            <w:r w:rsidRPr="00971206">
              <w:rPr>
                <w:b/>
                <w:bCs/>
                <w:color w:val="000000"/>
              </w:rPr>
              <w:t xml:space="preserve"> com tributação progressiva sobre lucros e dividendos</w:t>
            </w:r>
          </w:p>
        </w:tc>
        <w:tc>
          <w:tcPr>
            <w:tcW w:w="567" w:type="pct"/>
            <w:tcBorders>
              <w:top w:val="nil"/>
              <w:left w:val="nil"/>
              <w:bottom w:val="single" w:sz="4" w:space="0" w:color="auto"/>
              <w:right w:val="nil"/>
            </w:tcBorders>
            <w:shd w:val="clear" w:color="000000" w:fill="FFFFFF"/>
            <w:vAlign w:val="center"/>
          </w:tcPr>
          <w:p w14:paraId="15F1F36C" w14:textId="77777777" w:rsidR="00880479" w:rsidRPr="00971206" w:rsidRDefault="00880479" w:rsidP="00880479">
            <w:pPr>
              <w:ind w:right="12"/>
              <w:jc w:val="right"/>
              <w:rPr>
                <w:color w:val="000000"/>
              </w:rPr>
            </w:pPr>
            <w:r w:rsidRPr="00971206">
              <w:rPr>
                <w:color w:val="000000"/>
              </w:rPr>
              <w:t>0,7008</w:t>
            </w:r>
          </w:p>
        </w:tc>
        <w:tc>
          <w:tcPr>
            <w:tcW w:w="570" w:type="pct"/>
            <w:tcBorders>
              <w:top w:val="nil"/>
              <w:left w:val="nil"/>
              <w:bottom w:val="single" w:sz="4" w:space="0" w:color="auto"/>
              <w:right w:val="nil"/>
            </w:tcBorders>
            <w:shd w:val="clear" w:color="000000" w:fill="FFFFFF"/>
            <w:vAlign w:val="center"/>
          </w:tcPr>
          <w:p w14:paraId="7E14335F" w14:textId="77777777" w:rsidR="00880479" w:rsidRPr="00971206" w:rsidRDefault="00880479" w:rsidP="00880479">
            <w:pPr>
              <w:ind w:right="12"/>
              <w:jc w:val="right"/>
              <w:rPr>
                <w:color w:val="000000"/>
              </w:rPr>
            </w:pPr>
            <w:r w:rsidRPr="00971206">
              <w:rPr>
                <w:color w:val="000000"/>
              </w:rPr>
              <w:t>0,6780</w:t>
            </w:r>
          </w:p>
        </w:tc>
        <w:tc>
          <w:tcPr>
            <w:tcW w:w="577" w:type="pct"/>
            <w:tcBorders>
              <w:top w:val="nil"/>
              <w:left w:val="nil"/>
              <w:bottom w:val="single" w:sz="4" w:space="0" w:color="auto"/>
              <w:right w:val="nil"/>
            </w:tcBorders>
            <w:shd w:val="clear" w:color="000000" w:fill="FFFFFF"/>
            <w:vAlign w:val="center"/>
          </w:tcPr>
          <w:p w14:paraId="6803CC1B" w14:textId="77777777" w:rsidR="00880479" w:rsidRPr="00971206" w:rsidRDefault="00880479" w:rsidP="00880479">
            <w:pPr>
              <w:jc w:val="right"/>
              <w:rPr>
                <w:color w:val="000000"/>
              </w:rPr>
            </w:pPr>
            <w:r w:rsidRPr="00971206">
              <w:rPr>
                <w:color w:val="000000"/>
              </w:rPr>
              <w:t>-0,0228</w:t>
            </w:r>
          </w:p>
        </w:tc>
        <w:tc>
          <w:tcPr>
            <w:tcW w:w="574" w:type="pct"/>
            <w:tcBorders>
              <w:top w:val="nil"/>
              <w:left w:val="nil"/>
              <w:bottom w:val="single" w:sz="4" w:space="0" w:color="auto"/>
              <w:right w:val="nil"/>
            </w:tcBorders>
            <w:shd w:val="clear" w:color="000000" w:fill="FFFFFF"/>
            <w:vAlign w:val="center"/>
          </w:tcPr>
          <w:p w14:paraId="74BA06BD" w14:textId="77777777" w:rsidR="00880479" w:rsidRPr="00971206" w:rsidRDefault="00880479" w:rsidP="00880479">
            <w:pPr>
              <w:jc w:val="right"/>
              <w:rPr>
                <w:color w:val="000000"/>
              </w:rPr>
            </w:pPr>
            <w:r w:rsidRPr="00971206">
              <w:rPr>
                <w:color w:val="000000"/>
              </w:rPr>
              <w:t>-3,25%</w:t>
            </w:r>
          </w:p>
        </w:tc>
        <w:tc>
          <w:tcPr>
            <w:tcW w:w="651" w:type="pct"/>
            <w:tcBorders>
              <w:top w:val="nil"/>
              <w:left w:val="nil"/>
              <w:bottom w:val="single" w:sz="4" w:space="0" w:color="auto"/>
              <w:right w:val="nil"/>
            </w:tcBorders>
            <w:shd w:val="clear" w:color="000000" w:fill="FFFFFF"/>
            <w:vAlign w:val="center"/>
          </w:tcPr>
          <w:p w14:paraId="1FA1862F" w14:textId="77777777" w:rsidR="00880479" w:rsidRPr="00971206" w:rsidRDefault="00880479" w:rsidP="00880479">
            <w:pPr>
              <w:jc w:val="right"/>
              <w:rPr>
                <w:color w:val="000000"/>
              </w:rPr>
            </w:pPr>
            <w:r w:rsidRPr="00971206">
              <w:rPr>
                <w:color w:val="000000"/>
              </w:rPr>
              <w:t>82,31%</w:t>
            </w:r>
          </w:p>
        </w:tc>
      </w:tr>
    </w:tbl>
    <w:p w14:paraId="7336015E" w14:textId="77777777" w:rsidR="007F1D35" w:rsidRPr="0003612C" w:rsidRDefault="007F1D35" w:rsidP="007F1D35">
      <w:pPr>
        <w:spacing w:before="120"/>
        <w:ind w:firstLine="284"/>
        <w:jc w:val="both"/>
        <w:rPr>
          <w:sz w:val="20"/>
          <w:szCs w:val="20"/>
        </w:rPr>
      </w:pPr>
      <w:r w:rsidRPr="0003612C">
        <w:rPr>
          <w:sz w:val="20"/>
          <w:szCs w:val="20"/>
        </w:rPr>
        <w:t xml:space="preserve">Fonte: Receita Federal do Brasil, </w:t>
      </w:r>
      <w:proofErr w:type="spellStart"/>
      <w:r w:rsidRPr="0003612C">
        <w:rPr>
          <w:sz w:val="20"/>
          <w:szCs w:val="20"/>
        </w:rPr>
        <w:t>microdados</w:t>
      </w:r>
      <w:proofErr w:type="spellEnd"/>
      <w:r w:rsidRPr="0003612C">
        <w:rPr>
          <w:sz w:val="20"/>
          <w:szCs w:val="20"/>
        </w:rPr>
        <w:t xml:space="preserve"> da POF, Contas Nacionais.</w:t>
      </w:r>
    </w:p>
    <w:p w14:paraId="79DF7A17" w14:textId="77777777" w:rsidR="006D2C82" w:rsidRPr="00971206" w:rsidRDefault="006D2C82" w:rsidP="008467EA">
      <w:pPr>
        <w:jc w:val="both"/>
      </w:pPr>
    </w:p>
    <w:p w14:paraId="5589227A" w14:textId="77777777" w:rsidR="0059781B" w:rsidRPr="00971206" w:rsidRDefault="0059781B" w:rsidP="008467EA">
      <w:pPr>
        <w:jc w:val="both"/>
      </w:pPr>
    </w:p>
    <w:p w14:paraId="7A358FFC" w14:textId="77777777" w:rsidR="00AD76B0" w:rsidRDefault="00AD76B0" w:rsidP="00AD76B0">
      <w:pPr>
        <w:ind w:firstLine="851"/>
        <w:jc w:val="both"/>
      </w:pPr>
      <w:r w:rsidRPr="00971206">
        <w:t xml:space="preserve">Como se pode observar, os impactos guardam íntima relação com o volume gasto com o benefício tributário (Tabela 5), com o perfil de incidência dos benefícios exercendo um papel fundamental. Nesse sentido, vale notar que, no caso da isenção sobre </w:t>
      </w:r>
      <w:r w:rsidRPr="00971206">
        <w:lastRenderedPageBreak/>
        <w:t xml:space="preserve">lucros e dividendos, rendimentos altamente concentrados no topo da distribuição, os impactos distributivos de sua tributação progressiva são bastante expressivos quando cotejados com a eliminação de outros benefícios tributários. Efetivamente, a tributação progressiva sobre lucros e dividendos, que aumentaria a arrecadação em cerca de R$ 40 bilhões, implicaria em um aumento do impacto redistributivo de redução do </w:t>
      </w:r>
      <w:proofErr w:type="spellStart"/>
      <w:r w:rsidRPr="00971206">
        <w:t>Gini</w:t>
      </w:r>
      <w:proofErr w:type="spellEnd"/>
      <w:r w:rsidRPr="00971206">
        <w:t xml:space="preserve"> em 55,29%. De outra parte, a dedução de gastos tributários com despesas médicas, da ordem de R$ 8 bilhões, caso fosse eliminada implicaria em uma redução de 9,9% no índice de </w:t>
      </w:r>
      <w:proofErr w:type="spellStart"/>
      <w:r w:rsidRPr="00971206">
        <w:t>Gini</w:t>
      </w:r>
      <w:proofErr w:type="spellEnd"/>
      <w:r w:rsidRPr="00971206">
        <w:t>. De todo modo, não resta dúvida que esses impactos decorrentes da eliminação ou redução desses benefícios – deduções e isenções – seriam potencializados caso se fizesse acompanhar de modificações na estrutura de alíquotas com a introdução de alíquotas maiores que 27,5% para as rendas superiores.</w:t>
      </w:r>
    </w:p>
    <w:p w14:paraId="680E4361" w14:textId="344FF34D" w:rsidR="0003612C" w:rsidRDefault="0059781B" w:rsidP="00AD76B0">
      <w:pPr>
        <w:ind w:firstLine="851"/>
        <w:jc w:val="both"/>
      </w:pPr>
      <w:r w:rsidRPr="00971206">
        <w:t xml:space="preserve">De outra parte, mesmo com essa limitação dada pela estrutura de alíquotas, </w:t>
      </w:r>
      <w:r w:rsidR="00D33960" w:rsidRPr="00971206">
        <w:t>o fim d</w:t>
      </w:r>
      <w:r w:rsidRPr="00971206">
        <w:t xml:space="preserve">os </w:t>
      </w:r>
      <w:r w:rsidR="0057757F" w:rsidRPr="00971206">
        <w:t>benefícios</w:t>
      </w:r>
      <w:r w:rsidR="00961009" w:rsidRPr="00971206">
        <w:t xml:space="preserve"> e</w:t>
      </w:r>
      <w:r w:rsidRPr="00971206">
        <w:t xml:space="preserve"> isenções </w:t>
      </w:r>
      <w:r w:rsidR="00D33960" w:rsidRPr="00971206">
        <w:t xml:space="preserve">considerados </w:t>
      </w:r>
      <w:r w:rsidRPr="00971206">
        <w:t xml:space="preserve">implicaria uma redução de 3,25% no índice de </w:t>
      </w:r>
      <w:proofErr w:type="spellStart"/>
      <w:r w:rsidRPr="00971206">
        <w:t>Gini</w:t>
      </w:r>
      <w:proofErr w:type="spellEnd"/>
      <w:r w:rsidRPr="00971206">
        <w:t xml:space="preserve"> das pessoas adultas</w:t>
      </w:r>
      <w:r w:rsidR="0089715F" w:rsidRPr="00971206">
        <w:t>,</w:t>
      </w:r>
      <w:r w:rsidRPr="00971206">
        <w:t xml:space="preserve"> decorrente d</w:t>
      </w:r>
      <w:r w:rsidR="009F55C0" w:rsidRPr="00971206">
        <w:t>a incidência d</w:t>
      </w:r>
      <w:r w:rsidRPr="00971206">
        <w:t>o IRPF</w:t>
      </w:r>
      <w:r w:rsidR="009F55C0" w:rsidRPr="00971206">
        <w:t>,</w:t>
      </w:r>
      <w:r w:rsidRPr="00971206">
        <w:t xml:space="preserve"> frente </w:t>
      </w:r>
      <w:r w:rsidR="009F55C0" w:rsidRPr="00971206">
        <w:t xml:space="preserve">à redução </w:t>
      </w:r>
      <w:r w:rsidRPr="00971206">
        <w:t>de 1,78% no quadro atual, ou seja, um incremento de 82</w:t>
      </w:r>
      <w:r w:rsidR="009F55C0" w:rsidRPr="00971206">
        <w:t>,3</w:t>
      </w:r>
      <w:r w:rsidRPr="00971206">
        <w:t xml:space="preserve">% no efeito redistributivo do </w:t>
      </w:r>
      <w:r w:rsidR="00346D37" w:rsidRPr="00971206">
        <w:t>IRPF</w:t>
      </w:r>
      <w:r w:rsidR="00346D37" w:rsidRPr="00971206">
        <w:rPr>
          <w:rStyle w:val="Refdecomentrio"/>
          <w:sz w:val="24"/>
          <w:szCs w:val="24"/>
        </w:rPr>
        <w:t>.</w:t>
      </w:r>
    </w:p>
    <w:p w14:paraId="08FC847B" w14:textId="6651B80A" w:rsidR="0059781B" w:rsidRPr="00971206" w:rsidRDefault="00823F8C" w:rsidP="0003612C">
      <w:pPr>
        <w:ind w:firstLine="851"/>
        <w:jc w:val="both"/>
      </w:pPr>
      <w:r w:rsidRPr="00971206">
        <w:t>Ressalte-se que tais resultados não consistem em uma sugestão direta de adoção de políticas públicas, mas tão somente um exercício hipotético, que busca avaliar o potencial máximo de modificações na legislação tributária sobre o poder distributivo do IRPF. Fornecem-se, assim, parâmetros e subsídios para discussões futuras que abarquem o tema.</w:t>
      </w:r>
    </w:p>
    <w:p w14:paraId="0BDB37EF" w14:textId="77777777" w:rsidR="007A77CA" w:rsidRPr="00971206" w:rsidRDefault="007A77CA" w:rsidP="007A77CA">
      <w:pPr>
        <w:jc w:val="both"/>
      </w:pPr>
    </w:p>
    <w:p w14:paraId="48CC3A3B" w14:textId="77777777" w:rsidR="009F55C0" w:rsidRPr="00971206" w:rsidRDefault="009F55C0" w:rsidP="008467EA">
      <w:pPr>
        <w:jc w:val="both"/>
      </w:pPr>
    </w:p>
    <w:p w14:paraId="5DE2BE2D" w14:textId="77777777" w:rsidR="00ED4F4E" w:rsidRPr="00F3014C" w:rsidRDefault="009F55C0" w:rsidP="009E46B1">
      <w:pPr>
        <w:pStyle w:val="PargrafodaLista"/>
        <w:numPr>
          <w:ilvl w:val="0"/>
          <w:numId w:val="1"/>
        </w:numPr>
        <w:jc w:val="both"/>
        <w:rPr>
          <w:rFonts w:ascii="Times New Roman" w:hAnsi="Times New Roman" w:cs="Times New Roman"/>
          <w:b/>
          <w:bCs/>
        </w:rPr>
      </w:pPr>
      <w:r w:rsidRPr="00F3014C">
        <w:rPr>
          <w:rFonts w:ascii="Times New Roman" w:hAnsi="Times New Roman" w:cs="Times New Roman"/>
          <w:b/>
          <w:bCs/>
        </w:rPr>
        <w:t>Considerações finais</w:t>
      </w:r>
    </w:p>
    <w:p w14:paraId="5EA6AEE5" w14:textId="77777777" w:rsidR="006A063E" w:rsidRPr="00971206" w:rsidRDefault="006A063E" w:rsidP="008467EA">
      <w:pPr>
        <w:jc w:val="both"/>
      </w:pPr>
    </w:p>
    <w:p w14:paraId="0AB475E2" w14:textId="3446EB75" w:rsidR="0003612C" w:rsidRDefault="00C07CC4" w:rsidP="0003612C">
      <w:pPr>
        <w:ind w:firstLine="851"/>
        <w:jc w:val="both"/>
      </w:pPr>
      <w:r w:rsidRPr="00971206">
        <w:t xml:space="preserve">O exercício realizado teve como objetivo analisar quais os grupos mais beneficiados por um selecionado de isenções e deduções dentro da estrutura do IRPF. As estimações indicam que </w:t>
      </w:r>
      <w:r w:rsidR="00612118" w:rsidRPr="00971206">
        <w:t xml:space="preserve">os rendimentos isentos </w:t>
      </w:r>
      <w:r w:rsidRPr="00971206">
        <w:t xml:space="preserve">são desproporcionalmente </w:t>
      </w:r>
      <w:r w:rsidR="00612118" w:rsidRPr="00971206">
        <w:t xml:space="preserve">concentrados </w:t>
      </w:r>
      <w:r w:rsidRPr="00971206">
        <w:t>no topo</w:t>
      </w:r>
      <w:r w:rsidR="005B4D46" w:rsidRPr="00971206">
        <w:t xml:space="preserve"> da distribuição de renda</w:t>
      </w:r>
      <w:r w:rsidRPr="00971206">
        <w:t xml:space="preserve">, entre os 5% e, mais especificamente, os 1% mais ricos. As deduções com gastos em educação e a parcela isenta para aposentados se mostram menos concentradas </w:t>
      </w:r>
      <w:r w:rsidR="00612118" w:rsidRPr="00971206">
        <w:t>no 1% do topo</w:t>
      </w:r>
      <w:r w:rsidRPr="00971206">
        <w:t xml:space="preserve">, que abarca 17% do montante </w:t>
      </w:r>
      <w:r w:rsidR="00612118" w:rsidRPr="00971206">
        <w:t>total desses dois benefícios</w:t>
      </w:r>
      <w:r w:rsidRPr="00971206">
        <w:t xml:space="preserve">, enquanto </w:t>
      </w:r>
      <w:r w:rsidR="007F577D" w:rsidRPr="00971206">
        <w:t>detém</w:t>
      </w:r>
      <w:r w:rsidR="00612118" w:rsidRPr="00971206">
        <w:t xml:space="preserve"> 27% d</w:t>
      </w:r>
      <w:r w:rsidRPr="00971206">
        <w:t xml:space="preserve">as deduções com gastos em saúde, chegando </w:t>
      </w:r>
      <w:r w:rsidR="00612118" w:rsidRPr="00971206">
        <w:t>a concentrar 49% da</w:t>
      </w:r>
      <w:r w:rsidRPr="00971206">
        <w:t xml:space="preserve"> isenção por moléstia grave. A extinç</w:t>
      </w:r>
      <w:r w:rsidR="005428C6" w:rsidRPr="00971206">
        <w:t xml:space="preserve">ão desses benefícios </w:t>
      </w:r>
      <w:r w:rsidR="00FF2E24" w:rsidRPr="00971206">
        <w:t xml:space="preserve">aumentaria o poder de redução do </w:t>
      </w:r>
      <w:proofErr w:type="spellStart"/>
      <w:r w:rsidR="00FF2E24" w:rsidRPr="00971206">
        <w:t>Gini</w:t>
      </w:r>
      <w:proofErr w:type="spellEnd"/>
      <w:r w:rsidR="00FF2E24" w:rsidRPr="00971206">
        <w:t xml:space="preserve"> via IRPF </w:t>
      </w:r>
      <w:r w:rsidR="005428C6" w:rsidRPr="00971206">
        <w:t>em 3,30% (educação</w:t>
      </w:r>
      <w:r w:rsidR="00FF2E24" w:rsidRPr="00971206">
        <w:t>) até 9,92% (saúde). A retirada de todos esses benefícios simultaneamente aumentaria o poder distributivo do IRPF em 25,28%, porém não o tornaria</w:t>
      </w:r>
      <w:r w:rsidR="000935BF" w:rsidRPr="00971206">
        <w:t xml:space="preserve"> plenamente progressivo, visto que os indivíduos próximo</w:t>
      </w:r>
      <w:r w:rsidR="00140EF7" w:rsidRPr="00971206">
        <w:t>s</w:t>
      </w:r>
      <w:r w:rsidR="000935BF" w:rsidRPr="00971206">
        <w:t xml:space="preserve"> ao topo (do milésimo 99,4 em diante) seriam submetidos a alíquotas progressivas menores que os imediatamente anteriores.</w:t>
      </w:r>
    </w:p>
    <w:p w14:paraId="58E67689" w14:textId="77777777" w:rsidR="0003612C" w:rsidRDefault="005428C6" w:rsidP="0003612C">
      <w:pPr>
        <w:ind w:firstLine="851"/>
        <w:jc w:val="both"/>
      </w:pPr>
      <w:r w:rsidRPr="00971206">
        <w:t>No caso da isenção dos lucros e dividendos, essa também beneficia desproporcionalmente os indivíduos no topo da distribuição de renda, uma vez que seus ganhos são majoritariamente baseados nesse tipo de rendimento em detrimento dos rendimentos tributáveis, associados a rendimentos do trabalho</w:t>
      </w:r>
      <w:r w:rsidR="000770A6" w:rsidRPr="00971206">
        <w:t>.</w:t>
      </w:r>
      <w:r w:rsidRPr="00971206">
        <w:t xml:space="preserve"> As estimativas mostram que as alíquotas efetivas apresentam uma quebra perto do topo da distribuição, em desrespeito ao princípio da capacidade contributiva. Se os lucros e dividendos fossem tributados à mesma maneira que os rendimentos tributáveis, a queda no </w:t>
      </w:r>
      <w:proofErr w:type="spellStart"/>
      <w:r w:rsidRPr="00971206">
        <w:t>Gini</w:t>
      </w:r>
      <w:proofErr w:type="spellEnd"/>
      <w:r w:rsidRPr="00971206">
        <w:t xml:space="preserve"> causada pela incidência do IRPF aumentaria em 55,29%. Nesse caso, exclusivamente, a tributação se tornaria plenamente progressiva, não havendo quebra na equidade vertical no que tange ao aumento da alíquota efetiva em relação à renda auferida pelo indivíduo.</w:t>
      </w:r>
    </w:p>
    <w:p w14:paraId="5506450B" w14:textId="77777777" w:rsidR="0003612C" w:rsidRDefault="00053D4F" w:rsidP="0003612C">
      <w:pPr>
        <w:ind w:firstLine="851"/>
        <w:jc w:val="both"/>
      </w:pPr>
      <w:r w:rsidRPr="00971206">
        <w:t xml:space="preserve">Por fim, deve-se sublinhar que </w:t>
      </w:r>
      <w:r w:rsidR="00245B52" w:rsidRPr="00971206">
        <w:t xml:space="preserve">o fato de </w:t>
      </w:r>
      <w:r w:rsidR="00244EBF" w:rsidRPr="00971206">
        <w:t xml:space="preserve">se estar </w:t>
      </w:r>
      <w:r w:rsidR="00245B52" w:rsidRPr="00971206">
        <w:t>trabalhando com dado</w:t>
      </w:r>
      <w:r w:rsidR="00140EF7" w:rsidRPr="00971206">
        <w:t>s</w:t>
      </w:r>
      <w:r w:rsidR="00245B52" w:rsidRPr="00971206">
        <w:t xml:space="preserve"> m</w:t>
      </w:r>
      <w:r w:rsidR="0057757F" w:rsidRPr="00971206">
        <w:t>édios estimados de estratos</w:t>
      </w:r>
      <w:r w:rsidRPr="00971206">
        <w:t xml:space="preserve"> limita o poder das estimativas</w:t>
      </w:r>
      <w:r w:rsidR="0057757F" w:rsidRPr="00971206">
        <w:t xml:space="preserve">, </w:t>
      </w:r>
      <w:r w:rsidRPr="00971206">
        <w:t xml:space="preserve">pois </w:t>
      </w:r>
      <w:r w:rsidR="00B84CBB" w:rsidRPr="00971206">
        <w:t>conde</w:t>
      </w:r>
      <w:r w:rsidR="00244EBF" w:rsidRPr="00971206">
        <w:t>n</w:t>
      </w:r>
      <w:r w:rsidR="00B84CBB" w:rsidRPr="00971206">
        <w:t xml:space="preserve">sam a heterogeneidade existente nos </w:t>
      </w:r>
      <w:proofErr w:type="spellStart"/>
      <w:r w:rsidR="00B84CBB" w:rsidRPr="00971206">
        <w:t>microdados</w:t>
      </w:r>
      <w:proofErr w:type="spellEnd"/>
      <w:r w:rsidR="00B84CBB" w:rsidRPr="00971206">
        <w:t xml:space="preserve"> das declarações </w:t>
      </w:r>
      <w:r w:rsidR="00244EBF" w:rsidRPr="00971206">
        <w:t>que compõem</w:t>
      </w:r>
      <w:r w:rsidR="00B84CBB" w:rsidRPr="00971206">
        <w:t xml:space="preserve"> cada estrato, um problema </w:t>
      </w:r>
      <w:r w:rsidR="00B84CBB" w:rsidRPr="00971206">
        <w:lastRenderedPageBreak/>
        <w:t>inerente à forma como os dados são disponibilizados (MEDEIROS; CASTRO, 2018), e que pode ser reforçado pela forma como a metodologia atribui os diversos tipos de rendimentos e benefícios em cada estrato (GOBETTI</w:t>
      </w:r>
      <w:r w:rsidR="002D78F0" w:rsidRPr="00971206">
        <w:t>; ORAIR</w:t>
      </w:r>
      <w:r w:rsidR="00B84CBB" w:rsidRPr="00971206">
        <w:t xml:space="preserve">, 2015; </w:t>
      </w:r>
      <w:bookmarkStart w:id="1" w:name="_GoBack"/>
      <w:r w:rsidR="00B84CBB" w:rsidRPr="00971206">
        <w:t>FERNANDES</w:t>
      </w:r>
      <w:bookmarkEnd w:id="1"/>
      <w:r w:rsidR="00B84CBB" w:rsidRPr="00971206">
        <w:t>, 2016)</w:t>
      </w:r>
      <w:r w:rsidR="0057757F" w:rsidRPr="00971206">
        <w:t xml:space="preserve">. </w:t>
      </w:r>
      <w:r w:rsidR="00707F07" w:rsidRPr="00971206">
        <w:t xml:space="preserve">As expectativas são grandes em relação </w:t>
      </w:r>
      <w:r w:rsidR="00DF1E43" w:rsidRPr="00971206">
        <w:t xml:space="preserve">à </w:t>
      </w:r>
      <w:r w:rsidR="00707F07" w:rsidRPr="00971206">
        <w:t xml:space="preserve">produção, pela Receita Federal, </w:t>
      </w:r>
      <w:r w:rsidR="0057757F" w:rsidRPr="00971206">
        <w:t xml:space="preserve">de uma base amostral </w:t>
      </w:r>
      <w:proofErr w:type="spellStart"/>
      <w:r w:rsidR="0057757F" w:rsidRPr="00971206">
        <w:t>desindentificada</w:t>
      </w:r>
      <w:proofErr w:type="spellEnd"/>
      <w:r w:rsidR="009E3437" w:rsidRPr="00971206">
        <w:t xml:space="preserve"> com os dados do IRPF</w:t>
      </w:r>
      <w:r w:rsidR="0057757F" w:rsidRPr="00971206">
        <w:t xml:space="preserve">, o que permitiria uma associação mais robusta com os dados das investigações </w:t>
      </w:r>
      <w:r w:rsidRPr="00971206">
        <w:t>domiciliares e maior poder explicativo das estimativas de mudanças no IRPF.</w:t>
      </w:r>
    </w:p>
    <w:p w14:paraId="2FF01000" w14:textId="6A5B8B92" w:rsidR="005B1284" w:rsidRPr="00971206" w:rsidRDefault="00B84CBB" w:rsidP="0003612C">
      <w:pPr>
        <w:ind w:firstLine="851"/>
        <w:jc w:val="both"/>
      </w:pPr>
      <w:r w:rsidRPr="00971206">
        <w:t>De toda forma, as estimativas fornecem indicações de quais caminhos trilhar na busca por modificações da tributação sobre a renda que tornem o sistema tributário mais justo e equânime.</w:t>
      </w:r>
      <w:r w:rsidR="00707F07" w:rsidRPr="00971206">
        <w:t xml:space="preserve"> </w:t>
      </w:r>
      <w:r w:rsidR="00886767" w:rsidRPr="00971206">
        <w:t xml:space="preserve"> </w:t>
      </w:r>
      <w:r w:rsidR="00175488" w:rsidRPr="00971206">
        <w:t xml:space="preserve">A busca por uma sociedade mais justa e solidária ganha destaque no cenário de crise econômica </w:t>
      </w:r>
      <w:r w:rsidR="00DF1E43" w:rsidRPr="00971206">
        <w:t xml:space="preserve">pelo </w:t>
      </w:r>
      <w:r w:rsidR="00175488" w:rsidRPr="00971206">
        <w:t>qual o país passa, sendo imprescindível o</w:t>
      </w:r>
      <w:r w:rsidR="00886767" w:rsidRPr="00971206">
        <w:t xml:space="preserve"> enfrentamento dos privilégios fiscais nas propostas de reforma tributária</w:t>
      </w:r>
      <w:r w:rsidR="00175488" w:rsidRPr="00971206">
        <w:t xml:space="preserve">. Resta saber se haverá disposição política para </w:t>
      </w:r>
      <w:r w:rsidR="00D33D5D" w:rsidRPr="00971206">
        <w:t>encarar o fato.</w:t>
      </w:r>
    </w:p>
    <w:p w14:paraId="27A2AEC9" w14:textId="77777777" w:rsidR="000770A6" w:rsidRPr="00971206" w:rsidRDefault="000770A6" w:rsidP="008467EA">
      <w:pPr>
        <w:jc w:val="both"/>
      </w:pPr>
    </w:p>
    <w:p w14:paraId="2718263E" w14:textId="77777777" w:rsidR="000770A6" w:rsidRPr="00971206" w:rsidRDefault="000770A6" w:rsidP="008467EA">
      <w:pPr>
        <w:jc w:val="both"/>
      </w:pPr>
    </w:p>
    <w:p w14:paraId="647FEE77" w14:textId="77777777" w:rsidR="005B1284" w:rsidRPr="00971206" w:rsidRDefault="006435E9" w:rsidP="005B1284">
      <w:pPr>
        <w:jc w:val="both"/>
        <w:rPr>
          <w:b/>
        </w:rPr>
      </w:pPr>
      <w:r w:rsidRPr="00971206">
        <w:rPr>
          <w:b/>
        </w:rPr>
        <w:t>Referências</w:t>
      </w:r>
    </w:p>
    <w:p w14:paraId="1AEC322F" w14:textId="77777777" w:rsidR="005B1284" w:rsidRPr="00971206" w:rsidRDefault="005B1284" w:rsidP="005B1284">
      <w:pPr>
        <w:jc w:val="both"/>
      </w:pPr>
    </w:p>
    <w:p w14:paraId="724DFE93" w14:textId="77777777" w:rsidR="00E6632D" w:rsidRPr="00971206" w:rsidRDefault="00E6632D" w:rsidP="005B1284">
      <w:pPr>
        <w:jc w:val="both"/>
      </w:pPr>
      <w:r w:rsidRPr="00971206">
        <w:t xml:space="preserve">AFONSO, J. R. R. </w:t>
      </w:r>
      <w:r w:rsidRPr="00971206">
        <w:rPr>
          <w:b/>
        </w:rPr>
        <w:t>IRPF e Desigualdade em Debate no Brasil</w:t>
      </w:r>
      <w:r w:rsidRPr="00971206">
        <w:t>. Texto de Discussão 42. Rio de Janeiro: IBRE/FGV, 2014. Disponível em &lt;http://bit.ly/1xatQFa&gt;.</w:t>
      </w:r>
    </w:p>
    <w:p w14:paraId="352C54E0" w14:textId="77777777" w:rsidR="00E6632D" w:rsidRPr="00971206" w:rsidRDefault="00E6632D" w:rsidP="005B1284">
      <w:pPr>
        <w:jc w:val="both"/>
      </w:pPr>
    </w:p>
    <w:p w14:paraId="00C0D871" w14:textId="77777777" w:rsidR="005B1284" w:rsidRPr="00971206" w:rsidRDefault="005B1284" w:rsidP="005B1284">
      <w:pPr>
        <w:jc w:val="both"/>
      </w:pPr>
      <w:r w:rsidRPr="00971206">
        <w:t xml:space="preserve">CASTRO, F. A. </w:t>
      </w:r>
      <w:r w:rsidRPr="00971206">
        <w:rPr>
          <w:b/>
        </w:rPr>
        <w:t>Imposto de Renda da Pessoa Física</w:t>
      </w:r>
      <w:r w:rsidRPr="00971206">
        <w:t>: comparações internacionais, medidas de progressividade e redistribuição. Dissertação de Mestrado em Economia. Brasília: UnB, 2014.</w:t>
      </w:r>
    </w:p>
    <w:p w14:paraId="013C09F9" w14:textId="77777777" w:rsidR="005B1284" w:rsidRPr="00971206" w:rsidRDefault="005B1284" w:rsidP="005B1284">
      <w:pPr>
        <w:jc w:val="both"/>
      </w:pPr>
    </w:p>
    <w:p w14:paraId="77573B4B" w14:textId="77777777" w:rsidR="005B1284" w:rsidRPr="00971206" w:rsidRDefault="005B1284" w:rsidP="005B1284">
      <w:pPr>
        <w:jc w:val="both"/>
      </w:pPr>
      <w:r w:rsidRPr="00971206">
        <w:t>FERNANDES, R</w:t>
      </w:r>
      <w:r w:rsidR="00FA519F" w:rsidRPr="00971206">
        <w:t>. C</w:t>
      </w:r>
      <w:r w:rsidRPr="00971206">
        <w:t xml:space="preserve">. </w:t>
      </w:r>
      <w:r w:rsidRPr="00971206">
        <w:rPr>
          <w:b/>
        </w:rPr>
        <w:t>Sistema Tributário e Desigualdade</w:t>
      </w:r>
      <w:r w:rsidRPr="00971206">
        <w:t xml:space="preserve">: uma análise do impacto distributivo do imposto de renda no Brasil. Dissertação de Mestrado em Economia. Belo Horizonte: </w:t>
      </w:r>
      <w:proofErr w:type="spellStart"/>
      <w:r w:rsidRPr="00971206">
        <w:t>Cedeplar</w:t>
      </w:r>
      <w:proofErr w:type="spellEnd"/>
      <w:r w:rsidRPr="00971206">
        <w:t>/UFMG, 2016.</w:t>
      </w:r>
    </w:p>
    <w:p w14:paraId="688AAD88" w14:textId="77777777" w:rsidR="0061382D" w:rsidRPr="00971206" w:rsidRDefault="0061382D" w:rsidP="005B1284">
      <w:pPr>
        <w:jc w:val="both"/>
      </w:pPr>
    </w:p>
    <w:p w14:paraId="7062B116" w14:textId="510E45C0" w:rsidR="000770A6" w:rsidRPr="00971206" w:rsidRDefault="0061382D" w:rsidP="00A61E6D">
      <w:pPr>
        <w:jc w:val="both"/>
      </w:pPr>
      <w:r w:rsidRPr="00971206">
        <w:t>FERNANDES</w:t>
      </w:r>
      <w:r w:rsidR="00FA519F" w:rsidRPr="00971206">
        <w:t>, R. C.; CAMPOLINA, B.; SILVEIRA, F. G. Impacto distributivo do Imposto de Renda no Brasil. In: AFONSO, J. R.; LUKIC, M. R.; ORAIR, R. O.; SILVEIRA, F. G. (</w:t>
      </w:r>
      <w:proofErr w:type="spellStart"/>
      <w:r w:rsidR="00FA519F" w:rsidRPr="00971206">
        <w:t>Orgs</w:t>
      </w:r>
      <w:proofErr w:type="spellEnd"/>
      <w:r w:rsidR="00FA519F" w:rsidRPr="00971206">
        <w:t xml:space="preserve">.). </w:t>
      </w:r>
      <w:r w:rsidR="00FA519F" w:rsidRPr="00971206">
        <w:rPr>
          <w:b/>
        </w:rPr>
        <w:t>Tributação e Desigualdade</w:t>
      </w:r>
      <w:r w:rsidR="00FA519F" w:rsidRPr="00971206">
        <w:t>. Belo Horizonte: Letramento: Casa do Direito: FGV Direito Rio, 2017.</w:t>
      </w:r>
    </w:p>
    <w:p w14:paraId="0557DA92" w14:textId="77777777" w:rsidR="000770A6" w:rsidRPr="00971206" w:rsidRDefault="000770A6" w:rsidP="00A61E6D">
      <w:pPr>
        <w:jc w:val="both"/>
      </w:pPr>
    </w:p>
    <w:p w14:paraId="1668B642" w14:textId="77777777" w:rsidR="00A61E6D" w:rsidRPr="00971206" w:rsidRDefault="005B1284" w:rsidP="00A61E6D">
      <w:pPr>
        <w:jc w:val="both"/>
      </w:pPr>
      <w:r w:rsidRPr="00971206">
        <w:t xml:space="preserve">GOBETTI, S. W.; ORAIR, R. O. </w:t>
      </w:r>
      <w:r w:rsidRPr="00971206">
        <w:rPr>
          <w:b/>
        </w:rPr>
        <w:t>Progressividade tributária</w:t>
      </w:r>
      <w:r w:rsidRPr="00971206">
        <w:t>: a agenda negligenciada. Brasília: ESAF; Tesouro Nacional, 2015 (XX Prêmio Tesouro Nacional – 2015).</w:t>
      </w:r>
      <w:r w:rsidR="00A61E6D" w:rsidRPr="00971206">
        <w:t xml:space="preserve"> Disponível em: &lt;http://www.esaf.fazenda.gov.br/assuntos/premios/premios-1/premios-2015/xx-premio-tesouro-nacional-2015-pagina-principal/monografias-premiadas-xx-premio-tesouro-nacional-2015/tema-3-sergio-gobetti-e-rodrigo-orair&gt;.</w:t>
      </w:r>
    </w:p>
    <w:p w14:paraId="4A24C3B0" w14:textId="77777777" w:rsidR="00B84CBB" w:rsidRPr="00971206" w:rsidRDefault="00B84CBB" w:rsidP="00A61E6D">
      <w:pPr>
        <w:jc w:val="both"/>
      </w:pPr>
    </w:p>
    <w:p w14:paraId="7F741C3D" w14:textId="77777777" w:rsidR="00B84CBB" w:rsidRPr="00971206" w:rsidRDefault="00B84CBB" w:rsidP="00B84CBB">
      <w:pPr>
        <w:jc w:val="both"/>
      </w:pPr>
      <w:r w:rsidRPr="00971206">
        <w:t xml:space="preserve">MEDEIROS, M; CASTRO, F. A. A composição da renda no topo da distribuição: evolução no Brasil entre 2006 e 2012, a partir de informações do Imposto de Renda. </w:t>
      </w:r>
      <w:r w:rsidRPr="00971206">
        <w:rPr>
          <w:b/>
        </w:rPr>
        <w:t>Economia e Sociedade</w:t>
      </w:r>
      <w:r w:rsidRPr="00971206">
        <w:t>, Campinas, v. 27, n. 2 (63), p. 577-605, 2018.</w:t>
      </w:r>
    </w:p>
    <w:p w14:paraId="246C402E" w14:textId="77777777" w:rsidR="00EC0B9B" w:rsidRPr="00971206" w:rsidRDefault="00EC0B9B" w:rsidP="005B1284">
      <w:pPr>
        <w:jc w:val="both"/>
      </w:pPr>
    </w:p>
    <w:p w14:paraId="67E6ED77" w14:textId="77777777" w:rsidR="0061382D" w:rsidRPr="00971206" w:rsidRDefault="00462D3C" w:rsidP="005B1284">
      <w:pPr>
        <w:jc w:val="both"/>
      </w:pPr>
      <w:r w:rsidRPr="00971206">
        <w:t xml:space="preserve">MEDEIROS, M.; SOUZA, P. H. G. F.; CASTRO, F. A. A estabilidade da desigualdade no Brasil, 2006 e 2012: estimativas com dados do imposto de renda e pesquisas domiciliares. </w:t>
      </w:r>
      <w:r w:rsidR="00214BE9" w:rsidRPr="00971206">
        <w:rPr>
          <w:b/>
        </w:rPr>
        <w:t>Ciência &amp; Saúde Coletiva</w:t>
      </w:r>
      <w:r w:rsidR="00214BE9" w:rsidRPr="00971206">
        <w:t>, 20(4), p. 971-986, 2015.</w:t>
      </w:r>
    </w:p>
    <w:p w14:paraId="2130D662" w14:textId="7B60E999" w:rsidR="0061382D" w:rsidRPr="00971206" w:rsidRDefault="0061382D" w:rsidP="005B1284">
      <w:pPr>
        <w:jc w:val="both"/>
      </w:pPr>
    </w:p>
    <w:p w14:paraId="0E16A2D0" w14:textId="3B3DD2FD" w:rsidR="00C1554D" w:rsidRPr="00971206" w:rsidRDefault="00C1554D" w:rsidP="00C1554D">
      <w:pPr>
        <w:jc w:val="both"/>
        <w:rPr>
          <w:lang w:val="en-US"/>
        </w:rPr>
      </w:pPr>
      <w:r w:rsidRPr="00971206">
        <w:t xml:space="preserve">MEDEIROS, Marcelo; SOUZA, Pedro H. G. F. “A estabilidade da desigualdade no Brasil entre 2006 e 2012: resultados adicionais”. </w:t>
      </w:r>
      <w:proofErr w:type="spellStart"/>
      <w:r w:rsidRPr="00971206">
        <w:rPr>
          <w:lang w:val="en-US"/>
        </w:rPr>
        <w:t>Texto</w:t>
      </w:r>
      <w:proofErr w:type="spellEnd"/>
      <w:r w:rsidRPr="00971206">
        <w:rPr>
          <w:lang w:val="en-US"/>
        </w:rPr>
        <w:t xml:space="preserve"> para </w:t>
      </w:r>
      <w:proofErr w:type="spellStart"/>
      <w:r w:rsidRPr="00971206">
        <w:rPr>
          <w:lang w:val="en-US"/>
        </w:rPr>
        <w:t>Discussão</w:t>
      </w:r>
      <w:proofErr w:type="spellEnd"/>
      <w:r w:rsidRPr="00971206">
        <w:rPr>
          <w:lang w:val="en-US"/>
        </w:rPr>
        <w:t xml:space="preserve">, </w:t>
      </w:r>
      <w:proofErr w:type="spellStart"/>
      <w:r w:rsidRPr="00971206">
        <w:rPr>
          <w:lang w:val="en-US"/>
        </w:rPr>
        <w:t>Ipea</w:t>
      </w:r>
      <w:proofErr w:type="spellEnd"/>
      <w:r w:rsidRPr="00971206">
        <w:rPr>
          <w:lang w:val="en-US"/>
        </w:rPr>
        <w:t xml:space="preserve">, n. 2170, </w:t>
      </w:r>
      <w:proofErr w:type="spellStart"/>
      <w:r w:rsidRPr="00971206">
        <w:rPr>
          <w:lang w:val="en-US"/>
        </w:rPr>
        <w:t>fev</w:t>
      </w:r>
      <w:proofErr w:type="spellEnd"/>
      <w:r w:rsidRPr="00971206">
        <w:rPr>
          <w:lang w:val="en-US"/>
        </w:rPr>
        <w:t>. 2016.</w:t>
      </w:r>
    </w:p>
    <w:p w14:paraId="76BB61F6" w14:textId="77777777" w:rsidR="00C1554D" w:rsidRPr="00971206" w:rsidRDefault="00C1554D" w:rsidP="005B1284">
      <w:pPr>
        <w:jc w:val="both"/>
        <w:rPr>
          <w:lang w:val="en-US"/>
        </w:rPr>
      </w:pPr>
    </w:p>
    <w:p w14:paraId="699D3382" w14:textId="77777777" w:rsidR="00F72B6F" w:rsidRPr="00971206" w:rsidRDefault="00462D3C" w:rsidP="00F72B6F">
      <w:pPr>
        <w:jc w:val="both"/>
        <w:rPr>
          <w:lang w:val="en-US"/>
        </w:rPr>
      </w:pPr>
      <w:r w:rsidRPr="00971206">
        <w:rPr>
          <w:lang w:val="en-US"/>
        </w:rPr>
        <w:lastRenderedPageBreak/>
        <w:t xml:space="preserve">MORGAN, M. </w:t>
      </w:r>
      <w:r w:rsidRPr="00971206">
        <w:rPr>
          <w:b/>
          <w:lang w:val="en-US"/>
        </w:rPr>
        <w:t>Income Inequality, Growth and Elite Taxation in Brazil</w:t>
      </w:r>
      <w:r w:rsidRPr="00971206">
        <w:rPr>
          <w:lang w:val="en-US"/>
        </w:rPr>
        <w:t>: New Evidence</w:t>
      </w:r>
      <w:r w:rsidR="004D4AA4" w:rsidRPr="00971206">
        <w:rPr>
          <w:lang w:val="en-US"/>
        </w:rPr>
        <w:t xml:space="preserve"> </w:t>
      </w:r>
      <w:r w:rsidRPr="00971206">
        <w:rPr>
          <w:lang w:val="en-US"/>
        </w:rPr>
        <w:t>Combining Survey and Fiscal Data, 2001–2015. IPC-IG Working Paper. Brasília:</w:t>
      </w:r>
      <w:r w:rsidR="004D4AA4" w:rsidRPr="00971206">
        <w:rPr>
          <w:lang w:val="en-US"/>
        </w:rPr>
        <w:t xml:space="preserve"> </w:t>
      </w:r>
      <w:r w:rsidRPr="00971206">
        <w:rPr>
          <w:lang w:val="en-US"/>
        </w:rPr>
        <w:t xml:space="preserve">International Policy Centre for Inclusive Growth, 2018. </w:t>
      </w:r>
    </w:p>
    <w:p w14:paraId="4ECDEE1F" w14:textId="54E6B905" w:rsidR="0061382D" w:rsidRPr="00971206" w:rsidRDefault="0061382D" w:rsidP="005B1284">
      <w:pPr>
        <w:jc w:val="both"/>
        <w:rPr>
          <w:lang w:val="en-US"/>
        </w:rPr>
      </w:pPr>
    </w:p>
    <w:p w14:paraId="3F7426FB" w14:textId="77777777" w:rsidR="00BE578B" w:rsidRPr="00971206" w:rsidRDefault="00BE578B" w:rsidP="00BE578B">
      <w:pPr>
        <w:autoSpaceDE w:val="0"/>
        <w:autoSpaceDN w:val="0"/>
        <w:adjustRightInd w:val="0"/>
        <w:jc w:val="both"/>
        <w:rPr>
          <w:lang w:val="en-US"/>
        </w:rPr>
      </w:pPr>
      <w:r w:rsidRPr="00971206">
        <w:t xml:space="preserve">MURPHY, Liam; NAGEL, Thomas. O mito da propriedade: os impostos e a justiça. </w:t>
      </w:r>
      <w:r w:rsidRPr="00971206">
        <w:rPr>
          <w:lang w:val="en-US"/>
        </w:rPr>
        <w:t>São Paulo: Martins Fontes, 2005.</w:t>
      </w:r>
    </w:p>
    <w:p w14:paraId="3254DE3E" w14:textId="77777777" w:rsidR="00BE578B" w:rsidRPr="00971206" w:rsidRDefault="00BE578B" w:rsidP="005B1284">
      <w:pPr>
        <w:jc w:val="both"/>
        <w:rPr>
          <w:lang w:val="en-US"/>
        </w:rPr>
      </w:pPr>
    </w:p>
    <w:p w14:paraId="4D350AAE" w14:textId="515467C2" w:rsidR="00321D89" w:rsidRPr="00971206" w:rsidRDefault="00321D89" w:rsidP="005B1284">
      <w:pPr>
        <w:jc w:val="both"/>
      </w:pPr>
      <w:r w:rsidRPr="00971206">
        <w:rPr>
          <w:lang w:val="en-US"/>
        </w:rPr>
        <w:t>OECD</w:t>
      </w:r>
      <w:r w:rsidR="000E2EDE" w:rsidRPr="00971206">
        <w:rPr>
          <w:lang w:val="en-US"/>
        </w:rPr>
        <w:t>.</w:t>
      </w:r>
      <w:r w:rsidRPr="00971206">
        <w:rPr>
          <w:lang w:val="en-US"/>
        </w:rPr>
        <w:t xml:space="preserve"> “Net pension replacement rates”, in Pensions at a Glance 2017: OECD and G20 Indicators, OECD Publishing, Paris.</w:t>
      </w:r>
      <w:r w:rsidR="000E2EDE" w:rsidRPr="00971206">
        <w:rPr>
          <w:lang w:val="en-US"/>
        </w:rPr>
        <w:t xml:space="preserve"> </w:t>
      </w:r>
      <w:r w:rsidR="000E2EDE" w:rsidRPr="00971206">
        <w:t>2017.</w:t>
      </w:r>
    </w:p>
    <w:p w14:paraId="3F762FD3" w14:textId="77777777" w:rsidR="00EA3175" w:rsidRPr="00971206" w:rsidRDefault="00EA3175" w:rsidP="005B1284">
      <w:pPr>
        <w:jc w:val="both"/>
      </w:pPr>
    </w:p>
    <w:p w14:paraId="380E4409" w14:textId="593F768A" w:rsidR="00EA3175" w:rsidRPr="00971206" w:rsidRDefault="000235C7" w:rsidP="005B1284">
      <w:pPr>
        <w:jc w:val="both"/>
      </w:pPr>
      <w:r w:rsidRPr="00971206">
        <w:t>OCKÉ-REIS, Carlos Octávio; FERNANDES, Artur Monteiro Prado. Descrição do gasto tributário em saúde: 2003 a 2015. Nota Técnica IPEA/DISOC no 48. Brasília, 2018.</w:t>
      </w:r>
    </w:p>
    <w:p w14:paraId="72B367D8" w14:textId="77777777" w:rsidR="003461FC" w:rsidRPr="00971206" w:rsidRDefault="003461FC" w:rsidP="005B1284">
      <w:pPr>
        <w:jc w:val="both"/>
      </w:pPr>
    </w:p>
    <w:p w14:paraId="147A1EAB" w14:textId="77777777" w:rsidR="00BE578B" w:rsidRPr="00971206" w:rsidRDefault="00BE578B" w:rsidP="00BE578B">
      <w:pPr>
        <w:autoSpaceDE w:val="0"/>
        <w:autoSpaceDN w:val="0"/>
        <w:adjustRightInd w:val="0"/>
        <w:ind w:left="709" w:hanging="709"/>
        <w:jc w:val="both"/>
        <w:rPr>
          <w:lang w:val="es-419"/>
        </w:rPr>
      </w:pPr>
      <w:r w:rsidRPr="00971206">
        <w:t xml:space="preserve">PIKETTY, T. O Capital no Século XXI. </w:t>
      </w:r>
      <w:r w:rsidRPr="00971206">
        <w:rPr>
          <w:lang w:val="es-419"/>
        </w:rPr>
        <w:t>Rio de Janeiro, Íntrinseca, 2014.</w:t>
      </w:r>
    </w:p>
    <w:p w14:paraId="29FA8F82" w14:textId="77777777" w:rsidR="004826FD" w:rsidRPr="00971206" w:rsidRDefault="004826FD" w:rsidP="005B1284">
      <w:pPr>
        <w:jc w:val="both"/>
      </w:pPr>
    </w:p>
    <w:p w14:paraId="0C602933" w14:textId="77777777" w:rsidR="00EC0B9B" w:rsidRPr="00971206" w:rsidRDefault="00086066" w:rsidP="005B1284">
      <w:pPr>
        <w:jc w:val="both"/>
      </w:pPr>
      <w:r w:rsidRPr="00971206">
        <w:t>RECEITA FEDERAL DO BRASIL (RFB)</w:t>
      </w:r>
      <w:r w:rsidR="00EC0B9B" w:rsidRPr="00971206">
        <w:t xml:space="preserve">. </w:t>
      </w:r>
      <w:r w:rsidR="00EC0B9B" w:rsidRPr="00971206">
        <w:rPr>
          <w:b/>
        </w:rPr>
        <w:t>Grandes Números da DIRPF (</w:t>
      </w:r>
      <w:r w:rsidR="00F54AE0" w:rsidRPr="00971206">
        <w:rPr>
          <w:b/>
        </w:rPr>
        <w:t>vários anos</w:t>
      </w:r>
      <w:r w:rsidR="00EC0B9B" w:rsidRPr="00971206">
        <w:rPr>
          <w:b/>
        </w:rPr>
        <w:t>)</w:t>
      </w:r>
      <w:r w:rsidR="00EC0B9B" w:rsidRPr="00971206">
        <w:t>. Brasília: RFB, 2018</w:t>
      </w:r>
      <w:r w:rsidR="00F54AE0" w:rsidRPr="00971206">
        <w:t>a</w:t>
      </w:r>
      <w:r w:rsidR="00EC0B9B" w:rsidRPr="00971206">
        <w:t>. Disponível em:</w:t>
      </w:r>
      <w:r w:rsidR="00F54AE0" w:rsidRPr="00971206">
        <w:t xml:space="preserve"> </w:t>
      </w:r>
      <w:r w:rsidR="00EC0B9B" w:rsidRPr="00971206">
        <w:t>&lt;http://idg.receita.fazenda.gov.br/dados/receitadata/estudos-e-tributarios-e-aduaneiros/estudos-e-estatisticas/11-08-2014-grandes-numeros-dirpf/grandes-numeros-dirpf-capa&gt;.</w:t>
      </w:r>
    </w:p>
    <w:p w14:paraId="60193B21" w14:textId="77777777" w:rsidR="005B1284" w:rsidRPr="00971206" w:rsidRDefault="005B1284" w:rsidP="005B1284">
      <w:pPr>
        <w:jc w:val="both"/>
        <w:rPr>
          <w:bCs/>
        </w:rPr>
      </w:pPr>
    </w:p>
    <w:p w14:paraId="42FE4445" w14:textId="77777777" w:rsidR="00F54AE0" w:rsidRPr="00971206" w:rsidRDefault="00F54AE0" w:rsidP="005B1284">
      <w:pPr>
        <w:jc w:val="both"/>
        <w:rPr>
          <w:bCs/>
        </w:rPr>
      </w:pPr>
      <w:r w:rsidRPr="00971206">
        <w:t xml:space="preserve">RECEITA FEDERAL DO BRASIL (RFB). </w:t>
      </w:r>
      <w:r w:rsidR="00037186" w:rsidRPr="00971206">
        <w:rPr>
          <w:b/>
        </w:rPr>
        <w:t xml:space="preserve">Demonstrativos de </w:t>
      </w:r>
      <w:r w:rsidRPr="00971206">
        <w:rPr>
          <w:b/>
        </w:rPr>
        <w:t>Gastos Tributários (vários anos)</w:t>
      </w:r>
      <w:r w:rsidRPr="00971206">
        <w:t xml:space="preserve">. Brasília: RFB, 2018b. Disponível em: </w:t>
      </w:r>
      <w:r w:rsidRPr="00971206">
        <w:rPr>
          <w:bCs/>
        </w:rPr>
        <w:t>&lt;http://idg.receita.fazenda.gov.br/dados/receitadata/renuncia-fiscal/demonstrativos-dos-gastos-tributarios/bases-efetivas&gt;.</w:t>
      </w:r>
    </w:p>
    <w:p w14:paraId="2F8DD865" w14:textId="77777777" w:rsidR="00497D0B" w:rsidRPr="00971206" w:rsidRDefault="00497D0B" w:rsidP="005B1284">
      <w:pPr>
        <w:jc w:val="both"/>
        <w:rPr>
          <w:bCs/>
        </w:rPr>
      </w:pPr>
    </w:p>
    <w:p w14:paraId="6FB35F8C" w14:textId="77777777" w:rsidR="00497D0B" w:rsidRPr="00971206" w:rsidRDefault="00497D0B" w:rsidP="00497D0B">
      <w:pPr>
        <w:jc w:val="both"/>
      </w:pPr>
      <w:r w:rsidRPr="00971206">
        <w:t xml:space="preserve">RECEITA FEDERAL DO BRASIL. </w:t>
      </w:r>
      <w:r w:rsidRPr="00971206">
        <w:rPr>
          <w:b/>
        </w:rPr>
        <w:t>dirpf-2006-2012-dados-adicionais.xlsx</w:t>
      </w:r>
      <w:r w:rsidRPr="00971206">
        <w:t>. Brasília: RFB, 2018c. Disponível em: &lt;http://idg.receita.fazenda.gov.br/dados/receitadata/estudos-etributarios-e-aduaneiros/trabalhos-academicos/dirpf-2006-2012-dadosadicionais.xlsx. Acesso em: 17 jun. 2016.</w:t>
      </w:r>
    </w:p>
    <w:p w14:paraId="4F657B4A" w14:textId="77777777" w:rsidR="00F54AE0" w:rsidRPr="00971206" w:rsidRDefault="00F54AE0" w:rsidP="005B1284">
      <w:pPr>
        <w:jc w:val="both"/>
        <w:rPr>
          <w:bCs/>
        </w:rPr>
      </w:pPr>
    </w:p>
    <w:p w14:paraId="0337A26C" w14:textId="77777777" w:rsidR="005B1284" w:rsidRPr="00971206" w:rsidRDefault="005B1284" w:rsidP="005B1284">
      <w:pPr>
        <w:jc w:val="both"/>
        <w:rPr>
          <w:bCs/>
        </w:rPr>
      </w:pPr>
      <w:r w:rsidRPr="00971206">
        <w:rPr>
          <w:bCs/>
        </w:rPr>
        <w:t xml:space="preserve">SILVEIRA, F. G. </w:t>
      </w:r>
      <w:r w:rsidR="00462D3C" w:rsidRPr="00971206">
        <w:rPr>
          <w:b/>
          <w:bCs/>
        </w:rPr>
        <w:t>Tributação, Previdência e Assistência Sociais</w:t>
      </w:r>
      <w:r w:rsidRPr="00971206">
        <w:rPr>
          <w:bCs/>
        </w:rPr>
        <w:t>: impactos distributivos. Tese de Doutorado. Campinas: Unicamp, 2008.</w:t>
      </w:r>
    </w:p>
    <w:p w14:paraId="085EC93A" w14:textId="77777777" w:rsidR="00AA7D2C" w:rsidRPr="00971206" w:rsidRDefault="00AA7D2C" w:rsidP="005B1284">
      <w:pPr>
        <w:jc w:val="both"/>
        <w:rPr>
          <w:bCs/>
        </w:rPr>
      </w:pPr>
    </w:p>
    <w:p w14:paraId="375A6E32" w14:textId="77777777" w:rsidR="004D4AA4" w:rsidRPr="00971206" w:rsidRDefault="004D4AA4" w:rsidP="005B1284">
      <w:pPr>
        <w:jc w:val="both"/>
        <w:rPr>
          <w:bCs/>
        </w:rPr>
      </w:pPr>
      <w:r w:rsidRPr="00971206">
        <w:rPr>
          <w:bCs/>
        </w:rPr>
        <w:t xml:space="preserve">SILVEIRA, F. G. </w:t>
      </w:r>
      <w:r w:rsidR="00462D3C" w:rsidRPr="00971206">
        <w:rPr>
          <w:b/>
          <w:bCs/>
        </w:rPr>
        <w:t>Equidade fiscal</w:t>
      </w:r>
      <w:r w:rsidRPr="00971206">
        <w:rPr>
          <w:bCs/>
        </w:rPr>
        <w:t>: impactos distributivos da tributação e do gasto social. Brasília: ESAF; Tesouro Nacional, 2012 (XVII Prêmio Tesouro Nacional – 2012).</w:t>
      </w:r>
    </w:p>
    <w:p w14:paraId="23424082" w14:textId="77777777" w:rsidR="0029413B" w:rsidRPr="00971206" w:rsidRDefault="0029413B" w:rsidP="005B1284">
      <w:pPr>
        <w:jc w:val="both"/>
        <w:rPr>
          <w:bCs/>
        </w:rPr>
      </w:pPr>
    </w:p>
    <w:p w14:paraId="3FB1894D" w14:textId="77777777" w:rsidR="00A41C45" w:rsidRPr="00971206" w:rsidRDefault="0029413B" w:rsidP="001115B0">
      <w:pPr>
        <w:jc w:val="both"/>
        <w:rPr>
          <w:bCs/>
        </w:rPr>
      </w:pPr>
      <w:r w:rsidRPr="00971206">
        <w:rPr>
          <w:bCs/>
        </w:rPr>
        <w:t>SILVEIRA</w:t>
      </w:r>
      <w:r w:rsidR="00F33119" w:rsidRPr="00971206">
        <w:rPr>
          <w:bCs/>
        </w:rPr>
        <w:t>, F. G.;</w:t>
      </w:r>
      <w:r w:rsidRPr="00971206">
        <w:rPr>
          <w:bCs/>
        </w:rPr>
        <w:t xml:space="preserve"> PASSOS</w:t>
      </w:r>
      <w:r w:rsidR="00F33119" w:rsidRPr="00971206">
        <w:rPr>
          <w:bCs/>
        </w:rPr>
        <w:t>, L. Renúncias fiscais e tributação da riqueza: as capturas pelas elites econômicas e classe média tradicional. In: FAGNANI, E</w:t>
      </w:r>
      <w:r w:rsidR="00A41C45" w:rsidRPr="00971206">
        <w:rPr>
          <w:bCs/>
        </w:rPr>
        <w:t>. (Org.).</w:t>
      </w:r>
      <w:r w:rsidR="004D4AA4" w:rsidRPr="00971206">
        <w:rPr>
          <w:bCs/>
        </w:rPr>
        <w:t xml:space="preserve"> </w:t>
      </w:r>
      <w:r w:rsidR="00462D3C" w:rsidRPr="00971206">
        <w:rPr>
          <w:b/>
          <w:bCs/>
        </w:rPr>
        <w:t>A Reforma Tributária Necessária</w:t>
      </w:r>
      <w:r w:rsidR="001115B0" w:rsidRPr="00971206">
        <w:rPr>
          <w:bCs/>
        </w:rPr>
        <w:t>: diagnóstico e premissas</w:t>
      </w:r>
      <w:r w:rsidR="00A41C45" w:rsidRPr="00971206">
        <w:rPr>
          <w:bCs/>
        </w:rPr>
        <w:t xml:space="preserve">. </w:t>
      </w:r>
      <w:r w:rsidR="001115B0" w:rsidRPr="00971206">
        <w:rPr>
          <w:bCs/>
        </w:rPr>
        <w:t>Brasília: ANFIP: FENAFISCO: São Paulo: Plataforma Política Social, 2018.</w:t>
      </w:r>
    </w:p>
    <w:p w14:paraId="18ED3328" w14:textId="77777777" w:rsidR="005B1284" w:rsidRPr="00971206" w:rsidRDefault="005B1284" w:rsidP="005B1284">
      <w:pPr>
        <w:jc w:val="both"/>
      </w:pPr>
    </w:p>
    <w:p w14:paraId="74503D18" w14:textId="6F138E88" w:rsidR="005B1284" w:rsidRPr="00971206" w:rsidRDefault="005B1284" w:rsidP="008467EA">
      <w:pPr>
        <w:jc w:val="both"/>
      </w:pPr>
      <w:r w:rsidRPr="00971206">
        <w:t xml:space="preserve">SIQUEIRA, R. B.; NOGUEIRA, J. R. B.; SOUZA, E. S. </w:t>
      </w:r>
      <w:r w:rsidR="00462D3C" w:rsidRPr="00971206">
        <w:rPr>
          <w:b/>
        </w:rPr>
        <w:t>O sistema tributário brasileiro é regressivo?</w:t>
      </w:r>
      <w:r w:rsidRPr="00971206">
        <w:t xml:space="preserve"> </w:t>
      </w:r>
      <w:proofErr w:type="spellStart"/>
      <w:r w:rsidRPr="00971206">
        <w:t>Mimeo</w:t>
      </w:r>
      <w:proofErr w:type="spellEnd"/>
      <w:r w:rsidRPr="00971206">
        <w:t>. Fev. 2012. Disponível em: &lt;</w:t>
      </w:r>
      <w:proofErr w:type="gramStart"/>
      <w:r w:rsidRPr="00971206">
        <w:t>http://www.joserobertoafonso.com.br/attachments/article/2508/siqueira,\%20nogueira\%20e\%20souza\%20</w:t>
      </w:r>
      <w:proofErr w:type="gramEnd"/>
      <w:r w:rsidRPr="00971206">
        <w:t>(2012).pdf&gt;.</w:t>
      </w:r>
    </w:p>
    <w:sectPr w:rsidR="005B1284" w:rsidRPr="00971206" w:rsidSect="00BF379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2E12F" w14:textId="77777777" w:rsidR="00582FC9" w:rsidRDefault="00582FC9" w:rsidP="00EA45FF">
      <w:r>
        <w:separator/>
      </w:r>
    </w:p>
  </w:endnote>
  <w:endnote w:type="continuationSeparator" w:id="0">
    <w:p w14:paraId="24B755B5" w14:textId="77777777" w:rsidR="00582FC9" w:rsidRDefault="00582FC9" w:rsidP="00EA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0000000000000000000"/>
    <w:charset w:val="00"/>
    <w:family w:val="auto"/>
    <w:pitch w:val="variable"/>
    <w:sig w:usb0="E0002A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44243568"/>
      <w:docPartObj>
        <w:docPartGallery w:val="Page Numbers (Bottom of Page)"/>
        <w:docPartUnique/>
      </w:docPartObj>
    </w:sdtPr>
    <w:sdtContent>
      <w:p w14:paraId="7BFAF1EF" w14:textId="77777777" w:rsidR="00704954" w:rsidRDefault="00704954" w:rsidP="00527FB4">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520637F" w14:textId="77777777" w:rsidR="00704954" w:rsidRDefault="00704954" w:rsidP="00AC6F1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C688A" w14:textId="77777777" w:rsidR="00704954" w:rsidRDefault="00704954" w:rsidP="00BB5A3B">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442449"/>
      <w:docPartObj>
        <w:docPartGallery w:val="Page Numbers (Bottom of Page)"/>
        <w:docPartUnique/>
      </w:docPartObj>
    </w:sdtPr>
    <w:sdtContent>
      <w:p w14:paraId="6B262353" w14:textId="1BEF4BC7" w:rsidR="00704954" w:rsidRDefault="00704954">
        <w:pPr>
          <w:pStyle w:val="Rodap"/>
          <w:jc w:val="right"/>
        </w:pPr>
        <w:r>
          <w:fldChar w:fldCharType="begin"/>
        </w:r>
        <w:r>
          <w:instrText>PAGE   \* MERGEFORMAT</w:instrText>
        </w:r>
        <w:r>
          <w:fldChar w:fldCharType="separate"/>
        </w:r>
        <w:r>
          <w:t>2</w:t>
        </w:r>
        <w:r>
          <w:fldChar w:fldCharType="end"/>
        </w:r>
      </w:p>
    </w:sdtContent>
  </w:sdt>
  <w:p w14:paraId="56CF54F7" w14:textId="77777777" w:rsidR="00704954" w:rsidRDefault="00704954" w:rsidP="00BB5A3B">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4D16F" w14:textId="77777777" w:rsidR="00582FC9" w:rsidRDefault="00582FC9" w:rsidP="00EA45FF">
      <w:r>
        <w:separator/>
      </w:r>
    </w:p>
  </w:footnote>
  <w:footnote w:type="continuationSeparator" w:id="0">
    <w:p w14:paraId="0BF6473F" w14:textId="77777777" w:rsidR="00582FC9" w:rsidRDefault="00582FC9" w:rsidP="00EA45FF">
      <w:r>
        <w:continuationSeparator/>
      </w:r>
    </w:p>
  </w:footnote>
  <w:footnote w:id="1">
    <w:p w14:paraId="75B7BEA8" w14:textId="428768F6" w:rsidR="00704954" w:rsidRDefault="00704954">
      <w:pPr>
        <w:pStyle w:val="Textodenotaderodap"/>
      </w:pPr>
      <w:r>
        <w:rPr>
          <w:rStyle w:val="Refdenotaderodap"/>
        </w:rPr>
        <w:footnoteRef/>
      </w:r>
      <w:r>
        <w:t xml:space="preserve"> Instituto de Pesquisa Econômica Aplicada</w:t>
      </w:r>
    </w:p>
  </w:footnote>
  <w:footnote w:id="2">
    <w:p w14:paraId="1920EA7D" w14:textId="1667BCAE" w:rsidR="00704954" w:rsidRDefault="00704954">
      <w:pPr>
        <w:pStyle w:val="Textodenotaderodap"/>
      </w:pPr>
      <w:r>
        <w:rPr>
          <w:rStyle w:val="Refdenotaderodap"/>
        </w:rPr>
        <w:footnoteRef/>
      </w:r>
      <w:r>
        <w:t xml:space="preserve"> Tesouro Nacional</w:t>
      </w:r>
    </w:p>
  </w:footnote>
  <w:footnote w:id="3">
    <w:p w14:paraId="17B5B6D5" w14:textId="085D02E4" w:rsidR="00704954" w:rsidRDefault="00704954">
      <w:pPr>
        <w:pStyle w:val="Textodenotaderodap"/>
      </w:pPr>
      <w:r>
        <w:rPr>
          <w:rStyle w:val="Refdenotaderodap"/>
        </w:rPr>
        <w:footnoteRef/>
      </w:r>
      <w:r>
        <w:t xml:space="preserve"> Universidade Federal de Minas Gerais</w:t>
      </w:r>
    </w:p>
  </w:footnote>
  <w:footnote w:id="4">
    <w:p w14:paraId="5EEFB234" w14:textId="2FC2406D" w:rsidR="00704954" w:rsidRPr="001A4751" w:rsidRDefault="00704954" w:rsidP="00553DA4">
      <w:pPr>
        <w:pStyle w:val="Textodenotaderodap"/>
        <w:jc w:val="both"/>
        <w:rPr>
          <w:rFonts w:ascii="Garamond" w:eastAsia="Times New Roman" w:hAnsi="Garamond" w:cs="Helvetica"/>
          <w:color w:val="333333"/>
          <w:spacing w:val="-8"/>
          <w:lang w:eastAsia="pt-BR"/>
        </w:rPr>
      </w:pPr>
      <w:r w:rsidRPr="000A607C">
        <w:rPr>
          <w:rStyle w:val="Refdenotaderodap"/>
          <w:rFonts w:ascii="Garamond" w:hAnsi="Garamond"/>
        </w:rPr>
        <w:footnoteRef/>
      </w:r>
      <w:r w:rsidRPr="000A607C">
        <w:rPr>
          <w:rFonts w:ascii="Garamond" w:hAnsi="Garamond"/>
        </w:rPr>
        <w:t xml:space="preserve"> A </w:t>
      </w:r>
      <w:r w:rsidRPr="000A607C">
        <w:rPr>
          <w:rFonts w:ascii="Garamond" w:eastAsia="Times New Roman" w:hAnsi="Garamond" w:cs="Helvetica"/>
          <w:color w:val="333333"/>
          <w:spacing w:val="-8"/>
          <w:lang w:eastAsia="pt-BR"/>
        </w:rPr>
        <w:t xml:space="preserve">tabela progressiva fornece as alíquotas marginais, ou seja, as alíquotas incidentes após determinado valor. As alíquotas efetivas é a razão entre o tributo e a renda (podendo ser a tributada ou a total). A tabela progressiva incide sobre os rendimentos não isentos e que não tiveram tributação exclusiva na fonte descontadas as deduções permitidas. Com isso as alíquotas efetivas se reduzem mais ainda. </w:t>
      </w:r>
    </w:p>
  </w:footnote>
  <w:footnote w:id="5">
    <w:p w14:paraId="52A85611" w14:textId="4A2E5A62" w:rsidR="00704954" w:rsidRPr="00AC6F19" w:rsidRDefault="00704954" w:rsidP="000A607C">
      <w:pPr>
        <w:shd w:val="clear" w:color="auto" w:fill="FFFFFF"/>
        <w:spacing w:after="240"/>
        <w:jc w:val="both"/>
        <w:textAlignment w:val="baseline"/>
      </w:pPr>
      <w:r w:rsidRPr="000A607C">
        <w:rPr>
          <w:rStyle w:val="Refdenotaderodap"/>
          <w:rFonts w:ascii="Garamond" w:hAnsi="Garamond"/>
          <w:sz w:val="20"/>
          <w:szCs w:val="20"/>
        </w:rPr>
        <w:footnoteRef/>
      </w:r>
      <w:r w:rsidRPr="000A607C">
        <w:rPr>
          <w:rFonts w:ascii="Garamond" w:hAnsi="Garamond"/>
          <w:sz w:val="20"/>
          <w:szCs w:val="20"/>
        </w:rPr>
        <w:t xml:space="preserve"> </w:t>
      </w:r>
      <w:r w:rsidRPr="000A607C">
        <w:rPr>
          <w:rFonts w:ascii="Garamond" w:hAnsi="Garamond" w:cs="Helvetica"/>
          <w:color w:val="333333"/>
          <w:spacing w:val="-8"/>
          <w:sz w:val="20"/>
          <w:szCs w:val="20"/>
        </w:rPr>
        <w:t xml:space="preserve">Uma lista com os valores isentos está disponível em: </w:t>
      </w:r>
      <w:hyperlink r:id="rId1" w:history="1">
        <w:r w:rsidRPr="000A607C">
          <w:rPr>
            <w:rStyle w:val="Hyperlink"/>
            <w:rFonts w:ascii="Garamond" w:hAnsi="Garamond" w:cs="Helvetica"/>
            <w:spacing w:val="-8"/>
            <w:sz w:val="20"/>
            <w:szCs w:val="20"/>
          </w:rPr>
          <w:t>https://g1.globo.com/economia/imposto-de-renda/2018/noticia/imposto-de-renda-2018-veja-lista-de-rendimentos-isentos.ghtml</w:t>
        </w:r>
      </w:hyperlink>
      <w:r w:rsidRPr="000A607C">
        <w:rPr>
          <w:rFonts w:ascii="Garamond" w:hAnsi="Garamond" w:cs="Helvetica"/>
          <w:color w:val="333333"/>
          <w:spacing w:val="-8"/>
          <w:sz w:val="20"/>
          <w:szCs w:val="20"/>
        </w:rPr>
        <w:t xml:space="preserve">. </w:t>
      </w:r>
    </w:p>
  </w:footnote>
  <w:footnote w:id="6">
    <w:p w14:paraId="573BCAD5" w14:textId="33E2183A" w:rsidR="00704954" w:rsidRPr="000235C7" w:rsidRDefault="00704954" w:rsidP="000235C7">
      <w:pPr>
        <w:jc w:val="both"/>
        <w:rPr>
          <w:rFonts w:ascii="Garamond" w:hAnsi="Garamond"/>
          <w:sz w:val="20"/>
          <w:szCs w:val="20"/>
        </w:rPr>
      </w:pPr>
      <w:r>
        <w:rPr>
          <w:rStyle w:val="Refdenotaderodap"/>
        </w:rPr>
        <w:footnoteRef/>
      </w:r>
      <w:r>
        <w:t xml:space="preserve"> </w:t>
      </w:r>
      <w:r w:rsidRPr="000235C7">
        <w:rPr>
          <w:rFonts w:ascii="Garamond" w:hAnsi="Garamond"/>
          <w:sz w:val="20"/>
          <w:szCs w:val="20"/>
        </w:rPr>
        <w:t xml:space="preserve">Para RGPS, http://www3.dataprev.gov.br/infologo/, e para os </w:t>
      </w:r>
      <w:proofErr w:type="spellStart"/>
      <w:r w:rsidRPr="000235C7">
        <w:rPr>
          <w:rFonts w:ascii="Garamond" w:hAnsi="Garamond"/>
          <w:sz w:val="20"/>
          <w:szCs w:val="20"/>
        </w:rPr>
        <w:t>RPPSs</w:t>
      </w:r>
      <w:proofErr w:type="spellEnd"/>
      <w:r w:rsidRPr="000235C7">
        <w:rPr>
          <w:rFonts w:ascii="Garamond" w:hAnsi="Garamond"/>
          <w:sz w:val="20"/>
          <w:szCs w:val="20"/>
        </w:rPr>
        <w:t xml:space="preserve">, </w:t>
      </w:r>
      <w:hyperlink r:id="rId2" w:history="1">
        <w:r w:rsidRPr="000235C7">
          <w:rPr>
            <w:rStyle w:val="Hyperlink"/>
            <w:rFonts w:ascii="Garamond" w:hAnsi="Garamond"/>
            <w:sz w:val="20"/>
            <w:szCs w:val="20"/>
          </w:rPr>
          <w:t>http://sa.previdencia.gov.br/site/2018/12/aeps2017_supserpub-1.pdf</w:t>
        </w:r>
      </w:hyperlink>
      <w:r w:rsidRPr="000235C7">
        <w:rPr>
          <w:rFonts w:ascii="Garamond" w:hAnsi="Garamond"/>
          <w:sz w:val="20"/>
          <w:szCs w:val="20"/>
        </w:rPr>
        <w:t>, no nível federal, e http://sa.previdencia.gov.br/site/2019/05/QUANTIDADE_BENEFICIARIOS_02052019.csv para estados e municípios.</w:t>
      </w:r>
    </w:p>
  </w:footnote>
  <w:footnote w:id="7">
    <w:p w14:paraId="722E449E" w14:textId="422A7D66" w:rsidR="00704954" w:rsidRPr="00AC6F19" w:rsidRDefault="00704954" w:rsidP="00984BEF">
      <w:pPr>
        <w:jc w:val="both"/>
      </w:pPr>
      <w:r w:rsidRPr="000A607C">
        <w:rPr>
          <w:rStyle w:val="Refdenotaderodap"/>
          <w:rFonts w:ascii="Garamond" w:hAnsi="Garamond"/>
          <w:sz w:val="20"/>
          <w:szCs w:val="20"/>
        </w:rPr>
        <w:footnoteRef/>
      </w:r>
      <w:r w:rsidRPr="000A607C">
        <w:rPr>
          <w:rFonts w:ascii="Garamond" w:hAnsi="Garamond"/>
          <w:sz w:val="20"/>
          <w:szCs w:val="20"/>
        </w:rPr>
        <w:t xml:space="preserve"> Buscou-se junto à Receita Federal por intermédio da Lei de Acesso à </w:t>
      </w:r>
      <w:r>
        <w:rPr>
          <w:rFonts w:ascii="Garamond" w:hAnsi="Garamond"/>
          <w:sz w:val="20"/>
          <w:szCs w:val="20"/>
        </w:rPr>
        <w:t>I</w:t>
      </w:r>
      <w:r w:rsidRPr="000A607C">
        <w:rPr>
          <w:rFonts w:ascii="Garamond" w:hAnsi="Garamond"/>
          <w:sz w:val="20"/>
          <w:szCs w:val="20"/>
        </w:rPr>
        <w:t xml:space="preserve">nformação a discriminação dos cerca de 500 mil beneficiários segundo a moléstia, mas fomos informados que a Receita não tem condições de atender ao pedido, pela ausência da informação no banco de dados. Ou seja, a base de dados da </w:t>
      </w:r>
      <w:r>
        <w:rPr>
          <w:rFonts w:ascii="Garamond" w:hAnsi="Garamond"/>
          <w:sz w:val="20"/>
          <w:szCs w:val="20"/>
        </w:rPr>
        <w:t>Receita Federal</w:t>
      </w:r>
      <w:r w:rsidRPr="000A607C">
        <w:rPr>
          <w:rFonts w:ascii="Garamond" w:hAnsi="Garamond"/>
          <w:sz w:val="20"/>
          <w:szCs w:val="20"/>
        </w:rPr>
        <w:t xml:space="preserve"> </w:t>
      </w:r>
      <w:r>
        <w:rPr>
          <w:rFonts w:ascii="Garamond" w:hAnsi="Garamond"/>
          <w:sz w:val="20"/>
          <w:szCs w:val="20"/>
        </w:rPr>
        <w:t>possui</w:t>
      </w:r>
      <w:r w:rsidRPr="000A607C">
        <w:rPr>
          <w:rFonts w:ascii="Garamond" w:hAnsi="Garamond"/>
          <w:sz w:val="20"/>
          <w:szCs w:val="20"/>
        </w:rPr>
        <w:t xml:space="preserve"> os declarantes beneficiários, mas os dados do processo de concessão não estão incorporados </w:t>
      </w:r>
      <w:r>
        <w:rPr>
          <w:rFonts w:ascii="Garamond" w:hAnsi="Garamond"/>
          <w:sz w:val="20"/>
          <w:szCs w:val="20"/>
        </w:rPr>
        <w:t>à</w:t>
      </w:r>
      <w:r w:rsidRPr="000A607C">
        <w:rPr>
          <w:rFonts w:ascii="Garamond" w:hAnsi="Garamond"/>
          <w:sz w:val="20"/>
          <w:szCs w:val="20"/>
        </w:rPr>
        <w:t xml:space="preserve"> base.</w:t>
      </w:r>
    </w:p>
  </w:footnote>
  <w:footnote w:id="8">
    <w:p w14:paraId="69230B56" w14:textId="2262AB02" w:rsidR="00704954" w:rsidRPr="00BB5151" w:rsidRDefault="00704954">
      <w:pPr>
        <w:pStyle w:val="Textodenotaderodap"/>
        <w:rPr>
          <w:rFonts w:ascii="Times New Roman" w:hAnsi="Times New Roman" w:cs="Times New Roman"/>
        </w:rPr>
      </w:pPr>
      <w:r w:rsidRPr="00BB5151">
        <w:rPr>
          <w:rStyle w:val="Refdenotaderodap"/>
          <w:rFonts w:ascii="Times New Roman" w:hAnsi="Times New Roman" w:cs="Times New Roman"/>
        </w:rPr>
        <w:footnoteRef/>
      </w:r>
      <w:r w:rsidRPr="00BB5151">
        <w:rPr>
          <w:rFonts w:ascii="Times New Roman" w:hAnsi="Times New Roman" w:cs="Times New Roman"/>
        </w:rPr>
        <w:t xml:space="preserve"> Disponível em http://www3.dataprev.gov.br/infologo/</w:t>
      </w:r>
    </w:p>
  </w:footnote>
  <w:footnote w:id="9">
    <w:p w14:paraId="10BAF346" w14:textId="77777777" w:rsidR="00704954" w:rsidRPr="00F31C09" w:rsidRDefault="00704954" w:rsidP="00AD76B0">
      <w:pPr>
        <w:pStyle w:val="Textodenotaderodap"/>
        <w:jc w:val="both"/>
        <w:rPr>
          <w:rFonts w:ascii="Garamond" w:hAnsi="Garamond"/>
        </w:rPr>
      </w:pPr>
      <w:r w:rsidRPr="00553DA4">
        <w:rPr>
          <w:rStyle w:val="Refdenotaderodap"/>
          <w:rFonts w:ascii="Garamond" w:hAnsi="Garamond"/>
        </w:rPr>
        <w:footnoteRef/>
      </w:r>
      <w:r w:rsidRPr="00553DA4">
        <w:rPr>
          <w:rFonts w:ascii="Garamond" w:hAnsi="Garamond"/>
        </w:rPr>
        <w:t xml:space="preserve"> </w:t>
      </w:r>
      <w:r w:rsidRPr="00320F4F">
        <w:rPr>
          <w:rFonts w:ascii="Times New Roman" w:hAnsi="Times New Roman" w:cs="Times New Roman"/>
        </w:rPr>
        <w:t>Resta salientar que o suplemento apresentou uma diferença média de R$ 4 milhões nos valores de rendimentos exclusivos e isentos em cada faixa de renda em relação ao total computado no DIRPF. Dessa forma, aplicou-se uma correção linear sobre todas as faixas para que o valor total de cada uma correspondesse ao valor do DIRPF.</w:t>
      </w:r>
      <w:r w:rsidRPr="00F31C09">
        <w:rPr>
          <w:rFonts w:ascii="Garamond" w:hAnsi="Garamond"/>
        </w:rPr>
        <w:t xml:space="preserve">  </w:t>
      </w:r>
    </w:p>
  </w:footnote>
  <w:footnote w:id="10">
    <w:p w14:paraId="412E4941" w14:textId="34B7903C" w:rsidR="00704954" w:rsidRPr="00FA0B99" w:rsidRDefault="00704954" w:rsidP="00FA0B99">
      <w:pPr>
        <w:pStyle w:val="Textodenotaderodap"/>
        <w:jc w:val="both"/>
        <w:rPr>
          <w:rFonts w:ascii="Garamond" w:hAnsi="Garamond"/>
        </w:rPr>
      </w:pPr>
      <w:r w:rsidRPr="00FA0B99">
        <w:rPr>
          <w:rStyle w:val="Refdenotaderodap"/>
          <w:rFonts w:ascii="Garamond" w:hAnsi="Garamond"/>
        </w:rPr>
        <w:footnoteRef/>
      </w:r>
      <w:r w:rsidRPr="00FA0B99">
        <w:rPr>
          <w:rFonts w:ascii="Garamond" w:hAnsi="Garamond"/>
        </w:rPr>
        <w:t xml:space="preserve"> </w:t>
      </w:r>
      <w:r w:rsidRPr="0003612C">
        <w:rPr>
          <w:rFonts w:ascii="Times New Roman" w:hAnsi="Times New Roman" w:cs="Times New Roman"/>
        </w:rPr>
        <w:t>Por exemplo, de acordo com os procedimentos aplicados na DIRPF, estimou-se que cerca de 11,1% da renda de capital dos indivíduos que recebem entre 3 e 5 SM seja correspondente a lucros e dividendos. Portanto, tal percentual foi aplicado aos rendimentos da base POF-DIRPF para todos os indivíduos dentro de tal faixa de rendimento. E assim sucessivamente para cada faixa de renda, de acordo o percentual estimado para determinada subcategoria de rendimento.</w:t>
      </w:r>
    </w:p>
  </w:footnote>
  <w:footnote w:id="11">
    <w:p w14:paraId="1F47E419" w14:textId="012D84A1" w:rsidR="00704954" w:rsidRPr="0003612C" w:rsidRDefault="00704954" w:rsidP="00C1554D">
      <w:pPr>
        <w:pStyle w:val="Textodenotaderodap"/>
        <w:jc w:val="both"/>
        <w:rPr>
          <w:rFonts w:ascii="Times New Roman" w:hAnsi="Times New Roman" w:cs="Times New Roman"/>
        </w:rPr>
      </w:pPr>
      <w:r w:rsidRPr="0003612C">
        <w:rPr>
          <w:rStyle w:val="Refdenotaderodap"/>
          <w:rFonts w:ascii="Times New Roman" w:hAnsi="Times New Roman" w:cs="Times New Roman"/>
        </w:rPr>
        <w:footnoteRef/>
      </w:r>
      <w:r w:rsidRPr="0003612C">
        <w:rPr>
          <w:rFonts w:ascii="Times New Roman" w:hAnsi="Times New Roman" w:cs="Times New Roman"/>
        </w:rPr>
        <w:t xml:space="preserve"> Medeiros &amp; Souza (2016) estimam, para 2008, que a parcela da renda apropriada pelos 0,1% e 1 % mais ricos foram de 12% e 25%, respectivamente, valores próximos, ainda que inferiores, aos que aqui estimados.</w:t>
      </w:r>
    </w:p>
  </w:footnote>
  <w:footnote w:id="12">
    <w:p w14:paraId="144984C1" w14:textId="26958B77" w:rsidR="00704954" w:rsidRPr="004059B3" w:rsidRDefault="00704954" w:rsidP="00553DA4">
      <w:pPr>
        <w:pStyle w:val="Textodenotaderodap"/>
        <w:jc w:val="both"/>
        <w:rPr>
          <w:rFonts w:ascii="Garamond" w:hAnsi="Garamond"/>
        </w:rPr>
      </w:pPr>
      <w:r w:rsidRPr="0003612C">
        <w:rPr>
          <w:rStyle w:val="Refdenotaderodap"/>
          <w:rFonts w:ascii="Times New Roman" w:hAnsi="Times New Roman" w:cs="Times New Roman"/>
        </w:rPr>
        <w:footnoteRef/>
      </w:r>
      <w:r w:rsidRPr="0003612C">
        <w:rPr>
          <w:rFonts w:ascii="Times New Roman" w:hAnsi="Times New Roman" w:cs="Times New Roman"/>
        </w:rPr>
        <w:t xml:space="preserve"> Serão solicitados pela LAI dados discriminados de declarantes de deduções por faixas de rendimento total; solicitando os números dos isentos por faixas de rendimento, para o desenvolvimento de estudos futuros</w:t>
      </w:r>
      <w:r w:rsidRPr="004059B3">
        <w:rPr>
          <w:rFonts w:ascii="Garamond" w:hAnsi="Garamond"/>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61E38" w14:textId="77777777" w:rsidR="00704954" w:rsidRDefault="0070495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3152"/>
    <w:multiLevelType w:val="hybridMultilevel"/>
    <w:tmpl w:val="67AA4F4C"/>
    <w:lvl w:ilvl="0" w:tplc="B7F60B8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73E0061"/>
    <w:multiLevelType w:val="multilevel"/>
    <w:tmpl w:val="79066930"/>
    <w:lvl w:ilvl="0">
      <w:start w:val="4"/>
      <w:numFmt w:val="decimal"/>
      <w:lvlText w:val="%1"/>
      <w:lvlJc w:val="left"/>
      <w:pPr>
        <w:ind w:left="360" w:hanging="36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23F5235A"/>
    <w:multiLevelType w:val="hybridMultilevel"/>
    <w:tmpl w:val="8B26BEAC"/>
    <w:lvl w:ilvl="0" w:tplc="B2CA86C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4862857"/>
    <w:multiLevelType w:val="hybridMultilevel"/>
    <w:tmpl w:val="C5B688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AF605F9"/>
    <w:multiLevelType w:val="hybridMultilevel"/>
    <w:tmpl w:val="5E485D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C1E"/>
    <w:rsid w:val="0000003E"/>
    <w:rsid w:val="00004855"/>
    <w:rsid w:val="00012FFA"/>
    <w:rsid w:val="00020D7B"/>
    <w:rsid w:val="000235C7"/>
    <w:rsid w:val="000248FC"/>
    <w:rsid w:val="00027C5A"/>
    <w:rsid w:val="00032011"/>
    <w:rsid w:val="00033340"/>
    <w:rsid w:val="000358AE"/>
    <w:rsid w:val="0003612C"/>
    <w:rsid w:val="00037186"/>
    <w:rsid w:val="00040E43"/>
    <w:rsid w:val="0004435E"/>
    <w:rsid w:val="00044C02"/>
    <w:rsid w:val="00050449"/>
    <w:rsid w:val="000513FD"/>
    <w:rsid w:val="00053D4F"/>
    <w:rsid w:val="00056835"/>
    <w:rsid w:val="0006053C"/>
    <w:rsid w:val="00060E0C"/>
    <w:rsid w:val="0006624D"/>
    <w:rsid w:val="000740C6"/>
    <w:rsid w:val="0007481E"/>
    <w:rsid w:val="00074BE7"/>
    <w:rsid w:val="00075126"/>
    <w:rsid w:val="00076767"/>
    <w:rsid w:val="000770A6"/>
    <w:rsid w:val="00084B6B"/>
    <w:rsid w:val="00086066"/>
    <w:rsid w:val="00087E38"/>
    <w:rsid w:val="00091736"/>
    <w:rsid w:val="00091C2E"/>
    <w:rsid w:val="000935BF"/>
    <w:rsid w:val="0009467A"/>
    <w:rsid w:val="000A607C"/>
    <w:rsid w:val="000B0E3D"/>
    <w:rsid w:val="000B1F9F"/>
    <w:rsid w:val="000B593F"/>
    <w:rsid w:val="000B6B31"/>
    <w:rsid w:val="000B7020"/>
    <w:rsid w:val="000C30C7"/>
    <w:rsid w:val="000C6A46"/>
    <w:rsid w:val="000D490A"/>
    <w:rsid w:val="000E02A0"/>
    <w:rsid w:val="000E2EDE"/>
    <w:rsid w:val="000E5A60"/>
    <w:rsid w:val="000E5BA4"/>
    <w:rsid w:val="000E721A"/>
    <w:rsid w:val="000F2098"/>
    <w:rsid w:val="000F3DC1"/>
    <w:rsid w:val="000F52B9"/>
    <w:rsid w:val="000F59CB"/>
    <w:rsid w:val="000F6241"/>
    <w:rsid w:val="000F666A"/>
    <w:rsid w:val="00101923"/>
    <w:rsid w:val="00107E44"/>
    <w:rsid w:val="001115B0"/>
    <w:rsid w:val="00112519"/>
    <w:rsid w:val="00114F24"/>
    <w:rsid w:val="001200C2"/>
    <w:rsid w:val="001208DE"/>
    <w:rsid w:val="00122AE3"/>
    <w:rsid w:val="00131F56"/>
    <w:rsid w:val="0013347C"/>
    <w:rsid w:val="001351E0"/>
    <w:rsid w:val="00136264"/>
    <w:rsid w:val="00140EF7"/>
    <w:rsid w:val="00141614"/>
    <w:rsid w:val="00142ED5"/>
    <w:rsid w:val="001473D3"/>
    <w:rsid w:val="00150113"/>
    <w:rsid w:val="00150E95"/>
    <w:rsid w:val="00155435"/>
    <w:rsid w:val="00155F16"/>
    <w:rsid w:val="00161B45"/>
    <w:rsid w:val="00175488"/>
    <w:rsid w:val="00196232"/>
    <w:rsid w:val="001A0A90"/>
    <w:rsid w:val="001A1F05"/>
    <w:rsid w:val="001A4751"/>
    <w:rsid w:val="001A6042"/>
    <w:rsid w:val="001A6B22"/>
    <w:rsid w:val="001A7D63"/>
    <w:rsid w:val="001B0212"/>
    <w:rsid w:val="001B6044"/>
    <w:rsid w:val="001B60E5"/>
    <w:rsid w:val="001C19A2"/>
    <w:rsid w:val="001C31CC"/>
    <w:rsid w:val="001C5290"/>
    <w:rsid w:val="001C574B"/>
    <w:rsid w:val="001D6E0A"/>
    <w:rsid w:val="001E124F"/>
    <w:rsid w:val="001E14ED"/>
    <w:rsid w:val="001E5375"/>
    <w:rsid w:val="001F7899"/>
    <w:rsid w:val="001F7CE0"/>
    <w:rsid w:val="00205289"/>
    <w:rsid w:val="00211E84"/>
    <w:rsid w:val="00214BE9"/>
    <w:rsid w:val="00214DAC"/>
    <w:rsid w:val="0022013A"/>
    <w:rsid w:val="00225390"/>
    <w:rsid w:val="00230ECC"/>
    <w:rsid w:val="00231BFE"/>
    <w:rsid w:val="00233351"/>
    <w:rsid w:val="00235EB8"/>
    <w:rsid w:val="00242048"/>
    <w:rsid w:val="002440C0"/>
    <w:rsid w:val="00244EBF"/>
    <w:rsid w:val="00245B52"/>
    <w:rsid w:val="002537C5"/>
    <w:rsid w:val="00264708"/>
    <w:rsid w:val="00265C0F"/>
    <w:rsid w:val="00273E9A"/>
    <w:rsid w:val="00277B54"/>
    <w:rsid w:val="002847D2"/>
    <w:rsid w:val="0029413B"/>
    <w:rsid w:val="002B362A"/>
    <w:rsid w:val="002D3F78"/>
    <w:rsid w:val="002D78F0"/>
    <w:rsid w:val="002D7D00"/>
    <w:rsid w:val="002E134C"/>
    <w:rsid w:val="002E6B15"/>
    <w:rsid w:val="002E6CAE"/>
    <w:rsid w:val="002E7FB2"/>
    <w:rsid w:val="002F0889"/>
    <w:rsid w:val="002F1CC3"/>
    <w:rsid w:val="002F7998"/>
    <w:rsid w:val="00302543"/>
    <w:rsid w:val="0030327D"/>
    <w:rsid w:val="003131B7"/>
    <w:rsid w:val="00315A55"/>
    <w:rsid w:val="003204EA"/>
    <w:rsid w:val="00320F4F"/>
    <w:rsid w:val="003214E3"/>
    <w:rsid w:val="00321D89"/>
    <w:rsid w:val="00331F87"/>
    <w:rsid w:val="00333D71"/>
    <w:rsid w:val="00344D1A"/>
    <w:rsid w:val="003461FC"/>
    <w:rsid w:val="00346D37"/>
    <w:rsid w:val="00352B59"/>
    <w:rsid w:val="00353D96"/>
    <w:rsid w:val="003560DE"/>
    <w:rsid w:val="00360625"/>
    <w:rsid w:val="00364C8A"/>
    <w:rsid w:val="0036564B"/>
    <w:rsid w:val="00366E15"/>
    <w:rsid w:val="00371AFC"/>
    <w:rsid w:val="00382876"/>
    <w:rsid w:val="00392315"/>
    <w:rsid w:val="003A129A"/>
    <w:rsid w:val="003A183D"/>
    <w:rsid w:val="003A4FAD"/>
    <w:rsid w:val="003A6ABB"/>
    <w:rsid w:val="003B4EF9"/>
    <w:rsid w:val="003C0959"/>
    <w:rsid w:val="003C6D7A"/>
    <w:rsid w:val="003D0E30"/>
    <w:rsid w:val="003D417E"/>
    <w:rsid w:val="003D5694"/>
    <w:rsid w:val="003E130D"/>
    <w:rsid w:val="003E31F2"/>
    <w:rsid w:val="003E5863"/>
    <w:rsid w:val="003F7213"/>
    <w:rsid w:val="0040061F"/>
    <w:rsid w:val="00402190"/>
    <w:rsid w:val="00403B8A"/>
    <w:rsid w:val="004059B3"/>
    <w:rsid w:val="00410329"/>
    <w:rsid w:val="00415EFE"/>
    <w:rsid w:val="00423B71"/>
    <w:rsid w:val="0042666B"/>
    <w:rsid w:val="00437E47"/>
    <w:rsid w:val="0044123E"/>
    <w:rsid w:val="00444D8C"/>
    <w:rsid w:val="004472FB"/>
    <w:rsid w:val="00452599"/>
    <w:rsid w:val="00457257"/>
    <w:rsid w:val="00460BF8"/>
    <w:rsid w:val="00462C40"/>
    <w:rsid w:val="00462D3C"/>
    <w:rsid w:val="00470493"/>
    <w:rsid w:val="004743DD"/>
    <w:rsid w:val="004826FD"/>
    <w:rsid w:val="00490DF3"/>
    <w:rsid w:val="00492160"/>
    <w:rsid w:val="00496453"/>
    <w:rsid w:val="0049663B"/>
    <w:rsid w:val="00497D0B"/>
    <w:rsid w:val="004A320D"/>
    <w:rsid w:val="004A51D9"/>
    <w:rsid w:val="004A7C5C"/>
    <w:rsid w:val="004B0C3E"/>
    <w:rsid w:val="004B3165"/>
    <w:rsid w:val="004C2AAF"/>
    <w:rsid w:val="004C542E"/>
    <w:rsid w:val="004D481E"/>
    <w:rsid w:val="004D4AA4"/>
    <w:rsid w:val="004E00D7"/>
    <w:rsid w:val="004E09A3"/>
    <w:rsid w:val="004E1147"/>
    <w:rsid w:val="004E1689"/>
    <w:rsid w:val="004E3226"/>
    <w:rsid w:val="004E4D19"/>
    <w:rsid w:val="004E57A8"/>
    <w:rsid w:val="004E59E9"/>
    <w:rsid w:val="004E6B92"/>
    <w:rsid w:val="004F5062"/>
    <w:rsid w:val="0050465C"/>
    <w:rsid w:val="005054F9"/>
    <w:rsid w:val="00513B3D"/>
    <w:rsid w:val="00514140"/>
    <w:rsid w:val="005154AD"/>
    <w:rsid w:val="00520558"/>
    <w:rsid w:val="00523B40"/>
    <w:rsid w:val="00526975"/>
    <w:rsid w:val="00527FB4"/>
    <w:rsid w:val="00533268"/>
    <w:rsid w:val="00533A35"/>
    <w:rsid w:val="00537801"/>
    <w:rsid w:val="005428C6"/>
    <w:rsid w:val="00543418"/>
    <w:rsid w:val="00546684"/>
    <w:rsid w:val="0054764D"/>
    <w:rsid w:val="00551947"/>
    <w:rsid w:val="00553DA4"/>
    <w:rsid w:val="00555089"/>
    <w:rsid w:val="00556557"/>
    <w:rsid w:val="005616F8"/>
    <w:rsid w:val="00561F91"/>
    <w:rsid w:val="005649FA"/>
    <w:rsid w:val="00565039"/>
    <w:rsid w:val="005714DC"/>
    <w:rsid w:val="005727C0"/>
    <w:rsid w:val="005733A5"/>
    <w:rsid w:val="005746FA"/>
    <w:rsid w:val="00575B71"/>
    <w:rsid w:val="00576EC1"/>
    <w:rsid w:val="0057757F"/>
    <w:rsid w:val="0057798D"/>
    <w:rsid w:val="00577A1A"/>
    <w:rsid w:val="00581B9A"/>
    <w:rsid w:val="00582785"/>
    <w:rsid w:val="00582FC9"/>
    <w:rsid w:val="00590E4D"/>
    <w:rsid w:val="005946EF"/>
    <w:rsid w:val="0059651F"/>
    <w:rsid w:val="0059781B"/>
    <w:rsid w:val="0059784A"/>
    <w:rsid w:val="00597932"/>
    <w:rsid w:val="005A1275"/>
    <w:rsid w:val="005A251D"/>
    <w:rsid w:val="005A393C"/>
    <w:rsid w:val="005A3C20"/>
    <w:rsid w:val="005A64AE"/>
    <w:rsid w:val="005B1284"/>
    <w:rsid w:val="005B4D46"/>
    <w:rsid w:val="005B6811"/>
    <w:rsid w:val="005B70F9"/>
    <w:rsid w:val="005C07AA"/>
    <w:rsid w:val="005C43B8"/>
    <w:rsid w:val="005C54E0"/>
    <w:rsid w:val="005C5BB1"/>
    <w:rsid w:val="005D204B"/>
    <w:rsid w:val="005D40FE"/>
    <w:rsid w:val="005D7F55"/>
    <w:rsid w:val="005E12F4"/>
    <w:rsid w:val="005E512B"/>
    <w:rsid w:val="005E52A9"/>
    <w:rsid w:val="005E6DDC"/>
    <w:rsid w:val="005F20CA"/>
    <w:rsid w:val="005F431B"/>
    <w:rsid w:val="005F5746"/>
    <w:rsid w:val="005F5E2D"/>
    <w:rsid w:val="00601D8B"/>
    <w:rsid w:val="006026D2"/>
    <w:rsid w:val="00610715"/>
    <w:rsid w:val="00610A31"/>
    <w:rsid w:val="00612118"/>
    <w:rsid w:val="00612333"/>
    <w:rsid w:val="0061382D"/>
    <w:rsid w:val="006156A3"/>
    <w:rsid w:val="00615D3D"/>
    <w:rsid w:val="00620C8E"/>
    <w:rsid w:val="00621D7C"/>
    <w:rsid w:val="00621DD1"/>
    <w:rsid w:val="00622B14"/>
    <w:rsid w:val="00622BCC"/>
    <w:rsid w:val="006276F6"/>
    <w:rsid w:val="00630489"/>
    <w:rsid w:val="0063108B"/>
    <w:rsid w:val="006354E6"/>
    <w:rsid w:val="00635C39"/>
    <w:rsid w:val="00641D1D"/>
    <w:rsid w:val="006435E9"/>
    <w:rsid w:val="00644E8A"/>
    <w:rsid w:val="00647578"/>
    <w:rsid w:val="00655360"/>
    <w:rsid w:val="00657904"/>
    <w:rsid w:val="00667BD6"/>
    <w:rsid w:val="00670CEC"/>
    <w:rsid w:val="006726A7"/>
    <w:rsid w:val="00675F45"/>
    <w:rsid w:val="00684C03"/>
    <w:rsid w:val="00685408"/>
    <w:rsid w:val="00686506"/>
    <w:rsid w:val="006873EC"/>
    <w:rsid w:val="00694062"/>
    <w:rsid w:val="00694320"/>
    <w:rsid w:val="006947D4"/>
    <w:rsid w:val="006A063E"/>
    <w:rsid w:val="006A35E2"/>
    <w:rsid w:val="006A3ECE"/>
    <w:rsid w:val="006A5B4A"/>
    <w:rsid w:val="006A7889"/>
    <w:rsid w:val="006B66C0"/>
    <w:rsid w:val="006C1D78"/>
    <w:rsid w:val="006C3813"/>
    <w:rsid w:val="006D2C82"/>
    <w:rsid w:val="006D6ADC"/>
    <w:rsid w:val="006D7150"/>
    <w:rsid w:val="006E7B36"/>
    <w:rsid w:val="006F36E7"/>
    <w:rsid w:val="0070199A"/>
    <w:rsid w:val="007019EB"/>
    <w:rsid w:val="00702D2E"/>
    <w:rsid w:val="00704954"/>
    <w:rsid w:val="00704964"/>
    <w:rsid w:val="0070503B"/>
    <w:rsid w:val="007052B6"/>
    <w:rsid w:val="007053CC"/>
    <w:rsid w:val="007057DB"/>
    <w:rsid w:val="00707F07"/>
    <w:rsid w:val="00710158"/>
    <w:rsid w:val="00712938"/>
    <w:rsid w:val="007158E7"/>
    <w:rsid w:val="00720062"/>
    <w:rsid w:val="00725248"/>
    <w:rsid w:val="007326AE"/>
    <w:rsid w:val="00732C97"/>
    <w:rsid w:val="0073403D"/>
    <w:rsid w:val="00734F47"/>
    <w:rsid w:val="0074339A"/>
    <w:rsid w:val="00743C09"/>
    <w:rsid w:val="00750A7E"/>
    <w:rsid w:val="0075100B"/>
    <w:rsid w:val="00754527"/>
    <w:rsid w:val="00760DB7"/>
    <w:rsid w:val="00765E62"/>
    <w:rsid w:val="007756B7"/>
    <w:rsid w:val="00776407"/>
    <w:rsid w:val="00777F33"/>
    <w:rsid w:val="007823E6"/>
    <w:rsid w:val="007862D8"/>
    <w:rsid w:val="00787E8E"/>
    <w:rsid w:val="0079418B"/>
    <w:rsid w:val="007A179D"/>
    <w:rsid w:val="007A6845"/>
    <w:rsid w:val="007A69E1"/>
    <w:rsid w:val="007A6C03"/>
    <w:rsid w:val="007A703B"/>
    <w:rsid w:val="007A77CA"/>
    <w:rsid w:val="007B33A2"/>
    <w:rsid w:val="007B4CC9"/>
    <w:rsid w:val="007B4FF3"/>
    <w:rsid w:val="007B7168"/>
    <w:rsid w:val="007C0466"/>
    <w:rsid w:val="007C1106"/>
    <w:rsid w:val="007C1340"/>
    <w:rsid w:val="007C2876"/>
    <w:rsid w:val="007C3891"/>
    <w:rsid w:val="007D4395"/>
    <w:rsid w:val="007E0334"/>
    <w:rsid w:val="007E1FF1"/>
    <w:rsid w:val="007F048B"/>
    <w:rsid w:val="007F1D35"/>
    <w:rsid w:val="007F3BBF"/>
    <w:rsid w:val="007F41BA"/>
    <w:rsid w:val="007F5159"/>
    <w:rsid w:val="007F577D"/>
    <w:rsid w:val="007F7961"/>
    <w:rsid w:val="008062A1"/>
    <w:rsid w:val="00814A89"/>
    <w:rsid w:val="00816EA4"/>
    <w:rsid w:val="00817E6C"/>
    <w:rsid w:val="008203E0"/>
    <w:rsid w:val="00820AA8"/>
    <w:rsid w:val="00821564"/>
    <w:rsid w:val="00823F8C"/>
    <w:rsid w:val="00843F4D"/>
    <w:rsid w:val="008443A5"/>
    <w:rsid w:val="008467EA"/>
    <w:rsid w:val="008470BB"/>
    <w:rsid w:val="00851D42"/>
    <w:rsid w:val="008559B8"/>
    <w:rsid w:val="008562D6"/>
    <w:rsid w:val="00863E25"/>
    <w:rsid w:val="008668DA"/>
    <w:rsid w:val="00871CF7"/>
    <w:rsid w:val="00880479"/>
    <w:rsid w:val="00881401"/>
    <w:rsid w:val="00882246"/>
    <w:rsid w:val="00882C27"/>
    <w:rsid w:val="008838AF"/>
    <w:rsid w:val="00886767"/>
    <w:rsid w:val="00887769"/>
    <w:rsid w:val="0089715F"/>
    <w:rsid w:val="00897594"/>
    <w:rsid w:val="008A0821"/>
    <w:rsid w:val="008A79AD"/>
    <w:rsid w:val="008B111D"/>
    <w:rsid w:val="008B4E9D"/>
    <w:rsid w:val="008C05B7"/>
    <w:rsid w:val="008D07C8"/>
    <w:rsid w:val="008D403C"/>
    <w:rsid w:val="008D4E06"/>
    <w:rsid w:val="008E1691"/>
    <w:rsid w:val="008E2BA8"/>
    <w:rsid w:val="008E51AB"/>
    <w:rsid w:val="008F2DB4"/>
    <w:rsid w:val="008F49CA"/>
    <w:rsid w:val="008F7EFE"/>
    <w:rsid w:val="0090217A"/>
    <w:rsid w:val="009037B0"/>
    <w:rsid w:val="00904CFF"/>
    <w:rsid w:val="00905382"/>
    <w:rsid w:val="009102D9"/>
    <w:rsid w:val="009109D2"/>
    <w:rsid w:val="009242FC"/>
    <w:rsid w:val="00930AE2"/>
    <w:rsid w:val="0093175A"/>
    <w:rsid w:val="00936C01"/>
    <w:rsid w:val="009468E9"/>
    <w:rsid w:val="00953C5F"/>
    <w:rsid w:val="009544D8"/>
    <w:rsid w:val="00957898"/>
    <w:rsid w:val="00960896"/>
    <w:rsid w:val="00961009"/>
    <w:rsid w:val="00962584"/>
    <w:rsid w:val="00967BA0"/>
    <w:rsid w:val="0097092D"/>
    <w:rsid w:val="00971206"/>
    <w:rsid w:val="00973FE2"/>
    <w:rsid w:val="0097648B"/>
    <w:rsid w:val="00984262"/>
    <w:rsid w:val="00984BEF"/>
    <w:rsid w:val="00990F3C"/>
    <w:rsid w:val="009924A4"/>
    <w:rsid w:val="009928DB"/>
    <w:rsid w:val="0099302F"/>
    <w:rsid w:val="00997A2B"/>
    <w:rsid w:val="00997C76"/>
    <w:rsid w:val="009A2CCC"/>
    <w:rsid w:val="009A5F60"/>
    <w:rsid w:val="009B00A4"/>
    <w:rsid w:val="009B701B"/>
    <w:rsid w:val="009B7F56"/>
    <w:rsid w:val="009C0ADB"/>
    <w:rsid w:val="009C1D67"/>
    <w:rsid w:val="009D02F2"/>
    <w:rsid w:val="009D22A1"/>
    <w:rsid w:val="009D43C8"/>
    <w:rsid w:val="009D50CE"/>
    <w:rsid w:val="009D6863"/>
    <w:rsid w:val="009D698B"/>
    <w:rsid w:val="009E0A02"/>
    <w:rsid w:val="009E31E7"/>
    <w:rsid w:val="009E3437"/>
    <w:rsid w:val="009E46B1"/>
    <w:rsid w:val="009F0B32"/>
    <w:rsid w:val="009F1642"/>
    <w:rsid w:val="009F45F7"/>
    <w:rsid w:val="009F55C0"/>
    <w:rsid w:val="009F7D68"/>
    <w:rsid w:val="00A03528"/>
    <w:rsid w:val="00A043C3"/>
    <w:rsid w:val="00A04CE2"/>
    <w:rsid w:val="00A07AC4"/>
    <w:rsid w:val="00A11F76"/>
    <w:rsid w:val="00A13996"/>
    <w:rsid w:val="00A13E4B"/>
    <w:rsid w:val="00A15A3F"/>
    <w:rsid w:val="00A1646C"/>
    <w:rsid w:val="00A2077D"/>
    <w:rsid w:val="00A20DCA"/>
    <w:rsid w:val="00A26115"/>
    <w:rsid w:val="00A41C45"/>
    <w:rsid w:val="00A41C61"/>
    <w:rsid w:val="00A440BB"/>
    <w:rsid w:val="00A4671F"/>
    <w:rsid w:val="00A467F7"/>
    <w:rsid w:val="00A54DA8"/>
    <w:rsid w:val="00A557DE"/>
    <w:rsid w:val="00A60AF6"/>
    <w:rsid w:val="00A61E6D"/>
    <w:rsid w:val="00A63DB9"/>
    <w:rsid w:val="00A65B5B"/>
    <w:rsid w:val="00A72BC2"/>
    <w:rsid w:val="00A7498E"/>
    <w:rsid w:val="00A756DF"/>
    <w:rsid w:val="00A76052"/>
    <w:rsid w:val="00A8283E"/>
    <w:rsid w:val="00A86622"/>
    <w:rsid w:val="00A90DA4"/>
    <w:rsid w:val="00A918F9"/>
    <w:rsid w:val="00A94E04"/>
    <w:rsid w:val="00A96B79"/>
    <w:rsid w:val="00A97527"/>
    <w:rsid w:val="00AA1EEA"/>
    <w:rsid w:val="00AA29E5"/>
    <w:rsid w:val="00AA7390"/>
    <w:rsid w:val="00AA7D2C"/>
    <w:rsid w:val="00AB21C8"/>
    <w:rsid w:val="00AB527C"/>
    <w:rsid w:val="00AB6B39"/>
    <w:rsid w:val="00AC6F19"/>
    <w:rsid w:val="00AD2429"/>
    <w:rsid w:val="00AD76B0"/>
    <w:rsid w:val="00AD7C13"/>
    <w:rsid w:val="00AE29F7"/>
    <w:rsid w:val="00AE41A8"/>
    <w:rsid w:val="00AF3371"/>
    <w:rsid w:val="00AF3A79"/>
    <w:rsid w:val="00AF4CFD"/>
    <w:rsid w:val="00AF7027"/>
    <w:rsid w:val="00B043C7"/>
    <w:rsid w:val="00B066F3"/>
    <w:rsid w:val="00B116EF"/>
    <w:rsid w:val="00B14252"/>
    <w:rsid w:val="00B1453E"/>
    <w:rsid w:val="00B16833"/>
    <w:rsid w:val="00B232F1"/>
    <w:rsid w:val="00B35E10"/>
    <w:rsid w:val="00B3647C"/>
    <w:rsid w:val="00B50FF8"/>
    <w:rsid w:val="00B51AD1"/>
    <w:rsid w:val="00B64CA7"/>
    <w:rsid w:val="00B6508F"/>
    <w:rsid w:val="00B73B4A"/>
    <w:rsid w:val="00B745E3"/>
    <w:rsid w:val="00B77291"/>
    <w:rsid w:val="00B82D08"/>
    <w:rsid w:val="00B84CBB"/>
    <w:rsid w:val="00B94425"/>
    <w:rsid w:val="00B9452B"/>
    <w:rsid w:val="00B9486B"/>
    <w:rsid w:val="00B94CFC"/>
    <w:rsid w:val="00B96ADD"/>
    <w:rsid w:val="00B97EB6"/>
    <w:rsid w:val="00BB180F"/>
    <w:rsid w:val="00BB5151"/>
    <w:rsid w:val="00BB5A3B"/>
    <w:rsid w:val="00BB5D88"/>
    <w:rsid w:val="00BB76E7"/>
    <w:rsid w:val="00BB7891"/>
    <w:rsid w:val="00BB7CC0"/>
    <w:rsid w:val="00BC1A74"/>
    <w:rsid w:val="00BC2054"/>
    <w:rsid w:val="00BC43B1"/>
    <w:rsid w:val="00BC4A3D"/>
    <w:rsid w:val="00BC5255"/>
    <w:rsid w:val="00BE0A35"/>
    <w:rsid w:val="00BE435D"/>
    <w:rsid w:val="00BE578B"/>
    <w:rsid w:val="00BF0897"/>
    <w:rsid w:val="00BF0C70"/>
    <w:rsid w:val="00BF3799"/>
    <w:rsid w:val="00BF42B5"/>
    <w:rsid w:val="00BF6F09"/>
    <w:rsid w:val="00C02FB0"/>
    <w:rsid w:val="00C02FDF"/>
    <w:rsid w:val="00C03AC5"/>
    <w:rsid w:val="00C052BD"/>
    <w:rsid w:val="00C05B73"/>
    <w:rsid w:val="00C07CC4"/>
    <w:rsid w:val="00C14CAD"/>
    <w:rsid w:val="00C1554D"/>
    <w:rsid w:val="00C1586E"/>
    <w:rsid w:val="00C17A07"/>
    <w:rsid w:val="00C213E3"/>
    <w:rsid w:val="00C2260C"/>
    <w:rsid w:val="00C324C0"/>
    <w:rsid w:val="00C33E6C"/>
    <w:rsid w:val="00C34404"/>
    <w:rsid w:val="00C34D88"/>
    <w:rsid w:val="00C43C1E"/>
    <w:rsid w:val="00C527C7"/>
    <w:rsid w:val="00C555A1"/>
    <w:rsid w:val="00C563B9"/>
    <w:rsid w:val="00C572FF"/>
    <w:rsid w:val="00C63E10"/>
    <w:rsid w:val="00C67B86"/>
    <w:rsid w:val="00C74827"/>
    <w:rsid w:val="00C8540A"/>
    <w:rsid w:val="00C95C20"/>
    <w:rsid w:val="00CA280A"/>
    <w:rsid w:val="00CA71BD"/>
    <w:rsid w:val="00CA7F30"/>
    <w:rsid w:val="00CC1FD9"/>
    <w:rsid w:val="00CC49DC"/>
    <w:rsid w:val="00CC5A66"/>
    <w:rsid w:val="00CC6DD8"/>
    <w:rsid w:val="00CD0377"/>
    <w:rsid w:val="00CD1076"/>
    <w:rsid w:val="00CD32F4"/>
    <w:rsid w:val="00CD60ED"/>
    <w:rsid w:val="00CE5069"/>
    <w:rsid w:val="00CF2EC1"/>
    <w:rsid w:val="00D01770"/>
    <w:rsid w:val="00D05591"/>
    <w:rsid w:val="00D060FB"/>
    <w:rsid w:val="00D0773B"/>
    <w:rsid w:val="00D07A35"/>
    <w:rsid w:val="00D10CB9"/>
    <w:rsid w:val="00D167D4"/>
    <w:rsid w:val="00D1688C"/>
    <w:rsid w:val="00D172AE"/>
    <w:rsid w:val="00D24DB6"/>
    <w:rsid w:val="00D30D01"/>
    <w:rsid w:val="00D31BE7"/>
    <w:rsid w:val="00D31F7B"/>
    <w:rsid w:val="00D33960"/>
    <w:rsid w:val="00D33D5D"/>
    <w:rsid w:val="00D3575E"/>
    <w:rsid w:val="00D37144"/>
    <w:rsid w:val="00D3770D"/>
    <w:rsid w:val="00D42C1D"/>
    <w:rsid w:val="00D45209"/>
    <w:rsid w:val="00D474AE"/>
    <w:rsid w:val="00D50249"/>
    <w:rsid w:val="00D64542"/>
    <w:rsid w:val="00D64860"/>
    <w:rsid w:val="00D64D3A"/>
    <w:rsid w:val="00D653E6"/>
    <w:rsid w:val="00D65B5C"/>
    <w:rsid w:val="00D67D59"/>
    <w:rsid w:val="00D71D7A"/>
    <w:rsid w:val="00D73214"/>
    <w:rsid w:val="00D77747"/>
    <w:rsid w:val="00D7789A"/>
    <w:rsid w:val="00D828C4"/>
    <w:rsid w:val="00D87144"/>
    <w:rsid w:val="00D928C8"/>
    <w:rsid w:val="00D943FF"/>
    <w:rsid w:val="00DA17CB"/>
    <w:rsid w:val="00DA773A"/>
    <w:rsid w:val="00DB3F80"/>
    <w:rsid w:val="00DB4FCF"/>
    <w:rsid w:val="00DC59D4"/>
    <w:rsid w:val="00DD2968"/>
    <w:rsid w:val="00DD5578"/>
    <w:rsid w:val="00DD6AF4"/>
    <w:rsid w:val="00DD74E1"/>
    <w:rsid w:val="00DE0B07"/>
    <w:rsid w:val="00DE0B5A"/>
    <w:rsid w:val="00DE2152"/>
    <w:rsid w:val="00DE4873"/>
    <w:rsid w:val="00DE6063"/>
    <w:rsid w:val="00DF1E43"/>
    <w:rsid w:val="00E00BFC"/>
    <w:rsid w:val="00E11233"/>
    <w:rsid w:val="00E11304"/>
    <w:rsid w:val="00E15308"/>
    <w:rsid w:val="00E2743D"/>
    <w:rsid w:val="00E3112B"/>
    <w:rsid w:val="00E330F6"/>
    <w:rsid w:val="00E36FE4"/>
    <w:rsid w:val="00E51128"/>
    <w:rsid w:val="00E53567"/>
    <w:rsid w:val="00E54D70"/>
    <w:rsid w:val="00E56D42"/>
    <w:rsid w:val="00E5754C"/>
    <w:rsid w:val="00E60C21"/>
    <w:rsid w:val="00E62573"/>
    <w:rsid w:val="00E62D2A"/>
    <w:rsid w:val="00E6632D"/>
    <w:rsid w:val="00E77A32"/>
    <w:rsid w:val="00E77BD9"/>
    <w:rsid w:val="00E833B9"/>
    <w:rsid w:val="00E851F4"/>
    <w:rsid w:val="00E92994"/>
    <w:rsid w:val="00EA0A5A"/>
    <w:rsid w:val="00EA0DF8"/>
    <w:rsid w:val="00EA2264"/>
    <w:rsid w:val="00EA3175"/>
    <w:rsid w:val="00EA3C09"/>
    <w:rsid w:val="00EA40D4"/>
    <w:rsid w:val="00EA45FF"/>
    <w:rsid w:val="00EB16FF"/>
    <w:rsid w:val="00EB1D14"/>
    <w:rsid w:val="00EC0B9B"/>
    <w:rsid w:val="00EC3491"/>
    <w:rsid w:val="00EC36BA"/>
    <w:rsid w:val="00EC51E9"/>
    <w:rsid w:val="00ED286E"/>
    <w:rsid w:val="00ED4F4E"/>
    <w:rsid w:val="00ED5E8A"/>
    <w:rsid w:val="00EF4F7E"/>
    <w:rsid w:val="00EF723E"/>
    <w:rsid w:val="00EF726D"/>
    <w:rsid w:val="00F10B17"/>
    <w:rsid w:val="00F1435A"/>
    <w:rsid w:val="00F17116"/>
    <w:rsid w:val="00F204FF"/>
    <w:rsid w:val="00F207D5"/>
    <w:rsid w:val="00F23847"/>
    <w:rsid w:val="00F3014C"/>
    <w:rsid w:val="00F304E4"/>
    <w:rsid w:val="00F31C09"/>
    <w:rsid w:val="00F33119"/>
    <w:rsid w:val="00F33583"/>
    <w:rsid w:val="00F33778"/>
    <w:rsid w:val="00F54AE0"/>
    <w:rsid w:val="00F64289"/>
    <w:rsid w:val="00F64F90"/>
    <w:rsid w:val="00F711D5"/>
    <w:rsid w:val="00F72B6F"/>
    <w:rsid w:val="00F76380"/>
    <w:rsid w:val="00F869D0"/>
    <w:rsid w:val="00FA09B3"/>
    <w:rsid w:val="00FA0B99"/>
    <w:rsid w:val="00FA519F"/>
    <w:rsid w:val="00FC64A9"/>
    <w:rsid w:val="00FC6932"/>
    <w:rsid w:val="00FC7B48"/>
    <w:rsid w:val="00FD130B"/>
    <w:rsid w:val="00FD186A"/>
    <w:rsid w:val="00FD25A9"/>
    <w:rsid w:val="00FF2E24"/>
    <w:rsid w:val="00FF72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7394"/>
  <w15:docId w15:val="{94E124DB-D3AF-E04D-A8D4-B3E4ECA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493"/>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viso">
    <w:name w:val="Revision"/>
    <w:hidden/>
    <w:uiPriority w:val="99"/>
    <w:semiHidden/>
    <w:rsid w:val="00984262"/>
  </w:style>
  <w:style w:type="paragraph" w:styleId="Textodenotaderodap">
    <w:name w:val="footnote text"/>
    <w:basedOn w:val="Normal"/>
    <w:link w:val="TextodenotaderodapChar"/>
    <w:uiPriority w:val="99"/>
    <w:unhideWhenUsed/>
    <w:rsid w:val="00EA45FF"/>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EA45FF"/>
    <w:rPr>
      <w:sz w:val="20"/>
      <w:szCs w:val="20"/>
    </w:rPr>
  </w:style>
  <w:style w:type="character" w:styleId="Refdenotaderodap">
    <w:name w:val="footnote reference"/>
    <w:basedOn w:val="Fontepargpadro"/>
    <w:uiPriority w:val="99"/>
    <w:semiHidden/>
    <w:unhideWhenUsed/>
    <w:rsid w:val="00EA45FF"/>
    <w:rPr>
      <w:vertAlign w:val="superscript"/>
    </w:rPr>
  </w:style>
  <w:style w:type="character" w:styleId="Hyperlink">
    <w:name w:val="Hyperlink"/>
    <w:basedOn w:val="Fontepargpadro"/>
    <w:uiPriority w:val="99"/>
    <w:unhideWhenUsed/>
    <w:rsid w:val="005B1284"/>
    <w:rPr>
      <w:color w:val="0563C1" w:themeColor="hyperlink"/>
      <w:u w:val="single"/>
    </w:rPr>
  </w:style>
  <w:style w:type="character" w:styleId="Refdecomentrio">
    <w:name w:val="annotation reference"/>
    <w:basedOn w:val="Fontepargpadro"/>
    <w:uiPriority w:val="99"/>
    <w:semiHidden/>
    <w:unhideWhenUsed/>
    <w:rsid w:val="00A04CE2"/>
    <w:rPr>
      <w:sz w:val="16"/>
      <w:szCs w:val="16"/>
    </w:rPr>
  </w:style>
  <w:style w:type="paragraph" w:styleId="Textodecomentrio">
    <w:name w:val="annotation text"/>
    <w:basedOn w:val="Normal"/>
    <w:link w:val="TextodecomentrioChar"/>
    <w:uiPriority w:val="99"/>
    <w:unhideWhenUsed/>
    <w:rsid w:val="00A04CE2"/>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rsid w:val="00A04CE2"/>
    <w:rPr>
      <w:sz w:val="20"/>
      <w:szCs w:val="20"/>
    </w:rPr>
  </w:style>
  <w:style w:type="paragraph" w:styleId="Assuntodocomentrio">
    <w:name w:val="annotation subject"/>
    <w:basedOn w:val="Textodecomentrio"/>
    <w:next w:val="Textodecomentrio"/>
    <w:link w:val="AssuntodocomentrioChar"/>
    <w:uiPriority w:val="99"/>
    <w:semiHidden/>
    <w:unhideWhenUsed/>
    <w:rsid w:val="00A04CE2"/>
    <w:rPr>
      <w:b/>
      <w:bCs/>
    </w:rPr>
  </w:style>
  <w:style w:type="character" w:customStyle="1" w:styleId="AssuntodocomentrioChar">
    <w:name w:val="Assunto do comentário Char"/>
    <w:basedOn w:val="TextodecomentrioChar"/>
    <w:link w:val="Assuntodocomentrio"/>
    <w:uiPriority w:val="99"/>
    <w:semiHidden/>
    <w:rsid w:val="00A04CE2"/>
    <w:rPr>
      <w:b/>
      <w:bCs/>
      <w:sz w:val="20"/>
      <w:szCs w:val="20"/>
    </w:rPr>
  </w:style>
  <w:style w:type="paragraph" w:styleId="Textodebalo">
    <w:name w:val="Balloon Text"/>
    <w:basedOn w:val="Normal"/>
    <w:link w:val="TextodebaloChar"/>
    <w:uiPriority w:val="99"/>
    <w:semiHidden/>
    <w:unhideWhenUsed/>
    <w:rsid w:val="00A04CE2"/>
    <w:rPr>
      <w:rFonts w:ascii="Segoe UI" w:eastAsiaTheme="minorHAnsi" w:hAnsi="Segoe UI" w:cs="Segoe UI"/>
      <w:sz w:val="18"/>
      <w:szCs w:val="18"/>
      <w:lang w:eastAsia="en-US"/>
    </w:rPr>
  </w:style>
  <w:style w:type="character" w:customStyle="1" w:styleId="TextodebaloChar">
    <w:name w:val="Texto de balão Char"/>
    <w:basedOn w:val="Fontepargpadro"/>
    <w:link w:val="Textodebalo"/>
    <w:uiPriority w:val="99"/>
    <w:semiHidden/>
    <w:rsid w:val="00A04CE2"/>
    <w:rPr>
      <w:rFonts w:ascii="Segoe UI" w:hAnsi="Segoe UI" w:cs="Segoe UI"/>
      <w:sz w:val="18"/>
      <w:szCs w:val="18"/>
    </w:rPr>
  </w:style>
  <w:style w:type="paragraph" w:styleId="Cabealho">
    <w:name w:val="header"/>
    <w:basedOn w:val="Normal"/>
    <w:link w:val="CabealhoChar"/>
    <w:uiPriority w:val="99"/>
    <w:unhideWhenUsed/>
    <w:rsid w:val="0030327D"/>
    <w:pPr>
      <w:tabs>
        <w:tab w:val="center" w:pos="4252"/>
        <w:tab w:val="right" w:pos="8504"/>
      </w:tabs>
    </w:pPr>
    <w:rPr>
      <w:rFonts w:asciiTheme="minorHAnsi" w:eastAsiaTheme="minorHAnsi" w:hAnsiTheme="minorHAnsi" w:cstheme="minorBidi"/>
      <w:lang w:eastAsia="en-US"/>
    </w:rPr>
  </w:style>
  <w:style w:type="character" w:customStyle="1" w:styleId="CabealhoChar">
    <w:name w:val="Cabeçalho Char"/>
    <w:basedOn w:val="Fontepargpadro"/>
    <w:link w:val="Cabealho"/>
    <w:uiPriority w:val="99"/>
    <w:rsid w:val="0030327D"/>
  </w:style>
  <w:style w:type="paragraph" w:styleId="Rodap">
    <w:name w:val="footer"/>
    <w:basedOn w:val="Normal"/>
    <w:link w:val="RodapChar"/>
    <w:uiPriority w:val="99"/>
    <w:unhideWhenUsed/>
    <w:rsid w:val="0030327D"/>
    <w:pPr>
      <w:tabs>
        <w:tab w:val="center" w:pos="4252"/>
        <w:tab w:val="right" w:pos="8504"/>
      </w:tabs>
    </w:pPr>
    <w:rPr>
      <w:rFonts w:asciiTheme="minorHAnsi" w:eastAsiaTheme="minorHAnsi" w:hAnsiTheme="minorHAnsi" w:cstheme="minorBidi"/>
      <w:lang w:eastAsia="en-US"/>
    </w:rPr>
  </w:style>
  <w:style w:type="character" w:customStyle="1" w:styleId="RodapChar">
    <w:name w:val="Rodapé Char"/>
    <w:basedOn w:val="Fontepargpadro"/>
    <w:link w:val="Rodap"/>
    <w:uiPriority w:val="99"/>
    <w:rsid w:val="0030327D"/>
  </w:style>
  <w:style w:type="paragraph" w:styleId="PargrafodaLista">
    <w:name w:val="List Paragraph"/>
    <w:basedOn w:val="Normal"/>
    <w:uiPriority w:val="34"/>
    <w:qFormat/>
    <w:rsid w:val="002E6CAE"/>
    <w:pPr>
      <w:ind w:left="720"/>
      <w:contextualSpacing/>
    </w:pPr>
    <w:rPr>
      <w:rFonts w:asciiTheme="minorHAnsi" w:eastAsiaTheme="minorHAnsi" w:hAnsiTheme="minorHAnsi" w:cstheme="minorBidi"/>
      <w:lang w:eastAsia="en-US"/>
    </w:rPr>
  </w:style>
  <w:style w:type="table" w:styleId="Tabelacomgrade">
    <w:name w:val="Table Grid"/>
    <w:basedOn w:val="Tabelanormal"/>
    <w:uiPriority w:val="39"/>
    <w:rsid w:val="00382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770A6"/>
    <w:pPr>
      <w:spacing w:before="100" w:beforeAutospacing="1" w:after="100" w:afterAutospacing="1"/>
    </w:pPr>
  </w:style>
  <w:style w:type="character" w:styleId="Nmerodepgina">
    <w:name w:val="page number"/>
    <w:basedOn w:val="Fontepargpadro"/>
    <w:uiPriority w:val="99"/>
    <w:semiHidden/>
    <w:unhideWhenUsed/>
    <w:rsid w:val="000770A6"/>
  </w:style>
  <w:style w:type="character" w:customStyle="1" w:styleId="MenoPendente1">
    <w:name w:val="Menção Pendente1"/>
    <w:basedOn w:val="Fontepargpadro"/>
    <w:uiPriority w:val="99"/>
    <w:semiHidden/>
    <w:unhideWhenUsed/>
    <w:rsid w:val="00F869D0"/>
    <w:rPr>
      <w:color w:val="605E5C"/>
      <w:shd w:val="clear" w:color="auto" w:fill="E1DFDD"/>
    </w:rPr>
  </w:style>
  <w:style w:type="character" w:styleId="HiperlinkVisitado">
    <w:name w:val="FollowedHyperlink"/>
    <w:basedOn w:val="Fontepargpadro"/>
    <w:uiPriority w:val="99"/>
    <w:semiHidden/>
    <w:unhideWhenUsed/>
    <w:rsid w:val="00CC49DC"/>
    <w:rPr>
      <w:color w:val="954F72" w:themeColor="followedHyperlink"/>
      <w:u w:val="single"/>
    </w:rPr>
  </w:style>
  <w:style w:type="character" w:customStyle="1" w:styleId="MenoPendente2">
    <w:name w:val="Menção Pendente2"/>
    <w:basedOn w:val="Fontepargpadro"/>
    <w:uiPriority w:val="99"/>
    <w:semiHidden/>
    <w:unhideWhenUsed/>
    <w:rsid w:val="00E62573"/>
    <w:rPr>
      <w:color w:val="605E5C"/>
      <w:shd w:val="clear" w:color="auto" w:fill="E1DFDD"/>
    </w:rPr>
  </w:style>
  <w:style w:type="character" w:styleId="nfase">
    <w:name w:val="Emphasis"/>
    <w:basedOn w:val="Fontepargpadro"/>
    <w:uiPriority w:val="20"/>
    <w:qFormat/>
    <w:rsid w:val="00C15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985">
      <w:bodyDiv w:val="1"/>
      <w:marLeft w:val="0"/>
      <w:marRight w:val="0"/>
      <w:marTop w:val="0"/>
      <w:marBottom w:val="0"/>
      <w:divBdr>
        <w:top w:val="none" w:sz="0" w:space="0" w:color="auto"/>
        <w:left w:val="none" w:sz="0" w:space="0" w:color="auto"/>
        <w:bottom w:val="none" w:sz="0" w:space="0" w:color="auto"/>
        <w:right w:val="none" w:sz="0" w:space="0" w:color="auto"/>
      </w:divBdr>
    </w:div>
    <w:div w:id="225844899">
      <w:bodyDiv w:val="1"/>
      <w:marLeft w:val="0"/>
      <w:marRight w:val="0"/>
      <w:marTop w:val="0"/>
      <w:marBottom w:val="0"/>
      <w:divBdr>
        <w:top w:val="none" w:sz="0" w:space="0" w:color="auto"/>
        <w:left w:val="none" w:sz="0" w:space="0" w:color="auto"/>
        <w:bottom w:val="none" w:sz="0" w:space="0" w:color="auto"/>
        <w:right w:val="none" w:sz="0" w:space="0" w:color="auto"/>
      </w:divBdr>
    </w:div>
    <w:div w:id="314798676">
      <w:bodyDiv w:val="1"/>
      <w:marLeft w:val="0"/>
      <w:marRight w:val="0"/>
      <w:marTop w:val="0"/>
      <w:marBottom w:val="0"/>
      <w:divBdr>
        <w:top w:val="none" w:sz="0" w:space="0" w:color="auto"/>
        <w:left w:val="none" w:sz="0" w:space="0" w:color="auto"/>
        <w:bottom w:val="none" w:sz="0" w:space="0" w:color="auto"/>
        <w:right w:val="none" w:sz="0" w:space="0" w:color="auto"/>
      </w:divBdr>
    </w:div>
    <w:div w:id="325784577">
      <w:bodyDiv w:val="1"/>
      <w:marLeft w:val="0"/>
      <w:marRight w:val="0"/>
      <w:marTop w:val="0"/>
      <w:marBottom w:val="0"/>
      <w:divBdr>
        <w:top w:val="none" w:sz="0" w:space="0" w:color="auto"/>
        <w:left w:val="none" w:sz="0" w:space="0" w:color="auto"/>
        <w:bottom w:val="none" w:sz="0" w:space="0" w:color="auto"/>
        <w:right w:val="none" w:sz="0" w:space="0" w:color="auto"/>
      </w:divBdr>
    </w:div>
    <w:div w:id="458115194">
      <w:bodyDiv w:val="1"/>
      <w:marLeft w:val="0"/>
      <w:marRight w:val="0"/>
      <w:marTop w:val="0"/>
      <w:marBottom w:val="0"/>
      <w:divBdr>
        <w:top w:val="none" w:sz="0" w:space="0" w:color="auto"/>
        <w:left w:val="none" w:sz="0" w:space="0" w:color="auto"/>
        <w:bottom w:val="none" w:sz="0" w:space="0" w:color="auto"/>
        <w:right w:val="none" w:sz="0" w:space="0" w:color="auto"/>
      </w:divBdr>
    </w:div>
    <w:div w:id="490414037">
      <w:bodyDiv w:val="1"/>
      <w:marLeft w:val="0"/>
      <w:marRight w:val="0"/>
      <w:marTop w:val="0"/>
      <w:marBottom w:val="0"/>
      <w:divBdr>
        <w:top w:val="none" w:sz="0" w:space="0" w:color="auto"/>
        <w:left w:val="none" w:sz="0" w:space="0" w:color="auto"/>
        <w:bottom w:val="none" w:sz="0" w:space="0" w:color="auto"/>
        <w:right w:val="none" w:sz="0" w:space="0" w:color="auto"/>
      </w:divBdr>
    </w:div>
    <w:div w:id="490605057">
      <w:bodyDiv w:val="1"/>
      <w:marLeft w:val="0"/>
      <w:marRight w:val="0"/>
      <w:marTop w:val="0"/>
      <w:marBottom w:val="0"/>
      <w:divBdr>
        <w:top w:val="none" w:sz="0" w:space="0" w:color="auto"/>
        <w:left w:val="none" w:sz="0" w:space="0" w:color="auto"/>
        <w:bottom w:val="none" w:sz="0" w:space="0" w:color="auto"/>
        <w:right w:val="none" w:sz="0" w:space="0" w:color="auto"/>
      </w:divBdr>
    </w:div>
    <w:div w:id="493181222">
      <w:bodyDiv w:val="1"/>
      <w:marLeft w:val="0"/>
      <w:marRight w:val="0"/>
      <w:marTop w:val="0"/>
      <w:marBottom w:val="0"/>
      <w:divBdr>
        <w:top w:val="none" w:sz="0" w:space="0" w:color="auto"/>
        <w:left w:val="none" w:sz="0" w:space="0" w:color="auto"/>
        <w:bottom w:val="none" w:sz="0" w:space="0" w:color="auto"/>
        <w:right w:val="none" w:sz="0" w:space="0" w:color="auto"/>
      </w:divBdr>
    </w:div>
    <w:div w:id="559705731">
      <w:bodyDiv w:val="1"/>
      <w:marLeft w:val="0"/>
      <w:marRight w:val="0"/>
      <w:marTop w:val="0"/>
      <w:marBottom w:val="0"/>
      <w:divBdr>
        <w:top w:val="none" w:sz="0" w:space="0" w:color="auto"/>
        <w:left w:val="none" w:sz="0" w:space="0" w:color="auto"/>
        <w:bottom w:val="none" w:sz="0" w:space="0" w:color="auto"/>
        <w:right w:val="none" w:sz="0" w:space="0" w:color="auto"/>
      </w:divBdr>
    </w:div>
    <w:div w:id="576281656">
      <w:bodyDiv w:val="1"/>
      <w:marLeft w:val="0"/>
      <w:marRight w:val="0"/>
      <w:marTop w:val="0"/>
      <w:marBottom w:val="0"/>
      <w:divBdr>
        <w:top w:val="none" w:sz="0" w:space="0" w:color="auto"/>
        <w:left w:val="none" w:sz="0" w:space="0" w:color="auto"/>
        <w:bottom w:val="none" w:sz="0" w:space="0" w:color="auto"/>
        <w:right w:val="none" w:sz="0" w:space="0" w:color="auto"/>
      </w:divBdr>
    </w:div>
    <w:div w:id="587739302">
      <w:bodyDiv w:val="1"/>
      <w:marLeft w:val="0"/>
      <w:marRight w:val="0"/>
      <w:marTop w:val="0"/>
      <w:marBottom w:val="0"/>
      <w:divBdr>
        <w:top w:val="none" w:sz="0" w:space="0" w:color="auto"/>
        <w:left w:val="none" w:sz="0" w:space="0" w:color="auto"/>
        <w:bottom w:val="none" w:sz="0" w:space="0" w:color="auto"/>
        <w:right w:val="none" w:sz="0" w:space="0" w:color="auto"/>
      </w:divBdr>
    </w:div>
    <w:div w:id="616719487">
      <w:bodyDiv w:val="1"/>
      <w:marLeft w:val="0"/>
      <w:marRight w:val="0"/>
      <w:marTop w:val="0"/>
      <w:marBottom w:val="0"/>
      <w:divBdr>
        <w:top w:val="none" w:sz="0" w:space="0" w:color="auto"/>
        <w:left w:val="none" w:sz="0" w:space="0" w:color="auto"/>
        <w:bottom w:val="none" w:sz="0" w:space="0" w:color="auto"/>
        <w:right w:val="none" w:sz="0" w:space="0" w:color="auto"/>
      </w:divBdr>
    </w:div>
    <w:div w:id="679354152">
      <w:bodyDiv w:val="1"/>
      <w:marLeft w:val="0"/>
      <w:marRight w:val="0"/>
      <w:marTop w:val="0"/>
      <w:marBottom w:val="0"/>
      <w:divBdr>
        <w:top w:val="none" w:sz="0" w:space="0" w:color="auto"/>
        <w:left w:val="none" w:sz="0" w:space="0" w:color="auto"/>
        <w:bottom w:val="none" w:sz="0" w:space="0" w:color="auto"/>
        <w:right w:val="none" w:sz="0" w:space="0" w:color="auto"/>
      </w:divBdr>
    </w:div>
    <w:div w:id="879241382">
      <w:bodyDiv w:val="1"/>
      <w:marLeft w:val="0"/>
      <w:marRight w:val="0"/>
      <w:marTop w:val="0"/>
      <w:marBottom w:val="0"/>
      <w:divBdr>
        <w:top w:val="none" w:sz="0" w:space="0" w:color="auto"/>
        <w:left w:val="none" w:sz="0" w:space="0" w:color="auto"/>
        <w:bottom w:val="none" w:sz="0" w:space="0" w:color="auto"/>
        <w:right w:val="none" w:sz="0" w:space="0" w:color="auto"/>
      </w:divBdr>
    </w:div>
    <w:div w:id="890650324">
      <w:bodyDiv w:val="1"/>
      <w:marLeft w:val="0"/>
      <w:marRight w:val="0"/>
      <w:marTop w:val="0"/>
      <w:marBottom w:val="0"/>
      <w:divBdr>
        <w:top w:val="none" w:sz="0" w:space="0" w:color="auto"/>
        <w:left w:val="none" w:sz="0" w:space="0" w:color="auto"/>
        <w:bottom w:val="none" w:sz="0" w:space="0" w:color="auto"/>
        <w:right w:val="none" w:sz="0" w:space="0" w:color="auto"/>
      </w:divBdr>
    </w:div>
    <w:div w:id="912159539">
      <w:bodyDiv w:val="1"/>
      <w:marLeft w:val="0"/>
      <w:marRight w:val="0"/>
      <w:marTop w:val="0"/>
      <w:marBottom w:val="0"/>
      <w:divBdr>
        <w:top w:val="none" w:sz="0" w:space="0" w:color="auto"/>
        <w:left w:val="none" w:sz="0" w:space="0" w:color="auto"/>
        <w:bottom w:val="none" w:sz="0" w:space="0" w:color="auto"/>
        <w:right w:val="none" w:sz="0" w:space="0" w:color="auto"/>
      </w:divBdr>
      <w:divsChild>
        <w:div w:id="1800761603">
          <w:marLeft w:val="0"/>
          <w:marRight w:val="0"/>
          <w:marTop w:val="0"/>
          <w:marBottom w:val="0"/>
          <w:divBdr>
            <w:top w:val="none" w:sz="0" w:space="0" w:color="auto"/>
            <w:left w:val="none" w:sz="0" w:space="0" w:color="auto"/>
            <w:bottom w:val="none" w:sz="0" w:space="0" w:color="auto"/>
            <w:right w:val="none" w:sz="0" w:space="0" w:color="auto"/>
          </w:divBdr>
          <w:divsChild>
            <w:div w:id="632445149">
              <w:marLeft w:val="0"/>
              <w:marRight w:val="0"/>
              <w:marTop w:val="0"/>
              <w:marBottom w:val="0"/>
              <w:divBdr>
                <w:top w:val="none" w:sz="0" w:space="0" w:color="auto"/>
                <w:left w:val="none" w:sz="0" w:space="0" w:color="auto"/>
                <w:bottom w:val="none" w:sz="0" w:space="0" w:color="auto"/>
                <w:right w:val="none" w:sz="0" w:space="0" w:color="auto"/>
              </w:divBdr>
              <w:divsChild>
                <w:div w:id="1001156016">
                  <w:marLeft w:val="0"/>
                  <w:marRight w:val="0"/>
                  <w:marTop w:val="0"/>
                  <w:marBottom w:val="0"/>
                  <w:divBdr>
                    <w:top w:val="none" w:sz="0" w:space="0" w:color="auto"/>
                    <w:left w:val="none" w:sz="0" w:space="0" w:color="auto"/>
                    <w:bottom w:val="none" w:sz="0" w:space="0" w:color="auto"/>
                    <w:right w:val="none" w:sz="0" w:space="0" w:color="auto"/>
                  </w:divBdr>
                </w:div>
              </w:divsChild>
            </w:div>
            <w:div w:id="1265184513">
              <w:marLeft w:val="0"/>
              <w:marRight w:val="0"/>
              <w:marTop w:val="0"/>
              <w:marBottom w:val="0"/>
              <w:divBdr>
                <w:top w:val="none" w:sz="0" w:space="0" w:color="auto"/>
                <w:left w:val="none" w:sz="0" w:space="0" w:color="auto"/>
                <w:bottom w:val="none" w:sz="0" w:space="0" w:color="auto"/>
                <w:right w:val="none" w:sz="0" w:space="0" w:color="auto"/>
              </w:divBdr>
              <w:divsChild>
                <w:div w:id="333076448">
                  <w:marLeft w:val="0"/>
                  <w:marRight w:val="0"/>
                  <w:marTop w:val="0"/>
                  <w:marBottom w:val="0"/>
                  <w:divBdr>
                    <w:top w:val="none" w:sz="0" w:space="0" w:color="auto"/>
                    <w:left w:val="none" w:sz="0" w:space="0" w:color="auto"/>
                    <w:bottom w:val="none" w:sz="0" w:space="0" w:color="auto"/>
                    <w:right w:val="none" w:sz="0" w:space="0" w:color="auto"/>
                  </w:divBdr>
                </w:div>
              </w:divsChild>
            </w:div>
            <w:div w:id="1641615188">
              <w:marLeft w:val="0"/>
              <w:marRight w:val="0"/>
              <w:marTop w:val="0"/>
              <w:marBottom w:val="0"/>
              <w:divBdr>
                <w:top w:val="none" w:sz="0" w:space="0" w:color="auto"/>
                <w:left w:val="none" w:sz="0" w:space="0" w:color="auto"/>
                <w:bottom w:val="none" w:sz="0" w:space="0" w:color="auto"/>
                <w:right w:val="none" w:sz="0" w:space="0" w:color="auto"/>
              </w:divBdr>
              <w:divsChild>
                <w:div w:id="1136601137">
                  <w:marLeft w:val="0"/>
                  <w:marRight w:val="0"/>
                  <w:marTop w:val="0"/>
                  <w:marBottom w:val="0"/>
                  <w:divBdr>
                    <w:top w:val="none" w:sz="0" w:space="0" w:color="auto"/>
                    <w:left w:val="none" w:sz="0" w:space="0" w:color="auto"/>
                    <w:bottom w:val="none" w:sz="0" w:space="0" w:color="auto"/>
                    <w:right w:val="none" w:sz="0" w:space="0" w:color="auto"/>
                  </w:divBdr>
                </w:div>
              </w:divsChild>
            </w:div>
            <w:div w:id="1735622596">
              <w:marLeft w:val="0"/>
              <w:marRight w:val="0"/>
              <w:marTop w:val="0"/>
              <w:marBottom w:val="0"/>
              <w:divBdr>
                <w:top w:val="none" w:sz="0" w:space="0" w:color="auto"/>
                <w:left w:val="none" w:sz="0" w:space="0" w:color="auto"/>
                <w:bottom w:val="none" w:sz="0" w:space="0" w:color="auto"/>
                <w:right w:val="none" w:sz="0" w:space="0" w:color="auto"/>
              </w:divBdr>
              <w:divsChild>
                <w:div w:id="1162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2217">
      <w:bodyDiv w:val="1"/>
      <w:marLeft w:val="0"/>
      <w:marRight w:val="0"/>
      <w:marTop w:val="0"/>
      <w:marBottom w:val="0"/>
      <w:divBdr>
        <w:top w:val="none" w:sz="0" w:space="0" w:color="auto"/>
        <w:left w:val="none" w:sz="0" w:space="0" w:color="auto"/>
        <w:bottom w:val="none" w:sz="0" w:space="0" w:color="auto"/>
        <w:right w:val="none" w:sz="0" w:space="0" w:color="auto"/>
      </w:divBdr>
    </w:div>
    <w:div w:id="1007175686">
      <w:bodyDiv w:val="1"/>
      <w:marLeft w:val="0"/>
      <w:marRight w:val="0"/>
      <w:marTop w:val="0"/>
      <w:marBottom w:val="0"/>
      <w:divBdr>
        <w:top w:val="none" w:sz="0" w:space="0" w:color="auto"/>
        <w:left w:val="none" w:sz="0" w:space="0" w:color="auto"/>
        <w:bottom w:val="none" w:sz="0" w:space="0" w:color="auto"/>
        <w:right w:val="none" w:sz="0" w:space="0" w:color="auto"/>
      </w:divBdr>
    </w:div>
    <w:div w:id="1244339123">
      <w:bodyDiv w:val="1"/>
      <w:marLeft w:val="0"/>
      <w:marRight w:val="0"/>
      <w:marTop w:val="0"/>
      <w:marBottom w:val="0"/>
      <w:divBdr>
        <w:top w:val="none" w:sz="0" w:space="0" w:color="auto"/>
        <w:left w:val="none" w:sz="0" w:space="0" w:color="auto"/>
        <w:bottom w:val="none" w:sz="0" w:space="0" w:color="auto"/>
        <w:right w:val="none" w:sz="0" w:space="0" w:color="auto"/>
      </w:divBdr>
    </w:div>
    <w:div w:id="1270552001">
      <w:bodyDiv w:val="1"/>
      <w:marLeft w:val="0"/>
      <w:marRight w:val="0"/>
      <w:marTop w:val="0"/>
      <w:marBottom w:val="0"/>
      <w:divBdr>
        <w:top w:val="none" w:sz="0" w:space="0" w:color="auto"/>
        <w:left w:val="none" w:sz="0" w:space="0" w:color="auto"/>
        <w:bottom w:val="none" w:sz="0" w:space="0" w:color="auto"/>
        <w:right w:val="none" w:sz="0" w:space="0" w:color="auto"/>
      </w:divBdr>
    </w:div>
    <w:div w:id="1275794810">
      <w:bodyDiv w:val="1"/>
      <w:marLeft w:val="0"/>
      <w:marRight w:val="0"/>
      <w:marTop w:val="0"/>
      <w:marBottom w:val="0"/>
      <w:divBdr>
        <w:top w:val="none" w:sz="0" w:space="0" w:color="auto"/>
        <w:left w:val="none" w:sz="0" w:space="0" w:color="auto"/>
        <w:bottom w:val="none" w:sz="0" w:space="0" w:color="auto"/>
        <w:right w:val="none" w:sz="0" w:space="0" w:color="auto"/>
      </w:divBdr>
    </w:div>
    <w:div w:id="1283850510">
      <w:bodyDiv w:val="1"/>
      <w:marLeft w:val="0"/>
      <w:marRight w:val="0"/>
      <w:marTop w:val="0"/>
      <w:marBottom w:val="0"/>
      <w:divBdr>
        <w:top w:val="none" w:sz="0" w:space="0" w:color="auto"/>
        <w:left w:val="none" w:sz="0" w:space="0" w:color="auto"/>
        <w:bottom w:val="none" w:sz="0" w:space="0" w:color="auto"/>
        <w:right w:val="none" w:sz="0" w:space="0" w:color="auto"/>
      </w:divBdr>
    </w:div>
    <w:div w:id="1376125488">
      <w:bodyDiv w:val="1"/>
      <w:marLeft w:val="0"/>
      <w:marRight w:val="0"/>
      <w:marTop w:val="0"/>
      <w:marBottom w:val="0"/>
      <w:divBdr>
        <w:top w:val="none" w:sz="0" w:space="0" w:color="auto"/>
        <w:left w:val="none" w:sz="0" w:space="0" w:color="auto"/>
        <w:bottom w:val="none" w:sz="0" w:space="0" w:color="auto"/>
        <w:right w:val="none" w:sz="0" w:space="0" w:color="auto"/>
      </w:divBdr>
    </w:div>
    <w:div w:id="1507790097">
      <w:bodyDiv w:val="1"/>
      <w:marLeft w:val="0"/>
      <w:marRight w:val="0"/>
      <w:marTop w:val="0"/>
      <w:marBottom w:val="0"/>
      <w:divBdr>
        <w:top w:val="none" w:sz="0" w:space="0" w:color="auto"/>
        <w:left w:val="none" w:sz="0" w:space="0" w:color="auto"/>
        <w:bottom w:val="none" w:sz="0" w:space="0" w:color="auto"/>
        <w:right w:val="none" w:sz="0" w:space="0" w:color="auto"/>
      </w:divBdr>
    </w:div>
    <w:div w:id="1570647570">
      <w:bodyDiv w:val="1"/>
      <w:marLeft w:val="0"/>
      <w:marRight w:val="0"/>
      <w:marTop w:val="0"/>
      <w:marBottom w:val="0"/>
      <w:divBdr>
        <w:top w:val="none" w:sz="0" w:space="0" w:color="auto"/>
        <w:left w:val="none" w:sz="0" w:space="0" w:color="auto"/>
        <w:bottom w:val="none" w:sz="0" w:space="0" w:color="auto"/>
        <w:right w:val="none" w:sz="0" w:space="0" w:color="auto"/>
      </w:divBdr>
    </w:div>
    <w:div w:id="1577084930">
      <w:bodyDiv w:val="1"/>
      <w:marLeft w:val="0"/>
      <w:marRight w:val="0"/>
      <w:marTop w:val="0"/>
      <w:marBottom w:val="0"/>
      <w:divBdr>
        <w:top w:val="none" w:sz="0" w:space="0" w:color="auto"/>
        <w:left w:val="none" w:sz="0" w:space="0" w:color="auto"/>
        <w:bottom w:val="none" w:sz="0" w:space="0" w:color="auto"/>
        <w:right w:val="none" w:sz="0" w:space="0" w:color="auto"/>
      </w:divBdr>
    </w:div>
    <w:div w:id="1580091249">
      <w:bodyDiv w:val="1"/>
      <w:marLeft w:val="0"/>
      <w:marRight w:val="0"/>
      <w:marTop w:val="0"/>
      <w:marBottom w:val="0"/>
      <w:divBdr>
        <w:top w:val="none" w:sz="0" w:space="0" w:color="auto"/>
        <w:left w:val="none" w:sz="0" w:space="0" w:color="auto"/>
        <w:bottom w:val="none" w:sz="0" w:space="0" w:color="auto"/>
        <w:right w:val="none" w:sz="0" w:space="0" w:color="auto"/>
      </w:divBdr>
    </w:div>
    <w:div w:id="1692340845">
      <w:bodyDiv w:val="1"/>
      <w:marLeft w:val="0"/>
      <w:marRight w:val="0"/>
      <w:marTop w:val="0"/>
      <w:marBottom w:val="0"/>
      <w:divBdr>
        <w:top w:val="none" w:sz="0" w:space="0" w:color="auto"/>
        <w:left w:val="none" w:sz="0" w:space="0" w:color="auto"/>
        <w:bottom w:val="none" w:sz="0" w:space="0" w:color="auto"/>
        <w:right w:val="none" w:sz="0" w:space="0" w:color="auto"/>
      </w:divBdr>
    </w:div>
    <w:div w:id="1761834219">
      <w:bodyDiv w:val="1"/>
      <w:marLeft w:val="0"/>
      <w:marRight w:val="0"/>
      <w:marTop w:val="0"/>
      <w:marBottom w:val="0"/>
      <w:divBdr>
        <w:top w:val="none" w:sz="0" w:space="0" w:color="auto"/>
        <w:left w:val="none" w:sz="0" w:space="0" w:color="auto"/>
        <w:bottom w:val="none" w:sz="0" w:space="0" w:color="auto"/>
        <w:right w:val="none" w:sz="0" w:space="0" w:color="auto"/>
      </w:divBdr>
    </w:div>
    <w:div w:id="1764689282">
      <w:bodyDiv w:val="1"/>
      <w:marLeft w:val="0"/>
      <w:marRight w:val="0"/>
      <w:marTop w:val="0"/>
      <w:marBottom w:val="0"/>
      <w:divBdr>
        <w:top w:val="none" w:sz="0" w:space="0" w:color="auto"/>
        <w:left w:val="none" w:sz="0" w:space="0" w:color="auto"/>
        <w:bottom w:val="none" w:sz="0" w:space="0" w:color="auto"/>
        <w:right w:val="none" w:sz="0" w:space="0" w:color="auto"/>
      </w:divBdr>
    </w:div>
    <w:div w:id="1841894766">
      <w:bodyDiv w:val="1"/>
      <w:marLeft w:val="0"/>
      <w:marRight w:val="0"/>
      <w:marTop w:val="0"/>
      <w:marBottom w:val="0"/>
      <w:divBdr>
        <w:top w:val="none" w:sz="0" w:space="0" w:color="auto"/>
        <w:left w:val="none" w:sz="0" w:space="0" w:color="auto"/>
        <w:bottom w:val="none" w:sz="0" w:space="0" w:color="auto"/>
        <w:right w:val="none" w:sz="0" w:space="0" w:color="auto"/>
      </w:divBdr>
    </w:div>
    <w:div w:id="1872108093">
      <w:bodyDiv w:val="1"/>
      <w:marLeft w:val="0"/>
      <w:marRight w:val="0"/>
      <w:marTop w:val="0"/>
      <w:marBottom w:val="0"/>
      <w:divBdr>
        <w:top w:val="none" w:sz="0" w:space="0" w:color="auto"/>
        <w:left w:val="none" w:sz="0" w:space="0" w:color="auto"/>
        <w:bottom w:val="none" w:sz="0" w:space="0" w:color="auto"/>
        <w:right w:val="none" w:sz="0" w:space="0" w:color="auto"/>
      </w:divBdr>
    </w:div>
    <w:div w:id="1892959279">
      <w:bodyDiv w:val="1"/>
      <w:marLeft w:val="0"/>
      <w:marRight w:val="0"/>
      <w:marTop w:val="0"/>
      <w:marBottom w:val="0"/>
      <w:divBdr>
        <w:top w:val="none" w:sz="0" w:space="0" w:color="auto"/>
        <w:left w:val="none" w:sz="0" w:space="0" w:color="auto"/>
        <w:bottom w:val="none" w:sz="0" w:space="0" w:color="auto"/>
        <w:right w:val="none" w:sz="0" w:space="0" w:color="auto"/>
      </w:divBdr>
    </w:div>
    <w:div w:id="1920021380">
      <w:bodyDiv w:val="1"/>
      <w:marLeft w:val="0"/>
      <w:marRight w:val="0"/>
      <w:marTop w:val="0"/>
      <w:marBottom w:val="0"/>
      <w:divBdr>
        <w:top w:val="none" w:sz="0" w:space="0" w:color="auto"/>
        <w:left w:val="none" w:sz="0" w:space="0" w:color="auto"/>
        <w:bottom w:val="none" w:sz="0" w:space="0" w:color="auto"/>
        <w:right w:val="none" w:sz="0" w:space="0" w:color="auto"/>
      </w:divBdr>
    </w:div>
    <w:div w:id="1954747399">
      <w:bodyDiv w:val="1"/>
      <w:marLeft w:val="0"/>
      <w:marRight w:val="0"/>
      <w:marTop w:val="0"/>
      <w:marBottom w:val="0"/>
      <w:divBdr>
        <w:top w:val="none" w:sz="0" w:space="0" w:color="auto"/>
        <w:left w:val="none" w:sz="0" w:space="0" w:color="auto"/>
        <w:bottom w:val="none" w:sz="0" w:space="0" w:color="auto"/>
        <w:right w:val="none" w:sz="0" w:space="0" w:color="auto"/>
      </w:divBdr>
    </w:div>
    <w:div w:id="1976060941">
      <w:bodyDiv w:val="1"/>
      <w:marLeft w:val="0"/>
      <w:marRight w:val="0"/>
      <w:marTop w:val="0"/>
      <w:marBottom w:val="0"/>
      <w:divBdr>
        <w:top w:val="none" w:sz="0" w:space="0" w:color="auto"/>
        <w:left w:val="none" w:sz="0" w:space="0" w:color="auto"/>
        <w:bottom w:val="none" w:sz="0" w:space="0" w:color="auto"/>
        <w:right w:val="none" w:sz="0" w:space="0" w:color="auto"/>
      </w:divBdr>
    </w:div>
    <w:div w:id="212792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s>
</file>

<file path=word/_rels/footnotes.xml.rels><?xml version="1.0" encoding="UTF-8" standalone="yes"?>
<Relationships xmlns="http://schemas.openxmlformats.org/package/2006/relationships"><Relationship Id="rId2" Type="http://schemas.openxmlformats.org/officeDocument/2006/relationships/hyperlink" Target="http://sa.previdencia.gov.br/site/2018/12/aeps2017_supserpub-1.pdf" TargetMode="External"/><Relationship Id="rId1" Type="http://schemas.openxmlformats.org/officeDocument/2006/relationships/hyperlink" Target="https://g1.globo.com/economia/imposto-de-renda/2018/noticia/imposto-de-renda-2018-veja-lista-de-rendimentos-isentos.g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E9367-3F2A-1647-BBAE-A9FFB5A49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21</Pages>
  <Words>9410</Words>
  <Characters>50814</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Usuário do Microsoft Office</cp:lastModifiedBy>
  <cp:revision>5</cp:revision>
  <cp:lastPrinted>2019-02-21T13:21:00Z</cp:lastPrinted>
  <dcterms:created xsi:type="dcterms:W3CDTF">2019-07-19T21:20:00Z</dcterms:created>
  <dcterms:modified xsi:type="dcterms:W3CDTF">2019-07-21T19:45:00Z</dcterms:modified>
</cp:coreProperties>
</file>