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071" w:rsidRPr="008330F6" w:rsidRDefault="00C45071" w:rsidP="008330F6">
      <w:pPr>
        <w:spacing w:before="120" w:after="120" w:line="276" w:lineRule="auto"/>
        <w:jc w:val="center"/>
        <w:rPr>
          <w:b/>
          <w:lang w:val="en-US"/>
        </w:rPr>
      </w:pPr>
      <w:r w:rsidRPr="008330F6">
        <w:rPr>
          <w:b/>
          <w:i/>
          <w:iCs/>
          <w:sz w:val="36"/>
          <w:szCs w:val="36"/>
          <w:lang w:val="en-US"/>
        </w:rPr>
        <w:t>Quo Vadis</w:t>
      </w:r>
      <w:r w:rsidRPr="008330F6">
        <w:rPr>
          <w:b/>
          <w:sz w:val="36"/>
          <w:szCs w:val="36"/>
          <w:lang w:val="en-US"/>
        </w:rPr>
        <w:t>? Professional careers of Brazilian regulators</w:t>
      </w:r>
    </w:p>
    <w:p w:rsidR="00FD3CF9" w:rsidRPr="008330F6" w:rsidRDefault="007F7571" w:rsidP="00FD3CF9">
      <w:pPr>
        <w:spacing w:before="120" w:after="120" w:line="276" w:lineRule="auto"/>
        <w:jc w:val="center"/>
        <w:rPr>
          <w:bCs/>
          <w:lang w:val="en-US"/>
        </w:rPr>
      </w:pPr>
      <w:r>
        <w:rPr>
          <w:bCs/>
          <w:lang w:val="en-US"/>
        </w:rPr>
        <w:t>Bruno César Araújo (IPEA)</w:t>
      </w:r>
      <w:r>
        <w:rPr>
          <w:bCs/>
          <w:lang w:val="en-US"/>
        </w:rPr>
        <w:tab/>
        <w:t xml:space="preserve">   </w:t>
      </w:r>
      <w:bookmarkStart w:id="0" w:name="_GoBack"/>
      <w:bookmarkEnd w:id="0"/>
      <w:proofErr w:type="spellStart"/>
      <w:r w:rsidR="00FD3CF9">
        <w:rPr>
          <w:bCs/>
          <w:lang w:val="en-US"/>
        </w:rPr>
        <w:t>Alketa</w:t>
      </w:r>
      <w:proofErr w:type="spellEnd"/>
      <w:r w:rsidR="00FD3CF9">
        <w:rPr>
          <w:bCs/>
          <w:lang w:val="en-US"/>
        </w:rPr>
        <w:t xml:space="preserve"> </w:t>
      </w:r>
      <w:proofErr w:type="spellStart"/>
      <w:r w:rsidR="00FD3CF9">
        <w:rPr>
          <w:bCs/>
          <w:lang w:val="en-US"/>
        </w:rPr>
        <w:t>Peci</w:t>
      </w:r>
      <w:proofErr w:type="spellEnd"/>
      <w:r w:rsidR="00FD3CF9">
        <w:rPr>
          <w:bCs/>
          <w:lang w:val="en-US"/>
        </w:rPr>
        <w:t xml:space="preserve"> (FGV/EBAPE)      Aline Santos (FGV/EBAPE)</w:t>
      </w:r>
    </w:p>
    <w:p w:rsidR="00FA642F" w:rsidRDefault="00FA642F" w:rsidP="00FD3CF9">
      <w:pPr>
        <w:spacing w:before="120" w:after="120" w:line="276" w:lineRule="auto"/>
        <w:rPr>
          <w:b/>
          <w:lang w:val="en-US"/>
        </w:rPr>
      </w:pPr>
    </w:p>
    <w:p w:rsidR="00174A34" w:rsidRDefault="00174A34" w:rsidP="00CB73C2">
      <w:pPr>
        <w:spacing w:before="120" w:after="120" w:line="276" w:lineRule="auto"/>
        <w:jc w:val="center"/>
        <w:rPr>
          <w:b/>
          <w:lang w:val="en-US"/>
        </w:rPr>
      </w:pPr>
      <w:r>
        <w:rPr>
          <w:b/>
          <w:lang w:val="en-US"/>
        </w:rPr>
        <w:t>ABSTRACT</w:t>
      </w:r>
    </w:p>
    <w:p w:rsidR="00257197" w:rsidRPr="00257197" w:rsidRDefault="00257197" w:rsidP="00FA642F">
      <w:pPr>
        <w:pBdr>
          <w:top w:val="nil"/>
          <w:left w:val="nil"/>
          <w:bottom w:val="nil"/>
          <w:right w:val="nil"/>
          <w:between w:val="nil"/>
        </w:pBdr>
        <w:spacing w:before="120" w:after="120"/>
        <w:jc w:val="both"/>
        <w:rPr>
          <w:bCs/>
          <w:lang w:val="en-US"/>
        </w:rPr>
      </w:pPr>
      <w:r w:rsidRPr="0048762B">
        <w:rPr>
          <w:lang w:val="en-US"/>
        </w:rPr>
        <w:t xml:space="preserve">Independence </w:t>
      </w:r>
      <w:r w:rsidR="00997A69">
        <w:rPr>
          <w:lang w:val="en-US"/>
        </w:rPr>
        <w:t xml:space="preserve">of Independent Regulatory Agencies (IRA) </w:t>
      </w:r>
      <w:r w:rsidRPr="0048762B">
        <w:rPr>
          <w:lang w:val="en-US"/>
        </w:rPr>
        <w:t>is associated to a set of legal measures and expertise requirements that is supposed to guarantee stability to IRA</w:t>
      </w:r>
      <w:r>
        <w:rPr>
          <w:lang w:val="en-US"/>
        </w:rPr>
        <w:t>’</w:t>
      </w:r>
      <w:r w:rsidRPr="0048762B">
        <w:rPr>
          <w:lang w:val="en-US"/>
        </w:rPr>
        <w:t>s board members despite government</w:t>
      </w:r>
      <w:r>
        <w:rPr>
          <w:lang w:val="en-US"/>
        </w:rPr>
        <w:t>’</w:t>
      </w:r>
      <w:r w:rsidRPr="0048762B">
        <w:rPr>
          <w:lang w:val="en-US"/>
        </w:rPr>
        <w:t>s term of office.</w:t>
      </w:r>
      <w:r>
        <w:rPr>
          <w:lang w:val="en-US"/>
        </w:rPr>
        <w:t xml:space="preserve"> One strand of literature has analyzed independence of IRA’s board members based on their professional trajectories, before and after their mandates. Thus, this article analyzes the trajectories of 117 regulators, according to dimensions such as </w:t>
      </w:r>
      <w:r w:rsidR="00997A69">
        <w:rPr>
          <w:lang w:val="en-US"/>
        </w:rPr>
        <w:t xml:space="preserve">origin in the </w:t>
      </w:r>
      <w:r>
        <w:rPr>
          <w:lang w:val="en-US"/>
        </w:rPr>
        <w:t xml:space="preserve">public or private sector, political affiliation and wages. Most regulators </w:t>
      </w:r>
      <w:r w:rsidR="00997A69">
        <w:rPr>
          <w:lang w:val="en-US"/>
        </w:rPr>
        <w:t xml:space="preserve">in Brazil (77 of 117) </w:t>
      </w:r>
      <w:r>
        <w:rPr>
          <w:lang w:val="en-US"/>
        </w:rPr>
        <w:t>come from the public sector</w:t>
      </w:r>
      <w:r w:rsidR="00997A69">
        <w:rPr>
          <w:lang w:val="en-US"/>
        </w:rPr>
        <w:t xml:space="preserve">, showing that </w:t>
      </w:r>
      <w:r>
        <w:rPr>
          <w:lang w:val="en-US"/>
        </w:rPr>
        <w:t>the public sector is surely a “talent pool” for recruiting IRA board members. Most of former public servants tend to return to the public sector after their mandates.</w:t>
      </w:r>
      <w:r w:rsidR="00997A69">
        <w:rPr>
          <w:lang w:val="en-US"/>
        </w:rPr>
        <w:t xml:space="preserve"> </w:t>
      </w:r>
      <w:r>
        <w:rPr>
          <w:lang w:val="en-US"/>
        </w:rPr>
        <w:t>Reversely, only 40 members of IRA boards come from the private sector</w:t>
      </w:r>
      <w:r w:rsidR="00997A69">
        <w:rPr>
          <w:lang w:val="en-US"/>
        </w:rPr>
        <w:t xml:space="preserve">, and </w:t>
      </w:r>
      <w:r>
        <w:rPr>
          <w:lang w:val="en-US"/>
        </w:rPr>
        <w:t xml:space="preserve">most of post-mandate private sector workers come from the public sector. </w:t>
      </w:r>
      <w:r w:rsidR="00997A69">
        <w:rPr>
          <w:lang w:val="en-US"/>
        </w:rPr>
        <w:t>R</w:t>
      </w:r>
      <w:r w:rsidR="00997A69">
        <w:rPr>
          <w:lang w:val="en-US"/>
        </w:rPr>
        <w:t xml:space="preserve">evolving door trajectories - originally private sector workers that manage to return to the private sector </w:t>
      </w:r>
      <w:proofErr w:type="gramStart"/>
      <w:r w:rsidR="00997A69">
        <w:rPr>
          <w:lang w:val="en-US"/>
        </w:rPr>
        <w:t>afterwards</w:t>
      </w:r>
      <w:r w:rsidR="00997A69">
        <w:rPr>
          <w:lang w:val="en-US"/>
        </w:rPr>
        <w:t xml:space="preserve">  -</w:t>
      </w:r>
      <w:proofErr w:type="gramEnd"/>
      <w:r w:rsidR="00997A69">
        <w:rPr>
          <w:lang w:val="en-US"/>
        </w:rPr>
        <w:t>are not the most common in Brazilian IRAs.</w:t>
      </w:r>
      <w:r w:rsidR="00997A69">
        <w:rPr>
          <w:lang w:val="en-US"/>
        </w:rPr>
        <w:t xml:space="preserve"> </w:t>
      </w:r>
      <w:r>
        <w:rPr>
          <w:lang w:val="en-US"/>
        </w:rPr>
        <w:t xml:space="preserve">The 25 revolving door professionals tend to be the best paid workers, but we </w:t>
      </w:r>
      <w:proofErr w:type="spellStart"/>
      <w:r>
        <w:rPr>
          <w:lang w:val="en-US"/>
        </w:rPr>
        <w:t>can not</w:t>
      </w:r>
      <w:proofErr w:type="spellEnd"/>
      <w:r>
        <w:rPr>
          <w:lang w:val="en-US"/>
        </w:rPr>
        <w:t xml:space="preserve"> infer causality</w:t>
      </w:r>
      <w:r w:rsidR="00997A69">
        <w:rPr>
          <w:lang w:val="en-US"/>
        </w:rPr>
        <w:t>.</w:t>
      </w:r>
      <w:r>
        <w:rPr>
          <w:lang w:val="en-US"/>
        </w:rPr>
        <w:t xml:space="preserve"> Public servants are probably chosen for IRA’s boards due to their specific experience – according to a human capital perspective – or even because the manage to expand the “market” for their skills – according to market expansion theory. This theory </w:t>
      </w:r>
      <w:r w:rsidRPr="00F142B9">
        <w:rPr>
          <w:lang w:val="en-US"/>
        </w:rPr>
        <w:t xml:space="preserve">focuses on the incentive for regulators to expand the market demand for services they would be providing when they exit </w:t>
      </w:r>
      <w:r w:rsidR="00997A69">
        <w:rPr>
          <w:lang w:val="en-US"/>
        </w:rPr>
        <w:t>the agency, even for the government itself.</w:t>
      </w:r>
    </w:p>
    <w:p w:rsidR="00997A69" w:rsidRPr="00997A69" w:rsidRDefault="00997A69" w:rsidP="00CB73C2">
      <w:pPr>
        <w:spacing w:before="120" w:after="120"/>
        <w:jc w:val="both"/>
        <w:rPr>
          <w:bCs/>
          <w:lang w:val="en-US"/>
        </w:rPr>
      </w:pPr>
      <w:r>
        <w:rPr>
          <w:b/>
          <w:lang w:val="en-US"/>
        </w:rPr>
        <w:t xml:space="preserve">Keywords: </w:t>
      </w:r>
      <w:r>
        <w:rPr>
          <w:bCs/>
          <w:lang w:val="en-US"/>
        </w:rPr>
        <w:t>independent regulatory agencies, professional trajectories, revolving door, market expansion theory.</w:t>
      </w:r>
    </w:p>
    <w:p w:rsidR="00997A69" w:rsidRDefault="00997A69" w:rsidP="00CB73C2">
      <w:pPr>
        <w:spacing w:before="120" w:after="120"/>
        <w:jc w:val="center"/>
        <w:rPr>
          <w:b/>
          <w:lang w:val="en-US"/>
        </w:rPr>
      </w:pPr>
      <w:r>
        <w:rPr>
          <w:b/>
          <w:lang w:val="en-US"/>
        </w:rPr>
        <w:t>RESUMO</w:t>
      </w:r>
    </w:p>
    <w:p w:rsidR="00997A69" w:rsidRDefault="00CB73C2" w:rsidP="00CB73C2">
      <w:pPr>
        <w:spacing w:before="120" w:after="120"/>
        <w:jc w:val="both"/>
        <w:rPr>
          <w:bCs/>
        </w:rPr>
      </w:pPr>
      <w:r w:rsidRPr="00CB73C2">
        <w:rPr>
          <w:bCs/>
        </w:rPr>
        <w:t>A Independência das Agências Reguladoras Independentes (</w:t>
      </w:r>
      <w:r w:rsidRPr="00CB73C2">
        <w:rPr>
          <w:bCs/>
        </w:rPr>
        <w:t>ARI</w:t>
      </w:r>
      <w:r w:rsidRPr="00CB73C2">
        <w:rPr>
          <w:bCs/>
        </w:rPr>
        <w:t>) está associada a um conjunto de medidas</w:t>
      </w:r>
      <w:r w:rsidR="008330F6">
        <w:rPr>
          <w:bCs/>
        </w:rPr>
        <w:t xml:space="preserve"> e requisitos</w:t>
      </w:r>
      <w:r w:rsidRPr="00CB73C2">
        <w:rPr>
          <w:bCs/>
        </w:rPr>
        <w:t xml:space="preserve"> que</w:t>
      </w:r>
      <w:r w:rsidRPr="00CB73C2">
        <w:rPr>
          <w:bCs/>
        </w:rPr>
        <w:t xml:space="preserve"> garantem</w:t>
      </w:r>
      <w:r w:rsidRPr="00CB73C2">
        <w:rPr>
          <w:bCs/>
        </w:rPr>
        <w:t xml:space="preserve"> estabilidade aos membros do conselho d</w:t>
      </w:r>
      <w:r w:rsidRPr="00CB73C2">
        <w:rPr>
          <w:bCs/>
        </w:rPr>
        <w:t xml:space="preserve">as </w:t>
      </w:r>
      <w:proofErr w:type="spellStart"/>
      <w:r w:rsidRPr="00CB73C2">
        <w:rPr>
          <w:bCs/>
        </w:rPr>
        <w:t>ARIs</w:t>
      </w:r>
      <w:proofErr w:type="spellEnd"/>
      <w:r w:rsidRPr="00CB73C2">
        <w:rPr>
          <w:bCs/>
        </w:rPr>
        <w:t>, apesar do mandato do</w:t>
      </w:r>
      <w:r w:rsidRPr="00CB73C2">
        <w:rPr>
          <w:bCs/>
        </w:rPr>
        <w:t xml:space="preserve"> ciclo </w:t>
      </w:r>
      <w:proofErr w:type="spellStart"/>
      <w:proofErr w:type="gramStart"/>
      <w:r w:rsidRPr="00CB73C2">
        <w:rPr>
          <w:bCs/>
        </w:rPr>
        <w:t>politico</w:t>
      </w:r>
      <w:proofErr w:type="spellEnd"/>
      <w:proofErr w:type="gramEnd"/>
      <w:r w:rsidRPr="00CB73C2">
        <w:rPr>
          <w:bCs/>
        </w:rPr>
        <w:t xml:space="preserve">. Uma vertente da literatura </w:t>
      </w:r>
      <w:r w:rsidRPr="00CB73C2">
        <w:rPr>
          <w:bCs/>
        </w:rPr>
        <w:t>tem analisado</w:t>
      </w:r>
      <w:r w:rsidRPr="00CB73C2">
        <w:rPr>
          <w:bCs/>
        </w:rPr>
        <w:t xml:space="preserve"> a independência dos membros do conselho do </w:t>
      </w:r>
      <w:r w:rsidR="008330F6">
        <w:rPr>
          <w:bCs/>
        </w:rPr>
        <w:t>ARI</w:t>
      </w:r>
      <w:r w:rsidRPr="00CB73C2">
        <w:rPr>
          <w:bCs/>
        </w:rPr>
        <w:t xml:space="preserve"> com base em suas trajetórias profissionais, antes e depois de seus mandatos. Assim, este artigo analisa as trajetórias de 117 reguladores, segundo dimensões como origem no setor público ou privado, filiação política e salários. A maioria dos reguladores no Brasil (77 de 117) vem do setor público, mostrando que o setor público é certamente um "pool de talentos" para recrutar membros do </w:t>
      </w:r>
      <w:r>
        <w:rPr>
          <w:bCs/>
        </w:rPr>
        <w:t xml:space="preserve">colegiado das </w:t>
      </w:r>
      <w:proofErr w:type="spellStart"/>
      <w:r>
        <w:rPr>
          <w:bCs/>
        </w:rPr>
        <w:t>ARIs</w:t>
      </w:r>
      <w:proofErr w:type="spellEnd"/>
      <w:r w:rsidRPr="00CB73C2">
        <w:rPr>
          <w:bCs/>
        </w:rPr>
        <w:t>. A maioria d</w:t>
      </w:r>
      <w:r w:rsidRPr="00CB73C2">
        <w:rPr>
          <w:bCs/>
        </w:rPr>
        <w:t>esses reguladores</w:t>
      </w:r>
      <w:r w:rsidRPr="00CB73C2">
        <w:rPr>
          <w:bCs/>
        </w:rPr>
        <w:t xml:space="preserve"> tende a retornar ao setor público depois de seus mandatos. Inversamente, apenas 40 membros dos conselhos do IRA vêm do setor privado, e a maioria dos trabalhadores do setor privado pós-mandato vem do setor público. As trajetórias </w:t>
      </w:r>
      <w:r>
        <w:rPr>
          <w:bCs/>
        </w:rPr>
        <w:t>“</w:t>
      </w:r>
      <w:r w:rsidRPr="00CB73C2">
        <w:rPr>
          <w:bCs/>
        </w:rPr>
        <w:t>porta giratória</w:t>
      </w:r>
      <w:r>
        <w:rPr>
          <w:bCs/>
        </w:rPr>
        <w:t>”</w:t>
      </w:r>
      <w:r w:rsidRPr="00CB73C2">
        <w:rPr>
          <w:bCs/>
        </w:rPr>
        <w:t xml:space="preserve"> - originalmente trabalhadores do setor privado que conseguem retornar ao setor privado depois - não são as mais comuns nas </w:t>
      </w:r>
      <w:proofErr w:type="spellStart"/>
      <w:r w:rsidR="008330F6">
        <w:rPr>
          <w:bCs/>
        </w:rPr>
        <w:t>ARIs</w:t>
      </w:r>
      <w:proofErr w:type="spellEnd"/>
      <w:r w:rsidRPr="00CB73C2">
        <w:rPr>
          <w:bCs/>
        </w:rPr>
        <w:t xml:space="preserve"> brasileiras. Os 25 profissionais</w:t>
      </w:r>
      <w:r>
        <w:rPr>
          <w:bCs/>
        </w:rPr>
        <w:t xml:space="preserve"> “porta giratória”</w:t>
      </w:r>
      <w:r w:rsidRPr="00CB73C2">
        <w:rPr>
          <w:bCs/>
        </w:rPr>
        <w:t xml:space="preserve"> tendem a ser os trabalhadores mais bem pagos</w:t>
      </w:r>
      <w:r>
        <w:rPr>
          <w:bCs/>
        </w:rPr>
        <w:t xml:space="preserve"> no pós-mandato</w:t>
      </w:r>
      <w:r w:rsidRPr="00CB73C2">
        <w:rPr>
          <w:bCs/>
        </w:rPr>
        <w:t xml:space="preserve">, mas não </w:t>
      </w:r>
      <w:r>
        <w:rPr>
          <w:bCs/>
        </w:rPr>
        <w:t>se pode</w:t>
      </w:r>
      <w:r w:rsidRPr="00CB73C2">
        <w:rPr>
          <w:bCs/>
        </w:rPr>
        <w:t xml:space="preserve"> inferir causalidade. Os funcionários públicos são provavelmente escolhidos para os conselhos d</w:t>
      </w:r>
      <w:r w:rsidR="008330F6">
        <w:rPr>
          <w:bCs/>
        </w:rPr>
        <w:t>a</w:t>
      </w:r>
      <w:r w:rsidRPr="00CB73C2">
        <w:rPr>
          <w:bCs/>
        </w:rPr>
        <w:t xml:space="preserve"> </w:t>
      </w:r>
      <w:r w:rsidR="008330F6">
        <w:rPr>
          <w:bCs/>
        </w:rPr>
        <w:t>ARI</w:t>
      </w:r>
      <w:r w:rsidRPr="00CB73C2">
        <w:rPr>
          <w:bCs/>
        </w:rPr>
        <w:t xml:space="preserve"> devido à sua experiência específica - de acordo com uma perspectiva de capital humano - ou até porque conseguem expandir o “mercado” para suas habilidades - de acordo com a teoria de expansão de mercado. Essa teoria se concentra no incentivo para que os reguladores expandam a demanda do mercado por serviços que </w:t>
      </w:r>
      <w:r>
        <w:rPr>
          <w:bCs/>
        </w:rPr>
        <w:t>poderão fornecer</w:t>
      </w:r>
      <w:r w:rsidRPr="00CB73C2">
        <w:rPr>
          <w:bCs/>
        </w:rPr>
        <w:t xml:space="preserve"> quando deixa</w:t>
      </w:r>
      <w:r>
        <w:rPr>
          <w:bCs/>
        </w:rPr>
        <w:t>r</w:t>
      </w:r>
      <w:r w:rsidRPr="00CB73C2">
        <w:rPr>
          <w:bCs/>
        </w:rPr>
        <w:t>em a agência, mesmo para o próprio governo.</w:t>
      </w:r>
    </w:p>
    <w:p w:rsidR="008330F6" w:rsidRDefault="008330F6" w:rsidP="008330F6">
      <w:pPr>
        <w:spacing w:before="120" w:after="120"/>
        <w:jc w:val="both"/>
        <w:rPr>
          <w:bCs/>
          <w:lang w:val="en-US"/>
        </w:rPr>
      </w:pPr>
      <w:proofErr w:type="spellStart"/>
      <w:r>
        <w:rPr>
          <w:b/>
          <w:lang w:val="en-US"/>
        </w:rPr>
        <w:t>Palavras-chave</w:t>
      </w:r>
      <w:proofErr w:type="spellEnd"/>
      <w:r>
        <w:rPr>
          <w:b/>
          <w:lang w:val="en-US"/>
        </w:rPr>
        <w:t xml:space="preserve">: </w:t>
      </w:r>
      <w:proofErr w:type="spellStart"/>
      <w:r>
        <w:rPr>
          <w:bCs/>
          <w:lang w:val="en-US"/>
        </w:rPr>
        <w:t>Agências</w:t>
      </w:r>
      <w:proofErr w:type="spellEnd"/>
      <w:r>
        <w:rPr>
          <w:bCs/>
          <w:lang w:val="en-US"/>
        </w:rPr>
        <w:t xml:space="preserve"> </w:t>
      </w:r>
      <w:proofErr w:type="spellStart"/>
      <w:r>
        <w:rPr>
          <w:bCs/>
          <w:lang w:val="en-US"/>
        </w:rPr>
        <w:t>reguladoras</w:t>
      </w:r>
      <w:proofErr w:type="spellEnd"/>
      <w:r>
        <w:rPr>
          <w:bCs/>
          <w:lang w:val="en-US"/>
        </w:rPr>
        <w:t xml:space="preserve"> </w:t>
      </w:r>
      <w:proofErr w:type="spellStart"/>
      <w:r>
        <w:rPr>
          <w:bCs/>
          <w:lang w:val="en-US"/>
        </w:rPr>
        <w:t>independentes</w:t>
      </w:r>
      <w:proofErr w:type="spellEnd"/>
      <w:r>
        <w:rPr>
          <w:bCs/>
          <w:lang w:val="en-US"/>
        </w:rPr>
        <w:t xml:space="preserve">, </w:t>
      </w:r>
      <w:proofErr w:type="spellStart"/>
      <w:r>
        <w:rPr>
          <w:bCs/>
          <w:lang w:val="en-US"/>
        </w:rPr>
        <w:t>trajetórias</w:t>
      </w:r>
      <w:proofErr w:type="spellEnd"/>
      <w:r>
        <w:rPr>
          <w:bCs/>
          <w:lang w:val="en-US"/>
        </w:rPr>
        <w:t xml:space="preserve"> </w:t>
      </w:r>
      <w:proofErr w:type="spellStart"/>
      <w:r>
        <w:rPr>
          <w:bCs/>
          <w:lang w:val="en-US"/>
        </w:rPr>
        <w:t>profissionais</w:t>
      </w:r>
      <w:proofErr w:type="spellEnd"/>
      <w:r>
        <w:rPr>
          <w:bCs/>
          <w:lang w:val="en-US"/>
        </w:rPr>
        <w:t xml:space="preserve">, porta </w:t>
      </w:r>
      <w:proofErr w:type="spellStart"/>
      <w:r>
        <w:rPr>
          <w:bCs/>
          <w:lang w:val="en-US"/>
        </w:rPr>
        <w:t>giratória</w:t>
      </w:r>
      <w:proofErr w:type="spellEnd"/>
      <w:r>
        <w:rPr>
          <w:bCs/>
          <w:lang w:val="en-US"/>
        </w:rPr>
        <w:t xml:space="preserve">, </w:t>
      </w:r>
      <w:proofErr w:type="spellStart"/>
      <w:r>
        <w:rPr>
          <w:bCs/>
          <w:lang w:val="en-US"/>
        </w:rPr>
        <w:t>teoria</w:t>
      </w:r>
      <w:proofErr w:type="spellEnd"/>
      <w:r>
        <w:rPr>
          <w:bCs/>
          <w:lang w:val="en-US"/>
        </w:rPr>
        <w:t xml:space="preserve"> da </w:t>
      </w:r>
      <w:proofErr w:type="spellStart"/>
      <w:r>
        <w:rPr>
          <w:bCs/>
          <w:lang w:val="en-US"/>
        </w:rPr>
        <w:t>expansão</w:t>
      </w:r>
      <w:proofErr w:type="spellEnd"/>
      <w:r>
        <w:rPr>
          <w:bCs/>
          <w:lang w:val="en-US"/>
        </w:rPr>
        <w:t xml:space="preserve"> dos </w:t>
      </w:r>
      <w:proofErr w:type="spellStart"/>
      <w:r>
        <w:rPr>
          <w:bCs/>
          <w:lang w:val="en-US"/>
        </w:rPr>
        <w:t>mercados</w:t>
      </w:r>
      <w:proofErr w:type="spellEnd"/>
      <w:r>
        <w:rPr>
          <w:bCs/>
          <w:lang w:val="en-US"/>
        </w:rPr>
        <w:t>.</w:t>
      </w:r>
    </w:p>
    <w:p w:rsidR="008330F6" w:rsidRPr="00FD3CF9" w:rsidRDefault="00FA642F" w:rsidP="00CB73C2">
      <w:pPr>
        <w:spacing w:before="120" w:after="120"/>
        <w:jc w:val="both"/>
        <w:rPr>
          <w:bCs/>
          <w:lang w:val="en-US"/>
        </w:rPr>
      </w:pPr>
      <w:proofErr w:type="spellStart"/>
      <w:r>
        <w:rPr>
          <w:b/>
          <w:lang w:val="en-US"/>
        </w:rPr>
        <w:t>Área</w:t>
      </w:r>
      <w:proofErr w:type="spellEnd"/>
      <w:r>
        <w:rPr>
          <w:b/>
          <w:lang w:val="en-US"/>
        </w:rPr>
        <w:t xml:space="preserve"> ANPEC: </w:t>
      </w:r>
      <w:r w:rsidRPr="00FA642F">
        <w:rPr>
          <w:bCs/>
          <w:lang w:val="en-US"/>
        </w:rPr>
        <w:t xml:space="preserve">5 - </w:t>
      </w:r>
      <w:r w:rsidRPr="00FA642F">
        <w:rPr>
          <w:bCs/>
          <w:lang w:val="en-US"/>
        </w:rPr>
        <w:t xml:space="preserve">Economia do </w:t>
      </w:r>
      <w:proofErr w:type="spellStart"/>
      <w:r w:rsidRPr="00FA642F">
        <w:rPr>
          <w:bCs/>
          <w:lang w:val="en-US"/>
        </w:rPr>
        <w:t>Setor</w:t>
      </w:r>
      <w:proofErr w:type="spellEnd"/>
      <w:r w:rsidRPr="00FA642F">
        <w:rPr>
          <w:bCs/>
          <w:lang w:val="en-US"/>
        </w:rPr>
        <w:t xml:space="preserve"> </w:t>
      </w:r>
      <w:proofErr w:type="spellStart"/>
      <w:r w:rsidRPr="00FA642F">
        <w:rPr>
          <w:bCs/>
          <w:lang w:val="en-US"/>
        </w:rPr>
        <w:t>Público</w:t>
      </w:r>
      <w:proofErr w:type="spellEnd"/>
      <w:r>
        <w:rPr>
          <w:bCs/>
          <w:lang w:val="en-US"/>
        </w:rPr>
        <w:tab/>
      </w:r>
      <w:r w:rsidRPr="00FA642F">
        <w:rPr>
          <w:b/>
          <w:lang w:val="en-US"/>
        </w:rPr>
        <w:t>JEL</w:t>
      </w:r>
      <w:r>
        <w:rPr>
          <w:bCs/>
          <w:lang w:val="en-US"/>
        </w:rPr>
        <w:t>: L5</w:t>
      </w:r>
      <w:r w:rsidR="001E6922">
        <w:rPr>
          <w:bCs/>
          <w:lang w:val="en-US"/>
        </w:rPr>
        <w:t>1</w:t>
      </w:r>
      <w:r>
        <w:rPr>
          <w:bCs/>
          <w:lang w:val="en-US"/>
        </w:rPr>
        <w:t>, L59</w:t>
      </w:r>
    </w:p>
    <w:p w:rsidR="00FA642F" w:rsidRDefault="00FA642F" w:rsidP="00052F91">
      <w:pPr>
        <w:pBdr>
          <w:top w:val="nil"/>
          <w:left w:val="nil"/>
          <w:bottom w:val="nil"/>
          <w:right w:val="nil"/>
          <w:between w:val="nil"/>
        </w:pBdr>
        <w:spacing w:before="120" w:after="120"/>
        <w:ind w:left="284"/>
        <w:jc w:val="center"/>
        <w:rPr>
          <w:b/>
          <w:lang w:val="en-US"/>
        </w:rPr>
      </w:pPr>
    </w:p>
    <w:p w:rsidR="00C263B8" w:rsidRDefault="00C0441B" w:rsidP="00052F91">
      <w:pPr>
        <w:pBdr>
          <w:top w:val="nil"/>
          <w:left w:val="nil"/>
          <w:bottom w:val="nil"/>
          <w:right w:val="nil"/>
          <w:between w:val="nil"/>
        </w:pBdr>
        <w:spacing w:before="120" w:after="120"/>
        <w:ind w:left="284"/>
        <w:jc w:val="center"/>
        <w:rPr>
          <w:b/>
          <w:lang w:val="en-US"/>
        </w:rPr>
      </w:pPr>
      <w:r w:rsidRPr="0048762B">
        <w:rPr>
          <w:b/>
          <w:lang w:val="en-US"/>
        </w:rPr>
        <w:t>INTRODUCTION</w:t>
      </w:r>
    </w:p>
    <w:p w:rsidR="00C16C3E" w:rsidRPr="0048762B" w:rsidRDefault="00C16C3E" w:rsidP="00052F91">
      <w:pPr>
        <w:pBdr>
          <w:top w:val="nil"/>
          <w:left w:val="nil"/>
          <w:bottom w:val="nil"/>
          <w:right w:val="nil"/>
          <w:between w:val="nil"/>
        </w:pBdr>
        <w:spacing w:before="120" w:after="120"/>
        <w:ind w:left="284"/>
        <w:jc w:val="center"/>
        <w:rPr>
          <w:b/>
          <w:lang w:val="en-US"/>
        </w:rPr>
      </w:pPr>
    </w:p>
    <w:p w:rsidR="001F7122" w:rsidRPr="006C17A1" w:rsidRDefault="001F7122" w:rsidP="00993DF4">
      <w:pPr>
        <w:pBdr>
          <w:top w:val="nil"/>
          <w:left w:val="nil"/>
          <w:bottom w:val="nil"/>
          <w:right w:val="nil"/>
          <w:between w:val="nil"/>
        </w:pBdr>
        <w:spacing w:before="120" w:after="120"/>
        <w:ind w:firstLine="284"/>
        <w:jc w:val="both"/>
        <w:rPr>
          <w:lang w:val="en-US"/>
        </w:rPr>
      </w:pPr>
      <w:r w:rsidRPr="0048762B">
        <w:rPr>
          <w:lang w:val="en-US"/>
        </w:rPr>
        <w:t xml:space="preserve">Independent regulatory agencies (IRAs) have proliferated across a wide range of </w:t>
      </w:r>
      <w:r w:rsidR="003B4E56">
        <w:rPr>
          <w:lang w:val="en-US"/>
        </w:rPr>
        <w:t>countries</w:t>
      </w:r>
      <w:r w:rsidRPr="0048762B">
        <w:rPr>
          <w:lang w:val="en-US"/>
        </w:rPr>
        <w:t xml:space="preserve"> and sectors (Levi-</w:t>
      </w:r>
      <w:proofErr w:type="spellStart"/>
      <w:r w:rsidRPr="0048762B">
        <w:rPr>
          <w:lang w:val="en-US"/>
        </w:rPr>
        <w:t>Faur</w:t>
      </w:r>
      <w:proofErr w:type="spellEnd"/>
      <w:r w:rsidRPr="0048762B">
        <w:rPr>
          <w:lang w:val="en-US"/>
        </w:rPr>
        <w:t xml:space="preserve"> and </w:t>
      </w:r>
      <w:proofErr w:type="spellStart"/>
      <w:r w:rsidRPr="0048762B">
        <w:rPr>
          <w:lang w:val="en-US"/>
        </w:rPr>
        <w:t>Jordana</w:t>
      </w:r>
      <w:proofErr w:type="spellEnd"/>
      <w:r w:rsidRPr="0048762B">
        <w:rPr>
          <w:lang w:val="en-US"/>
        </w:rPr>
        <w:t xml:space="preserve">, 2005; </w:t>
      </w:r>
      <w:proofErr w:type="spellStart"/>
      <w:r w:rsidRPr="0048762B">
        <w:rPr>
          <w:lang w:val="en-US"/>
        </w:rPr>
        <w:t>Gilardi</w:t>
      </w:r>
      <w:proofErr w:type="spellEnd"/>
      <w:r w:rsidRPr="0048762B">
        <w:rPr>
          <w:lang w:val="en-US"/>
        </w:rPr>
        <w:t xml:space="preserve"> et al.2006, </w:t>
      </w:r>
      <w:proofErr w:type="spellStart"/>
      <w:r w:rsidRPr="0048762B">
        <w:rPr>
          <w:lang w:val="en-US"/>
        </w:rPr>
        <w:t>Gilardi</w:t>
      </w:r>
      <w:proofErr w:type="spellEnd"/>
      <w:r w:rsidRPr="0048762B">
        <w:rPr>
          <w:lang w:val="en-US"/>
        </w:rPr>
        <w:t xml:space="preserve"> 2008; </w:t>
      </w:r>
      <w:proofErr w:type="spellStart"/>
      <w:r w:rsidRPr="0048762B">
        <w:rPr>
          <w:lang w:val="en-US"/>
        </w:rPr>
        <w:t>Jordana</w:t>
      </w:r>
      <w:proofErr w:type="spellEnd"/>
      <w:r w:rsidRPr="0048762B">
        <w:rPr>
          <w:lang w:val="en-US"/>
        </w:rPr>
        <w:t xml:space="preserve"> et al. 2011). While delegation theories have explored the rationale for creating independent regulatory institutions, and focused on the relationship among the agencies and policy makers (</w:t>
      </w:r>
      <w:proofErr w:type="spellStart"/>
      <w:r w:rsidRPr="0048762B">
        <w:rPr>
          <w:lang w:val="en-US"/>
        </w:rPr>
        <w:t>Gilardi</w:t>
      </w:r>
      <w:proofErr w:type="spellEnd"/>
      <w:r w:rsidRPr="0048762B">
        <w:rPr>
          <w:lang w:val="en-US"/>
        </w:rPr>
        <w:t xml:space="preserve">, 2002; Shapiro, 2002), diffusion theories have also identified mimetic pressured for IRAs diffusion </w:t>
      </w:r>
      <w:r w:rsidR="00C0441B" w:rsidRPr="0048762B">
        <w:rPr>
          <w:lang w:val="en-US"/>
        </w:rPr>
        <w:t>(</w:t>
      </w:r>
      <w:proofErr w:type="spellStart"/>
      <w:r w:rsidR="00C0441B" w:rsidRPr="0048762B">
        <w:rPr>
          <w:lang w:val="en-US"/>
        </w:rPr>
        <w:t>Beblavy</w:t>
      </w:r>
      <w:proofErr w:type="spellEnd"/>
      <w:r w:rsidR="00C0441B" w:rsidRPr="0048762B">
        <w:rPr>
          <w:lang w:val="en-US"/>
        </w:rPr>
        <w:t xml:space="preserve">, 2011; Christensen and </w:t>
      </w:r>
      <w:proofErr w:type="spellStart"/>
      <w:r w:rsidR="00C0441B" w:rsidRPr="0048762B">
        <w:rPr>
          <w:lang w:val="en-US"/>
        </w:rPr>
        <w:t>Lægreid</w:t>
      </w:r>
      <w:proofErr w:type="spellEnd"/>
      <w:r w:rsidR="00C0441B" w:rsidRPr="0048762B">
        <w:rPr>
          <w:lang w:val="en-US"/>
        </w:rPr>
        <w:t xml:space="preserve">, 2005; </w:t>
      </w:r>
      <w:proofErr w:type="spellStart"/>
      <w:r w:rsidR="00C0441B" w:rsidRPr="0048762B">
        <w:rPr>
          <w:lang w:val="en-US"/>
        </w:rPr>
        <w:t>Jordana</w:t>
      </w:r>
      <w:proofErr w:type="spellEnd"/>
      <w:r w:rsidR="00C0441B" w:rsidRPr="0048762B">
        <w:rPr>
          <w:lang w:val="en-US"/>
        </w:rPr>
        <w:t xml:space="preserve"> et al., 2011).</w:t>
      </w:r>
      <w:r w:rsidR="008574F6" w:rsidRPr="0048762B">
        <w:rPr>
          <w:lang w:val="en-US"/>
        </w:rPr>
        <w:t xml:space="preserve"> Independence is associated to a set of legal measures and expertise requirements that is supposed to guarantee stability to IRA`s board members despite government`s term of office. </w:t>
      </w:r>
      <w:r w:rsidR="008574F6" w:rsidRPr="006C17A1">
        <w:rPr>
          <w:lang w:val="en-US"/>
        </w:rPr>
        <w:t>Yet, the formal adoption of the IRAs doesn`t necessarily translate in actual independent decision-making in policymaking domains (</w:t>
      </w:r>
      <w:proofErr w:type="spellStart"/>
      <w:r w:rsidR="006C17A1" w:rsidRPr="006C17A1">
        <w:rPr>
          <w:lang w:val="en-US"/>
        </w:rPr>
        <w:t>Jordana</w:t>
      </w:r>
      <w:proofErr w:type="spellEnd"/>
      <w:r w:rsidR="006C17A1" w:rsidRPr="006C17A1">
        <w:rPr>
          <w:lang w:val="en-US"/>
        </w:rPr>
        <w:t xml:space="preserve"> and </w:t>
      </w:r>
      <w:proofErr w:type="spellStart"/>
      <w:r w:rsidR="006C17A1" w:rsidRPr="006C17A1">
        <w:rPr>
          <w:lang w:val="en-US"/>
        </w:rPr>
        <w:t>Ramio</w:t>
      </w:r>
      <w:proofErr w:type="spellEnd"/>
      <w:r w:rsidR="006C17A1" w:rsidRPr="006C17A1">
        <w:rPr>
          <w:lang w:val="en-US"/>
        </w:rPr>
        <w:t xml:space="preserve">́, 2010; </w:t>
      </w:r>
      <w:proofErr w:type="spellStart"/>
      <w:r w:rsidR="006C17A1" w:rsidRPr="006C17A1">
        <w:rPr>
          <w:lang w:val="en-US"/>
        </w:rPr>
        <w:t>Maggetti</w:t>
      </w:r>
      <w:proofErr w:type="spellEnd"/>
      <w:r w:rsidR="006C17A1" w:rsidRPr="006C17A1">
        <w:rPr>
          <w:lang w:val="en-US"/>
        </w:rPr>
        <w:t>, 2007; Fernández</w:t>
      </w:r>
      <w:r w:rsidR="006C17A1" w:rsidRPr="006C17A1">
        <w:rPr>
          <w:rFonts w:ascii="Cambria Math" w:hAnsi="Cambria Math" w:cs="Cambria Math"/>
          <w:lang w:val="en-US"/>
        </w:rPr>
        <w:t>‐</w:t>
      </w:r>
      <w:proofErr w:type="spellStart"/>
      <w:r w:rsidR="006C17A1" w:rsidRPr="006C17A1">
        <w:rPr>
          <w:lang w:val="en-US"/>
        </w:rPr>
        <w:t>i</w:t>
      </w:r>
      <w:proofErr w:type="spellEnd"/>
      <w:r w:rsidR="006C17A1" w:rsidRPr="006C17A1">
        <w:rPr>
          <w:rFonts w:ascii="Cambria Math" w:hAnsi="Cambria Math" w:cs="Cambria Math"/>
          <w:lang w:val="en-US"/>
        </w:rPr>
        <w:t>‐</w:t>
      </w:r>
      <w:r w:rsidR="006C17A1" w:rsidRPr="006C17A1">
        <w:rPr>
          <w:lang w:val="en-US"/>
        </w:rPr>
        <w:t xml:space="preserve">Marín, </w:t>
      </w:r>
      <w:proofErr w:type="spellStart"/>
      <w:r w:rsidR="006C17A1" w:rsidRPr="006C17A1">
        <w:rPr>
          <w:lang w:val="en-US"/>
        </w:rPr>
        <w:t>Jordana</w:t>
      </w:r>
      <w:proofErr w:type="spellEnd"/>
      <w:r w:rsidR="006C17A1" w:rsidRPr="006C17A1">
        <w:rPr>
          <w:lang w:val="en-US"/>
        </w:rPr>
        <w:t xml:space="preserve"> </w:t>
      </w:r>
      <w:r w:rsidR="006C17A1">
        <w:rPr>
          <w:lang w:val="en-US"/>
        </w:rPr>
        <w:t>and</w:t>
      </w:r>
      <w:r w:rsidR="006C17A1" w:rsidRPr="006C17A1">
        <w:rPr>
          <w:lang w:val="en-US"/>
        </w:rPr>
        <w:t xml:space="preserve"> Bianculli, </w:t>
      </w:r>
      <w:r w:rsidR="006C17A1">
        <w:rPr>
          <w:lang w:val="en-US"/>
        </w:rPr>
        <w:t>2016</w:t>
      </w:r>
      <w:r w:rsidR="008574F6" w:rsidRPr="006C17A1">
        <w:rPr>
          <w:lang w:val="en-US"/>
        </w:rPr>
        <w:t xml:space="preserve">).  </w:t>
      </w:r>
    </w:p>
    <w:p w:rsidR="005E1CE6" w:rsidRDefault="00AC3BA3" w:rsidP="00993DF4">
      <w:pPr>
        <w:pBdr>
          <w:top w:val="nil"/>
          <w:left w:val="nil"/>
          <w:bottom w:val="nil"/>
          <w:right w:val="nil"/>
          <w:between w:val="nil"/>
        </w:pBdr>
        <w:spacing w:before="120" w:after="120"/>
        <w:ind w:firstLine="284"/>
        <w:jc w:val="both"/>
        <w:rPr>
          <w:lang w:val="en-US"/>
        </w:rPr>
      </w:pPr>
      <w:r>
        <w:rPr>
          <w:lang w:val="en-US"/>
        </w:rPr>
        <w:t xml:space="preserve">However, there is broad acceptance that </w:t>
      </w:r>
      <w:r w:rsidR="00C35041">
        <w:rPr>
          <w:lang w:val="en-US"/>
        </w:rPr>
        <w:t>th</w:t>
      </w:r>
      <w:r>
        <w:rPr>
          <w:lang w:val="en-US"/>
        </w:rPr>
        <w:t xml:space="preserve">e </w:t>
      </w:r>
      <w:r w:rsidR="00C35041" w:rsidRPr="00C35041">
        <w:rPr>
          <w:i/>
          <w:lang w:val="en-US"/>
        </w:rPr>
        <w:t>de jure</w:t>
      </w:r>
      <w:r w:rsidR="00C35041" w:rsidRPr="00C35041">
        <w:rPr>
          <w:lang w:val="en-US"/>
        </w:rPr>
        <w:t xml:space="preserve"> Independence of IRAs is </w:t>
      </w:r>
      <w:r w:rsidR="00C35041">
        <w:rPr>
          <w:lang w:val="en-US"/>
        </w:rPr>
        <w:t xml:space="preserve">intimately related with the </w:t>
      </w:r>
      <w:r w:rsidR="00C35041" w:rsidRPr="00C35041">
        <w:rPr>
          <w:i/>
          <w:lang w:val="en-US"/>
        </w:rPr>
        <w:t>de facto</w:t>
      </w:r>
      <w:r w:rsidR="00C35041">
        <w:rPr>
          <w:lang w:val="en-US"/>
        </w:rPr>
        <w:t xml:space="preserve"> independence of IRAs board members (</w:t>
      </w:r>
      <w:r w:rsidR="00C35041" w:rsidRPr="006C17A1">
        <w:rPr>
          <w:lang w:val="en-US"/>
        </w:rPr>
        <w:t>Fernández</w:t>
      </w:r>
      <w:r w:rsidR="00C35041" w:rsidRPr="006C17A1">
        <w:rPr>
          <w:rFonts w:ascii="Cambria Math" w:hAnsi="Cambria Math" w:cs="Cambria Math"/>
          <w:lang w:val="en-US"/>
        </w:rPr>
        <w:t>‐</w:t>
      </w:r>
      <w:proofErr w:type="spellStart"/>
      <w:r w:rsidR="00C35041" w:rsidRPr="006C17A1">
        <w:rPr>
          <w:lang w:val="en-US"/>
        </w:rPr>
        <w:t>i</w:t>
      </w:r>
      <w:proofErr w:type="spellEnd"/>
      <w:r w:rsidR="00C35041" w:rsidRPr="006C17A1">
        <w:rPr>
          <w:rFonts w:ascii="Cambria Math" w:hAnsi="Cambria Math" w:cs="Cambria Math"/>
          <w:lang w:val="en-US"/>
        </w:rPr>
        <w:t>‐</w:t>
      </w:r>
      <w:r w:rsidR="00C35041" w:rsidRPr="006C17A1">
        <w:rPr>
          <w:lang w:val="en-US"/>
        </w:rPr>
        <w:t xml:space="preserve">Marín, </w:t>
      </w:r>
      <w:proofErr w:type="spellStart"/>
      <w:r w:rsidR="00C35041" w:rsidRPr="006C17A1">
        <w:rPr>
          <w:lang w:val="en-US"/>
        </w:rPr>
        <w:t>Jordana</w:t>
      </w:r>
      <w:proofErr w:type="spellEnd"/>
      <w:r w:rsidR="00C35041" w:rsidRPr="006C17A1">
        <w:rPr>
          <w:lang w:val="en-US"/>
        </w:rPr>
        <w:t xml:space="preserve"> </w:t>
      </w:r>
      <w:r w:rsidR="00C35041">
        <w:rPr>
          <w:lang w:val="en-US"/>
        </w:rPr>
        <w:t>and</w:t>
      </w:r>
      <w:r w:rsidR="00C35041" w:rsidRPr="006C17A1">
        <w:rPr>
          <w:lang w:val="en-US"/>
        </w:rPr>
        <w:t xml:space="preserve"> Bianculli, </w:t>
      </w:r>
      <w:r w:rsidR="00C35041">
        <w:rPr>
          <w:lang w:val="en-US"/>
        </w:rPr>
        <w:t>2016).</w:t>
      </w:r>
      <w:r>
        <w:rPr>
          <w:lang w:val="en-US"/>
        </w:rPr>
        <w:t xml:space="preserve"> </w:t>
      </w:r>
      <w:r w:rsidR="005E1CE6">
        <w:rPr>
          <w:lang w:val="en-US"/>
        </w:rPr>
        <w:t>Understanding the professional trajectories of the regulators, before and after their terms</w:t>
      </w:r>
      <w:r w:rsidR="00CC7BE8">
        <w:rPr>
          <w:lang w:val="en-US"/>
        </w:rPr>
        <w:t>,</w:t>
      </w:r>
      <w:r w:rsidR="005E1CE6">
        <w:rPr>
          <w:lang w:val="en-US"/>
        </w:rPr>
        <w:t xml:space="preserve"> can shield light on the </w:t>
      </w:r>
      <w:r w:rsidR="005E1CE6" w:rsidRPr="0048762B">
        <w:rPr>
          <w:i/>
          <w:lang w:val="en-US"/>
        </w:rPr>
        <w:t>de facto</w:t>
      </w:r>
      <w:r w:rsidR="005E1CE6">
        <w:rPr>
          <w:lang w:val="en-US"/>
        </w:rPr>
        <w:t xml:space="preserve"> independence of IRAs. </w:t>
      </w:r>
      <w:r w:rsidR="00DC000E">
        <w:rPr>
          <w:lang w:val="en-US"/>
        </w:rPr>
        <w:t xml:space="preserve">Where do the regulators come from, and where to they go after serving their terms in IRAs elucidates how the dynamic of independence enfolds in different policy context. </w:t>
      </w:r>
    </w:p>
    <w:p w:rsidR="005E1CE6" w:rsidRDefault="00DC000E" w:rsidP="00993DF4">
      <w:pPr>
        <w:pBdr>
          <w:top w:val="nil"/>
          <w:left w:val="nil"/>
          <w:bottom w:val="nil"/>
          <w:right w:val="nil"/>
          <w:between w:val="nil"/>
        </w:pBdr>
        <w:spacing w:before="120" w:after="120"/>
        <w:ind w:firstLine="284"/>
        <w:jc w:val="both"/>
        <w:rPr>
          <w:lang w:val="en-US"/>
        </w:rPr>
      </w:pPr>
      <w:r>
        <w:rPr>
          <w:lang w:val="en-US"/>
        </w:rPr>
        <w:t xml:space="preserve">Theoretically, </w:t>
      </w:r>
      <w:r w:rsidR="00D55D39">
        <w:rPr>
          <w:lang w:val="en-US"/>
        </w:rPr>
        <w:t xml:space="preserve">prior to their mandates, regulators </w:t>
      </w:r>
      <w:r w:rsidR="00890757">
        <w:rPr>
          <w:lang w:val="en-US"/>
        </w:rPr>
        <w:t>need to be distinguished by professional carrier marked by expertise (training or work experience) in the regulated area and the apolitical profile</w:t>
      </w:r>
      <w:r w:rsidR="00CC7BE8">
        <w:rPr>
          <w:lang w:val="en-US"/>
        </w:rPr>
        <w:t>, since professional</w:t>
      </w:r>
      <w:r w:rsidR="00890757">
        <w:rPr>
          <w:lang w:val="en-US"/>
        </w:rPr>
        <w:t>s</w:t>
      </w:r>
      <w:r w:rsidR="00CC7BE8">
        <w:rPr>
          <w:lang w:val="en-US"/>
        </w:rPr>
        <w:t xml:space="preserve"> without political interests would experience less interference in decision making, guaranteeing their autonomy (</w:t>
      </w:r>
      <w:r w:rsidR="00CC7BE8" w:rsidRPr="006C17A1">
        <w:rPr>
          <w:lang w:val="en-US"/>
        </w:rPr>
        <w:t>Fernández</w:t>
      </w:r>
      <w:r w:rsidR="00CC7BE8" w:rsidRPr="006C17A1">
        <w:rPr>
          <w:rFonts w:ascii="Cambria Math" w:hAnsi="Cambria Math" w:cs="Cambria Math"/>
          <w:lang w:val="en-US"/>
        </w:rPr>
        <w:t>‐</w:t>
      </w:r>
      <w:proofErr w:type="spellStart"/>
      <w:r w:rsidR="00CC7BE8" w:rsidRPr="006C17A1">
        <w:rPr>
          <w:lang w:val="en-US"/>
        </w:rPr>
        <w:t>i</w:t>
      </w:r>
      <w:proofErr w:type="spellEnd"/>
      <w:r w:rsidR="00CC7BE8" w:rsidRPr="006C17A1">
        <w:rPr>
          <w:rFonts w:ascii="Cambria Math" w:hAnsi="Cambria Math" w:cs="Cambria Math"/>
          <w:lang w:val="en-US"/>
        </w:rPr>
        <w:t>‐</w:t>
      </w:r>
      <w:r w:rsidR="00CC7BE8" w:rsidRPr="006C17A1">
        <w:rPr>
          <w:lang w:val="en-US"/>
        </w:rPr>
        <w:t xml:space="preserve">Marín, </w:t>
      </w:r>
      <w:proofErr w:type="spellStart"/>
      <w:r w:rsidR="00CC7BE8" w:rsidRPr="006C17A1">
        <w:rPr>
          <w:lang w:val="en-US"/>
        </w:rPr>
        <w:t>Jordana</w:t>
      </w:r>
      <w:proofErr w:type="spellEnd"/>
      <w:r w:rsidR="00CC7BE8" w:rsidRPr="006C17A1">
        <w:rPr>
          <w:lang w:val="en-US"/>
        </w:rPr>
        <w:t xml:space="preserve"> </w:t>
      </w:r>
      <w:r w:rsidR="00CC7BE8">
        <w:rPr>
          <w:lang w:val="en-US"/>
        </w:rPr>
        <w:t>and</w:t>
      </w:r>
      <w:r w:rsidR="00CC7BE8" w:rsidRPr="006C17A1">
        <w:rPr>
          <w:lang w:val="en-US"/>
        </w:rPr>
        <w:t xml:space="preserve"> Bianculli, </w:t>
      </w:r>
      <w:r w:rsidR="00CC7BE8">
        <w:rPr>
          <w:lang w:val="en-US"/>
        </w:rPr>
        <w:t xml:space="preserve">2016). </w:t>
      </w:r>
      <w:r>
        <w:rPr>
          <w:lang w:val="en-US"/>
        </w:rPr>
        <w:t xml:space="preserve">In practice, </w:t>
      </w:r>
      <w:r w:rsidR="005E1CE6">
        <w:rPr>
          <w:lang w:val="en-US"/>
        </w:rPr>
        <w:t>political, not expertise-based criteria, might influence regulators</w:t>
      </w:r>
      <w:r w:rsidR="009E40FC">
        <w:rPr>
          <w:lang w:val="en-US"/>
        </w:rPr>
        <w:t>’</w:t>
      </w:r>
      <w:r>
        <w:rPr>
          <w:lang w:val="en-US"/>
        </w:rPr>
        <w:t xml:space="preserve"> indications, as commonly exposed by the media. </w:t>
      </w:r>
      <w:r w:rsidR="00CC7BE8">
        <w:rPr>
          <w:lang w:val="en-US"/>
        </w:rPr>
        <w:t xml:space="preserve">Research indicates that political affiliation of regulators is relevant in </w:t>
      </w:r>
      <w:r w:rsidR="00AF2A61">
        <w:rPr>
          <w:lang w:val="en-US"/>
        </w:rPr>
        <w:t xml:space="preserve">different national context </w:t>
      </w:r>
      <w:r w:rsidR="00CC7BE8">
        <w:rPr>
          <w:lang w:val="en-US"/>
        </w:rPr>
        <w:t>(</w:t>
      </w:r>
      <w:r w:rsidR="00AF2A61" w:rsidRPr="006C17A1">
        <w:rPr>
          <w:lang w:val="en-US"/>
        </w:rPr>
        <w:t>Fernández</w:t>
      </w:r>
      <w:r w:rsidR="00AF2A61" w:rsidRPr="006C17A1">
        <w:rPr>
          <w:rFonts w:ascii="Cambria Math" w:hAnsi="Cambria Math" w:cs="Cambria Math"/>
          <w:lang w:val="en-US"/>
        </w:rPr>
        <w:t>‐</w:t>
      </w:r>
      <w:proofErr w:type="spellStart"/>
      <w:r w:rsidR="00AF2A61" w:rsidRPr="006C17A1">
        <w:rPr>
          <w:lang w:val="en-US"/>
        </w:rPr>
        <w:t>i</w:t>
      </w:r>
      <w:proofErr w:type="spellEnd"/>
      <w:r w:rsidR="00AF2A61" w:rsidRPr="006C17A1">
        <w:rPr>
          <w:rFonts w:ascii="Cambria Math" w:hAnsi="Cambria Math" w:cs="Cambria Math"/>
          <w:lang w:val="en-US"/>
        </w:rPr>
        <w:t>‐</w:t>
      </w:r>
      <w:r w:rsidR="00AF2A61" w:rsidRPr="006C17A1">
        <w:rPr>
          <w:lang w:val="en-US"/>
        </w:rPr>
        <w:t xml:space="preserve">Marín, </w:t>
      </w:r>
      <w:proofErr w:type="spellStart"/>
      <w:r w:rsidR="00AF2A61" w:rsidRPr="006C17A1">
        <w:rPr>
          <w:lang w:val="en-US"/>
        </w:rPr>
        <w:t>Jordana</w:t>
      </w:r>
      <w:proofErr w:type="spellEnd"/>
      <w:r w:rsidR="00AF2A61" w:rsidRPr="006C17A1">
        <w:rPr>
          <w:lang w:val="en-US"/>
        </w:rPr>
        <w:t xml:space="preserve"> </w:t>
      </w:r>
      <w:r w:rsidR="00AF2A61">
        <w:rPr>
          <w:lang w:val="en-US"/>
        </w:rPr>
        <w:t>and</w:t>
      </w:r>
      <w:r w:rsidR="00AF2A61" w:rsidRPr="006C17A1">
        <w:rPr>
          <w:lang w:val="en-US"/>
        </w:rPr>
        <w:t xml:space="preserve"> Bianculli, </w:t>
      </w:r>
      <w:r w:rsidR="00AF2A61">
        <w:rPr>
          <w:lang w:val="en-US"/>
        </w:rPr>
        <w:t xml:space="preserve">2016; </w:t>
      </w:r>
      <w:r>
        <w:rPr>
          <w:lang w:val="en-US"/>
        </w:rPr>
        <w:t>Thatcher</w:t>
      </w:r>
      <w:r w:rsidR="00CC7BE8">
        <w:rPr>
          <w:lang w:val="en-US"/>
        </w:rPr>
        <w:t xml:space="preserve">, </w:t>
      </w:r>
      <w:r>
        <w:rPr>
          <w:lang w:val="en-US"/>
        </w:rPr>
        <w:t>2005)</w:t>
      </w:r>
      <w:r w:rsidR="00AF2A61">
        <w:rPr>
          <w:lang w:val="en-US"/>
        </w:rPr>
        <w:t xml:space="preserve">, but this is also the case of </w:t>
      </w:r>
      <w:r w:rsidR="00890757">
        <w:rPr>
          <w:lang w:val="en-US"/>
        </w:rPr>
        <w:t xml:space="preserve">the expertise originated </w:t>
      </w:r>
      <w:r w:rsidR="00AF2A61">
        <w:rPr>
          <w:lang w:val="en-US"/>
        </w:rPr>
        <w:t>from the public sector (</w:t>
      </w:r>
      <w:r w:rsidR="00AF2A61" w:rsidRPr="00AC3BA3">
        <w:rPr>
          <w:lang w:val="en-US"/>
        </w:rPr>
        <w:t xml:space="preserve">Eckert, 1981; </w:t>
      </w:r>
      <w:r w:rsidR="00AF2A61" w:rsidRPr="006C17A1">
        <w:rPr>
          <w:lang w:val="en-US"/>
        </w:rPr>
        <w:t>Fernández</w:t>
      </w:r>
      <w:r w:rsidR="00AF2A61" w:rsidRPr="006C17A1">
        <w:rPr>
          <w:rFonts w:ascii="Cambria Math" w:hAnsi="Cambria Math" w:cs="Cambria Math"/>
          <w:lang w:val="en-US"/>
        </w:rPr>
        <w:t>‐</w:t>
      </w:r>
      <w:proofErr w:type="spellStart"/>
      <w:r w:rsidR="00AF2A61" w:rsidRPr="006C17A1">
        <w:rPr>
          <w:lang w:val="en-US"/>
        </w:rPr>
        <w:t>i</w:t>
      </w:r>
      <w:proofErr w:type="spellEnd"/>
      <w:r w:rsidR="00AF2A61" w:rsidRPr="006C17A1">
        <w:rPr>
          <w:rFonts w:ascii="Cambria Math" w:hAnsi="Cambria Math" w:cs="Cambria Math"/>
          <w:lang w:val="en-US"/>
        </w:rPr>
        <w:t>‐</w:t>
      </w:r>
      <w:r w:rsidR="00AF2A61" w:rsidRPr="006C17A1">
        <w:rPr>
          <w:lang w:val="en-US"/>
        </w:rPr>
        <w:t xml:space="preserve">Marín, </w:t>
      </w:r>
      <w:proofErr w:type="spellStart"/>
      <w:r w:rsidR="00AF2A61" w:rsidRPr="006C17A1">
        <w:rPr>
          <w:lang w:val="en-US"/>
        </w:rPr>
        <w:t>Jordana</w:t>
      </w:r>
      <w:proofErr w:type="spellEnd"/>
      <w:r w:rsidR="00AF2A61" w:rsidRPr="006C17A1">
        <w:rPr>
          <w:lang w:val="en-US"/>
        </w:rPr>
        <w:t xml:space="preserve"> </w:t>
      </w:r>
      <w:r w:rsidR="00AF2A61">
        <w:rPr>
          <w:lang w:val="en-US"/>
        </w:rPr>
        <w:t>and</w:t>
      </w:r>
      <w:r w:rsidR="00AF2A61" w:rsidRPr="006C17A1">
        <w:rPr>
          <w:lang w:val="en-US"/>
        </w:rPr>
        <w:t xml:space="preserve"> Bianculli, </w:t>
      </w:r>
      <w:r w:rsidR="00AF2A61">
        <w:rPr>
          <w:lang w:val="en-US"/>
        </w:rPr>
        <w:t xml:space="preserve">2016; </w:t>
      </w:r>
      <w:r w:rsidR="00AF2A61" w:rsidRPr="00AC3BA3">
        <w:rPr>
          <w:lang w:val="en-US"/>
        </w:rPr>
        <w:t>Spiller, 1990</w:t>
      </w:r>
      <w:r w:rsidR="00AF2A61">
        <w:rPr>
          <w:lang w:val="en-US"/>
        </w:rPr>
        <w:t>).</w:t>
      </w:r>
      <w:r w:rsidR="00890757">
        <w:rPr>
          <w:lang w:val="en-US"/>
        </w:rPr>
        <w:t xml:space="preserve"> </w:t>
      </w:r>
      <w:r w:rsidR="00DF7458">
        <w:rPr>
          <w:lang w:val="en-US"/>
        </w:rPr>
        <w:t xml:space="preserve">For regulators moving from the industry to IRAs, there is widespread fear that they will be “friendlier” to the market because they have been socialized </w:t>
      </w:r>
      <w:r w:rsidR="001D388D">
        <w:rPr>
          <w:lang w:val="en-US"/>
        </w:rPr>
        <w:t>within the industry (Zheng, 2014</w:t>
      </w:r>
      <w:r w:rsidR="00DF7458">
        <w:rPr>
          <w:lang w:val="en-US"/>
        </w:rPr>
        <w:t>). Gormley (1979) observed that prior employment with the broadcasting industry affected the voting patterns of the commissioners at the FCC, but also found that the party affiliation of the commissioners was a better indicator of their voting behavior than their prior industry employment. More recent research, however, found unexpected results related to the political affili</w:t>
      </w:r>
      <w:r w:rsidR="00A711A0">
        <w:rPr>
          <w:lang w:val="en-US"/>
        </w:rPr>
        <w:t>a</w:t>
      </w:r>
      <w:r w:rsidR="00DF7458">
        <w:rPr>
          <w:lang w:val="en-US"/>
        </w:rPr>
        <w:t xml:space="preserve">tion of regulator </w:t>
      </w:r>
      <w:r w:rsidR="00A711A0">
        <w:rPr>
          <w:lang w:val="en-US"/>
        </w:rPr>
        <w:t>on</w:t>
      </w:r>
      <w:r w:rsidR="00A711A0" w:rsidRPr="00A711A0">
        <w:rPr>
          <w:i/>
          <w:lang w:val="en-US"/>
        </w:rPr>
        <w:t xml:space="preserve"> </w:t>
      </w:r>
      <w:r w:rsidR="00A711A0" w:rsidRPr="00890757">
        <w:rPr>
          <w:i/>
          <w:lang w:val="en-US"/>
        </w:rPr>
        <w:t>de facto</w:t>
      </w:r>
      <w:r w:rsidR="00A711A0">
        <w:rPr>
          <w:lang w:val="en-US"/>
        </w:rPr>
        <w:t xml:space="preserve"> autonomy of IRAs </w:t>
      </w:r>
      <w:r w:rsidR="00DF7458">
        <w:rPr>
          <w:lang w:val="en-US"/>
        </w:rPr>
        <w:t>in</w:t>
      </w:r>
      <w:r w:rsidR="00A711A0">
        <w:rPr>
          <w:lang w:val="en-US"/>
        </w:rPr>
        <w:t xml:space="preserve"> a different context </w:t>
      </w:r>
      <w:r w:rsidR="00890757">
        <w:rPr>
          <w:lang w:val="en-US"/>
        </w:rPr>
        <w:t xml:space="preserve">(e.g. </w:t>
      </w:r>
      <w:r w:rsidR="00890757" w:rsidRPr="006C17A1">
        <w:rPr>
          <w:lang w:val="en-US"/>
        </w:rPr>
        <w:t>Fernández</w:t>
      </w:r>
      <w:r w:rsidR="00890757" w:rsidRPr="006C17A1">
        <w:rPr>
          <w:rFonts w:ascii="Cambria Math" w:hAnsi="Cambria Math" w:cs="Cambria Math"/>
          <w:lang w:val="en-US"/>
        </w:rPr>
        <w:t>‐</w:t>
      </w:r>
      <w:proofErr w:type="spellStart"/>
      <w:r w:rsidR="00890757" w:rsidRPr="006C17A1">
        <w:rPr>
          <w:lang w:val="en-US"/>
        </w:rPr>
        <w:t>i</w:t>
      </w:r>
      <w:proofErr w:type="spellEnd"/>
      <w:r w:rsidR="00890757" w:rsidRPr="006C17A1">
        <w:rPr>
          <w:rFonts w:ascii="Cambria Math" w:hAnsi="Cambria Math" w:cs="Cambria Math"/>
          <w:lang w:val="en-US"/>
        </w:rPr>
        <w:t>‐</w:t>
      </w:r>
      <w:r w:rsidR="00890757" w:rsidRPr="006C17A1">
        <w:rPr>
          <w:lang w:val="en-US"/>
        </w:rPr>
        <w:t xml:space="preserve">Marín, </w:t>
      </w:r>
      <w:proofErr w:type="spellStart"/>
      <w:r w:rsidR="00890757" w:rsidRPr="006C17A1">
        <w:rPr>
          <w:lang w:val="en-US"/>
        </w:rPr>
        <w:t>Jordana</w:t>
      </w:r>
      <w:proofErr w:type="spellEnd"/>
      <w:r w:rsidR="00890757" w:rsidRPr="006C17A1">
        <w:rPr>
          <w:lang w:val="en-US"/>
        </w:rPr>
        <w:t xml:space="preserve"> </w:t>
      </w:r>
      <w:r w:rsidR="00890757">
        <w:rPr>
          <w:lang w:val="en-US"/>
        </w:rPr>
        <w:t>and</w:t>
      </w:r>
      <w:r w:rsidR="00890757" w:rsidRPr="006C17A1">
        <w:rPr>
          <w:lang w:val="en-US"/>
        </w:rPr>
        <w:t xml:space="preserve"> Bianculli, </w:t>
      </w:r>
      <w:r w:rsidR="00890757">
        <w:rPr>
          <w:lang w:val="en-US"/>
        </w:rPr>
        <w:t>2016</w:t>
      </w:r>
      <w:r w:rsidR="0048762B">
        <w:rPr>
          <w:lang w:val="en-US"/>
        </w:rPr>
        <w:t>,</w:t>
      </w:r>
      <w:r w:rsidR="00890757">
        <w:rPr>
          <w:lang w:val="en-US"/>
        </w:rPr>
        <w:t xml:space="preserve"> about Spain).</w:t>
      </w:r>
    </w:p>
    <w:p w:rsidR="00890757" w:rsidRDefault="00AF2A61" w:rsidP="00993DF4">
      <w:pPr>
        <w:pBdr>
          <w:top w:val="nil"/>
          <w:left w:val="nil"/>
          <w:bottom w:val="nil"/>
          <w:right w:val="nil"/>
          <w:between w:val="nil"/>
        </w:pBdr>
        <w:spacing w:before="120" w:after="120"/>
        <w:ind w:firstLine="284"/>
        <w:jc w:val="both"/>
        <w:rPr>
          <w:lang w:val="en-US"/>
        </w:rPr>
      </w:pPr>
      <w:r>
        <w:rPr>
          <w:lang w:val="en-US"/>
        </w:rPr>
        <w:t xml:space="preserve">On the other hand, </w:t>
      </w:r>
      <w:r w:rsidR="00890757">
        <w:rPr>
          <w:lang w:val="en-US"/>
        </w:rPr>
        <w:t>professional trajectories of the regulators after their terms have corroborated broadly accepted narratives of regulatory capture. Indeed, some studies</w:t>
      </w:r>
      <w:r w:rsidR="00AC3BA3">
        <w:rPr>
          <w:lang w:val="en-US"/>
        </w:rPr>
        <w:t xml:space="preserve"> indicat</w:t>
      </w:r>
      <w:r w:rsidR="005E1CE6">
        <w:rPr>
          <w:lang w:val="en-US"/>
        </w:rPr>
        <w:t>e</w:t>
      </w:r>
      <w:r w:rsidR="00AC3BA3">
        <w:rPr>
          <w:lang w:val="en-US"/>
        </w:rPr>
        <w:t xml:space="preserve"> that</w:t>
      </w:r>
      <w:r w:rsidR="00AC3BA3" w:rsidRPr="00AC3BA3">
        <w:rPr>
          <w:lang w:val="en-US"/>
        </w:rPr>
        <w:t xml:space="preserve"> after </w:t>
      </w:r>
      <w:r w:rsidR="00AC3BA3">
        <w:rPr>
          <w:lang w:val="en-US"/>
        </w:rPr>
        <w:t xml:space="preserve">their </w:t>
      </w:r>
      <w:r w:rsidR="00AC3BA3" w:rsidRPr="00AC3BA3">
        <w:rPr>
          <w:lang w:val="en-US"/>
        </w:rPr>
        <w:t>term, regulators are rewarded with well-paid jobs in the regulated industry</w:t>
      </w:r>
      <w:r w:rsidR="00AC3BA3">
        <w:rPr>
          <w:lang w:val="en-US"/>
        </w:rPr>
        <w:t xml:space="preserve"> (</w:t>
      </w:r>
      <w:r w:rsidR="00AC3BA3" w:rsidRPr="00AC3BA3">
        <w:rPr>
          <w:lang w:val="en-US"/>
        </w:rPr>
        <w:t>Eckert, 1981; Spiller, 1990</w:t>
      </w:r>
      <w:r w:rsidR="00890757">
        <w:rPr>
          <w:lang w:val="en-US"/>
        </w:rPr>
        <w:t>).</w:t>
      </w:r>
      <w:r w:rsidR="00AC3BA3">
        <w:rPr>
          <w:lang w:val="en-US"/>
        </w:rPr>
        <w:t xml:space="preserve"> </w:t>
      </w:r>
      <w:r w:rsidR="00890757">
        <w:rPr>
          <w:lang w:val="en-US"/>
        </w:rPr>
        <w:t>Additionally, t</w:t>
      </w:r>
      <w:r w:rsidR="0028176C">
        <w:rPr>
          <w:lang w:val="en-US"/>
        </w:rPr>
        <w:t>he “revolving door” phenomena among regulators</w:t>
      </w:r>
      <w:r w:rsidR="009E40FC">
        <w:rPr>
          <w:lang w:val="en-US"/>
        </w:rPr>
        <w:t>,</w:t>
      </w:r>
      <w:r w:rsidR="0028176C">
        <w:rPr>
          <w:lang w:val="en-US"/>
        </w:rPr>
        <w:t xml:space="preserve"> </w:t>
      </w:r>
      <w:r w:rsidR="009E40FC">
        <w:rPr>
          <w:lang w:val="en-US"/>
        </w:rPr>
        <w:t>when evidenced,</w:t>
      </w:r>
      <w:r w:rsidR="0028176C">
        <w:rPr>
          <w:lang w:val="en-US"/>
        </w:rPr>
        <w:t xml:space="preserve"> contribute</w:t>
      </w:r>
      <w:r w:rsidR="009E40FC">
        <w:rPr>
          <w:lang w:val="en-US"/>
        </w:rPr>
        <w:t>s</w:t>
      </w:r>
      <w:r w:rsidR="0028176C">
        <w:rPr>
          <w:lang w:val="en-US"/>
        </w:rPr>
        <w:t xml:space="preserve"> to a negative view related to regulatory capture </w:t>
      </w:r>
      <w:r w:rsidR="00932630">
        <w:rPr>
          <w:lang w:val="en-US"/>
        </w:rPr>
        <w:t>by industry interests</w:t>
      </w:r>
      <w:r w:rsidR="001D388D">
        <w:rPr>
          <w:lang w:val="en-US"/>
        </w:rPr>
        <w:t xml:space="preserve"> (Zheng, 2014</w:t>
      </w:r>
      <w:r w:rsidR="00C92BE5">
        <w:rPr>
          <w:lang w:val="en-US"/>
        </w:rPr>
        <w:t xml:space="preserve">), despite controversial research results </w:t>
      </w:r>
      <w:r w:rsidR="0028176C">
        <w:rPr>
          <w:lang w:val="en-US"/>
        </w:rPr>
        <w:t>(</w:t>
      </w:r>
      <w:r w:rsidR="00054D61">
        <w:rPr>
          <w:lang w:val="en-US"/>
        </w:rPr>
        <w:t>Cohen, 1986</w:t>
      </w:r>
      <w:r w:rsidR="0028176C">
        <w:rPr>
          <w:lang w:val="en-US"/>
        </w:rPr>
        <w:t>).</w:t>
      </w:r>
    </w:p>
    <w:p w:rsidR="005E1CE6" w:rsidRDefault="009E40FC" w:rsidP="00993DF4">
      <w:pPr>
        <w:pBdr>
          <w:top w:val="nil"/>
          <w:left w:val="nil"/>
          <w:bottom w:val="nil"/>
          <w:right w:val="nil"/>
          <w:between w:val="nil"/>
        </w:pBdr>
        <w:spacing w:before="120" w:after="120"/>
        <w:ind w:firstLine="284"/>
        <w:jc w:val="both"/>
        <w:rPr>
          <w:lang w:val="en-US"/>
        </w:rPr>
      </w:pPr>
      <w:r>
        <w:rPr>
          <w:lang w:val="en-US"/>
        </w:rPr>
        <w:t>Notwithstanding</w:t>
      </w:r>
      <w:r w:rsidR="0028176C">
        <w:rPr>
          <w:lang w:val="en-US"/>
        </w:rPr>
        <w:t xml:space="preserve">, </w:t>
      </w:r>
      <w:r w:rsidR="00932630">
        <w:rPr>
          <w:lang w:val="en-US"/>
        </w:rPr>
        <w:t xml:space="preserve">the abovementioned </w:t>
      </w:r>
      <w:r w:rsidR="0028176C">
        <w:rPr>
          <w:lang w:val="en-US"/>
        </w:rPr>
        <w:t xml:space="preserve">theories of regulatory capture </w:t>
      </w:r>
      <w:r>
        <w:rPr>
          <w:lang w:val="en-US"/>
        </w:rPr>
        <w:t xml:space="preserve">based on trajectories </w:t>
      </w:r>
      <w:r w:rsidR="00DF7458">
        <w:rPr>
          <w:lang w:val="en-US"/>
        </w:rPr>
        <w:t>are</w:t>
      </w:r>
      <w:r w:rsidR="00932630">
        <w:rPr>
          <w:lang w:val="en-US"/>
        </w:rPr>
        <w:t xml:space="preserve"> built on several questionable assumptions. To begin with, there is no conclusive evidence that the revolving door leads to regulatory capture during regulators mandates</w:t>
      </w:r>
      <w:r w:rsidR="0059156B">
        <w:rPr>
          <w:lang w:val="en-US"/>
        </w:rPr>
        <w:t xml:space="preserve"> (Cohen 1986)</w:t>
      </w:r>
      <w:r w:rsidR="00932630">
        <w:rPr>
          <w:lang w:val="en-US"/>
        </w:rPr>
        <w:t>.</w:t>
      </w:r>
      <w:r w:rsidR="00993DF4">
        <w:rPr>
          <w:lang w:val="en-US"/>
        </w:rPr>
        <w:t xml:space="preserve"> In</w:t>
      </w:r>
      <w:r w:rsidR="00932630">
        <w:rPr>
          <w:lang w:val="en-US"/>
        </w:rPr>
        <w:t>centives that lead to capture are criticized from a human-capital theory that recognizes that regulators might be awarded to a post-term job in the regulated market based on their expertise</w:t>
      </w:r>
      <w:r w:rsidR="00993DF4">
        <w:rPr>
          <w:lang w:val="en-US"/>
        </w:rPr>
        <w:t xml:space="preserve"> (Zheng, 2014</w:t>
      </w:r>
      <w:r w:rsidR="00DF7458">
        <w:rPr>
          <w:lang w:val="en-US"/>
        </w:rPr>
        <w:t>)</w:t>
      </w:r>
      <w:r w:rsidR="00932630">
        <w:rPr>
          <w:lang w:val="en-US"/>
        </w:rPr>
        <w:t xml:space="preserve">. </w:t>
      </w:r>
      <w:r w:rsidR="00993DF4">
        <w:rPr>
          <w:lang w:val="en-US"/>
        </w:rPr>
        <w:t xml:space="preserve">Moreover, </w:t>
      </w:r>
      <w:r w:rsidR="001D388D">
        <w:rPr>
          <w:lang w:val="en-US"/>
        </w:rPr>
        <w:t xml:space="preserve">regulators that come from the public sector may as well adopt market friendly regulations. </w:t>
      </w:r>
      <w:r w:rsidR="00932630">
        <w:rPr>
          <w:lang w:val="en-US"/>
        </w:rPr>
        <w:t xml:space="preserve">Last, but not least, </w:t>
      </w:r>
      <w:r w:rsidR="00932630">
        <w:rPr>
          <w:lang w:val="en-US"/>
        </w:rPr>
        <w:lastRenderedPageBreak/>
        <w:t>regulators can be captured by other groups of interests, beyond regulated industries, such as bureaucracy or politics</w:t>
      </w:r>
      <w:r w:rsidR="005E1CE6">
        <w:rPr>
          <w:lang w:val="en-US"/>
        </w:rPr>
        <w:t xml:space="preserve"> (Carpenter and Moss, 2014), but yet </w:t>
      </w:r>
      <w:r w:rsidR="00890757">
        <w:rPr>
          <w:lang w:val="en-US"/>
        </w:rPr>
        <w:t>capture</w:t>
      </w:r>
      <w:r w:rsidR="005E1CE6">
        <w:rPr>
          <w:lang w:val="en-US"/>
        </w:rPr>
        <w:t xml:space="preserve"> theor</w:t>
      </w:r>
      <w:r w:rsidR="00890757">
        <w:rPr>
          <w:lang w:val="en-US"/>
        </w:rPr>
        <w:t>ies</w:t>
      </w:r>
      <w:r w:rsidR="005E1CE6">
        <w:rPr>
          <w:lang w:val="en-US"/>
        </w:rPr>
        <w:t xml:space="preserve"> privilege markets as the dominant players in the regulatory arena (</w:t>
      </w:r>
      <w:proofErr w:type="spellStart"/>
      <w:r w:rsidR="005E1CE6" w:rsidRPr="005E1CE6">
        <w:rPr>
          <w:lang w:val="en-US"/>
        </w:rPr>
        <w:t>Laffont</w:t>
      </w:r>
      <w:proofErr w:type="spellEnd"/>
      <w:r w:rsidR="005E1CE6" w:rsidRPr="005E1CE6">
        <w:rPr>
          <w:lang w:val="en-US"/>
        </w:rPr>
        <w:t xml:space="preserve"> e </w:t>
      </w:r>
      <w:proofErr w:type="spellStart"/>
      <w:r w:rsidR="005E1CE6" w:rsidRPr="005E1CE6">
        <w:rPr>
          <w:lang w:val="en-US"/>
        </w:rPr>
        <w:t>Tirole</w:t>
      </w:r>
      <w:proofErr w:type="spellEnd"/>
      <w:r w:rsidR="005E1CE6" w:rsidRPr="005E1CE6">
        <w:rPr>
          <w:lang w:val="en-US"/>
        </w:rPr>
        <w:t xml:space="preserve">, 1991; </w:t>
      </w:r>
      <w:proofErr w:type="spellStart"/>
      <w:r w:rsidR="00890757" w:rsidRPr="00890757">
        <w:rPr>
          <w:lang w:val="en-US"/>
        </w:rPr>
        <w:t>Peltzman</w:t>
      </w:r>
      <w:proofErr w:type="spellEnd"/>
      <w:r w:rsidR="00890757">
        <w:rPr>
          <w:lang w:val="en-US"/>
        </w:rPr>
        <w:t>, 1976;</w:t>
      </w:r>
      <w:r w:rsidR="00890757" w:rsidRPr="00890757">
        <w:rPr>
          <w:lang w:val="en-US"/>
        </w:rPr>
        <w:t xml:space="preserve"> </w:t>
      </w:r>
      <w:r w:rsidR="005E1CE6" w:rsidRPr="005E1CE6">
        <w:rPr>
          <w:lang w:val="en-US"/>
        </w:rPr>
        <w:t>Stigler, 1971)</w:t>
      </w:r>
      <w:r w:rsidR="005E1CE6">
        <w:rPr>
          <w:lang w:val="en-US"/>
        </w:rPr>
        <w:t>.</w:t>
      </w:r>
      <w:r w:rsidR="00DF7458">
        <w:rPr>
          <w:lang w:val="en-US"/>
        </w:rPr>
        <w:t xml:space="preserve"> Nonrational factors may influence regulatory decision bias, such as the regulators “worldview”, “culture” or social networks (Carpenter and Moss, 2012).</w:t>
      </w:r>
    </w:p>
    <w:p w:rsidR="00AC3BA3" w:rsidRDefault="0067229F" w:rsidP="00C45071">
      <w:pPr>
        <w:spacing w:before="120" w:after="120"/>
        <w:ind w:firstLine="284"/>
        <w:jc w:val="both"/>
        <w:rPr>
          <w:lang w:val="en-US"/>
        </w:rPr>
      </w:pPr>
      <w:r>
        <w:rPr>
          <w:lang w:val="en-US"/>
        </w:rPr>
        <w:t xml:space="preserve">Additionally, prior and posterior professional trajectories of regulators are commonly seen </w:t>
      </w:r>
      <w:r w:rsidR="0006208D">
        <w:rPr>
          <w:lang w:val="en-US"/>
        </w:rPr>
        <w:t>as separate and independent stages of regulators’</w:t>
      </w:r>
      <w:r>
        <w:rPr>
          <w:lang w:val="en-US"/>
        </w:rPr>
        <w:t xml:space="preserve"> professional careers. However, it is reasonable to expect that prior professional career will influence future career paths of regulator. </w:t>
      </w:r>
      <w:r w:rsidR="0048762B">
        <w:rPr>
          <w:lang w:val="en-US"/>
        </w:rPr>
        <w:t xml:space="preserve">Hence, the main contribution of this paper is to trace </w:t>
      </w:r>
      <w:r>
        <w:rPr>
          <w:lang w:val="en-US"/>
        </w:rPr>
        <w:t xml:space="preserve">the professional careers of </w:t>
      </w:r>
      <w:r w:rsidR="0048762B">
        <w:rPr>
          <w:lang w:val="en-US"/>
        </w:rPr>
        <w:t xml:space="preserve">a group of IRA board </w:t>
      </w:r>
      <w:r w:rsidR="00FC6CB9">
        <w:rPr>
          <w:lang w:val="en-US"/>
        </w:rPr>
        <w:t>members</w:t>
      </w:r>
      <w:r w:rsidR="00993DF4">
        <w:rPr>
          <w:lang w:val="en-US"/>
        </w:rPr>
        <w:t>, contrasting their previous trajectory with what comes after their mandates.</w:t>
      </w:r>
      <w:r w:rsidR="0048762B">
        <w:rPr>
          <w:lang w:val="en-US"/>
        </w:rPr>
        <w:t xml:space="preserve"> </w:t>
      </w:r>
      <w:r w:rsidR="00FC6CB9">
        <w:rPr>
          <w:lang w:val="en-US"/>
        </w:rPr>
        <w:t xml:space="preserve">In our view, mandates should not </w:t>
      </w:r>
      <w:proofErr w:type="gramStart"/>
      <w:r w:rsidR="00FC6CB9">
        <w:rPr>
          <w:lang w:val="en-US"/>
        </w:rPr>
        <w:t>be seen as</w:t>
      </w:r>
      <w:proofErr w:type="gramEnd"/>
      <w:r w:rsidR="00FC6CB9">
        <w:rPr>
          <w:lang w:val="en-US"/>
        </w:rPr>
        <w:t xml:space="preserve"> something exogenous to the rest of the careers, they should be put in a career context.</w:t>
      </w:r>
      <w:r w:rsidR="00C45071">
        <w:rPr>
          <w:lang w:val="en-US"/>
        </w:rPr>
        <w:t xml:space="preserve"> We also test how political affiliation and previous experience in the public sector helps or hampers the post-mandate careers of regulators.</w:t>
      </w:r>
    </w:p>
    <w:p w:rsidR="00C16C3E" w:rsidRDefault="00C16C3E" w:rsidP="0006208D">
      <w:pPr>
        <w:pBdr>
          <w:top w:val="nil"/>
          <w:left w:val="nil"/>
          <w:bottom w:val="nil"/>
          <w:right w:val="nil"/>
          <w:between w:val="nil"/>
        </w:pBdr>
        <w:spacing w:before="120" w:after="120"/>
        <w:ind w:left="284" w:firstLine="437"/>
        <w:jc w:val="both"/>
        <w:rPr>
          <w:lang w:val="en-US"/>
        </w:rPr>
      </w:pPr>
    </w:p>
    <w:p w:rsidR="00C263B8" w:rsidRDefault="00C0441B" w:rsidP="00052F91">
      <w:pPr>
        <w:pBdr>
          <w:top w:val="nil"/>
          <w:left w:val="nil"/>
          <w:bottom w:val="nil"/>
          <w:right w:val="nil"/>
          <w:between w:val="nil"/>
        </w:pBdr>
        <w:spacing w:before="120" w:after="120"/>
        <w:ind w:left="284"/>
        <w:jc w:val="center"/>
        <w:rPr>
          <w:b/>
          <w:lang w:val="en-US"/>
        </w:rPr>
      </w:pPr>
      <w:r w:rsidRPr="0067229F">
        <w:rPr>
          <w:b/>
          <w:lang w:val="en-US"/>
        </w:rPr>
        <w:t>THEORY</w:t>
      </w:r>
    </w:p>
    <w:p w:rsidR="00C16C3E" w:rsidRPr="0067229F" w:rsidRDefault="00C16C3E" w:rsidP="00052F91">
      <w:pPr>
        <w:pBdr>
          <w:top w:val="nil"/>
          <w:left w:val="nil"/>
          <w:bottom w:val="nil"/>
          <w:right w:val="nil"/>
          <w:between w:val="nil"/>
        </w:pBdr>
        <w:spacing w:before="120" w:after="120"/>
        <w:ind w:left="284"/>
        <w:jc w:val="center"/>
        <w:rPr>
          <w:b/>
          <w:lang w:val="en-US"/>
        </w:rPr>
      </w:pPr>
    </w:p>
    <w:p w:rsidR="00993DF4" w:rsidRDefault="00C0441B" w:rsidP="00993DF4">
      <w:pPr>
        <w:pBdr>
          <w:top w:val="nil"/>
          <w:left w:val="nil"/>
          <w:bottom w:val="nil"/>
          <w:right w:val="nil"/>
          <w:between w:val="nil"/>
        </w:pBdr>
        <w:spacing w:before="120" w:after="120"/>
        <w:ind w:firstLine="284"/>
        <w:jc w:val="both"/>
        <w:rPr>
          <w:lang w:val="en-US"/>
        </w:rPr>
      </w:pPr>
      <w:r w:rsidRPr="0048762B">
        <w:rPr>
          <w:lang w:val="en-US"/>
        </w:rPr>
        <w:t>The consolidation of the regulatory role of the State was accompanied by the establishment of specialized agencies that play a regulatory role over private companies in several sectors that include energy, water, telecommunications, pharmaceutical industry, among others, in several countries of the world (</w:t>
      </w:r>
      <w:proofErr w:type="spellStart"/>
      <w:r w:rsidRPr="0048762B">
        <w:rPr>
          <w:lang w:val="en-US"/>
        </w:rPr>
        <w:t>Jordana</w:t>
      </w:r>
      <w:proofErr w:type="spellEnd"/>
      <w:r w:rsidRPr="0048762B">
        <w:rPr>
          <w:lang w:val="en-US"/>
        </w:rPr>
        <w:t xml:space="preserve"> et al., 2011). The IRA model is rescued in this new context of the State’s regulatory role, based on the premise of credibility and guarantee of long-term contracts, in a post-privatization context.</w:t>
      </w:r>
    </w:p>
    <w:p w:rsidR="00280BE8" w:rsidRDefault="00C0441B" w:rsidP="00993DF4">
      <w:pPr>
        <w:pBdr>
          <w:top w:val="nil"/>
          <w:left w:val="nil"/>
          <w:bottom w:val="nil"/>
          <w:right w:val="nil"/>
          <w:between w:val="nil"/>
        </w:pBdr>
        <w:spacing w:before="120" w:after="120"/>
        <w:ind w:firstLine="284"/>
        <w:jc w:val="both"/>
        <w:rPr>
          <w:lang w:val="en-US"/>
        </w:rPr>
      </w:pPr>
      <w:r w:rsidRPr="0048762B">
        <w:rPr>
          <w:lang w:val="en-US"/>
        </w:rPr>
        <w:t xml:space="preserve">For several authors, IRAs cannot be seen as organizations impervious to the influence of interest groups, since the process of selecting and appointing agency staff reflects some kind of political identity with the incumbent (Justen Filho, 2006; </w:t>
      </w:r>
      <w:proofErr w:type="spellStart"/>
      <w:r w:rsidRPr="0048762B">
        <w:rPr>
          <w:lang w:val="en-US"/>
        </w:rPr>
        <w:t>Meirelles</w:t>
      </w:r>
      <w:proofErr w:type="spellEnd"/>
      <w:r w:rsidRPr="0048762B">
        <w:rPr>
          <w:lang w:val="en-US"/>
        </w:rPr>
        <w:t xml:space="preserve"> and Oliva, 2006; Wu, </w:t>
      </w:r>
      <w:r w:rsidR="00280BE8">
        <w:rPr>
          <w:lang w:val="en-US"/>
        </w:rPr>
        <w:t>2008). Nunes (2007) notes that “t</w:t>
      </w:r>
      <w:r w:rsidRPr="0048762B">
        <w:rPr>
          <w:lang w:val="en-US"/>
        </w:rPr>
        <w:t>he personalities of independent regulatory authorities are chosen on the merits of the politicians who choose them (whic</w:t>
      </w:r>
      <w:r w:rsidR="00280BE8">
        <w:rPr>
          <w:lang w:val="en-US"/>
        </w:rPr>
        <w:t>h is not a guarantee that such “merits</w:t>
      </w:r>
      <w:r w:rsidRPr="0048762B">
        <w:rPr>
          <w:lang w:val="en-US"/>
        </w:rPr>
        <w:t>”</w:t>
      </w:r>
      <w:r w:rsidR="00280BE8">
        <w:rPr>
          <w:lang w:val="en-US"/>
        </w:rPr>
        <w:t xml:space="preserve"> </w:t>
      </w:r>
      <w:r w:rsidRPr="0048762B">
        <w:rPr>
          <w:lang w:val="en-US"/>
        </w:rPr>
        <w:t>are real)</w:t>
      </w:r>
      <w:r w:rsidR="00280BE8">
        <w:rPr>
          <w:lang w:val="en-US"/>
        </w:rPr>
        <w:t>”</w:t>
      </w:r>
      <w:r w:rsidRPr="0048762B">
        <w:rPr>
          <w:lang w:val="en-US"/>
        </w:rPr>
        <w:t xml:space="preserve"> (p.14). The author believes that the existing effort to emphasize that regulatory agencies are politically neutral technical agencies, which exercise imminently technical functions, is, in fact, futile, since they exercise political functions and make political decisions since they result in social and economic repercussions. </w:t>
      </w:r>
    </w:p>
    <w:p w:rsidR="00C263B8" w:rsidRPr="0048762B" w:rsidRDefault="00C0441B" w:rsidP="00993DF4">
      <w:pPr>
        <w:pBdr>
          <w:top w:val="nil"/>
          <w:left w:val="nil"/>
          <w:bottom w:val="nil"/>
          <w:right w:val="nil"/>
          <w:between w:val="nil"/>
        </w:pBdr>
        <w:spacing w:before="120" w:after="120"/>
        <w:ind w:firstLine="284"/>
        <w:jc w:val="both"/>
        <w:rPr>
          <w:lang w:val="en-US"/>
        </w:rPr>
      </w:pPr>
      <w:r w:rsidRPr="0048762B">
        <w:rPr>
          <w:lang w:val="en-US"/>
        </w:rPr>
        <w:t xml:space="preserve"> </w:t>
      </w:r>
      <w:r w:rsidR="003B4E56">
        <w:rPr>
          <w:lang w:val="en-US"/>
        </w:rPr>
        <w:t>M</w:t>
      </w:r>
      <w:r w:rsidRPr="0048762B">
        <w:rPr>
          <w:lang w:val="en-US"/>
        </w:rPr>
        <w:t xml:space="preserve">any perspectives analyze </w:t>
      </w:r>
      <w:r w:rsidR="003B4E56">
        <w:rPr>
          <w:lang w:val="en-US"/>
        </w:rPr>
        <w:t>IRAs</w:t>
      </w:r>
      <w:r w:rsidRPr="0048762B">
        <w:rPr>
          <w:lang w:val="en-US"/>
        </w:rPr>
        <w:t xml:space="preserve"> from the point of view of capture. Stigler’s (1971) theory of economic regulation already stressed the important aspect of capturing regulators by the regulated industry. In his view, the benefits obtained by interest groups come from the use of the political machine to serve its purposes. Evaluating the industry-related interest groups in the United States,</w:t>
      </w:r>
      <w:r w:rsidR="00280BE8">
        <w:rPr>
          <w:lang w:val="en-US"/>
        </w:rPr>
        <w:t xml:space="preserve"> Stigler (1971: 3) states that “</w:t>
      </w:r>
      <w:r w:rsidRPr="0048762B">
        <w:rPr>
          <w:lang w:val="en-US"/>
        </w:rPr>
        <w:t>regulation is acquired by industry and is designed and operated primarily for its benefit”.</w:t>
      </w:r>
    </w:p>
    <w:p w:rsidR="00C263B8" w:rsidRPr="0048762B" w:rsidRDefault="00C0441B" w:rsidP="00993DF4">
      <w:pPr>
        <w:pBdr>
          <w:top w:val="nil"/>
          <w:left w:val="nil"/>
          <w:bottom w:val="nil"/>
          <w:right w:val="nil"/>
          <w:between w:val="nil"/>
        </w:pBdr>
        <w:spacing w:before="120" w:after="120"/>
        <w:ind w:firstLine="284"/>
        <w:jc w:val="both"/>
        <w:rPr>
          <w:lang w:val="en-US"/>
        </w:rPr>
      </w:pPr>
      <w:r w:rsidRPr="0048762B">
        <w:rPr>
          <w:lang w:val="en-US"/>
        </w:rPr>
        <w:t xml:space="preserve">In Brazil, it is clear to Nunes (2007) that competent people in a certain sector usually work in companies in this sector. It is not </w:t>
      </w:r>
      <w:r w:rsidR="00280BE8">
        <w:rPr>
          <w:lang w:val="en-US"/>
        </w:rPr>
        <w:t>surprising,</w:t>
      </w:r>
      <w:r w:rsidRPr="0048762B">
        <w:rPr>
          <w:lang w:val="en-US"/>
        </w:rPr>
        <w:t xml:space="preserve"> therefore, that professionals are chosen for their experience and competence often leave regulated companies to join regulatory bodies. In addition, once the term of office has expired and some quarantine period has passed, there will be a desire for the former leader to return to the old place of work, and certainly to more prominent and better-paid places than that occupied before assuming the term in a collegiate board of an IRA.</w:t>
      </w:r>
    </w:p>
    <w:p w:rsidR="00C263B8" w:rsidRPr="0048762B" w:rsidRDefault="00C0441B" w:rsidP="00993DF4">
      <w:pPr>
        <w:pBdr>
          <w:top w:val="nil"/>
          <w:left w:val="nil"/>
          <w:bottom w:val="nil"/>
          <w:right w:val="nil"/>
          <w:between w:val="nil"/>
        </w:pBdr>
        <w:spacing w:before="120" w:after="120"/>
        <w:ind w:firstLine="284"/>
        <w:jc w:val="both"/>
        <w:rPr>
          <w:lang w:val="en-US"/>
        </w:rPr>
      </w:pPr>
      <w:r w:rsidRPr="0048762B">
        <w:rPr>
          <w:lang w:val="en-US"/>
        </w:rPr>
        <w:t>Among the few empirical studies that have verified the professional trajectory of IRA directors from the point of view of capture, the work of Eckert (198</w:t>
      </w:r>
      <w:r w:rsidR="00280BE8">
        <w:rPr>
          <w:lang w:val="en-US"/>
        </w:rPr>
        <w:t>1) and Spiller (1988) stand</w:t>
      </w:r>
      <w:r w:rsidRPr="0048762B">
        <w:rPr>
          <w:lang w:val="en-US"/>
        </w:rPr>
        <w:t xml:space="preserve"> out. Both developed the methodology used to analyze the career trajectory of the regulators and used the starting point for the operationalization of the present research.</w:t>
      </w:r>
    </w:p>
    <w:p w:rsidR="00C263B8" w:rsidRPr="0048762B" w:rsidRDefault="00C0441B" w:rsidP="00993DF4">
      <w:pPr>
        <w:pBdr>
          <w:top w:val="nil"/>
          <w:left w:val="nil"/>
          <w:bottom w:val="nil"/>
          <w:right w:val="nil"/>
          <w:between w:val="nil"/>
        </w:pBdr>
        <w:spacing w:before="120" w:after="120"/>
        <w:ind w:firstLine="284"/>
        <w:jc w:val="both"/>
        <w:rPr>
          <w:lang w:val="en-US"/>
        </w:rPr>
      </w:pPr>
      <w:r w:rsidRPr="0048762B">
        <w:rPr>
          <w:lang w:val="en-US"/>
        </w:rPr>
        <w:lastRenderedPageBreak/>
        <w:t>Eckert’s (1981) seminal study demonstrates that the typical career path of regulators consists of a strong performance in the public sector in the run-up to IRA’s direction with a high likelihood of subsequent allocation, either directly or indirectly, to the regulated industry that was under its jurisdiction. During the research, the author noted that the former leader tended to be captured by the companies he regulated. The author points out the rewards that regulators could get from the IRA board, since managers did not receive high salaries (the wage was fixed by statute): there was the expectation of high-paying jobs in the regulated private sector that surpassed the uncertain prospect of re-employment of the position in the board of directors.</w:t>
      </w:r>
    </w:p>
    <w:p w:rsidR="00C263B8" w:rsidRPr="0048762B" w:rsidRDefault="00C0441B" w:rsidP="00993DF4">
      <w:pPr>
        <w:pBdr>
          <w:top w:val="nil"/>
          <w:left w:val="nil"/>
          <w:bottom w:val="nil"/>
          <w:right w:val="nil"/>
          <w:between w:val="nil"/>
        </w:pBdr>
        <w:spacing w:before="120" w:after="120"/>
        <w:ind w:firstLine="284"/>
        <w:jc w:val="both"/>
        <w:rPr>
          <w:lang w:val="en-US"/>
        </w:rPr>
      </w:pPr>
      <w:r w:rsidRPr="0048762B">
        <w:rPr>
          <w:lang w:val="en-US"/>
        </w:rPr>
        <w:t>One of the main problems of the regulatory agency is the competition between politicians and interest groups for the influence on the decisions of the bureaucrats - regulators. Spiller (1988), based on data previously collected by Eckert (1981), analyzed regulators of three Interstate Commerce Commission (CAC) and the Federal Communications Commission (FCC) (</w:t>
      </w:r>
      <w:proofErr w:type="spellStart"/>
      <w:r w:rsidRPr="0048762B">
        <w:rPr>
          <w:lang w:val="en-US"/>
        </w:rPr>
        <w:t>eg</w:t>
      </w:r>
      <w:proofErr w:type="spellEnd"/>
      <w:r w:rsidRPr="0048762B">
        <w:rPr>
          <w:lang w:val="en-US"/>
        </w:rPr>
        <w:t>: age, term of office, pre-agency and post-agency experience, agency discretionary budget, etc.) to create a model capable of estimating the likelihood that a regulator will act in the regulated industry following as the main determinants for this type of choice.</w:t>
      </w:r>
    </w:p>
    <w:p w:rsidR="00C263B8" w:rsidRPr="0048762B" w:rsidRDefault="00C0441B" w:rsidP="00993DF4">
      <w:pPr>
        <w:pBdr>
          <w:top w:val="nil"/>
          <w:left w:val="nil"/>
          <w:bottom w:val="nil"/>
          <w:right w:val="nil"/>
          <w:between w:val="nil"/>
        </w:pBdr>
        <w:spacing w:before="120" w:after="120"/>
        <w:ind w:firstLine="284"/>
        <w:jc w:val="both"/>
        <w:rPr>
          <w:lang w:val="en-US"/>
        </w:rPr>
      </w:pPr>
      <w:r w:rsidRPr="0048762B">
        <w:rPr>
          <w:lang w:val="en-US"/>
        </w:rPr>
        <w:t xml:space="preserve">In some cases, regulators were appointed to better positions or even positions in the ministry. According to Spiller, this is one of the ways politicians find to reward the regulators who have been faithful to them. He also distinguished the direct employment relationship, that is, an employee of a regulated company, the indirect relationship that means the provision of service to the regulated organization, such as working for a law firm that advises industry on its legal example. The author also points out that regulators have the power to distribute income from regulation. As regulators are appointed by politicians, they </w:t>
      </w:r>
      <w:proofErr w:type="gramStart"/>
      <w:r w:rsidRPr="0048762B">
        <w:rPr>
          <w:lang w:val="en-US"/>
        </w:rPr>
        <w:t>are able to</w:t>
      </w:r>
      <w:proofErr w:type="gramEnd"/>
      <w:r w:rsidRPr="0048762B">
        <w:rPr>
          <w:lang w:val="en-US"/>
        </w:rPr>
        <w:t xml:space="preserve"> derive benefits from potential regulators, whether in the form of advantages for electorally interesting segments or in the form of prior work on their teams.</w:t>
      </w:r>
    </w:p>
    <w:p w:rsidR="00C263B8" w:rsidRPr="0048762B" w:rsidRDefault="00C0441B" w:rsidP="00993DF4">
      <w:pPr>
        <w:pBdr>
          <w:top w:val="nil"/>
          <w:left w:val="nil"/>
          <w:bottom w:val="nil"/>
          <w:right w:val="nil"/>
          <w:between w:val="nil"/>
        </w:pBdr>
        <w:spacing w:before="120" w:after="120"/>
        <w:ind w:firstLine="284"/>
        <w:jc w:val="both"/>
        <w:rPr>
          <w:lang w:val="en-US"/>
        </w:rPr>
      </w:pPr>
      <w:r w:rsidRPr="0048762B">
        <w:rPr>
          <w:lang w:val="en-US"/>
        </w:rPr>
        <w:t>The competition between politicians and interest groups for the influence on the decisions of the bureaucrats is narrated as one of the main problems of the agency in the seminal study of Spiller. The hypothesis is that much of this compensation takes the form of well-paid post-agency jobs, directly or indirectly related to the regulated economic sectors. In his analysis, working for regulated companies, their partners or suppliers after the end of their term in a regulatory agency may be an indicator that the regulator is rewarded for decisions he has taken to benefit the regulated industry.</w:t>
      </w:r>
    </w:p>
    <w:p w:rsidR="00C263B8" w:rsidRPr="0048762B" w:rsidRDefault="00C0441B" w:rsidP="00993DF4">
      <w:pPr>
        <w:pBdr>
          <w:top w:val="nil"/>
          <w:left w:val="nil"/>
          <w:bottom w:val="nil"/>
          <w:right w:val="nil"/>
          <w:between w:val="nil"/>
        </w:pBdr>
        <w:spacing w:before="120" w:after="120"/>
        <w:ind w:firstLine="284"/>
        <w:jc w:val="both"/>
        <w:rPr>
          <w:lang w:val="en-US"/>
        </w:rPr>
      </w:pPr>
      <w:r w:rsidRPr="0048762B">
        <w:rPr>
          <w:lang w:val="en-US"/>
        </w:rPr>
        <w:t>In this research, we analyze some critical dimensions regarding the Brazilian regulators’ autonomy, focusing on their professional and political trajectories du</w:t>
      </w:r>
      <w:r w:rsidR="00280BE8">
        <w:rPr>
          <w:lang w:val="en-US"/>
        </w:rPr>
        <w:t>ring pre- and post-term period.</w:t>
      </w:r>
    </w:p>
    <w:p w:rsidR="00993DF4" w:rsidRDefault="00993DF4" w:rsidP="00052F91">
      <w:pPr>
        <w:pBdr>
          <w:top w:val="nil"/>
          <w:left w:val="nil"/>
          <w:bottom w:val="nil"/>
          <w:right w:val="nil"/>
          <w:between w:val="nil"/>
        </w:pBdr>
        <w:spacing w:before="120" w:after="120"/>
        <w:ind w:left="284"/>
        <w:jc w:val="center"/>
        <w:rPr>
          <w:b/>
          <w:color w:val="000000"/>
          <w:lang w:val="en-US"/>
        </w:rPr>
      </w:pPr>
    </w:p>
    <w:p w:rsidR="00C45071" w:rsidRDefault="00C45071" w:rsidP="00052F91">
      <w:pPr>
        <w:pBdr>
          <w:top w:val="nil"/>
          <w:left w:val="nil"/>
          <w:bottom w:val="nil"/>
          <w:right w:val="nil"/>
          <w:between w:val="nil"/>
        </w:pBdr>
        <w:spacing w:before="120" w:after="120"/>
        <w:ind w:left="284"/>
        <w:jc w:val="center"/>
        <w:rPr>
          <w:b/>
          <w:color w:val="000000"/>
          <w:lang w:val="en-US"/>
        </w:rPr>
      </w:pPr>
    </w:p>
    <w:p w:rsidR="00C263B8" w:rsidRDefault="00C0441B" w:rsidP="00052F91">
      <w:pPr>
        <w:pBdr>
          <w:top w:val="nil"/>
          <w:left w:val="nil"/>
          <w:bottom w:val="nil"/>
          <w:right w:val="nil"/>
          <w:between w:val="nil"/>
        </w:pBdr>
        <w:spacing w:before="120" w:after="120"/>
        <w:ind w:left="284"/>
        <w:jc w:val="center"/>
        <w:rPr>
          <w:b/>
          <w:color w:val="000000"/>
          <w:lang w:val="en-US"/>
        </w:rPr>
      </w:pPr>
      <w:r w:rsidRPr="0048762B">
        <w:rPr>
          <w:b/>
          <w:color w:val="000000"/>
          <w:lang w:val="en-US"/>
        </w:rPr>
        <w:t>METHODS</w:t>
      </w:r>
    </w:p>
    <w:p w:rsidR="00C16C3E" w:rsidRPr="0048762B" w:rsidRDefault="00C16C3E" w:rsidP="00052F91">
      <w:pPr>
        <w:pBdr>
          <w:top w:val="nil"/>
          <w:left w:val="nil"/>
          <w:bottom w:val="nil"/>
          <w:right w:val="nil"/>
          <w:between w:val="nil"/>
        </w:pBdr>
        <w:spacing w:before="120" w:after="120"/>
        <w:ind w:left="284"/>
        <w:jc w:val="center"/>
        <w:rPr>
          <w:b/>
          <w:color w:val="000000"/>
          <w:lang w:val="en-US"/>
        </w:rPr>
      </w:pPr>
    </w:p>
    <w:p w:rsidR="00C263B8" w:rsidRPr="0048762B" w:rsidRDefault="00C0441B" w:rsidP="00280BE8">
      <w:pPr>
        <w:spacing w:before="120" w:after="120"/>
        <w:ind w:firstLine="357"/>
        <w:jc w:val="both"/>
        <w:rPr>
          <w:lang w:val="en-US"/>
        </w:rPr>
      </w:pPr>
      <w:r w:rsidRPr="0048762B">
        <w:rPr>
          <w:lang w:val="en-US"/>
        </w:rPr>
        <w:t>This study draws on balanced panel data over several indicators related to the expertise of regulators from IRAs collegiate board</w:t>
      </w:r>
      <w:r w:rsidR="00D2754C" w:rsidRPr="0048762B">
        <w:rPr>
          <w:lang w:val="en-US"/>
        </w:rPr>
        <w:t>s</w:t>
      </w:r>
      <w:r w:rsidRPr="0048762B">
        <w:rPr>
          <w:lang w:val="en-US"/>
        </w:rPr>
        <w:t xml:space="preserve"> from 1997 to 2018. The data set covers regulators from ten federal regulatory agencies: National Civil Aviation Agency (ANAC), National Film Agency (ANCINE), National Electrical Power Agency (ANEEL), National Telecommunications Agency (ANATEL), National Waterway Transportation Agency (ANTAQ), National Ground Transportation Agency (ANTT), National Health Surveillance Agency (ANVISA), National Health Agency (ANS), National Petroleum Agency (ANP), and National Water Agency (ANA). Because of its recent creation, the data do not cover the National Mining Agency (ANM), which replaced the previous National Department of Mineral Production (DNPM) in December 2017. The collegiate board from a federal regulatory agency consists of directors chosen by a specific process: Brazil’s president appoint them to Senate confirmation before taking over the office. </w:t>
      </w:r>
    </w:p>
    <w:p w:rsidR="00C263B8" w:rsidRPr="0048762B" w:rsidRDefault="00C0441B" w:rsidP="00280BE8">
      <w:pPr>
        <w:spacing w:before="120" w:after="120"/>
        <w:ind w:firstLine="357"/>
        <w:jc w:val="both"/>
        <w:rPr>
          <w:lang w:val="en-US"/>
        </w:rPr>
      </w:pPr>
      <w:r w:rsidRPr="0048762B">
        <w:rPr>
          <w:lang w:val="en-US"/>
        </w:rPr>
        <w:lastRenderedPageBreak/>
        <w:t xml:space="preserve">Our study sample </w:t>
      </w:r>
      <w:r w:rsidR="00D2754C" w:rsidRPr="0048762B">
        <w:rPr>
          <w:lang w:val="en-US"/>
        </w:rPr>
        <w:t>comprises</w:t>
      </w:r>
      <w:r w:rsidRPr="0048762B">
        <w:rPr>
          <w:lang w:val="en-US"/>
        </w:rPr>
        <w:t xml:space="preserve"> 117 directors’ occupational trajectories five years before and five years after term and report yearly based information. The main source of data is the Federal Senate of Brazil that provides the curricula vit</w:t>
      </w:r>
      <w:r w:rsidR="00D2754C" w:rsidRPr="0048762B">
        <w:rPr>
          <w:lang w:val="en-US"/>
        </w:rPr>
        <w:t>ae</w:t>
      </w:r>
      <w:r w:rsidRPr="0048762B">
        <w:rPr>
          <w:lang w:val="en-US"/>
        </w:rPr>
        <w:t xml:space="preserve"> for every director nominated to compose the collegiate board of a federal regulatory agency. These CVs highlight the academic training, level of education and experience of professionals. We investigated political affiliation in the Supreme Electoral Tribunal (TSE) database, which provides a list of affiliates per party in each state of the federation. We also extract data from the Annual Social Information Report (RAIS), an official registry of all formal workers in Brazil, to capture social characteristics, e.g., employer, occupation according to the Brazilian Classification of Occupations (CBO), compensation and work hours. Finally, we collected both governmental and non-governmental print (newspapers, magazines) and electronic (websites) media to cover information such as allegations of corruption, legal proceedings, and politic</w:t>
      </w:r>
      <w:r w:rsidR="00D2754C" w:rsidRPr="0048762B">
        <w:rPr>
          <w:lang w:val="en-US"/>
        </w:rPr>
        <w:t>al scandals. Table 1 reports</w:t>
      </w:r>
      <w:r w:rsidRPr="0048762B">
        <w:rPr>
          <w:lang w:val="en-US"/>
        </w:rPr>
        <w:t xml:space="preserve"> individual variables and data sources considered in this article.</w:t>
      </w:r>
    </w:p>
    <w:p w:rsidR="00C263B8" w:rsidRPr="0048762B" w:rsidRDefault="00C0441B" w:rsidP="00C0441B">
      <w:pPr>
        <w:spacing w:line="480" w:lineRule="auto"/>
        <w:jc w:val="center"/>
        <w:rPr>
          <w:sz w:val="20"/>
          <w:szCs w:val="20"/>
          <w:lang w:val="en-US"/>
        </w:rPr>
      </w:pPr>
      <w:r w:rsidRPr="0048762B">
        <w:rPr>
          <w:sz w:val="20"/>
          <w:szCs w:val="20"/>
          <w:lang w:val="en-US"/>
        </w:rPr>
        <w:t>Table 1. Definitions of Study Variables and Data Sources</w:t>
      </w:r>
    </w:p>
    <w:tbl>
      <w:tblPr>
        <w:tblStyle w:val="a"/>
        <w:tblW w:w="8180" w:type="dxa"/>
        <w:tblInd w:w="0" w:type="dxa"/>
        <w:tblLayout w:type="fixed"/>
        <w:tblLook w:val="0400" w:firstRow="0" w:lastRow="0" w:firstColumn="0" w:lastColumn="0" w:noHBand="0" w:noVBand="1"/>
      </w:tblPr>
      <w:tblGrid>
        <w:gridCol w:w="1700"/>
        <w:gridCol w:w="5000"/>
        <w:gridCol w:w="1480"/>
      </w:tblGrid>
      <w:tr w:rsidR="00C263B8">
        <w:trPr>
          <w:trHeight w:val="300"/>
        </w:trPr>
        <w:tc>
          <w:tcPr>
            <w:tcW w:w="1700" w:type="dxa"/>
            <w:tcBorders>
              <w:top w:val="single" w:sz="4" w:space="0" w:color="000000"/>
              <w:left w:val="nil"/>
              <w:bottom w:val="single" w:sz="8" w:space="0" w:color="000000"/>
              <w:right w:val="nil"/>
            </w:tcBorders>
            <w:shd w:val="clear" w:color="auto" w:fill="auto"/>
            <w:vAlign w:val="bottom"/>
          </w:tcPr>
          <w:p w:rsidR="00C263B8" w:rsidRDefault="00C0441B">
            <w:pPr>
              <w:rPr>
                <w:color w:val="000000"/>
                <w:sz w:val="20"/>
                <w:szCs w:val="20"/>
              </w:rPr>
            </w:pPr>
            <w:proofErr w:type="spellStart"/>
            <w:r>
              <w:rPr>
                <w:color w:val="000000"/>
                <w:sz w:val="20"/>
                <w:szCs w:val="20"/>
              </w:rPr>
              <w:t>Variables</w:t>
            </w:r>
            <w:proofErr w:type="spellEnd"/>
          </w:p>
        </w:tc>
        <w:tc>
          <w:tcPr>
            <w:tcW w:w="5000" w:type="dxa"/>
            <w:tcBorders>
              <w:top w:val="single" w:sz="4" w:space="0" w:color="000000"/>
              <w:left w:val="nil"/>
              <w:bottom w:val="single" w:sz="8" w:space="0" w:color="000000"/>
              <w:right w:val="nil"/>
            </w:tcBorders>
            <w:shd w:val="clear" w:color="auto" w:fill="auto"/>
            <w:vAlign w:val="bottom"/>
          </w:tcPr>
          <w:p w:rsidR="00C263B8" w:rsidRDefault="00C0441B">
            <w:pPr>
              <w:rPr>
                <w:color w:val="000000"/>
                <w:sz w:val="20"/>
                <w:szCs w:val="20"/>
              </w:rPr>
            </w:pPr>
            <w:r>
              <w:rPr>
                <w:color w:val="000000"/>
                <w:sz w:val="20"/>
                <w:szCs w:val="20"/>
              </w:rPr>
              <w:t>Definitions</w:t>
            </w:r>
          </w:p>
        </w:tc>
        <w:tc>
          <w:tcPr>
            <w:tcW w:w="1480" w:type="dxa"/>
            <w:tcBorders>
              <w:top w:val="single" w:sz="4" w:space="0" w:color="000000"/>
              <w:left w:val="nil"/>
              <w:bottom w:val="single" w:sz="8" w:space="0" w:color="000000"/>
              <w:right w:val="nil"/>
            </w:tcBorders>
            <w:shd w:val="clear" w:color="auto" w:fill="auto"/>
            <w:vAlign w:val="bottom"/>
          </w:tcPr>
          <w:p w:rsidR="00C263B8" w:rsidRDefault="00C0441B">
            <w:pPr>
              <w:rPr>
                <w:color w:val="000000"/>
                <w:sz w:val="20"/>
                <w:szCs w:val="20"/>
              </w:rPr>
            </w:pPr>
            <w:r>
              <w:rPr>
                <w:color w:val="000000"/>
                <w:sz w:val="20"/>
                <w:szCs w:val="20"/>
              </w:rPr>
              <w:t>Data Sources</w:t>
            </w:r>
          </w:p>
        </w:tc>
      </w:tr>
      <w:tr w:rsidR="00C263B8">
        <w:trPr>
          <w:trHeight w:val="300"/>
        </w:trPr>
        <w:tc>
          <w:tcPr>
            <w:tcW w:w="1700" w:type="dxa"/>
            <w:tcBorders>
              <w:top w:val="nil"/>
              <w:left w:val="nil"/>
              <w:bottom w:val="nil"/>
              <w:right w:val="nil"/>
            </w:tcBorders>
            <w:shd w:val="clear" w:color="auto" w:fill="auto"/>
            <w:vAlign w:val="center"/>
          </w:tcPr>
          <w:p w:rsidR="00C263B8" w:rsidRDefault="00C0441B">
            <w:pPr>
              <w:rPr>
                <w:color w:val="000000"/>
                <w:sz w:val="20"/>
                <w:szCs w:val="20"/>
              </w:rPr>
            </w:pPr>
            <w:r>
              <w:rPr>
                <w:color w:val="000000"/>
                <w:sz w:val="20"/>
                <w:szCs w:val="20"/>
              </w:rPr>
              <w:t>Gender</w:t>
            </w:r>
          </w:p>
        </w:tc>
        <w:tc>
          <w:tcPr>
            <w:tcW w:w="5000" w:type="dxa"/>
            <w:tcBorders>
              <w:top w:val="nil"/>
              <w:left w:val="nil"/>
              <w:bottom w:val="nil"/>
              <w:right w:val="nil"/>
            </w:tcBorders>
            <w:shd w:val="clear" w:color="auto" w:fill="auto"/>
            <w:vAlign w:val="bottom"/>
          </w:tcPr>
          <w:p w:rsidR="00C263B8" w:rsidRDefault="00C0441B">
            <w:pPr>
              <w:rPr>
                <w:color w:val="000000"/>
                <w:sz w:val="20"/>
                <w:szCs w:val="20"/>
              </w:rPr>
            </w:pPr>
            <w:r>
              <w:rPr>
                <w:color w:val="000000"/>
                <w:sz w:val="20"/>
                <w:szCs w:val="20"/>
              </w:rPr>
              <w:t>Man or Woman</w:t>
            </w:r>
          </w:p>
        </w:tc>
        <w:tc>
          <w:tcPr>
            <w:tcW w:w="1480" w:type="dxa"/>
            <w:tcBorders>
              <w:top w:val="nil"/>
              <w:left w:val="nil"/>
              <w:bottom w:val="nil"/>
              <w:right w:val="nil"/>
            </w:tcBorders>
            <w:shd w:val="clear" w:color="auto" w:fill="auto"/>
            <w:vAlign w:val="bottom"/>
          </w:tcPr>
          <w:p w:rsidR="00C263B8" w:rsidRDefault="00C0441B">
            <w:pPr>
              <w:rPr>
                <w:color w:val="000000"/>
                <w:sz w:val="20"/>
                <w:szCs w:val="20"/>
              </w:rPr>
            </w:pPr>
            <w:r>
              <w:rPr>
                <w:color w:val="000000"/>
                <w:sz w:val="20"/>
                <w:szCs w:val="20"/>
              </w:rPr>
              <w:t>RAIS</w:t>
            </w:r>
          </w:p>
        </w:tc>
      </w:tr>
      <w:tr w:rsidR="00C263B8">
        <w:trPr>
          <w:trHeight w:val="780"/>
        </w:trPr>
        <w:tc>
          <w:tcPr>
            <w:tcW w:w="1700" w:type="dxa"/>
            <w:tcBorders>
              <w:top w:val="nil"/>
              <w:left w:val="nil"/>
              <w:bottom w:val="nil"/>
              <w:right w:val="nil"/>
            </w:tcBorders>
            <w:shd w:val="clear" w:color="auto" w:fill="auto"/>
            <w:vAlign w:val="center"/>
          </w:tcPr>
          <w:p w:rsidR="00C263B8" w:rsidRDefault="00C0441B">
            <w:pPr>
              <w:rPr>
                <w:color w:val="000000"/>
                <w:sz w:val="20"/>
                <w:szCs w:val="20"/>
              </w:rPr>
            </w:pPr>
            <w:r>
              <w:rPr>
                <w:color w:val="000000"/>
                <w:sz w:val="20"/>
                <w:szCs w:val="20"/>
              </w:rPr>
              <w:t xml:space="preserve">Political </w:t>
            </w:r>
            <w:r>
              <w:rPr>
                <w:sz w:val="20"/>
                <w:szCs w:val="20"/>
              </w:rPr>
              <w:t>Affiliation</w:t>
            </w:r>
          </w:p>
        </w:tc>
        <w:tc>
          <w:tcPr>
            <w:tcW w:w="5000" w:type="dxa"/>
            <w:tcBorders>
              <w:top w:val="nil"/>
              <w:left w:val="nil"/>
              <w:bottom w:val="nil"/>
              <w:right w:val="nil"/>
            </w:tcBorders>
            <w:shd w:val="clear" w:color="auto" w:fill="auto"/>
            <w:vAlign w:val="bottom"/>
          </w:tcPr>
          <w:p w:rsidR="00C263B8" w:rsidRPr="0048762B" w:rsidRDefault="00C0441B">
            <w:pPr>
              <w:rPr>
                <w:color w:val="000000"/>
                <w:sz w:val="20"/>
                <w:szCs w:val="20"/>
                <w:lang w:val="en-US"/>
              </w:rPr>
            </w:pPr>
            <w:r w:rsidRPr="0048762B">
              <w:rPr>
                <w:color w:val="000000"/>
                <w:sz w:val="20"/>
                <w:szCs w:val="20"/>
                <w:lang w:val="en-US"/>
              </w:rPr>
              <w:t xml:space="preserve">If one is found on the list of affiliates per party in each state of the federation </w:t>
            </w:r>
            <w:r w:rsidRPr="0048762B">
              <w:rPr>
                <w:sz w:val="20"/>
                <w:szCs w:val="20"/>
                <w:lang w:val="en-US"/>
              </w:rPr>
              <w:t>and/or</w:t>
            </w:r>
            <w:r w:rsidRPr="0048762B">
              <w:rPr>
                <w:color w:val="000000"/>
                <w:sz w:val="20"/>
                <w:szCs w:val="20"/>
                <w:lang w:val="en-US"/>
              </w:rPr>
              <w:t xml:space="preserve"> holds a legislative, administrative or judicial office (either appointed or elected)</w:t>
            </w:r>
          </w:p>
        </w:tc>
        <w:tc>
          <w:tcPr>
            <w:tcW w:w="1480" w:type="dxa"/>
            <w:tcBorders>
              <w:top w:val="nil"/>
              <w:left w:val="nil"/>
              <w:bottom w:val="nil"/>
              <w:right w:val="nil"/>
            </w:tcBorders>
            <w:shd w:val="clear" w:color="auto" w:fill="auto"/>
            <w:vAlign w:val="bottom"/>
          </w:tcPr>
          <w:p w:rsidR="00C263B8" w:rsidRDefault="00C0441B">
            <w:pPr>
              <w:rPr>
                <w:color w:val="000000"/>
                <w:sz w:val="20"/>
                <w:szCs w:val="20"/>
              </w:rPr>
            </w:pPr>
            <w:r>
              <w:rPr>
                <w:color w:val="000000"/>
                <w:sz w:val="20"/>
                <w:szCs w:val="20"/>
              </w:rPr>
              <w:t xml:space="preserve">TSE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Senate</w:t>
            </w:r>
            <w:proofErr w:type="spellEnd"/>
          </w:p>
        </w:tc>
      </w:tr>
      <w:tr w:rsidR="00C263B8">
        <w:trPr>
          <w:trHeight w:val="520"/>
        </w:trPr>
        <w:tc>
          <w:tcPr>
            <w:tcW w:w="1700" w:type="dxa"/>
            <w:tcBorders>
              <w:top w:val="nil"/>
              <w:left w:val="nil"/>
              <w:bottom w:val="nil"/>
              <w:right w:val="nil"/>
            </w:tcBorders>
            <w:shd w:val="clear" w:color="auto" w:fill="auto"/>
            <w:vAlign w:val="center"/>
          </w:tcPr>
          <w:p w:rsidR="00C263B8" w:rsidRDefault="00C0441B">
            <w:pPr>
              <w:rPr>
                <w:color w:val="000000"/>
                <w:sz w:val="20"/>
                <w:szCs w:val="20"/>
              </w:rPr>
            </w:pPr>
            <w:r>
              <w:rPr>
                <w:color w:val="000000"/>
                <w:sz w:val="20"/>
                <w:szCs w:val="20"/>
              </w:rPr>
              <w:t>Academia</w:t>
            </w:r>
          </w:p>
        </w:tc>
        <w:tc>
          <w:tcPr>
            <w:tcW w:w="5000" w:type="dxa"/>
            <w:tcBorders>
              <w:top w:val="nil"/>
              <w:left w:val="nil"/>
              <w:bottom w:val="nil"/>
              <w:right w:val="nil"/>
            </w:tcBorders>
            <w:shd w:val="clear" w:color="auto" w:fill="auto"/>
            <w:vAlign w:val="bottom"/>
          </w:tcPr>
          <w:p w:rsidR="00C263B8" w:rsidRPr="0048762B" w:rsidRDefault="00C0441B">
            <w:pPr>
              <w:rPr>
                <w:color w:val="000000"/>
                <w:sz w:val="20"/>
                <w:szCs w:val="20"/>
                <w:lang w:val="en-US"/>
              </w:rPr>
            </w:pPr>
            <w:r w:rsidRPr="0048762B">
              <w:rPr>
                <w:color w:val="000000"/>
                <w:sz w:val="20"/>
                <w:szCs w:val="20"/>
                <w:lang w:val="en-US"/>
              </w:rPr>
              <w:t xml:space="preserve">If one has a Doctoral or Master of Science degree </w:t>
            </w:r>
            <w:r w:rsidRPr="0048762B">
              <w:rPr>
                <w:sz w:val="20"/>
                <w:szCs w:val="20"/>
                <w:lang w:val="en-US"/>
              </w:rPr>
              <w:t>and/or</w:t>
            </w:r>
            <w:r w:rsidRPr="0048762B">
              <w:rPr>
                <w:color w:val="000000"/>
                <w:sz w:val="20"/>
                <w:szCs w:val="20"/>
                <w:lang w:val="en-US"/>
              </w:rPr>
              <w:t xml:space="preserve"> holds a position in academia</w:t>
            </w:r>
          </w:p>
        </w:tc>
        <w:tc>
          <w:tcPr>
            <w:tcW w:w="1480" w:type="dxa"/>
            <w:tcBorders>
              <w:top w:val="nil"/>
              <w:left w:val="nil"/>
              <w:bottom w:val="nil"/>
              <w:right w:val="nil"/>
            </w:tcBorders>
            <w:shd w:val="clear" w:color="auto" w:fill="auto"/>
            <w:vAlign w:val="bottom"/>
          </w:tcPr>
          <w:p w:rsidR="00C263B8" w:rsidRDefault="00C0441B">
            <w:pPr>
              <w:rPr>
                <w:color w:val="000000"/>
                <w:sz w:val="20"/>
                <w:szCs w:val="20"/>
              </w:rPr>
            </w:pPr>
            <w:proofErr w:type="spellStart"/>
            <w:r>
              <w:rPr>
                <w:color w:val="000000"/>
                <w:sz w:val="20"/>
                <w:szCs w:val="20"/>
              </w:rPr>
              <w:t>Senate</w:t>
            </w:r>
            <w:proofErr w:type="spellEnd"/>
            <w:r>
              <w:rPr>
                <w:color w:val="000000"/>
                <w:sz w:val="20"/>
                <w:szCs w:val="20"/>
              </w:rPr>
              <w:t xml:space="preserve"> </w:t>
            </w:r>
          </w:p>
        </w:tc>
      </w:tr>
      <w:tr w:rsidR="00C263B8">
        <w:trPr>
          <w:trHeight w:val="300"/>
        </w:trPr>
        <w:tc>
          <w:tcPr>
            <w:tcW w:w="1700" w:type="dxa"/>
            <w:tcBorders>
              <w:top w:val="nil"/>
              <w:left w:val="nil"/>
              <w:bottom w:val="nil"/>
              <w:right w:val="nil"/>
            </w:tcBorders>
            <w:shd w:val="clear" w:color="auto" w:fill="auto"/>
            <w:vAlign w:val="center"/>
          </w:tcPr>
          <w:p w:rsidR="00C263B8" w:rsidRDefault="00C0441B">
            <w:pPr>
              <w:rPr>
                <w:color w:val="000000"/>
                <w:sz w:val="20"/>
                <w:szCs w:val="20"/>
              </w:rPr>
            </w:pPr>
            <w:r>
              <w:rPr>
                <w:color w:val="000000"/>
                <w:sz w:val="20"/>
                <w:szCs w:val="20"/>
              </w:rPr>
              <w:t>Regulatory Agency</w:t>
            </w:r>
          </w:p>
        </w:tc>
        <w:tc>
          <w:tcPr>
            <w:tcW w:w="5000" w:type="dxa"/>
            <w:tcBorders>
              <w:top w:val="nil"/>
              <w:left w:val="nil"/>
              <w:bottom w:val="nil"/>
              <w:right w:val="nil"/>
            </w:tcBorders>
            <w:shd w:val="clear" w:color="auto" w:fill="auto"/>
            <w:vAlign w:val="bottom"/>
          </w:tcPr>
          <w:p w:rsidR="00C263B8" w:rsidRPr="0048762B" w:rsidRDefault="00C0441B">
            <w:pPr>
              <w:rPr>
                <w:color w:val="000000"/>
                <w:sz w:val="20"/>
                <w:szCs w:val="20"/>
                <w:lang w:val="en-US"/>
              </w:rPr>
            </w:pPr>
            <w:r w:rsidRPr="0048762B">
              <w:rPr>
                <w:color w:val="000000"/>
                <w:sz w:val="20"/>
                <w:szCs w:val="20"/>
                <w:lang w:val="en-US"/>
              </w:rPr>
              <w:t>If one is a public servant on behalf of a regulatory agency</w:t>
            </w:r>
          </w:p>
        </w:tc>
        <w:tc>
          <w:tcPr>
            <w:tcW w:w="1480" w:type="dxa"/>
            <w:tcBorders>
              <w:top w:val="nil"/>
              <w:left w:val="nil"/>
              <w:bottom w:val="nil"/>
              <w:right w:val="nil"/>
            </w:tcBorders>
            <w:shd w:val="clear" w:color="auto" w:fill="auto"/>
            <w:vAlign w:val="bottom"/>
          </w:tcPr>
          <w:p w:rsidR="00C263B8" w:rsidRDefault="00C0441B">
            <w:pPr>
              <w:rPr>
                <w:color w:val="000000"/>
                <w:sz w:val="20"/>
                <w:szCs w:val="20"/>
              </w:rPr>
            </w:pPr>
            <w:proofErr w:type="spellStart"/>
            <w:r>
              <w:rPr>
                <w:color w:val="000000"/>
                <w:sz w:val="20"/>
                <w:szCs w:val="20"/>
              </w:rPr>
              <w:t>Senate</w:t>
            </w:r>
            <w:proofErr w:type="spellEnd"/>
            <w:r>
              <w:rPr>
                <w:color w:val="000000"/>
                <w:sz w:val="20"/>
                <w:szCs w:val="20"/>
              </w:rPr>
              <w:t xml:space="preserve"> </w:t>
            </w:r>
          </w:p>
        </w:tc>
      </w:tr>
      <w:tr w:rsidR="00C263B8">
        <w:trPr>
          <w:trHeight w:val="520"/>
        </w:trPr>
        <w:tc>
          <w:tcPr>
            <w:tcW w:w="1700" w:type="dxa"/>
            <w:tcBorders>
              <w:top w:val="nil"/>
              <w:left w:val="nil"/>
              <w:bottom w:val="nil"/>
              <w:right w:val="nil"/>
            </w:tcBorders>
            <w:shd w:val="clear" w:color="auto" w:fill="auto"/>
            <w:vAlign w:val="center"/>
          </w:tcPr>
          <w:p w:rsidR="00C263B8" w:rsidRDefault="00C0441B">
            <w:pPr>
              <w:rPr>
                <w:color w:val="000000"/>
                <w:sz w:val="20"/>
                <w:szCs w:val="20"/>
              </w:rPr>
            </w:pPr>
            <w:r>
              <w:rPr>
                <w:color w:val="000000"/>
                <w:sz w:val="20"/>
                <w:szCs w:val="20"/>
              </w:rPr>
              <w:t>Public Service</w:t>
            </w:r>
          </w:p>
        </w:tc>
        <w:tc>
          <w:tcPr>
            <w:tcW w:w="5000" w:type="dxa"/>
            <w:tcBorders>
              <w:top w:val="nil"/>
              <w:left w:val="nil"/>
              <w:bottom w:val="nil"/>
              <w:right w:val="nil"/>
            </w:tcBorders>
            <w:shd w:val="clear" w:color="auto" w:fill="auto"/>
            <w:vAlign w:val="bottom"/>
          </w:tcPr>
          <w:p w:rsidR="00C263B8" w:rsidRPr="0048762B" w:rsidRDefault="00C0441B">
            <w:pPr>
              <w:rPr>
                <w:color w:val="000000"/>
                <w:sz w:val="20"/>
                <w:szCs w:val="20"/>
                <w:lang w:val="en-US"/>
              </w:rPr>
            </w:pPr>
            <w:r w:rsidRPr="0048762B">
              <w:rPr>
                <w:color w:val="000000"/>
                <w:sz w:val="20"/>
                <w:szCs w:val="20"/>
                <w:lang w:val="en-US"/>
              </w:rPr>
              <w:t>If one is a public servant on behalf of any government department excluding regulatory agencies</w:t>
            </w:r>
          </w:p>
        </w:tc>
        <w:tc>
          <w:tcPr>
            <w:tcW w:w="1480" w:type="dxa"/>
            <w:tcBorders>
              <w:top w:val="nil"/>
              <w:left w:val="nil"/>
              <w:bottom w:val="nil"/>
              <w:right w:val="nil"/>
            </w:tcBorders>
            <w:shd w:val="clear" w:color="auto" w:fill="auto"/>
            <w:vAlign w:val="bottom"/>
          </w:tcPr>
          <w:p w:rsidR="00C263B8" w:rsidRDefault="00C0441B">
            <w:pPr>
              <w:rPr>
                <w:color w:val="000000"/>
                <w:sz w:val="20"/>
                <w:szCs w:val="20"/>
              </w:rPr>
            </w:pPr>
            <w:proofErr w:type="spellStart"/>
            <w:r>
              <w:rPr>
                <w:color w:val="000000"/>
                <w:sz w:val="20"/>
                <w:szCs w:val="20"/>
              </w:rPr>
              <w:t>Senate</w:t>
            </w:r>
            <w:proofErr w:type="spellEnd"/>
            <w:r>
              <w:rPr>
                <w:color w:val="000000"/>
                <w:sz w:val="20"/>
                <w:szCs w:val="20"/>
              </w:rPr>
              <w:t xml:space="preserve"> </w:t>
            </w:r>
          </w:p>
        </w:tc>
      </w:tr>
      <w:tr w:rsidR="00C263B8">
        <w:trPr>
          <w:trHeight w:val="300"/>
        </w:trPr>
        <w:tc>
          <w:tcPr>
            <w:tcW w:w="1700" w:type="dxa"/>
            <w:tcBorders>
              <w:top w:val="nil"/>
              <w:left w:val="nil"/>
              <w:bottom w:val="nil"/>
              <w:right w:val="nil"/>
            </w:tcBorders>
            <w:shd w:val="clear" w:color="auto" w:fill="auto"/>
            <w:vAlign w:val="center"/>
          </w:tcPr>
          <w:p w:rsidR="00C263B8" w:rsidRDefault="00C0441B">
            <w:pPr>
              <w:rPr>
                <w:color w:val="000000"/>
                <w:sz w:val="20"/>
                <w:szCs w:val="20"/>
              </w:rPr>
            </w:pPr>
            <w:r>
              <w:rPr>
                <w:color w:val="000000"/>
                <w:sz w:val="20"/>
                <w:szCs w:val="20"/>
              </w:rPr>
              <w:t>Industry</w:t>
            </w:r>
          </w:p>
        </w:tc>
        <w:tc>
          <w:tcPr>
            <w:tcW w:w="5000" w:type="dxa"/>
            <w:tcBorders>
              <w:top w:val="nil"/>
              <w:left w:val="nil"/>
              <w:bottom w:val="nil"/>
              <w:right w:val="nil"/>
            </w:tcBorders>
            <w:shd w:val="clear" w:color="auto" w:fill="auto"/>
            <w:vAlign w:val="bottom"/>
          </w:tcPr>
          <w:p w:rsidR="00C263B8" w:rsidRPr="0048762B" w:rsidRDefault="00C0441B">
            <w:pPr>
              <w:rPr>
                <w:color w:val="000000"/>
                <w:sz w:val="20"/>
                <w:szCs w:val="20"/>
                <w:lang w:val="en-US"/>
              </w:rPr>
            </w:pPr>
            <w:r w:rsidRPr="0048762B">
              <w:rPr>
                <w:color w:val="000000"/>
                <w:sz w:val="20"/>
                <w:szCs w:val="20"/>
                <w:lang w:val="en-US"/>
              </w:rPr>
              <w:t>If one works in the regulated industry</w:t>
            </w:r>
          </w:p>
        </w:tc>
        <w:tc>
          <w:tcPr>
            <w:tcW w:w="1480" w:type="dxa"/>
            <w:tcBorders>
              <w:top w:val="nil"/>
              <w:left w:val="nil"/>
              <w:bottom w:val="nil"/>
              <w:right w:val="nil"/>
            </w:tcBorders>
            <w:shd w:val="clear" w:color="auto" w:fill="auto"/>
            <w:vAlign w:val="bottom"/>
          </w:tcPr>
          <w:p w:rsidR="00C263B8" w:rsidRDefault="00C0441B">
            <w:pPr>
              <w:rPr>
                <w:color w:val="000000"/>
                <w:sz w:val="20"/>
                <w:szCs w:val="20"/>
              </w:rPr>
            </w:pPr>
            <w:r>
              <w:rPr>
                <w:color w:val="000000"/>
                <w:sz w:val="20"/>
                <w:szCs w:val="20"/>
              </w:rPr>
              <w:t xml:space="preserve">RAIS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Senate</w:t>
            </w:r>
            <w:proofErr w:type="spellEnd"/>
          </w:p>
        </w:tc>
      </w:tr>
      <w:tr w:rsidR="00C263B8">
        <w:trPr>
          <w:trHeight w:val="540"/>
        </w:trPr>
        <w:tc>
          <w:tcPr>
            <w:tcW w:w="1700" w:type="dxa"/>
            <w:tcBorders>
              <w:top w:val="nil"/>
              <w:left w:val="nil"/>
              <w:bottom w:val="single" w:sz="8" w:space="0" w:color="000000"/>
              <w:right w:val="nil"/>
            </w:tcBorders>
            <w:shd w:val="clear" w:color="auto" w:fill="auto"/>
            <w:vAlign w:val="center"/>
          </w:tcPr>
          <w:p w:rsidR="00C263B8" w:rsidRDefault="00C0441B">
            <w:pPr>
              <w:rPr>
                <w:color w:val="000000"/>
                <w:sz w:val="20"/>
                <w:szCs w:val="20"/>
              </w:rPr>
            </w:pPr>
            <w:r>
              <w:rPr>
                <w:color w:val="000000"/>
                <w:sz w:val="20"/>
                <w:szCs w:val="20"/>
              </w:rPr>
              <w:t>Consultancy</w:t>
            </w:r>
          </w:p>
        </w:tc>
        <w:tc>
          <w:tcPr>
            <w:tcW w:w="5000" w:type="dxa"/>
            <w:tcBorders>
              <w:top w:val="nil"/>
              <w:left w:val="nil"/>
              <w:bottom w:val="single" w:sz="8" w:space="0" w:color="000000"/>
              <w:right w:val="nil"/>
            </w:tcBorders>
            <w:shd w:val="clear" w:color="auto" w:fill="auto"/>
            <w:vAlign w:val="bottom"/>
          </w:tcPr>
          <w:p w:rsidR="00C263B8" w:rsidRPr="0048762B" w:rsidRDefault="00C0441B">
            <w:pPr>
              <w:rPr>
                <w:color w:val="000000"/>
                <w:sz w:val="20"/>
                <w:szCs w:val="20"/>
                <w:lang w:val="en-US"/>
              </w:rPr>
            </w:pPr>
            <w:r w:rsidRPr="0048762B">
              <w:rPr>
                <w:color w:val="000000"/>
                <w:sz w:val="20"/>
                <w:szCs w:val="20"/>
                <w:lang w:val="en-US"/>
              </w:rPr>
              <w:t>If one works as a consultant that provides professional advice related to the regulated industry</w:t>
            </w:r>
          </w:p>
        </w:tc>
        <w:tc>
          <w:tcPr>
            <w:tcW w:w="1480" w:type="dxa"/>
            <w:tcBorders>
              <w:top w:val="nil"/>
              <w:left w:val="nil"/>
              <w:bottom w:val="single" w:sz="8" w:space="0" w:color="000000"/>
              <w:right w:val="nil"/>
            </w:tcBorders>
            <w:shd w:val="clear" w:color="auto" w:fill="auto"/>
            <w:vAlign w:val="bottom"/>
          </w:tcPr>
          <w:p w:rsidR="00C263B8" w:rsidRDefault="00C0441B">
            <w:pPr>
              <w:rPr>
                <w:color w:val="000000"/>
                <w:sz w:val="20"/>
                <w:szCs w:val="20"/>
              </w:rPr>
            </w:pPr>
            <w:r>
              <w:rPr>
                <w:color w:val="000000"/>
                <w:sz w:val="20"/>
                <w:szCs w:val="20"/>
              </w:rPr>
              <w:t xml:space="preserve">RAIS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Senate</w:t>
            </w:r>
            <w:proofErr w:type="spellEnd"/>
          </w:p>
        </w:tc>
      </w:tr>
    </w:tbl>
    <w:p w:rsidR="00C263B8" w:rsidRDefault="00C263B8">
      <w:pPr>
        <w:spacing w:line="480" w:lineRule="auto"/>
      </w:pPr>
    </w:p>
    <w:p w:rsidR="00BE0BB9" w:rsidRPr="0048762B" w:rsidRDefault="00C0441B" w:rsidP="00821512">
      <w:pPr>
        <w:spacing w:before="120" w:after="120"/>
        <w:ind w:firstLine="357"/>
        <w:jc w:val="both"/>
        <w:rPr>
          <w:lang w:val="en-US"/>
        </w:rPr>
      </w:pPr>
      <w:r w:rsidRPr="0048762B">
        <w:rPr>
          <w:lang w:val="en-US"/>
        </w:rPr>
        <w:t>Based on the premise that careers are a sequence of job positions over time (</w:t>
      </w:r>
      <w:proofErr w:type="spellStart"/>
      <w:r w:rsidRPr="0048762B">
        <w:rPr>
          <w:lang w:val="en-US"/>
        </w:rPr>
        <w:t>Spilerman</w:t>
      </w:r>
      <w:proofErr w:type="spellEnd"/>
      <w:r w:rsidRPr="0048762B">
        <w:rPr>
          <w:lang w:val="en-US"/>
        </w:rPr>
        <w:t xml:space="preserve">, 1977), recently one strand in the literature has applied longitudinal data techniques to compare career sequences to map patterns. </w:t>
      </w:r>
      <w:r w:rsidR="00BE0BB9" w:rsidRPr="0048762B">
        <w:rPr>
          <w:lang w:val="en-US"/>
        </w:rPr>
        <w:t xml:space="preserve">After some previous results (not shown, but available under request), we observed only marginal differences between trajectories of men and women, academic or non-academic professionals, regulators or public servants in general and private sector workers or consultants. Thus, only two of seven possible dimensions </w:t>
      </w:r>
      <w:r w:rsidR="00821512">
        <w:rPr>
          <w:lang w:val="en-US"/>
        </w:rPr>
        <w:t>were</w:t>
      </w:r>
      <w:r w:rsidR="00BE0BB9" w:rsidRPr="0048762B">
        <w:rPr>
          <w:lang w:val="en-US"/>
        </w:rPr>
        <w:t xml:space="preserve"> taken into consideration: politically affiliated vs. non-affiliated and public vs. private sector.</w:t>
      </w:r>
    </w:p>
    <w:p w:rsidR="00BE0BB9" w:rsidRPr="0048762B" w:rsidRDefault="00BE0BB9" w:rsidP="00821512">
      <w:pPr>
        <w:spacing w:before="120" w:after="120"/>
        <w:ind w:firstLine="357"/>
        <w:jc w:val="both"/>
        <w:rPr>
          <w:lang w:val="en-US"/>
        </w:rPr>
      </w:pPr>
      <w:r w:rsidRPr="0048762B">
        <w:rPr>
          <w:lang w:val="en-US"/>
        </w:rPr>
        <w:t>O</w:t>
      </w:r>
      <w:r w:rsidR="00D2754C" w:rsidRPr="0048762B">
        <w:rPr>
          <w:lang w:val="en-US"/>
        </w:rPr>
        <w:t xml:space="preserve">ur empirical strategy </w:t>
      </w:r>
      <w:r w:rsidR="00016091" w:rsidRPr="0048762B">
        <w:rPr>
          <w:lang w:val="en-US"/>
        </w:rPr>
        <w:t xml:space="preserve">follows </w:t>
      </w:r>
      <w:r w:rsidRPr="0048762B">
        <w:rPr>
          <w:lang w:val="en-US"/>
        </w:rPr>
        <w:t>three</w:t>
      </w:r>
      <w:r w:rsidR="00016091" w:rsidRPr="0048762B">
        <w:rPr>
          <w:lang w:val="en-US"/>
        </w:rPr>
        <w:t xml:space="preserve"> paths</w:t>
      </w:r>
      <w:r w:rsidR="00D2754C" w:rsidRPr="0048762B">
        <w:rPr>
          <w:lang w:val="en-US"/>
        </w:rPr>
        <w:t>. First, w</w:t>
      </w:r>
      <w:r w:rsidR="00C0441B" w:rsidRPr="0048762B">
        <w:rPr>
          <w:lang w:val="en-US"/>
        </w:rPr>
        <w:t xml:space="preserve">e analyzed the data using </w:t>
      </w:r>
      <w:r w:rsidRPr="0048762B">
        <w:rPr>
          <w:lang w:val="en-US"/>
        </w:rPr>
        <w:t xml:space="preserve">standard statistical techniques, such as descriptive statistics, contingency tables, mosaic plots and chi-squared tests. </w:t>
      </w:r>
    </w:p>
    <w:p w:rsidR="00016091" w:rsidRPr="0048762B" w:rsidRDefault="00BE0BB9" w:rsidP="00821512">
      <w:pPr>
        <w:spacing w:before="120" w:after="120"/>
        <w:ind w:firstLine="357"/>
        <w:jc w:val="both"/>
        <w:rPr>
          <w:lang w:val="en-US"/>
        </w:rPr>
      </w:pPr>
      <w:r w:rsidRPr="0048762B">
        <w:rPr>
          <w:lang w:val="en-US"/>
        </w:rPr>
        <w:t xml:space="preserve">Secondly, we employ </w:t>
      </w:r>
      <w:r w:rsidR="00C0441B" w:rsidRPr="0048762B">
        <w:rPr>
          <w:lang w:val="en-US"/>
        </w:rPr>
        <w:t>Optimal Matching Analysis</w:t>
      </w:r>
      <w:r w:rsidR="00C0441B" w:rsidRPr="0048762B">
        <w:rPr>
          <w:i/>
          <w:lang w:val="en-US"/>
        </w:rPr>
        <w:t xml:space="preserve"> </w:t>
      </w:r>
      <w:r w:rsidR="00C0441B" w:rsidRPr="0048762B">
        <w:rPr>
          <w:lang w:val="en-US"/>
        </w:rPr>
        <w:t xml:space="preserve">(OMA), introduced in career analysis by Abbott and </w:t>
      </w:r>
      <w:proofErr w:type="spellStart"/>
      <w:r w:rsidR="00C0441B" w:rsidRPr="0048762B">
        <w:rPr>
          <w:lang w:val="en-US"/>
        </w:rPr>
        <w:t>Hrycak</w:t>
      </w:r>
      <w:proofErr w:type="spellEnd"/>
      <w:r w:rsidR="00C0441B" w:rsidRPr="0048762B">
        <w:rPr>
          <w:lang w:val="en-US"/>
        </w:rPr>
        <w:t xml:space="preserve"> (1990) and revised by Abbott and </w:t>
      </w:r>
      <w:proofErr w:type="spellStart"/>
      <w:r w:rsidR="00C0441B" w:rsidRPr="0048762B">
        <w:rPr>
          <w:lang w:val="en-US"/>
        </w:rPr>
        <w:t>Tsay</w:t>
      </w:r>
      <w:proofErr w:type="spellEnd"/>
      <w:r w:rsidR="00C0441B" w:rsidRPr="0048762B">
        <w:rPr>
          <w:lang w:val="en-US"/>
        </w:rPr>
        <w:t xml:space="preserve"> (2000), </w:t>
      </w:r>
      <w:proofErr w:type="spellStart"/>
      <w:r w:rsidR="00C0441B" w:rsidRPr="0048762B">
        <w:rPr>
          <w:lang w:val="en-US"/>
        </w:rPr>
        <w:t>Aisenbrey</w:t>
      </w:r>
      <w:proofErr w:type="spellEnd"/>
      <w:r w:rsidR="00C0441B" w:rsidRPr="0048762B">
        <w:rPr>
          <w:lang w:val="en-US"/>
        </w:rPr>
        <w:t xml:space="preserve"> and </w:t>
      </w:r>
      <w:proofErr w:type="spellStart"/>
      <w:r w:rsidR="00C0441B" w:rsidRPr="0048762B">
        <w:rPr>
          <w:lang w:val="en-US"/>
        </w:rPr>
        <w:t>Fasang</w:t>
      </w:r>
      <w:proofErr w:type="spellEnd"/>
      <w:r w:rsidR="00C0441B" w:rsidRPr="0048762B">
        <w:rPr>
          <w:lang w:val="en-US"/>
        </w:rPr>
        <w:t xml:space="preserve"> (2010), and </w:t>
      </w:r>
      <w:proofErr w:type="spellStart"/>
      <w:r w:rsidR="00C0441B" w:rsidRPr="0048762B">
        <w:rPr>
          <w:lang w:val="en-US"/>
        </w:rPr>
        <w:t>Dlouhy</w:t>
      </w:r>
      <w:proofErr w:type="spellEnd"/>
      <w:r w:rsidR="00C0441B" w:rsidRPr="0048762B">
        <w:rPr>
          <w:lang w:val="en-US"/>
        </w:rPr>
        <w:t xml:space="preserve"> and </w:t>
      </w:r>
      <w:proofErr w:type="spellStart"/>
      <w:r w:rsidR="00C0441B" w:rsidRPr="0048762B">
        <w:rPr>
          <w:lang w:val="en-US"/>
        </w:rPr>
        <w:t>Biemann</w:t>
      </w:r>
      <w:proofErr w:type="spellEnd"/>
      <w:r w:rsidR="00C0441B" w:rsidRPr="0048762B">
        <w:rPr>
          <w:lang w:val="en-US"/>
        </w:rPr>
        <w:t xml:space="preserve"> (2015). </w:t>
      </w:r>
      <w:r w:rsidR="00016091" w:rsidRPr="0048762B">
        <w:rPr>
          <w:lang w:val="en-US"/>
        </w:rPr>
        <w:t xml:space="preserve">The </w:t>
      </w:r>
      <w:r w:rsidRPr="0048762B">
        <w:rPr>
          <w:lang w:val="en-US"/>
        </w:rPr>
        <w:t xml:space="preserve">main advantage </w:t>
      </w:r>
      <w:r w:rsidR="00016091" w:rsidRPr="0048762B">
        <w:rPr>
          <w:lang w:val="en-US"/>
        </w:rPr>
        <w:t xml:space="preserve">of applying OMA to our research problem is to deal with </w:t>
      </w:r>
      <w:r w:rsidR="0003111A" w:rsidRPr="0048762B">
        <w:rPr>
          <w:lang w:val="en-US"/>
        </w:rPr>
        <w:t>career strings without necessarily imposing restrictions regardin</w:t>
      </w:r>
      <w:r w:rsidR="006650A1" w:rsidRPr="0048762B">
        <w:rPr>
          <w:lang w:val="en-US"/>
        </w:rPr>
        <w:t>g the grouping of these strings in common paths.</w:t>
      </w:r>
      <w:r w:rsidR="0003111A" w:rsidRPr="0048762B">
        <w:rPr>
          <w:lang w:val="en-US"/>
        </w:rPr>
        <w:t xml:space="preserve"> One must notice that </w:t>
      </w:r>
      <w:r w:rsidR="006650A1" w:rsidRPr="0048762B">
        <w:rPr>
          <w:lang w:val="en-US"/>
        </w:rPr>
        <w:t xml:space="preserve">in spite of </w:t>
      </w:r>
      <w:r w:rsidR="0003111A" w:rsidRPr="0048762B">
        <w:rPr>
          <w:lang w:val="en-US"/>
        </w:rPr>
        <w:t>only two dimensions</w:t>
      </w:r>
      <w:r w:rsidRPr="0048762B">
        <w:rPr>
          <w:lang w:val="en-US"/>
        </w:rPr>
        <w:t xml:space="preserve"> for each state</w:t>
      </w:r>
      <w:r w:rsidR="0003111A" w:rsidRPr="0048762B">
        <w:rPr>
          <w:lang w:val="en-US"/>
        </w:rPr>
        <w:t xml:space="preserve">, there are four possible states for each year, thus </w:t>
      </w:r>
      <w:r w:rsidR="006650A1" w:rsidRPr="0048762B">
        <w:rPr>
          <w:lang w:val="en-US"/>
        </w:rPr>
        <w:t xml:space="preserve">in theory </w:t>
      </w:r>
      <w:r w:rsidR="0003111A" w:rsidRPr="0048762B">
        <w:rPr>
          <w:lang w:val="en-US"/>
        </w:rPr>
        <w:t>there are 1,048,576 (4</w:t>
      </w:r>
      <w:r w:rsidR="0003111A" w:rsidRPr="0048762B">
        <w:rPr>
          <w:vertAlign w:val="superscript"/>
          <w:lang w:val="en-US"/>
        </w:rPr>
        <w:t>10</w:t>
      </w:r>
      <w:r w:rsidR="0003111A" w:rsidRPr="0048762B">
        <w:rPr>
          <w:lang w:val="en-US"/>
        </w:rPr>
        <w:t>) possible strings.</w:t>
      </w:r>
      <w:r w:rsidR="00016091" w:rsidRPr="0048762B">
        <w:rPr>
          <w:lang w:val="en-US"/>
        </w:rPr>
        <w:t xml:space="preserve"> </w:t>
      </w:r>
    </w:p>
    <w:p w:rsidR="00F24E42" w:rsidRPr="0048762B" w:rsidRDefault="00F24E42" w:rsidP="00821512">
      <w:pPr>
        <w:spacing w:before="120" w:after="120"/>
        <w:ind w:firstLine="357"/>
        <w:jc w:val="both"/>
        <w:rPr>
          <w:lang w:val="en-US"/>
        </w:rPr>
      </w:pPr>
      <w:r w:rsidRPr="0048762B">
        <w:rPr>
          <w:lang w:val="en-US"/>
        </w:rPr>
        <w:t xml:space="preserve">Briefly, first OMA defines the distance between sequences as the number of changes needed to transform one string of sequence into another. The lower this "cost," the more similar these sequences are. Second, the operations allowed to transform one sequence into another are the substitution, </w:t>
      </w:r>
      <w:r w:rsidRPr="0048762B">
        <w:rPr>
          <w:lang w:val="en-US"/>
        </w:rPr>
        <w:lastRenderedPageBreak/>
        <w:t xml:space="preserve">insertion, and elimination (indel operations) of a given state. The output of the comparison between the strings is a symmetric matrix that displays the distance from one sequence to all others. Finally, this matrix is used to cluster sequences that </w:t>
      </w:r>
      <w:proofErr w:type="gramStart"/>
      <w:r w:rsidRPr="0048762B">
        <w:rPr>
          <w:lang w:val="en-US"/>
        </w:rPr>
        <w:t>are more or less</w:t>
      </w:r>
      <w:proofErr w:type="gramEnd"/>
      <w:r w:rsidRPr="0048762B">
        <w:rPr>
          <w:lang w:val="en-US"/>
        </w:rPr>
        <w:t xml:space="preserve"> similar, even though they are not </w:t>
      </w:r>
      <w:r w:rsidR="00BE0BB9" w:rsidRPr="0048762B">
        <w:rPr>
          <w:lang w:val="en-US"/>
        </w:rPr>
        <w:t>exactly</w:t>
      </w:r>
      <w:r w:rsidRPr="0048762B">
        <w:rPr>
          <w:lang w:val="en-US"/>
        </w:rPr>
        <w:t xml:space="preserve"> the same.</w:t>
      </w:r>
    </w:p>
    <w:p w:rsidR="00E269D0" w:rsidRDefault="006650A1" w:rsidP="00052F91">
      <w:pPr>
        <w:spacing w:before="120" w:after="120"/>
        <w:ind w:firstLine="357"/>
        <w:jc w:val="both"/>
        <w:rPr>
          <w:lang w:val="en-US"/>
        </w:rPr>
      </w:pPr>
      <w:r w:rsidRPr="00821512">
        <w:rPr>
          <w:lang w:val="en-US"/>
        </w:rPr>
        <w:t>Thus</w:t>
      </w:r>
      <w:r w:rsidR="00016091" w:rsidRPr="00821512">
        <w:rPr>
          <w:lang w:val="en-US"/>
        </w:rPr>
        <w:t xml:space="preserve">, we tested </w:t>
      </w:r>
      <w:r w:rsidR="00F24E42" w:rsidRPr="00821512">
        <w:rPr>
          <w:lang w:val="en-US"/>
        </w:rPr>
        <w:t xml:space="preserve">explicitly </w:t>
      </w:r>
      <w:r w:rsidR="00016091" w:rsidRPr="00821512">
        <w:rPr>
          <w:lang w:val="en-US"/>
        </w:rPr>
        <w:t>through a binary choice model if political</w:t>
      </w:r>
      <w:r w:rsidR="00F24E42" w:rsidRPr="00821512">
        <w:rPr>
          <w:lang w:val="en-US"/>
        </w:rPr>
        <w:t xml:space="preserve"> affiliation or previous experience in the public sector influences the probability of working for the private sector after a term in the regulatory board.</w:t>
      </w:r>
      <w:r w:rsidR="0003111A" w:rsidRPr="00821512">
        <w:rPr>
          <w:lang w:val="en-US"/>
        </w:rPr>
        <w:t xml:space="preserve"> This simple two-dimension classification proved to be very useful to understand the changes from public to private sector or vice versa, and how political affiliation helps or hampers these transitions.</w:t>
      </w:r>
    </w:p>
    <w:p w:rsidR="00C16C3E" w:rsidRPr="00052F91" w:rsidRDefault="00C16C3E" w:rsidP="00052F91">
      <w:pPr>
        <w:spacing w:before="120" w:after="120"/>
        <w:ind w:firstLine="357"/>
        <w:jc w:val="both"/>
        <w:rPr>
          <w:lang w:val="en-US"/>
        </w:rPr>
      </w:pPr>
    </w:p>
    <w:p w:rsidR="00823BA8" w:rsidRDefault="00823BA8" w:rsidP="00052F91">
      <w:pPr>
        <w:pBdr>
          <w:top w:val="nil"/>
          <w:left w:val="nil"/>
          <w:bottom w:val="nil"/>
          <w:right w:val="nil"/>
          <w:between w:val="nil"/>
        </w:pBdr>
        <w:spacing w:before="120" w:after="120"/>
        <w:ind w:left="284"/>
        <w:jc w:val="center"/>
        <w:rPr>
          <w:b/>
          <w:color w:val="000000"/>
          <w:lang w:val="en-US"/>
        </w:rPr>
      </w:pPr>
      <w:r w:rsidRPr="0048762B">
        <w:rPr>
          <w:b/>
          <w:color w:val="000000"/>
          <w:lang w:val="en-US"/>
        </w:rPr>
        <w:t xml:space="preserve">DESCRIPTIVE </w:t>
      </w:r>
      <w:r w:rsidR="00D64AF9" w:rsidRPr="0048762B">
        <w:rPr>
          <w:b/>
          <w:color w:val="000000"/>
          <w:lang w:val="en-US"/>
        </w:rPr>
        <w:t>ANALYSIS</w:t>
      </w:r>
      <w:r w:rsidRPr="0048762B">
        <w:rPr>
          <w:b/>
          <w:color w:val="000000"/>
          <w:lang w:val="en-US"/>
        </w:rPr>
        <w:t xml:space="preserve"> OF STRINGS</w:t>
      </w:r>
    </w:p>
    <w:p w:rsidR="00C16C3E" w:rsidRPr="0048762B" w:rsidRDefault="00C16C3E" w:rsidP="00052F91">
      <w:pPr>
        <w:pBdr>
          <w:top w:val="nil"/>
          <w:left w:val="nil"/>
          <w:bottom w:val="nil"/>
          <w:right w:val="nil"/>
          <w:between w:val="nil"/>
        </w:pBdr>
        <w:spacing w:before="120" w:after="120"/>
        <w:ind w:left="284"/>
        <w:jc w:val="center"/>
        <w:rPr>
          <w:lang w:val="en-US"/>
        </w:rPr>
      </w:pPr>
    </w:p>
    <w:p w:rsidR="00E269D0" w:rsidRPr="0048762B" w:rsidRDefault="00E269D0" w:rsidP="00052F91">
      <w:pPr>
        <w:spacing w:before="120" w:after="120"/>
        <w:ind w:firstLine="284"/>
        <w:jc w:val="both"/>
        <w:rPr>
          <w:lang w:val="en-US"/>
        </w:rPr>
      </w:pPr>
      <w:r w:rsidRPr="0048762B">
        <w:rPr>
          <w:lang w:val="en-US"/>
        </w:rPr>
        <w:t xml:space="preserve">In spite of the high number or possibilities, </w:t>
      </w:r>
      <w:r w:rsidR="00821512">
        <w:rPr>
          <w:lang w:val="en-US"/>
        </w:rPr>
        <w:t xml:space="preserve">in practice </w:t>
      </w:r>
      <w:r w:rsidRPr="0048762B">
        <w:rPr>
          <w:lang w:val="en-US"/>
        </w:rPr>
        <w:t xml:space="preserve">there are only 27 strings. The reason for that is the low rate of transitions from one state to the other during the first or last five years of the sequence. When transitions </w:t>
      </w:r>
      <w:r w:rsidR="00E96CEC" w:rsidRPr="0048762B">
        <w:rPr>
          <w:lang w:val="en-US"/>
        </w:rPr>
        <w:t xml:space="preserve">take place, they tend to do before-and-after the term in the regulatory board. This stability may be observed in the </w:t>
      </w:r>
      <w:proofErr w:type="spellStart"/>
      <w:r w:rsidR="00E96CEC" w:rsidRPr="0048762B">
        <w:rPr>
          <w:lang w:val="en-US"/>
        </w:rPr>
        <w:t>tempogram</w:t>
      </w:r>
      <w:proofErr w:type="spellEnd"/>
      <w:r w:rsidR="00E96CEC" w:rsidRPr="0048762B">
        <w:rPr>
          <w:lang w:val="en-US"/>
        </w:rPr>
        <w:t xml:space="preserve"> (Figure 1).</w:t>
      </w:r>
    </w:p>
    <w:p w:rsidR="00E96CEC" w:rsidRDefault="00E96CEC" w:rsidP="00E96CEC">
      <w:pPr>
        <w:tabs>
          <w:tab w:val="left" w:pos="2940"/>
          <w:tab w:val="center" w:pos="4612"/>
        </w:tabs>
        <w:spacing w:after="160" w:line="480" w:lineRule="auto"/>
        <w:ind w:firstLine="720"/>
        <w:jc w:val="center"/>
      </w:pPr>
      <w:r w:rsidRPr="0048762B">
        <w:rPr>
          <w:sz w:val="20"/>
          <w:szCs w:val="20"/>
          <w:lang w:val="en-US"/>
        </w:rPr>
        <w:t xml:space="preserve">Figure 1. </w:t>
      </w:r>
      <w:proofErr w:type="spellStart"/>
      <w:r>
        <w:rPr>
          <w:sz w:val="20"/>
          <w:szCs w:val="20"/>
        </w:rPr>
        <w:t>Tempogram</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sequences</w:t>
      </w:r>
      <w:proofErr w:type="spellEnd"/>
      <w:r>
        <w:rPr>
          <w:noProof/>
        </w:rPr>
        <w:drawing>
          <wp:inline distT="0" distB="0" distL="0" distR="0" wp14:anchorId="04BA562F" wp14:editId="752351C3">
            <wp:extent cx="5010028" cy="333569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4943" cy="3345629"/>
                    </a:xfrm>
                    <a:prstGeom prst="rect">
                      <a:avLst/>
                    </a:prstGeom>
                  </pic:spPr>
                </pic:pic>
              </a:graphicData>
            </a:graphic>
          </wp:inline>
        </w:drawing>
      </w:r>
    </w:p>
    <w:p w:rsidR="00823BA8" w:rsidRPr="0048762B" w:rsidRDefault="00E96CEC" w:rsidP="00821512">
      <w:pPr>
        <w:spacing w:before="120" w:after="120"/>
        <w:ind w:firstLine="284"/>
        <w:jc w:val="both"/>
        <w:rPr>
          <w:lang w:val="en-US"/>
        </w:rPr>
      </w:pPr>
      <w:r w:rsidRPr="0048762B">
        <w:rPr>
          <w:lang w:val="en-US"/>
        </w:rPr>
        <w:t xml:space="preserve">As a </w:t>
      </w:r>
      <w:proofErr w:type="gramStart"/>
      <w:r w:rsidRPr="0048762B">
        <w:rPr>
          <w:lang w:val="en-US"/>
        </w:rPr>
        <w:t>result</w:t>
      </w:r>
      <w:proofErr w:type="gramEnd"/>
      <w:r w:rsidRPr="0048762B">
        <w:rPr>
          <w:lang w:val="en-US"/>
        </w:rPr>
        <w:t xml:space="preserve"> from the low number of observed sequences, ten most common ones correspond to 84.6% of occurrences, as displayed in Figure 2.</w:t>
      </w:r>
    </w:p>
    <w:p w:rsidR="00FD3CF9" w:rsidRDefault="00E96CEC" w:rsidP="00E96CEC">
      <w:pPr>
        <w:tabs>
          <w:tab w:val="left" w:pos="2940"/>
          <w:tab w:val="center" w:pos="4612"/>
        </w:tabs>
        <w:spacing w:after="160" w:line="480" w:lineRule="auto"/>
        <w:ind w:firstLine="720"/>
        <w:rPr>
          <w:sz w:val="20"/>
          <w:szCs w:val="20"/>
          <w:lang w:val="en-US"/>
        </w:rPr>
      </w:pPr>
      <w:r w:rsidRPr="0048762B">
        <w:rPr>
          <w:sz w:val="20"/>
          <w:szCs w:val="20"/>
          <w:lang w:val="en-US"/>
        </w:rPr>
        <w:tab/>
      </w:r>
    </w:p>
    <w:p w:rsidR="00FD3CF9" w:rsidRDefault="00FD3CF9">
      <w:pPr>
        <w:spacing w:before="120" w:after="120" w:line="276" w:lineRule="auto"/>
        <w:ind w:firstLine="709"/>
        <w:jc w:val="both"/>
        <w:rPr>
          <w:sz w:val="20"/>
          <w:szCs w:val="20"/>
          <w:lang w:val="en-US"/>
        </w:rPr>
      </w:pPr>
      <w:r>
        <w:rPr>
          <w:sz w:val="20"/>
          <w:szCs w:val="20"/>
          <w:lang w:val="en-US"/>
        </w:rPr>
        <w:br w:type="page"/>
      </w:r>
    </w:p>
    <w:p w:rsidR="00823BA8" w:rsidRDefault="00E96CEC" w:rsidP="00E96CEC">
      <w:pPr>
        <w:tabs>
          <w:tab w:val="left" w:pos="2940"/>
          <w:tab w:val="center" w:pos="4612"/>
        </w:tabs>
        <w:spacing w:after="160" w:line="480" w:lineRule="auto"/>
        <w:ind w:firstLine="720"/>
        <w:rPr>
          <w:sz w:val="20"/>
          <w:szCs w:val="20"/>
        </w:rPr>
      </w:pPr>
      <w:r w:rsidRPr="0048762B">
        <w:rPr>
          <w:sz w:val="20"/>
          <w:szCs w:val="20"/>
          <w:lang w:val="en-US"/>
        </w:rPr>
        <w:lastRenderedPageBreak/>
        <w:tab/>
      </w:r>
      <w:r w:rsidR="00823BA8">
        <w:rPr>
          <w:sz w:val="20"/>
          <w:szCs w:val="20"/>
        </w:rPr>
        <w:t>F</w:t>
      </w:r>
      <w:r>
        <w:rPr>
          <w:sz w:val="20"/>
          <w:szCs w:val="20"/>
        </w:rPr>
        <w:t>igure 2</w:t>
      </w:r>
      <w:r w:rsidR="00823BA8">
        <w:rPr>
          <w:sz w:val="20"/>
          <w:szCs w:val="20"/>
        </w:rPr>
        <w:t>. Ten most common sequences</w:t>
      </w:r>
    </w:p>
    <w:p w:rsidR="00823BA8" w:rsidRPr="00E96CEC" w:rsidRDefault="00E96CEC" w:rsidP="00E96CEC">
      <w:pPr>
        <w:spacing w:after="160" w:line="480" w:lineRule="auto"/>
        <w:jc w:val="center"/>
      </w:pPr>
      <w:r>
        <w:rPr>
          <w:noProof/>
        </w:rPr>
        <w:drawing>
          <wp:inline distT="0" distB="0" distL="0" distR="0" wp14:anchorId="53F417C6" wp14:editId="6A8531A8">
            <wp:extent cx="4324350" cy="287917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0385" cy="2883189"/>
                    </a:xfrm>
                    <a:prstGeom prst="rect">
                      <a:avLst/>
                    </a:prstGeom>
                  </pic:spPr>
                </pic:pic>
              </a:graphicData>
            </a:graphic>
          </wp:inline>
        </w:drawing>
      </w:r>
    </w:p>
    <w:p w:rsidR="00823BA8" w:rsidRPr="0048762B" w:rsidRDefault="00E96CEC" w:rsidP="00C16C3E">
      <w:pPr>
        <w:spacing w:before="120" w:after="120"/>
        <w:ind w:firstLine="284"/>
        <w:jc w:val="both"/>
        <w:rPr>
          <w:lang w:val="en-US"/>
        </w:rPr>
      </w:pPr>
      <w:r w:rsidRPr="0048762B">
        <w:rPr>
          <w:lang w:val="en-US"/>
        </w:rPr>
        <w:t>T</w:t>
      </w:r>
      <w:r w:rsidR="00823BA8" w:rsidRPr="0048762B">
        <w:rPr>
          <w:lang w:val="en-US"/>
        </w:rPr>
        <w:t>he most frequent string illustrate public servants, without political affiliation, that move to the private sector or become consultants in the regulated area after term</w:t>
      </w:r>
      <w:r w:rsidR="00CC3288" w:rsidRPr="0048762B">
        <w:rPr>
          <w:lang w:val="en-US"/>
        </w:rPr>
        <w:t xml:space="preserve"> (25 </w:t>
      </w:r>
      <w:proofErr w:type="spellStart"/>
      <w:r w:rsidR="00CC3288" w:rsidRPr="0048762B">
        <w:rPr>
          <w:lang w:val="en-US"/>
        </w:rPr>
        <w:t>occurrencies</w:t>
      </w:r>
      <w:proofErr w:type="spellEnd"/>
      <w:r w:rsidR="00CC3288" w:rsidRPr="0048762B">
        <w:rPr>
          <w:lang w:val="en-US"/>
        </w:rPr>
        <w:t>)</w:t>
      </w:r>
      <w:r w:rsidR="00823BA8" w:rsidRPr="0048762B">
        <w:rPr>
          <w:lang w:val="en-US"/>
        </w:rPr>
        <w:t>. The second string shows public servants, without political affiliation, that remain in the public service after term</w:t>
      </w:r>
      <w:r w:rsidR="00CC3288" w:rsidRPr="0048762B">
        <w:rPr>
          <w:lang w:val="en-US"/>
        </w:rPr>
        <w:t xml:space="preserve"> (24)</w:t>
      </w:r>
      <w:r w:rsidR="00823BA8" w:rsidRPr="0048762B">
        <w:rPr>
          <w:lang w:val="en-US"/>
        </w:rPr>
        <w:t>. The third string represents public servants, with political affiliation, that remain in the public service after term</w:t>
      </w:r>
      <w:r w:rsidR="00CC3288" w:rsidRPr="0048762B">
        <w:rPr>
          <w:lang w:val="en-US"/>
        </w:rPr>
        <w:t xml:space="preserve"> (14)</w:t>
      </w:r>
      <w:r w:rsidR="00823BA8" w:rsidRPr="0048762B">
        <w:rPr>
          <w:lang w:val="en-US"/>
        </w:rPr>
        <w:t>. The fourth string, i.e., private employees, without political affiliation, tend to go back to the regulated private sector</w:t>
      </w:r>
      <w:r w:rsidR="00CC3288" w:rsidRPr="0048762B">
        <w:rPr>
          <w:lang w:val="en-US"/>
        </w:rPr>
        <w:t xml:space="preserve"> (12)</w:t>
      </w:r>
      <w:r w:rsidR="00823BA8" w:rsidRPr="0048762B">
        <w:rPr>
          <w:lang w:val="en-US"/>
        </w:rPr>
        <w:t>. The fifth sequence shows public servants, with political affiliation, that are hired by the private sector after term</w:t>
      </w:r>
      <w:r w:rsidR="00CC3288" w:rsidRPr="0048762B">
        <w:rPr>
          <w:lang w:val="en-US"/>
        </w:rPr>
        <w:t xml:space="preserve"> (10)</w:t>
      </w:r>
      <w:r w:rsidR="00823BA8" w:rsidRPr="0048762B">
        <w:rPr>
          <w:lang w:val="en-US"/>
        </w:rPr>
        <w:t>. Next, private employees, with political affiliation, remain in the regulated private sector</w:t>
      </w:r>
      <w:r w:rsidR="00CC3288" w:rsidRPr="0048762B">
        <w:rPr>
          <w:lang w:val="en-US"/>
        </w:rPr>
        <w:t xml:space="preserve"> (4)</w:t>
      </w:r>
      <w:r w:rsidR="00823BA8" w:rsidRPr="0048762B">
        <w:rPr>
          <w:lang w:val="en-US"/>
        </w:rPr>
        <w:t xml:space="preserve">. </w:t>
      </w:r>
      <w:r w:rsidR="00823BA8" w:rsidRPr="00D74F4D">
        <w:rPr>
          <w:lang w:val="en-US"/>
        </w:rPr>
        <w:t xml:space="preserve">From this simple analysis, one may infer that politicians do not change </w:t>
      </w:r>
      <w:r w:rsidR="00CC3288" w:rsidRPr="00D74F4D">
        <w:rPr>
          <w:lang w:val="en-US"/>
        </w:rPr>
        <w:t>their positions</w:t>
      </w:r>
      <w:r w:rsidR="00823BA8" w:rsidRPr="00D74F4D">
        <w:rPr>
          <w:lang w:val="en-US"/>
        </w:rPr>
        <w:t xml:space="preserve">, i.e., </w:t>
      </w:r>
      <w:r w:rsidR="00D74F4D" w:rsidRPr="00D74F4D">
        <w:rPr>
          <w:lang w:val="en-US"/>
        </w:rPr>
        <w:t>having political affiliation</w:t>
      </w:r>
      <w:r w:rsidR="00823BA8" w:rsidRPr="00D74F4D">
        <w:rPr>
          <w:lang w:val="en-US"/>
        </w:rPr>
        <w:t xml:space="preserve"> is not a post-term gain. </w:t>
      </w:r>
      <w:r w:rsidR="00823BA8" w:rsidRPr="0048762B">
        <w:rPr>
          <w:lang w:val="en-US"/>
        </w:rPr>
        <w:t xml:space="preserve">Neither it precludes of being appointed, nor it guarantees any position post-term. </w:t>
      </w:r>
      <w:r w:rsidR="00CC3288" w:rsidRPr="0048762B">
        <w:rPr>
          <w:lang w:val="en-US"/>
        </w:rPr>
        <w:t>Indeed, m</w:t>
      </w:r>
      <w:r w:rsidR="00823BA8" w:rsidRPr="0048762B">
        <w:rPr>
          <w:lang w:val="en-US"/>
        </w:rPr>
        <w:t>ost of private sector workers in the after-term come from the public sector, but they are not politically affiliated.</w:t>
      </w:r>
    </w:p>
    <w:p w:rsidR="00823BA8" w:rsidRPr="0048762B" w:rsidRDefault="00BC10CA" w:rsidP="00C16C3E">
      <w:pPr>
        <w:tabs>
          <w:tab w:val="left" w:pos="730"/>
          <w:tab w:val="center" w:pos="4252"/>
        </w:tabs>
        <w:spacing w:before="120" w:after="120"/>
        <w:ind w:firstLine="284"/>
        <w:jc w:val="both"/>
        <w:rPr>
          <w:lang w:val="en-US"/>
        </w:rPr>
      </w:pPr>
      <w:r w:rsidRPr="0048762B">
        <w:rPr>
          <w:lang w:val="en-US"/>
        </w:rPr>
        <w:t>A chi-squared test</w:t>
      </w:r>
      <w:r w:rsidR="00D64AF9" w:rsidRPr="0048762B">
        <w:rPr>
          <w:lang w:val="en-US"/>
        </w:rPr>
        <w:t>, a contingency table</w:t>
      </w:r>
      <w:r w:rsidRPr="0048762B">
        <w:rPr>
          <w:lang w:val="en-US"/>
        </w:rPr>
        <w:t xml:space="preserve"> and a mosaic plot may reveal whether there is some trajectory bias</w:t>
      </w:r>
      <w:r w:rsidR="00D64AF9" w:rsidRPr="0048762B">
        <w:rPr>
          <w:lang w:val="en-US"/>
        </w:rPr>
        <w:t xml:space="preserve"> related to IRAs. Indeed, the overall chi-squared test rejects the null hypothesis of no bias towards any IRA, at less than 0.001% of significance. A contingency table and a mosaic plot point out the sources of these biases, through the difference between observed (first line of each cell), expected (second line) and their respective standardized residuals (third line). Standardized residuals may be interpreted as ordinary t-statistic observed values.</w:t>
      </w:r>
    </w:p>
    <w:p w:rsidR="00D64AF9" w:rsidRPr="0048762B" w:rsidRDefault="00D64AF9" w:rsidP="00C16C3E">
      <w:pPr>
        <w:tabs>
          <w:tab w:val="left" w:pos="730"/>
          <w:tab w:val="center" w:pos="4252"/>
        </w:tabs>
        <w:spacing w:before="120" w:after="120"/>
        <w:ind w:firstLine="284"/>
        <w:jc w:val="both"/>
        <w:rPr>
          <w:lang w:val="en-US"/>
        </w:rPr>
      </w:pPr>
      <w:r w:rsidRPr="0048762B">
        <w:rPr>
          <w:lang w:val="en-US"/>
        </w:rPr>
        <w:t xml:space="preserve">Hence, </w:t>
      </w:r>
      <w:r w:rsidR="006F1CAF" w:rsidRPr="0048762B">
        <w:rPr>
          <w:lang w:val="en-US"/>
        </w:rPr>
        <w:t>according to</w:t>
      </w:r>
      <w:r w:rsidR="00A320A1" w:rsidRPr="0048762B">
        <w:rPr>
          <w:lang w:val="en-US"/>
        </w:rPr>
        <w:t xml:space="preserve"> </w:t>
      </w:r>
      <w:r w:rsidR="00FA5FB2">
        <w:rPr>
          <w:lang w:val="en-US"/>
        </w:rPr>
        <w:t>standard</w:t>
      </w:r>
      <w:r w:rsidR="00A320A1" w:rsidRPr="0048762B">
        <w:rPr>
          <w:lang w:val="en-US"/>
        </w:rPr>
        <w:t xml:space="preserve"> </w:t>
      </w:r>
      <w:r w:rsidR="006F1CAF" w:rsidRPr="0048762B">
        <w:rPr>
          <w:lang w:val="en-US"/>
        </w:rPr>
        <w:t>confidence levels (10%, 5% and 1% for re</w:t>
      </w:r>
      <w:r w:rsidR="001D388D">
        <w:rPr>
          <w:lang w:val="en-US"/>
        </w:rPr>
        <w:t xml:space="preserve">jection of the null hypothesis), </w:t>
      </w:r>
      <w:r w:rsidR="006F1CAF" w:rsidRPr="0048762B">
        <w:rPr>
          <w:lang w:val="en-US"/>
        </w:rPr>
        <w:t>only two cells show significant differences betwee</w:t>
      </w:r>
      <w:r w:rsidR="00B26114" w:rsidRPr="0048762B">
        <w:rPr>
          <w:lang w:val="en-US"/>
        </w:rPr>
        <w:t>n observed and expected values.</w:t>
      </w:r>
      <w:r w:rsidR="006F1CAF" w:rsidRPr="0048762B">
        <w:rPr>
          <w:lang w:val="en-US"/>
        </w:rPr>
        <w:t xml:space="preserve"> ANAC (the aviation agency) has a larger-than-expected proportion of regulators coming from the private sector</w:t>
      </w:r>
      <w:r w:rsidR="00B26114" w:rsidRPr="0048762B">
        <w:rPr>
          <w:lang w:val="en-US"/>
        </w:rPr>
        <w:t xml:space="preserve"> (and eventually returning to private jobs)</w:t>
      </w:r>
      <w:r w:rsidR="006F1CAF" w:rsidRPr="0048762B">
        <w:rPr>
          <w:lang w:val="en-US"/>
        </w:rPr>
        <w:t xml:space="preserve">, and ANTAQ (the </w:t>
      </w:r>
      <w:r w:rsidR="00B26114" w:rsidRPr="0048762B">
        <w:rPr>
          <w:lang w:val="en-US"/>
        </w:rPr>
        <w:t xml:space="preserve">waterway transportation Agency) has the same for affiliated public servants, who </w:t>
      </w:r>
      <w:r w:rsidR="00FA5FB2">
        <w:rPr>
          <w:lang w:val="en-US"/>
        </w:rPr>
        <w:t xml:space="preserve">tend to </w:t>
      </w:r>
      <w:r w:rsidR="00B26114" w:rsidRPr="0048762B">
        <w:rPr>
          <w:lang w:val="en-US"/>
        </w:rPr>
        <w:t>return to the public service after their terms.</w:t>
      </w:r>
    </w:p>
    <w:p w:rsidR="00FD3CF9" w:rsidRDefault="00FD3CF9">
      <w:pPr>
        <w:spacing w:before="120" w:after="120" w:line="276" w:lineRule="auto"/>
        <w:ind w:firstLine="709"/>
        <w:jc w:val="both"/>
        <w:rPr>
          <w:sz w:val="20"/>
          <w:szCs w:val="20"/>
          <w:lang w:val="en-US"/>
        </w:rPr>
      </w:pPr>
      <w:r>
        <w:rPr>
          <w:sz w:val="20"/>
          <w:szCs w:val="20"/>
          <w:lang w:val="en-US"/>
        </w:rPr>
        <w:br w:type="page"/>
      </w:r>
    </w:p>
    <w:p w:rsidR="00C0441B" w:rsidRPr="0048762B" w:rsidRDefault="00C0441B" w:rsidP="00C0441B">
      <w:pPr>
        <w:spacing w:line="480" w:lineRule="auto"/>
        <w:jc w:val="center"/>
        <w:rPr>
          <w:sz w:val="20"/>
          <w:szCs w:val="20"/>
          <w:lang w:val="en-US"/>
        </w:rPr>
      </w:pPr>
      <w:r w:rsidRPr="0048762B">
        <w:rPr>
          <w:sz w:val="20"/>
          <w:szCs w:val="20"/>
          <w:lang w:val="en-US"/>
        </w:rPr>
        <w:lastRenderedPageBreak/>
        <w:t>Table 2. Types of trajectories per agency</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240"/>
        <w:gridCol w:w="1240"/>
        <w:gridCol w:w="1240"/>
        <w:gridCol w:w="1240"/>
        <w:gridCol w:w="1240"/>
        <w:gridCol w:w="1240"/>
      </w:tblGrid>
      <w:tr w:rsidR="0041265F" w:rsidRPr="0048762B"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IRA</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Others</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 xml:space="preserve">Always </w:t>
            </w:r>
            <w:proofErr w:type="spellStart"/>
            <w:r w:rsidRPr="0041265F">
              <w:rPr>
                <w:color w:val="000000"/>
                <w:sz w:val="20"/>
                <w:szCs w:val="20"/>
              </w:rPr>
              <w:t>private</w:t>
            </w:r>
            <w:proofErr w:type="spellEnd"/>
            <w:r w:rsidRPr="0041265F">
              <w:rPr>
                <w:color w:val="000000"/>
                <w:sz w:val="20"/>
                <w:szCs w:val="20"/>
              </w:rPr>
              <w:t xml:space="preserve">, </w:t>
            </w:r>
            <w:proofErr w:type="spellStart"/>
            <w:r w:rsidRPr="0041265F">
              <w:rPr>
                <w:color w:val="000000"/>
                <w:sz w:val="20"/>
                <w:szCs w:val="20"/>
              </w:rPr>
              <w:t>not</w:t>
            </w:r>
            <w:proofErr w:type="spellEnd"/>
            <w:r w:rsidRPr="0041265F">
              <w:rPr>
                <w:color w:val="000000"/>
                <w:sz w:val="20"/>
                <w:szCs w:val="20"/>
              </w:rPr>
              <w:t xml:space="preserve"> </w:t>
            </w:r>
            <w:proofErr w:type="spellStart"/>
            <w:r w:rsidRPr="0041265F">
              <w:rPr>
                <w:color w:val="000000"/>
                <w:sz w:val="20"/>
                <w:szCs w:val="20"/>
              </w:rPr>
              <w:t>affilliated</w:t>
            </w:r>
            <w:proofErr w:type="spellEnd"/>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 xml:space="preserve">Always </w:t>
            </w:r>
            <w:proofErr w:type="spellStart"/>
            <w:r w:rsidRPr="0041265F">
              <w:rPr>
                <w:color w:val="000000"/>
                <w:sz w:val="20"/>
                <w:szCs w:val="20"/>
              </w:rPr>
              <w:t>public</w:t>
            </w:r>
            <w:proofErr w:type="spellEnd"/>
            <w:r w:rsidRPr="0041265F">
              <w:rPr>
                <w:color w:val="000000"/>
                <w:sz w:val="20"/>
                <w:szCs w:val="20"/>
              </w:rPr>
              <w:t xml:space="preserve">, </w:t>
            </w:r>
            <w:proofErr w:type="spellStart"/>
            <w:r w:rsidRPr="0041265F">
              <w:rPr>
                <w:color w:val="000000"/>
                <w:sz w:val="20"/>
                <w:szCs w:val="20"/>
              </w:rPr>
              <w:t>affilliated</w:t>
            </w:r>
            <w:proofErr w:type="spellEnd"/>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 xml:space="preserve">Always </w:t>
            </w:r>
            <w:proofErr w:type="spellStart"/>
            <w:r w:rsidRPr="0041265F">
              <w:rPr>
                <w:color w:val="000000"/>
                <w:sz w:val="20"/>
                <w:szCs w:val="20"/>
              </w:rPr>
              <w:t>public</w:t>
            </w:r>
            <w:proofErr w:type="spellEnd"/>
            <w:r w:rsidRPr="0041265F">
              <w:rPr>
                <w:color w:val="000000"/>
                <w:sz w:val="20"/>
                <w:szCs w:val="20"/>
              </w:rPr>
              <w:t xml:space="preserve">, </w:t>
            </w:r>
            <w:proofErr w:type="spellStart"/>
            <w:r w:rsidRPr="0041265F">
              <w:rPr>
                <w:color w:val="000000"/>
                <w:sz w:val="20"/>
                <w:szCs w:val="20"/>
              </w:rPr>
              <w:t>not</w:t>
            </w:r>
            <w:proofErr w:type="spellEnd"/>
            <w:r w:rsidRPr="0041265F">
              <w:rPr>
                <w:color w:val="000000"/>
                <w:sz w:val="20"/>
                <w:szCs w:val="20"/>
              </w:rPr>
              <w:t xml:space="preserve"> </w:t>
            </w:r>
            <w:proofErr w:type="spellStart"/>
            <w:r w:rsidRPr="0041265F">
              <w:rPr>
                <w:color w:val="000000"/>
                <w:sz w:val="20"/>
                <w:szCs w:val="20"/>
              </w:rPr>
              <w:t>affilliated</w:t>
            </w:r>
            <w:proofErr w:type="spellEnd"/>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Public to private, affilliated</w:t>
            </w:r>
          </w:p>
        </w:tc>
        <w:tc>
          <w:tcPr>
            <w:tcW w:w="1240" w:type="dxa"/>
            <w:shd w:val="clear" w:color="auto" w:fill="auto"/>
            <w:vAlign w:val="bottom"/>
            <w:hideMark/>
          </w:tcPr>
          <w:p w:rsidR="0041265F" w:rsidRPr="0048762B" w:rsidRDefault="0041265F" w:rsidP="0041265F">
            <w:pPr>
              <w:rPr>
                <w:color w:val="000000"/>
                <w:sz w:val="20"/>
                <w:szCs w:val="20"/>
                <w:lang w:val="en-US"/>
              </w:rPr>
            </w:pPr>
            <w:r w:rsidRPr="0048762B">
              <w:rPr>
                <w:color w:val="000000"/>
                <w:sz w:val="20"/>
                <w:szCs w:val="20"/>
                <w:lang w:val="en-US"/>
              </w:rPr>
              <w:t xml:space="preserve">Public to private, not </w:t>
            </w:r>
            <w:proofErr w:type="spellStart"/>
            <w:r w:rsidRPr="0048762B">
              <w:rPr>
                <w:color w:val="000000"/>
                <w:sz w:val="20"/>
                <w:szCs w:val="20"/>
                <w:lang w:val="en-US"/>
              </w:rPr>
              <w:t>affilliated</w:t>
            </w:r>
            <w:proofErr w:type="spellEnd"/>
          </w:p>
        </w:tc>
      </w:tr>
      <w:tr w:rsidR="0041265F" w:rsidRPr="0041265F" w:rsidTr="00143377">
        <w:trPr>
          <w:trHeight w:val="548"/>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ANP</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3.06</w:t>
            </w:r>
            <w:r w:rsidRPr="0041265F">
              <w:rPr>
                <w:color w:val="000000"/>
                <w:sz w:val="20"/>
                <w:szCs w:val="20"/>
              </w:rPr>
              <w:br/>
            </w:r>
            <w:r w:rsidRPr="0041265F">
              <w:rPr>
                <w:color w:val="000000"/>
                <w:sz w:val="20"/>
                <w:szCs w:val="20"/>
              </w:rPr>
              <w:br/>
              <w:t>(-0.04)</w:t>
            </w:r>
          </w:p>
        </w:tc>
        <w:tc>
          <w:tcPr>
            <w:tcW w:w="1240" w:type="dxa"/>
            <w:shd w:val="clear" w:color="auto" w:fill="auto"/>
            <w:vAlign w:val="bottom"/>
            <w:hideMark/>
          </w:tcPr>
          <w:p w:rsidR="0041265F" w:rsidRPr="007056D2" w:rsidRDefault="0041265F" w:rsidP="0041265F">
            <w:pPr>
              <w:rPr>
                <w:color w:val="000000"/>
                <w:sz w:val="20"/>
                <w:szCs w:val="20"/>
              </w:rPr>
            </w:pPr>
            <w:r w:rsidRPr="007056D2">
              <w:rPr>
                <w:color w:val="000000"/>
                <w:sz w:val="20"/>
                <w:szCs w:val="20"/>
              </w:rPr>
              <w:t>2</w:t>
            </w:r>
            <w:r w:rsidRPr="007056D2">
              <w:rPr>
                <w:color w:val="000000"/>
                <w:sz w:val="20"/>
                <w:szCs w:val="20"/>
              </w:rPr>
              <w:br/>
            </w:r>
            <w:r w:rsidRPr="007056D2">
              <w:rPr>
                <w:color w:val="000000"/>
                <w:sz w:val="20"/>
                <w:szCs w:val="20"/>
              </w:rPr>
              <w:br/>
              <w:t>1.15</w:t>
            </w:r>
            <w:r w:rsidRPr="007056D2">
              <w:rPr>
                <w:color w:val="000000"/>
                <w:sz w:val="20"/>
                <w:szCs w:val="20"/>
              </w:rPr>
              <w:br/>
            </w:r>
            <w:r w:rsidRPr="007056D2">
              <w:rPr>
                <w:color w:val="000000"/>
                <w:sz w:val="20"/>
                <w:szCs w:val="20"/>
              </w:rPr>
              <w:br/>
              <w:t>(0.88)</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2.2</w:t>
            </w:r>
            <w:r w:rsidRPr="0041265F">
              <w:rPr>
                <w:color w:val="000000"/>
                <w:sz w:val="20"/>
                <w:szCs w:val="20"/>
              </w:rPr>
              <w:br/>
            </w:r>
            <w:r w:rsidRPr="0041265F">
              <w:rPr>
                <w:color w:val="000000"/>
                <w:sz w:val="20"/>
                <w:szCs w:val="20"/>
              </w:rPr>
              <w:br/>
              <w:t>(-0.16)</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0.96</w:t>
            </w:r>
            <w:r w:rsidRPr="0041265F">
              <w:rPr>
                <w:color w:val="000000"/>
                <w:sz w:val="20"/>
                <w:szCs w:val="20"/>
              </w:rPr>
              <w:br/>
            </w:r>
            <w:r w:rsidRPr="0041265F">
              <w:rPr>
                <w:color w:val="000000"/>
                <w:sz w:val="20"/>
                <w:szCs w:val="20"/>
              </w:rPr>
              <w:br/>
              <w:t>(1.17)</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2.3</w:t>
            </w:r>
            <w:r w:rsidRPr="0041265F">
              <w:rPr>
                <w:color w:val="000000"/>
                <w:sz w:val="20"/>
                <w:szCs w:val="20"/>
              </w:rPr>
              <w:br/>
            </w:r>
            <w:r w:rsidRPr="0041265F">
              <w:rPr>
                <w:color w:val="000000"/>
                <w:sz w:val="20"/>
                <w:szCs w:val="20"/>
              </w:rPr>
              <w:br/>
              <w:t>(-1.01)</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1.34</w:t>
            </w:r>
            <w:r w:rsidRPr="0041265F">
              <w:rPr>
                <w:color w:val="000000"/>
                <w:sz w:val="20"/>
                <w:szCs w:val="20"/>
              </w:rPr>
              <w:br/>
            </w:r>
            <w:r w:rsidRPr="0041265F">
              <w:rPr>
                <w:color w:val="000000"/>
                <w:sz w:val="20"/>
                <w:szCs w:val="20"/>
              </w:rPr>
              <w:br/>
              <w:t>(-0.33)</w:t>
            </w:r>
          </w:p>
        </w:tc>
      </w:tr>
      <w:tr w:rsidR="0041265F" w:rsidRPr="0041265F" w:rsidTr="00143377">
        <w:trPr>
          <w:trHeight w:val="900"/>
          <w:jc w:val="center"/>
        </w:trPr>
        <w:tc>
          <w:tcPr>
            <w:tcW w:w="960" w:type="dxa"/>
            <w:shd w:val="clear" w:color="auto" w:fill="auto"/>
            <w:noWrap/>
            <w:vAlign w:val="bottom"/>
            <w:hideMark/>
          </w:tcPr>
          <w:p w:rsidR="0041265F" w:rsidRPr="007056D2" w:rsidRDefault="0041265F" w:rsidP="0041265F">
            <w:pPr>
              <w:rPr>
                <w:color w:val="000000"/>
                <w:sz w:val="20"/>
                <w:szCs w:val="20"/>
              </w:rPr>
            </w:pPr>
            <w:r w:rsidRPr="007056D2">
              <w:rPr>
                <w:color w:val="000000"/>
                <w:sz w:val="20"/>
                <w:szCs w:val="20"/>
              </w:rPr>
              <w:t>ANAC</w:t>
            </w:r>
          </w:p>
        </w:tc>
        <w:tc>
          <w:tcPr>
            <w:tcW w:w="1240" w:type="dxa"/>
            <w:shd w:val="clear" w:color="auto" w:fill="auto"/>
            <w:vAlign w:val="bottom"/>
            <w:hideMark/>
          </w:tcPr>
          <w:p w:rsidR="0041265F" w:rsidRPr="007056D2" w:rsidRDefault="0041265F" w:rsidP="0041265F">
            <w:pPr>
              <w:rPr>
                <w:color w:val="000000"/>
                <w:sz w:val="20"/>
                <w:szCs w:val="20"/>
              </w:rPr>
            </w:pPr>
            <w:r w:rsidRPr="007056D2">
              <w:rPr>
                <w:color w:val="000000"/>
                <w:sz w:val="20"/>
                <w:szCs w:val="20"/>
              </w:rPr>
              <w:t>4</w:t>
            </w:r>
            <w:r w:rsidRPr="007056D2">
              <w:rPr>
                <w:color w:val="000000"/>
                <w:sz w:val="20"/>
                <w:szCs w:val="20"/>
              </w:rPr>
              <w:br/>
            </w:r>
            <w:r w:rsidRPr="007056D2">
              <w:rPr>
                <w:color w:val="000000"/>
                <w:sz w:val="20"/>
                <w:szCs w:val="20"/>
              </w:rPr>
              <w:br/>
              <w:t>3.9</w:t>
            </w:r>
            <w:r w:rsidRPr="007056D2">
              <w:rPr>
                <w:color w:val="000000"/>
                <w:sz w:val="20"/>
                <w:szCs w:val="20"/>
              </w:rPr>
              <w:br/>
            </w:r>
            <w:r w:rsidRPr="007056D2">
              <w:rPr>
                <w:color w:val="000000"/>
                <w:sz w:val="20"/>
                <w:szCs w:val="20"/>
              </w:rPr>
              <w:br/>
              <w:t>(0.07)</w:t>
            </w:r>
          </w:p>
        </w:tc>
        <w:tc>
          <w:tcPr>
            <w:tcW w:w="1240" w:type="dxa"/>
            <w:shd w:val="clear" w:color="000000" w:fill="FFFF00"/>
            <w:vAlign w:val="bottom"/>
            <w:hideMark/>
          </w:tcPr>
          <w:p w:rsidR="0041265F" w:rsidRPr="007056D2" w:rsidRDefault="0041265F" w:rsidP="0041265F">
            <w:pPr>
              <w:rPr>
                <w:color w:val="000000"/>
                <w:sz w:val="20"/>
                <w:szCs w:val="20"/>
              </w:rPr>
            </w:pPr>
            <w:r w:rsidRPr="007056D2">
              <w:rPr>
                <w:color w:val="000000"/>
                <w:sz w:val="20"/>
                <w:szCs w:val="20"/>
              </w:rPr>
              <w:t>4</w:t>
            </w:r>
            <w:r w:rsidRPr="007056D2">
              <w:rPr>
                <w:color w:val="000000"/>
                <w:sz w:val="20"/>
                <w:szCs w:val="20"/>
              </w:rPr>
              <w:br/>
            </w:r>
            <w:r w:rsidRPr="007056D2">
              <w:rPr>
                <w:color w:val="000000"/>
                <w:sz w:val="20"/>
                <w:szCs w:val="20"/>
              </w:rPr>
              <w:br/>
              <w:t>1.46</w:t>
            </w:r>
            <w:r w:rsidRPr="007056D2">
              <w:rPr>
                <w:color w:val="000000"/>
                <w:sz w:val="20"/>
                <w:szCs w:val="20"/>
              </w:rPr>
              <w:br/>
            </w:r>
            <w:r w:rsidRPr="007056D2">
              <w:rPr>
                <w:color w:val="000000"/>
                <w:sz w:val="20"/>
                <w:szCs w:val="20"/>
              </w:rPr>
              <w:br/>
              <w:t>(2.37)</w:t>
            </w:r>
          </w:p>
        </w:tc>
        <w:tc>
          <w:tcPr>
            <w:tcW w:w="1240" w:type="dxa"/>
            <w:shd w:val="clear" w:color="auto" w:fill="auto"/>
            <w:vAlign w:val="bottom"/>
            <w:hideMark/>
          </w:tcPr>
          <w:p w:rsidR="0041265F" w:rsidRPr="007056D2" w:rsidRDefault="0041265F" w:rsidP="0041265F">
            <w:pPr>
              <w:rPr>
                <w:color w:val="000000"/>
                <w:sz w:val="20"/>
                <w:szCs w:val="20"/>
              </w:rPr>
            </w:pPr>
            <w:r w:rsidRPr="007056D2">
              <w:rPr>
                <w:color w:val="000000"/>
                <w:sz w:val="20"/>
                <w:szCs w:val="20"/>
              </w:rPr>
              <w:t>1</w:t>
            </w:r>
            <w:r w:rsidRPr="007056D2">
              <w:rPr>
                <w:color w:val="000000"/>
                <w:sz w:val="20"/>
                <w:szCs w:val="20"/>
              </w:rPr>
              <w:br/>
            </w:r>
            <w:r w:rsidRPr="007056D2">
              <w:rPr>
                <w:color w:val="000000"/>
                <w:sz w:val="20"/>
                <w:szCs w:val="20"/>
              </w:rPr>
              <w:br/>
              <w:t>2.8</w:t>
            </w:r>
            <w:r w:rsidRPr="007056D2">
              <w:rPr>
                <w:color w:val="000000"/>
                <w:sz w:val="20"/>
                <w:szCs w:val="20"/>
              </w:rPr>
              <w:br/>
            </w:r>
            <w:r w:rsidRPr="007056D2">
              <w:rPr>
                <w:color w:val="000000"/>
                <w:sz w:val="20"/>
                <w:szCs w:val="20"/>
              </w:rPr>
              <w:br/>
              <w:t>(-1.28)</w:t>
            </w:r>
          </w:p>
        </w:tc>
        <w:tc>
          <w:tcPr>
            <w:tcW w:w="1240" w:type="dxa"/>
            <w:shd w:val="clear" w:color="auto" w:fill="auto"/>
            <w:vAlign w:val="bottom"/>
            <w:hideMark/>
          </w:tcPr>
          <w:p w:rsidR="0041265F" w:rsidRPr="007056D2" w:rsidRDefault="0041265F" w:rsidP="0041265F">
            <w:pPr>
              <w:rPr>
                <w:color w:val="000000"/>
                <w:sz w:val="20"/>
                <w:szCs w:val="20"/>
              </w:rPr>
            </w:pPr>
            <w:r w:rsidRPr="007056D2">
              <w:rPr>
                <w:color w:val="000000"/>
                <w:sz w:val="20"/>
                <w:szCs w:val="20"/>
              </w:rPr>
              <w:t>1</w:t>
            </w:r>
            <w:r w:rsidRPr="007056D2">
              <w:rPr>
                <w:color w:val="000000"/>
                <w:sz w:val="20"/>
                <w:szCs w:val="20"/>
              </w:rPr>
              <w:br/>
            </w:r>
            <w:r w:rsidRPr="007056D2">
              <w:rPr>
                <w:color w:val="000000"/>
                <w:sz w:val="20"/>
                <w:szCs w:val="20"/>
              </w:rPr>
              <w:br/>
              <w:t>1.22</w:t>
            </w:r>
            <w:r w:rsidRPr="007056D2">
              <w:rPr>
                <w:color w:val="000000"/>
                <w:sz w:val="20"/>
                <w:szCs w:val="20"/>
              </w:rPr>
              <w:br/>
            </w:r>
            <w:r w:rsidRPr="007056D2">
              <w:rPr>
                <w:color w:val="000000"/>
                <w:sz w:val="20"/>
                <w:szCs w:val="20"/>
              </w:rPr>
              <w:br/>
              <w:t>(-0.22)</w:t>
            </w:r>
          </w:p>
        </w:tc>
        <w:tc>
          <w:tcPr>
            <w:tcW w:w="1240" w:type="dxa"/>
            <w:shd w:val="clear" w:color="auto" w:fill="auto"/>
            <w:vAlign w:val="bottom"/>
            <w:hideMark/>
          </w:tcPr>
          <w:p w:rsidR="0041265F" w:rsidRPr="007056D2" w:rsidRDefault="0041265F" w:rsidP="0041265F">
            <w:pPr>
              <w:rPr>
                <w:color w:val="000000"/>
                <w:sz w:val="20"/>
                <w:szCs w:val="20"/>
              </w:rPr>
            </w:pPr>
            <w:r w:rsidRPr="007056D2">
              <w:rPr>
                <w:color w:val="000000"/>
                <w:sz w:val="20"/>
                <w:szCs w:val="20"/>
              </w:rPr>
              <w:t>3</w:t>
            </w:r>
            <w:r w:rsidRPr="007056D2">
              <w:rPr>
                <w:color w:val="000000"/>
                <w:sz w:val="20"/>
                <w:szCs w:val="20"/>
              </w:rPr>
              <w:br/>
            </w:r>
            <w:r w:rsidRPr="007056D2">
              <w:rPr>
                <w:color w:val="000000"/>
                <w:sz w:val="20"/>
                <w:szCs w:val="20"/>
              </w:rPr>
              <w:br/>
              <w:t>2.92</w:t>
            </w:r>
            <w:r w:rsidRPr="007056D2">
              <w:rPr>
                <w:color w:val="000000"/>
                <w:sz w:val="20"/>
                <w:szCs w:val="20"/>
              </w:rPr>
              <w:br/>
            </w:r>
            <w:r w:rsidRPr="007056D2">
              <w:rPr>
                <w:color w:val="000000"/>
                <w:sz w:val="20"/>
                <w:szCs w:val="20"/>
              </w:rPr>
              <w:br/>
              <w:t>(0.05)</w:t>
            </w:r>
          </w:p>
        </w:tc>
        <w:tc>
          <w:tcPr>
            <w:tcW w:w="1240" w:type="dxa"/>
            <w:shd w:val="clear" w:color="auto" w:fill="auto"/>
            <w:vAlign w:val="bottom"/>
            <w:hideMark/>
          </w:tcPr>
          <w:p w:rsidR="0041265F" w:rsidRPr="0041265F" w:rsidRDefault="0041265F" w:rsidP="0041265F">
            <w:pPr>
              <w:rPr>
                <w:color w:val="000000"/>
                <w:sz w:val="20"/>
                <w:szCs w:val="20"/>
              </w:rPr>
            </w:pPr>
            <w:r w:rsidRPr="007056D2">
              <w:rPr>
                <w:color w:val="000000"/>
                <w:sz w:val="20"/>
                <w:szCs w:val="20"/>
              </w:rPr>
              <w:t>1</w:t>
            </w:r>
            <w:r w:rsidRPr="007056D2">
              <w:rPr>
                <w:color w:val="000000"/>
                <w:sz w:val="20"/>
                <w:szCs w:val="20"/>
              </w:rPr>
              <w:br/>
            </w:r>
            <w:r w:rsidRPr="007056D2">
              <w:rPr>
                <w:color w:val="000000"/>
                <w:sz w:val="20"/>
                <w:szCs w:val="20"/>
              </w:rPr>
              <w:br/>
              <w:t>1.7</w:t>
            </w:r>
            <w:r w:rsidRPr="007056D2">
              <w:rPr>
                <w:color w:val="000000"/>
                <w:sz w:val="20"/>
                <w:szCs w:val="20"/>
              </w:rPr>
              <w:br/>
            </w:r>
            <w:r w:rsidRPr="007056D2">
              <w:rPr>
                <w:color w:val="000000"/>
                <w:sz w:val="20"/>
                <w:szCs w:val="20"/>
              </w:rPr>
              <w:br/>
              <w:t>(-0.61)</w:t>
            </w:r>
          </w:p>
        </w:tc>
      </w:tr>
      <w:tr w:rsidR="0041265F" w:rsidRPr="0041265F"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ANATEL</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4</w:t>
            </w:r>
            <w:r w:rsidRPr="0041265F">
              <w:rPr>
                <w:color w:val="000000"/>
                <w:sz w:val="20"/>
                <w:szCs w:val="20"/>
              </w:rPr>
              <w:br/>
            </w:r>
            <w:r w:rsidRPr="0041265F">
              <w:rPr>
                <w:color w:val="000000"/>
                <w:sz w:val="20"/>
                <w:szCs w:val="20"/>
              </w:rPr>
              <w:br/>
              <w:t>4.45</w:t>
            </w:r>
            <w:r w:rsidRPr="0041265F">
              <w:rPr>
                <w:color w:val="000000"/>
                <w:sz w:val="20"/>
                <w:szCs w:val="20"/>
              </w:rPr>
              <w:br/>
            </w:r>
            <w:r w:rsidRPr="0041265F">
              <w:rPr>
                <w:color w:val="000000"/>
                <w:sz w:val="20"/>
                <w:szCs w:val="20"/>
              </w:rPr>
              <w:br/>
              <w:t>(-0.27)</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1.67</w:t>
            </w:r>
            <w:r w:rsidRPr="0041265F">
              <w:rPr>
                <w:color w:val="000000"/>
                <w:sz w:val="20"/>
                <w:szCs w:val="20"/>
              </w:rPr>
              <w:br/>
            </w:r>
            <w:r w:rsidRPr="0041265F">
              <w:rPr>
                <w:color w:val="000000"/>
                <w:sz w:val="20"/>
                <w:szCs w:val="20"/>
              </w:rPr>
              <w:br/>
              <w:t>(-0.59)</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4</w:t>
            </w:r>
            <w:r w:rsidRPr="0041265F">
              <w:rPr>
                <w:color w:val="000000"/>
                <w:sz w:val="20"/>
                <w:szCs w:val="20"/>
              </w:rPr>
              <w:br/>
            </w:r>
            <w:r w:rsidRPr="0041265F">
              <w:rPr>
                <w:color w:val="000000"/>
                <w:sz w:val="20"/>
                <w:szCs w:val="20"/>
              </w:rPr>
              <w:br/>
              <w:t>3.2</w:t>
            </w:r>
            <w:r w:rsidRPr="0041265F">
              <w:rPr>
                <w:color w:val="000000"/>
                <w:sz w:val="20"/>
                <w:szCs w:val="20"/>
              </w:rPr>
              <w:br/>
            </w:r>
            <w:r w:rsidRPr="0041265F">
              <w:rPr>
                <w:color w:val="000000"/>
                <w:sz w:val="20"/>
                <w:szCs w:val="20"/>
              </w:rPr>
              <w:br/>
              <w:t>(0.54)</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1.39</w:t>
            </w:r>
            <w:r w:rsidRPr="0041265F">
              <w:rPr>
                <w:color w:val="000000"/>
                <w:sz w:val="20"/>
                <w:szCs w:val="20"/>
              </w:rPr>
              <w:br/>
            </w:r>
            <w:r w:rsidRPr="0041265F">
              <w:rPr>
                <w:color w:val="000000"/>
                <w:sz w:val="20"/>
                <w:szCs w:val="20"/>
              </w:rPr>
              <w:br/>
              <w:t>(0.58)</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3.34</w:t>
            </w:r>
            <w:r w:rsidRPr="0041265F">
              <w:rPr>
                <w:color w:val="000000"/>
                <w:sz w:val="20"/>
                <w:szCs w:val="20"/>
              </w:rPr>
              <w:br/>
            </w:r>
            <w:r w:rsidRPr="0041265F">
              <w:rPr>
                <w:color w:val="000000"/>
                <w:sz w:val="20"/>
                <w:szCs w:val="20"/>
              </w:rPr>
              <w:br/>
              <w:t>(-0.22)</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1.95</w:t>
            </w:r>
            <w:r w:rsidRPr="0041265F">
              <w:rPr>
                <w:color w:val="000000"/>
                <w:sz w:val="20"/>
                <w:szCs w:val="20"/>
              </w:rPr>
              <w:br/>
            </w:r>
            <w:r w:rsidRPr="0041265F">
              <w:rPr>
                <w:color w:val="000000"/>
                <w:sz w:val="20"/>
                <w:szCs w:val="20"/>
              </w:rPr>
              <w:br/>
              <w:t>(0.04)</w:t>
            </w:r>
          </w:p>
        </w:tc>
      </w:tr>
      <w:tr w:rsidR="0041265F" w:rsidRPr="0041265F"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ANCINE</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2.78</w:t>
            </w:r>
            <w:r w:rsidRPr="0041265F">
              <w:rPr>
                <w:color w:val="000000"/>
                <w:sz w:val="20"/>
                <w:szCs w:val="20"/>
              </w:rPr>
              <w:br/>
            </w:r>
            <w:r w:rsidRPr="0041265F">
              <w:rPr>
                <w:color w:val="000000"/>
                <w:sz w:val="20"/>
                <w:szCs w:val="20"/>
              </w:rPr>
              <w:br/>
              <w:t>(0.16)</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1.04</w:t>
            </w:r>
            <w:r w:rsidRPr="0041265F">
              <w:rPr>
                <w:color w:val="000000"/>
                <w:sz w:val="20"/>
                <w:szCs w:val="20"/>
              </w:rPr>
              <w:br/>
            </w:r>
            <w:r w:rsidRPr="0041265F">
              <w:rPr>
                <w:color w:val="000000"/>
                <w:sz w:val="20"/>
                <w:szCs w:val="20"/>
              </w:rPr>
              <w:br/>
              <w:t>(-0.05)</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2</w:t>
            </w:r>
            <w:r w:rsidRPr="0041265F">
              <w:rPr>
                <w:color w:val="000000"/>
                <w:sz w:val="20"/>
                <w:szCs w:val="20"/>
              </w:rPr>
              <w:br/>
            </w:r>
            <w:r w:rsidRPr="0041265F">
              <w:rPr>
                <w:color w:val="000000"/>
                <w:sz w:val="20"/>
                <w:szCs w:val="20"/>
              </w:rPr>
              <w:br/>
              <w:t>(-0.83)</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0.87</w:t>
            </w:r>
            <w:r w:rsidRPr="0041265F">
              <w:rPr>
                <w:color w:val="000000"/>
                <w:sz w:val="20"/>
                <w:szCs w:val="20"/>
              </w:rPr>
              <w:br/>
            </w:r>
            <w:r w:rsidRPr="0041265F">
              <w:rPr>
                <w:color w:val="000000"/>
                <w:sz w:val="20"/>
                <w:szCs w:val="20"/>
              </w:rPr>
              <w:br/>
              <w:t>(0.15)</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2.09</w:t>
            </w:r>
            <w:r w:rsidRPr="0041265F">
              <w:rPr>
                <w:color w:val="000000"/>
                <w:sz w:val="20"/>
                <w:szCs w:val="20"/>
              </w:rPr>
              <w:br/>
            </w:r>
            <w:r w:rsidRPr="0041265F">
              <w:rPr>
                <w:color w:val="000000"/>
                <w:sz w:val="20"/>
                <w:szCs w:val="20"/>
              </w:rPr>
              <w:br/>
              <w:t>(-0.07)</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1.22</w:t>
            </w:r>
            <w:r w:rsidRPr="0041265F">
              <w:rPr>
                <w:color w:val="000000"/>
                <w:sz w:val="20"/>
                <w:szCs w:val="20"/>
              </w:rPr>
              <w:br/>
            </w:r>
            <w:r w:rsidRPr="0041265F">
              <w:rPr>
                <w:color w:val="000000"/>
                <w:sz w:val="20"/>
                <w:szCs w:val="20"/>
              </w:rPr>
              <w:br/>
              <w:t>(0.79)</w:t>
            </w:r>
          </w:p>
        </w:tc>
      </w:tr>
      <w:tr w:rsidR="0041265F" w:rsidRPr="0041265F"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ANEEL</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5</w:t>
            </w:r>
            <w:r w:rsidRPr="0041265F">
              <w:rPr>
                <w:color w:val="000000"/>
                <w:sz w:val="20"/>
                <w:szCs w:val="20"/>
              </w:rPr>
              <w:br/>
            </w:r>
            <w:r w:rsidRPr="0041265F">
              <w:rPr>
                <w:color w:val="000000"/>
                <w:sz w:val="20"/>
                <w:szCs w:val="20"/>
              </w:rPr>
              <w:br/>
              <w:t>4.17</w:t>
            </w:r>
            <w:r w:rsidRPr="0041265F">
              <w:rPr>
                <w:color w:val="000000"/>
                <w:sz w:val="20"/>
                <w:szCs w:val="20"/>
              </w:rPr>
              <w:br/>
            </w:r>
            <w:r w:rsidRPr="0041265F">
              <w:rPr>
                <w:color w:val="000000"/>
                <w:sz w:val="20"/>
                <w:szCs w:val="20"/>
              </w:rPr>
              <w:br/>
              <w:t>(0.51)</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1.57</w:t>
            </w:r>
            <w:r w:rsidRPr="0041265F">
              <w:rPr>
                <w:color w:val="000000"/>
                <w:sz w:val="20"/>
                <w:szCs w:val="20"/>
              </w:rPr>
              <w:br/>
            </w:r>
            <w:r w:rsidRPr="0041265F">
              <w:rPr>
                <w:color w:val="000000"/>
                <w:sz w:val="20"/>
                <w:szCs w:val="20"/>
              </w:rPr>
              <w:br/>
              <w:t>(-1.42)</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5</w:t>
            </w:r>
            <w:r w:rsidRPr="0041265F">
              <w:rPr>
                <w:color w:val="000000"/>
                <w:sz w:val="20"/>
                <w:szCs w:val="20"/>
              </w:rPr>
              <w:br/>
            </w:r>
            <w:r w:rsidRPr="0041265F">
              <w:rPr>
                <w:color w:val="000000"/>
                <w:sz w:val="20"/>
                <w:szCs w:val="20"/>
              </w:rPr>
              <w:br/>
              <w:t>3</w:t>
            </w:r>
            <w:r w:rsidRPr="0041265F">
              <w:rPr>
                <w:color w:val="000000"/>
                <w:sz w:val="20"/>
                <w:szCs w:val="20"/>
              </w:rPr>
              <w:br/>
            </w:r>
            <w:r w:rsidRPr="0041265F">
              <w:rPr>
                <w:color w:val="000000"/>
                <w:sz w:val="20"/>
                <w:szCs w:val="20"/>
              </w:rPr>
              <w:br/>
              <w:t>(1.38)</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1.3</w:t>
            </w:r>
            <w:r w:rsidRPr="0041265F">
              <w:rPr>
                <w:color w:val="000000"/>
                <w:sz w:val="20"/>
                <w:szCs w:val="20"/>
              </w:rPr>
              <w:br/>
            </w:r>
            <w:r w:rsidRPr="0041265F">
              <w:rPr>
                <w:color w:val="000000"/>
                <w:sz w:val="20"/>
                <w:szCs w:val="20"/>
              </w:rPr>
              <w:br/>
              <w:t>(-0.3)</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3.13</w:t>
            </w:r>
            <w:r w:rsidRPr="0041265F">
              <w:rPr>
                <w:color w:val="000000"/>
                <w:sz w:val="20"/>
                <w:szCs w:val="20"/>
              </w:rPr>
              <w:br/>
            </w:r>
            <w:r w:rsidRPr="0041265F">
              <w:rPr>
                <w:color w:val="000000"/>
                <w:sz w:val="20"/>
                <w:szCs w:val="20"/>
              </w:rPr>
              <w:br/>
              <w:t>(-0.77)</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1.83</w:t>
            </w:r>
            <w:r w:rsidRPr="0041265F">
              <w:rPr>
                <w:color w:val="000000"/>
                <w:sz w:val="20"/>
                <w:szCs w:val="20"/>
              </w:rPr>
              <w:br/>
            </w:r>
            <w:r w:rsidRPr="0041265F">
              <w:rPr>
                <w:color w:val="000000"/>
                <w:sz w:val="20"/>
                <w:szCs w:val="20"/>
              </w:rPr>
              <w:br/>
              <w:t>(0.15)</w:t>
            </w:r>
          </w:p>
        </w:tc>
      </w:tr>
      <w:tr w:rsidR="0041265F" w:rsidRPr="0041265F"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ANS</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5</w:t>
            </w:r>
            <w:r w:rsidRPr="0041265F">
              <w:rPr>
                <w:color w:val="000000"/>
                <w:sz w:val="20"/>
                <w:szCs w:val="20"/>
              </w:rPr>
              <w:br/>
            </w:r>
            <w:r w:rsidRPr="0041265F">
              <w:rPr>
                <w:color w:val="000000"/>
                <w:sz w:val="20"/>
                <w:szCs w:val="20"/>
              </w:rPr>
              <w:br/>
              <w:t>4.45</w:t>
            </w:r>
            <w:r w:rsidRPr="0041265F">
              <w:rPr>
                <w:color w:val="000000"/>
                <w:sz w:val="20"/>
                <w:szCs w:val="20"/>
              </w:rPr>
              <w:br/>
            </w:r>
            <w:r w:rsidRPr="0041265F">
              <w:rPr>
                <w:color w:val="000000"/>
                <w:sz w:val="20"/>
                <w:szCs w:val="20"/>
              </w:rPr>
              <w:br/>
              <w:t>(0.33)</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1.67</w:t>
            </w:r>
            <w:r w:rsidRPr="0041265F">
              <w:rPr>
                <w:color w:val="000000"/>
                <w:sz w:val="20"/>
                <w:szCs w:val="20"/>
              </w:rPr>
              <w:br/>
            </w:r>
            <w:r w:rsidRPr="0041265F">
              <w:rPr>
                <w:color w:val="000000"/>
                <w:sz w:val="20"/>
                <w:szCs w:val="20"/>
              </w:rPr>
              <w:br/>
              <w:t>(1.17)</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3.2</w:t>
            </w:r>
            <w:r w:rsidRPr="0041265F">
              <w:rPr>
                <w:color w:val="000000"/>
                <w:sz w:val="20"/>
                <w:szCs w:val="20"/>
              </w:rPr>
              <w:br/>
            </w:r>
            <w:r w:rsidRPr="0041265F">
              <w:rPr>
                <w:color w:val="000000"/>
                <w:sz w:val="20"/>
                <w:szCs w:val="20"/>
              </w:rPr>
              <w:br/>
              <w:t>(-0.13)</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1.39</w:t>
            </w:r>
            <w:r w:rsidRPr="0041265F">
              <w:rPr>
                <w:color w:val="000000"/>
                <w:sz w:val="20"/>
                <w:szCs w:val="20"/>
              </w:rPr>
              <w:br/>
            </w:r>
            <w:r w:rsidRPr="0041265F">
              <w:rPr>
                <w:color w:val="000000"/>
                <w:sz w:val="20"/>
                <w:szCs w:val="20"/>
              </w:rPr>
              <w:br/>
              <w:t>(-1.33)</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3.34</w:t>
            </w:r>
            <w:r w:rsidRPr="0041265F">
              <w:rPr>
                <w:color w:val="000000"/>
                <w:sz w:val="20"/>
                <w:szCs w:val="20"/>
              </w:rPr>
              <w:br/>
            </w:r>
            <w:r w:rsidRPr="0041265F">
              <w:rPr>
                <w:color w:val="000000"/>
                <w:sz w:val="20"/>
                <w:szCs w:val="20"/>
              </w:rPr>
              <w:br/>
              <w:t>(-0.22)</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1.95</w:t>
            </w:r>
            <w:r w:rsidRPr="0041265F">
              <w:rPr>
                <w:color w:val="000000"/>
                <w:sz w:val="20"/>
                <w:szCs w:val="20"/>
              </w:rPr>
              <w:br/>
            </w:r>
            <w:r w:rsidRPr="0041265F">
              <w:rPr>
                <w:color w:val="000000"/>
                <w:sz w:val="20"/>
                <w:szCs w:val="20"/>
              </w:rPr>
              <w:br/>
              <w:t>(0.04)</w:t>
            </w:r>
          </w:p>
        </w:tc>
      </w:tr>
      <w:tr w:rsidR="0041265F" w:rsidRPr="0041265F"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ANTAQ</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1.95</w:t>
            </w:r>
            <w:r w:rsidRPr="0041265F">
              <w:rPr>
                <w:color w:val="000000"/>
                <w:sz w:val="20"/>
                <w:szCs w:val="20"/>
              </w:rPr>
              <w:br/>
            </w:r>
            <w:r w:rsidRPr="0041265F">
              <w:rPr>
                <w:color w:val="000000"/>
                <w:sz w:val="20"/>
                <w:szCs w:val="20"/>
              </w:rPr>
              <w:br/>
              <w:t>(-0.82)</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0.73</w:t>
            </w:r>
            <w:r w:rsidRPr="0041265F">
              <w:rPr>
                <w:color w:val="000000"/>
                <w:sz w:val="20"/>
                <w:szCs w:val="20"/>
              </w:rPr>
              <w:br/>
            </w:r>
            <w:r w:rsidRPr="0041265F">
              <w:rPr>
                <w:color w:val="000000"/>
                <w:sz w:val="20"/>
                <w:szCs w:val="20"/>
              </w:rPr>
              <w:br/>
              <w:t>(-0.93)</w:t>
            </w:r>
          </w:p>
        </w:tc>
        <w:tc>
          <w:tcPr>
            <w:tcW w:w="1240" w:type="dxa"/>
            <w:shd w:val="clear" w:color="000000" w:fill="FFFF00"/>
            <w:vAlign w:val="bottom"/>
            <w:hideMark/>
          </w:tcPr>
          <w:p w:rsidR="0041265F" w:rsidRPr="0041265F" w:rsidRDefault="0041265F" w:rsidP="0041265F">
            <w:pPr>
              <w:rPr>
                <w:color w:val="000000"/>
                <w:sz w:val="20"/>
                <w:szCs w:val="20"/>
              </w:rPr>
            </w:pPr>
            <w:r w:rsidRPr="0041265F">
              <w:rPr>
                <w:color w:val="000000"/>
                <w:sz w:val="20"/>
                <w:szCs w:val="20"/>
              </w:rPr>
              <w:t>4</w:t>
            </w:r>
            <w:r w:rsidRPr="0041265F">
              <w:rPr>
                <w:color w:val="000000"/>
                <w:sz w:val="20"/>
                <w:szCs w:val="20"/>
              </w:rPr>
              <w:br/>
            </w:r>
            <w:r w:rsidRPr="0041265F">
              <w:rPr>
                <w:color w:val="000000"/>
                <w:sz w:val="20"/>
                <w:szCs w:val="20"/>
              </w:rPr>
              <w:br/>
              <w:t>1.4</w:t>
            </w:r>
            <w:r w:rsidRPr="0041265F">
              <w:rPr>
                <w:color w:val="000000"/>
                <w:sz w:val="20"/>
                <w:szCs w:val="20"/>
              </w:rPr>
              <w:br/>
            </w:r>
            <w:r w:rsidRPr="0041265F">
              <w:rPr>
                <w:color w:val="000000"/>
                <w:sz w:val="20"/>
                <w:szCs w:val="20"/>
              </w:rPr>
              <w:br/>
              <w:t>(2.54)</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0.61</w:t>
            </w:r>
            <w:r w:rsidRPr="0041265F">
              <w:rPr>
                <w:color w:val="000000"/>
                <w:sz w:val="20"/>
                <w:szCs w:val="20"/>
              </w:rPr>
              <w:br/>
            </w:r>
            <w:r w:rsidRPr="0041265F">
              <w:rPr>
                <w:color w:val="000000"/>
                <w:sz w:val="20"/>
                <w:szCs w:val="20"/>
              </w:rPr>
              <w:br/>
              <w:t>(-0.84)</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1.46</w:t>
            </w:r>
            <w:r w:rsidRPr="0041265F">
              <w:rPr>
                <w:color w:val="000000"/>
                <w:sz w:val="20"/>
                <w:szCs w:val="20"/>
              </w:rPr>
              <w:br/>
            </w:r>
            <w:r w:rsidRPr="0041265F">
              <w:rPr>
                <w:color w:val="000000"/>
                <w:sz w:val="20"/>
                <w:szCs w:val="20"/>
              </w:rPr>
              <w:br/>
              <w:t>(-0.44)</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0.85</w:t>
            </w:r>
            <w:r w:rsidRPr="0041265F">
              <w:rPr>
                <w:color w:val="000000"/>
                <w:sz w:val="20"/>
                <w:szCs w:val="20"/>
              </w:rPr>
              <w:br/>
            </w:r>
            <w:r w:rsidRPr="0041265F">
              <w:rPr>
                <w:color w:val="000000"/>
                <w:sz w:val="20"/>
                <w:szCs w:val="20"/>
              </w:rPr>
              <w:br/>
              <w:t>(0.18)</w:t>
            </w:r>
          </w:p>
        </w:tc>
      </w:tr>
      <w:tr w:rsidR="0041265F" w:rsidRPr="0041265F"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ANTT</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2.23</w:t>
            </w:r>
            <w:r w:rsidRPr="0041265F">
              <w:rPr>
                <w:color w:val="000000"/>
                <w:sz w:val="20"/>
                <w:szCs w:val="20"/>
              </w:rPr>
              <w:br/>
            </w:r>
            <w:r w:rsidRPr="0041265F">
              <w:rPr>
                <w:color w:val="000000"/>
                <w:sz w:val="20"/>
                <w:szCs w:val="20"/>
              </w:rPr>
              <w:br/>
              <w:t>(-0.18)</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0.83</w:t>
            </w:r>
            <w:r w:rsidRPr="0041265F">
              <w:rPr>
                <w:color w:val="000000"/>
                <w:sz w:val="20"/>
                <w:szCs w:val="20"/>
              </w:rPr>
              <w:br/>
            </w:r>
            <w:r w:rsidRPr="0041265F">
              <w:rPr>
                <w:color w:val="000000"/>
                <w:sz w:val="20"/>
                <w:szCs w:val="20"/>
              </w:rPr>
              <w:br/>
              <w:t>(-1)</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1.6</w:t>
            </w:r>
            <w:r w:rsidRPr="0041265F">
              <w:rPr>
                <w:color w:val="000000"/>
                <w:sz w:val="20"/>
                <w:szCs w:val="20"/>
              </w:rPr>
              <w:br/>
            </w:r>
            <w:r w:rsidRPr="0041265F">
              <w:rPr>
                <w:color w:val="000000"/>
                <w:sz w:val="20"/>
                <w:szCs w:val="20"/>
              </w:rPr>
              <w:br/>
              <w:t>(0.37)</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0.7</w:t>
            </w:r>
            <w:r w:rsidRPr="0041265F">
              <w:rPr>
                <w:color w:val="000000"/>
                <w:sz w:val="20"/>
                <w:szCs w:val="20"/>
              </w:rPr>
              <w:br/>
            </w:r>
            <w:r w:rsidRPr="0041265F">
              <w:rPr>
                <w:color w:val="000000"/>
                <w:sz w:val="20"/>
                <w:szCs w:val="20"/>
              </w:rPr>
              <w:br/>
              <w:t>(0.4)</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1.67</w:t>
            </w:r>
            <w:r w:rsidRPr="0041265F">
              <w:rPr>
                <w:color w:val="000000"/>
                <w:sz w:val="20"/>
                <w:szCs w:val="20"/>
              </w:rPr>
              <w:br/>
            </w:r>
            <w:r w:rsidRPr="0041265F">
              <w:rPr>
                <w:color w:val="000000"/>
                <w:sz w:val="20"/>
                <w:szCs w:val="20"/>
              </w:rPr>
              <w:br/>
              <w:t>(1.2)</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0.97</w:t>
            </w:r>
            <w:r w:rsidRPr="0041265F">
              <w:rPr>
                <w:color w:val="000000"/>
                <w:sz w:val="20"/>
                <w:szCs w:val="20"/>
              </w:rPr>
              <w:br/>
            </w:r>
            <w:r w:rsidRPr="0041265F">
              <w:rPr>
                <w:color w:val="000000"/>
                <w:sz w:val="20"/>
                <w:szCs w:val="20"/>
              </w:rPr>
              <w:br/>
              <w:t>(-1.09)</w:t>
            </w:r>
          </w:p>
        </w:tc>
      </w:tr>
      <w:tr w:rsidR="0041265F" w:rsidRPr="0041265F"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ANVISA</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3</w:t>
            </w:r>
            <w:r w:rsidRPr="0041265F">
              <w:rPr>
                <w:color w:val="000000"/>
                <w:sz w:val="20"/>
                <w:szCs w:val="20"/>
              </w:rPr>
              <w:br/>
            </w:r>
            <w:r w:rsidRPr="0041265F">
              <w:rPr>
                <w:color w:val="000000"/>
                <w:sz w:val="20"/>
                <w:szCs w:val="20"/>
              </w:rPr>
              <w:br/>
              <w:t>3.06</w:t>
            </w:r>
            <w:r w:rsidRPr="0041265F">
              <w:rPr>
                <w:color w:val="000000"/>
                <w:sz w:val="20"/>
                <w:szCs w:val="20"/>
              </w:rPr>
              <w:br/>
            </w:r>
            <w:r w:rsidRPr="0041265F">
              <w:rPr>
                <w:color w:val="000000"/>
                <w:sz w:val="20"/>
                <w:szCs w:val="20"/>
              </w:rPr>
              <w:br/>
              <w:t>(-0.04)</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1.15</w:t>
            </w:r>
            <w:r w:rsidRPr="0041265F">
              <w:rPr>
                <w:color w:val="000000"/>
                <w:sz w:val="20"/>
                <w:szCs w:val="20"/>
              </w:rPr>
              <w:br/>
            </w:r>
            <w:r w:rsidRPr="0041265F">
              <w:rPr>
                <w:color w:val="000000"/>
                <w:sz w:val="20"/>
                <w:szCs w:val="20"/>
              </w:rPr>
              <w:br/>
              <w:t>(-1.19)</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2.2</w:t>
            </w:r>
            <w:r w:rsidRPr="0041265F">
              <w:rPr>
                <w:color w:val="000000"/>
                <w:sz w:val="20"/>
                <w:szCs w:val="20"/>
              </w:rPr>
              <w:br/>
            </w:r>
            <w:r w:rsidRPr="0041265F">
              <w:rPr>
                <w:color w:val="000000"/>
                <w:sz w:val="20"/>
                <w:szCs w:val="20"/>
              </w:rPr>
              <w:br/>
              <w:t>(-0.95)</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0.96</w:t>
            </w:r>
            <w:r w:rsidRPr="0041265F">
              <w:rPr>
                <w:color w:val="000000"/>
                <w:sz w:val="20"/>
                <w:szCs w:val="20"/>
              </w:rPr>
              <w:br/>
            </w:r>
            <w:r w:rsidRPr="0041265F">
              <w:rPr>
                <w:color w:val="000000"/>
                <w:sz w:val="20"/>
                <w:szCs w:val="20"/>
              </w:rPr>
              <w:br/>
              <w:t>(0.05)</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4</w:t>
            </w:r>
            <w:r w:rsidRPr="0041265F">
              <w:rPr>
                <w:color w:val="000000"/>
                <w:sz w:val="20"/>
                <w:szCs w:val="20"/>
              </w:rPr>
              <w:br/>
            </w:r>
            <w:r w:rsidRPr="0041265F">
              <w:rPr>
                <w:color w:val="000000"/>
                <w:sz w:val="20"/>
                <w:szCs w:val="20"/>
              </w:rPr>
              <w:br/>
              <w:t>2.3</w:t>
            </w:r>
            <w:r w:rsidRPr="0041265F">
              <w:rPr>
                <w:color w:val="000000"/>
                <w:sz w:val="20"/>
                <w:szCs w:val="20"/>
              </w:rPr>
              <w:br/>
            </w:r>
            <w:r w:rsidRPr="0041265F">
              <w:rPr>
                <w:color w:val="000000"/>
                <w:sz w:val="20"/>
                <w:szCs w:val="20"/>
              </w:rPr>
              <w:br/>
              <w:t>(1.33)</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1.34</w:t>
            </w:r>
            <w:r w:rsidRPr="0041265F">
              <w:rPr>
                <w:color w:val="000000"/>
                <w:sz w:val="20"/>
                <w:szCs w:val="20"/>
              </w:rPr>
              <w:br/>
            </w:r>
            <w:r w:rsidRPr="0041265F">
              <w:rPr>
                <w:color w:val="000000"/>
                <w:sz w:val="20"/>
                <w:szCs w:val="20"/>
              </w:rPr>
              <w:br/>
              <w:t>(0.64)</w:t>
            </w:r>
          </w:p>
        </w:tc>
      </w:tr>
      <w:tr w:rsidR="0041265F" w:rsidRPr="0041265F" w:rsidTr="00143377">
        <w:trPr>
          <w:trHeight w:val="900"/>
          <w:jc w:val="center"/>
        </w:trPr>
        <w:tc>
          <w:tcPr>
            <w:tcW w:w="960" w:type="dxa"/>
            <w:shd w:val="clear" w:color="auto" w:fill="auto"/>
            <w:noWrap/>
            <w:vAlign w:val="bottom"/>
            <w:hideMark/>
          </w:tcPr>
          <w:p w:rsidR="0041265F" w:rsidRPr="0041265F" w:rsidRDefault="0041265F" w:rsidP="0041265F">
            <w:pPr>
              <w:rPr>
                <w:color w:val="000000"/>
                <w:sz w:val="20"/>
                <w:szCs w:val="20"/>
              </w:rPr>
            </w:pPr>
            <w:r w:rsidRPr="0041265F">
              <w:rPr>
                <w:color w:val="000000"/>
                <w:sz w:val="20"/>
                <w:szCs w:val="20"/>
              </w:rPr>
              <w:t>ANA</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1.95</w:t>
            </w:r>
            <w:r w:rsidRPr="0041265F">
              <w:rPr>
                <w:color w:val="000000"/>
                <w:sz w:val="20"/>
                <w:szCs w:val="20"/>
              </w:rPr>
              <w:br/>
            </w:r>
            <w:r w:rsidRPr="0041265F">
              <w:rPr>
                <w:color w:val="000000"/>
                <w:sz w:val="20"/>
                <w:szCs w:val="20"/>
              </w:rPr>
              <w:br/>
              <w:t>(0.05)</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0.73</w:t>
            </w:r>
            <w:r w:rsidRPr="0041265F">
              <w:rPr>
                <w:color w:val="000000"/>
                <w:sz w:val="20"/>
                <w:szCs w:val="20"/>
              </w:rPr>
              <w:br/>
            </w:r>
            <w:r w:rsidRPr="0041265F">
              <w:rPr>
                <w:color w:val="000000"/>
                <w:sz w:val="20"/>
                <w:szCs w:val="20"/>
              </w:rPr>
              <w:br/>
              <w:t>(0.34)</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0</w:t>
            </w:r>
            <w:r w:rsidRPr="0041265F">
              <w:rPr>
                <w:color w:val="000000"/>
                <w:sz w:val="20"/>
                <w:szCs w:val="20"/>
              </w:rPr>
              <w:br/>
            </w:r>
            <w:r w:rsidRPr="0041265F">
              <w:rPr>
                <w:color w:val="000000"/>
                <w:sz w:val="20"/>
                <w:szCs w:val="20"/>
              </w:rPr>
              <w:br/>
              <w:t>1.4</w:t>
            </w:r>
            <w:r w:rsidRPr="0041265F">
              <w:rPr>
                <w:color w:val="000000"/>
                <w:sz w:val="20"/>
                <w:szCs w:val="20"/>
              </w:rPr>
              <w:br/>
            </w:r>
            <w:r w:rsidRPr="0041265F">
              <w:rPr>
                <w:color w:val="000000"/>
                <w:sz w:val="20"/>
                <w:szCs w:val="20"/>
              </w:rPr>
              <w:br/>
              <w:t>(-1.37)</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0.61</w:t>
            </w:r>
            <w:r w:rsidRPr="0041265F">
              <w:rPr>
                <w:color w:val="000000"/>
                <w:sz w:val="20"/>
                <w:szCs w:val="20"/>
              </w:rPr>
              <w:br/>
            </w:r>
            <w:r w:rsidRPr="0041265F">
              <w:rPr>
                <w:color w:val="000000"/>
                <w:sz w:val="20"/>
                <w:szCs w:val="20"/>
              </w:rPr>
              <w:br/>
              <w:t>(0.54)</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2</w:t>
            </w:r>
            <w:r w:rsidRPr="0041265F">
              <w:rPr>
                <w:color w:val="000000"/>
                <w:sz w:val="20"/>
                <w:szCs w:val="20"/>
              </w:rPr>
              <w:br/>
            </w:r>
            <w:r w:rsidRPr="0041265F">
              <w:rPr>
                <w:color w:val="000000"/>
                <w:sz w:val="20"/>
                <w:szCs w:val="20"/>
              </w:rPr>
              <w:br/>
              <w:t>1.46</w:t>
            </w:r>
            <w:r w:rsidRPr="0041265F">
              <w:rPr>
                <w:color w:val="000000"/>
                <w:sz w:val="20"/>
                <w:szCs w:val="20"/>
              </w:rPr>
              <w:br/>
            </w:r>
            <w:r w:rsidRPr="0041265F">
              <w:rPr>
                <w:color w:val="000000"/>
                <w:sz w:val="20"/>
                <w:szCs w:val="20"/>
              </w:rPr>
              <w:br/>
              <w:t>(0.52)</w:t>
            </w:r>
          </w:p>
        </w:tc>
        <w:tc>
          <w:tcPr>
            <w:tcW w:w="1240" w:type="dxa"/>
            <w:shd w:val="clear" w:color="auto" w:fill="auto"/>
            <w:vAlign w:val="bottom"/>
            <w:hideMark/>
          </w:tcPr>
          <w:p w:rsidR="0041265F" w:rsidRPr="0041265F" w:rsidRDefault="0041265F" w:rsidP="0041265F">
            <w:pPr>
              <w:rPr>
                <w:color w:val="000000"/>
                <w:sz w:val="20"/>
                <w:szCs w:val="20"/>
              </w:rPr>
            </w:pPr>
            <w:r w:rsidRPr="0041265F">
              <w:rPr>
                <w:color w:val="000000"/>
                <w:sz w:val="20"/>
                <w:szCs w:val="20"/>
              </w:rPr>
              <w:t>1</w:t>
            </w:r>
            <w:r w:rsidRPr="0041265F">
              <w:rPr>
                <w:color w:val="000000"/>
                <w:sz w:val="20"/>
                <w:szCs w:val="20"/>
              </w:rPr>
              <w:br/>
            </w:r>
            <w:r w:rsidRPr="0041265F">
              <w:rPr>
                <w:color w:val="000000"/>
                <w:sz w:val="20"/>
                <w:szCs w:val="20"/>
              </w:rPr>
              <w:br/>
              <w:t>0.85</w:t>
            </w:r>
            <w:r w:rsidRPr="0041265F">
              <w:rPr>
                <w:color w:val="000000"/>
                <w:sz w:val="20"/>
                <w:szCs w:val="20"/>
              </w:rPr>
              <w:br/>
            </w:r>
            <w:r w:rsidRPr="0041265F">
              <w:rPr>
                <w:color w:val="000000"/>
                <w:sz w:val="20"/>
                <w:szCs w:val="20"/>
              </w:rPr>
              <w:br/>
              <w:t>(0.18)</w:t>
            </w:r>
          </w:p>
        </w:tc>
      </w:tr>
    </w:tbl>
    <w:p w:rsidR="0041265F" w:rsidRPr="0048762B" w:rsidRDefault="000931BE" w:rsidP="00F24E42">
      <w:pPr>
        <w:tabs>
          <w:tab w:val="left" w:pos="730"/>
          <w:tab w:val="center" w:pos="4252"/>
        </w:tabs>
        <w:spacing w:after="160" w:line="480" w:lineRule="auto"/>
        <w:rPr>
          <w:sz w:val="20"/>
          <w:lang w:val="en-US"/>
        </w:rPr>
      </w:pPr>
      <w:r w:rsidRPr="0048762B">
        <w:rPr>
          <w:sz w:val="20"/>
          <w:lang w:val="en-US"/>
        </w:rPr>
        <w:t>Note: observed and</w:t>
      </w:r>
      <w:r w:rsidR="00C0441B" w:rsidRPr="0048762B">
        <w:rPr>
          <w:sz w:val="20"/>
          <w:lang w:val="en-US"/>
        </w:rPr>
        <w:t xml:space="preserve"> expected </w:t>
      </w:r>
      <w:r w:rsidRPr="0048762B">
        <w:rPr>
          <w:sz w:val="20"/>
          <w:lang w:val="en-US"/>
        </w:rPr>
        <w:t xml:space="preserve">values in the first two lines, </w:t>
      </w:r>
      <w:r w:rsidR="00C0441B" w:rsidRPr="0048762B">
        <w:rPr>
          <w:sz w:val="20"/>
          <w:lang w:val="en-US"/>
        </w:rPr>
        <w:t xml:space="preserve">and standardized difference between </w:t>
      </w:r>
      <w:r w:rsidRPr="0048762B">
        <w:rPr>
          <w:sz w:val="20"/>
          <w:lang w:val="en-US"/>
        </w:rPr>
        <w:t>parentheses.</w:t>
      </w:r>
    </w:p>
    <w:p w:rsidR="00143377" w:rsidRDefault="00143377">
      <w:pPr>
        <w:spacing w:before="120" w:after="120" w:line="276" w:lineRule="auto"/>
        <w:ind w:firstLine="709"/>
        <w:jc w:val="both"/>
        <w:rPr>
          <w:sz w:val="20"/>
          <w:szCs w:val="20"/>
          <w:lang w:val="en-US"/>
        </w:rPr>
      </w:pPr>
      <w:r>
        <w:rPr>
          <w:sz w:val="20"/>
          <w:szCs w:val="20"/>
          <w:lang w:val="en-US"/>
        </w:rPr>
        <w:br w:type="page"/>
      </w:r>
    </w:p>
    <w:p w:rsidR="000931BE" w:rsidRPr="0048762B" w:rsidRDefault="000931BE" w:rsidP="000931BE">
      <w:pPr>
        <w:tabs>
          <w:tab w:val="left" w:pos="2940"/>
          <w:tab w:val="center" w:pos="4612"/>
        </w:tabs>
        <w:spacing w:after="160" w:line="480" w:lineRule="auto"/>
        <w:ind w:firstLine="720"/>
        <w:jc w:val="center"/>
        <w:rPr>
          <w:sz w:val="20"/>
          <w:szCs w:val="20"/>
          <w:lang w:val="en-US"/>
        </w:rPr>
      </w:pPr>
      <w:r w:rsidRPr="0048762B">
        <w:rPr>
          <w:sz w:val="20"/>
          <w:szCs w:val="20"/>
          <w:lang w:val="en-US"/>
        </w:rPr>
        <w:lastRenderedPageBreak/>
        <w:t>Figure 3. Mosaic plot: Types of trajectories per agency</w:t>
      </w:r>
    </w:p>
    <w:p w:rsidR="00B26114" w:rsidRDefault="0041265F" w:rsidP="0087053F">
      <w:pPr>
        <w:tabs>
          <w:tab w:val="left" w:pos="730"/>
          <w:tab w:val="center" w:pos="4252"/>
        </w:tabs>
        <w:spacing w:after="160" w:line="480" w:lineRule="auto"/>
        <w:jc w:val="center"/>
      </w:pPr>
      <w:r>
        <w:rPr>
          <w:noProof/>
        </w:rPr>
        <w:drawing>
          <wp:inline distT="0" distB="0" distL="0" distR="0" wp14:anchorId="5FFA7484" wp14:editId="4E94F014">
            <wp:extent cx="4127500" cy="4122646"/>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9068" cy="4124212"/>
                    </a:xfrm>
                    <a:prstGeom prst="rect">
                      <a:avLst/>
                    </a:prstGeom>
                  </pic:spPr>
                </pic:pic>
              </a:graphicData>
            </a:graphic>
          </wp:inline>
        </w:drawing>
      </w:r>
    </w:p>
    <w:p w:rsidR="00F24E42" w:rsidRDefault="00BE0BB9" w:rsidP="00052F91">
      <w:pPr>
        <w:tabs>
          <w:tab w:val="left" w:pos="730"/>
          <w:tab w:val="center" w:pos="4252"/>
        </w:tabs>
        <w:spacing w:before="120" w:after="120"/>
        <w:jc w:val="center"/>
        <w:rPr>
          <w:b/>
          <w:lang w:val="en-US"/>
        </w:rPr>
      </w:pPr>
      <w:r w:rsidRPr="0048762B">
        <w:rPr>
          <w:b/>
          <w:lang w:val="en-US"/>
        </w:rPr>
        <w:t>OPTIMAL MATCHING ANALYSIS</w:t>
      </w:r>
      <w:r w:rsidR="00FA5FB2">
        <w:rPr>
          <w:b/>
          <w:lang w:val="en-US"/>
        </w:rPr>
        <w:t xml:space="preserve"> (OMA): THE TRAJECTORIES OF REGULATORS</w:t>
      </w:r>
    </w:p>
    <w:p w:rsidR="00C16C3E" w:rsidRPr="0048762B" w:rsidRDefault="00C16C3E" w:rsidP="00052F91">
      <w:pPr>
        <w:tabs>
          <w:tab w:val="left" w:pos="730"/>
          <w:tab w:val="center" w:pos="4252"/>
        </w:tabs>
        <w:spacing w:before="120" w:after="120"/>
        <w:jc w:val="center"/>
        <w:rPr>
          <w:b/>
          <w:lang w:val="en-US"/>
        </w:rPr>
      </w:pPr>
    </w:p>
    <w:p w:rsidR="0087053F" w:rsidRPr="00C16C3E" w:rsidRDefault="00FA5FB2" w:rsidP="00C16C3E">
      <w:pPr>
        <w:spacing w:before="120" w:after="120"/>
        <w:ind w:firstLine="284"/>
        <w:jc w:val="both"/>
        <w:rPr>
          <w:lang w:val="en-US"/>
        </w:rPr>
      </w:pPr>
      <w:r w:rsidRPr="00FA5FB2">
        <w:rPr>
          <w:lang w:val="en-US"/>
        </w:rPr>
        <w:t xml:space="preserve">OMA </w:t>
      </w:r>
      <w:r>
        <w:rPr>
          <w:lang w:val="en-US"/>
        </w:rPr>
        <w:t xml:space="preserve">has been widely accepted in career studies. We identified </w:t>
      </w:r>
      <w:r w:rsidRPr="00FA5FB2">
        <w:rPr>
          <w:lang w:val="en-US"/>
        </w:rPr>
        <w:t xml:space="preserve">83 </w:t>
      </w:r>
      <w:r>
        <w:rPr>
          <w:lang w:val="en-US"/>
        </w:rPr>
        <w:t xml:space="preserve">indexed articles </w:t>
      </w:r>
      <w:proofErr w:type="spellStart"/>
      <w:r w:rsidR="00052F91">
        <w:rPr>
          <w:lang w:val="en-US"/>
        </w:rPr>
        <w:t>articles</w:t>
      </w:r>
      <w:proofErr w:type="spellEnd"/>
      <w:r>
        <w:rPr>
          <w:lang w:val="en-US"/>
        </w:rPr>
        <w:t xml:space="preserve"> at </w:t>
      </w:r>
      <w:r>
        <w:rPr>
          <w:i/>
          <w:lang w:val="en-US"/>
        </w:rPr>
        <w:t xml:space="preserve">Web of Science </w:t>
      </w:r>
      <w:r w:rsidR="00052F91">
        <w:rPr>
          <w:lang w:val="en-US"/>
        </w:rPr>
        <w:t>plat</w:t>
      </w:r>
      <w:r>
        <w:rPr>
          <w:lang w:val="en-US"/>
        </w:rPr>
        <w:t>form, most of them from 2000 and afterwards.</w:t>
      </w:r>
      <w:r w:rsidR="001F578D">
        <w:rPr>
          <w:rStyle w:val="Refdenotaderodap"/>
          <w:lang w:val="en-US"/>
        </w:rPr>
        <w:footnoteReference w:id="1"/>
      </w:r>
      <w:r>
        <w:rPr>
          <w:lang w:val="en-US"/>
        </w:rPr>
        <w:t xml:space="preserve"> </w:t>
      </w:r>
      <w:r w:rsidR="0087053F">
        <w:rPr>
          <w:lang w:val="en-US"/>
        </w:rPr>
        <w:t xml:space="preserve">OMA has the main advantage over </w:t>
      </w:r>
      <w:r w:rsidR="0087053F">
        <w:rPr>
          <w:i/>
          <w:lang w:val="en-US"/>
        </w:rPr>
        <w:t xml:space="preserve">ex ante </w:t>
      </w:r>
      <w:r w:rsidR="0087053F">
        <w:rPr>
          <w:lang w:val="en-US"/>
        </w:rPr>
        <w:t xml:space="preserve">classifications due to its flexibility to fit to the data, i.e., it is not necessary to impose any </w:t>
      </w:r>
      <w:r w:rsidR="0087053F">
        <w:rPr>
          <w:i/>
          <w:lang w:val="en-US"/>
        </w:rPr>
        <w:t xml:space="preserve">ex ante </w:t>
      </w:r>
      <w:r w:rsidR="0087053F">
        <w:rPr>
          <w:lang w:val="en-US"/>
        </w:rPr>
        <w:t xml:space="preserve">restriction to the grouping of the sequences. </w:t>
      </w:r>
    </w:p>
    <w:p w:rsidR="00C263B8" w:rsidRPr="0048762B" w:rsidRDefault="001722A5" w:rsidP="00C16C3E">
      <w:pPr>
        <w:spacing w:before="120" w:after="120"/>
        <w:ind w:firstLine="284"/>
        <w:jc w:val="both"/>
        <w:rPr>
          <w:lang w:val="en-US"/>
        </w:rPr>
      </w:pPr>
      <w:r w:rsidRPr="0048762B">
        <w:rPr>
          <w:lang w:val="en-US"/>
        </w:rPr>
        <w:t>B</w:t>
      </w:r>
      <w:r w:rsidR="00C0441B" w:rsidRPr="0048762B">
        <w:rPr>
          <w:lang w:val="en-US"/>
        </w:rPr>
        <w:t xml:space="preserve">esides the coding of sequences and the time frame, there are two critical decisions in applying OMA: the deletion/insertion and replacement costs between the states, when applicable; and the criterion for grouping the sequences. Simulations were conducted using the R statistical programming language. The </w:t>
      </w:r>
      <w:proofErr w:type="spellStart"/>
      <w:r w:rsidR="00C0441B" w:rsidRPr="0048762B">
        <w:rPr>
          <w:lang w:val="en-US"/>
        </w:rPr>
        <w:t>TraMineR</w:t>
      </w:r>
      <w:proofErr w:type="spellEnd"/>
      <w:r w:rsidR="00C0441B" w:rsidRPr="0048762B">
        <w:rPr>
          <w:lang w:val="en-US"/>
        </w:rPr>
        <w:t xml:space="preserve"> package was used for the sequence analysis, as described by </w:t>
      </w:r>
      <w:proofErr w:type="spellStart"/>
      <w:r w:rsidR="00C0441B" w:rsidRPr="0048762B">
        <w:rPr>
          <w:lang w:val="en-US"/>
        </w:rPr>
        <w:t>Gabadinho</w:t>
      </w:r>
      <w:proofErr w:type="spellEnd"/>
      <w:r w:rsidR="00C0441B" w:rsidRPr="0048762B">
        <w:rPr>
          <w:lang w:val="en-US"/>
        </w:rPr>
        <w:t xml:space="preserve"> et al. (2011). The </w:t>
      </w:r>
      <w:proofErr w:type="spellStart"/>
      <w:r w:rsidR="00C0441B" w:rsidRPr="0048762B">
        <w:rPr>
          <w:lang w:val="en-US"/>
        </w:rPr>
        <w:t>TraMineR</w:t>
      </w:r>
      <w:proofErr w:type="spellEnd"/>
      <w:r w:rsidR="00C0441B" w:rsidRPr="0048762B">
        <w:rPr>
          <w:lang w:val="en-US"/>
        </w:rPr>
        <w:t xml:space="preserve"> algorithm is essentially that of Needleman and Wunsch, with standard optimizations (</w:t>
      </w:r>
      <w:proofErr w:type="spellStart"/>
      <w:r w:rsidR="00C0441B" w:rsidRPr="0048762B">
        <w:rPr>
          <w:lang w:val="en-US"/>
        </w:rPr>
        <w:t>Gabadinho</w:t>
      </w:r>
      <w:proofErr w:type="spellEnd"/>
      <w:r w:rsidR="00C0441B" w:rsidRPr="0048762B">
        <w:rPr>
          <w:lang w:val="en-US"/>
        </w:rPr>
        <w:t xml:space="preserve"> et al., 2011). </w:t>
      </w:r>
    </w:p>
    <w:p w:rsidR="00C263B8" w:rsidRPr="0048762B" w:rsidRDefault="00C0441B" w:rsidP="00C16C3E">
      <w:pPr>
        <w:spacing w:before="120" w:after="120"/>
        <w:ind w:firstLine="284"/>
        <w:jc w:val="both"/>
        <w:rPr>
          <w:lang w:val="en-US"/>
        </w:rPr>
      </w:pPr>
      <w:r w:rsidRPr="0048762B">
        <w:rPr>
          <w:lang w:val="en-US"/>
        </w:rPr>
        <w:t xml:space="preserve">The transition costs between states </w:t>
      </w:r>
      <w:r w:rsidR="001F578D">
        <w:rPr>
          <w:lang w:val="en-US"/>
        </w:rPr>
        <w:t>follow the</w:t>
      </w:r>
      <w:r w:rsidRPr="0048762B">
        <w:rPr>
          <w:lang w:val="en-US"/>
        </w:rPr>
        <w:t xml:space="preserve"> transition probabilities. This choice has been a growing trend in the literature (</w:t>
      </w:r>
      <w:proofErr w:type="spellStart"/>
      <w:r w:rsidRPr="0048762B">
        <w:rPr>
          <w:lang w:val="en-US"/>
        </w:rPr>
        <w:t>Aisenbrey</w:t>
      </w:r>
      <w:proofErr w:type="spellEnd"/>
      <w:r w:rsidRPr="0048762B">
        <w:rPr>
          <w:lang w:val="en-US"/>
        </w:rPr>
        <w:t xml:space="preserve"> and </w:t>
      </w:r>
      <w:proofErr w:type="spellStart"/>
      <w:r w:rsidRPr="0048762B">
        <w:rPr>
          <w:lang w:val="en-US"/>
        </w:rPr>
        <w:t>Fasang</w:t>
      </w:r>
      <w:proofErr w:type="spellEnd"/>
      <w:r w:rsidRPr="0048762B">
        <w:rPr>
          <w:lang w:val="en-US"/>
        </w:rPr>
        <w:t xml:space="preserve">, 2010; </w:t>
      </w:r>
      <w:proofErr w:type="spellStart"/>
      <w:r w:rsidRPr="0048762B">
        <w:rPr>
          <w:lang w:val="en-US"/>
        </w:rPr>
        <w:t>Dlouhy</w:t>
      </w:r>
      <w:proofErr w:type="spellEnd"/>
      <w:r w:rsidRPr="0048762B">
        <w:rPr>
          <w:lang w:val="en-US"/>
        </w:rPr>
        <w:t xml:space="preserve"> and </w:t>
      </w:r>
      <w:proofErr w:type="spellStart"/>
      <w:r w:rsidRPr="0048762B">
        <w:rPr>
          <w:lang w:val="en-US"/>
        </w:rPr>
        <w:t>Biemann</w:t>
      </w:r>
      <w:proofErr w:type="spellEnd"/>
      <w:r w:rsidRPr="0048762B">
        <w:rPr>
          <w:lang w:val="en-US"/>
        </w:rPr>
        <w:t xml:space="preserve">, 2015). Mathematically, the transition cost from state </w:t>
      </w:r>
      <w:proofErr w:type="spellStart"/>
      <w:r w:rsidRPr="0048762B">
        <w:rPr>
          <w:i/>
          <w:lang w:val="en-US"/>
        </w:rPr>
        <w:t>i</w:t>
      </w:r>
      <w:proofErr w:type="spellEnd"/>
      <w:r w:rsidRPr="0048762B">
        <w:rPr>
          <w:i/>
          <w:lang w:val="en-US"/>
        </w:rPr>
        <w:t xml:space="preserve"> </w:t>
      </w:r>
      <w:r w:rsidRPr="0048762B">
        <w:rPr>
          <w:lang w:val="en-US"/>
        </w:rPr>
        <w:t xml:space="preserve">to state </w:t>
      </w:r>
      <w:r w:rsidRPr="0048762B">
        <w:rPr>
          <w:i/>
          <w:lang w:val="en-US"/>
        </w:rPr>
        <w:t>j</w:t>
      </w:r>
      <w:r w:rsidRPr="0048762B">
        <w:rPr>
          <w:lang w:val="en-US"/>
        </w:rPr>
        <w:t xml:space="preserve"> (</w:t>
      </w:r>
      <w:proofErr w:type="spellStart"/>
      <w:r w:rsidRPr="0048762B">
        <w:rPr>
          <w:rFonts w:ascii="Gungsuh" w:eastAsia="Gungsuh" w:hAnsi="Gungsuh" w:cs="Gungsuh"/>
          <w:i/>
          <w:lang w:val="en-US"/>
        </w:rPr>
        <w:t>i</w:t>
      </w:r>
      <w:proofErr w:type="spellEnd"/>
      <w:r w:rsidRPr="0048762B">
        <w:rPr>
          <w:rFonts w:ascii="Gungsuh" w:eastAsia="Gungsuh" w:hAnsi="Gungsuh" w:cs="Gungsuh"/>
          <w:i/>
          <w:lang w:val="en-US"/>
        </w:rPr>
        <w:t xml:space="preserve"> ≠ j</w:t>
      </w:r>
      <w:r w:rsidRPr="0048762B">
        <w:rPr>
          <w:lang w:val="en-US"/>
        </w:rPr>
        <w:t xml:space="preserve">) is equal to 2 – </w:t>
      </w:r>
      <w:r w:rsidRPr="0048762B">
        <w:rPr>
          <w:i/>
          <w:lang w:val="en-US"/>
        </w:rPr>
        <w:t>p(</w:t>
      </w:r>
      <w:proofErr w:type="spellStart"/>
      <w:r w:rsidRPr="0048762B">
        <w:rPr>
          <w:i/>
          <w:lang w:val="en-US"/>
        </w:rPr>
        <w:t>i|j</w:t>
      </w:r>
      <w:proofErr w:type="spellEnd"/>
      <w:r w:rsidRPr="0048762B">
        <w:rPr>
          <w:i/>
          <w:lang w:val="en-US"/>
        </w:rPr>
        <w:t>) – p (</w:t>
      </w:r>
      <w:proofErr w:type="spellStart"/>
      <w:r w:rsidRPr="0048762B">
        <w:rPr>
          <w:i/>
          <w:lang w:val="en-US"/>
        </w:rPr>
        <w:t>j|i</w:t>
      </w:r>
      <w:proofErr w:type="spellEnd"/>
      <w:r w:rsidRPr="0048762B">
        <w:rPr>
          <w:i/>
          <w:lang w:val="en-US"/>
        </w:rPr>
        <w:t>)</w:t>
      </w:r>
      <w:r w:rsidRPr="0048762B">
        <w:rPr>
          <w:lang w:val="en-US"/>
        </w:rPr>
        <w:t xml:space="preserve">, where </w:t>
      </w:r>
      <w:r w:rsidRPr="0048762B">
        <w:rPr>
          <w:i/>
          <w:lang w:val="en-US"/>
        </w:rPr>
        <w:t>p(</w:t>
      </w:r>
      <w:proofErr w:type="spellStart"/>
      <w:r w:rsidRPr="0048762B">
        <w:rPr>
          <w:i/>
          <w:lang w:val="en-US"/>
        </w:rPr>
        <w:t>i|j</w:t>
      </w:r>
      <w:proofErr w:type="spellEnd"/>
      <w:r w:rsidRPr="0048762B">
        <w:rPr>
          <w:i/>
          <w:lang w:val="en-US"/>
        </w:rPr>
        <w:t xml:space="preserve">) </w:t>
      </w:r>
      <w:r w:rsidRPr="0048762B">
        <w:rPr>
          <w:lang w:val="en-US"/>
        </w:rPr>
        <w:t xml:space="preserve">is the transition rate between states </w:t>
      </w:r>
      <w:proofErr w:type="spellStart"/>
      <w:r w:rsidRPr="0048762B">
        <w:rPr>
          <w:i/>
          <w:lang w:val="en-US"/>
        </w:rPr>
        <w:t>i</w:t>
      </w:r>
      <w:proofErr w:type="spellEnd"/>
      <w:r w:rsidRPr="0048762B">
        <w:rPr>
          <w:i/>
          <w:lang w:val="en-US"/>
        </w:rPr>
        <w:t xml:space="preserve"> </w:t>
      </w:r>
      <w:r w:rsidRPr="0048762B">
        <w:rPr>
          <w:lang w:val="en-US"/>
        </w:rPr>
        <w:t xml:space="preserve">and </w:t>
      </w:r>
      <w:r w:rsidRPr="0048762B">
        <w:rPr>
          <w:i/>
          <w:lang w:val="en-US"/>
        </w:rPr>
        <w:t xml:space="preserve">j </w:t>
      </w:r>
      <w:r w:rsidRPr="0048762B">
        <w:rPr>
          <w:lang w:val="en-US"/>
        </w:rPr>
        <w:t xml:space="preserve">in the sample. The rationale behind this approach is that the transitions observed more frequently are less costly than less frequent transitions. </w:t>
      </w:r>
      <w:proofErr w:type="gramStart"/>
      <w:r w:rsidRPr="0048762B">
        <w:rPr>
          <w:lang w:val="en-US"/>
        </w:rPr>
        <w:t xml:space="preserve">By </w:t>
      </w:r>
      <w:r w:rsidRPr="0048762B">
        <w:rPr>
          <w:lang w:val="en-US"/>
        </w:rPr>
        <w:lastRenderedPageBreak/>
        <w:t>definition, the</w:t>
      </w:r>
      <w:proofErr w:type="gramEnd"/>
      <w:r w:rsidRPr="0048762B">
        <w:rPr>
          <w:lang w:val="en-US"/>
        </w:rPr>
        <w:t xml:space="preserve"> probability of a transition from one state to itself is equal to one, which makes the transition cost zero.</w:t>
      </w:r>
    </w:p>
    <w:p w:rsidR="00C263B8" w:rsidRPr="0048762B" w:rsidRDefault="00C0441B" w:rsidP="00C16C3E">
      <w:pPr>
        <w:spacing w:before="120" w:after="120"/>
        <w:ind w:firstLine="284"/>
        <w:jc w:val="both"/>
        <w:rPr>
          <w:lang w:val="en-US"/>
        </w:rPr>
      </w:pPr>
      <w:r w:rsidRPr="0048762B">
        <w:rPr>
          <w:lang w:val="en-US"/>
        </w:rPr>
        <w:t xml:space="preserve">The clustering method was Ward’s hierarchical cluster, a standard in the literature. The choice of the number of clusters involved the analysis of some measures available in the R cluster package of and visual dendrogram inspection. No definitive criterion to choose the number of clusters exists; some methods and indicators aid researchers in this decision, but they often do not point towards a single solution. </w:t>
      </w:r>
      <w:r w:rsidR="004A2CB6">
        <w:rPr>
          <w:lang w:val="en-US"/>
        </w:rPr>
        <w:t>Some criteria for this choice are in Figure 5</w:t>
      </w:r>
      <w:r w:rsidR="00BF7AA1" w:rsidRPr="0048762B">
        <w:rPr>
          <w:lang w:val="en-US"/>
        </w:rPr>
        <w:t xml:space="preserve">. Herein, we chose a </w:t>
      </w:r>
      <w:r w:rsidR="001F578D">
        <w:rPr>
          <w:lang w:val="en-US"/>
        </w:rPr>
        <w:t>five-fold</w:t>
      </w:r>
      <w:r w:rsidRPr="0048762B">
        <w:rPr>
          <w:lang w:val="en-US"/>
        </w:rPr>
        <w:t xml:space="preserve"> solution,</w:t>
      </w:r>
      <w:r w:rsidR="004A2CB6">
        <w:rPr>
          <w:lang w:val="en-US"/>
        </w:rPr>
        <w:t xml:space="preserve"> based on</w:t>
      </w:r>
      <w:r w:rsidRPr="0048762B">
        <w:rPr>
          <w:lang w:val="en-US"/>
        </w:rPr>
        <w:t xml:space="preserve"> the dendrogram and the analytical power of such a solution compared to alternatives. All code used to conduct the simulations and generate plots, as well as the simulation results presented herein, are available upon request.</w:t>
      </w:r>
    </w:p>
    <w:p w:rsidR="00052F91" w:rsidRDefault="00052F91">
      <w:pPr>
        <w:spacing w:before="120" w:after="120" w:line="276" w:lineRule="auto"/>
        <w:ind w:firstLine="709"/>
        <w:jc w:val="both"/>
        <w:rPr>
          <w:sz w:val="20"/>
          <w:szCs w:val="20"/>
          <w:lang w:val="en-US"/>
        </w:rPr>
      </w:pPr>
      <w:r>
        <w:rPr>
          <w:sz w:val="20"/>
          <w:szCs w:val="20"/>
          <w:lang w:val="en-US"/>
        </w:rPr>
        <w:br w:type="page"/>
      </w:r>
    </w:p>
    <w:p w:rsidR="0041683D" w:rsidRPr="0048762B" w:rsidRDefault="001F578D" w:rsidP="001F578D">
      <w:pPr>
        <w:tabs>
          <w:tab w:val="left" w:pos="2550"/>
          <w:tab w:val="left" w:pos="2940"/>
          <w:tab w:val="center" w:pos="4612"/>
        </w:tabs>
        <w:spacing w:after="160" w:line="480" w:lineRule="auto"/>
        <w:ind w:firstLine="720"/>
        <w:jc w:val="center"/>
        <w:rPr>
          <w:sz w:val="20"/>
          <w:szCs w:val="20"/>
          <w:lang w:val="en-US"/>
        </w:rPr>
      </w:pPr>
      <w:r>
        <w:rPr>
          <w:sz w:val="20"/>
          <w:szCs w:val="20"/>
          <w:lang w:val="en-US"/>
        </w:rPr>
        <w:lastRenderedPageBreak/>
        <w:t xml:space="preserve">Figure 4. </w:t>
      </w:r>
      <w:proofErr w:type="spellStart"/>
      <w:r>
        <w:rPr>
          <w:sz w:val="20"/>
          <w:szCs w:val="20"/>
          <w:lang w:val="en-US"/>
        </w:rPr>
        <w:t>Dendogram</w:t>
      </w:r>
      <w:proofErr w:type="spellEnd"/>
      <w:r>
        <w:rPr>
          <w:sz w:val="20"/>
          <w:szCs w:val="20"/>
          <w:lang w:val="en-US"/>
        </w:rPr>
        <w:t xml:space="preserve"> of OMA: 5</w:t>
      </w:r>
      <w:r w:rsidR="0041683D" w:rsidRPr="0048762B">
        <w:rPr>
          <w:sz w:val="20"/>
          <w:szCs w:val="20"/>
          <w:lang w:val="en-US"/>
        </w:rPr>
        <w:t xml:space="preserve"> cluster solution</w:t>
      </w:r>
    </w:p>
    <w:p w:rsidR="0041683D" w:rsidRDefault="001F578D" w:rsidP="004A2CB6">
      <w:pPr>
        <w:spacing w:line="480" w:lineRule="auto"/>
        <w:ind w:firstLine="426"/>
        <w:jc w:val="both"/>
      </w:pPr>
      <w:r>
        <w:rPr>
          <w:noProof/>
        </w:rPr>
        <w:drawing>
          <wp:inline distT="0" distB="0" distL="0" distR="0" wp14:anchorId="1C17C47D" wp14:editId="6ADB97F8">
            <wp:extent cx="5400040" cy="29959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95930"/>
                    </a:xfrm>
                    <a:prstGeom prst="rect">
                      <a:avLst/>
                    </a:prstGeom>
                  </pic:spPr>
                </pic:pic>
              </a:graphicData>
            </a:graphic>
          </wp:inline>
        </w:drawing>
      </w:r>
    </w:p>
    <w:p w:rsidR="00CF522E" w:rsidRPr="0048762B" w:rsidRDefault="00CF522E" w:rsidP="004A2CB6">
      <w:pPr>
        <w:tabs>
          <w:tab w:val="left" w:pos="2550"/>
          <w:tab w:val="left" w:pos="2940"/>
          <w:tab w:val="center" w:pos="4612"/>
        </w:tabs>
        <w:spacing w:after="160" w:line="480" w:lineRule="auto"/>
        <w:ind w:firstLine="720"/>
        <w:jc w:val="center"/>
        <w:rPr>
          <w:sz w:val="20"/>
          <w:szCs w:val="20"/>
          <w:lang w:val="en-US"/>
        </w:rPr>
      </w:pPr>
      <w:r w:rsidRPr="0048762B">
        <w:rPr>
          <w:sz w:val="20"/>
          <w:szCs w:val="20"/>
          <w:lang w:val="en-US"/>
        </w:rPr>
        <w:t xml:space="preserve">Figure 5. </w:t>
      </w:r>
      <w:r w:rsidR="004A2CB6">
        <w:rPr>
          <w:sz w:val="20"/>
          <w:szCs w:val="20"/>
          <w:lang w:val="en-US"/>
        </w:rPr>
        <w:t>Some indicators regarding the number of Clusters: CH, Silhouette and Elbow Graphs</w:t>
      </w:r>
    </w:p>
    <w:p w:rsidR="00CF522E" w:rsidRPr="004A2CB6" w:rsidRDefault="004A2CB6" w:rsidP="004A2CB6">
      <w:pPr>
        <w:spacing w:after="160" w:line="480" w:lineRule="auto"/>
        <w:jc w:val="center"/>
        <w:rPr>
          <w:lang w:val="en-US"/>
        </w:rPr>
      </w:pPr>
      <w:r>
        <w:rPr>
          <w:noProof/>
        </w:rPr>
        <w:drawing>
          <wp:inline distT="0" distB="0" distL="0" distR="0" wp14:anchorId="62F7CBCE" wp14:editId="66BF1893">
            <wp:extent cx="5400040" cy="29959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95930"/>
                    </a:xfrm>
                    <a:prstGeom prst="rect">
                      <a:avLst/>
                    </a:prstGeom>
                  </pic:spPr>
                </pic:pic>
              </a:graphicData>
            </a:graphic>
          </wp:inline>
        </w:drawing>
      </w:r>
    </w:p>
    <w:p w:rsidR="00C66DBC" w:rsidRPr="004A2CB6" w:rsidRDefault="00C66DBC" w:rsidP="00C66DBC">
      <w:pPr>
        <w:tabs>
          <w:tab w:val="left" w:pos="2550"/>
          <w:tab w:val="left" w:pos="2940"/>
          <w:tab w:val="center" w:pos="4612"/>
        </w:tabs>
        <w:spacing w:after="160" w:line="480" w:lineRule="auto"/>
        <w:ind w:firstLine="720"/>
        <w:rPr>
          <w:sz w:val="20"/>
          <w:szCs w:val="20"/>
          <w:lang w:val="en-US"/>
        </w:rPr>
      </w:pPr>
      <w:r w:rsidRPr="004A2CB6">
        <w:rPr>
          <w:sz w:val="20"/>
          <w:szCs w:val="20"/>
          <w:lang w:val="en-US"/>
        </w:rPr>
        <w:tab/>
      </w:r>
    </w:p>
    <w:p w:rsidR="00C66DBC" w:rsidRPr="004A2CB6" w:rsidRDefault="00C66DBC" w:rsidP="00C66DBC">
      <w:pPr>
        <w:tabs>
          <w:tab w:val="left" w:pos="2550"/>
          <w:tab w:val="left" w:pos="2940"/>
          <w:tab w:val="center" w:pos="4612"/>
        </w:tabs>
        <w:spacing w:after="160" w:line="480" w:lineRule="auto"/>
        <w:ind w:firstLine="720"/>
        <w:rPr>
          <w:sz w:val="20"/>
          <w:szCs w:val="20"/>
          <w:lang w:val="en-US"/>
        </w:rPr>
      </w:pPr>
    </w:p>
    <w:p w:rsidR="00C66DBC" w:rsidRPr="004A2CB6" w:rsidRDefault="00C66DBC" w:rsidP="00C66DBC">
      <w:pPr>
        <w:tabs>
          <w:tab w:val="left" w:pos="2550"/>
          <w:tab w:val="left" w:pos="2940"/>
          <w:tab w:val="center" w:pos="4612"/>
        </w:tabs>
        <w:spacing w:after="160" w:line="480" w:lineRule="auto"/>
        <w:ind w:firstLine="720"/>
        <w:rPr>
          <w:sz w:val="20"/>
          <w:szCs w:val="20"/>
          <w:lang w:val="en-US"/>
        </w:rPr>
      </w:pPr>
    </w:p>
    <w:p w:rsidR="00C66DBC" w:rsidRPr="004A2CB6" w:rsidRDefault="00C66DBC" w:rsidP="00C66DBC">
      <w:pPr>
        <w:tabs>
          <w:tab w:val="left" w:pos="2550"/>
          <w:tab w:val="left" w:pos="2940"/>
          <w:tab w:val="center" w:pos="4612"/>
        </w:tabs>
        <w:spacing w:after="160" w:line="480" w:lineRule="auto"/>
        <w:ind w:firstLine="720"/>
        <w:rPr>
          <w:sz w:val="20"/>
          <w:szCs w:val="20"/>
          <w:lang w:val="en-US"/>
        </w:rPr>
      </w:pPr>
    </w:p>
    <w:p w:rsidR="00CF522E" w:rsidRDefault="00C66DBC" w:rsidP="00FA1702">
      <w:pPr>
        <w:tabs>
          <w:tab w:val="left" w:pos="2550"/>
          <w:tab w:val="left" w:pos="2940"/>
          <w:tab w:val="center" w:pos="4612"/>
        </w:tabs>
        <w:spacing w:after="160" w:line="480" w:lineRule="auto"/>
        <w:ind w:firstLine="720"/>
        <w:jc w:val="center"/>
        <w:rPr>
          <w:sz w:val="20"/>
          <w:szCs w:val="20"/>
          <w:lang w:val="en-US"/>
        </w:rPr>
      </w:pPr>
      <w:r w:rsidRPr="0048762B">
        <w:rPr>
          <w:sz w:val="20"/>
          <w:szCs w:val="20"/>
          <w:lang w:val="en-US"/>
        </w:rPr>
        <w:lastRenderedPageBreak/>
        <w:t xml:space="preserve">Figure 6. </w:t>
      </w:r>
      <w:proofErr w:type="spellStart"/>
      <w:r w:rsidR="00C16C3E">
        <w:rPr>
          <w:sz w:val="20"/>
          <w:szCs w:val="20"/>
          <w:lang w:val="en-US"/>
        </w:rPr>
        <w:t>Tempogram</w:t>
      </w:r>
      <w:proofErr w:type="spellEnd"/>
      <w:r w:rsidR="00C16C3E">
        <w:rPr>
          <w:sz w:val="20"/>
          <w:szCs w:val="20"/>
          <w:lang w:val="en-US"/>
        </w:rPr>
        <w:t xml:space="preserve">: 5 </w:t>
      </w:r>
      <w:r w:rsidRPr="0048762B">
        <w:rPr>
          <w:sz w:val="20"/>
          <w:szCs w:val="20"/>
          <w:lang w:val="en-US"/>
        </w:rPr>
        <w:t>cluster solution</w:t>
      </w:r>
    </w:p>
    <w:p w:rsidR="00143377" w:rsidRDefault="00143377" w:rsidP="00FA1702">
      <w:pPr>
        <w:tabs>
          <w:tab w:val="left" w:pos="2550"/>
          <w:tab w:val="left" w:pos="2940"/>
          <w:tab w:val="center" w:pos="4612"/>
        </w:tabs>
        <w:spacing w:after="160" w:line="480" w:lineRule="auto"/>
        <w:ind w:firstLine="720"/>
        <w:jc w:val="center"/>
      </w:pPr>
      <w:r>
        <w:rPr>
          <w:noProof/>
        </w:rPr>
        <w:drawing>
          <wp:inline distT="0" distB="0" distL="0" distR="0" wp14:anchorId="584BF36B" wp14:editId="74C63D43">
            <wp:extent cx="5400040" cy="2995930"/>
            <wp:effectExtent l="0" t="0" r="0" b="0"/>
            <wp:docPr id="9" name="Imagem 9"/>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3"/>
                    <a:stretch>
                      <a:fillRect/>
                    </a:stretch>
                  </pic:blipFill>
                  <pic:spPr>
                    <a:xfrm>
                      <a:off x="0" y="0"/>
                      <a:ext cx="5400040" cy="2995930"/>
                    </a:xfrm>
                    <a:prstGeom prst="rect">
                      <a:avLst/>
                    </a:prstGeom>
                  </pic:spPr>
                </pic:pic>
              </a:graphicData>
            </a:graphic>
          </wp:inline>
        </w:drawing>
      </w:r>
    </w:p>
    <w:p w:rsidR="001722A5" w:rsidRPr="0048762B" w:rsidRDefault="00C66DBC" w:rsidP="004A2CB6">
      <w:pPr>
        <w:spacing w:before="120" w:after="120"/>
        <w:ind w:firstLine="720"/>
        <w:jc w:val="both"/>
        <w:rPr>
          <w:lang w:val="en-US"/>
        </w:rPr>
      </w:pPr>
      <w:r w:rsidRPr="0048762B">
        <w:rPr>
          <w:lang w:val="en-US"/>
        </w:rPr>
        <w:t>Not surprisingly, t</w:t>
      </w:r>
      <w:r w:rsidR="0041683D" w:rsidRPr="0048762B">
        <w:rPr>
          <w:lang w:val="en-US"/>
        </w:rPr>
        <w:t xml:space="preserve">he </w:t>
      </w:r>
      <w:r w:rsidR="001F578D">
        <w:rPr>
          <w:lang w:val="en-US"/>
        </w:rPr>
        <w:t>five</w:t>
      </w:r>
      <w:r w:rsidR="00CF522E" w:rsidRPr="0048762B">
        <w:rPr>
          <w:lang w:val="en-US"/>
        </w:rPr>
        <w:t>-cluster solution is very close to the previously presented</w:t>
      </w:r>
      <w:r w:rsidR="001722A5" w:rsidRPr="0048762B">
        <w:rPr>
          <w:lang w:val="en-US"/>
        </w:rPr>
        <w:t xml:space="preserve">: </w:t>
      </w:r>
    </w:p>
    <w:p w:rsidR="001722A5" w:rsidRPr="0048762B" w:rsidRDefault="001722A5" w:rsidP="004A2CB6">
      <w:pPr>
        <w:pStyle w:val="PargrafodaLista"/>
        <w:numPr>
          <w:ilvl w:val="0"/>
          <w:numId w:val="1"/>
        </w:numPr>
        <w:spacing w:before="120" w:after="120"/>
        <w:jc w:val="both"/>
        <w:rPr>
          <w:lang w:val="en-US"/>
        </w:rPr>
      </w:pPr>
      <w:r w:rsidRPr="0048762B">
        <w:rPr>
          <w:lang w:val="en-US"/>
        </w:rPr>
        <w:t>Cluster 1</w:t>
      </w:r>
      <w:r w:rsidR="00CF522E" w:rsidRPr="0048762B">
        <w:rPr>
          <w:lang w:val="en-US"/>
        </w:rPr>
        <w:t xml:space="preserve"> (n=</w:t>
      </w:r>
      <w:r w:rsidR="004A2CB6">
        <w:rPr>
          <w:lang w:val="en-US"/>
        </w:rPr>
        <w:t>27</w:t>
      </w:r>
      <w:r w:rsidR="00CF522E" w:rsidRPr="0048762B">
        <w:rPr>
          <w:lang w:val="en-US"/>
        </w:rPr>
        <w:t xml:space="preserve">) </w:t>
      </w:r>
      <w:r w:rsidRPr="0048762B">
        <w:rPr>
          <w:lang w:val="en-US"/>
        </w:rPr>
        <w:t xml:space="preserve">- public servants, </w:t>
      </w:r>
      <w:r w:rsidR="00CF522E" w:rsidRPr="0048762B">
        <w:rPr>
          <w:lang w:val="en-US"/>
        </w:rPr>
        <w:t xml:space="preserve">not affiliated, who </w:t>
      </w:r>
      <w:r w:rsidRPr="0048762B">
        <w:rPr>
          <w:lang w:val="en-US"/>
        </w:rPr>
        <w:t xml:space="preserve">then </w:t>
      </w:r>
      <w:r w:rsidR="00CF522E" w:rsidRPr="0048762B">
        <w:rPr>
          <w:lang w:val="en-US"/>
        </w:rPr>
        <w:t xml:space="preserve">become private sector non-affiliated workers; </w:t>
      </w:r>
    </w:p>
    <w:p w:rsidR="001722A5" w:rsidRPr="0048762B" w:rsidRDefault="001722A5" w:rsidP="004A2CB6">
      <w:pPr>
        <w:pStyle w:val="PargrafodaLista"/>
        <w:numPr>
          <w:ilvl w:val="0"/>
          <w:numId w:val="1"/>
        </w:numPr>
        <w:spacing w:before="120" w:after="120"/>
        <w:jc w:val="both"/>
        <w:rPr>
          <w:lang w:val="en-US"/>
        </w:rPr>
      </w:pPr>
      <w:r w:rsidRPr="0048762B">
        <w:rPr>
          <w:lang w:val="en-US"/>
        </w:rPr>
        <w:t xml:space="preserve">Cluster 2 </w:t>
      </w:r>
      <w:r w:rsidR="00CF522E" w:rsidRPr="0048762B">
        <w:rPr>
          <w:lang w:val="en-US"/>
        </w:rPr>
        <w:t xml:space="preserve">(n=23) </w:t>
      </w:r>
      <w:r w:rsidRPr="0048762B">
        <w:rPr>
          <w:lang w:val="en-US"/>
        </w:rPr>
        <w:t xml:space="preserve">– </w:t>
      </w:r>
      <w:r w:rsidR="00CF522E" w:rsidRPr="0048762B">
        <w:rPr>
          <w:lang w:val="en-US"/>
        </w:rPr>
        <w:t>politically affiliated public servants, who return to their positions after their terms as regulators</w:t>
      </w:r>
      <w:r w:rsidRPr="0048762B">
        <w:rPr>
          <w:lang w:val="en-US"/>
        </w:rPr>
        <w:t>;</w:t>
      </w:r>
    </w:p>
    <w:p w:rsidR="001722A5" w:rsidRPr="0048762B" w:rsidRDefault="001722A5" w:rsidP="004A2CB6">
      <w:pPr>
        <w:pStyle w:val="PargrafodaLista"/>
        <w:numPr>
          <w:ilvl w:val="0"/>
          <w:numId w:val="1"/>
        </w:numPr>
        <w:spacing w:before="120" w:after="120"/>
        <w:jc w:val="both"/>
        <w:rPr>
          <w:lang w:val="en-US"/>
        </w:rPr>
      </w:pPr>
      <w:r w:rsidRPr="0048762B">
        <w:rPr>
          <w:lang w:val="en-US"/>
        </w:rPr>
        <w:t xml:space="preserve">Cluster 3 </w:t>
      </w:r>
      <w:r w:rsidR="004A2CB6">
        <w:rPr>
          <w:lang w:val="en-US"/>
        </w:rPr>
        <w:t>(n=15</w:t>
      </w:r>
      <w:r w:rsidR="00CF522E" w:rsidRPr="0048762B">
        <w:rPr>
          <w:lang w:val="en-US"/>
        </w:rPr>
        <w:t xml:space="preserve">) </w:t>
      </w:r>
      <w:r w:rsidRPr="0048762B">
        <w:rPr>
          <w:lang w:val="en-US"/>
        </w:rPr>
        <w:t xml:space="preserve">- </w:t>
      </w:r>
      <w:r w:rsidR="00C66DBC" w:rsidRPr="0048762B">
        <w:rPr>
          <w:lang w:val="en-US"/>
        </w:rPr>
        <w:t>politically affiliated public servants, who manage to go to the private sector afterwards;</w:t>
      </w:r>
    </w:p>
    <w:p w:rsidR="001722A5" w:rsidRDefault="001722A5" w:rsidP="004A2CB6">
      <w:pPr>
        <w:pStyle w:val="PargrafodaLista"/>
        <w:numPr>
          <w:ilvl w:val="0"/>
          <w:numId w:val="1"/>
        </w:numPr>
        <w:spacing w:before="120" w:after="120"/>
        <w:jc w:val="both"/>
        <w:rPr>
          <w:lang w:val="en-US"/>
        </w:rPr>
      </w:pPr>
      <w:r w:rsidRPr="0012005F">
        <w:rPr>
          <w:lang w:val="en-US"/>
        </w:rPr>
        <w:t xml:space="preserve">Cluster </w:t>
      </w:r>
      <w:r w:rsidR="0012005F" w:rsidRPr="0012005F">
        <w:rPr>
          <w:lang w:val="en-US"/>
        </w:rPr>
        <w:t xml:space="preserve">4 </w:t>
      </w:r>
      <w:r w:rsidR="00C66DBC" w:rsidRPr="0012005F">
        <w:rPr>
          <w:lang w:val="en-US"/>
        </w:rPr>
        <w:t>(</w:t>
      </w:r>
      <w:r w:rsidR="0012005F">
        <w:rPr>
          <w:lang w:val="en-US"/>
        </w:rPr>
        <w:t>n=</w:t>
      </w:r>
      <w:r w:rsidR="00C66DBC" w:rsidRPr="0012005F">
        <w:rPr>
          <w:lang w:val="en-US"/>
        </w:rPr>
        <w:t>33)</w:t>
      </w:r>
      <w:r w:rsidRPr="0012005F">
        <w:rPr>
          <w:lang w:val="en-US"/>
        </w:rPr>
        <w:t xml:space="preserve"> – </w:t>
      </w:r>
      <w:r w:rsidR="00C66DBC" w:rsidRPr="0012005F">
        <w:rPr>
          <w:lang w:val="en-US"/>
        </w:rPr>
        <w:t>not politically affiliated public servants, who return to their positions</w:t>
      </w:r>
      <w:r w:rsidR="004A2CB6">
        <w:rPr>
          <w:lang w:val="en-US"/>
        </w:rPr>
        <w:t xml:space="preserve"> after their terms;</w:t>
      </w:r>
    </w:p>
    <w:p w:rsidR="001722A5" w:rsidRDefault="004A2CB6" w:rsidP="004A2CB6">
      <w:pPr>
        <w:pStyle w:val="PargrafodaLista"/>
        <w:numPr>
          <w:ilvl w:val="0"/>
          <w:numId w:val="1"/>
        </w:numPr>
        <w:spacing w:before="120" w:after="120"/>
        <w:jc w:val="both"/>
        <w:rPr>
          <w:lang w:val="en-US"/>
        </w:rPr>
      </w:pPr>
      <w:r>
        <w:rPr>
          <w:lang w:val="en-US"/>
        </w:rPr>
        <w:t>Cluster 5 (n=19) – not affiliated private workers.</w:t>
      </w:r>
    </w:p>
    <w:p w:rsidR="00C16C3E" w:rsidRPr="00C16C3E" w:rsidRDefault="00C16C3E" w:rsidP="00C45071">
      <w:pPr>
        <w:spacing w:before="120" w:after="120" w:line="276" w:lineRule="auto"/>
        <w:jc w:val="center"/>
        <w:rPr>
          <w:sz w:val="20"/>
          <w:szCs w:val="20"/>
          <w:lang w:val="en-US"/>
        </w:rPr>
      </w:pPr>
      <w:r>
        <w:rPr>
          <w:sz w:val="20"/>
          <w:szCs w:val="20"/>
          <w:lang w:val="en-US"/>
        </w:rPr>
        <w:t>Figure 7</w:t>
      </w:r>
      <w:r w:rsidRPr="00C16C3E">
        <w:rPr>
          <w:sz w:val="20"/>
          <w:szCs w:val="20"/>
          <w:lang w:val="en-US"/>
        </w:rPr>
        <w:t xml:space="preserve">. </w:t>
      </w:r>
      <w:r>
        <w:rPr>
          <w:sz w:val="20"/>
          <w:szCs w:val="20"/>
          <w:lang w:val="en-US"/>
        </w:rPr>
        <w:t xml:space="preserve">The most common sequences, </w:t>
      </w:r>
      <w:r w:rsidRPr="00C16C3E">
        <w:rPr>
          <w:sz w:val="20"/>
          <w:szCs w:val="20"/>
          <w:lang w:val="en-US"/>
        </w:rPr>
        <w:t>5 cluster solution</w:t>
      </w:r>
    </w:p>
    <w:p w:rsidR="00C16C3E" w:rsidRPr="00C16C3E" w:rsidRDefault="00C16C3E" w:rsidP="001D388D">
      <w:pPr>
        <w:spacing w:before="120" w:after="120"/>
        <w:jc w:val="center"/>
        <w:rPr>
          <w:lang w:val="en-US"/>
        </w:rPr>
      </w:pPr>
      <w:r>
        <w:rPr>
          <w:noProof/>
        </w:rPr>
        <w:drawing>
          <wp:inline distT="0" distB="0" distL="0" distR="0" wp14:anchorId="3BB69021" wp14:editId="575BE369">
            <wp:extent cx="5229225" cy="29011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403" cy="2921788"/>
                    </a:xfrm>
                    <a:prstGeom prst="rect">
                      <a:avLst/>
                    </a:prstGeom>
                  </pic:spPr>
                </pic:pic>
              </a:graphicData>
            </a:graphic>
          </wp:inline>
        </w:drawing>
      </w:r>
    </w:p>
    <w:p w:rsidR="00052F91" w:rsidRDefault="00052F91" w:rsidP="00C16C3E">
      <w:pPr>
        <w:spacing w:before="120" w:after="120"/>
        <w:ind w:firstLine="284"/>
        <w:jc w:val="both"/>
        <w:rPr>
          <w:lang w:val="en-US"/>
        </w:rPr>
      </w:pPr>
      <w:r>
        <w:rPr>
          <w:lang w:val="en-US"/>
        </w:rPr>
        <w:lastRenderedPageBreak/>
        <w:t xml:space="preserve">Table 3 brings the communality between the categories, the “hard” one and that from OMA. The “others” cell from the hard categorization is distributed among the five-fold categories that emerge from the OMA. </w:t>
      </w:r>
      <w:r w:rsidR="007056D2">
        <w:rPr>
          <w:lang w:val="en-US"/>
        </w:rPr>
        <w:t xml:space="preserve">All other categories show a </w:t>
      </w:r>
      <w:r>
        <w:rPr>
          <w:lang w:val="en-US"/>
        </w:rPr>
        <w:t>100% communality when one compares the equivalent cells from the hard categorization and OMA.</w:t>
      </w:r>
    </w:p>
    <w:p w:rsidR="0087053F" w:rsidRPr="00C16C3E" w:rsidRDefault="00C16C3E" w:rsidP="00C16C3E">
      <w:pPr>
        <w:tabs>
          <w:tab w:val="center" w:pos="4612"/>
        </w:tabs>
        <w:spacing w:before="120" w:after="120"/>
        <w:ind w:left="720"/>
        <w:rPr>
          <w:sz w:val="20"/>
          <w:lang w:val="en-US"/>
        </w:rPr>
      </w:pPr>
      <w:r w:rsidRPr="00C16C3E">
        <w:rPr>
          <w:sz w:val="20"/>
          <w:lang w:val="en-US"/>
        </w:rPr>
        <w:tab/>
      </w:r>
      <w:r w:rsidR="0087053F" w:rsidRPr="00C16C3E">
        <w:rPr>
          <w:sz w:val="20"/>
          <w:lang w:val="en-US"/>
        </w:rPr>
        <w:t>Table 3. Comparison between the “hard</w:t>
      </w:r>
      <w:r w:rsidRPr="00C16C3E">
        <w:rPr>
          <w:sz w:val="20"/>
          <w:lang w:val="en-US"/>
        </w:rPr>
        <w:t>”</w:t>
      </w:r>
      <w:r w:rsidR="0087053F" w:rsidRPr="00C16C3E">
        <w:rPr>
          <w:sz w:val="20"/>
          <w:lang w:val="en-US"/>
        </w:rPr>
        <w:t xml:space="preserve"> classification and OMA</w:t>
      </w:r>
    </w:p>
    <w:tbl>
      <w:tblPr>
        <w:tblW w:w="7595"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95"/>
        <w:gridCol w:w="960"/>
        <w:gridCol w:w="960"/>
        <w:gridCol w:w="960"/>
        <w:gridCol w:w="960"/>
        <w:gridCol w:w="960"/>
      </w:tblGrid>
      <w:tr w:rsidR="0087053F" w:rsidRPr="0087053F" w:rsidTr="0087053F">
        <w:trPr>
          <w:trHeight w:val="300"/>
          <w:jc w:val="center"/>
        </w:trPr>
        <w:tc>
          <w:tcPr>
            <w:tcW w:w="2795" w:type="dxa"/>
            <w:shd w:val="clear" w:color="auto" w:fill="auto"/>
            <w:noWrap/>
            <w:vAlign w:val="bottom"/>
            <w:hideMark/>
          </w:tcPr>
          <w:p w:rsidR="0087053F" w:rsidRPr="0087053F" w:rsidRDefault="0087053F" w:rsidP="0087053F">
            <w:pPr>
              <w:rPr>
                <w:sz w:val="20"/>
                <w:szCs w:val="20"/>
                <w:lang w:val="en-US"/>
              </w:rPr>
            </w:pPr>
          </w:p>
        </w:tc>
        <w:tc>
          <w:tcPr>
            <w:tcW w:w="960" w:type="dxa"/>
            <w:shd w:val="clear" w:color="auto" w:fill="auto"/>
            <w:noWrap/>
            <w:vAlign w:val="bottom"/>
            <w:hideMark/>
          </w:tcPr>
          <w:p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private</w:t>
            </w:r>
            <w:proofErr w:type="spellEnd"/>
            <w:r w:rsidRPr="0087053F">
              <w:rPr>
                <w:color w:val="000000"/>
                <w:sz w:val="20"/>
                <w:szCs w:val="20"/>
              </w:rPr>
              <w:t xml:space="preserve">, </w:t>
            </w:r>
            <w:proofErr w:type="spellStart"/>
            <w:r w:rsidRPr="0087053F">
              <w:rPr>
                <w:color w:val="000000"/>
                <w:sz w:val="20"/>
                <w:szCs w:val="20"/>
              </w:rPr>
              <w:t>not</w:t>
            </w:r>
            <w:proofErr w:type="spellEnd"/>
            <w:r w:rsidRPr="0087053F">
              <w:rPr>
                <w:color w:val="000000"/>
                <w:sz w:val="20"/>
                <w:szCs w:val="20"/>
              </w:rPr>
              <w:t xml:space="preserve"> </w:t>
            </w:r>
            <w:proofErr w:type="spellStart"/>
            <w:r w:rsidRPr="0087053F">
              <w:rPr>
                <w:color w:val="000000"/>
                <w:sz w:val="20"/>
                <w:szCs w:val="20"/>
              </w:rPr>
              <w:t>affiliated</w:t>
            </w:r>
            <w:proofErr w:type="spellEnd"/>
          </w:p>
        </w:tc>
        <w:tc>
          <w:tcPr>
            <w:tcW w:w="960" w:type="dxa"/>
            <w:shd w:val="clear" w:color="auto" w:fill="auto"/>
            <w:noWrap/>
            <w:vAlign w:val="bottom"/>
            <w:hideMark/>
          </w:tcPr>
          <w:p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not</w:t>
            </w:r>
            <w:proofErr w:type="spellEnd"/>
            <w:r w:rsidRPr="0087053F">
              <w:rPr>
                <w:color w:val="000000"/>
                <w:sz w:val="20"/>
                <w:szCs w:val="20"/>
              </w:rPr>
              <w:t xml:space="preserve"> </w:t>
            </w:r>
            <w:proofErr w:type="spellStart"/>
            <w:r w:rsidRPr="0087053F">
              <w:rPr>
                <w:color w:val="000000"/>
                <w:sz w:val="20"/>
                <w:szCs w:val="20"/>
              </w:rPr>
              <w:t>affiliated</w:t>
            </w:r>
            <w:proofErr w:type="spellEnd"/>
          </w:p>
        </w:tc>
        <w:tc>
          <w:tcPr>
            <w:tcW w:w="960" w:type="dxa"/>
            <w:shd w:val="clear" w:color="auto" w:fill="auto"/>
            <w:noWrap/>
            <w:vAlign w:val="bottom"/>
            <w:hideMark/>
          </w:tcPr>
          <w:p w:rsidR="0087053F" w:rsidRPr="0087053F" w:rsidRDefault="0087053F" w:rsidP="0087053F">
            <w:pPr>
              <w:rPr>
                <w:color w:val="000000"/>
                <w:sz w:val="20"/>
                <w:szCs w:val="20"/>
              </w:rPr>
            </w:pP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to</w:t>
            </w:r>
            <w:proofErr w:type="spellEnd"/>
            <w:r w:rsidRPr="0087053F">
              <w:rPr>
                <w:color w:val="000000"/>
                <w:sz w:val="20"/>
                <w:szCs w:val="20"/>
              </w:rPr>
              <w:t xml:space="preserve"> </w:t>
            </w:r>
            <w:proofErr w:type="spellStart"/>
            <w:r w:rsidRPr="0087053F">
              <w:rPr>
                <w:color w:val="000000"/>
                <w:sz w:val="20"/>
                <w:szCs w:val="20"/>
              </w:rPr>
              <w:t>private</w:t>
            </w:r>
            <w:proofErr w:type="spellEnd"/>
            <w:r w:rsidRPr="0087053F">
              <w:rPr>
                <w:color w:val="000000"/>
                <w:sz w:val="20"/>
                <w:szCs w:val="20"/>
              </w:rPr>
              <w:t xml:space="preserve">, </w:t>
            </w:r>
            <w:proofErr w:type="spellStart"/>
            <w:r w:rsidRPr="0087053F">
              <w:rPr>
                <w:color w:val="000000"/>
                <w:sz w:val="20"/>
                <w:szCs w:val="20"/>
              </w:rPr>
              <w:t>affiliated</w:t>
            </w:r>
            <w:proofErr w:type="spellEnd"/>
          </w:p>
        </w:tc>
        <w:tc>
          <w:tcPr>
            <w:tcW w:w="960" w:type="dxa"/>
            <w:shd w:val="clear" w:color="auto" w:fill="auto"/>
            <w:noWrap/>
            <w:vAlign w:val="bottom"/>
            <w:hideMark/>
          </w:tcPr>
          <w:p w:rsidR="0087053F" w:rsidRPr="0087053F" w:rsidRDefault="0087053F" w:rsidP="0087053F">
            <w:pPr>
              <w:rPr>
                <w:color w:val="000000"/>
                <w:sz w:val="20"/>
                <w:szCs w:val="20"/>
                <w:lang w:val="en-US"/>
              </w:rPr>
            </w:pPr>
            <w:r w:rsidRPr="0087053F">
              <w:rPr>
                <w:color w:val="000000"/>
                <w:sz w:val="20"/>
                <w:szCs w:val="20"/>
                <w:lang w:val="en-US"/>
              </w:rPr>
              <w:t>Public to private, not affiliated</w:t>
            </w:r>
          </w:p>
        </w:tc>
      </w:tr>
      <w:tr w:rsidR="0087053F" w:rsidRPr="0087053F" w:rsidTr="0087053F">
        <w:trPr>
          <w:trHeight w:val="300"/>
          <w:jc w:val="center"/>
        </w:trPr>
        <w:tc>
          <w:tcPr>
            <w:tcW w:w="2795" w:type="dxa"/>
            <w:shd w:val="clear" w:color="auto" w:fill="auto"/>
            <w:noWrap/>
            <w:vAlign w:val="bottom"/>
            <w:hideMark/>
          </w:tcPr>
          <w:p w:rsidR="0087053F" w:rsidRPr="0087053F" w:rsidRDefault="0087053F" w:rsidP="0087053F">
            <w:pPr>
              <w:rPr>
                <w:color w:val="000000"/>
                <w:sz w:val="20"/>
                <w:szCs w:val="20"/>
              </w:rPr>
            </w:pPr>
            <w:r w:rsidRPr="0087053F">
              <w:rPr>
                <w:color w:val="000000"/>
                <w:sz w:val="20"/>
                <w:szCs w:val="20"/>
                <w:lang w:val="en-US"/>
              </w:rPr>
              <w:t xml:space="preserve"> </w:t>
            </w:r>
            <w:proofErr w:type="spellStart"/>
            <w:r w:rsidR="007056D2" w:rsidRPr="0087053F">
              <w:rPr>
                <w:color w:val="000000"/>
                <w:sz w:val="20"/>
                <w:szCs w:val="20"/>
              </w:rPr>
              <w:t>O</w:t>
            </w:r>
            <w:r w:rsidRPr="0087053F">
              <w:rPr>
                <w:color w:val="000000"/>
                <w:sz w:val="20"/>
                <w:szCs w:val="20"/>
              </w:rPr>
              <w:t>thers</w:t>
            </w:r>
            <w:proofErr w:type="spellEnd"/>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7</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9</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9</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5</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2</w:t>
            </w:r>
          </w:p>
        </w:tc>
      </w:tr>
      <w:tr w:rsidR="0087053F" w:rsidRPr="0087053F" w:rsidTr="0087053F">
        <w:trPr>
          <w:trHeight w:val="300"/>
          <w:jc w:val="center"/>
        </w:trPr>
        <w:tc>
          <w:tcPr>
            <w:tcW w:w="2795" w:type="dxa"/>
            <w:shd w:val="clear" w:color="auto" w:fill="auto"/>
            <w:noWrap/>
            <w:vAlign w:val="bottom"/>
            <w:hideMark/>
          </w:tcPr>
          <w:p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private</w:t>
            </w:r>
            <w:proofErr w:type="spellEnd"/>
            <w:r w:rsidRPr="0087053F">
              <w:rPr>
                <w:color w:val="000000"/>
                <w:sz w:val="20"/>
                <w:szCs w:val="20"/>
              </w:rPr>
              <w:t xml:space="preserve">, </w:t>
            </w:r>
            <w:proofErr w:type="spellStart"/>
            <w:r w:rsidRPr="0087053F">
              <w:rPr>
                <w:color w:val="000000"/>
                <w:sz w:val="20"/>
                <w:szCs w:val="20"/>
              </w:rPr>
              <w:t>not</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highlight w:val="yellow"/>
              </w:rPr>
              <w:t>12</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r>
      <w:tr w:rsidR="0087053F" w:rsidRPr="0087053F" w:rsidTr="0087053F">
        <w:trPr>
          <w:trHeight w:val="300"/>
          <w:jc w:val="center"/>
        </w:trPr>
        <w:tc>
          <w:tcPr>
            <w:tcW w:w="2795" w:type="dxa"/>
            <w:shd w:val="clear" w:color="auto" w:fill="auto"/>
            <w:noWrap/>
            <w:vAlign w:val="bottom"/>
            <w:hideMark/>
          </w:tcPr>
          <w:p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highlight w:val="yellow"/>
              </w:rPr>
              <w:t>14</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r>
      <w:tr w:rsidR="0087053F" w:rsidRPr="0087053F" w:rsidTr="0087053F">
        <w:trPr>
          <w:trHeight w:val="300"/>
          <w:jc w:val="center"/>
        </w:trPr>
        <w:tc>
          <w:tcPr>
            <w:tcW w:w="2795" w:type="dxa"/>
            <w:shd w:val="clear" w:color="auto" w:fill="auto"/>
            <w:noWrap/>
            <w:vAlign w:val="bottom"/>
            <w:hideMark/>
          </w:tcPr>
          <w:p w:rsidR="0087053F" w:rsidRPr="0087053F" w:rsidRDefault="0087053F" w:rsidP="0087053F">
            <w:pPr>
              <w:rPr>
                <w:color w:val="000000"/>
                <w:sz w:val="20"/>
                <w:szCs w:val="20"/>
              </w:rPr>
            </w:pPr>
            <w:r w:rsidRPr="0087053F">
              <w:rPr>
                <w:color w:val="000000"/>
                <w:sz w:val="20"/>
                <w:szCs w:val="20"/>
              </w:rPr>
              <w:t xml:space="preserve">Always </w:t>
            </w: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not</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highlight w:val="yellow"/>
              </w:rPr>
            </w:pPr>
            <w:r w:rsidRPr="0087053F">
              <w:rPr>
                <w:color w:val="000000"/>
                <w:sz w:val="20"/>
                <w:szCs w:val="20"/>
                <w:highlight w:val="yellow"/>
              </w:rPr>
              <w:t>24</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r>
      <w:tr w:rsidR="0087053F" w:rsidRPr="0087053F" w:rsidTr="0087053F">
        <w:trPr>
          <w:trHeight w:val="300"/>
          <w:jc w:val="center"/>
        </w:trPr>
        <w:tc>
          <w:tcPr>
            <w:tcW w:w="2795" w:type="dxa"/>
            <w:shd w:val="clear" w:color="auto" w:fill="auto"/>
            <w:noWrap/>
            <w:vAlign w:val="bottom"/>
            <w:hideMark/>
          </w:tcPr>
          <w:p w:rsidR="0087053F" w:rsidRPr="0087053F" w:rsidRDefault="0087053F" w:rsidP="0087053F">
            <w:pPr>
              <w:rPr>
                <w:color w:val="000000"/>
                <w:sz w:val="20"/>
                <w:szCs w:val="20"/>
              </w:rPr>
            </w:pPr>
            <w:proofErr w:type="spellStart"/>
            <w:r w:rsidRPr="0087053F">
              <w:rPr>
                <w:color w:val="000000"/>
                <w:sz w:val="20"/>
                <w:szCs w:val="20"/>
              </w:rPr>
              <w:t>Public</w:t>
            </w:r>
            <w:proofErr w:type="spellEnd"/>
            <w:r w:rsidRPr="0087053F">
              <w:rPr>
                <w:color w:val="000000"/>
                <w:sz w:val="20"/>
                <w:szCs w:val="20"/>
              </w:rPr>
              <w:t xml:space="preserve"> </w:t>
            </w:r>
            <w:proofErr w:type="spellStart"/>
            <w:r w:rsidRPr="0087053F">
              <w:rPr>
                <w:color w:val="000000"/>
                <w:sz w:val="20"/>
                <w:szCs w:val="20"/>
              </w:rPr>
              <w:t>to</w:t>
            </w:r>
            <w:proofErr w:type="spellEnd"/>
            <w:r w:rsidRPr="0087053F">
              <w:rPr>
                <w:color w:val="000000"/>
                <w:sz w:val="20"/>
                <w:szCs w:val="20"/>
              </w:rPr>
              <w:t xml:space="preserve"> </w:t>
            </w:r>
            <w:proofErr w:type="spellStart"/>
            <w:r w:rsidRPr="0087053F">
              <w:rPr>
                <w:color w:val="000000"/>
                <w:sz w:val="20"/>
                <w:szCs w:val="20"/>
              </w:rPr>
              <w:t>private</w:t>
            </w:r>
            <w:proofErr w:type="spellEnd"/>
            <w:r w:rsidRPr="0087053F">
              <w:rPr>
                <w:color w:val="000000"/>
                <w:sz w:val="20"/>
                <w:szCs w:val="20"/>
              </w:rPr>
              <w:t xml:space="preserve">, </w:t>
            </w:r>
            <w:proofErr w:type="spellStart"/>
            <w:r w:rsidRPr="0087053F">
              <w:rPr>
                <w:color w:val="000000"/>
                <w:sz w:val="20"/>
                <w:szCs w:val="20"/>
              </w:rPr>
              <w:t>affilliated</w:t>
            </w:r>
            <w:proofErr w:type="spellEnd"/>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highlight w:val="yellow"/>
              </w:rPr>
              <w:t>10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r>
      <w:tr w:rsidR="0087053F" w:rsidRPr="0087053F" w:rsidTr="0087053F">
        <w:trPr>
          <w:trHeight w:val="300"/>
          <w:jc w:val="center"/>
        </w:trPr>
        <w:tc>
          <w:tcPr>
            <w:tcW w:w="2795" w:type="dxa"/>
            <w:shd w:val="clear" w:color="auto" w:fill="auto"/>
            <w:noWrap/>
            <w:vAlign w:val="bottom"/>
            <w:hideMark/>
          </w:tcPr>
          <w:p w:rsidR="0087053F" w:rsidRPr="0087053F" w:rsidRDefault="0087053F" w:rsidP="0087053F">
            <w:pPr>
              <w:rPr>
                <w:color w:val="000000"/>
                <w:sz w:val="20"/>
                <w:szCs w:val="20"/>
                <w:lang w:val="en-US"/>
              </w:rPr>
            </w:pPr>
            <w:r w:rsidRPr="0087053F">
              <w:rPr>
                <w:color w:val="000000"/>
                <w:sz w:val="20"/>
                <w:szCs w:val="20"/>
                <w:lang w:val="en-US"/>
              </w:rPr>
              <w:t xml:space="preserve">Public to private, not </w:t>
            </w:r>
            <w:proofErr w:type="spellStart"/>
            <w:r w:rsidRPr="0087053F">
              <w:rPr>
                <w:color w:val="000000"/>
                <w:sz w:val="20"/>
                <w:szCs w:val="20"/>
                <w:lang w:val="en-US"/>
              </w:rPr>
              <w:t>affilliated</w:t>
            </w:r>
            <w:proofErr w:type="spellEnd"/>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rPr>
              <w:t>0</w:t>
            </w:r>
          </w:p>
        </w:tc>
        <w:tc>
          <w:tcPr>
            <w:tcW w:w="960" w:type="dxa"/>
            <w:shd w:val="clear" w:color="auto" w:fill="auto"/>
            <w:noWrap/>
            <w:vAlign w:val="bottom"/>
            <w:hideMark/>
          </w:tcPr>
          <w:p w:rsidR="0087053F" w:rsidRPr="0087053F" w:rsidRDefault="0087053F" w:rsidP="0087053F">
            <w:pPr>
              <w:jc w:val="right"/>
              <w:rPr>
                <w:color w:val="000000"/>
                <w:sz w:val="20"/>
                <w:szCs w:val="20"/>
              </w:rPr>
            </w:pPr>
            <w:r w:rsidRPr="0087053F">
              <w:rPr>
                <w:color w:val="000000"/>
                <w:sz w:val="20"/>
                <w:szCs w:val="20"/>
                <w:highlight w:val="yellow"/>
              </w:rPr>
              <w:t>25</w:t>
            </w:r>
          </w:p>
        </w:tc>
      </w:tr>
    </w:tbl>
    <w:p w:rsidR="00C16C3E" w:rsidRDefault="00C16C3E" w:rsidP="00C16C3E">
      <w:pPr>
        <w:spacing w:before="120" w:after="120"/>
        <w:jc w:val="center"/>
        <w:rPr>
          <w:b/>
          <w:lang w:val="en-US"/>
        </w:rPr>
      </w:pPr>
    </w:p>
    <w:p w:rsidR="00C45071" w:rsidRDefault="00C45071" w:rsidP="00C16C3E">
      <w:pPr>
        <w:spacing w:before="120" w:after="120"/>
        <w:jc w:val="center"/>
        <w:rPr>
          <w:b/>
          <w:lang w:val="en-US"/>
        </w:rPr>
      </w:pPr>
    </w:p>
    <w:p w:rsidR="00F001BF" w:rsidRDefault="00F001BF" w:rsidP="00C16C3E">
      <w:pPr>
        <w:spacing w:before="120" w:after="120"/>
        <w:jc w:val="center"/>
        <w:rPr>
          <w:b/>
          <w:lang w:val="en-US"/>
        </w:rPr>
      </w:pPr>
      <w:r>
        <w:rPr>
          <w:b/>
          <w:lang w:val="en-US"/>
        </w:rPr>
        <w:t>OK, BUT “WHAT’S IN FOR ME?”</w:t>
      </w:r>
    </w:p>
    <w:p w:rsidR="00C16C3E" w:rsidRPr="0048762B" w:rsidRDefault="00C16C3E" w:rsidP="00C16C3E">
      <w:pPr>
        <w:spacing w:before="120" w:after="120"/>
        <w:jc w:val="center"/>
        <w:rPr>
          <w:lang w:val="en-US"/>
        </w:rPr>
      </w:pPr>
    </w:p>
    <w:p w:rsidR="00F001BF" w:rsidRPr="00F001BF" w:rsidRDefault="00F001BF" w:rsidP="00C16C3E">
      <w:pPr>
        <w:pBdr>
          <w:top w:val="nil"/>
          <w:left w:val="nil"/>
          <w:bottom w:val="nil"/>
          <w:right w:val="nil"/>
          <w:between w:val="nil"/>
        </w:pBdr>
        <w:spacing w:before="120" w:after="120"/>
        <w:ind w:firstLine="284"/>
        <w:jc w:val="both"/>
        <w:rPr>
          <w:color w:val="000000"/>
          <w:lang w:val="en-US"/>
        </w:rPr>
      </w:pPr>
      <w:r>
        <w:rPr>
          <w:color w:val="000000"/>
          <w:lang w:val="en-US"/>
        </w:rPr>
        <w:t xml:space="preserve">Figure 7 depicts the before-and-after wages of IRA board members. Perhaps surprisingly, former public servants seem to earn </w:t>
      </w:r>
      <w:r>
        <w:rPr>
          <w:i/>
          <w:color w:val="000000"/>
          <w:lang w:val="en-US"/>
        </w:rPr>
        <w:t xml:space="preserve">less </w:t>
      </w:r>
      <w:r>
        <w:rPr>
          <w:color w:val="000000"/>
          <w:lang w:val="en-US"/>
        </w:rPr>
        <w:t>in the private sector after their terms as regulators</w:t>
      </w:r>
      <w:r w:rsidR="007056D2">
        <w:rPr>
          <w:color w:val="000000"/>
          <w:lang w:val="en-US"/>
        </w:rPr>
        <w:t>, at least the non-affiliated ones.</w:t>
      </w:r>
      <w:r>
        <w:rPr>
          <w:color w:val="000000"/>
          <w:lang w:val="en-US"/>
        </w:rPr>
        <w:t xml:space="preserve"> In terms of wages, the most prominent category is that of </w:t>
      </w:r>
      <w:r w:rsidR="002A4446">
        <w:rPr>
          <w:color w:val="000000"/>
          <w:lang w:val="en-US"/>
        </w:rPr>
        <w:t xml:space="preserve">non-affiliated </w:t>
      </w:r>
      <w:r>
        <w:rPr>
          <w:color w:val="000000"/>
          <w:lang w:val="en-US"/>
        </w:rPr>
        <w:t>private sector workers who manage to return to the private sector after their mandates</w:t>
      </w:r>
      <w:r w:rsidR="007056D2">
        <w:rPr>
          <w:color w:val="000000"/>
          <w:lang w:val="en-US"/>
        </w:rPr>
        <w:t xml:space="preserve"> – “revolving door” professionals.</w:t>
      </w:r>
      <w:r>
        <w:rPr>
          <w:color w:val="000000"/>
          <w:lang w:val="en-US"/>
        </w:rPr>
        <w:t xml:space="preserve"> </w:t>
      </w:r>
      <w:r w:rsidR="002A4446">
        <w:rPr>
          <w:color w:val="000000"/>
          <w:lang w:val="en-US"/>
        </w:rPr>
        <w:t>However, one should notice that they are rather few: 25 out of 117 trajectories. Moreover</w:t>
      </w:r>
      <w:r>
        <w:rPr>
          <w:color w:val="000000"/>
          <w:lang w:val="en-US"/>
        </w:rPr>
        <w:t xml:space="preserve">, </w:t>
      </w:r>
      <w:r w:rsidR="00052F91">
        <w:rPr>
          <w:color w:val="000000"/>
          <w:lang w:val="en-US"/>
        </w:rPr>
        <w:t>we did not run a formal test for wage premia</w:t>
      </w:r>
      <w:r w:rsidR="00D128C5">
        <w:rPr>
          <w:color w:val="000000"/>
          <w:lang w:val="en-US"/>
        </w:rPr>
        <w:t xml:space="preserve"> derived by the experience in the IRA. It means</w:t>
      </w:r>
      <w:r w:rsidR="00052F91">
        <w:rPr>
          <w:color w:val="000000"/>
          <w:lang w:val="en-US"/>
        </w:rPr>
        <w:t xml:space="preserve"> there’s nothing to be said, at least from figure 7, regarding </w:t>
      </w:r>
      <w:proofErr w:type="gramStart"/>
      <w:r w:rsidR="00052F91">
        <w:rPr>
          <w:color w:val="000000"/>
          <w:lang w:val="en-US"/>
        </w:rPr>
        <w:t>whether or not</w:t>
      </w:r>
      <w:proofErr w:type="gramEnd"/>
      <w:r w:rsidR="00052F91">
        <w:rPr>
          <w:color w:val="000000"/>
          <w:lang w:val="en-US"/>
        </w:rPr>
        <w:t xml:space="preserve"> former members of IRA boards earn more or less than their counterfactuals due to their status as IRA board members.</w:t>
      </w:r>
    </w:p>
    <w:p w:rsidR="00F001BF" w:rsidRDefault="00F001BF" w:rsidP="000414EB">
      <w:pPr>
        <w:pBdr>
          <w:top w:val="nil"/>
          <w:left w:val="nil"/>
          <w:bottom w:val="nil"/>
          <w:right w:val="nil"/>
          <w:between w:val="nil"/>
        </w:pBdr>
        <w:spacing w:line="360" w:lineRule="auto"/>
        <w:ind w:left="284"/>
        <w:jc w:val="center"/>
        <w:rPr>
          <w:b/>
          <w:color w:val="000000"/>
          <w:lang w:val="en-US"/>
        </w:rPr>
      </w:pPr>
    </w:p>
    <w:p w:rsidR="00D128C5" w:rsidRDefault="00EA2809" w:rsidP="000414EB">
      <w:pPr>
        <w:pBdr>
          <w:top w:val="nil"/>
          <w:left w:val="nil"/>
          <w:bottom w:val="nil"/>
          <w:right w:val="nil"/>
          <w:between w:val="nil"/>
        </w:pBdr>
        <w:spacing w:line="360" w:lineRule="auto"/>
        <w:ind w:left="284"/>
        <w:jc w:val="center"/>
        <w:rPr>
          <w:b/>
          <w:color w:val="000000"/>
          <w:lang w:val="en-US"/>
        </w:rPr>
      </w:pPr>
      <w:r>
        <w:rPr>
          <w:sz w:val="20"/>
          <w:lang w:val="en-US"/>
        </w:rPr>
        <w:t>Figure 7. Wages by professional trajectory, 5 years before and after a mandate at IRA</w:t>
      </w:r>
    </w:p>
    <w:p w:rsidR="00F001BF" w:rsidRDefault="00F001BF" w:rsidP="000414EB">
      <w:pPr>
        <w:pBdr>
          <w:top w:val="nil"/>
          <w:left w:val="nil"/>
          <w:bottom w:val="nil"/>
          <w:right w:val="nil"/>
          <w:between w:val="nil"/>
        </w:pBdr>
        <w:spacing w:line="360" w:lineRule="auto"/>
        <w:ind w:left="284"/>
        <w:jc w:val="center"/>
        <w:rPr>
          <w:b/>
          <w:color w:val="000000"/>
          <w:lang w:val="en-US"/>
        </w:rPr>
      </w:pPr>
      <w:r w:rsidRPr="00F001BF">
        <w:rPr>
          <w:b/>
          <w:noProof/>
          <w:color w:val="000000"/>
        </w:rPr>
        <w:drawing>
          <wp:inline distT="0" distB="0" distL="0" distR="0">
            <wp:extent cx="5400040" cy="2755056"/>
            <wp:effectExtent l="0" t="0" r="0" b="7620"/>
            <wp:docPr id="10" name="Imagem 10" descr="C:\Users\r1372845\AppData\Local\Microsoft\Windows\INetCache\Content.Outlook\ZA9302OM\oma_label_tamanho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1372845\AppData\Local\Microsoft\Windows\INetCache\Content.Outlook\ZA9302OM\oma_label_tamanho (0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755056"/>
                    </a:xfrm>
                    <a:prstGeom prst="rect">
                      <a:avLst/>
                    </a:prstGeom>
                    <a:noFill/>
                    <a:ln>
                      <a:noFill/>
                    </a:ln>
                  </pic:spPr>
                </pic:pic>
              </a:graphicData>
            </a:graphic>
          </wp:inline>
        </w:drawing>
      </w:r>
    </w:p>
    <w:p w:rsidR="00F001BF" w:rsidRDefault="00F001BF" w:rsidP="000414EB">
      <w:pPr>
        <w:pBdr>
          <w:top w:val="nil"/>
          <w:left w:val="nil"/>
          <w:bottom w:val="nil"/>
          <w:right w:val="nil"/>
          <w:between w:val="nil"/>
        </w:pBdr>
        <w:spacing w:line="360" w:lineRule="auto"/>
        <w:ind w:left="284"/>
        <w:jc w:val="center"/>
        <w:rPr>
          <w:b/>
          <w:color w:val="000000"/>
          <w:lang w:val="en-US"/>
        </w:rPr>
      </w:pPr>
    </w:p>
    <w:p w:rsidR="000414EB" w:rsidRPr="0048762B" w:rsidRDefault="00052F91" w:rsidP="000414EB">
      <w:pPr>
        <w:pBdr>
          <w:top w:val="nil"/>
          <w:left w:val="nil"/>
          <w:bottom w:val="nil"/>
          <w:right w:val="nil"/>
          <w:between w:val="nil"/>
        </w:pBdr>
        <w:spacing w:line="360" w:lineRule="auto"/>
        <w:ind w:left="284"/>
        <w:jc w:val="center"/>
        <w:rPr>
          <w:b/>
          <w:color w:val="000000"/>
          <w:lang w:val="en-US"/>
        </w:rPr>
      </w:pPr>
      <w:r>
        <w:rPr>
          <w:b/>
          <w:color w:val="000000"/>
          <w:lang w:val="en-US"/>
        </w:rPr>
        <w:lastRenderedPageBreak/>
        <w:t>DOES POLITICS MATTER?</w:t>
      </w:r>
      <w:r w:rsidR="00C16C3E">
        <w:rPr>
          <w:b/>
          <w:color w:val="000000"/>
          <w:lang w:val="en-US"/>
        </w:rPr>
        <w:t xml:space="preserve"> </w:t>
      </w:r>
      <w:r w:rsidR="00EA2809">
        <w:rPr>
          <w:b/>
          <w:color w:val="000000"/>
          <w:lang w:val="en-US"/>
        </w:rPr>
        <w:t>WHAT IS THE RELEVANT PREVIOUS EX</w:t>
      </w:r>
      <w:r w:rsidR="00C16C3E">
        <w:rPr>
          <w:b/>
          <w:color w:val="000000"/>
          <w:lang w:val="en-US"/>
        </w:rPr>
        <w:t>PERIENCE?</w:t>
      </w:r>
    </w:p>
    <w:p w:rsidR="000414EB" w:rsidRPr="0048762B" w:rsidRDefault="000414EB" w:rsidP="000414EB">
      <w:pPr>
        <w:pBdr>
          <w:top w:val="nil"/>
          <w:left w:val="nil"/>
          <w:bottom w:val="nil"/>
          <w:right w:val="nil"/>
          <w:between w:val="nil"/>
        </w:pBdr>
        <w:spacing w:line="360" w:lineRule="auto"/>
        <w:ind w:left="284"/>
        <w:jc w:val="center"/>
        <w:rPr>
          <w:lang w:val="en-US"/>
        </w:rPr>
      </w:pPr>
    </w:p>
    <w:p w:rsidR="00413AB5" w:rsidRPr="0048762B" w:rsidRDefault="00413AB5" w:rsidP="00993DF4">
      <w:pPr>
        <w:spacing w:before="120" w:after="120"/>
        <w:ind w:firstLine="284"/>
        <w:jc w:val="both"/>
        <w:rPr>
          <w:lang w:val="en-US"/>
        </w:rPr>
      </w:pPr>
      <w:r w:rsidRPr="0048762B">
        <w:rPr>
          <w:lang w:val="en-US"/>
        </w:rPr>
        <w:t>In this section, we test explicitly the hypothesis whether having previous experience in the public sector helps or hampers an afterward</w:t>
      </w:r>
      <w:r w:rsidR="00C16C3E">
        <w:rPr>
          <w:lang w:val="en-US"/>
        </w:rPr>
        <w:t xml:space="preserve">s career in the private sector, </w:t>
      </w:r>
      <w:r w:rsidRPr="0048762B">
        <w:rPr>
          <w:lang w:val="en-US"/>
        </w:rPr>
        <w:t xml:space="preserve">the same is done for political affiliation. </w:t>
      </w:r>
    </w:p>
    <w:p w:rsidR="00413AB5" w:rsidRDefault="00413AB5" w:rsidP="00993DF4">
      <w:pPr>
        <w:spacing w:before="120" w:after="120"/>
        <w:ind w:firstLine="284"/>
        <w:jc w:val="both"/>
        <w:rPr>
          <w:lang w:val="en-US"/>
        </w:rPr>
      </w:pPr>
      <w:r w:rsidRPr="0048762B">
        <w:rPr>
          <w:lang w:val="en-US"/>
        </w:rPr>
        <w:t xml:space="preserve">The </w:t>
      </w:r>
      <w:r w:rsidR="00C16C3E">
        <w:rPr>
          <w:lang w:val="en-US"/>
        </w:rPr>
        <w:t xml:space="preserve">first </w:t>
      </w:r>
      <w:proofErr w:type="spellStart"/>
      <w:r w:rsidR="00C16C3E" w:rsidRPr="00EA2809">
        <w:rPr>
          <w:i/>
          <w:iCs/>
          <w:lang w:val="en-US"/>
        </w:rPr>
        <w:t>probit</w:t>
      </w:r>
      <w:proofErr w:type="spellEnd"/>
      <w:r w:rsidR="00C16C3E">
        <w:rPr>
          <w:lang w:val="en-US"/>
        </w:rPr>
        <w:t xml:space="preserve"> model is in table 4</w:t>
      </w:r>
      <w:r w:rsidRPr="0048762B">
        <w:rPr>
          <w:lang w:val="en-US"/>
        </w:rPr>
        <w:t>.</w:t>
      </w:r>
      <w:r w:rsidR="006C5D7A" w:rsidRPr="0048762B">
        <w:rPr>
          <w:lang w:val="en-US"/>
        </w:rPr>
        <w:t xml:space="preserve"> Being a former public servant raises the probability of </w:t>
      </w:r>
      <w:r w:rsidR="00A01637" w:rsidRPr="0048762B">
        <w:rPr>
          <w:lang w:val="en-US"/>
        </w:rPr>
        <w:t xml:space="preserve">working in the private sector afterwards. In fact, former public servants have 2.75 more chances to work at the private sector than former private workers do. Politics seems not to affect the after-agency pattern, since one cannot reject the null hypothesis that its coefficient is zero. </w:t>
      </w:r>
    </w:p>
    <w:p w:rsidR="00C45071" w:rsidRPr="0048762B" w:rsidRDefault="00C45071" w:rsidP="00993DF4">
      <w:pPr>
        <w:spacing w:before="120" w:after="120"/>
        <w:ind w:firstLine="284"/>
        <w:jc w:val="both"/>
        <w:rPr>
          <w:lang w:val="en-US"/>
        </w:rPr>
      </w:pPr>
    </w:p>
    <w:p w:rsidR="00413AB5" w:rsidRPr="0048762B" w:rsidRDefault="00413AB5" w:rsidP="00413AB5">
      <w:pPr>
        <w:spacing w:line="480" w:lineRule="auto"/>
        <w:jc w:val="center"/>
        <w:rPr>
          <w:sz w:val="20"/>
          <w:szCs w:val="20"/>
          <w:lang w:val="en-US"/>
        </w:rPr>
      </w:pPr>
      <w:r w:rsidRPr="0048762B">
        <w:rPr>
          <w:lang w:val="en-US"/>
        </w:rPr>
        <w:t xml:space="preserve"> </w:t>
      </w:r>
      <w:r w:rsidR="00C16C3E">
        <w:rPr>
          <w:sz w:val="20"/>
          <w:szCs w:val="20"/>
          <w:lang w:val="en-US"/>
        </w:rPr>
        <w:t>Table 4</w:t>
      </w:r>
      <w:r w:rsidRPr="0048762B">
        <w:rPr>
          <w:sz w:val="20"/>
          <w:szCs w:val="20"/>
          <w:lang w:val="en-US"/>
        </w:rPr>
        <w:t xml:space="preserve">. </w:t>
      </w:r>
      <w:proofErr w:type="spellStart"/>
      <w:r w:rsidRPr="0048762B">
        <w:rPr>
          <w:sz w:val="20"/>
          <w:szCs w:val="20"/>
          <w:lang w:val="en-US"/>
        </w:rPr>
        <w:t>Probit</w:t>
      </w:r>
      <w:proofErr w:type="spellEnd"/>
      <w:r w:rsidRPr="0048762B">
        <w:rPr>
          <w:sz w:val="20"/>
          <w:szCs w:val="20"/>
          <w:lang w:val="en-US"/>
        </w:rPr>
        <w:t xml:space="preserve"> model (dependent variable: at the private sector after a term as a regulator)</w:t>
      </w:r>
    </w:p>
    <w:tbl>
      <w:tblPr>
        <w:tblW w:w="5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9"/>
        <w:gridCol w:w="940"/>
        <w:gridCol w:w="1029"/>
        <w:gridCol w:w="812"/>
        <w:gridCol w:w="833"/>
      </w:tblGrid>
      <w:tr w:rsidR="00413AB5" w:rsidRPr="00413AB5" w:rsidTr="00413AB5">
        <w:trPr>
          <w:trHeight w:val="300"/>
          <w:jc w:val="center"/>
        </w:trPr>
        <w:tc>
          <w:tcPr>
            <w:tcW w:w="2379" w:type="dxa"/>
            <w:shd w:val="clear" w:color="auto" w:fill="auto"/>
            <w:noWrap/>
            <w:vAlign w:val="bottom"/>
            <w:hideMark/>
          </w:tcPr>
          <w:p w:rsidR="00413AB5" w:rsidRPr="0048762B" w:rsidRDefault="00413AB5" w:rsidP="00413AB5">
            <w:pPr>
              <w:rPr>
                <w:sz w:val="20"/>
                <w:szCs w:val="20"/>
                <w:lang w:val="en-US"/>
              </w:rPr>
            </w:pPr>
          </w:p>
        </w:tc>
        <w:tc>
          <w:tcPr>
            <w:tcW w:w="940" w:type="dxa"/>
            <w:shd w:val="clear" w:color="auto" w:fill="auto"/>
            <w:noWrap/>
            <w:vAlign w:val="bottom"/>
            <w:hideMark/>
          </w:tcPr>
          <w:p w:rsidR="00413AB5" w:rsidRPr="00413AB5" w:rsidRDefault="00413AB5" w:rsidP="00413AB5">
            <w:pPr>
              <w:rPr>
                <w:color w:val="000000"/>
                <w:sz w:val="20"/>
                <w:szCs w:val="20"/>
              </w:rPr>
            </w:pPr>
            <w:proofErr w:type="spellStart"/>
            <w:r w:rsidRPr="00413AB5">
              <w:rPr>
                <w:color w:val="000000"/>
                <w:sz w:val="20"/>
                <w:szCs w:val="20"/>
              </w:rPr>
              <w:t>Estimate</w:t>
            </w:r>
            <w:proofErr w:type="spellEnd"/>
          </w:p>
        </w:tc>
        <w:tc>
          <w:tcPr>
            <w:tcW w:w="1029" w:type="dxa"/>
            <w:shd w:val="clear" w:color="auto" w:fill="auto"/>
            <w:noWrap/>
            <w:vAlign w:val="bottom"/>
            <w:hideMark/>
          </w:tcPr>
          <w:p w:rsidR="00413AB5" w:rsidRPr="00413AB5" w:rsidRDefault="00413AB5" w:rsidP="00413AB5">
            <w:pPr>
              <w:rPr>
                <w:color w:val="000000"/>
                <w:sz w:val="20"/>
                <w:szCs w:val="20"/>
              </w:rPr>
            </w:pPr>
            <w:r w:rsidRPr="00413AB5">
              <w:rPr>
                <w:color w:val="000000"/>
                <w:sz w:val="20"/>
                <w:szCs w:val="20"/>
              </w:rPr>
              <w:t>Std. Error</w:t>
            </w:r>
          </w:p>
        </w:tc>
        <w:tc>
          <w:tcPr>
            <w:tcW w:w="812" w:type="dxa"/>
            <w:shd w:val="clear" w:color="auto" w:fill="auto"/>
            <w:noWrap/>
            <w:vAlign w:val="bottom"/>
            <w:hideMark/>
          </w:tcPr>
          <w:p w:rsidR="00413AB5" w:rsidRPr="00413AB5" w:rsidRDefault="00413AB5" w:rsidP="00413AB5">
            <w:pPr>
              <w:rPr>
                <w:color w:val="000000"/>
                <w:sz w:val="20"/>
                <w:szCs w:val="20"/>
              </w:rPr>
            </w:pPr>
            <w:r w:rsidRPr="00413AB5">
              <w:rPr>
                <w:color w:val="000000"/>
                <w:sz w:val="20"/>
                <w:szCs w:val="20"/>
              </w:rPr>
              <w:t>z value</w:t>
            </w:r>
          </w:p>
        </w:tc>
        <w:tc>
          <w:tcPr>
            <w:tcW w:w="833" w:type="dxa"/>
            <w:shd w:val="clear" w:color="auto" w:fill="auto"/>
            <w:noWrap/>
            <w:vAlign w:val="bottom"/>
            <w:hideMark/>
          </w:tcPr>
          <w:p w:rsidR="00413AB5" w:rsidRPr="00413AB5" w:rsidRDefault="00413AB5" w:rsidP="00413AB5">
            <w:pPr>
              <w:rPr>
                <w:color w:val="000000"/>
                <w:sz w:val="20"/>
                <w:szCs w:val="20"/>
              </w:rPr>
            </w:pPr>
            <w:proofErr w:type="spellStart"/>
            <w:r w:rsidRPr="00413AB5">
              <w:rPr>
                <w:color w:val="000000"/>
                <w:sz w:val="20"/>
                <w:szCs w:val="20"/>
              </w:rPr>
              <w:t>Pr</w:t>
            </w:r>
            <w:proofErr w:type="spellEnd"/>
            <w:r w:rsidRPr="00413AB5">
              <w:rPr>
                <w:color w:val="000000"/>
                <w:sz w:val="20"/>
                <w:szCs w:val="20"/>
              </w:rPr>
              <w:t>(&gt;|z|)</w:t>
            </w:r>
          </w:p>
        </w:tc>
      </w:tr>
      <w:tr w:rsidR="00A01637" w:rsidRPr="00413AB5" w:rsidTr="00A01637">
        <w:trPr>
          <w:trHeight w:val="300"/>
          <w:jc w:val="center"/>
        </w:trPr>
        <w:tc>
          <w:tcPr>
            <w:tcW w:w="2379" w:type="dxa"/>
            <w:shd w:val="clear" w:color="auto" w:fill="auto"/>
            <w:noWrap/>
            <w:vAlign w:val="bottom"/>
            <w:hideMark/>
          </w:tcPr>
          <w:p w:rsidR="00A01637" w:rsidRPr="00413AB5" w:rsidRDefault="00A01637" w:rsidP="00A01637">
            <w:pPr>
              <w:rPr>
                <w:color w:val="000000"/>
                <w:sz w:val="20"/>
                <w:szCs w:val="20"/>
              </w:rPr>
            </w:pPr>
            <w:r w:rsidRPr="00413AB5">
              <w:rPr>
                <w:color w:val="000000"/>
                <w:sz w:val="20"/>
                <w:szCs w:val="20"/>
              </w:rPr>
              <w:t>(</w:t>
            </w:r>
            <w:proofErr w:type="spellStart"/>
            <w:r w:rsidRPr="00413AB5">
              <w:rPr>
                <w:color w:val="000000"/>
                <w:sz w:val="20"/>
                <w:szCs w:val="20"/>
              </w:rPr>
              <w:t>Intercept</w:t>
            </w:r>
            <w:proofErr w:type="spellEnd"/>
            <w:r w:rsidRPr="00413AB5">
              <w:rPr>
                <w:color w:val="000000"/>
                <w:sz w:val="20"/>
                <w:szCs w:val="20"/>
              </w:rPr>
              <w:t>)</w:t>
            </w:r>
          </w:p>
        </w:tc>
        <w:tc>
          <w:tcPr>
            <w:tcW w:w="940"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975</w:t>
            </w:r>
            <w:r w:rsidR="00FA1702">
              <w:rPr>
                <w:color w:val="000000"/>
                <w:sz w:val="20"/>
                <w:szCs w:val="20"/>
              </w:rPr>
              <w:t>**</w:t>
            </w:r>
          </w:p>
        </w:tc>
        <w:tc>
          <w:tcPr>
            <w:tcW w:w="1029"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464</w:t>
            </w:r>
          </w:p>
        </w:tc>
        <w:tc>
          <w:tcPr>
            <w:tcW w:w="812"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-2</w:t>
            </w:r>
            <w:r>
              <w:rPr>
                <w:color w:val="000000"/>
                <w:sz w:val="20"/>
                <w:szCs w:val="20"/>
              </w:rPr>
              <w:t>.</w:t>
            </w:r>
            <w:r w:rsidRPr="00A01637">
              <w:rPr>
                <w:color w:val="000000"/>
                <w:sz w:val="20"/>
                <w:szCs w:val="20"/>
              </w:rPr>
              <w:t>103</w:t>
            </w:r>
          </w:p>
        </w:tc>
        <w:tc>
          <w:tcPr>
            <w:tcW w:w="833"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036</w:t>
            </w:r>
          </w:p>
        </w:tc>
      </w:tr>
      <w:tr w:rsidR="00A01637" w:rsidRPr="00413AB5" w:rsidTr="00A01637">
        <w:trPr>
          <w:trHeight w:val="300"/>
          <w:jc w:val="center"/>
        </w:trPr>
        <w:tc>
          <w:tcPr>
            <w:tcW w:w="2379" w:type="dxa"/>
            <w:shd w:val="clear" w:color="auto" w:fill="auto"/>
            <w:noWrap/>
            <w:vAlign w:val="bottom"/>
            <w:hideMark/>
          </w:tcPr>
          <w:p w:rsidR="00A01637" w:rsidRPr="00413AB5" w:rsidRDefault="00A01637" w:rsidP="00A01637">
            <w:pPr>
              <w:rPr>
                <w:color w:val="000000"/>
                <w:sz w:val="20"/>
                <w:szCs w:val="20"/>
              </w:rPr>
            </w:pPr>
            <w:proofErr w:type="spellStart"/>
            <w:r>
              <w:rPr>
                <w:color w:val="000000"/>
                <w:sz w:val="20"/>
                <w:szCs w:val="20"/>
              </w:rPr>
              <w:t>Previously</w:t>
            </w:r>
            <w:proofErr w:type="spellEnd"/>
            <w:r>
              <w:rPr>
                <w:color w:val="000000"/>
                <w:sz w:val="20"/>
                <w:szCs w:val="20"/>
              </w:rPr>
              <w:t xml:space="preserve"> in </w:t>
            </w:r>
            <w:proofErr w:type="spellStart"/>
            <w:r>
              <w:rPr>
                <w:color w:val="000000"/>
                <w:sz w:val="20"/>
                <w:szCs w:val="20"/>
              </w:rPr>
              <w:t>public</w:t>
            </w:r>
            <w:proofErr w:type="spellEnd"/>
            <w:r>
              <w:rPr>
                <w:color w:val="000000"/>
                <w:sz w:val="20"/>
                <w:szCs w:val="20"/>
              </w:rPr>
              <w:t xml:space="preserve"> sector</w:t>
            </w:r>
          </w:p>
        </w:tc>
        <w:tc>
          <w:tcPr>
            <w:tcW w:w="940"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1</w:t>
            </w:r>
            <w:r>
              <w:rPr>
                <w:color w:val="000000"/>
                <w:sz w:val="20"/>
                <w:szCs w:val="20"/>
              </w:rPr>
              <w:t>.</w:t>
            </w:r>
            <w:r w:rsidRPr="00A01637">
              <w:rPr>
                <w:color w:val="000000"/>
                <w:sz w:val="20"/>
                <w:szCs w:val="20"/>
              </w:rPr>
              <w:t>012</w:t>
            </w:r>
            <w:r w:rsidR="00FA1702">
              <w:rPr>
                <w:color w:val="000000"/>
                <w:sz w:val="20"/>
                <w:szCs w:val="20"/>
              </w:rPr>
              <w:t>**</w:t>
            </w:r>
          </w:p>
        </w:tc>
        <w:tc>
          <w:tcPr>
            <w:tcW w:w="1029"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497</w:t>
            </w:r>
          </w:p>
        </w:tc>
        <w:tc>
          <w:tcPr>
            <w:tcW w:w="812"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2</w:t>
            </w:r>
            <w:r>
              <w:rPr>
                <w:color w:val="000000"/>
                <w:sz w:val="20"/>
                <w:szCs w:val="20"/>
              </w:rPr>
              <w:t>.</w:t>
            </w:r>
            <w:r w:rsidRPr="00A01637">
              <w:rPr>
                <w:color w:val="000000"/>
                <w:sz w:val="20"/>
                <w:szCs w:val="20"/>
              </w:rPr>
              <w:t>038</w:t>
            </w:r>
          </w:p>
        </w:tc>
        <w:tc>
          <w:tcPr>
            <w:tcW w:w="833"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042</w:t>
            </w:r>
          </w:p>
        </w:tc>
      </w:tr>
      <w:tr w:rsidR="00A01637" w:rsidRPr="00413AB5" w:rsidTr="00A01637">
        <w:trPr>
          <w:trHeight w:val="300"/>
          <w:jc w:val="center"/>
        </w:trPr>
        <w:tc>
          <w:tcPr>
            <w:tcW w:w="2379" w:type="dxa"/>
            <w:shd w:val="clear" w:color="auto" w:fill="auto"/>
            <w:noWrap/>
            <w:vAlign w:val="bottom"/>
            <w:hideMark/>
          </w:tcPr>
          <w:p w:rsidR="00A01637" w:rsidRPr="00413AB5" w:rsidRDefault="00A01637" w:rsidP="00A01637">
            <w:pPr>
              <w:rPr>
                <w:color w:val="000000"/>
                <w:sz w:val="20"/>
                <w:szCs w:val="20"/>
              </w:rPr>
            </w:pPr>
            <w:proofErr w:type="spellStart"/>
            <w:r>
              <w:rPr>
                <w:color w:val="000000"/>
                <w:sz w:val="20"/>
                <w:szCs w:val="20"/>
              </w:rPr>
              <w:t>Politically</w:t>
            </w:r>
            <w:proofErr w:type="spellEnd"/>
            <w:r>
              <w:rPr>
                <w:color w:val="000000"/>
                <w:sz w:val="20"/>
                <w:szCs w:val="20"/>
              </w:rPr>
              <w:t xml:space="preserve"> </w:t>
            </w:r>
            <w:proofErr w:type="spellStart"/>
            <w:r>
              <w:rPr>
                <w:color w:val="000000"/>
                <w:sz w:val="20"/>
                <w:szCs w:val="20"/>
              </w:rPr>
              <w:t>affiliated</w:t>
            </w:r>
            <w:proofErr w:type="spellEnd"/>
          </w:p>
        </w:tc>
        <w:tc>
          <w:tcPr>
            <w:tcW w:w="940"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333</w:t>
            </w:r>
          </w:p>
        </w:tc>
        <w:tc>
          <w:tcPr>
            <w:tcW w:w="1029"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404</w:t>
            </w:r>
          </w:p>
        </w:tc>
        <w:tc>
          <w:tcPr>
            <w:tcW w:w="812"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824</w:t>
            </w:r>
          </w:p>
        </w:tc>
        <w:tc>
          <w:tcPr>
            <w:tcW w:w="833" w:type="dxa"/>
            <w:shd w:val="clear" w:color="auto" w:fill="auto"/>
            <w:noWrap/>
            <w:vAlign w:val="bottom"/>
          </w:tcPr>
          <w:p w:rsidR="00A01637" w:rsidRPr="00A01637" w:rsidRDefault="00A01637" w:rsidP="00A01637">
            <w:pPr>
              <w:jc w:val="center"/>
              <w:rPr>
                <w:color w:val="000000"/>
                <w:sz w:val="20"/>
                <w:szCs w:val="20"/>
              </w:rPr>
            </w:pPr>
            <w:r w:rsidRPr="00A01637">
              <w:rPr>
                <w:color w:val="000000"/>
                <w:sz w:val="20"/>
                <w:szCs w:val="20"/>
              </w:rPr>
              <w:t>0</w:t>
            </w:r>
            <w:r>
              <w:rPr>
                <w:color w:val="000000"/>
                <w:sz w:val="20"/>
                <w:szCs w:val="20"/>
              </w:rPr>
              <w:t>.</w:t>
            </w:r>
            <w:r w:rsidRPr="00A01637">
              <w:rPr>
                <w:color w:val="000000"/>
                <w:sz w:val="20"/>
                <w:szCs w:val="20"/>
              </w:rPr>
              <w:t>410</w:t>
            </w:r>
          </w:p>
        </w:tc>
      </w:tr>
      <w:tr w:rsidR="00413AB5" w:rsidRPr="00413AB5" w:rsidTr="00413AB5">
        <w:trPr>
          <w:trHeight w:val="300"/>
          <w:jc w:val="center"/>
        </w:trPr>
        <w:tc>
          <w:tcPr>
            <w:tcW w:w="2379" w:type="dxa"/>
            <w:shd w:val="clear" w:color="auto" w:fill="auto"/>
            <w:noWrap/>
            <w:vAlign w:val="bottom"/>
          </w:tcPr>
          <w:p w:rsidR="00413AB5" w:rsidRDefault="00413AB5" w:rsidP="00413AB5">
            <w:pPr>
              <w:rPr>
                <w:color w:val="000000"/>
                <w:sz w:val="20"/>
                <w:szCs w:val="20"/>
              </w:rPr>
            </w:pPr>
            <w:r>
              <w:rPr>
                <w:color w:val="000000"/>
                <w:sz w:val="20"/>
                <w:szCs w:val="20"/>
              </w:rPr>
              <w:t>AIC</w:t>
            </w:r>
          </w:p>
        </w:tc>
        <w:tc>
          <w:tcPr>
            <w:tcW w:w="940" w:type="dxa"/>
            <w:shd w:val="clear" w:color="auto" w:fill="auto"/>
            <w:noWrap/>
            <w:vAlign w:val="bottom"/>
          </w:tcPr>
          <w:p w:rsidR="00413AB5" w:rsidRPr="00413AB5" w:rsidRDefault="00413AB5" w:rsidP="00A01637">
            <w:pPr>
              <w:jc w:val="center"/>
              <w:rPr>
                <w:color w:val="000000"/>
                <w:sz w:val="20"/>
                <w:szCs w:val="20"/>
              </w:rPr>
            </w:pPr>
            <w:r w:rsidRPr="00413AB5">
              <w:rPr>
                <w:color w:val="000000"/>
                <w:sz w:val="20"/>
                <w:szCs w:val="20"/>
              </w:rPr>
              <w:t>162.69</w:t>
            </w:r>
          </w:p>
        </w:tc>
        <w:tc>
          <w:tcPr>
            <w:tcW w:w="1029" w:type="dxa"/>
            <w:shd w:val="clear" w:color="auto" w:fill="auto"/>
            <w:noWrap/>
            <w:vAlign w:val="bottom"/>
          </w:tcPr>
          <w:p w:rsidR="00413AB5" w:rsidRPr="00413AB5" w:rsidRDefault="00413AB5" w:rsidP="00413AB5">
            <w:pPr>
              <w:jc w:val="right"/>
              <w:rPr>
                <w:color w:val="000000"/>
                <w:sz w:val="20"/>
                <w:szCs w:val="20"/>
              </w:rPr>
            </w:pPr>
          </w:p>
        </w:tc>
        <w:tc>
          <w:tcPr>
            <w:tcW w:w="812" w:type="dxa"/>
            <w:shd w:val="clear" w:color="auto" w:fill="auto"/>
            <w:noWrap/>
            <w:vAlign w:val="bottom"/>
          </w:tcPr>
          <w:p w:rsidR="00413AB5" w:rsidRPr="00413AB5" w:rsidRDefault="00413AB5" w:rsidP="00413AB5">
            <w:pPr>
              <w:jc w:val="right"/>
              <w:rPr>
                <w:color w:val="000000"/>
                <w:sz w:val="20"/>
                <w:szCs w:val="20"/>
              </w:rPr>
            </w:pPr>
          </w:p>
        </w:tc>
        <w:tc>
          <w:tcPr>
            <w:tcW w:w="833" w:type="dxa"/>
            <w:shd w:val="clear" w:color="auto" w:fill="auto"/>
            <w:noWrap/>
            <w:vAlign w:val="bottom"/>
          </w:tcPr>
          <w:p w:rsidR="00413AB5" w:rsidRPr="00413AB5" w:rsidRDefault="00413AB5" w:rsidP="00413AB5">
            <w:pPr>
              <w:jc w:val="right"/>
              <w:rPr>
                <w:color w:val="000000"/>
                <w:sz w:val="20"/>
                <w:szCs w:val="20"/>
              </w:rPr>
            </w:pPr>
          </w:p>
        </w:tc>
      </w:tr>
      <w:tr w:rsidR="00413AB5" w:rsidRPr="00413AB5" w:rsidTr="00413AB5">
        <w:trPr>
          <w:trHeight w:val="300"/>
          <w:jc w:val="center"/>
        </w:trPr>
        <w:tc>
          <w:tcPr>
            <w:tcW w:w="2379" w:type="dxa"/>
            <w:shd w:val="clear" w:color="auto" w:fill="auto"/>
            <w:noWrap/>
            <w:vAlign w:val="bottom"/>
          </w:tcPr>
          <w:p w:rsidR="00413AB5" w:rsidRDefault="00413AB5" w:rsidP="00413AB5">
            <w:pPr>
              <w:rPr>
                <w:color w:val="000000"/>
                <w:sz w:val="20"/>
                <w:szCs w:val="20"/>
              </w:rPr>
            </w:pPr>
            <w:r>
              <w:rPr>
                <w:color w:val="000000"/>
                <w:sz w:val="20"/>
                <w:szCs w:val="20"/>
              </w:rPr>
              <w:t>DF</w:t>
            </w:r>
          </w:p>
        </w:tc>
        <w:tc>
          <w:tcPr>
            <w:tcW w:w="940" w:type="dxa"/>
            <w:shd w:val="clear" w:color="auto" w:fill="auto"/>
            <w:noWrap/>
            <w:vAlign w:val="bottom"/>
          </w:tcPr>
          <w:p w:rsidR="00413AB5" w:rsidRPr="00413AB5" w:rsidRDefault="00413AB5" w:rsidP="00A01637">
            <w:pPr>
              <w:jc w:val="center"/>
              <w:rPr>
                <w:color w:val="000000"/>
                <w:sz w:val="20"/>
                <w:szCs w:val="20"/>
              </w:rPr>
            </w:pPr>
            <w:r>
              <w:rPr>
                <w:color w:val="000000"/>
                <w:sz w:val="20"/>
                <w:szCs w:val="20"/>
              </w:rPr>
              <w:t>114</w:t>
            </w:r>
          </w:p>
        </w:tc>
        <w:tc>
          <w:tcPr>
            <w:tcW w:w="1029" w:type="dxa"/>
            <w:shd w:val="clear" w:color="auto" w:fill="auto"/>
            <w:noWrap/>
            <w:vAlign w:val="bottom"/>
          </w:tcPr>
          <w:p w:rsidR="00413AB5" w:rsidRPr="00413AB5" w:rsidRDefault="00413AB5" w:rsidP="00413AB5">
            <w:pPr>
              <w:jc w:val="right"/>
              <w:rPr>
                <w:color w:val="000000"/>
                <w:sz w:val="20"/>
                <w:szCs w:val="20"/>
              </w:rPr>
            </w:pPr>
          </w:p>
        </w:tc>
        <w:tc>
          <w:tcPr>
            <w:tcW w:w="812" w:type="dxa"/>
            <w:shd w:val="clear" w:color="auto" w:fill="auto"/>
            <w:noWrap/>
            <w:vAlign w:val="bottom"/>
          </w:tcPr>
          <w:p w:rsidR="00413AB5" w:rsidRPr="00413AB5" w:rsidRDefault="00413AB5" w:rsidP="00413AB5">
            <w:pPr>
              <w:jc w:val="right"/>
              <w:rPr>
                <w:color w:val="000000"/>
                <w:sz w:val="20"/>
                <w:szCs w:val="20"/>
              </w:rPr>
            </w:pPr>
          </w:p>
        </w:tc>
        <w:tc>
          <w:tcPr>
            <w:tcW w:w="833" w:type="dxa"/>
            <w:shd w:val="clear" w:color="auto" w:fill="auto"/>
            <w:noWrap/>
            <w:vAlign w:val="bottom"/>
          </w:tcPr>
          <w:p w:rsidR="00413AB5" w:rsidRPr="00413AB5" w:rsidRDefault="00413AB5" w:rsidP="00413AB5">
            <w:pPr>
              <w:jc w:val="right"/>
              <w:rPr>
                <w:color w:val="000000"/>
                <w:sz w:val="20"/>
                <w:szCs w:val="20"/>
              </w:rPr>
            </w:pPr>
          </w:p>
        </w:tc>
      </w:tr>
    </w:tbl>
    <w:p w:rsidR="00413AB5" w:rsidRDefault="00FA1702" w:rsidP="00FA1702">
      <w:pPr>
        <w:pStyle w:val="PargrafodaLista"/>
        <w:spacing w:after="160" w:line="480" w:lineRule="auto"/>
        <w:ind w:left="1440"/>
        <w:jc w:val="center"/>
      </w:pPr>
      <w:r>
        <w:t xml:space="preserve">* - </w:t>
      </w:r>
      <w:proofErr w:type="spellStart"/>
      <w:r>
        <w:t>significant</w:t>
      </w:r>
      <w:proofErr w:type="spellEnd"/>
      <w:r>
        <w:t xml:space="preserve"> </w:t>
      </w:r>
      <w:proofErr w:type="spellStart"/>
      <w:r>
        <w:t>at</w:t>
      </w:r>
      <w:proofErr w:type="spellEnd"/>
      <w:r>
        <w:t xml:space="preserve"> 5%</w:t>
      </w:r>
    </w:p>
    <w:p w:rsidR="00DD113A" w:rsidRPr="0048762B" w:rsidRDefault="00A01637" w:rsidP="001D388D">
      <w:pPr>
        <w:spacing w:before="120" w:after="120"/>
        <w:ind w:firstLine="284"/>
        <w:jc w:val="both"/>
        <w:rPr>
          <w:lang w:val="en-US"/>
        </w:rPr>
      </w:pPr>
      <w:r w:rsidRPr="0048762B">
        <w:rPr>
          <w:lang w:val="en-US"/>
        </w:rPr>
        <w:t xml:space="preserve">We also a run a second model restricted to those former public servants. The underlying hypothesis is that political affiliation may have differentiated effects </w:t>
      </w:r>
      <w:r w:rsidR="00DD113A" w:rsidRPr="0048762B">
        <w:rPr>
          <w:lang w:val="en-US"/>
        </w:rPr>
        <w:t xml:space="preserve">in the odds of getting a private position </w:t>
      </w:r>
      <w:r w:rsidRPr="0048762B">
        <w:rPr>
          <w:lang w:val="en-US"/>
        </w:rPr>
        <w:t xml:space="preserve">depending if the </w:t>
      </w:r>
      <w:r w:rsidR="00DD113A" w:rsidRPr="0048762B">
        <w:rPr>
          <w:lang w:val="en-US"/>
        </w:rPr>
        <w:t xml:space="preserve">worker comes from the public or private sector. Results are in table </w:t>
      </w:r>
      <w:r w:rsidR="00FA1702">
        <w:rPr>
          <w:lang w:val="en-US"/>
        </w:rPr>
        <w:t>5</w:t>
      </w:r>
      <w:r w:rsidR="00DD113A" w:rsidRPr="0048762B">
        <w:rPr>
          <w:lang w:val="en-US"/>
        </w:rPr>
        <w:t>.</w:t>
      </w:r>
    </w:p>
    <w:p w:rsidR="00DD113A" w:rsidRPr="0048762B" w:rsidRDefault="00C16C3E" w:rsidP="00C45071">
      <w:pPr>
        <w:spacing w:before="120" w:after="120" w:line="276" w:lineRule="auto"/>
        <w:jc w:val="center"/>
        <w:rPr>
          <w:sz w:val="20"/>
          <w:szCs w:val="20"/>
          <w:lang w:val="en-US"/>
        </w:rPr>
      </w:pPr>
      <w:r>
        <w:rPr>
          <w:sz w:val="20"/>
          <w:szCs w:val="20"/>
          <w:lang w:val="en-US"/>
        </w:rPr>
        <w:t>Table 5</w:t>
      </w:r>
      <w:r w:rsidR="00DD113A" w:rsidRPr="0048762B">
        <w:rPr>
          <w:sz w:val="20"/>
          <w:szCs w:val="20"/>
          <w:lang w:val="en-US"/>
        </w:rPr>
        <w:t xml:space="preserve">. </w:t>
      </w:r>
      <w:proofErr w:type="spellStart"/>
      <w:r w:rsidR="00DD113A" w:rsidRPr="0048762B">
        <w:rPr>
          <w:sz w:val="20"/>
          <w:szCs w:val="20"/>
          <w:lang w:val="en-US"/>
        </w:rPr>
        <w:t>Probit</w:t>
      </w:r>
      <w:proofErr w:type="spellEnd"/>
      <w:r w:rsidR="00DD113A" w:rsidRPr="0048762B">
        <w:rPr>
          <w:sz w:val="20"/>
          <w:szCs w:val="20"/>
          <w:lang w:val="en-US"/>
        </w:rPr>
        <w:t xml:space="preserve"> model, restricted to public servants (dependent variable: at the private sector after a term as a regulator)</w:t>
      </w:r>
    </w:p>
    <w:tbl>
      <w:tblPr>
        <w:tblW w:w="5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79"/>
        <w:gridCol w:w="940"/>
        <w:gridCol w:w="1029"/>
        <w:gridCol w:w="812"/>
        <w:gridCol w:w="833"/>
      </w:tblGrid>
      <w:tr w:rsidR="00DD113A" w:rsidRPr="00413AB5" w:rsidTr="002C1AC3">
        <w:trPr>
          <w:trHeight w:val="300"/>
          <w:jc w:val="center"/>
        </w:trPr>
        <w:tc>
          <w:tcPr>
            <w:tcW w:w="2379" w:type="dxa"/>
            <w:shd w:val="clear" w:color="auto" w:fill="auto"/>
            <w:noWrap/>
            <w:vAlign w:val="bottom"/>
            <w:hideMark/>
          </w:tcPr>
          <w:p w:rsidR="00DD113A" w:rsidRPr="0048762B" w:rsidRDefault="00DD113A" w:rsidP="002C1AC3">
            <w:pPr>
              <w:rPr>
                <w:sz w:val="20"/>
                <w:szCs w:val="20"/>
                <w:lang w:val="en-US"/>
              </w:rPr>
            </w:pPr>
          </w:p>
        </w:tc>
        <w:tc>
          <w:tcPr>
            <w:tcW w:w="940" w:type="dxa"/>
            <w:shd w:val="clear" w:color="auto" w:fill="auto"/>
            <w:noWrap/>
            <w:vAlign w:val="bottom"/>
            <w:hideMark/>
          </w:tcPr>
          <w:p w:rsidR="00DD113A" w:rsidRPr="00413AB5" w:rsidRDefault="00DD113A" w:rsidP="002C1AC3">
            <w:pPr>
              <w:rPr>
                <w:color w:val="000000"/>
                <w:sz w:val="20"/>
                <w:szCs w:val="20"/>
              </w:rPr>
            </w:pPr>
            <w:proofErr w:type="spellStart"/>
            <w:r w:rsidRPr="00413AB5">
              <w:rPr>
                <w:color w:val="000000"/>
                <w:sz w:val="20"/>
                <w:szCs w:val="20"/>
              </w:rPr>
              <w:t>Estimate</w:t>
            </w:r>
            <w:proofErr w:type="spellEnd"/>
          </w:p>
        </w:tc>
        <w:tc>
          <w:tcPr>
            <w:tcW w:w="1029" w:type="dxa"/>
            <w:shd w:val="clear" w:color="auto" w:fill="auto"/>
            <w:noWrap/>
            <w:vAlign w:val="bottom"/>
            <w:hideMark/>
          </w:tcPr>
          <w:p w:rsidR="00DD113A" w:rsidRPr="00413AB5" w:rsidRDefault="00DD113A" w:rsidP="002C1AC3">
            <w:pPr>
              <w:rPr>
                <w:color w:val="000000"/>
                <w:sz w:val="20"/>
                <w:szCs w:val="20"/>
              </w:rPr>
            </w:pPr>
            <w:r w:rsidRPr="00413AB5">
              <w:rPr>
                <w:color w:val="000000"/>
                <w:sz w:val="20"/>
                <w:szCs w:val="20"/>
              </w:rPr>
              <w:t>Std. Error</w:t>
            </w:r>
          </w:p>
        </w:tc>
        <w:tc>
          <w:tcPr>
            <w:tcW w:w="812" w:type="dxa"/>
            <w:shd w:val="clear" w:color="auto" w:fill="auto"/>
            <w:noWrap/>
            <w:vAlign w:val="bottom"/>
            <w:hideMark/>
          </w:tcPr>
          <w:p w:rsidR="00DD113A" w:rsidRPr="00413AB5" w:rsidRDefault="00DD113A" w:rsidP="002C1AC3">
            <w:pPr>
              <w:rPr>
                <w:color w:val="000000"/>
                <w:sz w:val="20"/>
                <w:szCs w:val="20"/>
              </w:rPr>
            </w:pPr>
            <w:r w:rsidRPr="00413AB5">
              <w:rPr>
                <w:color w:val="000000"/>
                <w:sz w:val="20"/>
                <w:szCs w:val="20"/>
              </w:rPr>
              <w:t>z value</w:t>
            </w:r>
          </w:p>
        </w:tc>
        <w:tc>
          <w:tcPr>
            <w:tcW w:w="833" w:type="dxa"/>
            <w:shd w:val="clear" w:color="auto" w:fill="auto"/>
            <w:noWrap/>
            <w:vAlign w:val="bottom"/>
            <w:hideMark/>
          </w:tcPr>
          <w:p w:rsidR="00DD113A" w:rsidRPr="00413AB5" w:rsidRDefault="00DD113A" w:rsidP="002C1AC3">
            <w:pPr>
              <w:rPr>
                <w:color w:val="000000"/>
                <w:sz w:val="20"/>
                <w:szCs w:val="20"/>
              </w:rPr>
            </w:pPr>
            <w:proofErr w:type="spellStart"/>
            <w:r w:rsidRPr="00413AB5">
              <w:rPr>
                <w:color w:val="000000"/>
                <w:sz w:val="20"/>
                <w:szCs w:val="20"/>
              </w:rPr>
              <w:t>Pr</w:t>
            </w:r>
            <w:proofErr w:type="spellEnd"/>
            <w:r w:rsidRPr="00413AB5">
              <w:rPr>
                <w:color w:val="000000"/>
                <w:sz w:val="20"/>
                <w:szCs w:val="20"/>
              </w:rPr>
              <w:t>(&gt;|z|)</w:t>
            </w:r>
          </w:p>
        </w:tc>
      </w:tr>
      <w:tr w:rsidR="00DD113A" w:rsidRPr="00413AB5" w:rsidTr="002C1AC3">
        <w:trPr>
          <w:trHeight w:val="300"/>
          <w:jc w:val="center"/>
        </w:trPr>
        <w:tc>
          <w:tcPr>
            <w:tcW w:w="2379" w:type="dxa"/>
            <w:shd w:val="clear" w:color="auto" w:fill="auto"/>
            <w:noWrap/>
            <w:vAlign w:val="bottom"/>
            <w:hideMark/>
          </w:tcPr>
          <w:p w:rsidR="00DD113A" w:rsidRPr="00413AB5" w:rsidRDefault="00DD113A" w:rsidP="00DD113A">
            <w:pPr>
              <w:rPr>
                <w:color w:val="000000"/>
                <w:sz w:val="20"/>
                <w:szCs w:val="20"/>
              </w:rPr>
            </w:pPr>
            <w:r w:rsidRPr="00413AB5">
              <w:rPr>
                <w:color w:val="000000"/>
                <w:sz w:val="20"/>
                <w:szCs w:val="20"/>
              </w:rPr>
              <w:t>(</w:t>
            </w:r>
            <w:proofErr w:type="spellStart"/>
            <w:r w:rsidRPr="00413AB5">
              <w:rPr>
                <w:color w:val="000000"/>
                <w:sz w:val="20"/>
                <w:szCs w:val="20"/>
              </w:rPr>
              <w:t>Intercept</w:t>
            </w:r>
            <w:proofErr w:type="spellEnd"/>
            <w:r w:rsidRPr="00413AB5">
              <w:rPr>
                <w:color w:val="000000"/>
                <w:sz w:val="20"/>
                <w:szCs w:val="20"/>
              </w:rPr>
              <w:t>)</w:t>
            </w:r>
          </w:p>
        </w:tc>
        <w:tc>
          <w:tcPr>
            <w:tcW w:w="940" w:type="dxa"/>
            <w:shd w:val="clear" w:color="auto" w:fill="auto"/>
            <w:noWrap/>
            <w:vAlign w:val="bottom"/>
          </w:tcPr>
          <w:p w:rsidR="00DD113A" w:rsidRPr="00DD113A" w:rsidRDefault="00DD113A" w:rsidP="00DD113A">
            <w:pPr>
              <w:jc w:val="center"/>
              <w:rPr>
                <w:color w:val="000000"/>
                <w:sz w:val="20"/>
                <w:szCs w:val="20"/>
              </w:rPr>
            </w:pPr>
            <w:r w:rsidRPr="00DD113A">
              <w:rPr>
                <w:color w:val="000000"/>
                <w:sz w:val="20"/>
                <w:szCs w:val="20"/>
              </w:rPr>
              <w:t>0,033</w:t>
            </w:r>
          </w:p>
        </w:tc>
        <w:tc>
          <w:tcPr>
            <w:tcW w:w="1029" w:type="dxa"/>
            <w:shd w:val="clear" w:color="auto" w:fill="auto"/>
            <w:noWrap/>
            <w:vAlign w:val="bottom"/>
          </w:tcPr>
          <w:p w:rsidR="00DD113A" w:rsidRPr="00DD113A" w:rsidRDefault="00DD113A" w:rsidP="00DD113A">
            <w:pPr>
              <w:jc w:val="center"/>
              <w:rPr>
                <w:color w:val="000000"/>
                <w:sz w:val="20"/>
                <w:szCs w:val="20"/>
              </w:rPr>
            </w:pPr>
            <w:r w:rsidRPr="00DD113A">
              <w:rPr>
                <w:color w:val="000000"/>
                <w:sz w:val="20"/>
                <w:szCs w:val="20"/>
              </w:rPr>
              <w:t>0,256</w:t>
            </w:r>
          </w:p>
        </w:tc>
        <w:tc>
          <w:tcPr>
            <w:tcW w:w="812" w:type="dxa"/>
            <w:shd w:val="clear" w:color="auto" w:fill="auto"/>
            <w:noWrap/>
            <w:vAlign w:val="bottom"/>
          </w:tcPr>
          <w:p w:rsidR="00DD113A" w:rsidRPr="00DD113A" w:rsidRDefault="00DD113A" w:rsidP="00DD113A">
            <w:pPr>
              <w:jc w:val="center"/>
              <w:rPr>
                <w:color w:val="000000"/>
                <w:sz w:val="20"/>
                <w:szCs w:val="20"/>
              </w:rPr>
            </w:pPr>
            <w:r w:rsidRPr="00DD113A">
              <w:rPr>
                <w:color w:val="000000"/>
                <w:sz w:val="20"/>
                <w:szCs w:val="20"/>
              </w:rPr>
              <w:t>0,128</w:t>
            </w:r>
          </w:p>
        </w:tc>
        <w:tc>
          <w:tcPr>
            <w:tcW w:w="833" w:type="dxa"/>
            <w:shd w:val="clear" w:color="auto" w:fill="auto"/>
            <w:noWrap/>
            <w:vAlign w:val="bottom"/>
          </w:tcPr>
          <w:p w:rsidR="00DD113A" w:rsidRPr="00DD113A" w:rsidRDefault="00DD113A" w:rsidP="00DD113A">
            <w:pPr>
              <w:jc w:val="center"/>
              <w:rPr>
                <w:color w:val="000000"/>
                <w:sz w:val="20"/>
                <w:szCs w:val="20"/>
              </w:rPr>
            </w:pPr>
            <w:r w:rsidRPr="00DD113A">
              <w:rPr>
                <w:color w:val="000000"/>
                <w:sz w:val="20"/>
                <w:szCs w:val="20"/>
              </w:rPr>
              <w:t>0,898</w:t>
            </w:r>
          </w:p>
        </w:tc>
      </w:tr>
      <w:tr w:rsidR="00DD113A" w:rsidRPr="00413AB5" w:rsidTr="002C1AC3">
        <w:trPr>
          <w:trHeight w:val="300"/>
          <w:jc w:val="center"/>
        </w:trPr>
        <w:tc>
          <w:tcPr>
            <w:tcW w:w="2379" w:type="dxa"/>
            <w:shd w:val="clear" w:color="auto" w:fill="auto"/>
            <w:noWrap/>
            <w:vAlign w:val="bottom"/>
            <w:hideMark/>
          </w:tcPr>
          <w:p w:rsidR="00DD113A" w:rsidRPr="00413AB5" w:rsidRDefault="00DD113A" w:rsidP="00DD113A">
            <w:pPr>
              <w:rPr>
                <w:color w:val="000000"/>
                <w:sz w:val="20"/>
                <w:szCs w:val="20"/>
              </w:rPr>
            </w:pPr>
            <w:proofErr w:type="spellStart"/>
            <w:r>
              <w:rPr>
                <w:color w:val="000000"/>
                <w:sz w:val="20"/>
                <w:szCs w:val="20"/>
              </w:rPr>
              <w:t>Politically</w:t>
            </w:r>
            <w:proofErr w:type="spellEnd"/>
            <w:r>
              <w:rPr>
                <w:color w:val="000000"/>
                <w:sz w:val="20"/>
                <w:szCs w:val="20"/>
              </w:rPr>
              <w:t xml:space="preserve"> </w:t>
            </w:r>
            <w:proofErr w:type="spellStart"/>
            <w:r>
              <w:rPr>
                <w:color w:val="000000"/>
                <w:sz w:val="20"/>
                <w:szCs w:val="20"/>
              </w:rPr>
              <w:t>affiliated</w:t>
            </w:r>
            <w:proofErr w:type="spellEnd"/>
          </w:p>
        </w:tc>
        <w:tc>
          <w:tcPr>
            <w:tcW w:w="940" w:type="dxa"/>
            <w:shd w:val="clear" w:color="auto" w:fill="auto"/>
            <w:noWrap/>
            <w:vAlign w:val="bottom"/>
          </w:tcPr>
          <w:p w:rsidR="00DD113A" w:rsidRPr="00DD113A" w:rsidRDefault="00DD113A" w:rsidP="00DD113A">
            <w:pPr>
              <w:jc w:val="center"/>
              <w:rPr>
                <w:color w:val="000000"/>
                <w:sz w:val="20"/>
                <w:szCs w:val="20"/>
              </w:rPr>
            </w:pPr>
            <w:r w:rsidRPr="00DD113A">
              <w:rPr>
                <w:color w:val="000000"/>
                <w:sz w:val="20"/>
                <w:szCs w:val="20"/>
              </w:rPr>
              <w:t>0,347</w:t>
            </w:r>
          </w:p>
        </w:tc>
        <w:tc>
          <w:tcPr>
            <w:tcW w:w="1029" w:type="dxa"/>
            <w:shd w:val="clear" w:color="auto" w:fill="auto"/>
            <w:noWrap/>
            <w:vAlign w:val="bottom"/>
          </w:tcPr>
          <w:p w:rsidR="00DD113A" w:rsidRPr="00DD113A" w:rsidRDefault="00DD113A" w:rsidP="00DD113A">
            <w:pPr>
              <w:jc w:val="center"/>
              <w:rPr>
                <w:color w:val="000000"/>
                <w:sz w:val="20"/>
                <w:szCs w:val="20"/>
              </w:rPr>
            </w:pPr>
            <w:r w:rsidRPr="00DD113A">
              <w:rPr>
                <w:color w:val="000000"/>
                <w:sz w:val="20"/>
                <w:szCs w:val="20"/>
              </w:rPr>
              <w:t>0,442</w:t>
            </w:r>
          </w:p>
        </w:tc>
        <w:tc>
          <w:tcPr>
            <w:tcW w:w="812" w:type="dxa"/>
            <w:shd w:val="clear" w:color="auto" w:fill="auto"/>
            <w:noWrap/>
            <w:vAlign w:val="bottom"/>
          </w:tcPr>
          <w:p w:rsidR="00DD113A" w:rsidRPr="00DD113A" w:rsidRDefault="00DD113A" w:rsidP="00DD113A">
            <w:pPr>
              <w:jc w:val="center"/>
              <w:rPr>
                <w:color w:val="000000"/>
                <w:sz w:val="20"/>
                <w:szCs w:val="20"/>
              </w:rPr>
            </w:pPr>
            <w:r w:rsidRPr="00DD113A">
              <w:rPr>
                <w:color w:val="000000"/>
                <w:sz w:val="20"/>
                <w:szCs w:val="20"/>
              </w:rPr>
              <w:t>0,785</w:t>
            </w:r>
          </w:p>
        </w:tc>
        <w:tc>
          <w:tcPr>
            <w:tcW w:w="833" w:type="dxa"/>
            <w:shd w:val="clear" w:color="auto" w:fill="auto"/>
            <w:noWrap/>
            <w:vAlign w:val="bottom"/>
          </w:tcPr>
          <w:p w:rsidR="00DD113A" w:rsidRPr="00DD113A" w:rsidRDefault="00DD113A" w:rsidP="00DD113A">
            <w:pPr>
              <w:jc w:val="center"/>
              <w:rPr>
                <w:color w:val="000000"/>
                <w:sz w:val="20"/>
                <w:szCs w:val="20"/>
              </w:rPr>
            </w:pPr>
            <w:r w:rsidRPr="00DD113A">
              <w:rPr>
                <w:color w:val="000000"/>
                <w:sz w:val="20"/>
                <w:szCs w:val="20"/>
              </w:rPr>
              <w:t>0,433</w:t>
            </w:r>
          </w:p>
        </w:tc>
      </w:tr>
      <w:tr w:rsidR="00DD113A" w:rsidRPr="00413AB5" w:rsidTr="002C1AC3">
        <w:trPr>
          <w:trHeight w:val="300"/>
          <w:jc w:val="center"/>
        </w:trPr>
        <w:tc>
          <w:tcPr>
            <w:tcW w:w="2379" w:type="dxa"/>
            <w:shd w:val="clear" w:color="auto" w:fill="auto"/>
            <w:noWrap/>
            <w:vAlign w:val="bottom"/>
          </w:tcPr>
          <w:p w:rsidR="00DD113A" w:rsidRDefault="00DD113A" w:rsidP="002C1AC3">
            <w:pPr>
              <w:rPr>
                <w:color w:val="000000"/>
                <w:sz w:val="20"/>
                <w:szCs w:val="20"/>
              </w:rPr>
            </w:pPr>
            <w:r>
              <w:rPr>
                <w:color w:val="000000"/>
                <w:sz w:val="20"/>
                <w:szCs w:val="20"/>
              </w:rPr>
              <w:t>AIC</w:t>
            </w:r>
          </w:p>
        </w:tc>
        <w:tc>
          <w:tcPr>
            <w:tcW w:w="940" w:type="dxa"/>
            <w:shd w:val="clear" w:color="auto" w:fill="auto"/>
            <w:noWrap/>
            <w:vAlign w:val="bottom"/>
          </w:tcPr>
          <w:p w:rsidR="00DD113A" w:rsidRPr="00413AB5" w:rsidRDefault="00DD113A" w:rsidP="00DD113A">
            <w:pPr>
              <w:jc w:val="center"/>
              <w:rPr>
                <w:color w:val="000000"/>
                <w:sz w:val="20"/>
                <w:szCs w:val="20"/>
              </w:rPr>
            </w:pPr>
            <w:r w:rsidRPr="00413AB5">
              <w:rPr>
                <w:color w:val="000000"/>
                <w:sz w:val="20"/>
                <w:szCs w:val="20"/>
              </w:rPr>
              <w:t>1</w:t>
            </w:r>
            <w:r>
              <w:rPr>
                <w:color w:val="000000"/>
                <w:sz w:val="20"/>
                <w:szCs w:val="20"/>
              </w:rPr>
              <w:t>31</w:t>
            </w:r>
            <w:r w:rsidRPr="00413AB5">
              <w:rPr>
                <w:color w:val="000000"/>
                <w:sz w:val="20"/>
                <w:szCs w:val="20"/>
              </w:rPr>
              <w:t>.</w:t>
            </w:r>
            <w:r>
              <w:rPr>
                <w:color w:val="000000"/>
                <w:sz w:val="20"/>
                <w:szCs w:val="20"/>
              </w:rPr>
              <w:t>72</w:t>
            </w:r>
          </w:p>
        </w:tc>
        <w:tc>
          <w:tcPr>
            <w:tcW w:w="1029" w:type="dxa"/>
            <w:shd w:val="clear" w:color="auto" w:fill="auto"/>
            <w:noWrap/>
            <w:vAlign w:val="bottom"/>
          </w:tcPr>
          <w:p w:rsidR="00DD113A" w:rsidRPr="00413AB5" w:rsidRDefault="00DD113A" w:rsidP="002C1AC3">
            <w:pPr>
              <w:jc w:val="right"/>
              <w:rPr>
                <w:color w:val="000000"/>
                <w:sz w:val="20"/>
                <w:szCs w:val="20"/>
              </w:rPr>
            </w:pPr>
          </w:p>
        </w:tc>
        <w:tc>
          <w:tcPr>
            <w:tcW w:w="812" w:type="dxa"/>
            <w:shd w:val="clear" w:color="auto" w:fill="auto"/>
            <w:noWrap/>
            <w:vAlign w:val="bottom"/>
          </w:tcPr>
          <w:p w:rsidR="00DD113A" w:rsidRPr="00413AB5" w:rsidRDefault="00DD113A" w:rsidP="002C1AC3">
            <w:pPr>
              <w:jc w:val="right"/>
              <w:rPr>
                <w:color w:val="000000"/>
                <w:sz w:val="20"/>
                <w:szCs w:val="20"/>
              </w:rPr>
            </w:pPr>
          </w:p>
        </w:tc>
        <w:tc>
          <w:tcPr>
            <w:tcW w:w="833" w:type="dxa"/>
            <w:shd w:val="clear" w:color="auto" w:fill="auto"/>
            <w:noWrap/>
            <w:vAlign w:val="bottom"/>
          </w:tcPr>
          <w:p w:rsidR="00DD113A" w:rsidRPr="00413AB5" w:rsidRDefault="00DD113A" w:rsidP="002C1AC3">
            <w:pPr>
              <w:jc w:val="right"/>
              <w:rPr>
                <w:color w:val="000000"/>
                <w:sz w:val="20"/>
                <w:szCs w:val="20"/>
              </w:rPr>
            </w:pPr>
          </w:p>
        </w:tc>
      </w:tr>
      <w:tr w:rsidR="00DD113A" w:rsidRPr="00413AB5" w:rsidTr="002C1AC3">
        <w:trPr>
          <w:trHeight w:val="300"/>
          <w:jc w:val="center"/>
        </w:trPr>
        <w:tc>
          <w:tcPr>
            <w:tcW w:w="2379" w:type="dxa"/>
            <w:shd w:val="clear" w:color="auto" w:fill="auto"/>
            <w:noWrap/>
            <w:vAlign w:val="bottom"/>
          </w:tcPr>
          <w:p w:rsidR="00DD113A" w:rsidRDefault="00DD113A" w:rsidP="002C1AC3">
            <w:pPr>
              <w:rPr>
                <w:color w:val="000000"/>
                <w:sz w:val="20"/>
                <w:szCs w:val="20"/>
              </w:rPr>
            </w:pPr>
            <w:r>
              <w:rPr>
                <w:color w:val="000000"/>
                <w:sz w:val="20"/>
                <w:szCs w:val="20"/>
              </w:rPr>
              <w:t>DF</w:t>
            </w:r>
          </w:p>
        </w:tc>
        <w:tc>
          <w:tcPr>
            <w:tcW w:w="940" w:type="dxa"/>
            <w:shd w:val="clear" w:color="auto" w:fill="auto"/>
            <w:noWrap/>
            <w:vAlign w:val="bottom"/>
          </w:tcPr>
          <w:p w:rsidR="00DD113A" w:rsidRPr="00413AB5" w:rsidRDefault="00DD113A" w:rsidP="002C1AC3">
            <w:pPr>
              <w:jc w:val="center"/>
              <w:rPr>
                <w:color w:val="000000"/>
                <w:sz w:val="20"/>
                <w:szCs w:val="20"/>
              </w:rPr>
            </w:pPr>
            <w:r>
              <w:rPr>
                <w:color w:val="000000"/>
                <w:sz w:val="20"/>
                <w:szCs w:val="20"/>
              </w:rPr>
              <w:t>92</w:t>
            </w:r>
          </w:p>
        </w:tc>
        <w:tc>
          <w:tcPr>
            <w:tcW w:w="1029" w:type="dxa"/>
            <w:shd w:val="clear" w:color="auto" w:fill="auto"/>
            <w:noWrap/>
            <w:vAlign w:val="bottom"/>
          </w:tcPr>
          <w:p w:rsidR="00DD113A" w:rsidRPr="00413AB5" w:rsidRDefault="00DD113A" w:rsidP="002C1AC3">
            <w:pPr>
              <w:jc w:val="right"/>
              <w:rPr>
                <w:color w:val="000000"/>
                <w:sz w:val="20"/>
                <w:szCs w:val="20"/>
              </w:rPr>
            </w:pPr>
          </w:p>
        </w:tc>
        <w:tc>
          <w:tcPr>
            <w:tcW w:w="812" w:type="dxa"/>
            <w:shd w:val="clear" w:color="auto" w:fill="auto"/>
            <w:noWrap/>
            <w:vAlign w:val="bottom"/>
          </w:tcPr>
          <w:p w:rsidR="00DD113A" w:rsidRPr="00413AB5" w:rsidRDefault="00DD113A" w:rsidP="002C1AC3">
            <w:pPr>
              <w:jc w:val="right"/>
              <w:rPr>
                <w:color w:val="000000"/>
                <w:sz w:val="20"/>
                <w:szCs w:val="20"/>
              </w:rPr>
            </w:pPr>
          </w:p>
        </w:tc>
        <w:tc>
          <w:tcPr>
            <w:tcW w:w="833" w:type="dxa"/>
            <w:shd w:val="clear" w:color="auto" w:fill="auto"/>
            <w:noWrap/>
            <w:vAlign w:val="bottom"/>
          </w:tcPr>
          <w:p w:rsidR="00DD113A" w:rsidRPr="00413AB5" w:rsidRDefault="00DD113A" w:rsidP="002C1AC3">
            <w:pPr>
              <w:jc w:val="right"/>
              <w:rPr>
                <w:color w:val="000000"/>
                <w:sz w:val="20"/>
                <w:szCs w:val="20"/>
              </w:rPr>
            </w:pPr>
          </w:p>
        </w:tc>
      </w:tr>
    </w:tbl>
    <w:p w:rsidR="00DD113A" w:rsidRDefault="00DD113A">
      <w:pPr>
        <w:spacing w:after="160" w:line="480" w:lineRule="auto"/>
        <w:ind w:firstLine="720"/>
      </w:pPr>
    </w:p>
    <w:p w:rsidR="00DD113A" w:rsidRPr="0048762B" w:rsidRDefault="00DD113A" w:rsidP="00FA1702">
      <w:pPr>
        <w:spacing w:before="120" w:after="120"/>
        <w:ind w:firstLine="284"/>
        <w:jc w:val="both"/>
        <w:rPr>
          <w:lang w:val="en-US"/>
        </w:rPr>
      </w:pPr>
      <w:r w:rsidRPr="0048762B">
        <w:rPr>
          <w:lang w:val="en-US"/>
        </w:rPr>
        <w:t>From this model, one cannot reject the null hypothesis that political affiliation has no impact on the probability of working at the private sector after a term in a regulatory board.</w:t>
      </w:r>
    </w:p>
    <w:p w:rsidR="00C263B8" w:rsidRPr="0048762B" w:rsidRDefault="00C263B8">
      <w:pPr>
        <w:pBdr>
          <w:top w:val="nil"/>
          <w:left w:val="nil"/>
          <w:bottom w:val="nil"/>
          <w:right w:val="nil"/>
          <w:between w:val="nil"/>
        </w:pBdr>
        <w:spacing w:line="360" w:lineRule="auto"/>
        <w:rPr>
          <w:i/>
          <w:lang w:val="en-US"/>
        </w:rPr>
      </w:pPr>
    </w:p>
    <w:p w:rsidR="00C263B8" w:rsidRPr="0048762B" w:rsidRDefault="00C0441B">
      <w:pPr>
        <w:pBdr>
          <w:top w:val="nil"/>
          <w:left w:val="nil"/>
          <w:bottom w:val="nil"/>
          <w:right w:val="nil"/>
          <w:between w:val="nil"/>
        </w:pBdr>
        <w:spacing w:line="360" w:lineRule="auto"/>
        <w:ind w:left="284"/>
        <w:jc w:val="center"/>
        <w:rPr>
          <w:b/>
          <w:lang w:val="en-US"/>
        </w:rPr>
      </w:pPr>
      <w:r w:rsidRPr="0048762B">
        <w:rPr>
          <w:b/>
          <w:lang w:val="en-US"/>
        </w:rPr>
        <w:t>CONCLUSION</w:t>
      </w:r>
    </w:p>
    <w:p w:rsidR="001D388D" w:rsidRDefault="001D388D" w:rsidP="001D388D">
      <w:pPr>
        <w:pBdr>
          <w:top w:val="nil"/>
          <w:left w:val="nil"/>
          <w:bottom w:val="nil"/>
          <w:right w:val="nil"/>
          <w:between w:val="nil"/>
        </w:pBdr>
        <w:spacing w:line="360" w:lineRule="auto"/>
        <w:ind w:left="284"/>
        <w:jc w:val="both"/>
        <w:rPr>
          <w:lang w:val="en-US"/>
        </w:rPr>
      </w:pPr>
    </w:p>
    <w:p w:rsidR="00B61ACB" w:rsidRDefault="001D388D" w:rsidP="00B61ACB">
      <w:pPr>
        <w:pBdr>
          <w:top w:val="nil"/>
          <w:left w:val="nil"/>
          <w:bottom w:val="nil"/>
          <w:right w:val="nil"/>
          <w:between w:val="nil"/>
        </w:pBdr>
        <w:spacing w:before="120" w:after="120"/>
        <w:ind w:firstLine="284"/>
        <w:jc w:val="both"/>
        <w:rPr>
          <w:lang w:val="en-US"/>
        </w:rPr>
      </w:pPr>
      <w:r>
        <w:rPr>
          <w:lang w:val="en-US"/>
        </w:rPr>
        <w:t xml:space="preserve">This study </w:t>
      </w:r>
      <w:r w:rsidR="009E40FC">
        <w:rPr>
          <w:lang w:val="en-US"/>
        </w:rPr>
        <w:t xml:space="preserve">evidenced </w:t>
      </w:r>
      <w:r>
        <w:rPr>
          <w:lang w:val="en-US"/>
        </w:rPr>
        <w:t>that most regulators come from the public sector</w:t>
      </w:r>
      <w:r w:rsidR="006E0365">
        <w:rPr>
          <w:lang w:val="en-US"/>
        </w:rPr>
        <w:t>, contributing to the literature that focus on regulatory capture based on the analysis of professional trajectories.</w:t>
      </w:r>
      <w:r w:rsidR="00DA2D6C">
        <w:rPr>
          <w:lang w:val="en-US"/>
        </w:rPr>
        <w:t xml:space="preserve"> </w:t>
      </w:r>
      <w:r w:rsidR="006E0365">
        <w:rPr>
          <w:lang w:val="en-US"/>
        </w:rPr>
        <w:t>N</w:t>
      </w:r>
      <w:r w:rsidR="00DA2D6C">
        <w:rPr>
          <w:lang w:val="en-US"/>
        </w:rPr>
        <w:t>o</w:t>
      </w:r>
      <w:r>
        <w:rPr>
          <w:lang w:val="en-US"/>
        </w:rPr>
        <w:t xml:space="preserve"> less than 77 of 117 strings under analysis begin their professional trajectories in the public sector. </w:t>
      </w:r>
      <w:r w:rsidR="002A4446">
        <w:rPr>
          <w:lang w:val="en-US"/>
        </w:rPr>
        <w:t xml:space="preserve">Hence, the public sector is surely a </w:t>
      </w:r>
      <w:r w:rsidR="00611B87">
        <w:rPr>
          <w:lang w:val="en-US"/>
        </w:rPr>
        <w:t xml:space="preserve">“talent </w:t>
      </w:r>
      <w:r w:rsidR="002A4446">
        <w:rPr>
          <w:lang w:val="en-US"/>
        </w:rPr>
        <w:t>pool</w:t>
      </w:r>
      <w:r w:rsidR="00611B87">
        <w:rPr>
          <w:lang w:val="en-US"/>
        </w:rPr>
        <w:t>”</w:t>
      </w:r>
      <w:r w:rsidR="002A4446">
        <w:rPr>
          <w:lang w:val="en-US"/>
        </w:rPr>
        <w:t xml:space="preserve"> for recruiting IRA board members.</w:t>
      </w:r>
      <w:r w:rsidR="00FA1702">
        <w:rPr>
          <w:lang w:val="en-US"/>
        </w:rPr>
        <w:t xml:space="preserve"> </w:t>
      </w:r>
      <w:r w:rsidR="006E0365">
        <w:rPr>
          <w:lang w:val="en-US"/>
        </w:rPr>
        <w:t>Most of former public servants tend to return to the public sector after their mandates.</w:t>
      </w:r>
    </w:p>
    <w:p w:rsidR="002A4446" w:rsidRDefault="002A4446" w:rsidP="00B61ACB">
      <w:pPr>
        <w:pBdr>
          <w:top w:val="nil"/>
          <w:left w:val="nil"/>
          <w:bottom w:val="nil"/>
          <w:right w:val="nil"/>
          <w:between w:val="nil"/>
        </w:pBdr>
        <w:spacing w:before="120" w:after="120"/>
        <w:ind w:firstLine="284"/>
        <w:jc w:val="both"/>
        <w:rPr>
          <w:lang w:val="en-US"/>
        </w:rPr>
      </w:pPr>
      <w:r>
        <w:rPr>
          <w:lang w:val="en-US"/>
        </w:rPr>
        <w:lastRenderedPageBreak/>
        <w:t xml:space="preserve">Reversely, only 40 members of IRA boards come from the private sector. </w:t>
      </w:r>
      <w:r w:rsidR="006E0365">
        <w:rPr>
          <w:lang w:val="en-US"/>
        </w:rPr>
        <w:t>Indeed, most</w:t>
      </w:r>
      <w:r>
        <w:rPr>
          <w:lang w:val="en-US"/>
        </w:rPr>
        <w:t xml:space="preserve"> of post-mandate private sector workers come from the public sector. From 48 regulators that work at the private sector after their ma</w:t>
      </w:r>
      <w:r w:rsidR="002E1DCC">
        <w:rPr>
          <w:lang w:val="en-US"/>
        </w:rPr>
        <w:t>ndates, almost a half (25) are former public servants</w:t>
      </w:r>
      <w:r w:rsidR="00FA1702">
        <w:rPr>
          <w:lang w:val="en-US"/>
        </w:rPr>
        <w:t>. The 25 revolving door professionals - originally private sector workers that manage to return to the private sector afterwards – tend to be the best paid workers, but we can not infer causality because we did not run a formal test for wage premia between the categories.</w:t>
      </w:r>
      <w:r w:rsidR="00696345">
        <w:rPr>
          <w:lang w:val="en-US"/>
        </w:rPr>
        <w:t xml:space="preserve"> In any case, revolving door trajectories are not the most common in Brazilian IRAs.</w:t>
      </w:r>
    </w:p>
    <w:p w:rsidR="00F142B9" w:rsidRDefault="006E0365" w:rsidP="00F142B9">
      <w:pPr>
        <w:pBdr>
          <w:top w:val="nil"/>
          <w:left w:val="nil"/>
          <w:bottom w:val="nil"/>
          <w:right w:val="nil"/>
          <w:between w:val="nil"/>
        </w:pBdr>
        <w:spacing w:before="120" w:after="120"/>
        <w:ind w:firstLine="284"/>
        <w:jc w:val="both"/>
        <w:rPr>
          <w:lang w:val="en-US"/>
        </w:rPr>
      </w:pPr>
      <w:r>
        <w:rPr>
          <w:lang w:val="en-US"/>
        </w:rPr>
        <w:t xml:space="preserve">Public servants are probably chosen for IRA’s boards due to their specific experience – according to a human capital perspective – or even because the manage to expand </w:t>
      </w:r>
      <w:r w:rsidR="0096393C">
        <w:rPr>
          <w:lang w:val="en-US"/>
        </w:rPr>
        <w:t>the</w:t>
      </w:r>
      <w:r>
        <w:rPr>
          <w:lang w:val="en-US"/>
        </w:rPr>
        <w:t xml:space="preserve"> “market” for</w:t>
      </w:r>
      <w:r w:rsidR="0096393C">
        <w:rPr>
          <w:lang w:val="en-US"/>
        </w:rPr>
        <w:t xml:space="preserve"> their</w:t>
      </w:r>
      <w:r>
        <w:rPr>
          <w:lang w:val="en-US"/>
        </w:rPr>
        <w:t xml:space="preserve"> skills – according to market expansion theory (Zheng, 2014).</w:t>
      </w:r>
      <w:r w:rsidR="0096393C">
        <w:rPr>
          <w:lang w:val="en-US"/>
        </w:rPr>
        <w:t xml:space="preserve"> </w:t>
      </w:r>
      <w:r w:rsidR="00F142B9">
        <w:rPr>
          <w:lang w:val="en-US"/>
        </w:rPr>
        <w:t xml:space="preserve">This theory </w:t>
      </w:r>
      <w:r w:rsidR="00F142B9" w:rsidRPr="00F142B9">
        <w:rPr>
          <w:lang w:val="en-US"/>
        </w:rPr>
        <w:t>focuses on the incentive for regulators to expand the market demand for services they would be providing when they exit the government</w:t>
      </w:r>
      <w:r w:rsidR="00F142B9">
        <w:rPr>
          <w:lang w:val="en-US"/>
        </w:rPr>
        <w:t xml:space="preserve">. </w:t>
      </w:r>
      <w:r w:rsidR="00F142B9" w:rsidRPr="00F142B9">
        <w:rPr>
          <w:lang w:val="en-US"/>
        </w:rPr>
        <w:t>“</w:t>
      </w:r>
      <w:proofErr w:type="spellStart"/>
      <w:r w:rsidR="00F142B9" w:rsidRPr="00F142B9">
        <w:rPr>
          <w:lang w:val="en-US"/>
        </w:rPr>
        <w:t>Regulocrats</w:t>
      </w:r>
      <w:proofErr w:type="spellEnd"/>
      <w:r w:rsidR="00F142B9" w:rsidRPr="00F142B9">
        <w:rPr>
          <w:lang w:val="en-US"/>
        </w:rPr>
        <w:t>” mak</w:t>
      </w:r>
      <w:r w:rsidR="00F142B9">
        <w:rPr>
          <w:lang w:val="en-US"/>
        </w:rPr>
        <w:t>e</w:t>
      </w:r>
      <w:r w:rsidR="00F142B9" w:rsidRPr="00F142B9">
        <w:rPr>
          <w:lang w:val="en-US"/>
        </w:rPr>
        <w:t xml:space="preserve"> rules broad enough and complex enough to require expertise in interpretation/implementation</w:t>
      </w:r>
      <w:r w:rsidR="00F142B9">
        <w:rPr>
          <w:lang w:val="en-US"/>
        </w:rPr>
        <w:t xml:space="preserve">. However, whether this is a rational </w:t>
      </w:r>
      <w:r w:rsidR="00F142B9" w:rsidRPr="00F142B9">
        <w:rPr>
          <w:lang w:val="en-US"/>
        </w:rPr>
        <w:t xml:space="preserve">calculus or </w:t>
      </w:r>
      <w:r w:rsidR="00F142B9">
        <w:rPr>
          <w:lang w:val="en-US"/>
        </w:rPr>
        <w:t xml:space="preserve">reflects the </w:t>
      </w:r>
      <w:r w:rsidR="00F142B9" w:rsidRPr="00F142B9">
        <w:rPr>
          <w:lang w:val="en-US"/>
        </w:rPr>
        <w:t>expansion of bureaucratic culture</w:t>
      </w:r>
      <w:r w:rsidR="00F142B9">
        <w:rPr>
          <w:lang w:val="en-US"/>
        </w:rPr>
        <w:t xml:space="preserve"> is an open question.</w:t>
      </w:r>
    </w:p>
    <w:p w:rsidR="00F142B9" w:rsidRDefault="00F142B9" w:rsidP="00F142B9">
      <w:pPr>
        <w:pBdr>
          <w:top w:val="nil"/>
          <w:left w:val="nil"/>
          <w:bottom w:val="nil"/>
          <w:right w:val="nil"/>
          <w:between w:val="nil"/>
        </w:pBdr>
        <w:spacing w:before="120" w:after="120"/>
        <w:ind w:firstLine="284"/>
        <w:jc w:val="both"/>
        <w:rPr>
          <w:lang w:val="en-US"/>
        </w:rPr>
      </w:pPr>
      <w:r>
        <w:rPr>
          <w:lang w:val="en-US"/>
        </w:rPr>
        <w:t xml:space="preserve">Finally, future research should confront the professional trajectories with some measure of regulatory </w:t>
      </w:r>
      <w:r w:rsidR="00696345">
        <w:rPr>
          <w:lang w:val="en-US"/>
        </w:rPr>
        <w:t xml:space="preserve">quality, or even capture. However, we believe that this kind of study should be eminently of qualitative nature. </w:t>
      </w:r>
    </w:p>
    <w:p w:rsidR="00C45071" w:rsidRPr="0048762B" w:rsidRDefault="00C45071" w:rsidP="00C45071">
      <w:pPr>
        <w:pBdr>
          <w:top w:val="nil"/>
          <w:left w:val="nil"/>
          <w:bottom w:val="nil"/>
          <w:right w:val="nil"/>
          <w:between w:val="nil"/>
        </w:pBdr>
        <w:spacing w:line="360" w:lineRule="auto"/>
        <w:rPr>
          <w:lang w:val="en-US"/>
        </w:rPr>
      </w:pPr>
    </w:p>
    <w:p w:rsidR="00C263B8" w:rsidRPr="0048762B" w:rsidRDefault="00C0441B">
      <w:pPr>
        <w:pBdr>
          <w:top w:val="nil"/>
          <w:left w:val="nil"/>
          <w:bottom w:val="nil"/>
          <w:right w:val="nil"/>
          <w:between w:val="nil"/>
        </w:pBdr>
        <w:spacing w:line="360" w:lineRule="auto"/>
        <w:ind w:left="284"/>
        <w:jc w:val="center"/>
        <w:rPr>
          <w:lang w:val="en-US"/>
        </w:rPr>
      </w:pPr>
      <w:r w:rsidRPr="0048762B">
        <w:rPr>
          <w:lang w:val="en-US"/>
        </w:rPr>
        <w:t>REFERENCES</w:t>
      </w:r>
    </w:p>
    <w:p w:rsidR="00C263B8" w:rsidRPr="0048762B" w:rsidRDefault="00C0441B" w:rsidP="001D388D">
      <w:pPr>
        <w:pBdr>
          <w:top w:val="nil"/>
          <w:left w:val="nil"/>
          <w:bottom w:val="nil"/>
          <w:right w:val="nil"/>
          <w:between w:val="nil"/>
        </w:pBdr>
        <w:spacing w:before="120" w:after="120"/>
        <w:jc w:val="both"/>
        <w:rPr>
          <w:lang w:val="en-US"/>
        </w:rPr>
      </w:pPr>
      <w:proofErr w:type="spellStart"/>
      <w:r w:rsidRPr="0048762B">
        <w:rPr>
          <w:lang w:val="en-US"/>
        </w:rPr>
        <w:t>Beblavy</w:t>
      </w:r>
      <w:proofErr w:type="spellEnd"/>
      <w:r w:rsidRPr="0048762B">
        <w:rPr>
          <w:lang w:val="en-US"/>
        </w:rPr>
        <w:t xml:space="preserve">, M. (2011). Understanding the waves of </w:t>
      </w:r>
      <w:proofErr w:type="spellStart"/>
      <w:r w:rsidRPr="0048762B">
        <w:rPr>
          <w:lang w:val="en-US"/>
        </w:rPr>
        <w:t>agencification</w:t>
      </w:r>
      <w:proofErr w:type="spellEnd"/>
      <w:r w:rsidRPr="0048762B">
        <w:rPr>
          <w:lang w:val="en-US"/>
        </w:rPr>
        <w:t xml:space="preserve"> and the governance problems they have raised in central and eastern </w:t>
      </w:r>
      <w:proofErr w:type="spellStart"/>
      <w:r w:rsidRPr="0048762B">
        <w:rPr>
          <w:lang w:val="en-US"/>
        </w:rPr>
        <w:t>european</w:t>
      </w:r>
      <w:proofErr w:type="spellEnd"/>
      <w:r w:rsidRPr="0048762B">
        <w:rPr>
          <w:lang w:val="en-US"/>
        </w:rPr>
        <w:t xml:space="preserve"> countries. </w:t>
      </w:r>
    </w:p>
    <w:p w:rsidR="00C263B8" w:rsidRPr="00D2754C" w:rsidRDefault="00C0441B" w:rsidP="001D388D">
      <w:pPr>
        <w:pBdr>
          <w:top w:val="nil"/>
          <w:left w:val="nil"/>
          <w:bottom w:val="nil"/>
          <w:right w:val="nil"/>
          <w:between w:val="nil"/>
        </w:pBdr>
        <w:spacing w:before="120" w:after="120"/>
        <w:jc w:val="both"/>
      </w:pPr>
      <w:r w:rsidRPr="0048762B">
        <w:rPr>
          <w:lang w:val="en-US"/>
        </w:rPr>
        <w:t xml:space="preserve">Carpenter, D. and Moss, D. A. (2013). Preventing regulatory capture: Special interest influence and how to limit it. </w:t>
      </w:r>
      <w:r w:rsidRPr="00D2754C">
        <w:t xml:space="preserve">Cambridge </w:t>
      </w:r>
      <w:proofErr w:type="spellStart"/>
      <w:r w:rsidRPr="00D2754C">
        <w:t>University</w:t>
      </w:r>
      <w:proofErr w:type="spellEnd"/>
      <w:r w:rsidRPr="00D2754C">
        <w:t xml:space="preserve"> Press. </w:t>
      </w:r>
    </w:p>
    <w:p w:rsidR="00C263B8" w:rsidRPr="00D2754C" w:rsidRDefault="00C0441B" w:rsidP="001D388D">
      <w:pPr>
        <w:pBdr>
          <w:top w:val="nil"/>
          <w:left w:val="nil"/>
          <w:bottom w:val="nil"/>
          <w:right w:val="nil"/>
          <w:between w:val="nil"/>
        </w:pBdr>
        <w:spacing w:before="120" w:after="120"/>
        <w:jc w:val="both"/>
      </w:pPr>
      <w:r w:rsidRPr="001D388D">
        <w:rPr>
          <w:lang w:val="en-US"/>
        </w:rPr>
        <w:t xml:space="preserve">Cavalcanti, B. S. and </w:t>
      </w:r>
      <w:proofErr w:type="spellStart"/>
      <w:r w:rsidRPr="001D388D">
        <w:rPr>
          <w:lang w:val="en-US"/>
        </w:rPr>
        <w:t>Peci</w:t>
      </w:r>
      <w:proofErr w:type="spellEnd"/>
      <w:r w:rsidRPr="001D388D">
        <w:rPr>
          <w:lang w:val="en-US"/>
        </w:rPr>
        <w:t xml:space="preserve">, A. (2001). </w:t>
      </w:r>
      <w:r w:rsidR="001D388D">
        <w:t>Para uma leitura polí</w:t>
      </w:r>
      <w:r w:rsidRPr="00D2754C">
        <w:t xml:space="preserve">tica do ambiente regulatório brasileiro: Agências reguladoras e relações com os principais atores políticos. </w:t>
      </w:r>
    </w:p>
    <w:p w:rsidR="002C1AC3" w:rsidRPr="0048762B" w:rsidRDefault="00C0441B" w:rsidP="001D388D">
      <w:pPr>
        <w:pBdr>
          <w:top w:val="nil"/>
          <w:left w:val="nil"/>
          <w:bottom w:val="nil"/>
          <w:right w:val="nil"/>
          <w:between w:val="nil"/>
        </w:pBdr>
        <w:spacing w:before="120" w:after="120"/>
        <w:jc w:val="both"/>
        <w:rPr>
          <w:lang w:val="en-US"/>
        </w:rPr>
      </w:pPr>
      <w:r w:rsidRPr="002C1AC3">
        <w:rPr>
          <w:lang w:val="en-US"/>
        </w:rPr>
        <w:t xml:space="preserve">Christensen, T. and </w:t>
      </w:r>
      <w:proofErr w:type="spellStart"/>
      <w:r w:rsidRPr="002C1AC3">
        <w:rPr>
          <w:lang w:val="en-US"/>
        </w:rPr>
        <w:t>Lægreid</w:t>
      </w:r>
      <w:proofErr w:type="spellEnd"/>
      <w:r w:rsidRPr="002C1AC3">
        <w:rPr>
          <w:lang w:val="en-US"/>
        </w:rPr>
        <w:t xml:space="preserve">, P. (2005). </w:t>
      </w:r>
      <w:r w:rsidRPr="0048762B">
        <w:rPr>
          <w:lang w:val="en-US"/>
        </w:rPr>
        <w:t xml:space="preserve">Regulatory reforms and </w:t>
      </w:r>
      <w:proofErr w:type="spellStart"/>
      <w:r w:rsidRPr="0048762B">
        <w:rPr>
          <w:lang w:val="en-US"/>
        </w:rPr>
        <w:t>agencification</w:t>
      </w:r>
      <w:proofErr w:type="spellEnd"/>
      <w:r w:rsidRPr="0048762B">
        <w:rPr>
          <w:lang w:val="en-US"/>
        </w:rPr>
        <w:t xml:space="preserve">. </w:t>
      </w:r>
      <w:r w:rsidR="002C1AC3" w:rsidRPr="002C1AC3">
        <w:rPr>
          <w:lang w:val="en-US"/>
        </w:rPr>
        <w:t>Cohen, J. E. (1986). The Dynamics of the" Revolving Door" on the FCC. </w:t>
      </w:r>
      <w:r w:rsidR="002C1AC3" w:rsidRPr="0048762B">
        <w:rPr>
          <w:i/>
          <w:iCs/>
          <w:lang w:val="en-US"/>
        </w:rPr>
        <w:t>American Journal of Political Science</w:t>
      </w:r>
      <w:r w:rsidR="002C1AC3" w:rsidRPr="0048762B">
        <w:rPr>
          <w:lang w:val="en-US"/>
        </w:rPr>
        <w:t>, 689-708.</w:t>
      </w:r>
    </w:p>
    <w:p w:rsidR="002C1AC3" w:rsidRPr="0048762B" w:rsidRDefault="00C0441B" w:rsidP="001D388D">
      <w:pPr>
        <w:pBdr>
          <w:top w:val="nil"/>
          <w:left w:val="nil"/>
          <w:bottom w:val="nil"/>
          <w:right w:val="nil"/>
          <w:between w:val="nil"/>
        </w:pBdr>
        <w:spacing w:before="120" w:after="120"/>
        <w:jc w:val="both"/>
        <w:rPr>
          <w:lang w:val="en-US"/>
        </w:rPr>
      </w:pPr>
      <w:r w:rsidRPr="0048762B">
        <w:rPr>
          <w:lang w:val="en-US"/>
        </w:rPr>
        <w:t>Eckert, R. D. (1981). The life cycle of regulatory commissioners. The Journal of Law and Economics, 24(1):113–120.</w:t>
      </w:r>
    </w:p>
    <w:p w:rsidR="006C17A1" w:rsidRPr="0048762B" w:rsidRDefault="00C0441B" w:rsidP="001D388D">
      <w:pPr>
        <w:pBdr>
          <w:top w:val="nil"/>
          <w:left w:val="nil"/>
          <w:bottom w:val="nil"/>
          <w:right w:val="nil"/>
          <w:between w:val="nil"/>
        </w:pBdr>
        <w:spacing w:before="120" w:after="120"/>
        <w:jc w:val="both"/>
        <w:rPr>
          <w:lang w:val="en-US"/>
        </w:rPr>
      </w:pPr>
      <w:proofErr w:type="spellStart"/>
      <w:r w:rsidRPr="0048762B">
        <w:rPr>
          <w:lang w:val="en-US"/>
        </w:rPr>
        <w:t>Gilardi</w:t>
      </w:r>
      <w:proofErr w:type="spellEnd"/>
      <w:r w:rsidRPr="0048762B">
        <w:rPr>
          <w:lang w:val="en-US"/>
        </w:rPr>
        <w:t xml:space="preserve">, F. (2002). Policy credibility and delegation to independent regulatory agencies: a comparative empirical analysis. Journal of European Public Policy, 9(6):873–893. </w:t>
      </w:r>
    </w:p>
    <w:p w:rsidR="006C17A1" w:rsidRDefault="006C17A1" w:rsidP="001D388D">
      <w:pPr>
        <w:pBdr>
          <w:top w:val="nil"/>
          <w:left w:val="nil"/>
          <w:bottom w:val="nil"/>
          <w:right w:val="nil"/>
          <w:between w:val="nil"/>
        </w:pBdr>
        <w:spacing w:before="120" w:after="120"/>
        <w:jc w:val="both"/>
        <w:rPr>
          <w:lang w:val="en-US"/>
        </w:rPr>
      </w:pPr>
      <w:r w:rsidRPr="006C17A1">
        <w:rPr>
          <w:lang w:val="en-US"/>
        </w:rPr>
        <w:t>Fernández</w:t>
      </w:r>
      <w:r w:rsidRPr="006C17A1">
        <w:rPr>
          <w:rFonts w:ascii="Cambria Math" w:hAnsi="Cambria Math" w:cs="Cambria Math"/>
          <w:lang w:val="en-US"/>
        </w:rPr>
        <w:t>‐</w:t>
      </w:r>
      <w:proofErr w:type="spellStart"/>
      <w:r w:rsidRPr="006C17A1">
        <w:rPr>
          <w:lang w:val="en-US"/>
        </w:rPr>
        <w:t>i</w:t>
      </w:r>
      <w:proofErr w:type="spellEnd"/>
      <w:r w:rsidRPr="006C17A1">
        <w:rPr>
          <w:rFonts w:ascii="Cambria Math" w:hAnsi="Cambria Math" w:cs="Cambria Math"/>
          <w:lang w:val="en-US"/>
        </w:rPr>
        <w:t>‐</w:t>
      </w:r>
      <w:r w:rsidRPr="006C17A1">
        <w:rPr>
          <w:lang w:val="en-US"/>
        </w:rPr>
        <w:t>Marín, X., Jordana, J., &amp; Bianculli, A. C. (2016). Are regulatory agencies independent in practice? Evidence from board members in Spain. </w:t>
      </w:r>
      <w:r w:rsidRPr="006C17A1">
        <w:rPr>
          <w:i/>
          <w:lang w:val="en-US"/>
        </w:rPr>
        <w:t>Regulation &amp; Governance</w:t>
      </w:r>
      <w:r w:rsidRPr="006C17A1">
        <w:rPr>
          <w:lang w:val="en-US"/>
        </w:rPr>
        <w:t>, 10(3), 230-247.</w:t>
      </w:r>
    </w:p>
    <w:p w:rsidR="00A711A0" w:rsidRDefault="00C0441B" w:rsidP="001D388D">
      <w:pPr>
        <w:pBdr>
          <w:top w:val="nil"/>
          <w:left w:val="nil"/>
          <w:bottom w:val="nil"/>
          <w:right w:val="nil"/>
          <w:between w:val="nil"/>
        </w:pBdr>
        <w:spacing w:before="120" w:after="120"/>
        <w:jc w:val="both"/>
        <w:rPr>
          <w:lang w:val="en-US"/>
        </w:rPr>
      </w:pPr>
      <w:proofErr w:type="spellStart"/>
      <w:r w:rsidRPr="0048762B">
        <w:rPr>
          <w:lang w:val="en-US"/>
        </w:rPr>
        <w:t>Jordana</w:t>
      </w:r>
      <w:proofErr w:type="spellEnd"/>
      <w:r w:rsidRPr="0048762B">
        <w:rPr>
          <w:lang w:val="en-US"/>
        </w:rPr>
        <w:t>, J., Levi-</w:t>
      </w:r>
      <w:proofErr w:type="spellStart"/>
      <w:r w:rsidRPr="0048762B">
        <w:rPr>
          <w:lang w:val="en-US"/>
        </w:rPr>
        <w:t>Faur</w:t>
      </w:r>
      <w:proofErr w:type="spellEnd"/>
      <w:r w:rsidRPr="0048762B">
        <w:rPr>
          <w:lang w:val="en-US"/>
        </w:rPr>
        <w:t xml:space="preserve">, D., and </w:t>
      </w:r>
      <w:proofErr w:type="spellStart"/>
      <w:r w:rsidRPr="0048762B">
        <w:rPr>
          <w:lang w:val="en-US"/>
        </w:rPr>
        <w:t>i</w:t>
      </w:r>
      <w:proofErr w:type="spellEnd"/>
      <w:r w:rsidRPr="0048762B">
        <w:rPr>
          <w:lang w:val="en-US"/>
        </w:rPr>
        <w:t xml:space="preserve"> Marín, X. F. (2011). The global diffusion of regulatory agencies: channels of transfer and stages of diffusion. </w:t>
      </w:r>
      <w:proofErr w:type="spellStart"/>
      <w:r w:rsidRPr="00D2754C">
        <w:t>Comparative</w:t>
      </w:r>
      <w:proofErr w:type="spellEnd"/>
      <w:r w:rsidRPr="00D2754C">
        <w:t xml:space="preserve"> </w:t>
      </w:r>
      <w:proofErr w:type="spellStart"/>
      <w:r w:rsidRPr="00D2754C">
        <w:t>political</w:t>
      </w:r>
      <w:proofErr w:type="spellEnd"/>
      <w:r w:rsidRPr="00D2754C">
        <w:t xml:space="preserve"> </w:t>
      </w:r>
      <w:proofErr w:type="spellStart"/>
      <w:r w:rsidRPr="00D2754C">
        <w:t>studies</w:t>
      </w:r>
      <w:proofErr w:type="spellEnd"/>
      <w:r w:rsidRPr="00D2754C">
        <w:t xml:space="preserve">, 44(10):1343–1369. </w:t>
      </w:r>
    </w:p>
    <w:p w:rsidR="00A711A0" w:rsidRPr="0048762B" w:rsidRDefault="006C17A1" w:rsidP="001D388D">
      <w:pPr>
        <w:pBdr>
          <w:top w:val="nil"/>
          <w:left w:val="nil"/>
          <w:bottom w:val="nil"/>
          <w:right w:val="nil"/>
          <w:between w:val="nil"/>
        </w:pBdr>
        <w:spacing w:before="120" w:after="120"/>
        <w:jc w:val="both"/>
      </w:pPr>
      <w:proofErr w:type="spellStart"/>
      <w:r w:rsidRPr="006C17A1">
        <w:rPr>
          <w:lang w:val="en-US"/>
        </w:rPr>
        <w:t>Jordana</w:t>
      </w:r>
      <w:proofErr w:type="spellEnd"/>
      <w:r w:rsidRPr="006C17A1">
        <w:rPr>
          <w:lang w:val="en-US"/>
        </w:rPr>
        <w:t xml:space="preserve"> J, </w:t>
      </w:r>
      <w:proofErr w:type="spellStart"/>
      <w:r w:rsidRPr="006C17A1">
        <w:rPr>
          <w:lang w:val="en-US"/>
        </w:rPr>
        <w:t>Ramio</w:t>
      </w:r>
      <w:proofErr w:type="spellEnd"/>
      <w:r w:rsidRPr="006C17A1">
        <w:rPr>
          <w:lang w:val="en-US"/>
        </w:rPr>
        <w:t xml:space="preserve">́ C (2010) Delegation, Presidential Regimes, and Latin American Regulatory Agencies. </w:t>
      </w:r>
      <w:proofErr w:type="spellStart"/>
      <w:r w:rsidRPr="0048762B">
        <w:rPr>
          <w:i/>
          <w:iCs/>
        </w:rPr>
        <w:t>Journal</w:t>
      </w:r>
      <w:proofErr w:type="spellEnd"/>
      <w:r w:rsidRPr="0048762B">
        <w:rPr>
          <w:i/>
          <w:iCs/>
        </w:rPr>
        <w:t xml:space="preserve"> </w:t>
      </w:r>
      <w:proofErr w:type="spellStart"/>
      <w:r w:rsidRPr="0048762B">
        <w:rPr>
          <w:i/>
          <w:iCs/>
        </w:rPr>
        <w:t>of</w:t>
      </w:r>
      <w:proofErr w:type="spellEnd"/>
      <w:r w:rsidRPr="0048762B">
        <w:rPr>
          <w:i/>
          <w:iCs/>
        </w:rPr>
        <w:t xml:space="preserve"> </w:t>
      </w:r>
      <w:proofErr w:type="spellStart"/>
      <w:r w:rsidRPr="0048762B">
        <w:rPr>
          <w:i/>
          <w:iCs/>
        </w:rPr>
        <w:t>Politics</w:t>
      </w:r>
      <w:proofErr w:type="spellEnd"/>
      <w:r w:rsidRPr="0048762B">
        <w:rPr>
          <w:i/>
          <w:iCs/>
        </w:rPr>
        <w:t xml:space="preserve"> in </w:t>
      </w:r>
      <w:proofErr w:type="spellStart"/>
      <w:proofErr w:type="gramStart"/>
      <w:r w:rsidRPr="0048762B">
        <w:rPr>
          <w:i/>
          <w:iCs/>
        </w:rPr>
        <w:t>Latin</w:t>
      </w:r>
      <w:proofErr w:type="spellEnd"/>
      <w:r w:rsidRPr="0048762B">
        <w:rPr>
          <w:i/>
          <w:iCs/>
        </w:rPr>
        <w:t xml:space="preserve"> </w:t>
      </w:r>
      <w:r w:rsidRPr="0048762B">
        <w:t xml:space="preserve"> </w:t>
      </w:r>
      <w:proofErr w:type="spellStart"/>
      <w:r w:rsidRPr="0048762B">
        <w:rPr>
          <w:i/>
          <w:iCs/>
        </w:rPr>
        <w:t>America</w:t>
      </w:r>
      <w:proofErr w:type="spellEnd"/>
      <w:proofErr w:type="gramEnd"/>
      <w:r w:rsidRPr="0048762B">
        <w:rPr>
          <w:i/>
          <w:iCs/>
        </w:rPr>
        <w:t xml:space="preserve"> </w:t>
      </w:r>
      <w:r w:rsidRPr="0048762B">
        <w:t>2(1), 3–30.</w:t>
      </w:r>
    </w:p>
    <w:p w:rsidR="00A711A0" w:rsidRDefault="00C0441B" w:rsidP="001D388D">
      <w:pPr>
        <w:pBdr>
          <w:top w:val="nil"/>
          <w:left w:val="nil"/>
          <w:bottom w:val="nil"/>
          <w:right w:val="nil"/>
          <w:between w:val="nil"/>
        </w:pBdr>
        <w:spacing w:before="120" w:after="120"/>
        <w:jc w:val="both"/>
        <w:rPr>
          <w:lang w:val="en-US"/>
        </w:rPr>
      </w:pPr>
      <w:proofErr w:type="spellStart"/>
      <w:r w:rsidRPr="00D2754C">
        <w:t>Justen</w:t>
      </w:r>
      <w:proofErr w:type="spellEnd"/>
      <w:r w:rsidRPr="00D2754C">
        <w:t xml:space="preserve"> Filho, M. (2006). Agências reguladoras e democracia: existe um déficit democrático na “regulação independente?”. O poder normativo das agências reguladoras, Alexandre Santos de Aragão (Coordenador)</w:t>
      </w:r>
      <w:proofErr w:type="gramStart"/>
      <w:r w:rsidRPr="00D2754C">
        <w:t>...[</w:t>
      </w:r>
      <w:proofErr w:type="gramEnd"/>
      <w:r w:rsidRPr="00D2754C">
        <w:t xml:space="preserve">et al]. </w:t>
      </w:r>
      <w:r w:rsidRPr="0048762B">
        <w:rPr>
          <w:lang w:val="en-US"/>
        </w:rPr>
        <w:t xml:space="preserve">Rio de Janeiro: </w:t>
      </w:r>
      <w:proofErr w:type="spellStart"/>
      <w:r w:rsidRPr="0048762B">
        <w:rPr>
          <w:lang w:val="en-US"/>
        </w:rPr>
        <w:t>Forense</w:t>
      </w:r>
      <w:proofErr w:type="spellEnd"/>
      <w:r w:rsidRPr="0048762B">
        <w:rPr>
          <w:lang w:val="en-US"/>
        </w:rPr>
        <w:t xml:space="preserve">. </w:t>
      </w:r>
    </w:p>
    <w:p w:rsidR="00A711A0" w:rsidRPr="00A711A0" w:rsidRDefault="00A711A0" w:rsidP="001D388D">
      <w:pPr>
        <w:pBdr>
          <w:top w:val="nil"/>
          <w:left w:val="nil"/>
          <w:bottom w:val="nil"/>
          <w:right w:val="nil"/>
          <w:between w:val="nil"/>
        </w:pBdr>
        <w:spacing w:before="120" w:after="120"/>
        <w:jc w:val="both"/>
        <w:rPr>
          <w:lang w:val="en-US"/>
        </w:rPr>
      </w:pPr>
      <w:r w:rsidRPr="00A711A0">
        <w:rPr>
          <w:lang w:val="en-US"/>
        </w:rPr>
        <w:t>Gormley Jr, W. T. (1979). A Test of the Revolving Door Hypothesis at the FCC. </w:t>
      </w:r>
      <w:r w:rsidRPr="00A711A0">
        <w:rPr>
          <w:i/>
          <w:iCs/>
          <w:lang w:val="en-US"/>
        </w:rPr>
        <w:t>American Journal of Political Science</w:t>
      </w:r>
      <w:r w:rsidRPr="00A711A0">
        <w:rPr>
          <w:lang w:val="en-US"/>
        </w:rPr>
        <w:t>, 665-683.</w:t>
      </w:r>
    </w:p>
    <w:p w:rsidR="006C17A1" w:rsidRPr="00A711A0" w:rsidRDefault="00A711A0" w:rsidP="001D388D">
      <w:pPr>
        <w:pBdr>
          <w:top w:val="nil"/>
          <w:left w:val="nil"/>
          <w:bottom w:val="nil"/>
          <w:right w:val="nil"/>
          <w:between w:val="nil"/>
        </w:pBdr>
        <w:spacing w:before="120" w:after="120"/>
        <w:jc w:val="both"/>
        <w:rPr>
          <w:lang w:val="en-US"/>
        </w:rPr>
      </w:pPr>
      <w:r w:rsidRPr="00A711A0">
        <w:rPr>
          <w:lang w:val="en-US"/>
        </w:rPr>
        <w:lastRenderedPageBreak/>
        <w:t xml:space="preserve"> </w:t>
      </w:r>
      <w:proofErr w:type="spellStart"/>
      <w:r w:rsidR="006C17A1" w:rsidRPr="006C17A1">
        <w:rPr>
          <w:lang w:val="en-US"/>
        </w:rPr>
        <w:t>Maggetti</w:t>
      </w:r>
      <w:proofErr w:type="spellEnd"/>
      <w:r w:rsidR="006C17A1" w:rsidRPr="006C17A1">
        <w:rPr>
          <w:lang w:val="en-US"/>
        </w:rPr>
        <w:t xml:space="preserve"> M (2007) De Facto Independence after Delegation: A Fuzzy-set Analysis. </w:t>
      </w:r>
      <w:r w:rsidR="006C17A1" w:rsidRPr="00A711A0">
        <w:rPr>
          <w:i/>
          <w:iCs/>
          <w:lang w:val="en-US"/>
        </w:rPr>
        <w:t xml:space="preserve">Regulation &amp; Governance </w:t>
      </w:r>
      <w:r w:rsidR="006C17A1" w:rsidRPr="00A711A0">
        <w:rPr>
          <w:lang w:val="en-US"/>
        </w:rPr>
        <w:t xml:space="preserve">1, 271–294. </w:t>
      </w:r>
    </w:p>
    <w:p w:rsidR="00C263B8" w:rsidRPr="00D2754C" w:rsidRDefault="00C0441B" w:rsidP="001D388D">
      <w:pPr>
        <w:pBdr>
          <w:top w:val="nil"/>
          <w:left w:val="nil"/>
          <w:bottom w:val="nil"/>
          <w:right w:val="nil"/>
          <w:between w:val="nil"/>
        </w:pBdr>
        <w:spacing w:before="120" w:after="120"/>
        <w:jc w:val="both"/>
      </w:pPr>
      <w:proofErr w:type="spellStart"/>
      <w:r w:rsidRPr="00A711A0">
        <w:rPr>
          <w:lang w:val="en-US"/>
        </w:rPr>
        <w:t>Meirelles</w:t>
      </w:r>
      <w:proofErr w:type="spellEnd"/>
      <w:r w:rsidRPr="00A711A0">
        <w:rPr>
          <w:lang w:val="en-US"/>
        </w:rPr>
        <w:t xml:space="preserve">, F. and Oliva, R. (2006). </w:t>
      </w:r>
      <w:r w:rsidRPr="0048762B">
        <w:rPr>
          <w:lang w:val="en-US"/>
        </w:rPr>
        <w:t xml:space="preserve">Delegation and political control of the regulatory agencies in brazil. </w:t>
      </w:r>
      <w:r w:rsidRPr="00D2754C">
        <w:t>Revista de Administração Pública, 40(4):545–565.</w:t>
      </w:r>
    </w:p>
    <w:p w:rsidR="00C263B8" w:rsidRPr="0048762B" w:rsidRDefault="00C0441B" w:rsidP="001D388D">
      <w:pPr>
        <w:pBdr>
          <w:top w:val="nil"/>
          <w:left w:val="nil"/>
          <w:bottom w:val="nil"/>
          <w:right w:val="nil"/>
          <w:between w:val="nil"/>
        </w:pBdr>
        <w:spacing w:before="120" w:after="120"/>
        <w:jc w:val="both"/>
        <w:rPr>
          <w:lang w:val="en-US"/>
        </w:rPr>
      </w:pPr>
      <w:r w:rsidRPr="00D2754C">
        <w:t xml:space="preserve">Nunes, A. J. A. (2007). Breve reflexão sobre o chamado estado regulador. </w:t>
      </w:r>
      <w:proofErr w:type="spellStart"/>
      <w:r w:rsidRPr="0048762B">
        <w:rPr>
          <w:lang w:val="en-US"/>
        </w:rPr>
        <w:t>Sequência</w:t>
      </w:r>
      <w:proofErr w:type="spellEnd"/>
      <w:r w:rsidRPr="0048762B">
        <w:rPr>
          <w:lang w:val="en-US"/>
        </w:rPr>
        <w:t xml:space="preserve">: </w:t>
      </w:r>
      <w:proofErr w:type="spellStart"/>
      <w:r w:rsidRPr="0048762B">
        <w:rPr>
          <w:lang w:val="en-US"/>
        </w:rPr>
        <w:t>Estudos</w:t>
      </w:r>
      <w:proofErr w:type="spellEnd"/>
      <w:r w:rsidRPr="0048762B">
        <w:rPr>
          <w:lang w:val="en-US"/>
        </w:rPr>
        <w:t xml:space="preserve"> </w:t>
      </w:r>
      <w:proofErr w:type="spellStart"/>
      <w:r w:rsidRPr="0048762B">
        <w:rPr>
          <w:lang w:val="en-US"/>
        </w:rPr>
        <w:t>Jurídicos</w:t>
      </w:r>
      <w:proofErr w:type="spellEnd"/>
      <w:r w:rsidRPr="0048762B">
        <w:rPr>
          <w:lang w:val="en-US"/>
        </w:rPr>
        <w:t xml:space="preserve"> e </w:t>
      </w:r>
      <w:proofErr w:type="spellStart"/>
      <w:r w:rsidRPr="0048762B">
        <w:rPr>
          <w:lang w:val="en-US"/>
        </w:rPr>
        <w:t>Políticos</w:t>
      </w:r>
      <w:proofErr w:type="spellEnd"/>
      <w:r w:rsidRPr="0048762B">
        <w:rPr>
          <w:lang w:val="en-US"/>
        </w:rPr>
        <w:t xml:space="preserve">, 28(54):9–18. </w:t>
      </w:r>
    </w:p>
    <w:p w:rsidR="00C263B8" w:rsidRPr="0048762B" w:rsidRDefault="00C0441B" w:rsidP="001D388D">
      <w:pPr>
        <w:pBdr>
          <w:top w:val="nil"/>
          <w:left w:val="nil"/>
          <w:bottom w:val="nil"/>
          <w:right w:val="nil"/>
          <w:between w:val="nil"/>
        </w:pBdr>
        <w:spacing w:before="120" w:after="120"/>
        <w:jc w:val="both"/>
        <w:rPr>
          <w:lang w:val="en-US"/>
        </w:rPr>
      </w:pPr>
      <w:proofErr w:type="spellStart"/>
      <w:r w:rsidRPr="0048762B">
        <w:rPr>
          <w:lang w:val="en-US"/>
        </w:rPr>
        <w:t>Schrefler</w:t>
      </w:r>
      <w:proofErr w:type="spellEnd"/>
      <w:r w:rsidRPr="0048762B">
        <w:rPr>
          <w:lang w:val="en-US"/>
        </w:rPr>
        <w:t>, L. (2010). The usage of scientific knowledge by independent regulatory agencies. Governance, 23(2):309–330.</w:t>
      </w:r>
    </w:p>
    <w:p w:rsidR="00C263B8" w:rsidRPr="0048762B" w:rsidRDefault="00C0441B" w:rsidP="001D388D">
      <w:pPr>
        <w:pBdr>
          <w:top w:val="nil"/>
          <w:left w:val="nil"/>
          <w:bottom w:val="nil"/>
          <w:right w:val="nil"/>
          <w:between w:val="nil"/>
        </w:pBdr>
        <w:spacing w:before="120" w:after="120"/>
        <w:jc w:val="both"/>
        <w:rPr>
          <w:lang w:val="en-US"/>
        </w:rPr>
      </w:pPr>
      <w:r w:rsidRPr="0048762B">
        <w:rPr>
          <w:lang w:val="en-US"/>
        </w:rPr>
        <w:t xml:space="preserve">Shapiro, M. (2002). Judicial delegation doctrines: the us, </w:t>
      </w:r>
      <w:proofErr w:type="spellStart"/>
      <w:r w:rsidRPr="0048762B">
        <w:rPr>
          <w:lang w:val="en-US"/>
        </w:rPr>
        <w:t>britain</w:t>
      </w:r>
      <w:proofErr w:type="spellEnd"/>
      <w:r w:rsidRPr="0048762B">
        <w:rPr>
          <w:lang w:val="en-US"/>
        </w:rPr>
        <w:t xml:space="preserve">, and </w:t>
      </w:r>
      <w:proofErr w:type="spellStart"/>
      <w:r w:rsidRPr="0048762B">
        <w:rPr>
          <w:lang w:val="en-US"/>
        </w:rPr>
        <w:t>france</w:t>
      </w:r>
      <w:proofErr w:type="spellEnd"/>
      <w:r w:rsidRPr="0048762B">
        <w:rPr>
          <w:lang w:val="en-US"/>
        </w:rPr>
        <w:t xml:space="preserve">. West European Politics, 25(1):173–199. </w:t>
      </w:r>
    </w:p>
    <w:p w:rsidR="00C263B8" w:rsidRPr="0048762B" w:rsidRDefault="00C0441B" w:rsidP="001D388D">
      <w:pPr>
        <w:pBdr>
          <w:top w:val="nil"/>
          <w:left w:val="nil"/>
          <w:bottom w:val="nil"/>
          <w:right w:val="nil"/>
          <w:between w:val="nil"/>
        </w:pBdr>
        <w:spacing w:before="120" w:after="120"/>
        <w:jc w:val="both"/>
        <w:rPr>
          <w:lang w:val="en-US"/>
        </w:rPr>
      </w:pPr>
      <w:r w:rsidRPr="0048762B">
        <w:rPr>
          <w:lang w:val="en-US"/>
        </w:rPr>
        <w:t xml:space="preserve">Spiller, P. T. (1990). Politicians, interest groups, and regulators: A multiple-principals agency theory of regulation, or” let them be bribed”. The Journal of Law and Economics, 33(1):65–101. </w:t>
      </w:r>
    </w:p>
    <w:p w:rsidR="00DC000E" w:rsidRPr="0048762B" w:rsidRDefault="00DC000E" w:rsidP="001D388D">
      <w:pPr>
        <w:pBdr>
          <w:top w:val="nil"/>
          <w:left w:val="nil"/>
          <w:bottom w:val="nil"/>
          <w:right w:val="nil"/>
          <w:between w:val="nil"/>
        </w:pBdr>
        <w:spacing w:before="120" w:after="120"/>
        <w:jc w:val="both"/>
        <w:rPr>
          <w:lang w:val="en-US"/>
        </w:rPr>
      </w:pPr>
      <w:r w:rsidRPr="00DC000E">
        <w:rPr>
          <w:lang w:val="en-US"/>
        </w:rPr>
        <w:t xml:space="preserve">Thatcher M (2005) The Third Force? Independent Regulatory Agencies and Elected Politicians in Europe. </w:t>
      </w:r>
      <w:r w:rsidRPr="0048762B">
        <w:rPr>
          <w:i/>
          <w:iCs/>
          <w:lang w:val="en-US"/>
        </w:rPr>
        <w:t xml:space="preserve">Governance: An International Journal of Policy, Administration and Institutions </w:t>
      </w:r>
      <w:r w:rsidRPr="0048762B">
        <w:rPr>
          <w:lang w:val="en-US"/>
        </w:rPr>
        <w:t>18, 347–373.</w:t>
      </w:r>
    </w:p>
    <w:p w:rsidR="0028176C" w:rsidRPr="0048762B" w:rsidRDefault="0028176C" w:rsidP="001D388D">
      <w:pPr>
        <w:pBdr>
          <w:top w:val="nil"/>
          <w:left w:val="nil"/>
          <w:bottom w:val="nil"/>
          <w:right w:val="nil"/>
          <w:between w:val="nil"/>
        </w:pBdr>
        <w:spacing w:before="120" w:after="120"/>
        <w:jc w:val="both"/>
        <w:rPr>
          <w:lang w:val="en-US"/>
        </w:rPr>
      </w:pPr>
      <w:r w:rsidRPr="0028176C">
        <w:rPr>
          <w:lang w:val="en-US"/>
        </w:rPr>
        <w:t>Zheng, W. (2014). The revolving door. </w:t>
      </w:r>
      <w:r w:rsidRPr="0048762B">
        <w:rPr>
          <w:i/>
          <w:iCs/>
          <w:lang w:val="en-US"/>
        </w:rPr>
        <w:t>Notre Dame L. Rev.</w:t>
      </w:r>
      <w:r w:rsidRPr="0048762B">
        <w:rPr>
          <w:lang w:val="en-US"/>
        </w:rPr>
        <w:t>, </w:t>
      </w:r>
      <w:r w:rsidRPr="0048762B">
        <w:rPr>
          <w:i/>
          <w:iCs/>
          <w:lang w:val="en-US"/>
        </w:rPr>
        <w:t>90</w:t>
      </w:r>
      <w:r w:rsidRPr="0048762B">
        <w:rPr>
          <w:lang w:val="en-US"/>
        </w:rPr>
        <w:t>, 1265.</w:t>
      </w:r>
    </w:p>
    <w:p w:rsidR="00C263B8" w:rsidRDefault="00C0441B" w:rsidP="001D388D">
      <w:pPr>
        <w:pBdr>
          <w:top w:val="nil"/>
          <w:left w:val="nil"/>
          <w:bottom w:val="nil"/>
          <w:right w:val="nil"/>
          <w:between w:val="nil"/>
        </w:pBdr>
        <w:spacing w:before="120" w:after="120"/>
        <w:jc w:val="both"/>
      </w:pPr>
      <w:r w:rsidRPr="0048762B">
        <w:rPr>
          <w:lang w:val="en-US"/>
        </w:rPr>
        <w:t xml:space="preserve">Wu, I. (2008). Who regulates phones, television, and the internet? </w:t>
      </w:r>
      <w:r w:rsidR="00FD3CF9">
        <w:rPr>
          <w:lang w:val="en-US"/>
        </w:rPr>
        <w:t>W</w:t>
      </w:r>
      <w:r w:rsidRPr="0048762B">
        <w:rPr>
          <w:lang w:val="en-US"/>
        </w:rPr>
        <w:t xml:space="preserve">hat makes a communications regulator independent and why it </w:t>
      </w:r>
      <w:proofErr w:type="gramStart"/>
      <w:r w:rsidRPr="0048762B">
        <w:rPr>
          <w:lang w:val="en-US"/>
        </w:rPr>
        <w:t>matters.</w:t>
      </w:r>
      <w:proofErr w:type="gramEnd"/>
      <w:r w:rsidRPr="0048762B">
        <w:rPr>
          <w:lang w:val="en-US"/>
        </w:rPr>
        <w:t xml:space="preserve"> </w:t>
      </w:r>
      <w:r>
        <w:t xml:space="preserve">Perspectives </w:t>
      </w:r>
      <w:proofErr w:type="spellStart"/>
      <w:r>
        <w:t>on</w:t>
      </w:r>
      <w:proofErr w:type="spellEnd"/>
      <w:r>
        <w:t xml:space="preserve"> </w:t>
      </w:r>
      <w:proofErr w:type="spellStart"/>
      <w:r>
        <w:t>politics</w:t>
      </w:r>
      <w:proofErr w:type="spellEnd"/>
      <w:r>
        <w:t>, 6(4):769– 783.</w:t>
      </w:r>
    </w:p>
    <w:sectPr w:rsidR="00C263B8" w:rsidSect="00FA642F">
      <w:headerReference w:type="default" r:id="rId16"/>
      <w:pgSz w:w="11906" w:h="16838"/>
      <w:pgMar w:top="1440" w:right="1080" w:bottom="1440" w:left="108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279" w:rsidRDefault="00214279">
      <w:r>
        <w:separator/>
      </w:r>
    </w:p>
  </w:endnote>
  <w:endnote w:type="continuationSeparator" w:id="0">
    <w:p w:rsidR="00214279" w:rsidRDefault="0021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altName w:val="Thorndale Duospace WT SC"/>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279" w:rsidRDefault="00214279">
      <w:r>
        <w:separator/>
      </w:r>
    </w:p>
  </w:footnote>
  <w:footnote w:type="continuationSeparator" w:id="0">
    <w:p w:rsidR="00214279" w:rsidRDefault="00214279">
      <w:r>
        <w:continuationSeparator/>
      </w:r>
    </w:p>
  </w:footnote>
  <w:footnote w:id="1">
    <w:p w:rsidR="00257197" w:rsidRPr="001F578D" w:rsidRDefault="00257197" w:rsidP="001F578D">
      <w:pPr>
        <w:pStyle w:val="Textodenotaderodap"/>
        <w:rPr>
          <w:lang w:val="en-US"/>
        </w:rPr>
      </w:pPr>
      <w:r>
        <w:rPr>
          <w:rStyle w:val="Refdenotaderodap"/>
        </w:rPr>
        <w:footnoteRef/>
      </w:r>
      <w:r w:rsidRPr="001F578D">
        <w:rPr>
          <w:lang w:val="en-US"/>
        </w:rPr>
        <w:t xml:space="preserve"> According to a search in </w:t>
      </w:r>
      <w:r>
        <w:rPr>
          <w:lang w:val="en-US"/>
        </w:rPr>
        <w:t>June 2019</w:t>
      </w:r>
      <w:r w:rsidRPr="001F578D">
        <w:rPr>
          <w:lang w:val="en-US"/>
        </w:rPr>
        <w:t xml:space="preserve">, without quotes </w:t>
      </w:r>
      <w:r>
        <w:rPr>
          <w:lang w:val="en-US"/>
        </w:rPr>
        <w:t>and in the “topics” field.</w:t>
      </w:r>
    </w:p>
    <w:p w:rsidR="00257197" w:rsidRPr="001F578D" w:rsidRDefault="00257197">
      <w:pPr>
        <w:pStyle w:val="Textodenotaderodap"/>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197" w:rsidRDefault="0025719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6625C"/>
    <w:multiLevelType w:val="hybridMultilevel"/>
    <w:tmpl w:val="68F6127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wtDAyMTI3M7A0MzVR0lEKTi0uzszPAykwrAUAkqMU8SwAAAA="/>
  </w:docVars>
  <w:rsids>
    <w:rsidRoot w:val="00C263B8"/>
    <w:rsid w:val="00016091"/>
    <w:rsid w:val="00025A31"/>
    <w:rsid w:val="0003111A"/>
    <w:rsid w:val="000414EB"/>
    <w:rsid w:val="00052F91"/>
    <w:rsid w:val="00054D61"/>
    <w:rsid w:val="0006208D"/>
    <w:rsid w:val="000931BE"/>
    <w:rsid w:val="0012005F"/>
    <w:rsid w:val="00143377"/>
    <w:rsid w:val="00143478"/>
    <w:rsid w:val="001722A5"/>
    <w:rsid w:val="00174A34"/>
    <w:rsid w:val="001D388D"/>
    <w:rsid w:val="001E6922"/>
    <w:rsid w:val="001F578D"/>
    <w:rsid w:val="001F7122"/>
    <w:rsid w:val="00214279"/>
    <w:rsid w:val="00257197"/>
    <w:rsid w:val="00280BE8"/>
    <w:rsid w:val="0028176C"/>
    <w:rsid w:val="002A4446"/>
    <w:rsid w:val="002C1AC3"/>
    <w:rsid w:val="002E1DCC"/>
    <w:rsid w:val="003B117F"/>
    <w:rsid w:val="003B4E56"/>
    <w:rsid w:val="004115E5"/>
    <w:rsid w:val="0041265F"/>
    <w:rsid w:val="00413AB5"/>
    <w:rsid w:val="0041683D"/>
    <w:rsid w:val="0048762B"/>
    <w:rsid w:val="004A2CB6"/>
    <w:rsid w:val="00534BBF"/>
    <w:rsid w:val="0059156B"/>
    <w:rsid w:val="005E1CE6"/>
    <w:rsid w:val="005E3A55"/>
    <w:rsid w:val="00611B87"/>
    <w:rsid w:val="006650A1"/>
    <w:rsid w:val="0067229F"/>
    <w:rsid w:val="00696345"/>
    <w:rsid w:val="006C17A1"/>
    <w:rsid w:val="006C2DB8"/>
    <w:rsid w:val="006C5D7A"/>
    <w:rsid w:val="006D01F3"/>
    <w:rsid w:val="006E0365"/>
    <w:rsid w:val="006F1CAF"/>
    <w:rsid w:val="007056D2"/>
    <w:rsid w:val="007717F2"/>
    <w:rsid w:val="007F7571"/>
    <w:rsid w:val="00801936"/>
    <w:rsid w:val="00821512"/>
    <w:rsid w:val="00823BA8"/>
    <w:rsid w:val="008330F6"/>
    <w:rsid w:val="008574F6"/>
    <w:rsid w:val="0087053F"/>
    <w:rsid w:val="00890757"/>
    <w:rsid w:val="00932630"/>
    <w:rsid w:val="0096393C"/>
    <w:rsid w:val="00976D83"/>
    <w:rsid w:val="00993DF4"/>
    <w:rsid w:val="00997A69"/>
    <w:rsid w:val="009E40FC"/>
    <w:rsid w:val="009F631C"/>
    <w:rsid w:val="00A01637"/>
    <w:rsid w:val="00A320A1"/>
    <w:rsid w:val="00A711A0"/>
    <w:rsid w:val="00AC3BA3"/>
    <w:rsid w:val="00AF2A61"/>
    <w:rsid w:val="00B26114"/>
    <w:rsid w:val="00B31AB2"/>
    <w:rsid w:val="00B61ACB"/>
    <w:rsid w:val="00B8732D"/>
    <w:rsid w:val="00BC10CA"/>
    <w:rsid w:val="00BE0BB9"/>
    <w:rsid w:val="00BF7AA1"/>
    <w:rsid w:val="00C0441B"/>
    <w:rsid w:val="00C16C3E"/>
    <w:rsid w:val="00C263B8"/>
    <w:rsid w:val="00C35041"/>
    <w:rsid w:val="00C45071"/>
    <w:rsid w:val="00C66DBC"/>
    <w:rsid w:val="00C85461"/>
    <w:rsid w:val="00C92BE5"/>
    <w:rsid w:val="00CA4568"/>
    <w:rsid w:val="00CB73C2"/>
    <w:rsid w:val="00CC3288"/>
    <w:rsid w:val="00CC7BE8"/>
    <w:rsid w:val="00CF522E"/>
    <w:rsid w:val="00D128C5"/>
    <w:rsid w:val="00D2754C"/>
    <w:rsid w:val="00D55D39"/>
    <w:rsid w:val="00D64AF9"/>
    <w:rsid w:val="00D74F4D"/>
    <w:rsid w:val="00DA2D6C"/>
    <w:rsid w:val="00DC000E"/>
    <w:rsid w:val="00DD113A"/>
    <w:rsid w:val="00DF7458"/>
    <w:rsid w:val="00E269D0"/>
    <w:rsid w:val="00E96CEC"/>
    <w:rsid w:val="00EA2809"/>
    <w:rsid w:val="00EC7173"/>
    <w:rsid w:val="00F001BF"/>
    <w:rsid w:val="00F1427C"/>
    <w:rsid w:val="00F142B9"/>
    <w:rsid w:val="00F24E42"/>
    <w:rsid w:val="00FA1702"/>
    <w:rsid w:val="00FA5FB2"/>
    <w:rsid w:val="00FA642F"/>
    <w:rsid w:val="00FB453C"/>
    <w:rsid w:val="00FC6CB9"/>
    <w:rsid w:val="00FD3C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B96D"/>
  <w15:docId w15:val="{4E93701D-FDB0-4B81-B3C5-87409F60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pt-BR" w:bidi="ar-SA"/>
      </w:rPr>
    </w:rPrDefault>
    <w:pPrDefault>
      <w:pPr>
        <w:spacing w:before="120" w:after="120" w:line="276"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7A1"/>
    <w:pPr>
      <w:spacing w:before="0" w:after="0" w:line="240" w:lineRule="auto"/>
      <w:ind w:firstLine="0"/>
      <w:jc w:val="left"/>
    </w:pPr>
    <w:rPr>
      <w:rFonts w:ascii="Times New Roman" w:eastAsia="Times New Roman" w:hAnsi="Times New Roman" w:cs="Times New Roman"/>
      <w:sz w:val="24"/>
      <w:szCs w:val="24"/>
      <w:lang w:val="pt-BR"/>
    </w:rPr>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1722A5"/>
    <w:pPr>
      <w:ind w:left="720"/>
      <w:contextualSpacing/>
    </w:pPr>
  </w:style>
  <w:style w:type="character" w:customStyle="1" w:styleId="apple-converted-space">
    <w:name w:val="apple-converted-space"/>
    <w:basedOn w:val="Fontepargpadro"/>
    <w:rsid w:val="006C17A1"/>
  </w:style>
  <w:style w:type="paragraph" w:styleId="NormalWeb">
    <w:name w:val="Normal (Web)"/>
    <w:basedOn w:val="Normal"/>
    <w:uiPriority w:val="99"/>
    <w:semiHidden/>
    <w:unhideWhenUsed/>
    <w:rsid w:val="005E1CE6"/>
    <w:pPr>
      <w:spacing w:before="100" w:beforeAutospacing="1" w:after="100" w:afterAutospacing="1"/>
    </w:pPr>
  </w:style>
  <w:style w:type="paragraph" w:styleId="Cabealho">
    <w:name w:val="header"/>
    <w:basedOn w:val="Normal"/>
    <w:link w:val="CabealhoChar"/>
    <w:uiPriority w:val="99"/>
    <w:unhideWhenUsed/>
    <w:rsid w:val="0048762B"/>
    <w:pPr>
      <w:tabs>
        <w:tab w:val="center" w:pos="4252"/>
        <w:tab w:val="right" w:pos="8504"/>
      </w:tabs>
    </w:pPr>
  </w:style>
  <w:style w:type="character" w:customStyle="1" w:styleId="CabealhoChar">
    <w:name w:val="Cabeçalho Char"/>
    <w:basedOn w:val="Fontepargpadro"/>
    <w:link w:val="Cabealho"/>
    <w:uiPriority w:val="99"/>
    <w:rsid w:val="0048762B"/>
    <w:rPr>
      <w:rFonts w:ascii="Times New Roman" w:eastAsia="Times New Roman" w:hAnsi="Times New Roman" w:cs="Times New Roman"/>
      <w:sz w:val="24"/>
      <w:szCs w:val="24"/>
      <w:lang w:val="pt-BR"/>
    </w:rPr>
  </w:style>
  <w:style w:type="paragraph" w:styleId="Rodap">
    <w:name w:val="footer"/>
    <w:basedOn w:val="Normal"/>
    <w:link w:val="RodapChar"/>
    <w:uiPriority w:val="99"/>
    <w:unhideWhenUsed/>
    <w:rsid w:val="0048762B"/>
    <w:pPr>
      <w:tabs>
        <w:tab w:val="center" w:pos="4252"/>
        <w:tab w:val="right" w:pos="8504"/>
      </w:tabs>
    </w:pPr>
  </w:style>
  <w:style w:type="character" w:customStyle="1" w:styleId="RodapChar">
    <w:name w:val="Rodapé Char"/>
    <w:basedOn w:val="Fontepargpadro"/>
    <w:link w:val="Rodap"/>
    <w:uiPriority w:val="99"/>
    <w:rsid w:val="0048762B"/>
    <w:rPr>
      <w:rFonts w:ascii="Times New Roman" w:eastAsia="Times New Roman" w:hAnsi="Times New Roman" w:cs="Times New Roman"/>
      <w:sz w:val="24"/>
      <w:szCs w:val="24"/>
      <w:lang w:val="pt-BR"/>
    </w:rPr>
  </w:style>
  <w:style w:type="paragraph" w:styleId="Textodenotaderodap">
    <w:name w:val="footnote text"/>
    <w:basedOn w:val="Normal"/>
    <w:link w:val="TextodenotaderodapChar"/>
    <w:uiPriority w:val="99"/>
    <w:unhideWhenUsed/>
    <w:rsid w:val="00FA5FB2"/>
    <w:pPr>
      <w:spacing w:before="120"/>
      <w:ind w:firstLine="709"/>
      <w:jc w:val="both"/>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rsid w:val="00FA5FB2"/>
    <w:rPr>
      <w:rFonts w:asciiTheme="minorHAnsi" w:eastAsiaTheme="minorHAnsi" w:hAnsiTheme="minorHAnsi" w:cstheme="minorBidi"/>
      <w:sz w:val="20"/>
      <w:szCs w:val="20"/>
      <w:lang w:val="pt-BR" w:eastAsia="en-US"/>
    </w:rPr>
  </w:style>
  <w:style w:type="character" w:styleId="Refdenotaderodap">
    <w:name w:val="footnote reference"/>
    <w:basedOn w:val="Fontepargpadro"/>
    <w:uiPriority w:val="99"/>
    <w:unhideWhenUsed/>
    <w:rsid w:val="00FA5F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0288">
      <w:bodyDiv w:val="1"/>
      <w:marLeft w:val="0"/>
      <w:marRight w:val="0"/>
      <w:marTop w:val="0"/>
      <w:marBottom w:val="0"/>
      <w:divBdr>
        <w:top w:val="none" w:sz="0" w:space="0" w:color="auto"/>
        <w:left w:val="none" w:sz="0" w:space="0" w:color="auto"/>
        <w:bottom w:val="none" w:sz="0" w:space="0" w:color="auto"/>
        <w:right w:val="none" w:sz="0" w:space="0" w:color="auto"/>
      </w:divBdr>
      <w:divsChild>
        <w:div w:id="597913224">
          <w:marLeft w:val="0"/>
          <w:marRight w:val="0"/>
          <w:marTop w:val="0"/>
          <w:marBottom w:val="0"/>
          <w:divBdr>
            <w:top w:val="none" w:sz="0" w:space="0" w:color="auto"/>
            <w:left w:val="none" w:sz="0" w:space="0" w:color="auto"/>
            <w:bottom w:val="none" w:sz="0" w:space="0" w:color="auto"/>
            <w:right w:val="none" w:sz="0" w:space="0" w:color="auto"/>
          </w:divBdr>
          <w:divsChild>
            <w:div w:id="848367651">
              <w:marLeft w:val="0"/>
              <w:marRight w:val="0"/>
              <w:marTop w:val="0"/>
              <w:marBottom w:val="0"/>
              <w:divBdr>
                <w:top w:val="none" w:sz="0" w:space="0" w:color="auto"/>
                <w:left w:val="none" w:sz="0" w:space="0" w:color="auto"/>
                <w:bottom w:val="none" w:sz="0" w:space="0" w:color="auto"/>
                <w:right w:val="none" w:sz="0" w:space="0" w:color="auto"/>
              </w:divBdr>
              <w:divsChild>
                <w:div w:id="13436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3525">
      <w:bodyDiv w:val="1"/>
      <w:marLeft w:val="0"/>
      <w:marRight w:val="0"/>
      <w:marTop w:val="0"/>
      <w:marBottom w:val="0"/>
      <w:divBdr>
        <w:top w:val="none" w:sz="0" w:space="0" w:color="auto"/>
        <w:left w:val="none" w:sz="0" w:space="0" w:color="auto"/>
        <w:bottom w:val="none" w:sz="0" w:space="0" w:color="auto"/>
        <w:right w:val="none" w:sz="0" w:space="0" w:color="auto"/>
      </w:divBdr>
    </w:div>
    <w:div w:id="265428716">
      <w:bodyDiv w:val="1"/>
      <w:marLeft w:val="0"/>
      <w:marRight w:val="0"/>
      <w:marTop w:val="0"/>
      <w:marBottom w:val="0"/>
      <w:divBdr>
        <w:top w:val="none" w:sz="0" w:space="0" w:color="auto"/>
        <w:left w:val="none" w:sz="0" w:space="0" w:color="auto"/>
        <w:bottom w:val="none" w:sz="0" w:space="0" w:color="auto"/>
        <w:right w:val="none" w:sz="0" w:space="0" w:color="auto"/>
      </w:divBdr>
    </w:div>
    <w:div w:id="356735562">
      <w:bodyDiv w:val="1"/>
      <w:marLeft w:val="0"/>
      <w:marRight w:val="0"/>
      <w:marTop w:val="0"/>
      <w:marBottom w:val="0"/>
      <w:divBdr>
        <w:top w:val="none" w:sz="0" w:space="0" w:color="auto"/>
        <w:left w:val="none" w:sz="0" w:space="0" w:color="auto"/>
        <w:bottom w:val="none" w:sz="0" w:space="0" w:color="auto"/>
        <w:right w:val="none" w:sz="0" w:space="0" w:color="auto"/>
      </w:divBdr>
      <w:divsChild>
        <w:div w:id="788743417">
          <w:marLeft w:val="0"/>
          <w:marRight w:val="0"/>
          <w:marTop w:val="0"/>
          <w:marBottom w:val="0"/>
          <w:divBdr>
            <w:top w:val="none" w:sz="0" w:space="0" w:color="auto"/>
            <w:left w:val="none" w:sz="0" w:space="0" w:color="auto"/>
            <w:bottom w:val="none" w:sz="0" w:space="0" w:color="auto"/>
            <w:right w:val="none" w:sz="0" w:space="0" w:color="auto"/>
          </w:divBdr>
          <w:divsChild>
            <w:div w:id="677542358">
              <w:marLeft w:val="0"/>
              <w:marRight w:val="0"/>
              <w:marTop w:val="0"/>
              <w:marBottom w:val="0"/>
              <w:divBdr>
                <w:top w:val="none" w:sz="0" w:space="0" w:color="auto"/>
                <w:left w:val="none" w:sz="0" w:space="0" w:color="auto"/>
                <w:bottom w:val="none" w:sz="0" w:space="0" w:color="auto"/>
                <w:right w:val="none" w:sz="0" w:space="0" w:color="auto"/>
              </w:divBdr>
              <w:divsChild>
                <w:div w:id="4534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89286">
      <w:bodyDiv w:val="1"/>
      <w:marLeft w:val="0"/>
      <w:marRight w:val="0"/>
      <w:marTop w:val="0"/>
      <w:marBottom w:val="0"/>
      <w:divBdr>
        <w:top w:val="none" w:sz="0" w:space="0" w:color="auto"/>
        <w:left w:val="none" w:sz="0" w:space="0" w:color="auto"/>
        <w:bottom w:val="none" w:sz="0" w:space="0" w:color="auto"/>
        <w:right w:val="none" w:sz="0" w:space="0" w:color="auto"/>
      </w:divBdr>
    </w:div>
    <w:div w:id="530844580">
      <w:bodyDiv w:val="1"/>
      <w:marLeft w:val="0"/>
      <w:marRight w:val="0"/>
      <w:marTop w:val="0"/>
      <w:marBottom w:val="0"/>
      <w:divBdr>
        <w:top w:val="none" w:sz="0" w:space="0" w:color="auto"/>
        <w:left w:val="none" w:sz="0" w:space="0" w:color="auto"/>
        <w:bottom w:val="none" w:sz="0" w:space="0" w:color="auto"/>
        <w:right w:val="none" w:sz="0" w:space="0" w:color="auto"/>
      </w:divBdr>
    </w:div>
    <w:div w:id="532495885">
      <w:bodyDiv w:val="1"/>
      <w:marLeft w:val="0"/>
      <w:marRight w:val="0"/>
      <w:marTop w:val="0"/>
      <w:marBottom w:val="0"/>
      <w:divBdr>
        <w:top w:val="none" w:sz="0" w:space="0" w:color="auto"/>
        <w:left w:val="none" w:sz="0" w:space="0" w:color="auto"/>
        <w:bottom w:val="none" w:sz="0" w:space="0" w:color="auto"/>
        <w:right w:val="none" w:sz="0" w:space="0" w:color="auto"/>
      </w:divBdr>
      <w:divsChild>
        <w:div w:id="411971014">
          <w:marLeft w:val="0"/>
          <w:marRight w:val="0"/>
          <w:marTop w:val="0"/>
          <w:marBottom w:val="0"/>
          <w:divBdr>
            <w:top w:val="none" w:sz="0" w:space="0" w:color="auto"/>
            <w:left w:val="none" w:sz="0" w:space="0" w:color="auto"/>
            <w:bottom w:val="none" w:sz="0" w:space="0" w:color="auto"/>
            <w:right w:val="none" w:sz="0" w:space="0" w:color="auto"/>
          </w:divBdr>
          <w:divsChild>
            <w:div w:id="300968247">
              <w:marLeft w:val="0"/>
              <w:marRight w:val="0"/>
              <w:marTop w:val="0"/>
              <w:marBottom w:val="0"/>
              <w:divBdr>
                <w:top w:val="none" w:sz="0" w:space="0" w:color="auto"/>
                <w:left w:val="none" w:sz="0" w:space="0" w:color="auto"/>
                <w:bottom w:val="none" w:sz="0" w:space="0" w:color="auto"/>
                <w:right w:val="none" w:sz="0" w:space="0" w:color="auto"/>
              </w:divBdr>
              <w:divsChild>
                <w:div w:id="20311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8953">
      <w:bodyDiv w:val="1"/>
      <w:marLeft w:val="0"/>
      <w:marRight w:val="0"/>
      <w:marTop w:val="0"/>
      <w:marBottom w:val="0"/>
      <w:divBdr>
        <w:top w:val="none" w:sz="0" w:space="0" w:color="auto"/>
        <w:left w:val="none" w:sz="0" w:space="0" w:color="auto"/>
        <w:bottom w:val="none" w:sz="0" w:space="0" w:color="auto"/>
        <w:right w:val="none" w:sz="0" w:space="0" w:color="auto"/>
      </w:divBdr>
      <w:divsChild>
        <w:div w:id="1842549182">
          <w:marLeft w:val="0"/>
          <w:marRight w:val="0"/>
          <w:marTop w:val="0"/>
          <w:marBottom w:val="0"/>
          <w:divBdr>
            <w:top w:val="none" w:sz="0" w:space="0" w:color="auto"/>
            <w:left w:val="none" w:sz="0" w:space="0" w:color="auto"/>
            <w:bottom w:val="none" w:sz="0" w:space="0" w:color="auto"/>
            <w:right w:val="none" w:sz="0" w:space="0" w:color="auto"/>
          </w:divBdr>
          <w:divsChild>
            <w:div w:id="555747004">
              <w:marLeft w:val="0"/>
              <w:marRight w:val="0"/>
              <w:marTop w:val="0"/>
              <w:marBottom w:val="0"/>
              <w:divBdr>
                <w:top w:val="none" w:sz="0" w:space="0" w:color="auto"/>
                <w:left w:val="none" w:sz="0" w:space="0" w:color="auto"/>
                <w:bottom w:val="none" w:sz="0" w:space="0" w:color="auto"/>
                <w:right w:val="none" w:sz="0" w:space="0" w:color="auto"/>
              </w:divBdr>
              <w:divsChild>
                <w:div w:id="12842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9566">
      <w:bodyDiv w:val="1"/>
      <w:marLeft w:val="0"/>
      <w:marRight w:val="0"/>
      <w:marTop w:val="0"/>
      <w:marBottom w:val="0"/>
      <w:divBdr>
        <w:top w:val="none" w:sz="0" w:space="0" w:color="auto"/>
        <w:left w:val="none" w:sz="0" w:space="0" w:color="auto"/>
        <w:bottom w:val="none" w:sz="0" w:space="0" w:color="auto"/>
        <w:right w:val="none" w:sz="0" w:space="0" w:color="auto"/>
      </w:divBdr>
    </w:div>
    <w:div w:id="775254315">
      <w:bodyDiv w:val="1"/>
      <w:marLeft w:val="0"/>
      <w:marRight w:val="0"/>
      <w:marTop w:val="0"/>
      <w:marBottom w:val="0"/>
      <w:divBdr>
        <w:top w:val="none" w:sz="0" w:space="0" w:color="auto"/>
        <w:left w:val="none" w:sz="0" w:space="0" w:color="auto"/>
        <w:bottom w:val="none" w:sz="0" w:space="0" w:color="auto"/>
        <w:right w:val="none" w:sz="0" w:space="0" w:color="auto"/>
      </w:divBdr>
      <w:divsChild>
        <w:div w:id="523061491">
          <w:marLeft w:val="0"/>
          <w:marRight w:val="0"/>
          <w:marTop w:val="0"/>
          <w:marBottom w:val="0"/>
          <w:divBdr>
            <w:top w:val="none" w:sz="0" w:space="0" w:color="auto"/>
            <w:left w:val="none" w:sz="0" w:space="0" w:color="auto"/>
            <w:bottom w:val="none" w:sz="0" w:space="0" w:color="auto"/>
            <w:right w:val="none" w:sz="0" w:space="0" w:color="auto"/>
          </w:divBdr>
          <w:divsChild>
            <w:div w:id="379788734">
              <w:marLeft w:val="0"/>
              <w:marRight w:val="0"/>
              <w:marTop w:val="0"/>
              <w:marBottom w:val="0"/>
              <w:divBdr>
                <w:top w:val="none" w:sz="0" w:space="0" w:color="auto"/>
                <w:left w:val="none" w:sz="0" w:space="0" w:color="auto"/>
                <w:bottom w:val="none" w:sz="0" w:space="0" w:color="auto"/>
                <w:right w:val="none" w:sz="0" w:space="0" w:color="auto"/>
              </w:divBdr>
              <w:divsChild>
                <w:div w:id="12795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708">
      <w:bodyDiv w:val="1"/>
      <w:marLeft w:val="0"/>
      <w:marRight w:val="0"/>
      <w:marTop w:val="0"/>
      <w:marBottom w:val="0"/>
      <w:divBdr>
        <w:top w:val="none" w:sz="0" w:space="0" w:color="auto"/>
        <w:left w:val="none" w:sz="0" w:space="0" w:color="auto"/>
        <w:bottom w:val="none" w:sz="0" w:space="0" w:color="auto"/>
        <w:right w:val="none" w:sz="0" w:space="0" w:color="auto"/>
      </w:divBdr>
      <w:divsChild>
        <w:div w:id="25910333">
          <w:marLeft w:val="0"/>
          <w:marRight w:val="0"/>
          <w:marTop w:val="0"/>
          <w:marBottom w:val="0"/>
          <w:divBdr>
            <w:top w:val="none" w:sz="0" w:space="0" w:color="auto"/>
            <w:left w:val="none" w:sz="0" w:space="0" w:color="auto"/>
            <w:bottom w:val="none" w:sz="0" w:space="0" w:color="auto"/>
            <w:right w:val="none" w:sz="0" w:space="0" w:color="auto"/>
          </w:divBdr>
          <w:divsChild>
            <w:div w:id="1276407329">
              <w:marLeft w:val="0"/>
              <w:marRight w:val="0"/>
              <w:marTop w:val="0"/>
              <w:marBottom w:val="0"/>
              <w:divBdr>
                <w:top w:val="none" w:sz="0" w:space="0" w:color="auto"/>
                <w:left w:val="none" w:sz="0" w:space="0" w:color="auto"/>
                <w:bottom w:val="none" w:sz="0" w:space="0" w:color="auto"/>
                <w:right w:val="none" w:sz="0" w:space="0" w:color="auto"/>
              </w:divBdr>
              <w:divsChild>
                <w:div w:id="15031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556">
      <w:bodyDiv w:val="1"/>
      <w:marLeft w:val="0"/>
      <w:marRight w:val="0"/>
      <w:marTop w:val="0"/>
      <w:marBottom w:val="0"/>
      <w:divBdr>
        <w:top w:val="none" w:sz="0" w:space="0" w:color="auto"/>
        <w:left w:val="none" w:sz="0" w:space="0" w:color="auto"/>
        <w:bottom w:val="none" w:sz="0" w:space="0" w:color="auto"/>
        <w:right w:val="none" w:sz="0" w:space="0" w:color="auto"/>
      </w:divBdr>
    </w:div>
    <w:div w:id="1137992493">
      <w:bodyDiv w:val="1"/>
      <w:marLeft w:val="0"/>
      <w:marRight w:val="0"/>
      <w:marTop w:val="0"/>
      <w:marBottom w:val="0"/>
      <w:divBdr>
        <w:top w:val="none" w:sz="0" w:space="0" w:color="auto"/>
        <w:left w:val="none" w:sz="0" w:space="0" w:color="auto"/>
        <w:bottom w:val="none" w:sz="0" w:space="0" w:color="auto"/>
        <w:right w:val="none" w:sz="0" w:space="0" w:color="auto"/>
      </w:divBdr>
    </w:div>
    <w:div w:id="1193691961">
      <w:bodyDiv w:val="1"/>
      <w:marLeft w:val="0"/>
      <w:marRight w:val="0"/>
      <w:marTop w:val="0"/>
      <w:marBottom w:val="0"/>
      <w:divBdr>
        <w:top w:val="none" w:sz="0" w:space="0" w:color="auto"/>
        <w:left w:val="none" w:sz="0" w:space="0" w:color="auto"/>
        <w:bottom w:val="none" w:sz="0" w:space="0" w:color="auto"/>
        <w:right w:val="none" w:sz="0" w:space="0" w:color="auto"/>
      </w:divBdr>
    </w:div>
    <w:div w:id="1229658010">
      <w:bodyDiv w:val="1"/>
      <w:marLeft w:val="0"/>
      <w:marRight w:val="0"/>
      <w:marTop w:val="0"/>
      <w:marBottom w:val="0"/>
      <w:divBdr>
        <w:top w:val="none" w:sz="0" w:space="0" w:color="auto"/>
        <w:left w:val="none" w:sz="0" w:space="0" w:color="auto"/>
        <w:bottom w:val="none" w:sz="0" w:space="0" w:color="auto"/>
        <w:right w:val="none" w:sz="0" w:space="0" w:color="auto"/>
      </w:divBdr>
    </w:div>
    <w:div w:id="1363632589">
      <w:bodyDiv w:val="1"/>
      <w:marLeft w:val="0"/>
      <w:marRight w:val="0"/>
      <w:marTop w:val="0"/>
      <w:marBottom w:val="0"/>
      <w:divBdr>
        <w:top w:val="none" w:sz="0" w:space="0" w:color="auto"/>
        <w:left w:val="none" w:sz="0" w:space="0" w:color="auto"/>
        <w:bottom w:val="none" w:sz="0" w:space="0" w:color="auto"/>
        <w:right w:val="none" w:sz="0" w:space="0" w:color="auto"/>
      </w:divBdr>
    </w:div>
    <w:div w:id="1459953048">
      <w:bodyDiv w:val="1"/>
      <w:marLeft w:val="0"/>
      <w:marRight w:val="0"/>
      <w:marTop w:val="0"/>
      <w:marBottom w:val="0"/>
      <w:divBdr>
        <w:top w:val="none" w:sz="0" w:space="0" w:color="auto"/>
        <w:left w:val="none" w:sz="0" w:space="0" w:color="auto"/>
        <w:bottom w:val="none" w:sz="0" w:space="0" w:color="auto"/>
        <w:right w:val="none" w:sz="0" w:space="0" w:color="auto"/>
      </w:divBdr>
      <w:divsChild>
        <w:div w:id="298809455">
          <w:marLeft w:val="0"/>
          <w:marRight w:val="0"/>
          <w:marTop w:val="0"/>
          <w:marBottom w:val="0"/>
          <w:divBdr>
            <w:top w:val="none" w:sz="0" w:space="0" w:color="auto"/>
            <w:left w:val="none" w:sz="0" w:space="0" w:color="auto"/>
            <w:bottom w:val="none" w:sz="0" w:space="0" w:color="auto"/>
            <w:right w:val="none" w:sz="0" w:space="0" w:color="auto"/>
          </w:divBdr>
          <w:divsChild>
            <w:div w:id="1749882178">
              <w:marLeft w:val="0"/>
              <w:marRight w:val="0"/>
              <w:marTop w:val="0"/>
              <w:marBottom w:val="0"/>
              <w:divBdr>
                <w:top w:val="none" w:sz="0" w:space="0" w:color="auto"/>
                <w:left w:val="none" w:sz="0" w:space="0" w:color="auto"/>
                <w:bottom w:val="none" w:sz="0" w:space="0" w:color="auto"/>
                <w:right w:val="none" w:sz="0" w:space="0" w:color="auto"/>
              </w:divBdr>
              <w:divsChild>
                <w:div w:id="7143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42957">
      <w:bodyDiv w:val="1"/>
      <w:marLeft w:val="0"/>
      <w:marRight w:val="0"/>
      <w:marTop w:val="0"/>
      <w:marBottom w:val="0"/>
      <w:divBdr>
        <w:top w:val="none" w:sz="0" w:space="0" w:color="auto"/>
        <w:left w:val="none" w:sz="0" w:space="0" w:color="auto"/>
        <w:bottom w:val="none" w:sz="0" w:space="0" w:color="auto"/>
        <w:right w:val="none" w:sz="0" w:space="0" w:color="auto"/>
      </w:divBdr>
      <w:divsChild>
        <w:div w:id="1950234977">
          <w:marLeft w:val="0"/>
          <w:marRight w:val="0"/>
          <w:marTop w:val="0"/>
          <w:marBottom w:val="0"/>
          <w:divBdr>
            <w:top w:val="none" w:sz="0" w:space="0" w:color="auto"/>
            <w:left w:val="none" w:sz="0" w:space="0" w:color="auto"/>
            <w:bottom w:val="none" w:sz="0" w:space="0" w:color="auto"/>
            <w:right w:val="none" w:sz="0" w:space="0" w:color="auto"/>
          </w:divBdr>
          <w:divsChild>
            <w:div w:id="1862090419">
              <w:marLeft w:val="0"/>
              <w:marRight w:val="0"/>
              <w:marTop w:val="0"/>
              <w:marBottom w:val="0"/>
              <w:divBdr>
                <w:top w:val="none" w:sz="0" w:space="0" w:color="auto"/>
                <w:left w:val="none" w:sz="0" w:space="0" w:color="auto"/>
                <w:bottom w:val="none" w:sz="0" w:space="0" w:color="auto"/>
                <w:right w:val="none" w:sz="0" w:space="0" w:color="auto"/>
              </w:divBdr>
              <w:divsChild>
                <w:div w:id="16773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7021">
      <w:bodyDiv w:val="1"/>
      <w:marLeft w:val="0"/>
      <w:marRight w:val="0"/>
      <w:marTop w:val="0"/>
      <w:marBottom w:val="0"/>
      <w:divBdr>
        <w:top w:val="none" w:sz="0" w:space="0" w:color="auto"/>
        <w:left w:val="none" w:sz="0" w:space="0" w:color="auto"/>
        <w:bottom w:val="none" w:sz="0" w:space="0" w:color="auto"/>
        <w:right w:val="none" w:sz="0" w:space="0" w:color="auto"/>
      </w:divBdr>
      <w:divsChild>
        <w:div w:id="1776248238">
          <w:marLeft w:val="0"/>
          <w:marRight w:val="0"/>
          <w:marTop w:val="0"/>
          <w:marBottom w:val="0"/>
          <w:divBdr>
            <w:top w:val="none" w:sz="0" w:space="0" w:color="auto"/>
            <w:left w:val="none" w:sz="0" w:space="0" w:color="auto"/>
            <w:bottom w:val="none" w:sz="0" w:space="0" w:color="auto"/>
            <w:right w:val="none" w:sz="0" w:space="0" w:color="auto"/>
          </w:divBdr>
          <w:divsChild>
            <w:div w:id="1815217345">
              <w:marLeft w:val="0"/>
              <w:marRight w:val="0"/>
              <w:marTop w:val="0"/>
              <w:marBottom w:val="0"/>
              <w:divBdr>
                <w:top w:val="none" w:sz="0" w:space="0" w:color="auto"/>
                <w:left w:val="none" w:sz="0" w:space="0" w:color="auto"/>
                <w:bottom w:val="none" w:sz="0" w:space="0" w:color="auto"/>
                <w:right w:val="none" w:sz="0" w:space="0" w:color="auto"/>
              </w:divBdr>
              <w:divsChild>
                <w:div w:id="247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2789">
      <w:bodyDiv w:val="1"/>
      <w:marLeft w:val="0"/>
      <w:marRight w:val="0"/>
      <w:marTop w:val="0"/>
      <w:marBottom w:val="0"/>
      <w:divBdr>
        <w:top w:val="none" w:sz="0" w:space="0" w:color="auto"/>
        <w:left w:val="none" w:sz="0" w:space="0" w:color="auto"/>
        <w:bottom w:val="none" w:sz="0" w:space="0" w:color="auto"/>
        <w:right w:val="none" w:sz="0" w:space="0" w:color="auto"/>
      </w:divBdr>
      <w:divsChild>
        <w:div w:id="425342252">
          <w:marLeft w:val="0"/>
          <w:marRight w:val="0"/>
          <w:marTop w:val="0"/>
          <w:marBottom w:val="0"/>
          <w:divBdr>
            <w:top w:val="none" w:sz="0" w:space="0" w:color="auto"/>
            <w:left w:val="none" w:sz="0" w:space="0" w:color="auto"/>
            <w:bottom w:val="none" w:sz="0" w:space="0" w:color="auto"/>
            <w:right w:val="none" w:sz="0" w:space="0" w:color="auto"/>
          </w:divBdr>
          <w:divsChild>
            <w:div w:id="1980836651">
              <w:marLeft w:val="0"/>
              <w:marRight w:val="0"/>
              <w:marTop w:val="0"/>
              <w:marBottom w:val="0"/>
              <w:divBdr>
                <w:top w:val="none" w:sz="0" w:space="0" w:color="auto"/>
                <w:left w:val="none" w:sz="0" w:space="0" w:color="auto"/>
                <w:bottom w:val="none" w:sz="0" w:space="0" w:color="auto"/>
                <w:right w:val="none" w:sz="0" w:space="0" w:color="auto"/>
              </w:divBdr>
              <w:divsChild>
                <w:div w:id="9291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426993876">
          <w:marLeft w:val="0"/>
          <w:marRight w:val="0"/>
          <w:marTop w:val="0"/>
          <w:marBottom w:val="0"/>
          <w:divBdr>
            <w:top w:val="none" w:sz="0" w:space="0" w:color="auto"/>
            <w:left w:val="none" w:sz="0" w:space="0" w:color="auto"/>
            <w:bottom w:val="none" w:sz="0" w:space="0" w:color="auto"/>
            <w:right w:val="none" w:sz="0" w:space="0" w:color="auto"/>
          </w:divBdr>
          <w:divsChild>
            <w:div w:id="162479204">
              <w:marLeft w:val="0"/>
              <w:marRight w:val="0"/>
              <w:marTop w:val="0"/>
              <w:marBottom w:val="0"/>
              <w:divBdr>
                <w:top w:val="none" w:sz="0" w:space="0" w:color="auto"/>
                <w:left w:val="none" w:sz="0" w:space="0" w:color="auto"/>
                <w:bottom w:val="none" w:sz="0" w:space="0" w:color="auto"/>
                <w:right w:val="none" w:sz="0" w:space="0" w:color="auto"/>
              </w:divBdr>
              <w:divsChild>
                <w:div w:id="19705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4253">
      <w:bodyDiv w:val="1"/>
      <w:marLeft w:val="0"/>
      <w:marRight w:val="0"/>
      <w:marTop w:val="0"/>
      <w:marBottom w:val="0"/>
      <w:divBdr>
        <w:top w:val="none" w:sz="0" w:space="0" w:color="auto"/>
        <w:left w:val="none" w:sz="0" w:space="0" w:color="auto"/>
        <w:bottom w:val="none" w:sz="0" w:space="0" w:color="auto"/>
        <w:right w:val="none" w:sz="0" w:space="0" w:color="auto"/>
      </w:divBdr>
    </w:div>
    <w:div w:id="2073769035">
      <w:bodyDiv w:val="1"/>
      <w:marLeft w:val="0"/>
      <w:marRight w:val="0"/>
      <w:marTop w:val="0"/>
      <w:marBottom w:val="0"/>
      <w:divBdr>
        <w:top w:val="none" w:sz="0" w:space="0" w:color="auto"/>
        <w:left w:val="none" w:sz="0" w:space="0" w:color="auto"/>
        <w:bottom w:val="none" w:sz="0" w:space="0" w:color="auto"/>
        <w:right w:val="none" w:sz="0" w:space="0" w:color="auto"/>
      </w:divBdr>
      <w:divsChild>
        <w:div w:id="334235488">
          <w:marLeft w:val="0"/>
          <w:marRight w:val="0"/>
          <w:marTop w:val="0"/>
          <w:marBottom w:val="0"/>
          <w:divBdr>
            <w:top w:val="none" w:sz="0" w:space="0" w:color="auto"/>
            <w:left w:val="none" w:sz="0" w:space="0" w:color="auto"/>
            <w:bottom w:val="none" w:sz="0" w:space="0" w:color="auto"/>
            <w:right w:val="none" w:sz="0" w:space="0" w:color="auto"/>
          </w:divBdr>
          <w:divsChild>
            <w:div w:id="1774547419">
              <w:marLeft w:val="0"/>
              <w:marRight w:val="0"/>
              <w:marTop w:val="0"/>
              <w:marBottom w:val="0"/>
              <w:divBdr>
                <w:top w:val="none" w:sz="0" w:space="0" w:color="auto"/>
                <w:left w:val="none" w:sz="0" w:space="0" w:color="auto"/>
                <w:bottom w:val="none" w:sz="0" w:space="0" w:color="auto"/>
                <w:right w:val="none" w:sz="0" w:space="0" w:color="auto"/>
              </w:divBdr>
              <w:divsChild>
                <w:div w:id="16599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4022">
      <w:bodyDiv w:val="1"/>
      <w:marLeft w:val="0"/>
      <w:marRight w:val="0"/>
      <w:marTop w:val="0"/>
      <w:marBottom w:val="0"/>
      <w:divBdr>
        <w:top w:val="none" w:sz="0" w:space="0" w:color="auto"/>
        <w:left w:val="none" w:sz="0" w:space="0" w:color="auto"/>
        <w:bottom w:val="none" w:sz="0" w:space="0" w:color="auto"/>
        <w:right w:val="none" w:sz="0" w:space="0" w:color="auto"/>
      </w:divBdr>
      <w:divsChild>
        <w:div w:id="122579351">
          <w:marLeft w:val="0"/>
          <w:marRight w:val="0"/>
          <w:marTop w:val="0"/>
          <w:marBottom w:val="0"/>
          <w:divBdr>
            <w:top w:val="none" w:sz="0" w:space="0" w:color="auto"/>
            <w:left w:val="none" w:sz="0" w:space="0" w:color="auto"/>
            <w:bottom w:val="none" w:sz="0" w:space="0" w:color="auto"/>
            <w:right w:val="none" w:sz="0" w:space="0" w:color="auto"/>
          </w:divBdr>
          <w:divsChild>
            <w:div w:id="1458448417">
              <w:marLeft w:val="0"/>
              <w:marRight w:val="0"/>
              <w:marTop w:val="0"/>
              <w:marBottom w:val="0"/>
              <w:divBdr>
                <w:top w:val="none" w:sz="0" w:space="0" w:color="auto"/>
                <w:left w:val="none" w:sz="0" w:space="0" w:color="auto"/>
                <w:bottom w:val="none" w:sz="0" w:space="0" w:color="auto"/>
                <w:right w:val="none" w:sz="0" w:space="0" w:color="auto"/>
              </w:divBdr>
              <w:divsChild>
                <w:div w:id="17838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3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C6FB0-604C-4908-BD9F-474CA6D2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5667</Words>
  <Characters>30602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César</dc:creator>
  <cp:lastModifiedBy>Bruno Araujo</cp:lastModifiedBy>
  <cp:revision>2</cp:revision>
  <dcterms:created xsi:type="dcterms:W3CDTF">2019-07-21T22:02:00Z</dcterms:created>
  <dcterms:modified xsi:type="dcterms:W3CDTF">2019-07-21T22:02:00Z</dcterms:modified>
</cp:coreProperties>
</file>