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F33" w:rsidRPr="00F47284" w:rsidRDefault="009E2E86" w:rsidP="003B78A3">
      <w:pPr>
        <w:pStyle w:val="Ttulo10"/>
        <w:spacing w:before="312" w:after="312"/>
        <w:rPr>
          <w:sz w:val="32"/>
          <w:szCs w:val="24"/>
          <w:lang w:val="pt-BR"/>
        </w:rPr>
      </w:pPr>
      <w:r w:rsidRPr="00F47284">
        <w:rPr>
          <w:sz w:val="32"/>
          <w:szCs w:val="24"/>
          <w:lang w:val="pt-BR"/>
        </w:rPr>
        <w:t>O ambiente político e a</w:t>
      </w:r>
      <w:r w:rsidR="006C223B" w:rsidRPr="00F47284">
        <w:rPr>
          <w:sz w:val="32"/>
          <w:szCs w:val="24"/>
          <w:lang w:val="pt-BR"/>
        </w:rPr>
        <w:t xml:space="preserve"> atração de investimento externo direto</w:t>
      </w:r>
      <w:r w:rsidRPr="00F47284">
        <w:rPr>
          <w:sz w:val="32"/>
          <w:szCs w:val="24"/>
          <w:lang w:val="pt-BR"/>
        </w:rPr>
        <w:t>: uma abordagem institucionalista</w:t>
      </w:r>
      <w:r w:rsidR="001C5F33" w:rsidRPr="00F47284">
        <w:rPr>
          <w:sz w:val="32"/>
          <w:szCs w:val="24"/>
          <w:lang w:val="pt-BR"/>
        </w:rPr>
        <w:t xml:space="preserve"> </w:t>
      </w:r>
    </w:p>
    <w:p w:rsidR="001615BB" w:rsidRPr="00F47284" w:rsidRDefault="006C223B" w:rsidP="003B78A3">
      <w:pPr>
        <w:pStyle w:val="author1"/>
        <w:spacing w:after="312"/>
        <w:rPr>
          <w:sz w:val="24"/>
          <w:szCs w:val="24"/>
          <w:lang w:val="pt-BR"/>
        </w:rPr>
      </w:pPr>
      <w:r w:rsidRPr="00F47284">
        <w:rPr>
          <w:sz w:val="24"/>
          <w:szCs w:val="24"/>
          <w:lang w:val="pt-BR"/>
        </w:rPr>
        <w:t>Ana Paula Menezes Pereira</w:t>
      </w:r>
      <w:r w:rsidRPr="00F47284">
        <w:rPr>
          <w:sz w:val="24"/>
          <w:szCs w:val="24"/>
          <w:vertAlign w:val="superscript"/>
          <w:lang w:val="pt-BR"/>
        </w:rPr>
        <w:t>1</w:t>
      </w:r>
      <w:r w:rsidR="001615BB" w:rsidRPr="00F47284">
        <w:rPr>
          <w:sz w:val="24"/>
          <w:szCs w:val="24"/>
          <w:lang w:val="pt-BR"/>
        </w:rPr>
        <w:t>, Eduardo</w:t>
      </w:r>
      <w:r w:rsidR="00CB742F" w:rsidRPr="00F47284">
        <w:rPr>
          <w:sz w:val="24"/>
          <w:szCs w:val="24"/>
          <w:lang w:val="pt-BR"/>
        </w:rPr>
        <w:t xml:space="preserve"> Henrique de Borba</w:t>
      </w:r>
      <w:r w:rsidR="00CB742F" w:rsidRPr="00F47284">
        <w:rPr>
          <w:rStyle w:val="Refdenotaderodap"/>
          <w:sz w:val="24"/>
          <w:szCs w:val="24"/>
          <w:lang w:val="pt-BR"/>
        </w:rPr>
        <w:footnoteReference w:id="1"/>
      </w:r>
    </w:p>
    <w:p w:rsidR="00BB7818" w:rsidRPr="00F47284" w:rsidRDefault="0076017E" w:rsidP="003B78A3">
      <w:pPr>
        <w:pStyle w:val="author1"/>
        <w:numPr>
          <w:ilvl w:val="0"/>
          <w:numId w:val="2"/>
        </w:numPr>
        <w:spacing w:after="312"/>
        <w:rPr>
          <w:sz w:val="20"/>
          <w:szCs w:val="24"/>
          <w:lang w:val="pt-BR"/>
        </w:rPr>
      </w:pPr>
      <w:r w:rsidRPr="00F47284">
        <w:rPr>
          <w:sz w:val="20"/>
          <w:szCs w:val="24"/>
          <w:shd w:val="clear" w:color="auto" w:fill="FFFFFF"/>
          <w:lang w:val="pt-BR"/>
        </w:rPr>
        <w:t>Centro de Ciências da Administração e Socioeconômicas</w:t>
      </w:r>
      <w:r w:rsidR="001615BB" w:rsidRPr="00F47284">
        <w:rPr>
          <w:sz w:val="20"/>
          <w:szCs w:val="24"/>
          <w:shd w:val="clear" w:color="auto" w:fill="FFFFFF"/>
          <w:lang w:val="pt-BR"/>
        </w:rPr>
        <w:t>, Universidade do Estado de Santa Catarina, Brasil</w:t>
      </w:r>
      <w:r w:rsidR="00A57BED" w:rsidRPr="00F47284">
        <w:rPr>
          <w:sz w:val="20"/>
          <w:szCs w:val="24"/>
          <w:lang w:val="pt-BR"/>
        </w:rPr>
        <w:t>)</w:t>
      </w:r>
    </w:p>
    <w:p w:rsidR="0005186C" w:rsidRPr="00F47284" w:rsidRDefault="007C73C4" w:rsidP="003B78A3">
      <w:pPr>
        <w:pStyle w:val="Text1"/>
        <w:ind w:firstLineChars="0" w:firstLine="0"/>
        <w:rPr>
          <w:sz w:val="22"/>
          <w:szCs w:val="24"/>
          <w:lang w:val="pt-BR"/>
        </w:rPr>
      </w:pPr>
      <w:r w:rsidRPr="00F47284">
        <w:rPr>
          <w:b/>
          <w:sz w:val="22"/>
          <w:szCs w:val="24"/>
          <w:lang w:val="pt-BR"/>
        </w:rPr>
        <w:t>Resumo</w:t>
      </w:r>
      <w:r w:rsidR="00C2502F" w:rsidRPr="00F47284">
        <w:rPr>
          <w:b/>
          <w:sz w:val="22"/>
          <w:szCs w:val="24"/>
          <w:lang w:val="pt-BR"/>
        </w:rPr>
        <w:t>:</w:t>
      </w:r>
      <w:r w:rsidR="001615BB" w:rsidRPr="00F47284">
        <w:rPr>
          <w:sz w:val="22"/>
          <w:szCs w:val="24"/>
          <w:lang w:val="pt-BR"/>
        </w:rPr>
        <w:t xml:space="preserve"> </w:t>
      </w:r>
      <w:r w:rsidR="00F54C51" w:rsidRPr="00F47284">
        <w:rPr>
          <w:rFonts w:eastAsia="Times New Roman"/>
          <w:sz w:val="22"/>
          <w:szCs w:val="24"/>
          <w:lang w:val="pt-BR" w:eastAsia="pt-BR"/>
        </w:rPr>
        <w:t>Visando</w:t>
      </w:r>
      <w:r w:rsidR="001615BB" w:rsidRPr="00F47284">
        <w:rPr>
          <w:rFonts w:eastAsia="Times New Roman"/>
          <w:sz w:val="22"/>
          <w:szCs w:val="24"/>
          <w:lang w:val="pt-BR" w:eastAsia="pt-BR"/>
        </w:rPr>
        <w:t xml:space="preserve"> contribuir na geração de evidências sobre a hipótese </w:t>
      </w:r>
      <w:r w:rsidR="00DF5D3B" w:rsidRPr="00F47284">
        <w:rPr>
          <w:rFonts w:eastAsia="Times New Roman"/>
          <w:sz w:val="22"/>
          <w:szCs w:val="24"/>
          <w:lang w:val="pt-BR" w:eastAsia="pt-BR"/>
        </w:rPr>
        <w:t>de que fatores políticos seriam importante na</w:t>
      </w:r>
      <w:r w:rsidR="001615BB" w:rsidRPr="00F47284">
        <w:rPr>
          <w:rFonts w:eastAsia="Times New Roman"/>
          <w:sz w:val="22"/>
          <w:szCs w:val="24"/>
          <w:lang w:val="pt-BR" w:eastAsia="pt-BR"/>
        </w:rPr>
        <w:t xml:space="preserve"> atração de Investimento Externo Direto (IED), </w:t>
      </w:r>
      <w:r w:rsidR="009B62A0" w:rsidRPr="00F47284">
        <w:rPr>
          <w:rFonts w:eastAsia="Times New Roman"/>
          <w:sz w:val="22"/>
          <w:szCs w:val="24"/>
          <w:lang w:val="pt-BR" w:eastAsia="pt-BR"/>
        </w:rPr>
        <w:t>buscou</w:t>
      </w:r>
      <w:r w:rsidR="001615BB" w:rsidRPr="00F47284">
        <w:rPr>
          <w:rFonts w:eastAsia="Times New Roman"/>
          <w:sz w:val="22"/>
          <w:szCs w:val="24"/>
          <w:lang w:val="pt-BR" w:eastAsia="pt-BR"/>
        </w:rPr>
        <w:t>-se</w:t>
      </w:r>
      <w:r w:rsidR="001615BB" w:rsidRPr="00F47284">
        <w:rPr>
          <w:sz w:val="22"/>
          <w:szCs w:val="24"/>
          <w:lang w:val="pt-BR"/>
        </w:rPr>
        <w:t xml:space="preserve"> identific</w:t>
      </w:r>
      <w:r w:rsidR="00F44A31" w:rsidRPr="00F47284">
        <w:rPr>
          <w:sz w:val="22"/>
          <w:szCs w:val="24"/>
          <w:lang w:val="pt-BR"/>
        </w:rPr>
        <w:t>ar a relação entre</w:t>
      </w:r>
      <w:r w:rsidR="00F54C51" w:rsidRPr="00F47284">
        <w:rPr>
          <w:sz w:val="22"/>
          <w:szCs w:val="24"/>
          <w:lang w:val="pt-BR"/>
        </w:rPr>
        <w:t xml:space="preserve"> a qualidade dos arranjos institucionais</w:t>
      </w:r>
      <w:r w:rsidR="00DF5D3B" w:rsidRPr="00F47284">
        <w:rPr>
          <w:sz w:val="22"/>
          <w:szCs w:val="24"/>
          <w:lang w:val="pt-BR"/>
        </w:rPr>
        <w:t xml:space="preserve"> do ambiente político</w:t>
      </w:r>
      <w:r w:rsidR="001615BB" w:rsidRPr="00F47284">
        <w:rPr>
          <w:sz w:val="22"/>
          <w:szCs w:val="24"/>
          <w:lang w:val="pt-BR"/>
        </w:rPr>
        <w:t xml:space="preserve"> e a atração do IED</w:t>
      </w:r>
      <w:r w:rsidR="00DF5D3B" w:rsidRPr="00F47284">
        <w:rPr>
          <w:sz w:val="22"/>
          <w:szCs w:val="24"/>
          <w:lang w:val="pt-BR"/>
        </w:rPr>
        <w:t>, ao se estimar modelos de painel para 123 países, de 2011 a 2016, onde a variável dependente foi o fluxo líquido de entrada de investimento externo direto expresso em percentagem do p</w:t>
      </w:r>
      <w:r w:rsidR="00F47284">
        <w:rPr>
          <w:sz w:val="22"/>
          <w:szCs w:val="24"/>
          <w:lang w:val="pt-BR"/>
        </w:rPr>
        <w:t>roduto interno bruto, explicado</w:t>
      </w:r>
      <w:r w:rsidR="00DF5D3B" w:rsidRPr="00F47284">
        <w:rPr>
          <w:sz w:val="22"/>
          <w:szCs w:val="24"/>
          <w:lang w:val="pt-BR"/>
        </w:rPr>
        <w:t xml:space="preserve"> por variáveis institucionais </w:t>
      </w:r>
      <w:r w:rsidR="00503D49" w:rsidRPr="00F47284">
        <w:rPr>
          <w:sz w:val="22"/>
          <w:szCs w:val="24"/>
          <w:lang w:val="pt-BR"/>
        </w:rPr>
        <w:t>relacionadas</w:t>
      </w:r>
      <w:r w:rsidR="00DF5D3B" w:rsidRPr="00F47284">
        <w:rPr>
          <w:sz w:val="22"/>
          <w:szCs w:val="24"/>
          <w:lang w:val="pt-BR"/>
        </w:rPr>
        <w:t xml:space="preserve"> à </w:t>
      </w:r>
      <w:r w:rsidR="001615BB" w:rsidRPr="00F47284">
        <w:rPr>
          <w:sz w:val="22"/>
          <w:szCs w:val="24"/>
          <w:lang w:val="pt-BR"/>
        </w:rPr>
        <w:t>dimensão política: “ambiente político” e “estabilidade política e ausência de violência e terrorismo”. Além das variáveis de interesse, ou seja, as institucionais, foram utilizadas variáveis de controle</w:t>
      </w:r>
      <w:r w:rsidR="00DF5D3B" w:rsidRPr="00F47284">
        <w:rPr>
          <w:sz w:val="22"/>
          <w:szCs w:val="24"/>
          <w:lang w:val="pt-BR"/>
        </w:rPr>
        <w:t>:</w:t>
      </w:r>
      <w:r w:rsidR="009E2E86" w:rsidRPr="00F47284">
        <w:rPr>
          <w:sz w:val="22"/>
          <w:szCs w:val="24"/>
          <w:lang w:val="pt-BR"/>
        </w:rPr>
        <w:t xml:space="preserve"> </w:t>
      </w:r>
      <w:r w:rsidR="001615BB" w:rsidRPr="00F47284">
        <w:rPr>
          <w:sz w:val="22"/>
          <w:szCs w:val="24"/>
          <w:lang w:val="pt-BR"/>
        </w:rPr>
        <w:t>inflação, taxa de câmbio, formação bruta de capital e taxa de crescimento anual do PIB.</w:t>
      </w:r>
      <w:r w:rsidR="009E2E86" w:rsidRPr="00F47284">
        <w:rPr>
          <w:sz w:val="22"/>
          <w:szCs w:val="24"/>
          <w:lang w:val="pt-BR"/>
        </w:rPr>
        <w:t xml:space="preserve"> Devido à forte correlação entre as variáveis</w:t>
      </w:r>
      <w:r w:rsidR="00DF5D3B" w:rsidRPr="00F47284">
        <w:rPr>
          <w:sz w:val="22"/>
          <w:szCs w:val="24"/>
          <w:lang w:val="pt-BR"/>
        </w:rPr>
        <w:t xml:space="preserve"> institucionais</w:t>
      </w:r>
      <w:r w:rsidR="009E2E86" w:rsidRPr="00F47284">
        <w:rPr>
          <w:sz w:val="22"/>
          <w:szCs w:val="24"/>
          <w:lang w:val="pt-BR"/>
        </w:rPr>
        <w:t xml:space="preserve">, </w:t>
      </w:r>
      <w:r w:rsidR="00A05AB3" w:rsidRPr="00F47284">
        <w:rPr>
          <w:sz w:val="22"/>
          <w:szCs w:val="24"/>
          <w:lang w:val="pt-BR"/>
        </w:rPr>
        <w:t>estas foram avaliadas em modelos diferentes,</w:t>
      </w:r>
      <w:r w:rsidR="00DF5D3B" w:rsidRPr="00F47284">
        <w:rPr>
          <w:sz w:val="22"/>
          <w:szCs w:val="24"/>
          <w:lang w:val="pt-BR"/>
        </w:rPr>
        <w:t xml:space="preserve"> e</w:t>
      </w:r>
      <w:r w:rsidR="00A05AB3" w:rsidRPr="00F47284">
        <w:rPr>
          <w:sz w:val="22"/>
          <w:szCs w:val="24"/>
          <w:lang w:val="pt-BR"/>
        </w:rPr>
        <w:t xml:space="preserve"> em versões alternativas, com e sem a utilização de variáveis instrumentais. Entre os instrumentos, </w:t>
      </w:r>
      <w:r w:rsidR="003B78A3">
        <w:rPr>
          <w:sz w:val="22"/>
          <w:szCs w:val="24"/>
          <w:lang w:val="pt-BR"/>
        </w:rPr>
        <w:t>foram escolhidas</w:t>
      </w:r>
      <w:r w:rsidR="00A05AB3" w:rsidRPr="00F47284">
        <w:rPr>
          <w:sz w:val="22"/>
          <w:szCs w:val="24"/>
          <w:lang w:val="pt-BR"/>
        </w:rPr>
        <w:t xml:space="preserve"> variáveis que refletissem as insti</w:t>
      </w:r>
      <w:r w:rsidR="003B78A3">
        <w:rPr>
          <w:sz w:val="22"/>
          <w:szCs w:val="24"/>
          <w:lang w:val="pt-BR"/>
        </w:rPr>
        <w:t>tuições informais, utilizadas</w:t>
      </w:r>
      <w:r w:rsidR="00A05AB3" w:rsidRPr="00F47284">
        <w:rPr>
          <w:sz w:val="22"/>
          <w:szCs w:val="24"/>
          <w:lang w:val="pt-BR"/>
        </w:rPr>
        <w:t xml:space="preserve"> como </w:t>
      </w:r>
      <w:r w:rsidR="00A05AB3" w:rsidRPr="00F47284">
        <w:rPr>
          <w:i/>
          <w:sz w:val="22"/>
          <w:szCs w:val="24"/>
          <w:lang w:val="pt-BR"/>
        </w:rPr>
        <w:t>proxy</w:t>
      </w:r>
      <w:r w:rsidR="003B78A3">
        <w:rPr>
          <w:sz w:val="22"/>
          <w:szCs w:val="24"/>
          <w:lang w:val="pt-BR"/>
        </w:rPr>
        <w:t xml:space="preserve"> </w:t>
      </w:r>
      <w:proofErr w:type="gramStart"/>
      <w:r w:rsidR="003B78A3">
        <w:rPr>
          <w:sz w:val="22"/>
          <w:szCs w:val="24"/>
          <w:lang w:val="pt-BR"/>
        </w:rPr>
        <w:t>para</w:t>
      </w:r>
      <w:proofErr w:type="gramEnd"/>
      <w:r w:rsidR="003B78A3">
        <w:rPr>
          <w:sz w:val="22"/>
          <w:szCs w:val="24"/>
          <w:lang w:val="pt-BR"/>
        </w:rPr>
        <w:t xml:space="preserve"> formação cultural e</w:t>
      </w:r>
      <w:r w:rsidR="00A05AB3" w:rsidRPr="00F47284">
        <w:rPr>
          <w:sz w:val="22"/>
          <w:szCs w:val="24"/>
          <w:lang w:val="pt-BR"/>
        </w:rPr>
        <w:t xml:space="preserve"> estrutura religiosa dos países. Os resultados sugerem, em todos os modelos estimados, que a </w:t>
      </w:r>
      <w:r w:rsidR="009E3FAA" w:rsidRPr="00F47284">
        <w:rPr>
          <w:sz w:val="22"/>
          <w:szCs w:val="24"/>
          <w:lang w:val="pt-BR"/>
        </w:rPr>
        <w:t xml:space="preserve">qualidade do arranjo </w:t>
      </w:r>
      <w:r w:rsidR="00A05AB3" w:rsidRPr="00F47284">
        <w:rPr>
          <w:sz w:val="22"/>
          <w:szCs w:val="24"/>
          <w:lang w:val="pt-BR"/>
        </w:rPr>
        <w:t>institucional</w:t>
      </w:r>
      <w:r w:rsidR="009E3FAA" w:rsidRPr="00F47284">
        <w:rPr>
          <w:sz w:val="22"/>
          <w:szCs w:val="24"/>
          <w:lang w:val="pt-BR"/>
        </w:rPr>
        <w:t xml:space="preserve"> que reflete o ambiente e a estabilidade política é </w:t>
      </w:r>
      <w:r w:rsidR="001D14D6" w:rsidRPr="00F47284">
        <w:rPr>
          <w:sz w:val="22"/>
          <w:szCs w:val="24"/>
          <w:lang w:val="pt-BR"/>
        </w:rPr>
        <w:t>importante condicionante da atração do IED</w:t>
      </w:r>
      <w:r w:rsidR="009E3FAA" w:rsidRPr="00F47284">
        <w:rPr>
          <w:sz w:val="22"/>
          <w:szCs w:val="24"/>
          <w:lang w:val="pt-BR"/>
        </w:rPr>
        <w:t xml:space="preserve"> entre os países</w:t>
      </w:r>
      <w:r w:rsidR="001D14D6" w:rsidRPr="00F47284">
        <w:rPr>
          <w:sz w:val="22"/>
          <w:szCs w:val="24"/>
          <w:lang w:val="pt-BR"/>
        </w:rPr>
        <w:t>.</w:t>
      </w:r>
    </w:p>
    <w:p w:rsidR="007C73C4" w:rsidRPr="00F47284" w:rsidRDefault="007C73C4" w:rsidP="003B78A3">
      <w:pPr>
        <w:pStyle w:val="Text1"/>
        <w:ind w:firstLineChars="0" w:firstLine="0"/>
        <w:rPr>
          <w:sz w:val="22"/>
          <w:szCs w:val="24"/>
          <w:lang w:val="pt-BR"/>
        </w:rPr>
      </w:pPr>
      <w:r w:rsidRPr="00F47284">
        <w:rPr>
          <w:b/>
          <w:sz w:val="22"/>
          <w:szCs w:val="24"/>
          <w:lang w:val="pt-BR"/>
        </w:rPr>
        <w:t>Palavras-chave:</w:t>
      </w:r>
      <w:r w:rsidRPr="00F47284">
        <w:rPr>
          <w:sz w:val="22"/>
          <w:szCs w:val="24"/>
          <w:lang w:val="pt-BR"/>
        </w:rPr>
        <w:t xml:space="preserve"> Instituições; Investimento Externo Direto; Modelo de Dados em Painel; Mínimos Quadrados em Dois Estágios</w:t>
      </w:r>
    </w:p>
    <w:p w:rsidR="007C73C4" w:rsidRPr="00F47284" w:rsidRDefault="007C73C4" w:rsidP="003B78A3">
      <w:pPr>
        <w:pStyle w:val="Text1"/>
        <w:ind w:firstLineChars="0" w:firstLine="0"/>
        <w:rPr>
          <w:sz w:val="22"/>
          <w:szCs w:val="24"/>
          <w:lang w:val="pt-BR"/>
        </w:rPr>
      </w:pPr>
    </w:p>
    <w:p w:rsidR="007C73C4" w:rsidRPr="00F47284" w:rsidRDefault="007C73C4" w:rsidP="003B78A3">
      <w:pPr>
        <w:pStyle w:val="Text1"/>
        <w:ind w:firstLineChars="0" w:firstLine="0"/>
        <w:rPr>
          <w:sz w:val="22"/>
          <w:szCs w:val="24"/>
          <w:lang w:val="pt-BR"/>
        </w:rPr>
      </w:pPr>
      <w:r w:rsidRPr="00F47284">
        <w:rPr>
          <w:b/>
          <w:sz w:val="22"/>
          <w:szCs w:val="24"/>
          <w:lang w:val="pt-BR"/>
        </w:rPr>
        <w:t>Abstract:</w:t>
      </w:r>
      <w:r w:rsidRPr="00F47284">
        <w:rPr>
          <w:sz w:val="22"/>
          <w:szCs w:val="24"/>
          <w:lang w:val="pt-BR"/>
        </w:rPr>
        <w:t xml:space="preserve"> </w:t>
      </w:r>
      <w:proofErr w:type="spellStart"/>
      <w:r w:rsidR="00F47284" w:rsidRPr="00F47284">
        <w:rPr>
          <w:sz w:val="22"/>
          <w:szCs w:val="24"/>
          <w:lang w:val="pt-BR"/>
        </w:rPr>
        <w:t>Aiming</w:t>
      </w:r>
      <w:proofErr w:type="spellEnd"/>
      <w:r w:rsidR="00F47284" w:rsidRPr="00F47284">
        <w:rPr>
          <w:sz w:val="22"/>
          <w:szCs w:val="24"/>
          <w:lang w:val="pt-BR"/>
        </w:rPr>
        <w:t xml:space="preserve"> </w:t>
      </w:r>
      <w:proofErr w:type="spellStart"/>
      <w:r w:rsidR="00F47284" w:rsidRPr="00F47284">
        <w:rPr>
          <w:sz w:val="22"/>
          <w:szCs w:val="24"/>
          <w:lang w:val="pt-BR"/>
        </w:rPr>
        <w:t>to</w:t>
      </w:r>
      <w:proofErr w:type="spellEnd"/>
      <w:r w:rsidR="00F47284" w:rsidRPr="00F47284">
        <w:rPr>
          <w:sz w:val="22"/>
          <w:szCs w:val="24"/>
          <w:lang w:val="pt-BR"/>
        </w:rPr>
        <w:t xml:space="preserve"> </w:t>
      </w:r>
      <w:proofErr w:type="spellStart"/>
      <w:r w:rsidR="00F47284" w:rsidRPr="00F47284">
        <w:rPr>
          <w:sz w:val="22"/>
          <w:szCs w:val="24"/>
          <w:lang w:val="pt-BR"/>
        </w:rPr>
        <w:t>contribute</w:t>
      </w:r>
      <w:proofErr w:type="spellEnd"/>
      <w:r w:rsidR="00F47284" w:rsidRPr="00F47284">
        <w:rPr>
          <w:sz w:val="22"/>
          <w:szCs w:val="24"/>
          <w:lang w:val="pt-BR"/>
        </w:rPr>
        <w:t xml:space="preserve"> </w:t>
      </w:r>
      <w:proofErr w:type="spellStart"/>
      <w:r w:rsidR="00F47284" w:rsidRPr="00F47284">
        <w:rPr>
          <w:sz w:val="22"/>
          <w:szCs w:val="24"/>
          <w:lang w:val="pt-BR"/>
        </w:rPr>
        <w:t>to</w:t>
      </w:r>
      <w:proofErr w:type="spellEnd"/>
      <w:r w:rsidR="00F47284" w:rsidRPr="00F47284">
        <w:rPr>
          <w:sz w:val="22"/>
          <w:szCs w:val="24"/>
          <w:lang w:val="pt-BR"/>
        </w:rPr>
        <w:t xml:space="preserve"> </w:t>
      </w:r>
      <w:proofErr w:type="spellStart"/>
      <w:r w:rsidR="00F47284" w:rsidRPr="00F47284">
        <w:rPr>
          <w:sz w:val="22"/>
          <w:szCs w:val="24"/>
          <w:lang w:val="pt-BR"/>
        </w:rPr>
        <w:t>the</w:t>
      </w:r>
      <w:proofErr w:type="spellEnd"/>
      <w:r w:rsidR="00F47284" w:rsidRPr="00F47284">
        <w:rPr>
          <w:sz w:val="22"/>
          <w:szCs w:val="24"/>
          <w:lang w:val="pt-BR"/>
        </w:rPr>
        <w:t xml:space="preserve"> </w:t>
      </w:r>
      <w:proofErr w:type="spellStart"/>
      <w:r w:rsidR="00F47284" w:rsidRPr="00F47284">
        <w:rPr>
          <w:sz w:val="22"/>
          <w:szCs w:val="24"/>
          <w:lang w:val="pt-BR"/>
        </w:rPr>
        <w:t>generation</w:t>
      </w:r>
      <w:proofErr w:type="spellEnd"/>
      <w:r w:rsidR="00F47284" w:rsidRPr="00F47284">
        <w:rPr>
          <w:sz w:val="22"/>
          <w:szCs w:val="24"/>
          <w:lang w:val="pt-BR"/>
        </w:rPr>
        <w:t xml:space="preserve"> </w:t>
      </w:r>
      <w:proofErr w:type="spellStart"/>
      <w:r w:rsidR="00F47284" w:rsidRPr="00F47284">
        <w:rPr>
          <w:sz w:val="22"/>
          <w:szCs w:val="24"/>
          <w:lang w:val="pt-BR"/>
        </w:rPr>
        <w:t>of</w:t>
      </w:r>
      <w:proofErr w:type="spellEnd"/>
      <w:r w:rsidR="00F47284" w:rsidRPr="00F47284">
        <w:rPr>
          <w:sz w:val="22"/>
          <w:szCs w:val="24"/>
          <w:lang w:val="pt-BR"/>
        </w:rPr>
        <w:t xml:space="preserve"> </w:t>
      </w:r>
      <w:proofErr w:type="spellStart"/>
      <w:r w:rsidR="00F47284" w:rsidRPr="00F47284">
        <w:rPr>
          <w:sz w:val="22"/>
          <w:szCs w:val="24"/>
          <w:lang w:val="pt-BR"/>
        </w:rPr>
        <w:t>evidence</w:t>
      </w:r>
      <w:r w:rsidR="00F47284">
        <w:rPr>
          <w:sz w:val="22"/>
          <w:szCs w:val="24"/>
          <w:lang w:val="pt-BR"/>
        </w:rPr>
        <w:t>s</w:t>
      </w:r>
      <w:proofErr w:type="spellEnd"/>
      <w:r w:rsidR="00F47284" w:rsidRPr="00F47284">
        <w:rPr>
          <w:sz w:val="22"/>
          <w:szCs w:val="24"/>
          <w:lang w:val="pt-BR"/>
        </w:rPr>
        <w:t xml:space="preserve"> </w:t>
      </w:r>
      <w:proofErr w:type="spellStart"/>
      <w:r w:rsidR="00F47284" w:rsidRPr="00F47284">
        <w:rPr>
          <w:sz w:val="22"/>
          <w:szCs w:val="24"/>
          <w:lang w:val="pt-BR"/>
        </w:rPr>
        <w:t>on</w:t>
      </w:r>
      <w:proofErr w:type="spellEnd"/>
      <w:r w:rsidR="00F47284" w:rsidRPr="00F47284">
        <w:rPr>
          <w:sz w:val="22"/>
          <w:szCs w:val="24"/>
          <w:lang w:val="pt-BR"/>
        </w:rPr>
        <w:t xml:space="preserve"> </w:t>
      </w:r>
      <w:proofErr w:type="spellStart"/>
      <w:r w:rsidR="00F47284" w:rsidRPr="00F47284">
        <w:rPr>
          <w:sz w:val="22"/>
          <w:szCs w:val="24"/>
          <w:lang w:val="pt-BR"/>
        </w:rPr>
        <w:t>the</w:t>
      </w:r>
      <w:proofErr w:type="spellEnd"/>
      <w:r w:rsidR="00F47284" w:rsidRPr="00F47284">
        <w:rPr>
          <w:sz w:val="22"/>
          <w:szCs w:val="24"/>
          <w:lang w:val="pt-BR"/>
        </w:rPr>
        <w:t xml:space="preserve"> </w:t>
      </w:r>
      <w:proofErr w:type="spellStart"/>
      <w:r w:rsidR="00F47284" w:rsidRPr="00F47284">
        <w:rPr>
          <w:sz w:val="22"/>
          <w:szCs w:val="24"/>
          <w:lang w:val="pt-BR"/>
        </w:rPr>
        <w:t>hypothesis</w:t>
      </w:r>
      <w:proofErr w:type="spellEnd"/>
      <w:r w:rsidR="00F47284" w:rsidRPr="00F47284">
        <w:rPr>
          <w:sz w:val="22"/>
          <w:szCs w:val="24"/>
          <w:lang w:val="pt-BR"/>
        </w:rPr>
        <w:t xml:space="preserve"> </w:t>
      </w:r>
      <w:proofErr w:type="spellStart"/>
      <w:r w:rsidR="00F47284" w:rsidRPr="00F47284">
        <w:rPr>
          <w:sz w:val="22"/>
          <w:szCs w:val="24"/>
          <w:lang w:val="pt-BR"/>
        </w:rPr>
        <w:t>that</w:t>
      </w:r>
      <w:proofErr w:type="spellEnd"/>
      <w:r w:rsidR="00F47284" w:rsidRPr="00F47284">
        <w:rPr>
          <w:sz w:val="22"/>
          <w:szCs w:val="24"/>
          <w:lang w:val="pt-BR"/>
        </w:rPr>
        <w:t xml:space="preserve"> </w:t>
      </w:r>
      <w:proofErr w:type="spellStart"/>
      <w:r w:rsidR="00F47284" w:rsidRPr="00F47284">
        <w:rPr>
          <w:sz w:val="22"/>
          <w:szCs w:val="24"/>
          <w:lang w:val="pt-BR"/>
        </w:rPr>
        <w:t>politic</w:t>
      </w:r>
      <w:r w:rsidR="00F47284">
        <w:rPr>
          <w:sz w:val="22"/>
          <w:szCs w:val="24"/>
          <w:lang w:val="pt-BR"/>
        </w:rPr>
        <w:t>al</w:t>
      </w:r>
      <w:proofErr w:type="spellEnd"/>
      <w:r w:rsidR="00F47284">
        <w:rPr>
          <w:sz w:val="22"/>
          <w:szCs w:val="24"/>
          <w:lang w:val="pt-BR"/>
        </w:rPr>
        <w:t xml:space="preserve"> </w:t>
      </w:r>
      <w:proofErr w:type="spellStart"/>
      <w:r w:rsidR="00F47284">
        <w:rPr>
          <w:sz w:val="22"/>
          <w:szCs w:val="24"/>
          <w:lang w:val="pt-BR"/>
        </w:rPr>
        <w:t>factors</w:t>
      </w:r>
      <w:proofErr w:type="spellEnd"/>
      <w:r w:rsidR="00F47284">
        <w:rPr>
          <w:sz w:val="22"/>
          <w:szCs w:val="24"/>
          <w:lang w:val="pt-BR"/>
        </w:rPr>
        <w:t xml:space="preserve"> </w:t>
      </w:r>
      <w:proofErr w:type="spellStart"/>
      <w:r w:rsidR="00F47284">
        <w:rPr>
          <w:sz w:val="22"/>
          <w:szCs w:val="24"/>
          <w:lang w:val="pt-BR"/>
        </w:rPr>
        <w:t>would</w:t>
      </w:r>
      <w:proofErr w:type="spellEnd"/>
      <w:r w:rsidR="00F47284">
        <w:rPr>
          <w:sz w:val="22"/>
          <w:szCs w:val="24"/>
          <w:lang w:val="pt-BR"/>
        </w:rPr>
        <w:t xml:space="preserve"> </w:t>
      </w:r>
      <w:proofErr w:type="spellStart"/>
      <w:r w:rsidR="00F47284">
        <w:rPr>
          <w:sz w:val="22"/>
          <w:szCs w:val="24"/>
          <w:lang w:val="pt-BR"/>
        </w:rPr>
        <w:t>be</w:t>
      </w:r>
      <w:proofErr w:type="spellEnd"/>
      <w:r w:rsidR="00F47284">
        <w:rPr>
          <w:sz w:val="22"/>
          <w:szCs w:val="24"/>
          <w:lang w:val="pt-BR"/>
        </w:rPr>
        <w:t xml:space="preserve"> </w:t>
      </w:r>
      <w:proofErr w:type="spellStart"/>
      <w:r w:rsidR="00F47284">
        <w:rPr>
          <w:sz w:val="22"/>
          <w:szCs w:val="24"/>
          <w:lang w:val="pt-BR"/>
        </w:rPr>
        <w:t>important</w:t>
      </w:r>
      <w:proofErr w:type="spellEnd"/>
      <w:r w:rsidR="00F47284">
        <w:rPr>
          <w:sz w:val="22"/>
          <w:szCs w:val="24"/>
          <w:lang w:val="pt-BR"/>
        </w:rPr>
        <w:t xml:space="preserve"> </w:t>
      </w:r>
      <w:proofErr w:type="spellStart"/>
      <w:r w:rsidR="00F47284">
        <w:rPr>
          <w:sz w:val="22"/>
          <w:szCs w:val="24"/>
          <w:lang w:val="pt-BR"/>
        </w:rPr>
        <w:t>to</w:t>
      </w:r>
      <w:proofErr w:type="spellEnd"/>
      <w:r w:rsidR="00F47284" w:rsidRPr="00F47284">
        <w:rPr>
          <w:sz w:val="22"/>
          <w:szCs w:val="24"/>
          <w:lang w:val="pt-BR"/>
        </w:rPr>
        <w:t xml:space="preserve"> </w:t>
      </w:r>
      <w:proofErr w:type="spellStart"/>
      <w:r w:rsidR="00F47284" w:rsidRPr="00F47284">
        <w:rPr>
          <w:sz w:val="22"/>
          <w:szCs w:val="24"/>
          <w:lang w:val="pt-BR"/>
        </w:rPr>
        <w:t>the</w:t>
      </w:r>
      <w:proofErr w:type="spellEnd"/>
      <w:r w:rsidR="00F47284" w:rsidRPr="00F47284">
        <w:rPr>
          <w:sz w:val="22"/>
          <w:szCs w:val="24"/>
          <w:lang w:val="pt-BR"/>
        </w:rPr>
        <w:t xml:space="preserve"> </w:t>
      </w:r>
      <w:proofErr w:type="spellStart"/>
      <w:r w:rsidR="00F47284" w:rsidRPr="00F47284">
        <w:rPr>
          <w:sz w:val="22"/>
          <w:szCs w:val="24"/>
          <w:lang w:val="pt-BR"/>
        </w:rPr>
        <w:t>attraction</w:t>
      </w:r>
      <w:proofErr w:type="spellEnd"/>
      <w:r w:rsidR="00F47284" w:rsidRPr="00F47284">
        <w:rPr>
          <w:sz w:val="22"/>
          <w:szCs w:val="24"/>
          <w:lang w:val="pt-BR"/>
        </w:rPr>
        <w:t xml:space="preserve"> </w:t>
      </w:r>
      <w:proofErr w:type="spellStart"/>
      <w:r w:rsidR="00F47284" w:rsidRPr="00F47284">
        <w:rPr>
          <w:sz w:val="22"/>
          <w:szCs w:val="24"/>
          <w:lang w:val="pt-BR"/>
        </w:rPr>
        <w:t>of</w:t>
      </w:r>
      <w:proofErr w:type="spellEnd"/>
      <w:r w:rsidR="00F47284" w:rsidRPr="00F47284">
        <w:rPr>
          <w:sz w:val="22"/>
          <w:szCs w:val="24"/>
          <w:lang w:val="pt-BR"/>
        </w:rPr>
        <w:t xml:space="preserve"> </w:t>
      </w:r>
      <w:proofErr w:type="spellStart"/>
      <w:r w:rsidR="00F47284" w:rsidRPr="00F47284">
        <w:rPr>
          <w:sz w:val="22"/>
          <w:szCs w:val="24"/>
          <w:lang w:val="pt-BR"/>
        </w:rPr>
        <w:t>Foreign</w:t>
      </w:r>
      <w:proofErr w:type="spellEnd"/>
      <w:r w:rsidR="00F47284" w:rsidRPr="00F47284">
        <w:rPr>
          <w:sz w:val="22"/>
          <w:szCs w:val="24"/>
          <w:lang w:val="pt-BR"/>
        </w:rPr>
        <w:t xml:space="preserve"> </w:t>
      </w:r>
      <w:proofErr w:type="spellStart"/>
      <w:r w:rsidR="00F47284" w:rsidRPr="00F47284">
        <w:rPr>
          <w:sz w:val="22"/>
          <w:szCs w:val="24"/>
          <w:lang w:val="pt-BR"/>
        </w:rPr>
        <w:t>Direct</w:t>
      </w:r>
      <w:proofErr w:type="spellEnd"/>
      <w:r w:rsidR="00F47284" w:rsidRPr="00F47284">
        <w:rPr>
          <w:sz w:val="22"/>
          <w:szCs w:val="24"/>
          <w:lang w:val="pt-BR"/>
        </w:rPr>
        <w:t xml:space="preserve"> </w:t>
      </w:r>
      <w:proofErr w:type="spellStart"/>
      <w:r w:rsidR="00F47284" w:rsidRPr="00F47284">
        <w:rPr>
          <w:sz w:val="22"/>
          <w:szCs w:val="24"/>
          <w:lang w:val="pt-BR"/>
        </w:rPr>
        <w:t>Investment</w:t>
      </w:r>
      <w:proofErr w:type="spellEnd"/>
      <w:r w:rsidR="00F47284" w:rsidRPr="00F47284">
        <w:rPr>
          <w:sz w:val="22"/>
          <w:szCs w:val="24"/>
          <w:lang w:val="pt-BR"/>
        </w:rPr>
        <w:t xml:space="preserve"> (FDI), </w:t>
      </w:r>
      <w:proofErr w:type="spellStart"/>
      <w:r w:rsidR="00F47284" w:rsidRPr="00F47284">
        <w:rPr>
          <w:sz w:val="22"/>
          <w:szCs w:val="24"/>
          <w:lang w:val="pt-BR"/>
        </w:rPr>
        <w:t>we</w:t>
      </w:r>
      <w:proofErr w:type="spellEnd"/>
      <w:r w:rsidR="00F47284" w:rsidRPr="00F47284">
        <w:rPr>
          <w:sz w:val="22"/>
          <w:szCs w:val="24"/>
          <w:lang w:val="pt-BR"/>
        </w:rPr>
        <w:t xml:space="preserve"> </w:t>
      </w:r>
      <w:proofErr w:type="spellStart"/>
      <w:r w:rsidR="00F47284" w:rsidRPr="00F47284">
        <w:rPr>
          <w:sz w:val="22"/>
          <w:szCs w:val="24"/>
          <w:lang w:val="pt-BR"/>
        </w:rPr>
        <w:t>sought</w:t>
      </w:r>
      <w:proofErr w:type="spellEnd"/>
      <w:r w:rsidR="00F47284" w:rsidRPr="00F47284">
        <w:rPr>
          <w:sz w:val="22"/>
          <w:szCs w:val="24"/>
          <w:lang w:val="pt-BR"/>
        </w:rPr>
        <w:t xml:space="preserve"> </w:t>
      </w:r>
      <w:proofErr w:type="spellStart"/>
      <w:r w:rsidR="00F47284" w:rsidRPr="00F47284">
        <w:rPr>
          <w:sz w:val="22"/>
          <w:szCs w:val="24"/>
          <w:lang w:val="pt-BR"/>
        </w:rPr>
        <w:t>to</w:t>
      </w:r>
      <w:proofErr w:type="spellEnd"/>
      <w:r w:rsidR="00F47284" w:rsidRPr="00F47284">
        <w:rPr>
          <w:sz w:val="22"/>
          <w:szCs w:val="24"/>
          <w:lang w:val="pt-BR"/>
        </w:rPr>
        <w:t xml:space="preserve"> </w:t>
      </w:r>
      <w:proofErr w:type="spellStart"/>
      <w:r w:rsidR="00F47284" w:rsidRPr="00F47284">
        <w:rPr>
          <w:sz w:val="22"/>
          <w:szCs w:val="24"/>
          <w:lang w:val="pt-BR"/>
        </w:rPr>
        <w:t>identify</w:t>
      </w:r>
      <w:proofErr w:type="spellEnd"/>
      <w:r w:rsidR="00F47284" w:rsidRPr="00F47284">
        <w:rPr>
          <w:sz w:val="22"/>
          <w:szCs w:val="24"/>
          <w:lang w:val="pt-BR"/>
        </w:rPr>
        <w:t xml:space="preserve"> </w:t>
      </w:r>
      <w:proofErr w:type="spellStart"/>
      <w:r w:rsidR="00F47284" w:rsidRPr="00F47284">
        <w:rPr>
          <w:sz w:val="22"/>
          <w:szCs w:val="24"/>
          <w:lang w:val="pt-BR"/>
        </w:rPr>
        <w:t>the</w:t>
      </w:r>
      <w:proofErr w:type="spellEnd"/>
      <w:r w:rsidR="00F47284" w:rsidRPr="00F47284">
        <w:rPr>
          <w:sz w:val="22"/>
          <w:szCs w:val="24"/>
          <w:lang w:val="pt-BR"/>
        </w:rPr>
        <w:t xml:space="preserve"> </w:t>
      </w:r>
      <w:proofErr w:type="spellStart"/>
      <w:r w:rsidR="00F47284" w:rsidRPr="00F47284">
        <w:rPr>
          <w:sz w:val="22"/>
          <w:szCs w:val="24"/>
          <w:lang w:val="pt-BR"/>
        </w:rPr>
        <w:t>relationship</w:t>
      </w:r>
      <w:proofErr w:type="spellEnd"/>
      <w:r w:rsidR="00F47284" w:rsidRPr="00F47284">
        <w:rPr>
          <w:sz w:val="22"/>
          <w:szCs w:val="24"/>
          <w:lang w:val="pt-BR"/>
        </w:rPr>
        <w:t xml:space="preserve"> </w:t>
      </w:r>
      <w:proofErr w:type="spellStart"/>
      <w:r w:rsidR="00F47284" w:rsidRPr="00F47284">
        <w:rPr>
          <w:sz w:val="22"/>
          <w:szCs w:val="24"/>
          <w:lang w:val="pt-BR"/>
        </w:rPr>
        <w:t>between</w:t>
      </w:r>
      <w:proofErr w:type="spellEnd"/>
      <w:r w:rsidR="00F47284" w:rsidRPr="00F47284">
        <w:rPr>
          <w:sz w:val="22"/>
          <w:szCs w:val="24"/>
          <w:lang w:val="pt-BR"/>
        </w:rPr>
        <w:t xml:space="preserve"> </w:t>
      </w:r>
      <w:proofErr w:type="spellStart"/>
      <w:r w:rsidR="00F47284" w:rsidRPr="00F47284">
        <w:rPr>
          <w:sz w:val="22"/>
          <w:szCs w:val="24"/>
          <w:lang w:val="pt-BR"/>
        </w:rPr>
        <w:t>the</w:t>
      </w:r>
      <w:proofErr w:type="spellEnd"/>
      <w:r w:rsidR="00F47284" w:rsidRPr="00F47284">
        <w:rPr>
          <w:sz w:val="22"/>
          <w:szCs w:val="24"/>
          <w:lang w:val="pt-BR"/>
        </w:rPr>
        <w:t xml:space="preserve"> </w:t>
      </w:r>
      <w:proofErr w:type="spellStart"/>
      <w:r w:rsidR="00F47284" w:rsidRPr="00F47284">
        <w:rPr>
          <w:sz w:val="22"/>
          <w:szCs w:val="24"/>
          <w:lang w:val="pt-BR"/>
        </w:rPr>
        <w:t>quality</w:t>
      </w:r>
      <w:proofErr w:type="spellEnd"/>
      <w:r w:rsidR="00F47284" w:rsidRPr="00F47284">
        <w:rPr>
          <w:sz w:val="22"/>
          <w:szCs w:val="24"/>
          <w:lang w:val="pt-BR"/>
        </w:rPr>
        <w:t xml:space="preserve"> </w:t>
      </w:r>
      <w:proofErr w:type="spellStart"/>
      <w:r w:rsidR="00F47284" w:rsidRPr="00F47284">
        <w:rPr>
          <w:sz w:val="22"/>
          <w:szCs w:val="24"/>
          <w:lang w:val="pt-BR"/>
        </w:rPr>
        <w:t>of</w:t>
      </w:r>
      <w:proofErr w:type="spellEnd"/>
      <w:r w:rsidR="00F47284" w:rsidRPr="00F47284">
        <w:rPr>
          <w:sz w:val="22"/>
          <w:szCs w:val="24"/>
          <w:lang w:val="pt-BR"/>
        </w:rPr>
        <w:t xml:space="preserve"> </w:t>
      </w:r>
      <w:proofErr w:type="spellStart"/>
      <w:r w:rsidR="00F47284" w:rsidRPr="00F47284">
        <w:rPr>
          <w:sz w:val="22"/>
          <w:szCs w:val="24"/>
          <w:lang w:val="pt-BR"/>
        </w:rPr>
        <w:t>the</w:t>
      </w:r>
      <w:proofErr w:type="spellEnd"/>
      <w:r w:rsidR="00F47284" w:rsidRPr="00F47284">
        <w:rPr>
          <w:sz w:val="22"/>
          <w:szCs w:val="24"/>
          <w:lang w:val="pt-BR"/>
        </w:rPr>
        <w:t xml:space="preserve"> </w:t>
      </w:r>
      <w:proofErr w:type="spellStart"/>
      <w:r w:rsidR="00F47284" w:rsidRPr="00F47284">
        <w:rPr>
          <w:sz w:val="22"/>
          <w:szCs w:val="24"/>
          <w:lang w:val="pt-BR"/>
        </w:rPr>
        <w:t>institutional</w:t>
      </w:r>
      <w:proofErr w:type="spellEnd"/>
      <w:r w:rsidR="00F47284" w:rsidRPr="00F47284">
        <w:rPr>
          <w:sz w:val="22"/>
          <w:szCs w:val="24"/>
          <w:lang w:val="pt-BR"/>
        </w:rPr>
        <w:t xml:space="preserve"> </w:t>
      </w:r>
      <w:proofErr w:type="spellStart"/>
      <w:r w:rsidR="00F47284" w:rsidRPr="00F47284">
        <w:rPr>
          <w:sz w:val="22"/>
          <w:szCs w:val="24"/>
          <w:lang w:val="pt-BR"/>
        </w:rPr>
        <w:t>arrangements</w:t>
      </w:r>
      <w:proofErr w:type="spellEnd"/>
      <w:r w:rsidR="00F47284" w:rsidRPr="00F47284">
        <w:rPr>
          <w:sz w:val="22"/>
          <w:szCs w:val="24"/>
          <w:lang w:val="pt-BR"/>
        </w:rPr>
        <w:t xml:space="preserve"> </w:t>
      </w:r>
      <w:proofErr w:type="spellStart"/>
      <w:r w:rsidR="00F47284" w:rsidRPr="00F47284">
        <w:rPr>
          <w:sz w:val="22"/>
          <w:szCs w:val="24"/>
          <w:lang w:val="pt-BR"/>
        </w:rPr>
        <w:t>of</w:t>
      </w:r>
      <w:proofErr w:type="spellEnd"/>
      <w:r w:rsidR="00F47284" w:rsidRPr="00F47284">
        <w:rPr>
          <w:sz w:val="22"/>
          <w:szCs w:val="24"/>
          <w:lang w:val="pt-BR"/>
        </w:rPr>
        <w:t xml:space="preserve"> </w:t>
      </w:r>
      <w:proofErr w:type="spellStart"/>
      <w:r w:rsidR="00F47284" w:rsidRPr="00F47284">
        <w:rPr>
          <w:sz w:val="22"/>
          <w:szCs w:val="24"/>
          <w:lang w:val="pt-BR"/>
        </w:rPr>
        <w:t>the</w:t>
      </w:r>
      <w:proofErr w:type="spellEnd"/>
      <w:r w:rsidR="00F47284" w:rsidRPr="00F47284">
        <w:rPr>
          <w:sz w:val="22"/>
          <w:szCs w:val="24"/>
          <w:lang w:val="pt-BR"/>
        </w:rPr>
        <w:t xml:space="preserve"> </w:t>
      </w:r>
      <w:proofErr w:type="spellStart"/>
      <w:r w:rsidR="00F47284" w:rsidRPr="00F47284">
        <w:rPr>
          <w:sz w:val="22"/>
          <w:szCs w:val="24"/>
          <w:lang w:val="pt-BR"/>
        </w:rPr>
        <w:t>political</w:t>
      </w:r>
      <w:proofErr w:type="spellEnd"/>
      <w:r w:rsidR="00F47284" w:rsidRPr="00F47284">
        <w:rPr>
          <w:sz w:val="22"/>
          <w:szCs w:val="24"/>
          <w:lang w:val="pt-BR"/>
        </w:rPr>
        <w:t xml:space="preserve"> </w:t>
      </w:r>
      <w:proofErr w:type="spellStart"/>
      <w:r w:rsidR="00F47284" w:rsidRPr="00F47284">
        <w:rPr>
          <w:sz w:val="22"/>
          <w:szCs w:val="24"/>
          <w:lang w:val="pt-BR"/>
        </w:rPr>
        <w:t>environment</w:t>
      </w:r>
      <w:proofErr w:type="spellEnd"/>
      <w:r w:rsidR="00F47284" w:rsidRPr="00F47284">
        <w:rPr>
          <w:sz w:val="22"/>
          <w:szCs w:val="24"/>
          <w:lang w:val="pt-BR"/>
        </w:rPr>
        <w:t xml:space="preserve"> </w:t>
      </w:r>
      <w:proofErr w:type="spellStart"/>
      <w:r w:rsidR="00F47284" w:rsidRPr="00F47284">
        <w:rPr>
          <w:sz w:val="22"/>
          <w:szCs w:val="24"/>
          <w:lang w:val="pt-BR"/>
        </w:rPr>
        <w:t>and</w:t>
      </w:r>
      <w:proofErr w:type="spellEnd"/>
      <w:r w:rsidR="00F47284" w:rsidRPr="00F47284">
        <w:rPr>
          <w:sz w:val="22"/>
          <w:szCs w:val="24"/>
          <w:lang w:val="pt-BR"/>
        </w:rPr>
        <w:t xml:space="preserve"> </w:t>
      </w:r>
      <w:proofErr w:type="spellStart"/>
      <w:r w:rsidR="00F47284" w:rsidRPr="00F47284">
        <w:rPr>
          <w:sz w:val="22"/>
          <w:szCs w:val="24"/>
          <w:lang w:val="pt-BR"/>
        </w:rPr>
        <w:t>the</w:t>
      </w:r>
      <w:proofErr w:type="spellEnd"/>
      <w:r w:rsidR="00F47284" w:rsidRPr="00F47284">
        <w:rPr>
          <w:sz w:val="22"/>
          <w:szCs w:val="24"/>
          <w:lang w:val="pt-BR"/>
        </w:rPr>
        <w:t xml:space="preserve"> </w:t>
      </w:r>
      <w:proofErr w:type="spellStart"/>
      <w:r w:rsidR="00F47284" w:rsidRPr="00F47284">
        <w:rPr>
          <w:sz w:val="22"/>
          <w:szCs w:val="24"/>
          <w:lang w:val="pt-BR"/>
        </w:rPr>
        <w:t>attraction</w:t>
      </w:r>
      <w:proofErr w:type="spellEnd"/>
      <w:r w:rsidR="00F47284" w:rsidRPr="00F47284">
        <w:rPr>
          <w:sz w:val="22"/>
          <w:szCs w:val="24"/>
          <w:lang w:val="pt-BR"/>
        </w:rPr>
        <w:t xml:space="preserve"> </w:t>
      </w:r>
      <w:proofErr w:type="spellStart"/>
      <w:r w:rsidR="00F47284" w:rsidRPr="00F47284">
        <w:rPr>
          <w:sz w:val="22"/>
          <w:szCs w:val="24"/>
          <w:lang w:val="pt-BR"/>
        </w:rPr>
        <w:t>of</w:t>
      </w:r>
      <w:proofErr w:type="spellEnd"/>
      <w:r w:rsidR="00F47284" w:rsidRPr="00F47284">
        <w:rPr>
          <w:sz w:val="22"/>
          <w:szCs w:val="24"/>
          <w:lang w:val="pt-BR"/>
        </w:rPr>
        <w:t xml:space="preserve"> FDI, </w:t>
      </w:r>
      <w:proofErr w:type="spellStart"/>
      <w:r w:rsidR="00F47284" w:rsidRPr="00F47284">
        <w:rPr>
          <w:sz w:val="22"/>
          <w:szCs w:val="24"/>
          <w:lang w:val="pt-BR"/>
        </w:rPr>
        <w:t>when</w:t>
      </w:r>
      <w:proofErr w:type="spellEnd"/>
      <w:r w:rsidR="00F47284" w:rsidRPr="00F47284">
        <w:rPr>
          <w:sz w:val="22"/>
          <w:szCs w:val="24"/>
          <w:lang w:val="pt-BR"/>
        </w:rPr>
        <w:t xml:space="preserve"> </w:t>
      </w:r>
      <w:proofErr w:type="spellStart"/>
      <w:r w:rsidR="00F47284" w:rsidRPr="00F47284">
        <w:rPr>
          <w:sz w:val="22"/>
          <w:szCs w:val="24"/>
          <w:lang w:val="pt-BR"/>
        </w:rPr>
        <w:t>estimating</w:t>
      </w:r>
      <w:proofErr w:type="spellEnd"/>
      <w:r w:rsidR="00F47284" w:rsidRPr="00F47284">
        <w:rPr>
          <w:sz w:val="22"/>
          <w:szCs w:val="24"/>
          <w:lang w:val="pt-BR"/>
        </w:rPr>
        <w:t xml:space="preserve"> </w:t>
      </w:r>
      <w:r w:rsidR="00F47284">
        <w:rPr>
          <w:sz w:val="22"/>
          <w:szCs w:val="24"/>
          <w:lang w:val="pt-BR"/>
        </w:rPr>
        <w:t xml:space="preserve">a </w:t>
      </w:r>
      <w:proofErr w:type="spellStart"/>
      <w:r w:rsidR="00F47284">
        <w:rPr>
          <w:sz w:val="22"/>
          <w:szCs w:val="24"/>
          <w:lang w:val="pt-BR"/>
        </w:rPr>
        <w:t>panel</w:t>
      </w:r>
      <w:proofErr w:type="spellEnd"/>
      <w:r w:rsidR="00F47284">
        <w:rPr>
          <w:sz w:val="22"/>
          <w:szCs w:val="24"/>
          <w:lang w:val="pt-BR"/>
        </w:rPr>
        <w:t xml:space="preserve"> data </w:t>
      </w:r>
      <w:proofErr w:type="spellStart"/>
      <w:r w:rsidR="00F47284">
        <w:rPr>
          <w:sz w:val="22"/>
          <w:szCs w:val="24"/>
          <w:lang w:val="pt-BR"/>
        </w:rPr>
        <w:t>model</w:t>
      </w:r>
      <w:proofErr w:type="spellEnd"/>
      <w:r w:rsidR="00F47284" w:rsidRPr="00F47284">
        <w:rPr>
          <w:sz w:val="22"/>
          <w:szCs w:val="24"/>
          <w:lang w:val="pt-BR"/>
        </w:rPr>
        <w:t xml:space="preserve"> for 123 countries, </w:t>
      </w:r>
      <w:proofErr w:type="spellStart"/>
      <w:r w:rsidR="00F47284" w:rsidRPr="00F47284">
        <w:rPr>
          <w:sz w:val="22"/>
          <w:szCs w:val="24"/>
          <w:lang w:val="pt-BR"/>
        </w:rPr>
        <w:t>from</w:t>
      </w:r>
      <w:proofErr w:type="spellEnd"/>
      <w:r w:rsidR="00F47284" w:rsidRPr="00F47284">
        <w:rPr>
          <w:sz w:val="22"/>
          <w:szCs w:val="24"/>
          <w:lang w:val="pt-BR"/>
        </w:rPr>
        <w:t xml:space="preserve"> 2011 </w:t>
      </w:r>
      <w:proofErr w:type="spellStart"/>
      <w:r w:rsidR="00F47284" w:rsidRPr="00F47284">
        <w:rPr>
          <w:sz w:val="22"/>
          <w:szCs w:val="24"/>
          <w:lang w:val="pt-BR"/>
        </w:rPr>
        <w:t>to</w:t>
      </w:r>
      <w:proofErr w:type="spellEnd"/>
      <w:r w:rsidR="00F47284" w:rsidRPr="00F47284">
        <w:rPr>
          <w:sz w:val="22"/>
          <w:szCs w:val="24"/>
          <w:lang w:val="pt-BR"/>
        </w:rPr>
        <w:t xml:space="preserve"> 2016, </w:t>
      </w:r>
      <w:proofErr w:type="spellStart"/>
      <w:r w:rsidR="00F47284" w:rsidRPr="00F47284">
        <w:rPr>
          <w:sz w:val="22"/>
          <w:szCs w:val="24"/>
          <w:lang w:val="pt-BR"/>
        </w:rPr>
        <w:t>where</w:t>
      </w:r>
      <w:proofErr w:type="spellEnd"/>
      <w:r w:rsidR="00F47284" w:rsidRPr="00F47284">
        <w:rPr>
          <w:sz w:val="22"/>
          <w:szCs w:val="24"/>
          <w:lang w:val="pt-BR"/>
        </w:rPr>
        <w:t xml:space="preserve"> </w:t>
      </w:r>
      <w:proofErr w:type="spellStart"/>
      <w:r w:rsidR="00F47284" w:rsidRPr="00F47284">
        <w:rPr>
          <w:sz w:val="22"/>
          <w:szCs w:val="24"/>
          <w:lang w:val="pt-BR"/>
        </w:rPr>
        <w:t>the</w:t>
      </w:r>
      <w:proofErr w:type="spellEnd"/>
      <w:r w:rsidR="00F47284" w:rsidRPr="00F47284">
        <w:rPr>
          <w:sz w:val="22"/>
          <w:szCs w:val="24"/>
          <w:lang w:val="pt-BR"/>
        </w:rPr>
        <w:t xml:space="preserve"> </w:t>
      </w:r>
      <w:proofErr w:type="spellStart"/>
      <w:r w:rsidR="00F47284" w:rsidRPr="00F47284">
        <w:rPr>
          <w:sz w:val="22"/>
          <w:szCs w:val="24"/>
          <w:lang w:val="pt-BR"/>
        </w:rPr>
        <w:t>dependent</w:t>
      </w:r>
      <w:proofErr w:type="spellEnd"/>
      <w:r w:rsidR="00F47284" w:rsidRPr="00F47284">
        <w:rPr>
          <w:sz w:val="22"/>
          <w:szCs w:val="24"/>
          <w:lang w:val="pt-BR"/>
        </w:rPr>
        <w:t xml:space="preserve"> </w:t>
      </w:r>
      <w:proofErr w:type="spellStart"/>
      <w:r w:rsidR="00F47284" w:rsidRPr="00F47284">
        <w:rPr>
          <w:sz w:val="22"/>
          <w:szCs w:val="24"/>
          <w:lang w:val="pt-BR"/>
        </w:rPr>
        <w:t>variable</w:t>
      </w:r>
      <w:proofErr w:type="spellEnd"/>
      <w:r w:rsidR="00F47284" w:rsidRPr="00F47284">
        <w:rPr>
          <w:sz w:val="22"/>
          <w:szCs w:val="24"/>
          <w:lang w:val="pt-BR"/>
        </w:rPr>
        <w:t xml:space="preserve"> </w:t>
      </w:r>
      <w:proofErr w:type="spellStart"/>
      <w:r w:rsidR="00F47284" w:rsidRPr="00F47284">
        <w:rPr>
          <w:sz w:val="22"/>
          <w:szCs w:val="24"/>
          <w:lang w:val="pt-BR"/>
        </w:rPr>
        <w:t>was</w:t>
      </w:r>
      <w:proofErr w:type="spellEnd"/>
      <w:r w:rsidR="00F47284" w:rsidRPr="00F47284">
        <w:rPr>
          <w:sz w:val="22"/>
          <w:szCs w:val="24"/>
          <w:lang w:val="pt-BR"/>
        </w:rPr>
        <w:t xml:space="preserve"> </w:t>
      </w:r>
      <w:proofErr w:type="spellStart"/>
      <w:r w:rsidR="00F47284" w:rsidRPr="00F47284">
        <w:rPr>
          <w:sz w:val="22"/>
          <w:szCs w:val="24"/>
          <w:lang w:val="pt-BR"/>
        </w:rPr>
        <w:t>the</w:t>
      </w:r>
      <w:proofErr w:type="spellEnd"/>
      <w:r w:rsidR="00F47284" w:rsidRPr="00F47284">
        <w:rPr>
          <w:sz w:val="22"/>
          <w:szCs w:val="24"/>
          <w:lang w:val="pt-BR"/>
        </w:rPr>
        <w:t xml:space="preserve"> net </w:t>
      </w:r>
      <w:proofErr w:type="spellStart"/>
      <w:r w:rsidR="00F47284" w:rsidRPr="00F47284">
        <w:rPr>
          <w:sz w:val="22"/>
          <w:szCs w:val="24"/>
          <w:lang w:val="pt-BR"/>
        </w:rPr>
        <w:t>inflow</w:t>
      </w:r>
      <w:proofErr w:type="spellEnd"/>
      <w:r w:rsidR="00F47284" w:rsidRPr="00F47284">
        <w:rPr>
          <w:sz w:val="22"/>
          <w:szCs w:val="24"/>
          <w:lang w:val="pt-BR"/>
        </w:rPr>
        <w:t xml:space="preserve"> </w:t>
      </w:r>
      <w:proofErr w:type="spellStart"/>
      <w:r w:rsidR="00F47284" w:rsidRPr="00F47284">
        <w:rPr>
          <w:sz w:val="22"/>
          <w:szCs w:val="24"/>
          <w:lang w:val="pt-BR"/>
        </w:rPr>
        <w:t>of</w:t>
      </w:r>
      <w:proofErr w:type="spellEnd"/>
      <w:r w:rsidR="00F47284" w:rsidRPr="00F47284">
        <w:rPr>
          <w:sz w:val="22"/>
          <w:szCs w:val="24"/>
          <w:lang w:val="pt-BR"/>
        </w:rPr>
        <w:t xml:space="preserve"> </w:t>
      </w:r>
      <w:proofErr w:type="spellStart"/>
      <w:r w:rsidR="00F47284" w:rsidRPr="00F47284">
        <w:rPr>
          <w:sz w:val="22"/>
          <w:szCs w:val="24"/>
          <w:lang w:val="pt-BR"/>
        </w:rPr>
        <w:t>foreign</w:t>
      </w:r>
      <w:proofErr w:type="spellEnd"/>
      <w:r w:rsidR="00F47284" w:rsidRPr="00F47284">
        <w:rPr>
          <w:sz w:val="22"/>
          <w:szCs w:val="24"/>
          <w:lang w:val="pt-BR"/>
        </w:rPr>
        <w:t xml:space="preserve"> </w:t>
      </w:r>
      <w:proofErr w:type="spellStart"/>
      <w:r w:rsidR="00F47284" w:rsidRPr="00F47284">
        <w:rPr>
          <w:sz w:val="22"/>
          <w:szCs w:val="24"/>
          <w:lang w:val="pt-BR"/>
        </w:rPr>
        <w:t>direct</w:t>
      </w:r>
      <w:proofErr w:type="spellEnd"/>
      <w:r w:rsidR="00F47284" w:rsidRPr="00F47284">
        <w:rPr>
          <w:sz w:val="22"/>
          <w:szCs w:val="24"/>
          <w:lang w:val="pt-BR"/>
        </w:rPr>
        <w:t xml:space="preserve"> </w:t>
      </w:r>
      <w:proofErr w:type="spellStart"/>
      <w:r w:rsidR="00F47284" w:rsidRPr="00F47284">
        <w:rPr>
          <w:sz w:val="22"/>
          <w:szCs w:val="24"/>
          <w:lang w:val="pt-BR"/>
        </w:rPr>
        <w:t>investment</w:t>
      </w:r>
      <w:proofErr w:type="spellEnd"/>
      <w:r w:rsidR="00F47284" w:rsidRPr="00F47284">
        <w:rPr>
          <w:sz w:val="22"/>
          <w:szCs w:val="24"/>
          <w:lang w:val="pt-BR"/>
        </w:rPr>
        <w:t xml:space="preserve"> </w:t>
      </w:r>
      <w:proofErr w:type="spellStart"/>
      <w:r w:rsidR="00F47284" w:rsidRPr="00F47284">
        <w:rPr>
          <w:sz w:val="22"/>
          <w:szCs w:val="24"/>
          <w:lang w:val="pt-BR"/>
        </w:rPr>
        <w:t>expressed</w:t>
      </w:r>
      <w:proofErr w:type="spellEnd"/>
      <w:r w:rsidR="00F47284" w:rsidRPr="00F47284">
        <w:rPr>
          <w:sz w:val="22"/>
          <w:szCs w:val="24"/>
          <w:lang w:val="pt-BR"/>
        </w:rPr>
        <w:t xml:space="preserve"> as a </w:t>
      </w:r>
      <w:proofErr w:type="spellStart"/>
      <w:r w:rsidR="00F47284" w:rsidRPr="00F47284">
        <w:rPr>
          <w:sz w:val="22"/>
          <w:szCs w:val="24"/>
          <w:lang w:val="pt-BR"/>
        </w:rPr>
        <w:t>percentage</w:t>
      </w:r>
      <w:proofErr w:type="spellEnd"/>
      <w:r w:rsidR="00F47284" w:rsidRPr="00F47284">
        <w:rPr>
          <w:sz w:val="22"/>
          <w:szCs w:val="24"/>
          <w:lang w:val="pt-BR"/>
        </w:rPr>
        <w:t xml:space="preserve"> </w:t>
      </w:r>
      <w:proofErr w:type="spellStart"/>
      <w:r w:rsidR="00F47284" w:rsidRPr="00F47284">
        <w:rPr>
          <w:sz w:val="22"/>
          <w:szCs w:val="24"/>
          <w:lang w:val="pt-BR"/>
        </w:rPr>
        <w:t>of</w:t>
      </w:r>
      <w:proofErr w:type="spellEnd"/>
      <w:r w:rsidR="00F47284" w:rsidRPr="00F47284">
        <w:rPr>
          <w:sz w:val="22"/>
          <w:szCs w:val="24"/>
          <w:lang w:val="pt-BR"/>
        </w:rPr>
        <w:t xml:space="preserve"> </w:t>
      </w:r>
      <w:proofErr w:type="spellStart"/>
      <w:r w:rsidR="00F47284" w:rsidRPr="00F47284">
        <w:rPr>
          <w:sz w:val="22"/>
          <w:szCs w:val="24"/>
          <w:lang w:val="pt-BR"/>
        </w:rPr>
        <w:t>gross</w:t>
      </w:r>
      <w:proofErr w:type="spellEnd"/>
      <w:r w:rsidR="00F47284" w:rsidRPr="00F47284">
        <w:rPr>
          <w:sz w:val="22"/>
          <w:szCs w:val="24"/>
          <w:lang w:val="pt-BR"/>
        </w:rPr>
        <w:t xml:space="preserve"> </w:t>
      </w:r>
      <w:proofErr w:type="spellStart"/>
      <w:r w:rsidR="00F47284" w:rsidRPr="00F47284">
        <w:rPr>
          <w:sz w:val="22"/>
          <w:szCs w:val="24"/>
          <w:lang w:val="pt-BR"/>
        </w:rPr>
        <w:t>domestic</w:t>
      </w:r>
      <w:proofErr w:type="spellEnd"/>
      <w:r w:rsidR="00F47284" w:rsidRPr="00F47284">
        <w:rPr>
          <w:sz w:val="22"/>
          <w:szCs w:val="24"/>
          <w:lang w:val="pt-BR"/>
        </w:rPr>
        <w:t xml:space="preserve"> </w:t>
      </w:r>
      <w:proofErr w:type="spellStart"/>
      <w:r w:rsidR="00F47284" w:rsidRPr="00F47284">
        <w:rPr>
          <w:sz w:val="22"/>
          <w:szCs w:val="24"/>
          <w:lang w:val="pt-BR"/>
        </w:rPr>
        <w:t>product</w:t>
      </w:r>
      <w:proofErr w:type="spellEnd"/>
      <w:r w:rsidR="00F47284" w:rsidRPr="00F47284">
        <w:rPr>
          <w:sz w:val="22"/>
          <w:szCs w:val="24"/>
          <w:lang w:val="pt-BR"/>
        </w:rPr>
        <w:t xml:space="preserve">, </w:t>
      </w:r>
      <w:proofErr w:type="spellStart"/>
      <w:r w:rsidR="00F47284" w:rsidRPr="00F47284">
        <w:rPr>
          <w:sz w:val="22"/>
          <w:szCs w:val="24"/>
          <w:lang w:val="pt-BR"/>
        </w:rPr>
        <w:t>explained</w:t>
      </w:r>
      <w:proofErr w:type="spellEnd"/>
      <w:r w:rsidR="00F47284" w:rsidRPr="00F47284">
        <w:rPr>
          <w:sz w:val="22"/>
          <w:szCs w:val="24"/>
          <w:lang w:val="pt-BR"/>
        </w:rPr>
        <w:t xml:space="preserve"> </w:t>
      </w:r>
      <w:proofErr w:type="spellStart"/>
      <w:r w:rsidR="00F47284" w:rsidRPr="00F47284">
        <w:rPr>
          <w:sz w:val="22"/>
          <w:szCs w:val="24"/>
          <w:lang w:val="pt-BR"/>
        </w:rPr>
        <w:t>by</w:t>
      </w:r>
      <w:proofErr w:type="spellEnd"/>
      <w:r w:rsidR="00F47284" w:rsidRPr="00F47284">
        <w:rPr>
          <w:sz w:val="22"/>
          <w:szCs w:val="24"/>
          <w:lang w:val="pt-BR"/>
        </w:rPr>
        <w:t xml:space="preserve"> </w:t>
      </w:r>
      <w:proofErr w:type="spellStart"/>
      <w:r w:rsidR="00F47284" w:rsidRPr="00F47284">
        <w:rPr>
          <w:sz w:val="22"/>
          <w:szCs w:val="24"/>
          <w:lang w:val="pt-BR"/>
        </w:rPr>
        <w:t>institutional</w:t>
      </w:r>
      <w:proofErr w:type="spellEnd"/>
      <w:r w:rsidR="00F47284" w:rsidRPr="00F47284">
        <w:rPr>
          <w:sz w:val="22"/>
          <w:szCs w:val="24"/>
          <w:lang w:val="pt-BR"/>
        </w:rPr>
        <w:t xml:space="preserve"> </w:t>
      </w:r>
      <w:proofErr w:type="spellStart"/>
      <w:r w:rsidR="00F47284" w:rsidRPr="00F47284">
        <w:rPr>
          <w:sz w:val="22"/>
          <w:szCs w:val="24"/>
          <w:lang w:val="pt-BR"/>
        </w:rPr>
        <w:t>variables</w:t>
      </w:r>
      <w:proofErr w:type="spellEnd"/>
      <w:r w:rsidR="00F47284" w:rsidRPr="00F47284">
        <w:rPr>
          <w:sz w:val="22"/>
          <w:szCs w:val="24"/>
          <w:lang w:val="pt-BR"/>
        </w:rPr>
        <w:t xml:space="preserve"> </w:t>
      </w:r>
      <w:proofErr w:type="spellStart"/>
      <w:r w:rsidR="00F47284" w:rsidRPr="00F47284">
        <w:rPr>
          <w:sz w:val="22"/>
          <w:szCs w:val="24"/>
          <w:lang w:val="pt-BR"/>
        </w:rPr>
        <w:t>related</w:t>
      </w:r>
      <w:proofErr w:type="spellEnd"/>
      <w:r w:rsidR="00F47284" w:rsidRPr="00F47284">
        <w:rPr>
          <w:sz w:val="22"/>
          <w:szCs w:val="24"/>
          <w:lang w:val="pt-BR"/>
        </w:rPr>
        <w:t xml:space="preserve"> </w:t>
      </w:r>
      <w:proofErr w:type="spellStart"/>
      <w:r w:rsidR="00F47284" w:rsidRPr="00F47284">
        <w:rPr>
          <w:sz w:val="22"/>
          <w:szCs w:val="24"/>
          <w:lang w:val="pt-BR"/>
        </w:rPr>
        <w:t>to</w:t>
      </w:r>
      <w:proofErr w:type="spellEnd"/>
      <w:r w:rsidR="00F47284" w:rsidRPr="00F47284">
        <w:rPr>
          <w:sz w:val="22"/>
          <w:szCs w:val="24"/>
          <w:lang w:val="pt-BR"/>
        </w:rPr>
        <w:t xml:space="preserve"> </w:t>
      </w:r>
      <w:proofErr w:type="spellStart"/>
      <w:r w:rsidR="00F47284" w:rsidRPr="00F47284">
        <w:rPr>
          <w:sz w:val="22"/>
          <w:szCs w:val="24"/>
          <w:lang w:val="pt-BR"/>
        </w:rPr>
        <w:t>the</w:t>
      </w:r>
      <w:proofErr w:type="spellEnd"/>
      <w:r w:rsidR="00F47284" w:rsidRPr="00F47284">
        <w:rPr>
          <w:sz w:val="22"/>
          <w:szCs w:val="24"/>
          <w:lang w:val="pt-BR"/>
        </w:rPr>
        <w:t xml:space="preserve"> </w:t>
      </w:r>
      <w:proofErr w:type="spellStart"/>
      <w:r w:rsidR="00F47284" w:rsidRPr="00F47284">
        <w:rPr>
          <w:sz w:val="22"/>
          <w:szCs w:val="24"/>
          <w:lang w:val="pt-BR"/>
        </w:rPr>
        <w:t>political</w:t>
      </w:r>
      <w:proofErr w:type="spellEnd"/>
      <w:r w:rsidR="00F47284" w:rsidRPr="00F47284">
        <w:rPr>
          <w:sz w:val="22"/>
          <w:szCs w:val="24"/>
          <w:lang w:val="pt-BR"/>
        </w:rPr>
        <w:t xml:space="preserve"> </w:t>
      </w:r>
      <w:proofErr w:type="spellStart"/>
      <w:r w:rsidR="00F47284" w:rsidRPr="00F47284">
        <w:rPr>
          <w:sz w:val="22"/>
          <w:szCs w:val="24"/>
          <w:lang w:val="pt-BR"/>
        </w:rPr>
        <w:t>dimension</w:t>
      </w:r>
      <w:proofErr w:type="spellEnd"/>
      <w:r w:rsidR="00F47284" w:rsidRPr="00F47284">
        <w:rPr>
          <w:sz w:val="22"/>
          <w:szCs w:val="24"/>
          <w:lang w:val="pt-BR"/>
        </w:rPr>
        <w:t>: "</w:t>
      </w:r>
      <w:proofErr w:type="spellStart"/>
      <w:r w:rsidR="00F47284" w:rsidRPr="00F47284">
        <w:rPr>
          <w:sz w:val="22"/>
          <w:szCs w:val="24"/>
          <w:lang w:val="pt-BR"/>
        </w:rPr>
        <w:t>political</w:t>
      </w:r>
      <w:proofErr w:type="spellEnd"/>
      <w:r w:rsidR="00F47284" w:rsidRPr="00F47284">
        <w:rPr>
          <w:sz w:val="22"/>
          <w:szCs w:val="24"/>
          <w:lang w:val="pt-BR"/>
        </w:rPr>
        <w:t xml:space="preserve"> </w:t>
      </w:r>
      <w:proofErr w:type="spellStart"/>
      <w:r w:rsidR="00F47284" w:rsidRPr="00F47284">
        <w:rPr>
          <w:sz w:val="22"/>
          <w:szCs w:val="24"/>
          <w:lang w:val="pt-BR"/>
        </w:rPr>
        <w:t>environment</w:t>
      </w:r>
      <w:proofErr w:type="spellEnd"/>
      <w:r w:rsidR="00F47284" w:rsidRPr="00F47284">
        <w:rPr>
          <w:sz w:val="22"/>
          <w:szCs w:val="24"/>
          <w:lang w:val="pt-BR"/>
        </w:rPr>
        <w:t xml:space="preserve">" </w:t>
      </w:r>
      <w:proofErr w:type="spellStart"/>
      <w:r w:rsidR="00F47284" w:rsidRPr="00F47284">
        <w:rPr>
          <w:sz w:val="22"/>
          <w:szCs w:val="24"/>
          <w:lang w:val="pt-BR"/>
        </w:rPr>
        <w:t>and</w:t>
      </w:r>
      <w:proofErr w:type="spellEnd"/>
      <w:r w:rsidR="00F47284" w:rsidRPr="00F47284">
        <w:rPr>
          <w:sz w:val="22"/>
          <w:szCs w:val="24"/>
          <w:lang w:val="pt-BR"/>
        </w:rPr>
        <w:t xml:space="preserve"> "</w:t>
      </w:r>
      <w:proofErr w:type="spellStart"/>
      <w:r w:rsidR="00F47284" w:rsidRPr="00F47284">
        <w:rPr>
          <w:sz w:val="22"/>
          <w:szCs w:val="24"/>
          <w:lang w:val="pt-BR"/>
        </w:rPr>
        <w:t>political</w:t>
      </w:r>
      <w:proofErr w:type="spellEnd"/>
      <w:r w:rsidR="00F47284" w:rsidRPr="00F47284">
        <w:rPr>
          <w:sz w:val="22"/>
          <w:szCs w:val="24"/>
          <w:lang w:val="pt-BR"/>
        </w:rPr>
        <w:t xml:space="preserve"> </w:t>
      </w:r>
      <w:proofErr w:type="spellStart"/>
      <w:r w:rsidR="00F47284" w:rsidRPr="00F47284">
        <w:rPr>
          <w:sz w:val="22"/>
          <w:szCs w:val="24"/>
          <w:lang w:val="pt-BR"/>
        </w:rPr>
        <w:t>stability</w:t>
      </w:r>
      <w:proofErr w:type="spellEnd"/>
      <w:r w:rsidR="00F47284" w:rsidRPr="00F47284">
        <w:rPr>
          <w:sz w:val="22"/>
          <w:szCs w:val="24"/>
          <w:lang w:val="pt-BR"/>
        </w:rPr>
        <w:t xml:space="preserve"> </w:t>
      </w:r>
      <w:proofErr w:type="spellStart"/>
      <w:r w:rsidR="00F47284" w:rsidRPr="00F47284">
        <w:rPr>
          <w:sz w:val="22"/>
          <w:szCs w:val="24"/>
          <w:lang w:val="pt-BR"/>
        </w:rPr>
        <w:t>and</w:t>
      </w:r>
      <w:proofErr w:type="spellEnd"/>
      <w:r w:rsidR="00F47284" w:rsidRPr="00F47284">
        <w:rPr>
          <w:sz w:val="22"/>
          <w:szCs w:val="24"/>
          <w:lang w:val="pt-BR"/>
        </w:rPr>
        <w:t xml:space="preserve"> </w:t>
      </w:r>
      <w:proofErr w:type="spellStart"/>
      <w:r w:rsidR="00F47284" w:rsidRPr="00F47284">
        <w:rPr>
          <w:sz w:val="22"/>
          <w:szCs w:val="24"/>
          <w:lang w:val="pt-BR"/>
        </w:rPr>
        <w:t>absence</w:t>
      </w:r>
      <w:proofErr w:type="spellEnd"/>
      <w:r w:rsidR="00F47284" w:rsidRPr="00F47284">
        <w:rPr>
          <w:sz w:val="22"/>
          <w:szCs w:val="24"/>
          <w:lang w:val="pt-BR"/>
        </w:rPr>
        <w:t xml:space="preserve"> </w:t>
      </w:r>
      <w:proofErr w:type="spellStart"/>
      <w:r w:rsidR="00F47284" w:rsidRPr="00F47284">
        <w:rPr>
          <w:sz w:val="22"/>
          <w:szCs w:val="24"/>
          <w:lang w:val="pt-BR"/>
        </w:rPr>
        <w:t>of</w:t>
      </w:r>
      <w:proofErr w:type="spellEnd"/>
      <w:r w:rsidR="00F47284" w:rsidRPr="00F47284">
        <w:rPr>
          <w:sz w:val="22"/>
          <w:szCs w:val="24"/>
          <w:lang w:val="pt-BR"/>
        </w:rPr>
        <w:t xml:space="preserve"> </w:t>
      </w:r>
      <w:proofErr w:type="spellStart"/>
      <w:r w:rsidR="00F47284" w:rsidRPr="00F47284">
        <w:rPr>
          <w:sz w:val="22"/>
          <w:szCs w:val="24"/>
          <w:lang w:val="pt-BR"/>
        </w:rPr>
        <w:t>violence</w:t>
      </w:r>
      <w:proofErr w:type="spellEnd"/>
      <w:r w:rsidR="00F47284" w:rsidRPr="00F47284">
        <w:rPr>
          <w:sz w:val="22"/>
          <w:szCs w:val="24"/>
          <w:lang w:val="pt-BR"/>
        </w:rPr>
        <w:t xml:space="preserve"> </w:t>
      </w:r>
      <w:proofErr w:type="spellStart"/>
      <w:r w:rsidR="00F47284" w:rsidRPr="00F47284">
        <w:rPr>
          <w:sz w:val="22"/>
          <w:szCs w:val="24"/>
          <w:lang w:val="pt-BR"/>
        </w:rPr>
        <w:t>and</w:t>
      </w:r>
      <w:proofErr w:type="spellEnd"/>
      <w:r w:rsidR="00F47284" w:rsidRPr="00F47284">
        <w:rPr>
          <w:sz w:val="22"/>
          <w:szCs w:val="24"/>
          <w:lang w:val="pt-BR"/>
        </w:rPr>
        <w:t xml:space="preserve"> </w:t>
      </w:r>
      <w:proofErr w:type="spellStart"/>
      <w:r w:rsidR="00F47284" w:rsidRPr="00F47284">
        <w:rPr>
          <w:sz w:val="22"/>
          <w:szCs w:val="24"/>
          <w:lang w:val="pt-BR"/>
        </w:rPr>
        <w:t>terror</w:t>
      </w:r>
      <w:r w:rsidR="00F47284">
        <w:rPr>
          <w:sz w:val="22"/>
          <w:szCs w:val="24"/>
          <w:lang w:val="pt-BR"/>
        </w:rPr>
        <w:t>ism</w:t>
      </w:r>
      <w:proofErr w:type="spellEnd"/>
      <w:r w:rsidR="00F47284">
        <w:rPr>
          <w:sz w:val="22"/>
          <w:szCs w:val="24"/>
          <w:lang w:val="pt-BR"/>
        </w:rPr>
        <w:t>.</w:t>
      </w:r>
      <w:r w:rsidR="00F47284" w:rsidRPr="00F47284">
        <w:rPr>
          <w:sz w:val="22"/>
          <w:szCs w:val="24"/>
          <w:lang w:val="pt-BR"/>
        </w:rPr>
        <w:t xml:space="preserve">" In </w:t>
      </w:r>
      <w:proofErr w:type="spellStart"/>
      <w:r w:rsidR="00F47284" w:rsidRPr="00F47284">
        <w:rPr>
          <w:sz w:val="22"/>
          <w:szCs w:val="24"/>
          <w:lang w:val="pt-BR"/>
        </w:rPr>
        <w:t>addition</w:t>
      </w:r>
      <w:proofErr w:type="spellEnd"/>
      <w:r w:rsidR="00F47284" w:rsidRPr="00F47284">
        <w:rPr>
          <w:sz w:val="22"/>
          <w:szCs w:val="24"/>
          <w:lang w:val="pt-BR"/>
        </w:rPr>
        <w:t xml:space="preserve"> </w:t>
      </w:r>
      <w:proofErr w:type="spellStart"/>
      <w:r w:rsidR="00F47284" w:rsidRPr="00F47284">
        <w:rPr>
          <w:sz w:val="22"/>
          <w:szCs w:val="24"/>
          <w:lang w:val="pt-BR"/>
        </w:rPr>
        <w:t>to</w:t>
      </w:r>
      <w:proofErr w:type="spellEnd"/>
      <w:r w:rsidR="00F47284" w:rsidRPr="00F47284">
        <w:rPr>
          <w:sz w:val="22"/>
          <w:szCs w:val="24"/>
          <w:lang w:val="pt-BR"/>
        </w:rPr>
        <w:t xml:space="preserve"> </w:t>
      </w:r>
      <w:proofErr w:type="spellStart"/>
      <w:r w:rsidR="00F47284" w:rsidRPr="00F47284">
        <w:rPr>
          <w:sz w:val="22"/>
          <w:szCs w:val="24"/>
          <w:lang w:val="pt-BR"/>
        </w:rPr>
        <w:t>the</w:t>
      </w:r>
      <w:proofErr w:type="spellEnd"/>
      <w:r w:rsidR="00F47284" w:rsidRPr="00F47284">
        <w:rPr>
          <w:sz w:val="22"/>
          <w:szCs w:val="24"/>
          <w:lang w:val="pt-BR"/>
        </w:rPr>
        <w:t xml:space="preserve"> </w:t>
      </w:r>
      <w:proofErr w:type="spellStart"/>
      <w:r w:rsidR="00F47284" w:rsidRPr="00F47284">
        <w:rPr>
          <w:sz w:val="22"/>
          <w:szCs w:val="24"/>
          <w:lang w:val="pt-BR"/>
        </w:rPr>
        <w:t>variables</w:t>
      </w:r>
      <w:proofErr w:type="spellEnd"/>
      <w:r w:rsidR="00F47284" w:rsidRPr="00F47284">
        <w:rPr>
          <w:sz w:val="22"/>
          <w:szCs w:val="24"/>
          <w:lang w:val="pt-BR"/>
        </w:rPr>
        <w:t xml:space="preserve"> </w:t>
      </w:r>
      <w:proofErr w:type="spellStart"/>
      <w:r w:rsidR="00F47284" w:rsidRPr="00F47284">
        <w:rPr>
          <w:sz w:val="22"/>
          <w:szCs w:val="24"/>
          <w:lang w:val="pt-BR"/>
        </w:rPr>
        <w:t>of</w:t>
      </w:r>
      <w:proofErr w:type="spellEnd"/>
      <w:r w:rsidR="00F47284" w:rsidRPr="00F47284">
        <w:rPr>
          <w:sz w:val="22"/>
          <w:szCs w:val="24"/>
          <w:lang w:val="pt-BR"/>
        </w:rPr>
        <w:t xml:space="preserve"> </w:t>
      </w:r>
      <w:proofErr w:type="spellStart"/>
      <w:r w:rsidR="00F47284" w:rsidRPr="00F47284">
        <w:rPr>
          <w:sz w:val="22"/>
          <w:szCs w:val="24"/>
          <w:lang w:val="pt-BR"/>
        </w:rPr>
        <w:t>interest</w:t>
      </w:r>
      <w:proofErr w:type="spellEnd"/>
      <w:r w:rsidR="00F47284" w:rsidRPr="00F47284">
        <w:rPr>
          <w:sz w:val="22"/>
          <w:szCs w:val="24"/>
          <w:lang w:val="pt-BR"/>
        </w:rPr>
        <w:t xml:space="preserve">, </w:t>
      </w:r>
      <w:proofErr w:type="spellStart"/>
      <w:r w:rsidR="00F47284" w:rsidRPr="00F47284">
        <w:rPr>
          <w:sz w:val="22"/>
          <w:szCs w:val="24"/>
          <w:lang w:val="pt-BR"/>
        </w:rPr>
        <w:t>that</w:t>
      </w:r>
      <w:proofErr w:type="spellEnd"/>
      <w:r w:rsidR="00F47284" w:rsidRPr="00F47284">
        <w:rPr>
          <w:sz w:val="22"/>
          <w:szCs w:val="24"/>
          <w:lang w:val="pt-BR"/>
        </w:rPr>
        <w:t xml:space="preserve"> </w:t>
      </w:r>
      <w:proofErr w:type="spellStart"/>
      <w:r w:rsidR="00F47284" w:rsidRPr="00F47284">
        <w:rPr>
          <w:sz w:val="22"/>
          <w:szCs w:val="24"/>
          <w:lang w:val="pt-BR"/>
        </w:rPr>
        <w:t>is</w:t>
      </w:r>
      <w:proofErr w:type="spellEnd"/>
      <w:r w:rsidR="00F47284" w:rsidRPr="00F47284">
        <w:rPr>
          <w:sz w:val="22"/>
          <w:szCs w:val="24"/>
          <w:lang w:val="pt-BR"/>
        </w:rPr>
        <w:t xml:space="preserve">, </w:t>
      </w:r>
      <w:proofErr w:type="spellStart"/>
      <w:r w:rsidR="00F47284" w:rsidRPr="00F47284">
        <w:rPr>
          <w:sz w:val="22"/>
          <w:szCs w:val="24"/>
          <w:lang w:val="pt-BR"/>
        </w:rPr>
        <w:t>the</w:t>
      </w:r>
      <w:proofErr w:type="spellEnd"/>
      <w:r w:rsidR="00F47284" w:rsidRPr="00F47284">
        <w:rPr>
          <w:sz w:val="22"/>
          <w:szCs w:val="24"/>
          <w:lang w:val="pt-BR"/>
        </w:rPr>
        <w:t xml:space="preserve"> </w:t>
      </w:r>
      <w:proofErr w:type="spellStart"/>
      <w:r w:rsidR="00F47284" w:rsidRPr="00F47284">
        <w:rPr>
          <w:sz w:val="22"/>
          <w:szCs w:val="24"/>
          <w:lang w:val="pt-BR"/>
        </w:rPr>
        <w:t>institutional</w:t>
      </w:r>
      <w:proofErr w:type="spellEnd"/>
      <w:r w:rsidR="00F47284" w:rsidRPr="00F47284">
        <w:rPr>
          <w:sz w:val="22"/>
          <w:szCs w:val="24"/>
          <w:lang w:val="pt-BR"/>
        </w:rPr>
        <w:t xml:space="preserve"> </w:t>
      </w:r>
      <w:proofErr w:type="spellStart"/>
      <w:r w:rsidR="00F47284" w:rsidRPr="00F47284">
        <w:rPr>
          <w:sz w:val="22"/>
          <w:szCs w:val="24"/>
          <w:lang w:val="pt-BR"/>
        </w:rPr>
        <w:t>variables</w:t>
      </w:r>
      <w:proofErr w:type="spellEnd"/>
      <w:r w:rsidR="00F47284" w:rsidRPr="00F47284">
        <w:rPr>
          <w:sz w:val="22"/>
          <w:szCs w:val="24"/>
          <w:lang w:val="pt-BR"/>
        </w:rPr>
        <w:t xml:space="preserve">, </w:t>
      </w:r>
      <w:proofErr w:type="spellStart"/>
      <w:r w:rsidR="00F47284" w:rsidRPr="00F47284">
        <w:rPr>
          <w:sz w:val="22"/>
          <w:szCs w:val="24"/>
          <w:lang w:val="pt-BR"/>
        </w:rPr>
        <w:t>control</w:t>
      </w:r>
      <w:proofErr w:type="spellEnd"/>
      <w:r w:rsidR="00F47284" w:rsidRPr="00F47284">
        <w:rPr>
          <w:sz w:val="22"/>
          <w:szCs w:val="24"/>
          <w:lang w:val="pt-BR"/>
        </w:rPr>
        <w:t xml:space="preserve"> </w:t>
      </w:r>
      <w:proofErr w:type="spellStart"/>
      <w:r w:rsidR="00F47284" w:rsidRPr="00F47284">
        <w:rPr>
          <w:sz w:val="22"/>
          <w:szCs w:val="24"/>
          <w:lang w:val="pt-BR"/>
        </w:rPr>
        <w:t>variables</w:t>
      </w:r>
      <w:proofErr w:type="spellEnd"/>
      <w:r w:rsidR="00F47284" w:rsidRPr="00F47284">
        <w:rPr>
          <w:sz w:val="22"/>
          <w:szCs w:val="24"/>
          <w:lang w:val="pt-BR"/>
        </w:rPr>
        <w:t xml:space="preserve"> </w:t>
      </w:r>
      <w:proofErr w:type="spellStart"/>
      <w:r w:rsidR="00F47284" w:rsidRPr="00F47284">
        <w:rPr>
          <w:sz w:val="22"/>
          <w:szCs w:val="24"/>
          <w:lang w:val="pt-BR"/>
        </w:rPr>
        <w:t>were</w:t>
      </w:r>
      <w:proofErr w:type="spellEnd"/>
      <w:r w:rsidR="00F47284" w:rsidRPr="00F47284">
        <w:rPr>
          <w:sz w:val="22"/>
          <w:szCs w:val="24"/>
          <w:lang w:val="pt-BR"/>
        </w:rPr>
        <w:t xml:space="preserve"> </w:t>
      </w:r>
      <w:proofErr w:type="spellStart"/>
      <w:r w:rsidR="00F47284" w:rsidRPr="00F47284">
        <w:rPr>
          <w:sz w:val="22"/>
          <w:szCs w:val="24"/>
          <w:lang w:val="pt-BR"/>
        </w:rPr>
        <w:t>used</w:t>
      </w:r>
      <w:proofErr w:type="spellEnd"/>
      <w:r w:rsidR="00F47284" w:rsidRPr="00F47284">
        <w:rPr>
          <w:sz w:val="22"/>
          <w:szCs w:val="24"/>
          <w:lang w:val="pt-BR"/>
        </w:rPr>
        <w:t xml:space="preserve">: </w:t>
      </w:r>
      <w:proofErr w:type="spellStart"/>
      <w:r w:rsidR="00F47284" w:rsidRPr="00F47284">
        <w:rPr>
          <w:sz w:val="22"/>
          <w:szCs w:val="24"/>
          <w:lang w:val="pt-BR"/>
        </w:rPr>
        <w:t>inflation</w:t>
      </w:r>
      <w:proofErr w:type="spellEnd"/>
      <w:r w:rsidR="00F47284" w:rsidRPr="00F47284">
        <w:rPr>
          <w:sz w:val="22"/>
          <w:szCs w:val="24"/>
          <w:lang w:val="pt-BR"/>
        </w:rPr>
        <w:t xml:space="preserve">, </w:t>
      </w:r>
      <w:proofErr w:type="spellStart"/>
      <w:r w:rsidR="00F47284" w:rsidRPr="00F47284">
        <w:rPr>
          <w:sz w:val="22"/>
          <w:szCs w:val="24"/>
          <w:lang w:val="pt-BR"/>
        </w:rPr>
        <w:t>exchange</w:t>
      </w:r>
      <w:proofErr w:type="spellEnd"/>
      <w:r w:rsidR="00F47284" w:rsidRPr="00F47284">
        <w:rPr>
          <w:sz w:val="22"/>
          <w:szCs w:val="24"/>
          <w:lang w:val="pt-BR"/>
        </w:rPr>
        <w:t xml:space="preserve"> rate, </w:t>
      </w:r>
      <w:proofErr w:type="spellStart"/>
      <w:r w:rsidR="00F47284" w:rsidRPr="00F47284">
        <w:rPr>
          <w:sz w:val="22"/>
          <w:szCs w:val="24"/>
          <w:lang w:val="pt-BR"/>
        </w:rPr>
        <w:t>gross</w:t>
      </w:r>
      <w:proofErr w:type="spellEnd"/>
      <w:r w:rsidR="00F47284" w:rsidRPr="00F47284">
        <w:rPr>
          <w:sz w:val="22"/>
          <w:szCs w:val="24"/>
          <w:lang w:val="pt-BR"/>
        </w:rPr>
        <w:t xml:space="preserve"> capital </w:t>
      </w:r>
      <w:proofErr w:type="spellStart"/>
      <w:r w:rsidR="00F47284" w:rsidRPr="00F47284">
        <w:rPr>
          <w:sz w:val="22"/>
          <w:szCs w:val="24"/>
          <w:lang w:val="pt-BR"/>
        </w:rPr>
        <w:t>formation</w:t>
      </w:r>
      <w:proofErr w:type="spellEnd"/>
      <w:r w:rsidR="00F47284" w:rsidRPr="00F47284">
        <w:rPr>
          <w:sz w:val="22"/>
          <w:szCs w:val="24"/>
          <w:lang w:val="pt-BR"/>
        </w:rPr>
        <w:t xml:space="preserve"> </w:t>
      </w:r>
      <w:proofErr w:type="spellStart"/>
      <w:r w:rsidR="00F47284" w:rsidRPr="00F47284">
        <w:rPr>
          <w:sz w:val="22"/>
          <w:szCs w:val="24"/>
          <w:lang w:val="pt-BR"/>
        </w:rPr>
        <w:t>and</w:t>
      </w:r>
      <w:proofErr w:type="spellEnd"/>
      <w:r w:rsidR="00F47284" w:rsidRPr="00F47284">
        <w:rPr>
          <w:sz w:val="22"/>
          <w:szCs w:val="24"/>
          <w:lang w:val="pt-BR"/>
        </w:rPr>
        <w:t xml:space="preserve"> </w:t>
      </w:r>
      <w:proofErr w:type="spellStart"/>
      <w:r w:rsidR="00F47284" w:rsidRPr="00F47284">
        <w:rPr>
          <w:sz w:val="22"/>
          <w:szCs w:val="24"/>
          <w:lang w:val="pt-BR"/>
        </w:rPr>
        <w:t>annual</w:t>
      </w:r>
      <w:proofErr w:type="spellEnd"/>
      <w:r w:rsidR="00F47284" w:rsidRPr="00F47284">
        <w:rPr>
          <w:sz w:val="22"/>
          <w:szCs w:val="24"/>
          <w:lang w:val="pt-BR"/>
        </w:rPr>
        <w:t xml:space="preserve"> GDP </w:t>
      </w:r>
      <w:proofErr w:type="spellStart"/>
      <w:r w:rsidR="00F47284" w:rsidRPr="00F47284">
        <w:rPr>
          <w:sz w:val="22"/>
          <w:szCs w:val="24"/>
          <w:lang w:val="pt-BR"/>
        </w:rPr>
        <w:t>growth</w:t>
      </w:r>
      <w:proofErr w:type="spellEnd"/>
      <w:r w:rsidR="00F47284" w:rsidRPr="00F47284">
        <w:rPr>
          <w:sz w:val="22"/>
          <w:szCs w:val="24"/>
          <w:lang w:val="pt-BR"/>
        </w:rPr>
        <w:t xml:space="preserve"> rate. </w:t>
      </w:r>
      <w:proofErr w:type="spellStart"/>
      <w:r w:rsidR="00F47284" w:rsidRPr="00F47284">
        <w:rPr>
          <w:sz w:val="22"/>
          <w:szCs w:val="24"/>
          <w:lang w:val="pt-BR"/>
        </w:rPr>
        <w:t>Due</w:t>
      </w:r>
      <w:proofErr w:type="spellEnd"/>
      <w:r w:rsidR="00F47284" w:rsidRPr="00F47284">
        <w:rPr>
          <w:sz w:val="22"/>
          <w:szCs w:val="24"/>
          <w:lang w:val="pt-BR"/>
        </w:rPr>
        <w:t xml:space="preserve"> </w:t>
      </w:r>
      <w:proofErr w:type="spellStart"/>
      <w:r w:rsidR="00F47284" w:rsidRPr="00F47284">
        <w:rPr>
          <w:sz w:val="22"/>
          <w:szCs w:val="24"/>
          <w:lang w:val="pt-BR"/>
        </w:rPr>
        <w:t>to</w:t>
      </w:r>
      <w:proofErr w:type="spellEnd"/>
      <w:r w:rsidR="00F47284" w:rsidRPr="00F47284">
        <w:rPr>
          <w:sz w:val="22"/>
          <w:szCs w:val="24"/>
          <w:lang w:val="pt-BR"/>
        </w:rPr>
        <w:t xml:space="preserve"> </w:t>
      </w:r>
      <w:proofErr w:type="spellStart"/>
      <w:r w:rsidR="00F47284" w:rsidRPr="00F47284">
        <w:rPr>
          <w:sz w:val="22"/>
          <w:szCs w:val="24"/>
          <w:lang w:val="pt-BR"/>
        </w:rPr>
        <w:t>the</w:t>
      </w:r>
      <w:proofErr w:type="spellEnd"/>
      <w:r w:rsidR="00F47284" w:rsidRPr="00F47284">
        <w:rPr>
          <w:sz w:val="22"/>
          <w:szCs w:val="24"/>
          <w:lang w:val="pt-BR"/>
        </w:rPr>
        <w:t xml:space="preserve"> </w:t>
      </w:r>
      <w:proofErr w:type="spellStart"/>
      <w:r w:rsidR="00F47284" w:rsidRPr="00F47284">
        <w:rPr>
          <w:sz w:val="22"/>
          <w:szCs w:val="24"/>
          <w:lang w:val="pt-BR"/>
        </w:rPr>
        <w:t>strong</w:t>
      </w:r>
      <w:proofErr w:type="spellEnd"/>
      <w:r w:rsidR="00F47284" w:rsidRPr="00F47284">
        <w:rPr>
          <w:sz w:val="22"/>
          <w:szCs w:val="24"/>
          <w:lang w:val="pt-BR"/>
        </w:rPr>
        <w:t xml:space="preserve"> </w:t>
      </w:r>
      <w:proofErr w:type="spellStart"/>
      <w:r w:rsidR="00F47284" w:rsidRPr="00F47284">
        <w:rPr>
          <w:sz w:val="22"/>
          <w:szCs w:val="24"/>
          <w:lang w:val="pt-BR"/>
        </w:rPr>
        <w:t>correlation</w:t>
      </w:r>
      <w:proofErr w:type="spellEnd"/>
      <w:r w:rsidR="00F47284" w:rsidRPr="00F47284">
        <w:rPr>
          <w:sz w:val="22"/>
          <w:szCs w:val="24"/>
          <w:lang w:val="pt-BR"/>
        </w:rPr>
        <w:t xml:space="preserve"> </w:t>
      </w:r>
      <w:proofErr w:type="spellStart"/>
      <w:r w:rsidR="00F47284" w:rsidRPr="00F47284">
        <w:rPr>
          <w:sz w:val="22"/>
          <w:szCs w:val="24"/>
          <w:lang w:val="pt-BR"/>
        </w:rPr>
        <w:t>between</w:t>
      </w:r>
      <w:proofErr w:type="spellEnd"/>
      <w:r w:rsidR="00F47284" w:rsidRPr="00F47284">
        <w:rPr>
          <w:sz w:val="22"/>
          <w:szCs w:val="24"/>
          <w:lang w:val="pt-BR"/>
        </w:rPr>
        <w:t xml:space="preserve"> </w:t>
      </w:r>
      <w:proofErr w:type="spellStart"/>
      <w:r w:rsidR="00F47284" w:rsidRPr="00F47284">
        <w:rPr>
          <w:sz w:val="22"/>
          <w:szCs w:val="24"/>
          <w:lang w:val="pt-BR"/>
        </w:rPr>
        <w:t>the</w:t>
      </w:r>
      <w:proofErr w:type="spellEnd"/>
      <w:r w:rsidR="00F47284" w:rsidRPr="00F47284">
        <w:rPr>
          <w:sz w:val="22"/>
          <w:szCs w:val="24"/>
          <w:lang w:val="pt-BR"/>
        </w:rPr>
        <w:t xml:space="preserve"> </w:t>
      </w:r>
      <w:proofErr w:type="spellStart"/>
      <w:r w:rsidR="00F47284" w:rsidRPr="00F47284">
        <w:rPr>
          <w:sz w:val="22"/>
          <w:szCs w:val="24"/>
          <w:lang w:val="pt-BR"/>
        </w:rPr>
        <w:t>institutional</w:t>
      </w:r>
      <w:proofErr w:type="spellEnd"/>
      <w:r w:rsidR="00F47284" w:rsidRPr="00F47284">
        <w:rPr>
          <w:sz w:val="22"/>
          <w:szCs w:val="24"/>
          <w:lang w:val="pt-BR"/>
        </w:rPr>
        <w:t xml:space="preserve"> </w:t>
      </w:r>
      <w:proofErr w:type="spellStart"/>
      <w:r w:rsidR="00F47284" w:rsidRPr="00F47284">
        <w:rPr>
          <w:sz w:val="22"/>
          <w:szCs w:val="24"/>
          <w:lang w:val="pt-BR"/>
        </w:rPr>
        <w:t>variables</w:t>
      </w:r>
      <w:proofErr w:type="spellEnd"/>
      <w:r w:rsidR="00F47284" w:rsidRPr="00F47284">
        <w:rPr>
          <w:sz w:val="22"/>
          <w:szCs w:val="24"/>
          <w:lang w:val="pt-BR"/>
        </w:rPr>
        <w:t xml:space="preserve">, </w:t>
      </w:r>
      <w:proofErr w:type="spellStart"/>
      <w:r w:rsidR="00F47284" w:rsidRPr="00F47284">
        <w:rPr>
          <w:sz w:val="22"/>
          <w:szCs w:val="24"/>
          <w:lang w:val="pt-BR"/>
        </w:rPr>
        <w:t>these</w:t>
      </w:r>
      <w:proofErr w:type="spellEnd"/>
      <w:r w:rsidR="00F47284" w:rsidRPr="00F47284">
        <w:rPr>
          <w:sz w:val="22"/>
          <w:szCs w:val="24"/>
          <w:lang w:val="pt-BR"/>
        </w:rPr>
        <w:t xml:space="preserve"> </w:t>
      </w:r>
      <w:proofErr w:type="spellStart"/>
      <w:r w:rsidR="00F47284" w:rsidRPr="00F47284">
        <w:rPr>
          <w:sz w:val="22"/>
          <w:szCs w:val="24"/>
          <w:lang w:val="pt-BR"/>
        </w:rPr>
        <w:t>were</w:t>
      </w:r>
      <w:proofErr w:type="spellEnd"/>
      <w:r w:rsidR="00F47284" w:rsidRPr="00F47284">
        <w:rPr>
          <w:sz w:val="22"/>
          <w:szCs w:val="24"/>
          <w:lang w:val="pt-BR"/>
        </w:rPr>
        <w:t xml:space="preserve"> </w:t>
      </w:r>
      <w:proofErr w:type="spellStart"/>
      <w:r w:rsidR="00F47284" w:rsidRPr="00F47284">
        <w:rPr>
          <w:sz w:val="22"/>
          <w:szCs w:val="24"/>
          <w:lang w:val="pt-BR"/>
        </w:rPr>
        <w:t>evaluated</w:t>
      </w:r>
      <w:proofErr w:type="spellEnd"/>
      <w:r w:rsidR="00F47284" w:rsidRPr="00F47284">
        <w:rPr>
          <w:sz w:val="22"/>
          <w:szCs w:val="24"/>
          <w:lang w:val="pt-BR"/>
        </w:rPr>
        <w:t xml:space="preserve"> in </w:t>
      </w:r>
      <w:proofErr w:type="spellStart"/>
      <w:r w:rsidR="00F47284" w:rsidRPr="00F47284">
        <w:rPr>
          <w:sz w:val="22"/>
          <w:szCs w:val="24"/>
          <w:lang w:val="pt-BR"/>
        </w:rPr>
        <w:t>different</w:t>
      </w:r>
      <w:proofErr w:type="spellEnd"/>
      <w:r w:rsidR="00F47284" w:rsidRPr="00F47284">
        <w:rPr>
          <w:sz w:val="22"/>
          <w:szCs w:val="24"/>
          <w:lang w:val="pt-BR"/>
        </w:rPr>
        <w:t xml:space="preserve"> </w:t>
      </w:r>
      <w:proofErr w:type="spellStart"/>
      <w:r w:rsidR="00F47284" w:rsidRPr="00F47284">
        <w:rPr>
          <w:sz w:val="22"/>
          <w:szCs w:val="24"/>
          <w:lang w:val="pt-BR"/>
        </w:rPr>
        <w:t>models</w:t>
      </w:r>
      <w:proofErr w:type="spellEnd"/>
      <w:r w:rsidR="00F47284" w:rsidRPr="00F47284">
        <w:rPr>
          <w:sz w:val="22"/>
          <w:szCs w:val="24"/>
          <w:lang w:val="pt-BR"/>
        </w:rPr>
        <w:t xml:space="preserve">, </w:t>
      </w:r>
      <w:proofErr w:type="spellStart"/>
      <w:r w:rsidR="00F47284" w:rsidRPr="00F47284">
        <w:rPr>
          <w:sz w:val="22"/>
          <w:szCs w:val="24"/>
          <w:lang w:val="pt-BR"/>
        </w:rPr>
        <w:t>and</w:t>
      </w:r>
      <w:proofErr w:type="spellEnd"/>
      <w:r w:rsidR="00F47284" w:rsidRPr="00F47284">
        <w:rPr>
          <w:sz w:val="22"/>
          <w:szCs w:val="24"/>
          <w:lang w:val="pt-BR"/>
        </w:rPr>
        <w:t xml:space="preserve"> in </w:t>
      </w:r>
      <w:proofErr w:type="spellStart"/>
      <w:r w:rsidR="00F47284" w:rsidRPr="00F47284">
        <w:rPr>
          <w:sz w:val="22"/>
          <w:szCs w:val="24"/>
          <w:lang w:val="pt-BR"/>
        </w:rPr>
        <w:t>alternative</w:t>
      </w:r>
      <w:proofErr w:type="spellEnd"/>
      <w:r w:rsidR="00F47284" w:rsidRPr="00F47284">
        <w:rPr>
          <w:sz w:val="22"/>
          <w:szCs w:val="24"/>
          <w:lang w:val="pt-BR"/>
        </w:rPr>
        <w:t xml:space="preserve"> </w:t>
      </w:r>
      <w:proofErr w:type="spellStart"/>
      <w:r w:rsidR="00F47284" w:rsidRPr="00F47284">
        <w:rPr>
          <w:sz w:val="22"/>
          <w:szCs w:val="24"/>
          <w:lang w:val="pt-BR"/>
        </w:rPr>
        <w:t>versions</w:t>
      </w:r>
      <w:proofErr w:type="spellEnd"/>
      <w:r w:rsidR="00F47284" w:rsidRPr="00F47284">
        <w:rPr>
          <w:sz w:val="22"/>
          <w:szCs w:val="24"/>
          <w:lang w:val="pt-BR"/>
        </w:rPr>
        <w:t xml:space="preserve">, </w:t>
      </w:r>
      <w:proofErr w:type="spellStart"/>
      <w:r w:rsidR="00F47284" w:rsidRPr="00F47284">
        <w:rPr>
          <w:sz w:val="22"/>
          <w:szCs w:val="24"/>
          <w:lang w:val="pt-BR"/>
        </w:rPr>
        <w:t>with</w:t>
      </w:r>
      <w:proofErr w:type="spellEnd"/>
      <w:r w:rsidR="00F47284" w:rsidRPr="00F47284">
        <w:rPr>
          <w:sz w:val="22"/>
          <w:szCs w:val="24"/>
          <w:lang w:val="pt-BR"/>
        </w:rPr>
        <w:t xml:space="preserve"> </w:t>
      </w:r>
      <w:proofErr w:type="spellStart"/>
      <w:r w:rsidR="00F47284" w:rsidRPr="00F47284">
        <w:rPr>
          <w:sz w:val="22"/>
          <w:szCs w:val="24"/>
          <w:lang w:val="pt-BR"/>
        </w:rPr>
        <w:t>and</w:t>
      </w:r>
      <w:proofErr w:type="spellEnd"/>
      <w:r w:rsidR="00F47284" w:rsidRPr="00F47284">
        <w:rPr>
          <w:sz w:val="22"/>
          <w:szCs w:val="24"/>
          <w:lang w:val="pt-BR"/>
        </w:rPr>
        <w:t xml:space="preserve"> </w:t>
      </w:r>
      <w:proofErr w:type="spellStart"/>
      <w:r w:rsidR="00F47284" w:rsidRPr="00F47284">
        <w:rPr>
          <w:sz w:val="22"/>
          <w:szCs w:val="24"/>
          <w:lang w:val="pt-BR"/>
        </w:rPr>
        <w:t>without</w:t>
      </w:r>
      <w:proofErr w:type="spellEnd"/>
      <w:r w:rsidR="00F47284" w:rsidRPr="00F47284">
        <w:rPr>
          <w:sz w:val="22"/>
          <w:szCs w:val="24"/>
          <w:lang w:val="pt-BR"/>
        </w:rPr>
        <w:t xml:space="preserve"> </w:t>
      </w:r>
      <w:proofErr w:type="spellStart"/>
      <w:r w:rsidR="00F47284" w:rsidRPr="00F47284">
        <w:rPr>
          <w:sz w:val="22"/>
          <w:szCs w:val="24"/>
          <w:lang w:val="pt-BR"/>
        </w:rPr>
        <w:t>the</w:t>
      </w:r>
      <w:proofErr w:type="spellEnd"/>
      <w:r w:rsidR="00F47284" w:rsidRPr="00F47284">
        <w:rPr>
          <w:sz w:val="22"/>
          <w:szCs w:val="24"/>
          <w:lang w:val="pt-BR"/>
        </w:rPr>
        <w:t xml:space="preserve"> use </w:t>
      </w:r>
      <w:proofErr w:type="spellStart"/>
      <w:r w:rsidR="00F47284" w:rsidRPr="00F47284">
        <w:rPr>
          <w:sz w:val="22"/>
          <w:szCs w:val="24"/>
          <w:lang w:val="pt-BR"/>
        </w:rPr>
        <w:t>of</w:t>
      </w:r>
      <w:proofErr w:type="spellEnd"/>
      <w:r w:rsidR="00F47284" w:rsidRPr="00F47284">
        <w:rPr>
          <w:sz w:val="22"/>
          <w:szCs w:val="24"/>
          <w:lang w:val="pt-BR"/>
        </w:rPr>
        <w:t xml:space="preserve"> instrumental </w:t>
      </w:r>
      <w:proofErr w:type="spellStart"/>
      <w:r w:rsidR="00F47284" w:rsidRPr="00F47284">
        <w:rPr>
          <w:sz w:val="22"/>
          <w:szCs w:val="24"/>
          <w:lang w:val="pt-BR"/>
        </w:rPr>
        <w:t>variables</w:t>
      </w:r>
      <w:proofErr w:type="spellEnd"/>
      <w:r w:rsidR="00F47284" w:rsidRPr="00F47284">
        <w:rPr>
          <w:sz w:val="22"/>
          <w:szCs w:val="24"/>
          <w:lang w:val="pt-BR"/>
        </w:rPr>
        <w:t xml:space="preserve">. </w:t>
      </w:r>
      <w:proofErr w:type="spellStart"/>
      <w:r w:rsidR="003B78A3" w:rsidRPr="003B78A3">
        <w:rPr>
          <w:sz w:val="22"/>
          <w:szCs w:val="24"/>
          <w:lang w:val="pt-BR"/>
        </w:rPr>
        <w:t>Among</w:t>
      </w:r>
      <w:proofErr w:type="spellEnd"/>
      <w:r w:rsidR="003B78A3" w:rsidRPr="003B78A3">
        <w:rPr>
          <w:sz w:val="22"/>
          <w:szCs w:val="24"/>
          <w:lang w:val="pt-BR"/>
        </w:rPr>
        <w:t xml:space="preserve"> </w:t>
      </w:r>
      <w:proofErr w:type="spellStart"/>
      <w:r w:rsidR="003B78A3">
        <w:rPr>
          <w:sz w:val="22"/>
          <w:szCs w:val="24"/>
          <w:lang w:val="pt-BR"/>
        </w:rPr>
        <w:t>the</w:t>
      </w:r>
      <w:proofErr w:type="spellEnd"/>
      <w:r w:rsidR="003B78A3">
        <w:rPr>
          <w:sz w:val="22"/>
          <w:szCs w:val="24"/>
          <w:lang w:val="pt-BR"/>
        </w:rPr>
        <w:t xml:space="preserve"> </w:t>
      </w:r>
      <w:proofErr w:type="spellStart"/>
      <w:r w:rsidR="003B78A3">
        <w:rPr>
          <w:sz w:val="22"/>
          <w:szCs w:val="24"/>
          <w:lang w:val="pt-BR"/>
        </w:rPr>
        <w:t>instruments</w:t>
      </w:r>
      <w:proofErr w:type="spellEnd"/>
      <w:r w:rsidR="003B78A3">
        <w:rPr>
          <w:sz w:val="22"/>
          <w:szCs w:val="24"/>
          <w:lang w:val="pt-BR"/>
        </w:rPr>
        <w:t xml:space="preserve">, </w:t>
      </w:r>
      <w:proofErr w:type="spellStart"/>
      <w:r w:rsidR="003B78A3">
        <w:rPr>
          <w:sz w:val="22"/>
          <w:szCs w:val="24"/>
          <w:lang w:val="pt-BR"/>
        </w:rPr>
        <w:t>the</w:t>
      </w:r>
      <w:proofErr w:type="spellEnd"/>
      <w:r w:rsidR="003B78A3">
        <w:rPr>
          <w:sz w:val="22"/>
          <w:szCs w:val="24"/>
          <w:lang w:val="pt-BR"/>
        </w:rPr>
        <w:t xml:space="preserve"> </w:t>
      </w:r>
      <w:proofErr w:type="spellStart"/>
      <w:r w:rsidR="003B78A3">
        <w:rPr>
          <w:sz w:val="22"/>
          <w:szCs w:val="24"/>
          <w:lang w:val="pt-BR"/>
        </w:rPr>
        <w:t>variables</w:t>
      </w:r>
      <w:proofErr w:type="spellEnd"/>
      <w:r w:rsidR="003B78A3">
        <w:rPr>
          <w:sz w:val="22"/>
          <w:szCs w:val="24"/>
          <w:lang w:val="pt-BR"/>
        </w:rPr>
        <w:t xml:space="preserve"> </w:t>
      </w:r>
      <w:proofErr w:type="spellStart"/>
      <w:r w:rsidR="003B78A3">
        <w:rPr>
          <w:sz w:val="22"/>
          <w:szCs w:val="24"/>
          <w:lang w:val="pt-BR"/>
        </w:rPr>
        <w:t>chosen</w:t>
      </w:r>
      <w:proofErr w:type="spellEnd"/>
      <w:r w:rsidR="003B78A3">
        <w:rPr>
          <w:sz w:val="22"/>
          <w:szCs w:val="24"/>
          <w:lang w:val="pt-BR"/>
        </w:rPr>
        <w:t xml:space="preserve"> </w:t>
      </w:r>
      <w:proofErr w:type="spellStart"/>
      <w:r w:rsidR="003B78A3">
        <w:rPr>
          <w:sz w:val="22"/>
          <w:szCs w:val="24"/>
          <w:lang w:val="pt-BR"/>
        </w:rPr>
        <w:t>reflects</w:t>
      </w:r>
      <w:proofErr w:type="spellEnd"/>
      <w:r w:rsidR="003B78A3">
        <w:rPr>
          <w:sz w:val="22"/>
          <w:szCs w:val="24"/>
          <w:lang w:val="pt-BR"/>
        </w:rPr>
        <w:t xml:space="preserve"> </w:t>
      </w:r>
      <w:proofErr w:type="spellStart"/>
      <w:r w:rsidR="003B78A3" w:rsidRPr="003B78A3">
        <w:rPr>
          <w:sz w:val="22"/>
          <w:szCs w:val="24"/>
          <w:lang w:val="pt-BR"/>
        </w:rPr>
        <w:t>the</w:t>
      </w:r>
      <w:proofErr w:type="spellEnd"/>
      <w:r w:rsidR="003B78A3" w:rsidRPr="003B78A3">
        <w:rPr>
          <w:sz w:val="22"/>
          <w:szCs w:val="24"/>
          <w:lang w:val="pt-BR"/>
        </w:rPr>
        <w:t xml:space="preserve"> informal </w:t>
      </w:r>
      <w:proofErr w:type="spellStart"/>
      <w:r w:rsidR="003B78A3" w:rsidRPr="003B78A3">
        <w:rPr>
          <w:sz w:val="22"/>
          <w:szCs w:val="24"/>
          <w:lang w:val="pt-BR"/>
        </w:rPr>
        <w:t>institutions</w:t>
      </w:r>
      <w:proofErr w:type="spellEnd"/>
      <w:r w:rsidR="003B78A3" w:rsidRPr="003B78A3">
        <w:rPr>
          <w:sz w:val="22"/>
          <w:szCs w:val="24"/>
          <w:lang w:val="pt-BR"/>
        </w:rPr>
        <w:t xml:space="preserve">, </w:t>
      </w:r>
      <w:proofErr w:type="spellStart"/>
      <w:r w:rsidR="003B78A3">
        <w:rPr>
          <w:sz w:val="22"/>
          <w:szCs w:val="24"/>
          <w:lang w:val="pt-BR"/>
        </w:rPr>
        <w:t>and</w:t>
      </w:r>
      <w:proofErr w:type="spellEnd"/>
      <w:r w:rsidR="003B78A3">
        <w:rPr>
          <w:sz w:val="22"/>
          <w:szCs w:val="24"/>
          <w:lang w:val="pt-BR"/>
        </w:rPr>
        <w:t xml:space="preserve"> </w:t>
      </w:r>
      <w:proofErr w:type="spellStart"/>
      <w:r w:rsidR="003B78A3">
        <w:rPr>
          <w:sz w:val="22"/>
          <w:szCs w:val="24"/>
          <w:lang w:val="pt-BR"/>
        </w:rPr>
        <w:t>were</w:t>
      </w:r>
      <w:proofErr w:type="spellEnd"/>
      <w:r w:rsidR="003B78A3">
        <w:rPr>
          <w:sz w:val="22"/>
          <w:szCs w:val="24"/>
          <w:lang w:val="pt-BR"/>
        </w:rPr>
        <w:t xml:space="preserve"> </w:t>
      </w:r>
      <w:proofErr w:type="spellStart"/>
      <w:r w:rsidR="003B78A3">
        <w:rPr>
          <w:sz w:val="22"/>
          <w:szCs w:val="24"/>
          <w:lang w:val="pt-BR"/>
        </w:rPr>
        <w:t>used</w:t>
      </w:r>
      <w:proofErr w:type="spellEnd"/>
      <w:r w:rsidR="003B78A3">
        <w:rPr>
          <w:sz w:val="22"/>
          <w:szCs w:val="24"/>
          <w:lang w:val="pt-BR"/>
        </w:rPr>
        <w:t xml:space="preserve"> </w:t>
      </w:r>
      <w:r w:rsidR="003B78A3" w:rsidRPr="003B78A3">
        <w:rPr>
          <w:sz w:val="22"/>
          <w:szCs w:val="24"/>
          <w:lang w:val="pt-BR"/>
        </w:rPr>
        <w:t xml:space="preserve">as a </w:t>
      </w:r>
      <w:r w:rsidR="003B78A3">
        <w:rPr>
          <w:sz w:val="22"/>
          <w:szCs w:val="24"/>
          <w:lang w:val="pt-BR"/>
        </w:rPr>
        <w:t xml:space="preserve">proxy for cultural </w:t>
      </w:r>
      <w:proofErr w:type="spellStart"/>
      <w:r w:rsidR="003B78A3">
        <w:rPr>
          <w:sz w:val="22"/>
          <w:szCs w:val="24"/>
          <w:lang w:val="pt-BR"/>
        </w:rPr>
        <w:t>formation</w:t>
      </w:r>
      <w:proofErr w:type="spellEnd"/>
      <w:r w:rsidR="003B78A3">
        <w:rPr>
          <w:sz w:val="22"/>
          <w:szCs w:val="24"/>
          <w:lang w:val="pt-BR"/>
        </w:rPr>
        <w:t xml:space="preserve"> </w:t>
      </w:r>
      <w:proofErr w:type="spellStart"/>
      <w:r w:rsidR="003B78A3">
        <w:rPr>
          <w:sz w:val="22"/>
          <w:szCs w:val="24"/>
          <w:lang w:val="pt-BR"/>
        </w:rPr>
        <w:t>and</w:t>
      </w:r>
      <w:proofErr w:type="spellEnd"/>
      <w:r w:rsidR="003B78A3" w:rsidRPr="003B78A3">
        <w:rPr>
          <w:sz w:val="22"/>
          <w:szCs w:val="24"/>
          <w:lang w:val="pt-BR"/>
        </w:rPr>
        <w:t xml:space="preserve"> </w:t>
      </w:r>
      <w:proofErr w:type="spellStart"/>
      <w:r w:rsidR="003B78A3" w:rsidRPr="003B78A3">
        <w:rPr>
          <w:sz w:val="22"/>
          <w:szCs w:val="24"/>
          <w:lang w:val="pt-BR"/>
        </w:rPr>
        <w:t>religious</w:t>
      </w:r>
      <w:proofErr w:type="spellEnd"/>
      <w:r w:rsidR="003B78A3" w:rsidRPr="003B78A3">
        <w:rPr>
          <w:sz w:val="22"/>
          <w:szCs w:val="24"/>
          <w:lang w:val="pt-BR"/>
        </w:rPr>
        <w:t xml:space="preserve"> </w:t>
      </w:r>
      <w:proofErr w:type="spellStart"/>
      <w:r w:rsidR="003B78A3" w:rsidRPr="003B78A3">
        <w:rPr>
          <w:sz w:val="22"/>
          <w:szCs w:val="24"/>
          <w:lang w:val="pt-BR"/>
        </w:rPr>
        <w:t>structure</w:t>
      </w:r>
      <w:proofErr w:type="spellEnd"/>
      <w:r w:rsidR="003B78A3" w:rsidRPr="003B78A3">
        <w:rPr>
          <w:sz w:val="22"/>
          <w:szCs w:val="24"/>
          <w:lang w:val="pt-BR"/>
        </w:rPr>
        <w:t xml:space="preserve"> </w:t>
      </w:r>
      <w:proofErr w:type="spellStart"/>
      <w:r w:rsidR="003B78A3" w:rsidRPr="003B78A3">
        <w:rPr>
          <w:sz w:val="22"/>
          <w:szCs w:val="24"/>
          <w:lang w:val="pt-BR"/>
        </w:rPr>
        <w:t>of</w:t>
      </w:r>
      <w:proofErr w:type="spellEnd"/>
      <w:r w:rsidR="003B78A3" w:rsidRPr="003B78A3">
        <w:rPr>
          <w:sz w:val="22"/>
          <w:szCs w:val="24"/>
          <w:lang w:val="pt-BR"/>
        </w:rPr>
        <w:t xml:space="preserve"> </w:t>
      </w:r>
      <w:proofErr w:type="spellStart"/>
      <w:r w:rsidR="003B78A3" w:rsidRPr="003B78A3">
        <w:rPr>
          <w:sz w:val="22"/>
          <w:szCs w:val="24"/>
          <w:lang w:val="pt-BR"/>
        </w:rPr>
        <w:t>the</w:t>
      </w:r>
      <w:proofErr w:type="spellEnd"/>
      <w:r w:rsidR="003B78A3" w:rsidRPr="003B78A3">
        <w:rPr>
          <w:sz w:val="22"/>
          <w:szCs w:val="24"/>
          <w:lang w:val="pt-BR"/>
        </w:rPr>
        <w:t xml:space="preserve"> countries.</w:t>
      </w:r>
      <w:r w:rsidR="003B78A3">
        <w:rPr>
          <w:sz w:val="22"/>
          <w:szCs w:val="24"/>
          <w:lang w:val="pt-BR"/>
        </w:rPr>
        <w:t xml:space="preserve"> </w:t>
      </w:r>
      <w:r w:rsidR="00F47284" w:rsidRPr="00F47284">
        <w:rPr>
          <w:sz w:val="22"/>
          <w:szCs w:val="24"/>
          <w:lang w:val="pt-BR"/>
        </w:rPr>
        <w:t xml:space="preserve">The </w:t>
      </w:r>
      <w:proofErr w:type="spellStart"/>
      <w:r w:rsidR="00F47284" w:rsidRPr="00F47284">
        <w:rPr>
          <w:sz w:val="22"/>
          <w:szCs w:val="24"/>
          <w:lang w:val="pt-BR"/>
        </w:rPr>
        <w:t>results</w:t>
      </w:r>
      <w:proofErr w:type="spellEnd"/>
      <w:r w:rsidR="00F47284" w:rsidRPr="00F47284">
        <w:rPr>
          <w:sz w:val="22"/>
          <w:szCs w:val="24"/>
          <w:lang w:val="pt-BR"/>
        </w:rPr>
        <w:t xml:space="preserve"> </w:t>
      </w:r>
      <w:proofErr w:type="spellStart"/>
      <w:r w:rsidR="00F47284" w:rsidRPr="00F47284">
        <w:rPr>
          <w:sz w:val="22"/>
          <w:szCs w:val="24"/>
          <w:lang w:val="pt-BR"/>
        </w:rPr>
        <w:t>suggest</w:t>
      </w:r>
      <w:proofErr w:type="spellEnd"/>
      <w:r w:rsidR="00F47284" w:rsidRPr="00F47284">
        <w:rPr>
          <w:sz w:val="22"/>
          <w:szCs w:val="24"/>
          <w:lang w:val="pt-BR"/>
        </w:rPr>
        <w:t xml:space="preserve">, in </w:t>
      </w:r>
      <w:proofErr w:type="spellStart"/>
      <w:r w:rsidR="00F47284" w:rsidRPr="00F47284">
        <w:rPr>
          <w:sz w:val="22"/>
          <w:szCs w:val="24"/>
          <w:lang w:val="pt-BR"/>
        </w:rPr>
        <w:t>all</w:t>
      </w:r>
      <w:proofErr w:type="spellEnd"/>
      <w:r w:rsidR="00F47284" w:rsidRPr="00F47284">
        <w:rPr>
          <w:sz w:val="22"/>
          <w:szCs w:val="24"/>
          <w:lang w:val="pt-BR"/>
        </w:rPr>
        <w:t xml:space="preserve"> </w:t>
      </w:r>
      <w:proofErr w:type="spellStart"/>
      <w:r w:rsidR="00F47284" w:rsidRPr="00F47284">
        <w:rPr>
          <w:sz w:val="22"/>
          <w:szCs w:val="24"/>
          <w:lang w:val="pt-BR"/>
        </w:rPr>
        <w:t>the</w:t>
      </w:r>
      <w:proofErr w:type="spellEnd"/>
      <w:r w:rsidR="00F47284" w:rsidRPr="00F47284">
        <w:rPr>
          <w:sz w:val="22"/>
          <w:szCs w:val="24"/>
          <w:lang w:val="pt-BR"/>
        </w:rPr>
        <w:t xml:space="preserve"> </w:t>
      </w:r>
      <w:proofErr w:type="spellStart"/>
      <w:r w:rsidR="00F47284" w:rsidRPr="00F47284">
        <w:rPr>
          <w:sz w:val="22"/>
          <w:szCs w:val="24"/>
          <w:lang w:val="pt-BR"/>
        </w:rPr>
        <w:t>estimated</w:t>
      </w:r>
      <w:proofErr w:type="spellEnd"/>
      <w:r w:rsidR="00F47284" w:rsidRPr="00F47284">
        <w:rPr>
          <w:sz w:val="22"/>
          <w:szCs w:val="24"/>
          <w:lang w:val="pt-BR"/>
        </w:rPr>
        <w:t xml:space="preserve"> </w:t>
      </w:r>
      <w:proofErr w:type="spellStart"/>
      <w:r w:rsidR="00F47284" w:rsidRPr="00F47284">
        <w:rPr>
          <w:sz w:val="22"/>
          <w:szCs w:val="24"/>
          <w:lang w:val="pt-BR"/>
        </w:rPr>
        <w:t>models</w:t>
      </w:r>
      <w:proofErr w:type="spellEnd"/>
      <w:r w:rsidR="00F47284" w:rsidRPr="00F47284">
        <w:rPr>
          <w:sz w:val="22"/>
          <w:szCs w:val="24"/>
          <w:lang w:val="pt-BR"/>
        </w:rPr>
        <w:t xml:space="preserve">, </w:t>
      </w:r>
      <w:proofErr w:type="spellStart"/>
      <w:r w:rsidR="00F47284" w:rsidRPr="00F47284">
        <w:rPr>
          <w:sz w:val="22"/>
          <w:szCs w:val="24"/>
          <w:lang w:val="pt-BR"/>
        </w:rPr>
        <w:t>that</w:t>
      </w:r>
      <w:proofErr w:type="spellEnd"/>
      <w:r w:rsidR="00F47284" w:rsidRPr="00F47284">
        <w:rPr>
          <w:sz w:val="22"/>
          <w:szCs w:val="24"/>
          <w:lang w:val="pt-BR"/>
        </w:rPr>
        <w:t xml:space="preserve"> </w:t>
      </w:r>
      <w:proofErr w:type="spellStart"/>
      <w:r w:rsidR="00F47284" w:rsidRPr="00F47284">
        <w:rPr>
          <w:sz w:val="22"/>
          <w:szCs w:val="24"/>
          <w:lang w:val="pt-BR"/>
        </w:rPr>
        <w:t>the</w:t>
      </w:r>
      <w:proofErr w:type="spellEnd"/>
      <w:r w:rsidR="00F47284" w:rsidRPr="00F47284">
        <w:rPr>
          <w:sz w:val="22"/>
          <w:szCs w:val="24"/>
          <w:lang w:val="pt-BR"/>
        </w:rPr>
        <w:t xml:space="preserve"> </w:t>
      </w:r>
      <w:proofErr w:type="spellStart"/>
      <w:r w:rsidR="00F47284" w:rsidRPr="00F47284">
        <w:rPr>
          <w:sz w:val="22"/>
          <w:szCs w:val="24"/>
          <w:lang w:val="pt-BR"/>
        </w:rPr>
        <w:t>quality</w:t>
      </w:r>
      <w:proofErr w:type="spellEnd"/>
      <w:r w:rsidR="00F47284" w:rsidRPr="00F47284">
        <w:rPr>
          <w:sz w:val="22"/>
          <w:szCs w:val="24"/>
          <w:lang w:val="pt-BR"/>
        </w:rPr>
        <w:t xml:space="preserve"> </w:t>
      </w:r>
      <w:proofErr w:type="spellStart"/>
      <w:r w:rsidR="00F47284" w:rsidRPr="00F47284">
        <w:rPr>
          <w:sz w:val="22"/>
          <w:szCs w:val="24"/>
          <w:lang w:val="pt-BR"/>
        </w:rPr>
        <w:t>of</w:t>
      </w:r>
      <w:proofErr w:type="spellEnd"/>
      <w:r w:rsidR="00F47284" w:rsidRPr="00F47284">
        <w:rPr>
          <w:sz w:val="22"/>
          <w:szCs w:val="24"/>
          <w:lang w:val="pt-BR"/>
        </w:rPr>
        <w:t xml:space="preserve"> </w:t>
      </w:r>
      <w:proofErr w:type="spellStart"/>
      <w:r w:rsidR="00F47284" w:rsidRPr="00F47284">
        <w:rPr>
          <w:sz w:val="22"/>
          <w:szCs w:val="24"/>
          <w:lang w:val="pt-BR"/>
        </w:rPr>
        <w:t>the</w:t>
      </w:r>
      <w:proofErr w:type="spellEnd"/>
      <w:r w:rsidR="00F47284" w:rsidRPr="00F47284">
        <w:rPr>
          <w:sz w:val="22"/>
          <w:szCs w:val="24"/>
          <w:lang w:val="pt-BR"/>
        </w:rPr>
        <w:t xml:space="preserve"> </w:t>
      </w:r>
      <w:proofErr w:type="spellStart"/>
      <w:r w:rsidR="00F47284" w:rsidRPr="00F47284">
        <w:rPr>
          <w:sz w:val="22"/>
          <w:szCs w:val="24"/>
          <w:lang w:val="pt-BR"/>
        </w:rPr>
        <w:t>institutional</w:t>
      </w:r>
      <w:proofErr w:type="spellEnd"/>
      <w:r w:rsidR="00F47284" w:rsidRPr="00F47284">
        <w:rPr>
          <w:sz w:val="22"/>
          <w:szCs w:val="24"/>
          <w:lang w:val="pt-BR"/>
        </w:rPr>
        <w:t xml:space="preserve"> </w:t>
      </w:r>
      <w:proofErr w:type="spellStart"/>
      <w:r w:rsidR="00F47284" w:rsidRPr="00F47284">
        <w:rPr>
          <w:sz w:val="22"/>
          <w:szCs w:val="24"/>
          <w:lang w:val="pt-BR"/>
        </w:rPr>
        <w:t>arrangement</w:t>
      </w:r>
      <w:proofErr w:type="spellEnd"/>
      <w:r w:rsidR="00F47284" w:rsidRPr="00F47284">
        <w:rPr>
          <w:sz w:val="22"/>
          <w:szCs w:val="24"/>
          <w:lang w:val="pt-BR"/>
        </w:rPr>
        <w:t xml:space="preserve"> </w:t>
      </w:r>
      <w:proofErr w:type="spellStart"/>
      <w:r w:rsidR="00F47284" w:rsidRPr="00F47284">
        <w:rPr>
          <w:sz w:val="22"/>
          <w:szCs w:val="24"/>
          <w:lang w:val="pt-BR"/>
        </w:rPr>
        <w:t>that</w:t>
      </w:r>
      <w:proofErr w:type="spellEnd"/>
      <w:r w:rsidR="00F47284" w:rsidRPr="00F47284">
        <w:rPr>
          <w:sz w:val="22"/>
          <w:szCs w:val="24"/>
          <w:lang w:val="pt-BR"/>
        </w:rPr>
        <w:t xml:space="preserve"> </w:t>
      </w:r>
      <w:proofErr w:type="spellStart"/>
      <w:r w:rsidR="00F47284" w:rsidRPr="00F47284">
        <w:rPr>
          <w:sz w:val="22"/>
          <w:szCs w:val="24"/>
          <w:lang w:val="pt-BR"/>
        </w:rPr>
        <w:t>reflects</w:t>
      </w:r>
      <w:proofErr w:type="spellEnd"/>
      <w:r w:rsidR="00F47284" w:rsidRPr="00F47284">
        <w:rPr>
          <w:sz w:val="22"/>
          <w:szCs w:val="24"/>
          <w:lang w:val="pt-BR"/>
        </w:rPr>
        <w:t xml:space="preserve"> </w:t>
      </w:r>
      <w:proofErr w:type="spellStart"/>
      <w:r w:rsidR="00F47284" w:rsidRPr="00F47284">
        <w:rPr>
          <w:sz w:val="22"/>
          <w:szCs w:val="24"/>
          <w:lang w:val="pt-BR"/>
        </w:rPr>
        <w:t>the</w:t>
      </w:r>
      <w:proofErr w:type="spellEnd"/>
      <w:r w:rsidR="00F47284" w:rsidRPr="00F47284">
        <w:rPr>
          <w:sz w:val="22"/>
          <w:szCs w:val="24"/>
          <w:lang w:val="pt-BR"/>
        </w:rPr>
        <w:t xml:space="preserve"> </w:t>
      </w:r>
      <w:proofErr w:type="spellStart"/>
      <w:r w:rsidR="00F47284" w:rsidRPr="00F47284">
        <w:rPr>
          <w:sz w:val="22"/>
          <w:szCs w:val="24"/>
          <w:lang w:val="pt-BR"/>
        </w:rPr>
        <w:t>environment</w:t>
      </w:r>
      <w:proofErr w:type="spellEnd"/>
      <w:r w:rsidR="00F47284" w:rsidRPr="00F47284">
        <w:rPr>
          <w:sz w:val="22"/>
          <w:szCs w:val="24"/>
          <w:lang w:val="pt-BR"/>
        </w:rPr>
        <w:t xml:space="preserve"> </w:t>
      </w:r>
      <w:proofErr w:type="spellStart"/>
      <w:r w:rsidR="00F47284" w:rsidRPr="00F47284">
        <w:rPr>
          <w:sz w:val="22"/>
          <w:szCs w:val="24"/>
          <w:lang w:val="pt-BR"/>
        </w:rPr>
        <w:t>and</w:t>
      </w:r>
      <w:proofErr w:type="spellEnd"/>
      <w:r w:rsidR="00F47284" w:rsidRPr="00F47284">
        <w:rPr>
          <w:sz w:val="22"/>
          <w:szCs w:val="24"/>
          <w:lang w:val="pt-BR"/>
        </w:rPr>
        <w:t xml:space="preserve"> </w:t>
      </w:r>
      <w:proofErr w:type="spellStart"/>
      <w:r w:rsidR="00F47284" w:rsidRPr="00F47284">
        <w:rPr>
          <w:sz w:val="22"/>
          <w:szCs w:val="24"/>
          <w:lang w:val="pt-BR"/>
        </w:rPr>
        <w:t>the</w:t>
      </w:r>
      <w:proofErr w:type="spellEnd"/>
      <w:r w:rsidR="00F47284" w:rsidRPr="00F47284">
        <w:rPr>
          <w:sz w:val="22"/>
          <w:szCs w:val="24"/>
          <w:lang w:val="pt-BR"/>
        </w:rPr>
        <w:t xml:space="preserve"> </w:t>
      </w:r>
      <w:proofErr w:type="spellStart"/>
      <w:r w:rsidR="00F47284" w:rsidRPr="00F47284">
        <w:rPr>
          <w:sz w:val="22"/>
          <w:szCs w:val="24"/>
          <w:lang w:val="pt-BR"/>
        </w:rPr>
        <w:t>political</w:t>
      </w:r>
      <w:proofErr w:type="spellEnd"/>
      <w:r w:rsidR="00F47284" w:rsidRPr="00F47284">
        <w:rPr>
          <w:sz w:val="22"/>
          <w:szCs w:val="24"/>
          <w:lang w:val="pt-BR"/>
        </w:rPr>
        <w:t xml:space="preserve"> </w:t>
      </w:r>
      <w:proofErr w:type="spellStart"/>
      <w:r w:rsidR="00F47284" w:rsidRPr="00F47284">
        <w:rPr>
          <w:sz w:val="22"/>
          <w:szCs w:val="24"/>
          <w:lang w:val="pt-BR"/>
        </w:rPr>
        <w:t>stabi</w:t>
      </w:r>
      <w:r w:rsidR="003B78A3">
        <w:rPr>
          <w:sz w:val="22"/>
          <w:szCs w:val="24"/>
          <w:lang w:val="pt-BR"/>
        </w:rPr>
        <w:t>lity</w:t>
      </w:r>
      <w:proofErr w:type="spellEnd"/>
      <w:r w:rsidR="003B78A3">
        <w:rPr>
          <w:sz w:val="22"/>
          <w:szCs w:val="24"/>
          <w:lang w:val="pt-BR"/>
        </w:rPr>
        <w:t xml:space="preserve"> </w:t>
      </w:r>
      <w:proofErr w:type="spellStart"/>
      <w:r w:rsidR="003B78A3">
        <w:rPr>
          <w:sz w:val="22"/>
          <w:szCs w:val="24"/>
          <w:lang w:val="pt-BR"/>
        </w:rPr>
        <w:t>is</w:t>
      </w:r>
      <w:proofErr w:type="spellEnd"/>
      <w:r w:rsidR="003B78A3">
        <w:rPr>
          <w:sz w:val="22"/>
          <w:szCs w:val="24"/>
          <w:lang w:val="pt-BR"/>
        </w:rPr>
        <w:t xml:space="preserve"> </w:t>
      </w:r>
      <w:proofErr w:type="spellStart"/>
      <w:r w:rsidR="003B78A3">
        <w:rPr>
          <w:sz w:val="22"/>
          <w:szCs w:val="24"/>
          <w:lang w:val="pt-BR"/>
        </w:rPr>
        <w:t>important</w:t>
      </w:r>
      <w:proofErr w:type="spellEnd"/>
      <w:r w:rsidR="003B78A3">
        <w:rPr>
          <w:sz w:val="22"/>
          <w:szCs w:val="24"/>
          <w:lang w:val="pt-BR"/>
        </w:rPr>
        <w:t xml:space="preserve"> </w:t>
      </w:r>
      <w:proofErr w:type="spellStart"/>
      <w:r w:rsidR="003B78A3">
        <w:rPr>
          <w:sz w:val="22"/>
          <w:szCs w:val="24"/>
          <w:lang w:val="pt-BR"/>
        </w:rPr>
        <w:t>conditioner</w:t>
      </w:r>
      <w:proofErr w:type="spellEnd"/>
      <w:r w:rsidR="003B78A3">
        <w:rPr>
          <w:sz w:val="22"/>
          <w:szCs w:val="24"/>
          <w:lang w:val="pt-BR"/>
        </w:rPr>
        <w:t xml:space="preserve"> for</w:t>
      </w:r>
      <w:r w:rsidR="00F47284" w:rsidRPr="00F47284">
        <w:rPr>
          <w:sz w:val="22"/>
          <w:szCs w:val="24"/>
          <w:lang w:val="pt-BR"/>
        </w:rPr>
        <w:t xml:space="preserve"> </w:t>
      </w:r>
      <w:proofErr w:type="spellStart"/>
      <w:r w:rsidR="00F47284" w:rsidRPr="00F47284">
        <w:rPr>
          <w:sz w:val="22"/>
          <w:szCs w:val="24"/>
          <w:lang w:val="pt-BR"/>
        </w:rPr>
        <w:t>the</w:t>
      </w:r>
      <w:proofErr w:type="spellEnd"/>
      <w:r w:rsidR="00F47284" w:rsidRPr="00F47284">
        <w:rPr>
          <w:sz w:val="22"/>
          <w:szCs w:val="24"/>
          <w:lang w:val="pt-BR"/>
        </w:rPr>
        <w:t xml:space="preserve"> </w:t>
      </w:r>
      <w:proofErr w:type="spellStart"/>
      <w:r w:rsidR="00F47284" w:rsidRPr="00F47284">
        <w:rPr>
          <w:sz w:val="22"/>
          <w:szCs w:val="24"/>
          <w:lang w:val="pt-BR"/>
        </w:rPr>
        <w:t>attraction</w:t>
      </w:r>
      <w:proofErr w:type="spellEnd"/>
      <w:r w:rsidR="00F47284" w:rsidRPr="00F47284">
        <w:rPr>
          <w:sz w:val="22"/>
          <w:szCs w:val="24"/>
          <w:lang w:val="pt-BR"/>
        </w:rPr>
        <w:t xml:space="preserve"> </w:t>
      </w:r>
      <w:proofErr w:type="spellStart"/>
      <w:r w:rsidR="00F47284" w:rsidRPr="00F47284">
        <w:rPr>
          <w:sz w:val="22"/>
          <w:szCs w:val="24"/>
          <w:lang w:val="pt-BR"/>
        </w:rPr>
        <w:t>of</w:t>
      </w:r>
      <w:proofErr w:type="spellEnd"/>
      <w:r w:rsidR="00F47284" w:rsidRPr="00F47284">
        <w:rPr>
          <w:sz w:val="22"/>
          <w:szCs w:val="24"/>
          <w:lang w:val="pt-BR"/>
        </w:rPr>
        <w:t xml:space="preserve"> </w:t>
      </w:r>
      <w:proofErr w:type="spellStart"/>
      <w:r w:rsidR="00F47284" w:rsidRPr="00F47284">
        <w:rPr>
          <w:sz w:val="22"/>
          <w:szCs w:val="24"/>
          <w:lang w:val="pt-BR"/>
        </w:rPr>
        <w:t>the</w:t>
      </w:r>
      <w:proofErr w:type="spellEnd"/>
      <w:r w:rsidR="00F47284" w:rsidRPr="00F47284">
        <w:rPr>
          <w:sz w:val="22"/>
          <w:szCs w:val="24"/>
          <w:lang w:val="pt-BR"/>
        </w:rPr>
        <w:t xml:space="preserve"> FDI </w:t>
      </w:r>
      <w:proofErr w:type="spellStart"/>
      <w:r w:rsidR="00F47284" w:rsidRPr="00F47284">
        <w:rPr>
          <w:sz w:val="22"/>
          <w:szCs w:val="24"/>
          <w:lang w:val="pt-BR"/>
        </w:rPr>
        <w:t>between</w:t>
      </w:r>
      <w:proofErr w:type="spellEnd"/>
      <w:r w:rsidR="00F47284" w:rsidRPr="00F47284">
        <w:rPr>
          <w:sz w:val="22"/>
          <w:szCs w:val="24"/>
          <w:lang w:val="pt-BR"/>
        </w:rPr>
        <w:t xml:space="preserve"> </w:t>
      </w:r>
      <w:proofErr w:type="spellStart"/>
      <w:r w:rsidR="00F47284" w:rsidRPr="00F47284">
        <w:rPr>
          <w:sz w:val="22"/>
          <w:szCs w:val="24"/>
          <w:lang w:val="pt-BR"/>
        </w:rPr>
        <w:t>the</w:t>
      </w:r>
      <w:proofErr w:type="spellEnd"/>
      <w:r w:rsidR="00F47284" w:rsidRPr="00F47284">
        <w:rPr>
          <w:sz w:val="22"/>
          <w:szCs w:val="24"/>
          <w:lang w:val="pt-BR"/>
        </w:rPr>
        <w:t xml:space="preserve"> countries.</w:t>
      </w:r>
    </w:p>
    <w:p w:rsidR="007C73C4" w:rsidRPr="00F47284" w:rsidRDefault="007C73C4" w:rsidP="003B78A3">
      <w:pPr>
        <w:pStyle w:val="Text1"/>
        <w:ind w:firstLineChars="0" w:firstLine="0"/>
        <w:rPr>
          <w:sz w:val="22"/>
          <w:szCs w:val="24"/>
          <w:lang w:val="pt-BR"/>
        </w:rPr>
      </w:pPr>
      <w:proofErr w:type="spellStart"/>
      <w:r w:rsidRPr="00F47284">
        <w:rPr>
          <w:b/>
          <w:sz w:val="22"/>
          <w:szCs w:val="24"/>
          <w:lang w:val="pt-BR"/>
        </w:rPr>
        <w:lastRenderedPageBreak/>
        <w:t>Keywords</w:t>
      </w:r>
      <w:proofErr w:type="spellEnd"/>
      <w:r w:rsidRPr="00F47284">
        <w:rPr>
          <w:b/>
          <w:sz w:val="22"/>
          <w:szCs w:val="24"/>
          <w:lang w:val="pt-BR"/>
        </w:rPr>
        <w:t>:</w:t>
      </w:r>
      <w:r w:rsidRPr="00F47284">
        <w:rPr>
          <w:sz w:val="22"/>
          <w:szCs w:val="24"/>
          <w:lang w:val="pt-BR"/>
        </w:rPr>
        <w:t xml:space="preserve"> </w:t>
      </w:r>
      <w:proofErr w:type="spellStart"/>
      <w:r w:rsidRPr="00F47284">
        <w:rPr>
          <w:sz w:val="22"/>
          <w:szCs w:val="24"/>
          <w:lang w:val="pt-BR"/>
        </w:rPr>
        <w:t>Institutions</w:t>
      </w:r>
      <w:proofErr w:type="spellEnd"/>
      <w:r w:rsidRPr="00F47284">
        <w:rPr>
          <w:sz w:val="22"/>
          <w:szCs w:val="24"/>
          <w:lang w:val="pt-BR"/>
        </w:rPr>
        <w:t xml:space="preserve">; </w:t>
      </w:r>
      <w:proofErr w:type="spellStart"/>
      <w:r w:rsidRPr="00F47284">
        <w:rPr>
          <w:sz w:val="22"/>
          <w:szCs w:val="24"/>
          <w:lang w:val="pt-BR"/>
        </w:rPr>
        <w:t>Foreign</w:t>
      </w:r>
      <w:proofErr w:type="spellEnd"/>
      <w:r w:rsidRPr="00F47284">
        <w:rPr>
          <w:sz w:val="22"/>
          <w:szCs w:val="24"/>
          <w:lang w:val="pt-BR"/>
        </w:rPr>
        <w:t xml:space="preserve"> </w:t>
      </w:r>
      <w:proofErr w:type="spellStart"/>
      <w:r w:rsidRPr="00F47284">
        <w:rPr>
          <w:sz w:val="22"/>
          <w:szCs w:val="24"/>
          <w:lang w:val="pt-BR"/>
        </w:rPr>
        <w:t>Direct</w:t>
      </w:r>
      <w:proofErr w:type="spellEnd"/>
      <w:r w:rsidRPr="00F47284">
        <w:rPr>
          <w:sz w:val="22"/>
          <w:szCs w:val="24"/>
          <w:lang w:val="pt-BR"/>
        </w:rPr>
        <w:t xml:space="preserve"> </w:t>
      </w:r>
      <w:proofErr w:type="spellStart"/>
      <w:r w:rsidRPr="00F47284">
        <w:rPr>
          <w:sz w:val="22"/>
          <w:szCs w:val="24"/>
          <w:lang w:val="pt-BR"/>
        </w:rPr>
        <w:t>Investment</w:t>
      </w:r>
      <w:proofErr w:type="spellEnd"/>
      <w:r w:rsidRPr="00F47284">
        <w:rPr>
          <w:sz w:val="22"/>
          <w:szCs w:val="24"/>
          <w:lang w:val="pt-BR"/>
        </w:rPr>
        <w:t xml:space="preserve">; </w:t>
      </w:r>
      <w:proofErr w:type="spellStart"/>
      <w:r w:rsidRPr="00F47284">
        <w:rPr>
          <w:sz w:val="22"/>
          <w:szCs w:val="24"/>
          <w:lang w:val="pt-BR"/>
        </w:rPr>
        <w:t>Panel</w:t>
      </w:r>
      <w:proofErr w:type="spellEnd"/>
      <w:r w:rsidRPr="00F47284">
        <w:rPr>
          <w:sz w:val="22"/>
          <w:szCs w:val="24"/>
          <w:lang w:val="pt-BR"/>
        </w:rPr>
        <w:t xml:space="preserve"> Data </w:t>
      </w:r>
      <w:proofErr w:type="spellStart"/>
      <w:r w:rsidRPr="00F47284">
        <w:rPr>
          <w:sz w:val="22"/>
          <w:szCs w:val="24"/>
          <w:lang w:val="pt-BR"/>
        </w:rPr>
        <w:t>Model</w:t>
      </w:r>
      <w:proofErr w:type="spellEnd"/>
      <w:r w:rsidRPr="00F47284">
        <w:rPr>
          <w:sz w:val="22"/>
          <w:szCs w:val="24"/>
          <w:lang w:val="pt-BR"/>
        </w:rPr>
        <w:t xml:space="preserve">; </w:t>
      </w:r>
      <w:proofErr w:type="spellStart"/>
      <w:r w:rsidRPr="00F47284">
        <w:rPr>
          <w:sz w:val="22"/>
          <w:szCs w:val="24"/>
          <w:lang w:val="pt-BR"/>
        </w:rPr>
        <w:t>Two-Stages</w:t>
      </w:r>
      <w:proofErr w:type="spellEnd"/>
      <w:r w:rsidRPr="00F47284">
        <w:rPr>
          <w:sz w:val="22"/>
          <w:szCs w:val="24"/>
          <w:lang w:val="pt-BR"/>
        </w:rPr>
        <w:t xml:space="preserve"> </w:t>
      </w:r>
      <w:proofErr w:type="spellStart"/>
      <w:r w:rsidRPr="00F47284">
        <w:rPr>
          <w:sz w:val="22"/>
          <w:szCs w:val="24"/>
          <w:lang w:val="pt-BR"/>
        </w:rPr>
        <w:t>Least</w:t>
      </w:r>
      <w:proofErr w:type="spellEnd"/>
      <w:r w:rsidRPr="00F47284">
        <w:rPr>
          <w:sz w:val="22"/>
          <w:szCs w:val="24"/>
          <w:lang w:val="pt-BR"/>
        </w:rPr>
        <w:t xml:space="preserve"> </w:t>
      </w:r>
      <w:proofErr w:type="spellStart"/>
      <w:r w:rsidRPr="00F47284">
        <w:rPr>
          <w:sz w:val="22"/>
          <w:szCs w:val="24"/>
          <w:lang w:val="pt-BR"/>
        </w:rPr>
        <w:t>Squares</w:t>
      </w:r>
      <w:proofErr w:type="spellEnd"/>
    </w:p>
    <w:p w:rsidR="003B78A3" w:rsidRPr="00F47284" w:rsidRDefault="003B78A3" w:rsidP="003B78A3">
      <w:pPr>
        <w:pStyle w:val="Text1"/>
        <w:ind w:firstLineChars="0" w:firstLine="0"/>
        <w:rPr>
          <w:b/>
          <w:sz w:val="20"/>
          <w:szCs w:val="24"/>
          <w:shd w:val="clear" w:color="auto" w:fill="FFFFFF"/>
        </w:rPr>
      </w:pPr>
    </w:p>
    <w:p w:rsidR="007C73C4" w:rsidRPr="00F47284" w:rsidRDefault="007C73C4" w:rsidP="003B78A3">
      <w:pPr>
        <w:pStyle w:val="Text1"/>
        <w:ind w:firstLineChars="0" w:firstLine="0"/>
        <w:rPr>
          <w:b/>
          <w:sz w:val="22"/>
          <w:szCs w:val="24"/>
          <w:lang w:val="pt-BR"/>
        </w:rPr>
      </w:pPr>
      <w:proofErr w:type="spellStart"/>
      <w:r w:rsidRPr="00F47284">
        <w:rPr>
          <w:b/>
          <w:sz w:val="22"/>
          <w:szCs w:val="24"/>
          <w:shd w:val="clear" w:color="auto" w:fill="FFFFFF"/>
        </w:rPr>
        <w:t>Área</w:t>
      </w:r>
      <w:proofErr w:type="spellEnd"/>
      <w:r w:rsidRPr="00F47284">
        <w:rPr>
          <w:b/>
          <w:sz w:val="22"/>
          <w:szCs w:val="24"/>
          <w:shd w:val="clear" w:color="auto" w:fill="FFFFFF"/>
        </w:rPr>
        <w:t xml:space="preserve"> ANPEC: </w:t>
      </w:r>
      <w:proofErr w:type="spellStart"/>
      <w:r w:rsidR="00FE50D5">
        <w:rPr>
          <w:sz w:val="22"/>
          <w:szCs w:val="24"/>
          <w:shd w:val="clear" w:color="auto" w:fill="FFFFFF"/>
        </w:rPr>
        <w:t>Á</w:t>
      </w:r>
      <w:r w:rsidR="00FE50D5" w:rsidRPr="00FE50D5">
        <w:rPr>
          <w:sz w:val="22"/>
          <w:szCs w:val="24"/>
          <w:shd w:val="clear" w:color="auto" w:fill="FFFFFF"/>
        </w:rPr>
        <w:t>rea</w:t>
      </w:r>
      <w:proofErr w:type="spellEnd"/>
      <w:r w:rsidR="00FE50D5" w:rsidRPr="00FE50D5">
        <w:rPr>
          <w:sz w:val="22"/>
          <w:szCs w:val="24"/>
          <w:shd w:val="clear" w:color="auto" w:fill="FFFFFF"/>
        </w:rPr>
        <w:t xml:space="preserve"> 7 - </w:t>
      </w:r>
      <w:proofErr w:type="spellStart"/>
      <w:r w:rsidR="00FE50D5" w:rsidRPr="00FE50D5">
        <w:rPr>
          <w:sz w:val="22"/>
          <w:szCs w:val="24"/>
          <w:shd w:val="clear" w:color="auto" w:fill="FFFFFF"/>
        </w:rPr>
        <w:t>Economia</w:t>
      </w:r>
      <w:proofErr w:type="spellEnd"/>
      <w:r w:rsidR="00FE50D5" w:rsidRPr="00FE50D5">
        <w:rPr>
          <w:sz w:val="22"/>
          <w:szCs w:val="24"/>
          <w:shd w:val="clear" w:color="auto" w:fill="FFFFFF"/>
        </w:rPr>
        <w:t xml:space="preserve"> </w:t>
      </w:r>
      <w:proofErr w:type="spellStart"/>
      <w:r w:rsidR="00FE50D5" w:rsidRPr="00FE50D5">
        <w:rPr>
          <w:sz w:val="22"/>
          <w:szCs w:val="24"/>
          <w:shd w:val="clear" w:color="auto" w:fill="FFFFFF"/>
        </w:rPr>
        <w:t>Internacional</w:t>
      </w:r>
      <w:proofErr w:type="spellEnd"/>
    </w:p>
    <w:p w:rsidR="00A57BED" w:rsidRPr="00F47284" w:rsidRDefault="00A57BED" w:rsidP="003B78A3">
      <w:pPr>
        <w:pStyle w:val="Text1"/>
        <w:ind w:firstLineChars="0" w:firstLine="0"/>
        <w:rPr>
          <w:b/>
          <w:sz w:val="22"/>
          <w:szCs w:val="24"/>
          <w:lang w:val="pt-BR"/>
        </w:rPr>
      </w:pPr>
      <w:r w:rsidRPr="00F47284">
        <w:rPr>
          <w:b/>
          <w:sz w:val="22"/>
          <w:szCs w:val="24"/>
          <w:lang w:val="pt-BR"/>
        </w:rPr>
        <w:t xml:space="preserve">JEL </w:t>
      </w:r>
      <w:proofErr w:type="spellStart"/>
      <w:r w:rsidRPr="00F47284">
        <w:rPr>
          <w:b/>
          <w:sz w:val="22"/>
          <w:szCs w:val="24"/>
          <w:lang w:val="pt-BR"/>
        </w:rPr>
        <w:t>code</w:t>
      </w:r>
      <w:r w:rsidR="00CD280D" w:rsidRPr="00F47284">
        <w:rPr>
          <w:b/>
          <w:sz w:val="22"/>
          <w:szCs w:val="24"/>
          <w:lang w:val="pt-BR"/>
        </w:rPr>
        <w:t>s</w:t>
      </w:r>
      <w:proofErr w:type="spellEnd"/>
      <w:r w:rsidRPr="00F47284">
        <w:rPr>
          <w:b/>
          <w:sz w:val="22"/>
          <w:szCs w:val="24"/>
          <w:lang w:val="pt-BR"/>
        </w:rPr>
        <w:t>:</w:t>
      </w:r>
      <w:r w:rsidR="00C34829" w:rsidRPr="00F47284">
        <w:rPr>
          <w:b/>
          <w:sz w:val="22"/>
          <w:szCs w:val="24"/>
          <w:lang w:val="pt-BR"/>
        </w:rPr>
        <w:t xml:space="preserve"> </w:t>
      </w:r>
      <w:r w:rsidR="000127F1" w:rsidRPr="00F47284">
        <w:rPr>
          <w:sz w:val="22"/>
          <w:szCs w:val="24"/>
          <w:lang w:val="pt-BR"/>
        </w:rPr>
        <w:t>C33; C3</w:t>
      </w:r>
      <w:r w:rsidR="001615BB" w:rsidRPr="00F47284">
        <w:rPr>
          <w:sz w:val="22"/>
          <w:szCs w:val="24"/>
          <w:lang w:val="pt-BR"/>
        </w:rPr>
        <w:t>6</w:t>
      </w:r>
    </w:p>
    <w:p w:rsidR="00BB7818" w:rsidRPr="00F47284" w:rsidRDefault="00C2502F" w:rsidP="003B78A3">
      <w:pPr>
        <w:pStyle w:val="Headings1"/>
        <w:spacing w:before="218" w:after="218"/>
        <w:ind w:firstLineChars="235" w:firstLine="566"/>
        <w:rPr>
          <w:szCs w:val="24"/>
          <w:lang w:val="pt-BR"/>
        </w:rPr>
      </w:pPr>
      <w:r w:rsidRPr="00F47284">
        <w:rPr>
          <w:szCs w:val="24"/>
          <w:lang w:val="pt-BR"/>
        </w:rPr>
        <w:t xml:space="preserve">1. </w:t>
      </w:r>
      <w:r w:rsidR="007C73C4" w:rsidRPr="00F47284">
        <w:rPr>
          <w:szCs w:val="24"/>
          <w:lang w:val="pt-BR"/>
        </w:rPr>
        <w:t>Introdução</w:t>
      </w:r>
    </w:p>
    <w:p w:rsidR="009873C8" w:rsidRPr="00F47284" w:rsidRDefault="00DF5D3B" w:rsidP="003B78A3">
      <w:pPr>
        <w:ind w:firstLine="680"/>
        <w:rPr>
          <w:sz w:val="24"/>
          <w:szCs w:val="24"/>
          <w:lang w:val="pt-BR"/>
        </w:rPr>
      </w:pPr>
      <w:r w:rsidRPr="00F47284">
        <w:rPr>
          <w:sz w:val="24"/>
          <w:szCs w:val="24"/>
          <w:lang w:val="pt-BR"/>
        </w:rPr>
        <w:t>Visto como fator de estímulo ao crescimento das economias, busca-se entender quais seriam os fatores de atração do</w:t>
      </w:r>
      <w:r w:rsidR="009873C8" w:rsidRPr="00F47284">
        <w:rPr>
          <w:sz w:val="24"/>
          <w:szCs w:val="24"/>
          <w:lang w:val="pt-BR"/>
        </w:rPr>
        <w:t xml:space="preserve"> Investimento </w:t>
      </w:r>
      <w:r w:rsidRPr="00F47284">
        <w:rPr>
          <w:sz w:val="24"/>
          <w:szCs w:val="24"/>
          <w:lang w:val="pt-BR"/>
        </w:rPr>
        <w:t>Externo Direto (IED), dado pelo</w:t>
      </w:r>
      <w:r w:rsidR="009873C8" w:rsidRPr="00F47284">
        <w:rPr>
          <w:sz w:val="24"/>
          <w:szCs w:val="24"/>
          <w:lang w:val="pt-BR"/>
        </w:rPr>
        <w:t xml:space="preserve"> fluxo internacional de capital pelos quais uma empresa em um país cria ou expande uma filial em outro </w:t>
      </w:r>
      <w:r w:rsidRPr="00F47284">
        <w:rPr>
          <w:rFonts w:eastAsia="Times New Roman"/>
          <w:sz w:val="24"/>
          <w:szCs w:val="24"/>
          <w:lang w:val="pt-BR" w:eastAsia="pt-BR"/>
        </w:rPr>
        <w:t>(KRUGMAN e OBSTFELD, 2001</w:t>
      </w:r>
      <w:r w:rsidR="009873C8" w:rsidRPr="00F47284">
        <w:rPr>
          <w:sz w:val="24"/>
          <w:szCs w:val="24"/>
          <w:lang w:val="pt-BR"/>
        </w:rPr>
        <w:t xml:space="preserve">). Esse deslocamento de investimento está baseado na ideia de que, por se tratar de um movimento de longo prazo e de promover a transferência de tecnologia e conhecimento, o IED teria um efeito positivo sobre o desenvolvimento das economias que o recebem. </w:t>
      </w:r>
    </w:p>
    <w:p w:rsidR="009873C8" w:rsidRPr="00F47284" w:rsidRDefault="009873C8" w:rsidP="003B78A3">
      <w:pPr>
        <w:ind w:firstLine="424"/>
        <w:rPr>
          <w:sz w:val="24"/>
          <w:szCs w:val="24"/>
          <w:lang w:val="pt-BR"/>
        </w:rPr>
      </w:pPr>
      <w:r w:rsidRPr="00F47284">
        <w:rPr>
          <w:sz w:val="24"/>
          <w:szCs w:val="24"/>
          <w:lang w:val="pt-BR"/>
        </w:rPr>
        <w:t>O IED é fonte de atenção para formuladores de políticas públicas e investidores privados. Ao longo do tempo, observa-se um evidente crescimento de sua importância para as economias que o recebem ou lhe dão origem, bem como seu impacto sobre a forma de produção e distribuição da riqueza entre os países. Organismos internacionais dedicam-se ao estudo do tema, como a Conferência das Nações Unidas sobre Comércio e Desenvolvimento (UNCTAD) e o Banco Mundial, que divulgam anualmente relatórios a respeito do mesmo assunto. Ter uma n</w:t>
      </w:r>
      <w:r w:rsidR="00DF5D3B" w:rsidRPr="00F47284">
        <w:rPr>
          <w:sz w:val="24"/>
          <w:szCs w:val="24"/>
          <w:lang w:val="pt-BR"/>
        </w:rPr>
        <w:t xml:space="preserve">oção clara de quais são </w:t>
      </w:r>
      <w:r w:rsidRPr="00F47284">
        <w:rPr>
          <w:sz w:val="24"/>
          <w:szCs w:val="24"/>
          <w:lang w:val="pt-BR"/>
        </w:rPr>
        <w:t>os determinantes mais importantes para realização de investimentos produtivos no exterior se torna um ponto fundamental</w:t>
      </w:r>
      <w:r w:rsidR="00DF5D3B" w:rsidRPr="00F47284">
        <w:rPr>
          <w:sz w:val="24"/>
          <w:szCs w:val="24"/>
          <w:lang w:val="pt-BR"/>
        </w:rPr>
        <w:t>,</w:t>
      </w:r>
      <w:r w:rsidRPr="00F47284">
        <w:rPr>
          <w:sz w:val="24"/>
          <w:szCs w:val="24"/>
          <w:lang w:val="pt-BR"/>
        </w:rPr>
        <w:t xml:space="preserve"> tanto para os governos, que precisam ter tais determinantes claros para desenvolver suas políticas, quanto para as empresas, que precisam entender quais fatores devem procurar de modo a aumentar suas chances de sucesso. Os modelos tradicionais surgem como uma das fontes mais comuns para explicar os determinantes do IED. Contudo, esta visão é limitada, pois dada a natureza do IED, as empresas não avaliam apenas a rentabilidade, mas a segurança do ambiente que estão investindo. </w:t>
      </w:r>
    </w:p>
    <w:p w:rsidR="009873C8" w:rsidRPr="00F47284" w:rsidRDefault="009873C8" w:rsidP="003B78A3">
      <w:pPr>
        <w:ind w:firstLine="680"/>
        <w:rPr>
          <w:sz w:val="24"/>
          <w:szCs w:val="24"/>
          <w:shd w:val="clear" w:color="auto" w:fill="FFFFFF"/>
          <w:lang w:val="pt-BR"/>
        </w:rPr>
      </w:pPr>
      <w:r w:rsidRPr="00F47284">
        <w:rPr>
          <w:rFonts w:eastAsia="Times New Roman"/>
          <w:sz w:val="24"/>
          <w:szCs w:val="24"/>
          <w:lang w:val="pt-BR" w:eastAsia="pt-BR"/>
        </w:rPr>
        <w:t>Para North (1990), as instituições influenciam as atividades econômicas, por afetarem os custos de transação e produção das empresas. Sendo assim para os investidores externo diretos é de suma importância a minimização de tais custos no momento de se instalar em uma nova localidade</w:t>
      </w:r>
      <w:r w:rsidRPr="00F47284">
        <w:rPr>
          <w:sz w:val="24"/>
          <w:szCs w:val="24"/>
          <w:shd w:val="clear" w:color="auto" w:fill="FFFFFF"/>
          <w:lang w:val="pt-BR"/>
        </w:rPr>
        <w:t>. Nesse contexto, as instituições surgem como regras de um jogo, sendo representadas de maneira formal ou informal, refletindo a estrutura das relações entre os indivíduos na sociedade. As instituições formais, para North (1994), seriam compostas por leis e regras explícitas, enquanto as informais apresentam-se por normas de comportamento e convenções socialmente aceitas.</w:t>
      </w:r>
      <w:r w:rsidRPr="00F47284">
        <w:rPr>
          <w:rFonts w:eastAsia="Times New Roman"/>
          <w:sz w:val="24"/>
          <w:szCs w:val="24"/>
          <w:lang w:val="pt-BR" w:eastAsia="pt-BR"/>
        </w:rPr>
        <w:t xml:space="preserve"> </w:t>
      </w:r>
    </w:p>
    <w:p w:rsidR="009873C8" w:rsidRPr="00F47284" w:rsidRDefault="009873C8" w:rsidP="003B78A3">
      <w:pPr>
        <w:shd w:val="clear" w:color="auto" w:fill="FFFFFF"/>
        <w:ind w:firstLine="680"/>
        <w:rPr>
          <w:sz w:val="24"/>
          <w:szCs w:val="24"/>
          <w:lang w:val="pt-BR"/>
        </w:rPr>
      </w:pPr>
      <w:r w:rsidRPr="00F47284">
        <w:rPr>
          <w:rFonts w:eastAsia="Times New Roman"/>
          <w:sz w:val="24"/>
          <w:szCs w:val="24"/>
          <w:lang w:val="pt-BR" w:eastAsia="pt-BR"/>
        </w:rPr>
        <w:t xml:space="preserve">Alguns fatores têm contribuído para o crescente interesse na relação entre IED e instituições, dentre eles está a teoria institucional de Douglas North (1990), chamando a atenção para o papel das instituições na criação de incentivos à atividade econômica, em geral, e ao investimento, em particular. O crescente fluxo de IED verificado a partir da década de 1990, aumentou o interesse de economias, principalmente as emergentes, em avaliar quais os fatores além dos tradicionais, influenciariam na atração por IED. Entre tais fatores, </w:t>
      </w:r>
      <w:r w:rsidR="00980022" w:rsidRPr="00F47284">
        <w:rPr>
          <w:rFonts w:eastAsia="Times New Roman"/>
          <w:sz w:val="24"/>
          <w:szCs w:val="24"/>
          <w:lang w:val="pt-BR" w:eastAsia="pt-BR"/>
        </w:rPr>
        <w:t xml:space="preserve">Ali </w:t>
      </w:r>
      <w:r w:rsidRPr="00F47284">
        <w:rPr>
          <w:rFonts w:eastAsia="Times New Roman"/>
          <w:i/>
          <w:sz w:val="24"/>
          <w:szCs w:val="24"/>
          <w:lang w:val="pt-BR" w:eastAsia="pt-BR"/>
        </w:rPr>
        <w:t>et al</w:t>
      </w:r>
      <w:r w:rsidRPr="00F47284">
        <w:rPr>
          <w:rFonts w:eastAsia="Times New Roman"/>
          <w:sz w:val="24"/>
          <w:szCs w:val="24"/>
          <w:lang w:val="pt-BR" w:eastAsia="pt-BR"/>
        </w:rPr>
        <w:t xml:space="preserve">. (2010) acredita que os investidores estrangeiros veem atribuindo maior ênfase à qualidade dos arranjos institucionais na hora de escolher um local para alocar seus investimentos. </w:t>
      </w:r>
    </w:p>
    <w:p w:rsidR="009873C8" w:rsidRPr="00F47284" w:rsidRDefault="00E076CC" w:rsidP="003B78A3">
      <w:pPr>
        <w:pStyle w:val="Pr-formataoHTML"/>
        <w:shd w:val="clear" w:color="auto" w:fill="FFFFFF"/>
        <w:jc w:val="both"/>
        <w:rPr>
          <w:rFonts w:ascii="Times New Roman" w:hAnsi="Times New Roman" w:cs="Times New Roman"/>
          <w:sz w:val="24"/>
          <w:szCs w:val="24"/>
          <w:lang w:val="pt-BR"/>
        </w:rPr>
      </w:pPr>
      <w:r w:rsidRPr="00F47284">
        <w:rPr>
          <w:rFonts w:ascii="Times New Roman" w:eastAsia="Times New Roman" w:hAnsi="Times New Roman" w:cs="Times New Roman"/>
          <w:sz w:val="24"/>
          <w:szCs w:val="24"/>
          <w:lang w:val="pt-BR" w:eastAsia="pt-BR"/>
        </w:rPr>
        <w:tab/>
      </w:r>
      <w:r w:rsidR="009873C8" w:rsidRPr="00F47284">
        <w:rPr>
          <w:rFonts w:ascii="Times New Roman" w:eastAsia="Times New Roman" w:hAnsi="Times New Roman" w:cs="Times New Roman"/>
          <w:sz w:val="24"/>
          <w:szCs w:val="24"/>
          <w:lang w:val="pt-BR" w:eastAsia="pt-BR"/>
        </w:rPr>
        <w:t>Há fortes razões para acreditar que um ambiente institucional sólido, isto é, a burocracia eficiente, baixo nível de corrupção e direitos de propriedade seguros devem atrair mais IED. No entanto, esta hipótese requer mais evidências empíricas.</w:t>
      </w:r>
      <w:r w:rsidR="006F044F" w:rsidRPr="00F47284">
        <w:rPr>
          <w:rFonts w:ascii="Times New Roman" w:eastAsia="Times New Roman" w:hAnsi="Times New Roman" w:cs="Times New Roman"/>
          <w:sz w:val="24"/>
          <w:szCs w:val="24"/>
          <w:lang w:val="pt-BR" w:eastAsia="pt-BR"/>
        </w:rPr>
        <w:t xml:space="preserve"> </w:t>
      </w:r>
      <w:proofErr w:type="spellStart"/>
      <w:r w:rsidRPr="00F47284">
        <w:rPr>
          <w:rFonts w:ascii="Times New Roman" w:hAnsi="Times New Roman" w:cs="Times New Roman"/>
          <w:sz w:val="24"/>
          <w:szCs w:val="24"/>
          <w:lang w:val="pt-BR"/>
        </w:rPr>
        <w:t>Biswas</w:t>
      </w:r>
      <w:proofErr w:type="spellEnd"/>
      <w:r w:rsidRPr="00F47284">
        <w:rPr>
          <w:rFonts w:ascii="Times New Roman" w:hAnsi="Times New Roman" w:cs="Times New Roman"/>
          <w:sz w:val="24"/>
          <w:szCs w:val="24"/>
          <w:lang w:val="pt-BR"/>
        </w:rPr>
        <w:t xml:space="preserve"> (1998)</w:t>
      </w:r>
      <w:r w:rsidR="00DC0D03" w:rsidRPr="00F47284">
        <w:rPr>
          <w:rFonts w:ascii="Times New Roman" w:hAnsi="Times New Roman" w:cs="Times New Roman"/>
          <w:sz w:val="24"/>
          <w:szCs w:val="24"/>
          <w:lang w:val="pt-BR"/>
        </w:rPr>
        <w:t xml:space="preserve">, ao analisar </w:t>
      </w:r>
      <w:r w:rsidRPr="00F47284">
        <w:rPr>
          <w:rFonts w:ascii="Times New Roman" w:hAnsi="Times New Roman" w:cs="Times New Roman"/>
          <w:sz w:val="24"/>
          <w:szCs w:val="24"/>
          <w:lang w:val="pt-BR"/>
        </w:rPr>
        <w:t>os efeitos da instabilidade política, regime político e tempo de duração do</w:t>
      </w:r>
      <w:r w:rsidR="00DC0D03" w:rsidRPr="00F47284">
        <w:rPr>
          <w:rFonts w:ascii="Times New Roman" w:hAnsi="Times New Roman" w:cs="Times New Roman"/>
          <w:sz w:val="24"/>
          <w:szCs w:val="24"/>
          <w:lang w:val="pt-BR"/>
        </w:rPr>
        <w:t xml:space="preserve"> regime político sobre o IED, obtém evidências </w:t>
      </w:r>
      <w:r w:rsidR="005A408B" w:rsidRPr="00F47284">
        <w:rPr>
          <w:rFonts w:ascii="Times New Roman" w:hAnsi="Times New Roman" w:cs="Times New Roman"/>
          <w:sz w:val="24"/>
          <w:szCs w:val="24"/>
          <w:lang w:val="pt-BR"/>
        </w:rPr>
        <w:t xml:space="preserve">de que fatores políticos exercem uma influência sobre o </w:t>
      </w:r>
      <w:r w:rsidRPr="00F47284">
        <w:rPr>
          <w:rFonts w:ascii="Times New Roman" w:hAnsi="Times New Roman" w:cs="Times New Roman"/>
          <w:sz w:val="24"/>
          <w:szCs w:val="24"/>
          <w:lang w:val="pt-BR"/>
        </w:rPr>
        <w:t xml:space="preserve">IED. </w:t>
      </w:r>
      <w:r w:rsidR="00422C9D" w:rsidRPr="00F47284">
        <w:rPr>
          <w:rFonts w:ascii="Times New Roman" w:hAnsi="Times New Roman" w:cs="Times New Roman"/>
          <w:sz w:val="24"/>
          <w:szCs w:val="24"/>
          <w:lang w:val="pt-BR"/>
        </w:rPr>
        <w:t>Para</w:t>
      </w:r>
      <w:r w:rsidRPr="00F47284">
        <w:rPr>
          <w:rFonts w:ascii="Times New Roman" w:hAnsi="Times New Roman" w:cs="Times New Roman"/>
          <w:sz w:val="24"/>
          <w:szCs w:val="24"/>
          <w:lang w:val="pt-BR"/>
        </w:rPr>
        <w:t xml:space="preserve"> </w:t>
      </w:r>
      <w:proofErr w:type="spellStart"/>
      <w:r w:rsidRPr="00F47284">
        <w:rPr>
          <w:rFonts w:ascii="Times New Roman" w:hAnsi="Times New Roman" w:cs="Times New Roman"/>
          <w:sz w:val="24"/>
          <w:szCs w:val="24"/>
          <w:lang w:val="pt-BR"/>
        </w:rPr>
        <w:t>Globeman</w:t>
      </w:r>
      <w:proofErr w:type="spellEnd"/>
      <w:r w:rsidRPr="00F47284">
        <w:rPr>
          <w:rFonts w:ascii="Times New Roman" w:hAnsi="Times New Roman" w:cs="Times New Roman"/>
          <w:sz w:val="24"/>
          <w:szCs w:val="24"/>
          <w:lang w:val="pt-BR"/>
        </w:rPr>
        <w:t xml:space="preserve"> e Shapiro (2002)</w:t>
      </w:r>
      <w:r w:rsidR="00422C9D" w:rsidRPr="00F47284">
        <w:rPr>
          <w:rFonts w:ascii="Times New Roman" w:hAnsi="Times New Roman" w:cs="Times New Roman"/>
          <w:sz w:val="24"/>
          <w:szCs w:val="24"/>
          <w:lang w:val="pt-BR"/>
        </w:rPr>
        <w:t xml:space="preserve">, </w:t>
      </w:r>
      <w:r w:rsidRPr="00F47284">
        <w:rPr>
          <w:rFonts w:ascii="Times New Roman" w:hAnsi="Times New Roman" w:cs="Times New Roman"/>
          <w:sz w:val="24"/>
          <w:szCs w:val="24"/>
          <w:lang w:val="pt-BR"/>
        </w:rPr>
        <w:t xml:space="preserve">a infraestrutura política é um dos </w:t>
      </w:r>
      <w:r w:rsidRPr="00F47284">
        <w:rPr>
          <w:rFonts w:ascii="Times New Roman" w:hAnsi="Times New Roman" w:cs="Times New Roman"/>
          <w:sz w:val="24"/>
          <w:szCs w:val="24"/>
          <w:lang w:val="pt-BR"/>
        </w:rPr>
        <w:lastRenderedPageBreak/>
        <w:t xml:space="preserve">fatores determinantes na atração de IED. O conceito de infraestrutura política </w:t>
      </w:r>
      <w:r w:rsidR="008D2F28" w:rsidRPr="00F47284">
        <w:rPr>
          <w:rFonts w:ascii="Times New Roman" w:hAnsi="Times New Roman" w:cs="Times New Roman"/>
          <w:sz w:val="24"/>
          <w:szCs w:val="24"/>
          <w:lang w:val="pt-BR"/>
        </w:rPr>
        <w:t>emprega</w:t>
      </w:r>
      <w:r w:rsidR="00422C9D" w:rsidRPr="00F47284">
        <w:rPr>
          <w:rFonts w:ascii="Times New Roman" w:hAnsi="Times New Roman" w:cs="Times New Roman"/>
          <w:sz w:val="24"/>
          <w:szCs w:val="24"/>
          <w:lang w:val="pt-BR"/>
        </w:rPr>
        <w:t>do</w:t>
      </w:r>
      <w:r w:rsidRPr="00F47284">
        <w:rPr>
          <w:rFonts w:ascii="Times New Roman" w:hAnsi="Times New Roman" w:cs="Times New Roman"/>
          <w:sz w:val="24"/>
          <w:szCs w:val="24"/>
          <w:lang w:val="pt-BR"/>
        </w:rPr>
        <w:t xml:space="preserve"> inclui</w:t>
      </w:r>
      <w:r w:rsidR="008D2F28" w:rsidRPr="00F47284">
        <w:rPr>
          <w:rFonts w:ascii="Times New Roman" w:hAnsi="Times New Roman" w:cs="Times New Roman"/>
          <w:sz w:val="24"/>
          <w:szCs w:val="24"/>
          <w:lang w:val="pt-BR"/>
        </w:rPr>
        <w:t>u</w:t>
      </w:r>
      <w:r w:rsidRPr="00F47284">
        <w:rPr>
          <w:rFonts w:ascii="Times New Roman" w:hAnsi="Times New Roman" w:cs="Times New Roman"/>
          <w:sz w:val="24"/>
          <w:szCs w:val="24"/>
          <w:lang w:val="pt-BR"/>
        </w:rPr>
        <w:t xml:space="preserve"> um sistema legal eficiente, estabilidade e credibilidade institucional, além de mercados abertos e livres. </w:t>
      </w:r>
      <w:r w:rsidR="00D95DAF" w:rsidRPr="00F47284">
        <w:rPr>
          <w:rFonts w:ascii="Times New Roman" w:hAnsi="Times New Roman" w:cs="Times New Roman"/>
          <w:sz w:val="24"/>
          <w:szCs w:val="24"/>
          <w:lang w:val="pt-BR"/>
        </w:rPr>
        <w:t>Seus resultados corroboram com a hipótese</w:t>
      </w:r>
      <w:r w:rsidRPr="00F47284">
        <w:rPr>
          <w:rFonts w:ascii="Times New Roman" w:hAnsi="Times New Roman" w:cs="Times New Roman"/>
          <w:sz w:val="24"/>
          <w:szCs w:val="24"/>
          <w:lang w:val="pt-BR"/>
        </w:rPr>
        <w:t xml:space="preserve"> de que </w:t>
      </w:r>
      <w:r w:rsidR="008D2F28" w:rsidRPr="00F47284">
        <w:rPr>
          <w:rFonts w:ascii="Times New Roman" w:hAnsi="Times New Roman" w:cs="Times New Roman"/>
          <w:sz w:val="24"/>
          <w:szCs w:val="24"/>
          <w:lang w:val="pt-BR"/>
        </w:rPr>
        <w:t xml:space="preserve">a qualidade das instituições políticas </w:t>
      </w:r>
      <w:r w:rsidRPr="00F47284">
        <w:rPr>
          <w:rFonts w:ascii="Times New Roman" w:hAnsi="Times New Roman" w:cs="Times New Roman"/>
          <w:sz w:val="24"/>
          <w:szCs w:val="24"/>
          <w:lang w:val="pt-BR"/>
        </w:rPr>
        <w:t>é um fator de extrema importância</w:t>
      </w:r>
      <w:r w:rsidR="008D2F28" w:rsidRPr="00F47284">
        <w:rPr>
          <w:rFonts w:ascii="Times New Roman" w:hAnsi="Times New Roman" w:cs="Times New Roman"/>
          <w:sz w:val="24"/>
          <w:szCs w:val="24"/>
          <w:lang w:val="pt-BR"/>
        </w:rPr>
        <w:t xml:space="preserve"> </w:t>
      </w:r>
      <w:r w:rsidRPr="00F47284">
        <w:rPr>
          <w:rFonts w:ascii="Times New Roman" w:hAnsi="Times New Roman" w:cs="Times New Roman"/>
          <w:sz w:val="24"/>
          <w:szCs w:val="24"/>
          <w:lang w:val="pt-BR"/>
        </w:rPr>
        <w:t>para a atração de IED</w:t>
      </w:r>
      <w:r w:rsidR="008D2F28" w:rsidRPr="00F47284">
        <w:rPr>
          <w:rFonts w:ascii="Times New Roman" w:hAnsi="Times New Roman" w:cs="Times New Roman"/>
          <w:sz w:val="24"/>
          <w:szCs w:val="24"/>
          <w:lang w:val="pt-BR"/>
        </w:rPr>
        <w:t>.</w:t>
      </w:r>
      <w:r w:rsidR="009873C8" w:rsidRPr="00F47284">
        <w:rPr>
          <w:rFonts w:ascii="Times New Roman" w:eastAsia="Times New Roman" w:hAnsi="Times New Roman" w:cs="Times New Roman"/>
          <w:sz w:val="24"/>
          <w:szCs w:val="24"/>
          <w:lang w:val="pt-BR" w:eastAsia="pt-BR"/>
        </w:rPr>
        <w:t xml:space="preserve"> Visando contribuir na geração de evidências sobre a hipótese de que a qualidade institucional</w:t>
      </w:r>
      <w:r w:rsidR="006F044F" w:rsidRPr="00F47284">
        <w:rPr>
          <w:rFonts w:ascii="Times New Roman" w:eastAsia="Times New Roman" w:hAnsi="Times New Roman" w:cs="Times New Roman"/>
          <w:sz w:val="24"/>
          <w:szCs w:val="24"/>
          <w:lang w:val="pt-BR" w:eastAsia="pt-BR"/>
        </w:rPr>
        <w:t xml:space="preserve"> em sua dimensão política</w:t>
      </w:r>
      <w:r w:rsidR="009873C8" w:rsidRPr="00F47284">
        <w:rPr>
          <w:rFonts w:ascii="Times New Roman" w:eastAsia="Times New Roman" w:hAnsi="Times New Roman" w:cs="Times New Roman"/>
          <w:sz w:val="24"/>
          <w:szCs w:val="24"/>
          <w:lang w:val="pt-BR" w:eastAsia="pt-BR"/>
        </w:rPr>
        <w:t xml:space="preserve"> é um fator importante para a atração de Investimento Externo Direto (IED), busca-se</w:t>
      </w:r>
      <w:r w:rsidR="009873C8" w:rsidRPr="00F47284">
        <w:rPr>
          <w:rFonts w:ascii="Times New Roman" w:hAnsi="Times New Roman" w:cs="Times New Roman"/>
          <w:sz w:val="24"/>
          <w:szCs w:val="24"/>
          <w:lang w:val="pt-BR"/>
        </w:rPr>
        <w:t xml:space="preserve"> identificar a relação entre a qualidade das instituições</w:t>
      </w:r>
      <w:r w:rsidR="006F044F" w:rsidRPr="00F47284">
        <w:rPr>
          <w:rFonts w:ascii="Times New Roman" w:hAnsi="Times New Roman" w:cs="Times New Roman"/>
          <w:sz w:val="24"/>
          <w:szCs w:val="24"/>
          <w:lang w:val="pt-BR"/>
        </w:rPr>
        <w:t xml:space="preserve"> da dimensão política</w:t>
      </w:r>
      <w:r w:rsidR="009873C8" w:rsidRPr="00F47284">
        <w:rPr>
          <w:rFonts w:ascii="Times New Roman" w:hAnsi="Times New Roman" w:cs="Times New Roman"/>
          <w:sz w:val="24"/>
          <w:szCs w:val="24"/>
          <w:lang w:val="pt-BR"/>
        </w:rPr>
        <w:t xml:space="preserve"> e a atração do IED para países com diferentes níveis de desenvolvimento</w:t>
      </w:r>
      <w:r w:rsidR="006F044F" w:rsidRPr="00F47284">
        <w:rPr>
          <w:rFonts w:ascii="Times New Roman" w:hAnsi="Times New Roman" w:cs="Times New Roman"/>
          <w:sz w:val="24"/>
          <w:szCs w:val="24"/>
          <w:lang w:val="pt-BR"/>
        </w:rPr>
        <w:t>, estimando-se um conjunto de modelos em painel, para 123 países, ao longo dos anos de 2011 e 2016.</w:t>
      </w:r>
    </w:p>
    <w:p w:rsidR="001B46D8" w:rsidRPr="00F47284" w:rsidRDefault="009873C8" w:rsidP="003B78A3">
      <w:pPr>
        <w:pStyle w:val="Text1"/>
        <w:ind w:firstLineChars="202" w:firstLine="485"/>
        <w:rPr>
          <w:sz w:val="24"/>
          <w:szCs w:val="24"/>
          <w:lang w:val="pt-BR"/>
        </w:rPr>
      </w:pPr>
      <w:r w:rsidRPr="00F47284">
        <w:rPr>
          <w:sz w:val="24"/>
          <w:szCs w:val="24"/>
          <w:lang w:val="pt-BR"/>
        </w:rPr>
        <w:t>Inicialmente, é feita uma revisão teórica dos modelos tradicionais dos condicionantes do IED. Em seguida, a relação dos fatores institucionais</w:t>
      </w:r>
      <w:r w:rsidR="008E5324" w:rsidRPr="00F47284">
        <w:rPr>
          <w:sz w:val="24"/>
          <w:szCs w:val="24"/>
          <w:lang w:val="pt-BR"/>
        </w:rPr>
        <w:t xml:space="preserve"> políticos</w:t>
      </w:r>
      <w:r w:rsidRPr="00F47284">
        <w:rPr>
          <w:sz w:val="24"/>
          <w:szCs w:val="24"/>
          <w:lang w:val="pt-BR"/>
        </w:rPr>
        <w:t xml:space="preserve"> com o investimento externo direto é abordada em uma revisão de trabalhos teóricos e empíricos sobre o tema. Os resultados, bem como, os modelos e suas especificações, são descritos e analisados na última parte do trabalho.</w:t>
      </w:r>
    </w:p>
    <w:p w:rsidR="001B46D8" w:rsidRPr="00F47284" w:rsidRDefault="001B46D8" w:rsidP="003B78A3">
      <w:pPr>
        <w:pStyle w:val="Headings1"/>
        <w:spacing w:before="218" w:after="218"/>
        <w:ind w:firstLine="482"/>
        <w:rPr>
          <w:szCs w:val="24"/>
          <w:lang w:val="pt-BR" w:eastAsia="ja-JP"/>
        </w:rPr>
      </w:pPr>
      <w:r w:rsidRPr="00F47284">
        <w:rPr>
          <w:szCs w:val="24"/>
          <w:lang w:val="pt-BR" w:eastAsia="ja-JP"/>
        </w:rPr>
        <w:t xml:space="preserve">2. </w:t>
      </w:r>
      <w:r w:rsidR="007C73C4" w:rsidRPr="00F47284">
        <w:rPr>
          <w:szCs w:val="24"/>
          <w:lang w:val="pt-BR" w:eastAsia="ja-JP"/>
        </w:rPr>
        <w:t>Revisão de Literatura</w:t>
      </w:r>
    </w:p>
    <w:p w:rsidR="001B46D8" w:rsidRPr="00F47284" w:rsidRDefault="001B46D8" w:rsidP="003B78A3">
      <w:pPr>
        <w:pStyle w:val="Headings2"/>
        <w:ind w:firstLine="482"/>
        <w:rPr>
          <w:sz w:val="24"/>
          <w:szCs w:val="24"/>
          <w:lang w:val="pt-BR"/>
        </w:rPr>
      </w:pPr>
      <w:r w:rsidRPr="00F47284">
        <w:rPr>
          <w:sz w:val="24"/>
          <w:szCs w:val="24"/>
          <w:lang w:val="pt-BR"/>
        </w:rPr>
        <w:t>2.</w:t>
      </w:r>
      <w:r w:rsidRPr="00F47284">
        <w:rPr>
          <w:sz w:val="24"/>
          <w:szCs w:val="24"/>
          <w:lang w:val="pt-BR" w:eastAsia="ja-JP"/>
        </w:rPr>
        <w:t>1</w:t>
      </w:r>
      <w:r w:rsidRPr="00F47284">
        <w:rPr>
          <w:sz w:val="24"/>
          <w:szCs w:val="24"/>
          <w:lang w:val="pt-BR"/>
        </w:rPr>
        <w:t xml:space="preserve"> </w:t>
      </w:r>
      <w:r w:rsidR="009873C8" w:rsidRPr="00F47284">
        <w:rPr>
          <w:sz w:val="24"/>
          <w:szCs w:val="24"/>
          <w:lang w:val="pt-BR"/>
        </w:rPr>
        <w:t>Investimento Externo Direto</w:t>
      </w:r>
    </w:p>
    <w:p w:rsidR="009873C8" w:rsidRPr="00F47284" w:rsidRDefault="009873C8" w:rsidP="003B78A3">
      <w:pPr>
        <w:ind w:firstLine="420"/>
        <w:rPr>
          <w:sz w:val="24"/>
          <w:szCs w:val="24"/>
          <w:lang w:val="pt-BR"/>
        </w:rPr>
      </w:pPr>
      <w:r w:rsidRPr="00F47284">
        <w:rPr>
          <w:sz w:val="24"/>
          <w:szCs w:val="24"/>
          <w:lang w:val="pt-BR"/>
        </w:rPr>
        <w:t>O desenvolvimento econômico é um fenômeno histórico, caracterizado pelo aumento sustentado da produtividade ou da renda por habita</w:t>
      </w:r>
      <w:r w:rsidR="006F044F" w:rsidRPr="00F47284">
        <w:rPr>
          <w:sz w:val="24"/>
          <w:szCs w:val="24"/>
          <w:lang w:val="pt-BR"/>
        </w:rPr>
        <w:t>nte, acompanhado por</w:t>
      </w:r>
      <w:r w:rsidRPr="00F47284">
        <w:rPr>
          <w:sz w:val="24"/>
          <w:szCs w:val="24"/>
          <w:lang w:val="pt-BR"/>
        </w:rPr>
        <w:t xml:space="preserve"> processo de acumulação de capital e incorporação de progresso técnico.</w:t>
      </w:r>
      <w:r w:rsidRPr="00F47284">
        <w:rPr>
          <w:sz w:val="24"/>
          <w:szCs w:val="24"/>
          <w:lang w:val="pt-BR" w:eastAsia="pt-BR"/>
        </w:rPr>
        <w:t xml:space="preserve"> Nesse contexto, conforme Gonçalves (1999), o IED surge como um instrumento de inclusão produtiva na economia internacional, sendo que um agente econômico estrangeiro atuará na economia nacional por meio de subsidiárias ou filiais, influenciando consideravelmente na ac</w:t>
      </w:r>
      <w:r w:rsidR="006F044F" w:rsidRPr="00F47284">
        <w:rPr>
          <w:sz w:val="24"/>
          <w:szCs w:val="24"/>
          <w:lang w:val="pt-BR" w:eastAsia="pt-BR"/>
        </w:rPr>
        <w:t>umulação de capital</w:t>
      </w:r>
      <w:r w:rsidRPr="00F47284">
        <w:rPr>
          <w:sz w:val="24"/>
          <w:szCs w:val="24"/>
          <w:lang w:val="pt-BR" w:eastAsia="pt-BR"/>
        </w:rPr>
        <w:t>.</w:t>
      </w:r>
      <w:r w:rsidRPr="00F47284">
        <w:rPr>
          <w:sz w:val="24"/>
          <w:szCs w:val="24"/>
          <w:lang w:val="pt-BR"/>
        </w:rPr>
        <w:t xml:space="preserve"> Conforme o Fundo Monetário Internacional (FMI), o IED é uma categoria de investimento cujo objetivo é adquirir um interesse duradouro em uma empresa localizada em um país que não o do investidor, a fim de que este último possa exercer forte influência na gestão desta empresa. </w:t>
      </w:r>
    </w:p>
    <w:p w:rsidR="009873C8" w:rsidRPr="00F47284" w:rsidRDefault="009873C8" w:rsidP="003B78A3">
      <w:pPr>
        <w:ind w:firstLine="420"/>
        <w:rPr>
          <w:sz w:val="24"/>
          <w:szCs w:val="24"/>
          <w:shd w:val="clear" w:color="auto" w:fill="FFFFFF"/>
          <w:lang w:val="pt-BR"/>
        </w:rPr>
      </w:pPr>
      <w:r w:rsidRPr="00F47284">
        <w:rPr>
          <w:sz w:val="24"/>
          <w:szCs w:val="24"/>
          <w:shd w:val="clear" w:color="auto" w:fill="FFFFFF"/>
          <w:lang w:val="pt-BR"/>
        </w:rPr>
        <w:t xml:space="preserve">Na busca por entender os fatores de atração do IED, estudos procuram explicar a localização das atividades produtivas, assim como fatores atrelados a sua propriedade e organização. Surgem assim duas </w:t>
      </w:r>
      <w:r w:rsidR="006F044F" w:rsidRPr="00F47284">
        <w:rPr>
          <w:sz w:val="24"/>
          <w:szCs w:val="24"/>
          <w:shd w:val="clear" w:color="auto" w:fill="FFFFFF"/>
          <w:lang w:val="pt-BR"/>
        </w:rPr>
        <w:t xml:space="preserve">abordagens a </w:t>
      </w:r>
      <w:r w:rsidRPr="00F47284">
        <w:rPr>
          <w:sz w:val="24"/>
          <w:szCs w:val="24"/>
          <w:shd w:val="clear" w:color="auto" w:fill="FFFFFF"/>
          <w:lang w:val="pt-BR"/>
        </w:rPr>
        <w:t xml:space="preserve">respeito desse assunto. Segundo </w:t>
      </w:r>
      <w:proofErr w:type="spellStart"/>
      <w:r w:rsidRPr="00F47284">
        <w:rPr>
          <w:sz w:val="24"/>
          <w:szCs w:val="24"/>
          <w:shd w:val="clear" w:color="auto" w:fill="FFFFFF"/>
          <w:lang w:val="pt-BR"/>
        </w:rPr>
        <w:t>Dunning</w:t>
      </w:r>
      <w:proofErr w:type="spellEnd"/>
      <w:r w:rsidRPr="00F47284">
        <w:rPr>
          <w:sz w:val="24"/>
          <w:szCs w:val="24"/>
          <w:shd w:val="clear" w:color="auto" w:fill="FFFFFF"/>
          <w:lang w:val="pt-BR"/>
        </w:rPr>
        <w:t xml:space="preserve"> e </w:t>
      </w:r>
      <w:proofErr w:type="spellStart"/>
      <w:r w:rsidRPr="00F47284">
        <w:rPr>
          <w:sz w:val="24"/>
          <w:szCs w:val="24"/>
          <w:shd w:val="clear" w:color="auto" w:fill="FFFFFF"/>
          <w:lang w:val="pt-BR"/>
        </w:rPr>
        <w:t>Sarianna</w:t>
      </w:r>
      <w:proofErr w:type="spellEnd"/>
      <w:r w:rsidRPr="00F47284">
        <w:rPr>
          <w:sz w:val="24"/>
          <w:szCs w:val="24"/>
          <w:shd w:val="clear" w:color="auto" w:fill="FFFFFF"/>
          <w:lang w:val="pt-BR"/>
        </w:rPr>
        <w:t xml:space="preserve"> (2008), a teoria internacional da alocação de recursos é a primeira, baseada na distribuição dos fatores e capacidades produtivas, além da relação com a localização da produção. A segunda é a teoria organizacional, concentrada na propriedade de produção e na maneira de administrar e organizar as transações relacionadas. </w:t>
      </w:r>
    </w:p>
    <w:p w:rsidR="009873C8" w:rsidRPr="00F47284" w:rsidRDefault="009873C8" w:rsidP="003B78A3">
      <w:pPr>
        <w:ind w:firstLine="420"/>
        <w:rPr>
          <w:sz w:val="24"/>
          <w:szCs w:val="24"/>
          <w:lang w:val="pt-BR" w:eastAsia="pt-BR"/>
        </w:rPr>
      </w:pPr>
      <w:r w:rsidRPr="00F47284">
        <w:rPr>
          <w:sz w:val="24"/>
          <w:szCs w:val="24"/>
          <w:lang w:val="pt-BR" w:eastAsia="pt-BR"/>
        </w:rPr>
        <w:t xml:space="preserve">De acordo com </w:t>
      </w:r>
      <w:proofErr w:type="spellStart"/>
      <w:r w:rsidRPr="00F47284">
        <w:rPr>
          <w:sz w:val="24"/>
          <w:szCs w:val="24"/>
          <w:lang w:val="pt-BR" w:eastAsia="pt-BR"/>
        </w:rPr>
        <w:t>Dunning</w:t>
      </w:r>
      <w:proofErr w:type="spellEnd"/>
      <w:r w:rsidRPr="00F47284">
        <w:rPr>
          <w:sz w:val="24"/>
          <w:szCs w:val="24"/>
          <w:lang w:val="pt-BR" w:eastAsia="pt-BR"/>
        </w:rPr>
        <w:t xml:space="preserve"> (2001), uma empresa tem que atender a três pré-requisitos para participar com sucesso da atividade internacional: primeiro a “Vantagem de Propriedade”, ou seja, as patentes, as competências empresariais específicas, as economias de escala ou de tecnologia superior. Sem a vantagem de propriedade uma empresa não seria capaz de superar os custos adicionais de operar num mercado estrangeiro, tais como o custo de lidar com as administrações estrangeiras, sistemas regulamentares e fiscais, e as preferências do cliente, e se tornaria não-competitiva. Em segundo lugar a “Vantagem de Internalização”, se a empresa se encontra com o primeiro pré-requisito, deve usá-lo a seu favor para explorar as vantagens de propriedade através do IDE e internalizá-los ao invés de vender ou alugá-los, sendo assim a internalização impede que o ativo seja replicado pelos concorrentes. Por último, a “Vantagem de Localidade”, onde a empresa deve encontrar uma maneira rentável para combinar as vantagens de propriedade e de internalização com algumas vantagens de localização no país de acolhimento, como baixos custos de entrada, abundância de matérias-primas ou até mesmo regimes fiscais especiais. Sem esses fatores, o mercado externo seria útil apenas para exportações. </w:t>
      </w:r>
    </w:p>
    <w:p w:rsidR="009873C8" w:rsidRPr="00F47284" w:rsidRDefault="009873C8" w:rsidP="003B78A3">
      <w:pPr>
        <w:ind w:firstLine="420"/>
        <w:rPr>
          <w:sz w:val="24"/>
          <w:szCs w:val="24"/>
          <w:shd w:val="clear" w:color="auto" w:fill="FFFFFF"/>
          <w:lang w:val="pt-BR"/>
        </w:rPr>
      </w:pPr>
      <w:r w:rsidRPr="00F47284">
        <w:rPr>
          <w:sz w:val="24"/>
          <w:szCs w:val="24"/>
          <w:shd w:val="clear" w:color="auto" w:fill="FFFFFF"/>
          <w:lang w:val="pt-BR"/>
        </w:rPr>
        <w:lastRenderedPageBreak/>
        <w:t xml:space="preserve">O investidor estrangeiro direto, segundo </w:t>
      </w:r>
      <w:proofErr w:type="spellStart"/>
      <w:r w:rsidRPr="00F47284">
        <w:rPr>
          <w:sz w:val="24"/>
          <w:szCs w:val="24"/>
          <w:shd w:val="clear" w:color="auto" w:fill="FFFFFF"/>
          <w:lang w:val="pt-BR"/>
        </w:rPr>
        <w:t>Sornarajah</w:t>
      </w:r>
      <w:proofErr w:type="spellEnd"/>
      <w:r w:rsidRPr="00F47284">
        <w:rPr>
          <w:sz w:val="24"/>
          <w:szCs w:val="24"/>
          <w:shd w:val="clear" w:color="auto" w:fill="FFFFFF"/>
          <w:lang w:val="pt-BR"/>
        </w:rPr>
        <w:t xml:space="preserve"> (2010), geralmente introduz tecnologia e práticas de excelência gerencial que inexistem na economia receptora. Dessa maneira, o IED pode ajudar nas condições ambientais e sociais do país de destino, como por exemplo, transferindo tecnologias mais limpas, que irão causar menos danos ao meio ambiente, e levando a implementação de políticas corporativas voltadas à responsabilidade social.</w:t>
      </w:r>
    </w:p>
    <w:p w:rsidR="009873C8" w:rsidRPr="00F47284" w:rsidRDefault="009873C8" w:rsidP="003B78A3">
      <w:pPr>
        <w:ind w:firstLine="420"/>
        <w:textAlignment w:val="baseline"/>
        <w:rPr>
          <w:rFonts w:eastAsia="Times New Roman"/>
          <w:sz w:val="24"/>
          <w:szCs w:val="24"/>
          <w:lang w:val="pt-BR" w:eastAsia="pt-BR"/>
        </w:rPr>
      </w:pPr>
      <w:r w:rsidRPr="00F47284">
        <w:rPr>
          <w:rFonts w:eastAsia="Times New Roman"/>
          <w:sz w:val="24"/>
          <w:szCs w:val="24"/>
          <w:lang w:val="pt-BR" w:eastAsia="pt-BR"/>
        </w:rPr>
        <w:t>Quando estão tomando decisões de localização de suas bases produtivas no exterior, as empresas multinacionais procuram uma localização que possua o máximo de fatores positivos, como mão-de-obra qualificada, um sistema legal capaz de resolver disputas de maneira legítima ao menor custo possível, uma infraestrutura de transportes e de energia capaz de atender suas necessidades operacionais e que possa colocá-la em uma posição de competidora internacional. Nesse contexto, os fatores ambientais são, em alguns casos, de extrema importância para o desenvolvimento das vantagens competitivas de uma empresa, já em outros, necessários para permitir a exploração máxima.</w:t>
      </w:r>
    </w:p>
    <w:p w:rsidR="009873C8" w:rsidRPr="00F47284" w:rsidRDefault="009873C8" w:rsidP="003B78A3">
      <w:pPr>
        <w:ind w:firstLine="420"/>
        <w:textAlignment w:val="baseline"/>
        <w:rPr>
          <w:rFonts w:eastAsia="Times New Roman"/>
          <w:sz w:val="24"/>
          <w:szCs w:val="24"/>
          <w:lang w:val="pt-BR" w:eastAsia="pt-BR"/>
        </w:rPr>
      </w:pPr>
      <w:r w:rsidRPr="00F47284">
        <w:rPr>
          <w:rFonts w:eastAsia="Times New Roman"/>
          <w:sz w:val="24"/>
          <w:szCs w:val="24"/>
          <w:lang w:val="pt-BR" w:eastAsia="pt-BR"/>
        </w:rPr>
        <w:t xml:space="preserve">A teoria econômica, para Caves </w:t>
      </w:r>
      <w:r w:rsidRPr="00F47284">
        <w:rPr>
          <w:rFonts w:eastAsia="Times New Roman"/>
          <w:i/>
          <w:sz w:val="24"/>
          <w:szCs w:val="24"/>
          <w:lang w:val="pt-BR" w:eastAsia="pt-BR"/>
        </w:rPr>
        <w:t>et al</w:t>
      </w:r>
      <w:r w:rsidRPr="00F47284">
        <w:rPr>
          <w:rFonts w:eastAsia="Times New Roman"/>
          <w:sz w:val="24"/>
          <w:szCs w:val="24"/>
          <w:lang w:val="pt-BR" w:eastAsia="pt-BR"/>
        </w:rPr>
        <w:t>. (2001), justifica o movimento de capitais pelo mundo através do ponto de vista dos lucros, ou seja, um país recebe investimentos se proporcionar possibilidades de reduzir os custos de produção e assim gerar aumento de lucro. Entre os determinantes fundamentais para esse fluxo de capitais, pode-se considerar quatro questões naturais e estruturais mais importantes. Em primeiro lugar, o controle de matérias-primas, pois uma empresa transnacional consegue reduzir custos de produção através da realocação em um país onde existam recursos naturais mais abundantes. Em segundo lugar vem a mão-de-obra, que pode ter remuneração mais baixa em outros países em relação ao país em que está sediada. Uma terceira questão a ser levada em conta são os custos com transporte, que têm participação elevada no valor final das mercadorias. Em alguns casos, o custo de transportar o produto acabado pode ser menor do que transportar seus próprios insumos, facilitando a implantação próxima ao mercado consumidor. Uma quarta razão a ser considerada, seriam as políticas públicas, que por meio de tratamento fiscal diferencial ou redução tributária, podem aumentar a atratividade par o investimento externo direto. Para contornar o protecionismo imposto pelo governo, uma empresa pode tomar a decisão de implantar uma subsidiária nesse país com melhores políticas.</w:t>
      </w:r>
    </w:p>
    <w:p w:rsidR="006F044F" w:rsidRPr="00F47284" w:rsidRDefault="006F044F" w:rsidP="003B78A3">
      <w:pPr>
        <w:ind w:firstLine="420"/>
        <w:rPr>
          <w:sz w:val="24"/>
          <w:szCs w:val="24"/>
          <w:shd w:val="clear" w:color="auto" w:fill="FFFFFF"/>
          <w:lang w:val="pt-BR"/>
        </w:rPr>
      </w:pPr>
      <w:r w:rsidRPr="00F47284">
        <w:rPr>
          <w:sz w:val="24"/>
          <w:szCs w:val="24"/>
          <w:shd w:val="clear" w:color="auto" w:fill="FFFFFF"/>
          <w:lang w:val="pt-BR"/>
        </w:rPr>
        <w:t xml:space="preserve">Conforme o seu caráter, o IED deve ser concebido em um ponto de vista de longo prazo. Para </w:t>
      </w:r>
      <w:proofErr w:type="spellStart"/>
      <w:r w:rsidRPr="00F47284">
        <w:rPr>
          <w:sz w:val="24"/>
          <w:szCs w:val="24"/>
          <w:shd w:val="clear" w:color="auto" w:fill="FFFFFF"/>
          <w:lang w:val="pt-BR"/>
        </w:rPr>
        <w:t>Amal</w:t>
      </w:r>
      <w:proofErr w:type="spellEnd"/>
      <w:r w:rsidRPr="00F47284">
        <w:rPr>
          <w:sz w:val="24"/>
          <w:szCs w:val="24"/>
          <w:shd w:val="clear" w:color="auto" w:fill="FFFFFF"/>
          <w:lang w:val="pt-BR"/>
        </w:rPr>
        <w:t xml:space="preserve"> e Seabra (2007), a avaliação do investidor externo abrange um grau de irreversibilidade ainda mais elevado, devido ao fato de que os custos irrecuperáveis são influenciados não apenas por questões exclusivas à manufatura, mas também por pontos relativos a incertezas macroeconômicas, políticas e institucionais do país para onde irá se destinar o capital investido.</w:t>
      </w:r>
    </w:p>
    <w:p w:rsidR="006F044F" w:rsidRPr="00F47284" w:rsidRDefault="006F044F" w:rsidP="003B78A3">
      <w:pPr>
        <w:ind w:firstLine="420"/>
        <w:textAlignment w:val="baseline"/>
        <w:rPr>
          <w:rFonts w:eastAsia="Times New Roman"/>
          <w:sz w:val="24"/>
          <w:szCs w:val="24"/>
          <w:lang w:val="pt-BR" w:eastAsia="pt-BR"/>
        </w:rPr>
      </w:pPr>
    </w:p>
    <w:p w:rsidR="001B46D8" w:rsidRPr="00F47284" w:rsidRDefault="001B46D8" w:rsidP="003B78A3">
      <w:pPr>
        <w:pStyle w:val="Headings2"/>
        <w:ind w:firstLineChars="235" w:firstLine="566"/>
        <w:rPr>
          <w:sz w:val="24"/>
          <w:szCs w:val="24"/>
          <w:lang w:val="pt-BR"/>
        </w:rPr>
      </w:pPr>
      <w:r w:rsidRPr="00F47284">
        <w:rPr>
          <w:sz w:val="24"/>
          <w:szCs w:val="24"/>
          <w:lang w:val="pt-BR"/>
        </w:rPr>
        <w:t xml:space="preserve">2.2 </w:t>
      </w:r>
      <w:r w:rsidR="009873C8" w:rsidRPr="00F47284">
        <w:rPr>
          <w:sz w:val="24"/>
          <w:szCs w:val="24"/>
          <w:lang w:val="pt-BR"/>
        </w:rPr>
        <w:t>Instituições</w:t>
      </w:r>
    </w:p>
    <w:p w:rsidR="009873C8" w:rsidRPr="00F47284" w:rsidRDefault="009873C8" w:rsidP="003B78A3">
      <w:pPr>
        <w:ind w:firstLine="576"/>
        <w:rPr>
          <w:sz w:val="24"/>
          <w:szCs w:val="24"/>
          <w:lang w:val="pt-BR" w:eastAsia="pt-BR"/>
        </w:rPr>
      </w:pPr>
      <w:r w:rsidRPr="00F47284">
        <w:rPr>
          <w:sz w:val="24"/>
          <w:szCs w:val="24"/>
          <w:lang w:val="pt-BR" w:eastAsia="pt-BR"/>
        </w:rPr>
        <w:t xml:space="preserve">Nos modelos de desenvolvimento neoclássicos, inclusive nos de crescimento endógeno, as instituições muitas vezes são tratadas como variáveis exógenas. Neste sentido, sendo a estrutura institucional dada, os indivíduos, ou até mesmo firmas, escolhem a melhor tecnologia disposta no mercado através de sua função de produção, buscando principalmente as condições de equilíbrio e de maximização. Essa metodologia vem sendo reestruturada por diversos autores, os quais enfatizam que desenvolvimento só pode ser realmente compreendido quando há uma </w:t>
      </w:r>
      <w:proofErr w:type="spellStart"/>
      <w:r w:rsidRPr="00F47284">
        <w:rPr>
          <w:sz w:val="24"/>
          <w:szCs w:val="24"/>
          <w:lang w:val="pt-BR" w:eastAsia="pt-BR"/>
        </w:rPr>
        <w:t>endogeneização</w:t>
      </w:r>
      <w:proofErr w:type="spellEnd"/>
      <w:r w:rsidRPr="00F47284">
        <w:rPr>
          <w:sz w:val="24"/>
          <w:szCs w:val="24"/>
          <w:lang w:val="pt-BR" w:eastAsia="pt-BR"/>
        </w:rPr>
        <w:t xml:space="preserve"> das variáveis institucionais, nos modelos teóricos.</w:t>
      </w:r>
    </w:p>
    <w:p w:rsidR="009873C8" w:rsidRPr="00F47284" w:rsidRDefault="009873C8" w:rsidP="003B78A3">
      <w:pPr>
        <w:ind w:firstLine="578"/>
        <w:rPr>
          <w:sz w:val="24"/>
          <w:szCs w:val="24"/>
          <w:lang w:val="pt-BR" w:eastAsia="pt-BR"/>
        </w:rPr>
      </w:pPr>
      <w:r w:rsidRPr="00F47284">
        <w:rPr>
          <w:sz w:val="24"/>
          <w:szCs w:val="24"/>
          <w:lang w:val="pt-BR" w:eastAsia="pt-BR"/>
        </w:rPr>
        <w:t xml:space="preserve">Segundo </w:t>
      </w:r>
      <w:proofErr w:type="spellStart"/>
      <w:r w:rsidRPr="00F47284">
        <w:rPr>
          <w:sz w:val="24"/>
          <w:szCs w:val="24"/>
          <w:lang w:val="pt-BR" w:eastAsia="pt-BR"/>
        </w:rPr>
        <w:t>Arend</w:t>
      </w:r>
      <w:proofErr w:type="spellEnd"/>
      <w:r w:rsidRPr="00F47284">
        <w:rPr>
          <w:sz w:val="24"/>
          <w:szCs w:val="24"/>
          <w:lang w:val="pt-BR" w:eastAsia="pt-BR"/>
        </w:rPr>
        <w:t xml:space="preserve"> </w:t>
      </w:r>
      <w:r w:rsidRPr="00F47284">
        <w:rPr>
          <w:i/>
          <w:sz w:val="24"/>
          <w:szCs w:val="24"/>
          <w:lang w:val="pt-BR" w:eastAsia="pt-BR"/>
        </w:rPr>
        <w:t>et al.</w:t>
      </w:r>
      <w:r w:rsidRPr="00F47284">
        <w:rPr>
          <w:sz w:val="24"/>
          <w:szCs w:val="24"/>
          <w:lang w:val="pt-BR" w:eastAsia="pt-BR"/>
        </w:rPr>
        <w:t xml:space="preserve"> (2012), atualmente, existem duas linhas de pensamento que levam em conta as estruturas históricas, as instituições e a modificação técnica na economia: as abordagens </w:t>
      </w:r>
      <w:r w:rsidRPr="00F47284">
        <w:rPr>
          <w:sz w:val="24"/>
          <w:szCs w:val="24"/>
          <w:lang w:val="pt-BR" w:eastAsia="pt-BR"/>
        </w:rPr>
        <w:lastRenderedPageBreak/>
        <w:t xml:space="preserve">Institucionalista e </w:t>
      </w:r>
      <w:proofErr w:type="spellStart"/>
      <w:r w:rsidRPr="00F47284">
        <w:rPr>
          <w:sz w:val="24"/>
          <w:szCs w:val="24"/>
          <w:lang w:val="pt-BR" w:eastAsia="pt-BR"/>
        </w:rPr>
        <w:t>Neoschumpeteriana</w:t>
      </w:r>
      <w:proofErr w:type="spellEnd"/>
      <w:r w:rsidRPr="00F47284">
        <w:rPr>
          <w:sz w:val="24"/>
          <w:szCs w:val="24"/>
          <w:lang w:val="pt-BR" w:eastAsia="pt-BR"/>
        </w:rPr>
        <w:t xml:space="preserve">. Os </w:t>
      </w:r>
      <w:proofErr w:type="spellStart"/>
      <w:r w:rsidRPr="00F47284">
        <w:rPr>
          <w:sz w:val="24"/>
          <w:szCs w:val="24"/>
          <w:lang w:val="pt-BR" w:eastAsia="pt-BR"/>
        </w:rPr>
        <w:t>neoschumpeterianos</w:t>
      </w:r>
      <w:proofErr w:type="spellEnd"/>
      <w:r w:rsidRPr="00F47284">
        <w:rPr>
          <w:rStyle w:val="Refdenotaderodap"/>
          <w:sz w:val="24"/>
          <w:szCs w:val="24"/>
          <w:lang w:val="pt-BR" w:eastAsia="pt-BR"/>
        </w:rPr>
        <w:footnoteReference w:id="2"/>
      </w:r>
      <w:r w:rsidRPr="00F47284">
        <w:rPr>
          <w:sz w:val="24"/>
          <w:szCs w:val="24"/>
          <w:lang w:val="pt-BR" w:eastAsia="pt-BR"/>
        </w:rPr>
        <w:t xml:space="preserve"> concentram sua análise no processo inovador, incorporar a análise das instituições. Já a corrente institucionalista divide-se ainda em duas outras: o Velho </w:t>
      </w:r>
      <w:proofErr w:type="spellStart"/>
      <w:r w:rsidRPr="00F47284">
        <w:rPr>
          <w:sz w:val="24"/>
          <w:szCs w:val="24"/>
          <w:lang w:val="pt-BR" w:eastAsia="pt-BR"/>
        </w:rPr>
        <w:t>Institucionalismo</w:t>
      </w:r>
      <w:proofErr w:type="spellEnd"/>
      <w:r w:rsidRPr="00F47284">
        <w:rPr>
          <w:rStyle w:val="Refdenotaderodap"/>
          <w:sz w:val="24"/>
          <w:szCs w:val="24"/>
          <w:lang w:val="pt-BR" w:eastAsia="pt-BR"/>
        </w:rPr>
        <w:footnoteReference w:id="3"/>
      </w:r>
      <w:r w:rsidRPr="00F47284">
        <w:rPr>
          <w:sz w:val="24"/>
          <w:szCs w:val="24"/>
          <w:lang w:val="pt-BR" w:eastAsia="pt-BR"/>
        </w:rPr>
        <w:t>, e a Nova Economia Institucional</w:t>
      </w:r>
      <w:r w:rsidRPr="00F47284">
        <w:rPr>
          <w:rStyle w:val="Refdenotaderodap"/>
          <w:sz w:val="24"/>
          <w:szCs w:val="24"/>
          <w:lang w:val="pt-BR" w:eastAsia="pt-BR"/>
        </w:rPr>
        <w:footnoteReference w:id="4"/>
      </w:r>
      <w:r w:rsidRPr="00F47284">
        <w:rPr>
          <w:sz w:val="24"/>
          <w:szCs w:val="24"/>
          <w:lang w:val="pt-BR" w:eastAsia="pt-BR"/>
        </w:rPr>
        <w:t>, sendo a última ramificação, principal para o enfoque da atual monografia.</w:t>
      </w:r>
    </w:p>
    <w:p w:rsidR="009873C8" w:rsidRPr="00F47284" w:rsidRDefault="009873C8" w:rsidP="003B78A3">
      <w:pPr>
        <w:ind w:firstLine="578"/>
        <w:rPr>
          <w:sz w:val="24"/>
          <w:szCs w:val="24"/>
          <w:lang w:val="pt-BR" w:eastAsia="pt-BR"/>
        </w:rPr>
      </w:pPr>
      <w:r w:rsidRPr="00F47284">
        <w:rPr>
          <w:sz w:val="24"/>
          <w:szCs w:val="24"/>
          <w:lang w:val="pt-BR" w:eastAsia="pt-BR"/>
        </w:rPr>
        <w:t>Douglass North define como uma estrutura de incentivos, sejam formais, tais como leis, regras, constituições, entre outras; ou informais, como normas de comportamento, convenções e códigos de conduta de uma economia. As instituições, segundo North (1991), ao serem determinações criadas pelos próprios seres humanos, acabam colocando limites em suas interações. Dessa forma, para North (1994), as instituições descrevem a estrutura de incentivos de uma economia, levando-a a mudar em direção ao crescimento, estagnação ou declínio.</w:t>
      </w:r>
    </w:p>
    <w:p w:rsidR="00D803BE" w:rsidRPr="00F47284" w:rsidRDefault="009873C8" w:rsidP="003B78A3">
      <w:pPr>
        <w:ind w:firstLine="578"/>
        <w:rPr>
          <w:sz w:val="24"/>
          <w:szCs w:val="24"/>
          <w:lang w:val="pt-BR" w:eastAsia="pt-BR"/>
        </w:rPr>
      </w:pPr>
      <w:r w:rsidRPr="00F47284">
        <w:rPr>
          <w:sz w:val="24"/>
          <w:szCs w:val="24"/>
          <w:lang w:val="pt-BR" w:eastAsia="pt-BR"/>
        </w:rPr>
        <w:t>Além de incentivos, as instituições são restrições que moldam as escolhas individuais, e ao mesmo tempo, são criação das pessoas</w:t>
      </w:r>
      <w:r w:rsidR="00D803BE" w:rsidRPr="00F47284">
        <w:rPr>
          <w:sz w:val="24"/>
          <w:szCs w:val="24"/>
          <w:lang w:val="pt-BR" w:eastAsia="pt-BR"/>
        </w:rPr>
        <w:t>, que visam a</w:t>
      </w:r>
      <w:r w:rsidRPr="00F47284">
        <w:rPr>
          <w:sz w:val="24"/>
          <w:szCs w:val="24"/>
          <w:lang w:val="pt-BR" w:eastAsia="pt-BR"/>
        </w:rPr>
        <w:t xml:space="preserve"> reduzir a incerteza em relação ao futuro, para garantir um ambiente estável aos investimentos e a lucratividade do capital. Nas atividades do cotidiano diário, as pessoas se deparam com um conjunto de restrições que normalmente estão apresentadas na forma de leis ou de regras, sendo estas um resumo para o conceito de instituições. Elas provêm de informações transmitidas socialmente, são parte da nossa cultura e interferem na forma como interpretamos o ambiente ao nosso redor. Por isso, conforme North (2003), influenciam fortemente na conduta dos indivíduos e de suas organizações.</w:t>
      </w:r>
      <w:r w:rsidR="00467217" w:rsidRPr="00F47284">
        <w:rPr>
          <w:sz w:val="24"/>
          <w:szCs w:val="24"/>
          <w:lang w:val="pt-BR" w:eastAsia="pt-BR"/>
        </w:rPr>
        <w:t xml:space="preserve"> Williamson (1996), por sua vez, trabalha principalmente com a ideia de instituições de governança, que operam ao nível das transações individuais. Em poucas palavras as instituições são tidas como mecanismos de governança, ou seja, soluções eficazes para questões relativas à organização em um ambiente concorrencial.</w:t>
      </w:r>
      <w:r w:rsidR="00467217" w:rsidRPr="00F47284">
        <w:rPr>
          <w:sz w:val="24"/>
          <w:szCs w:val="24"/>
          <w:lang w:val="pt-BR"/>
        </w:rPr>
        <w:t xml:space="preserve"> </w:t>
      </w:r>
      <w:r w:rsidR="00467217" w:rsidRPr="00F47284">
        <w:rPr>
          <w:sz w:val="24"/>
          <w:szCs w:val="24"/>
          <w:lang w:val="pt-BR" w:eastAsia="pt-BR"/>
        </w:rPr>
        <w:t xml:space="preserve"> </w:t>
      </w:r>
      <w:r w:rsidRPr="00F47284">
        <w:rPr>
          <w:sz w:val="24"/>
          <w:szCs w:val="24"/>
          <w:lang w:val="pt-BR" w:eastAsia="pt-BR"/>
        </w:rPr>
        <w:t xml:space="preserve"> </w:t>
      </w:r>
    </w:p>
    <w:p w:rsidR="009873C8" w:rsidRPr="00F47284" w:rsidRDefault="008D01C2" w:rsidP="003B78A3">
      <w:pPr>
        <w:ind w:firstLine="578"/>
        <w:rPr>
          <w:sz w:val="24"/>
          <w:szCs w:val="24"/>
          <w:lang w:val="pt-BR"/>
        </w:rPr>
      </w:pPr>
      <w:r w:rsidRPr="00F47284">
        <w:rPr>
          <w:sz w:val="24"/>
          <w:szCs w:val="24"/>
          <w:lang w:val="pt-BR"/>
        </w:rPr>
        <w:t>O</w:t>
      </w:r>
      <w:r w:rsidR="009873C8" w:rsidRPr="00F47284">
        <w:rPr>
          <w:sz w:val="24"/>
          <w:szCs w:val="24"/>
          <w:lang w:val="pt-BR"/>
        </w:rPr>
        <w:t xml:space="preserve">s agentes econômicos interagem em um ambiente cheio de incertezas a respeito do futuro, sendo que essas incertezas geram custos para as transações. A função principal das instituições em uma sociedade é reduzir as incertezas estabelecendo uma estrutura estável para a interação humana, onde a estabilidade das instituições não significa eu estas sejam imutáveis, ou seja, as instituições estão em mudança permanente. A partir de acordos, códigos de conduta e normas de comportamento, passando por leis estatutárias, direito escrito e contratos entre indivíduos, as instituições estão em constante evolução. Dessa forma, segundo </w:t>
      </w:r>
      <w:proofErr w:type="spellStart"/>
      <w:r w:rsidR="009873C8" w:rsidRPr="00F47284">
        <w:rPr>
          <w:sz w:val="24"/>
          <w:szCs w:val="24"/>
          <w:lang w:val="pt-BR"/>
        </w:rPr>
        <w:t>Arend</w:t>
      </w:r>
      <w:proofErr w:type="spellEnd"/>
      <w:r w:rsidR="009873C8" w:rsidRPr="00F47284">
        <w:rPr>
          <w:sz w:val="24"/>
          <w:szCs w:val="24"/>
          <w:lang w:val="pt-BR"/>
        </w:rPr>
        <w:t xml:space="preserve"> </w:t>
      </w:r>
      <w:r w:rsidR="009873C8" w:rsidRPr="00F47284">
        <w:rPr>
          <w:i/>
          <w:sz w:val="24"/>
          <w:szCs w:val="24"/>
          <w:lang w:val="pt-BR"/>
        </w:rPr>
        <w:t>et al.</w:t>
      </w:r>
      <w:r w:rsidR="009873C8" w:rsidRPr="00F47284">
        <w:rPr>
          <w:sz w:val="24"/>
          <w:szCs w:val="24"/>
          <w:lang w:val="pt-BR"/>
        </w:rPr>
        <w:t xml:space="preserve"> (2012), a história se torna um ponto importante para o desenvolvimento das nações, não apenas porque se pode aprender com o passado, mas também porque o presente e o futuro estão interligados com o passado, como consequência da continuidade das instituições de uma sociedade. </w:t>
      </w:r>
      <w:r w:rsidR="00D803BE" w:rsidRPr="00F47284">
        <w:rPr>
          <w:sz w:val="24"/>
          <w:szCs w:val="24"/>
          <w:lang w:val="pt-BR" w:eastAsia="pt-BR"/>
        </w:rPr>
        <w:t xml:space="preserve">Para North (1994), a alavanca do desenvolvimento encontra-se nas instituições, nos meios de coordenar a ação dos indivíduos e dos grupos sociais, onde os custos envolvidos nas transações são influenciados pelas instituições, ou seja, pelas regras do jogo. </w:t>
      </w:r>
    </w:p>
    <w:p w:rsidR="009873C8" w:rsidRPr="00F47284" w:rsidRDefault="009873C8" w:rsidP="003B78A3">
      <w:pPr>
        <w:ind w:firstLine="424"/>
        <w:rPr>
          <w:sz w:val="24"/>
          <w:szCs w:val="24"/>
          <w:lang w:val="pt-BR" w:eastAsia="pt-BR"/>
        </w:rPr>
      </w:pPr>
      <w:r w:rsidRPr="00F47284">
        <w:rPr>
          <w:sz w:val="24"/>
          <w:szCs w:val="24"/>
          <w:lang w:val="pt-BR" w:eastAsia="pt-BR"/>
        </w:rPr>
        <w:t xml:space="preserve">Para uma melhor compreensão do papel das instituições na determinação dos fluxos de IED, é necessária uma abordagem conceitual que ligue o pensamento sobre os determinantes do IED com o impacto das Instituições na atividade econômica. Associar o modelo diversificado de John </w:t>
      </w:r>
      <w:proofErr w:type="spellStart"/>
      <w:r w:rsidRPr="00F47284">
        <w:rPr>
          <w:sz w:val="24"/>
          <w:szCs w:val="24"/>
          <w:lang w:val="pt-BR" w:eastAsia="pt-BR"/>
        </w:rPr>
        <w:t>Dunning</w:t>
      </w:r>
      <w:proofErr w:type="spellEnd"/>
      <w:r w:rsidRPr="00F47284">
        <w:rPr>
          <w:sz w:val="24"/>
          <w:szCs w:val="24"/>
          <w:lang w:val="pt-BR" w:eastAsia="pt-BR"/>
        </w:rPr>
        <w:t xml:space="preserve"> com a compreensão de Douglas North sobre o papel das instituições na atividade econômica e o investimento torna possível estabelecer uma conexão entre instituições e IED. O modelo de </w:t>
      </w:r>
      <w:proofErr w:type="spellStart"/>
      <w:r w:rsidRPr="00F47284">
        <w:rPr>
          <w:sz w:val="24"/>
          <w:szCs w:val="24"/>
          <w:lang w:val="pt-BR" w:eastAsia="pt-BR"/>
        </w:rPr>
        <w:t>Dunning</w:t>
      </w:r>
      <w:proofErr w:type="spellEnd"/>
      <w:r w:rsidRPr="00F47284">
        <w:rPr>
          <w:sz w:val="24"/>
          <w:szCs w:val="24"/>
          <w:lang w:val="pt-BR" w:eastAsia="pt-BR"/>
        </w:rPr>
        <w:t xml:space="preserve">, conforme </w:t>
      </w:r>
      <w:proofErr w:type="spellStart"/>
      <w:r w:rsidRPr="00F47284">
        <w:rPr>
          <w:sz w:val="24"/>
          <w:szCs w:val="24"/>
          <w:lang w:val="pt-BR" w:eastAsia="pt-BR"/>
        </w:rPr>
        <w:t>Gastanaga</w:t>
      </w:r>
      <w:proofErr w:type="spellEnd"/>
      <w:r w:rsidRPr="00F47284">
        <w:rPr>
          <w:sz w:val="24"/>
          <w:szCs w:val="24"/>
          <w:lang w:val="pt-BR" w:eastAsia="pt-BR"/>
        </w:rPr>
        <w:t xml:space="preserve"> </w:t>
      </w:r>
      <w:r w:rsidRPr="00F47284">
        <w:rPr>
          <w:i/>
          <w:sz w:val="24"/>
          <w:szCs w:val="24"/>
          <w:lang w:val="pt-BR" w:eastAsia="pt-BR"/>
        </w:rPr>
        <w:t>et al</w:t>
      </w:r>
      <w:r w:rsidRPr="00F47284">
        <w:rPr>
          <w:sz w:val="24"/>
          <w:szCs w:val="24"/>
          <w:lang w:val="pt-BR" w:eastAsia="pt-BR"/>
        </w:rPr>
        <w:t xml:space="preserve">. (1998), foi desenvolvido principalmente para explicar o comportamento das empresas multinacionais, para assim responder à pergunta sobre as motivações para que uma empresa possua instalações de produção em ambientes estrangeiros, além de analisar os determinantes do IED.  </w:t>
      </w:r>
    </w:p>
    <w:p w:rsidR="009873C8" w:rsidRPr="00F47284" w:rsidRDefault="009873C8" w:rsidP="003B78A3">
      <w:pPr>
        <w:ind w:firstLine="424"/>
        <w:rPr>
          <w:sz w:val="24"/>
          <w:szCs w:val="24"/>
          <w:lang w:val="pt-BR" w:eastAsia="pt-BR"/>
        </w:rPr>
      </w:pPr>
      <w:r w:rsidRPr="00F47284">
        <w:rPr>
          <w:sz w:val="24"/>
          <w:szCs w:val="24"/>
          <w:lang w:val="pt-BR" w:eastAsia="pt-BR"/>
        </w:rPr>
        <w:lastRenderedPageBreak/>
        <w:t>As instituições afetam as atividades econômicas porque afetam os custos de transação e de produção. Os custos de transação surgem como fatores associados à interação econômica, e consistem em: os custos de medição dos valores do que está sendo trocado, e os custos de proteger e aplicar os direitos de propriedade. Além disso, estes custos são como informações sobre o comportamento da outra parte quando uma troca econômica é incompleta. Para North (1990), na ausência de instituições confiáveis, haveria incertezas essenciais nas trocas econômicas, e a outra parte poderia enganar, fugir ou negar acordos anteriormente feitos.</w:t>
      </w:r>
    </w:p>
    <w:p w:rsidR="009873C8" w:rsidRPr="00F47284" w:rsidRDefault="009873C8" w:rsidP="003B78A3">
      <w:pPr>
        <w:ind w:firstLine="424"/>
        <w:rPr>
          <w:sz w:val="24"/>
          <w:szCs w:val="24"/>
          <w:lang w:val="pt-BR" w:eastAsia="pt-BR"/>
        </w:rPr>
      </w:pPr>
      <w:r w:rsidRPr="00F47284">
        <w:rPr>
          <w:sz w:val="24"/>
          <w:szCs w:val="24"/>
          <w:lang w:val="pt-BR" w:eastAsia="pt-BR"/>
        </w:rPr>
        <w:t>Devido à incerteza, um prêmio de risco é incluído no custo de transação para capturar possibilidades de perda. Instituições, tanto formais como informais, surgem para fornecer regras e procedimentos adequados que reduzam as incertezas envolvidas nas trocas econômicas. Conforme North (1991) instituições informais, tais como códigos de conduta ou convenções, podem reduzir estas incertezas, mas elas só podem fazer isso em trocas simples e pessoais, onde ambas as partes do intercâmbio têm uma grande quantidade de informações sobre o outro, e eles acham que é do seu interesse formalizar o acordo. Tanto o auto interesse quanto as sanções sociais fornecem mecanismos de aplicação em tais trocas, reduzindo assim perdas devido a fraude, mentira, e outros fatores. No entanto, nas trocas de caráter impessoal, onde os retornos sobre o oportunismo, engano e aparências são elevados, um outro fator é necessário para aplicar convenções e reduzir as incertezas.</w:t>
      </w:r>
      <w:r w:rsidR="00467217" w:rsidRPr="00F47284">
        <w:rPr>
          <w:sz w:val="24"/>
          <w:szCs w:val="24"/>
          <w:lang w:val="pt-BR" w:eastAsia="pt-BR"/>
        </w:rPr>
        <w:t xml:space="preserve"> </w:t>
      </w:r>
    </w:p>
    <w:p w:rsidR="009873C8" w:rsidRPr="00F47284" w:rsidRDefault="009873C8" w:rsidP="003B78A3">
      <w:pPr>
        <w:ind w:firstLine="424"/>
        <w:rPr>
          <w:sz w:val="24"/>
          <w:szCs w:val="24"/>
          <w:lang w:val="pt-BR" w:eastAsia="pt-BR"/>
        </w:rPr>
      </w:pPr>
      <w:r w:rsidRPr="00F47284">
        <w:rPr>
          <w:sz w:val="24"/>
          <w:szCs w:val="24"/>
          <w:lang w:val="pt-BR" w:eastAsia="pt-BR"/>
        </w:rPr>
        <w:t xml:space="preserve">Assim, quando os direitos de propriedade são mal protegidos e os contratos são de difícil aplicação, o prêmio de risco será elevado e os custos de transação também. As instituições podem igualmente afetar as atividades econômicas, afetando diretamente os custos de produção, North (1990) argumenta que as instituições afetam o ambiente operacional das empresas, e dessa maneira, instituições ineficientes podem aumentar os custos de produção por dificultar a cadeia de abastecimento. Burocracia excessiva ou atrasos na obtenção de todos os tipos de licenças, por exemplo, podem aumentar significativamente os custos de produção e, consequentemente, reduzir a competitividade nos âmbitos tanto internacionais como nacionais. Para os investidores estrangeiros, o impacto das instituições vai além de seu impacto sobre os custos de transformação e de produção. </w:t>
      </w:r>
      <w:proofErr w:type="spellStart"/>
      <w:r w:rsidRPr="00F47284">
        <w:rPr>
          <w:sz w:val="24"/>
          <w:szCs w:val="24"/>
          <w:lang w:val="pt-BR" w:eastAsia="pt-BR"/>
        </w:rPr>
        <w:t>Henisz</w:t>
      </w:r>
      <w:proofErr w:type="spellEnd"/>
      <w:r w:rsidRPr="00F47284">
        <w:rPr>
          <w:sz w:val="24"/>
          <w:szCs w:val="24"/>
          <w:lang w:val="pt-BR" w:eastAsia="pt-BR"/>
        </w:rPr>
        <w:t xml:space="preserve"> e Williamson (1999) afirmam que, se os direitos de propriedade não são bem protegidos, os investidores estrangeiros irão enfrentar dois tipos de riscos: em primeiro lugar, o governo de um país de acolhimento pode achar que é vantajoso se comportar de forma oportunista e apropriar-se alguns dos retornos do IED ou mesmo nacionalizá-los, e em segundo lugar, concorrentes ou parceiros locais, devido a um melhor acesso ao processo político, podem persuadir o governo a favorecê-los em detrimento dos investidores estrangeiros. Em ambos os casos, o investidor é fortemente afetado, e isso pode levá-lo a não conseguir progredir e alcançar seus objetivos.</w:t>
      </w:r>
    </w:p>
    <w:p w:rsidR="001B46D8" w:rsidRPr="00F47284" w:rsidRDefault="009873C8" w:rsidP="003B78A3">
      <w:pPr>
        <w:ind w:firstLine="424"/>
        <w:rPr>
          <w:sz w:val="24"/>
          <w:szCs w:val="24"/>
          <w:lang w:val="pt-BR" w:eastAsia="pt-BR"/>
        </w:rPr>
      </w:pPr>
      <w:r w:rsidRPr="00F47284">
        <w:rPr>
          <w:sz w:val="24"/>
          <w:szCs w:val="24"/>
          <w:lang w:val="pt-BR" w:eastAsia="pt-BR"/>
        </w:rPr>
        <w:t xml:space="preserve">Dada a importância das instituições, e conforme o exposto por </w:t>
      </w:r>
      <w:proofErr w:type="spellStart"/>
      <w:r w:rsidRPr="00F47284">
        <w:rPr>
          <w:sz w:val="24"/>
          <w:szCs w:val="24"/>
          <w:lang w:val="pt-BR" w:eastAsia="pt-BR"/>
        </w:rPr>
        <w:t>Narula</w:t>
      </w:r>
      <w:proofErr w:type="spellEnd"/>
      <w:r w:rsidRPr="00F47284">
        <w:rPr>
          <w:sz w:val="24"/>
          <w:szCs w:val="24"/>
          <w:lang w:val="pt-BR" w:eastAsia="pt-BR"/>
        </w:rPr>
        <w:t xml:space="preserve"> e </w:t>
      </w:r>
      <w:proofErr w:type="spellStart"/>
      <w:r w:rsidRPr="00F47284">
        <w:rPr>
          <w:sz w:val="24"/>
          <w:szCs w:val="24"/>
          <w:lang w:val="pt-BR" w:eastAsia="pt-BR"/>
        </w:rPr>
        <w:t>Dunning</w:t>
      </w:r>
      <w:proofErr w:type="spellEnd"/>
      <w:r w:rsidRPr="00F47284">
        <w:rPr>
          <w:sz w:val="24"/>
          <w:szCs w:val="24"/>
          <w:lang w:val="pt-BR" w:eastAsia="pt-BR"/>
        </w:rPr>
        <w:t xml:space="preserve"> (2000), as decisões sobre investimento estrangeiro direto não leva conta apenas os condicionantes dos modelos tradicionais, mas também consideram os fatores instituições de cada localidade. Para </w:t>
      </w:r>
      <w:proofErr w:type="spellStart"/>
      <w:r w:rsidRPr="00F47284">
        <w:rPr>
          <w:sz w:val="24"/>
          <w:szCs w:val="24"/>
          <w:lang w:val="pt-BR" w:eastAsia="pt-BR"/>
        </w:rPr>
        <w:t>Mudambi</w:t>
      </w:r>
      <w:proofErr w:type="spellEnd"/>
      <w:r w:rsidRPr="00F47284">
        <w:rPr>
          <w:sz w:val="24"/>
          <w:szCs w:val="24"/>
          <w:lang w:val="pt-BR" w:eastAsia="pt-BR"/>
        </w:rPr>
        <w:t xml:space="preserve"> e Navarra (2002), a importância das instituições para investidores estrangeiros vem do fato de que elas representam os principais fatores inalteráveis em um mercado globalizado, e que as multinacionais precisam delas para utilizar eficientemente suas competências, para assim aumentar e melhorar as vantagens específicas de suas firmas.</w:t>
      </w:r>
    </w:p>
    <w:p w:rsidR="0042193C" w:rsidRPr="00F47284" w:rsidRDefault="0042193C" w:rsidP="003B78A3">
      <w:pPr>
        <w:ind w:firstLine="424"/>
        <w:rPr>
          <w:sz w:val="24"/>
          <w:szCs w:val="24"/>
          <w:lang w:val="pt-BR" w:eastAsia="pt-BR"/>
        </w:rPr>
      </w:pPr>
    </w:p>
    <w:p w:rsidR="00D65585" w:rsidRPr="00F47284" w:rsidRDefault="003B78A3" w:rsidP="003B78A3">
      <w:pPr>
        <w:pStyle w:val="Pr-formataoHTML"/>
        <w:shd w:val="clear" w:color="auto" w:fill="FFFFFF"/>
        <w:tabs>
          <w:tab w:val="clear" w:pos="916"/>
          <w:tab w:val="left" w:pos="426"/>
        </w:tabs>
        <w:jc w:val="both"/>
        <w:rPr>
          <w:rFonts w:ascii="Times New Roman" w:hAnsi="Times New Roman" w:cs="Times New Roman"/>
          <w:b/>
          <w:sz w:val="24"/>
          <w:szCs w:val="24"/>
          <w:lang w:val="pt-BR"/>
        </w:rPr>
      </w:pPr>
      <w:r>
        <w:rPr>
          <w:rFonts w:ascii="Times New Roman" w:hAnsi="Times New Roman" w:cs="Times New Roman"/>
          <w:b/>
          <w:sz w:val="24"/>
          <w:szCs w:val="24"/>
          <w:lang w:val="pt-BR"/>
        </w:rPr>
        <w:tab/>
      </w:r>
      <w:r w:rsidR="00D65585" w:rsidRPr="00F47284">
        <w:rPr>
          <w:rFonts w:ascii="Times New Roman" w:hAnsi="Times New Roman" w:cs="Times New Roman"/>
          <w:b/>
          <w:sz w:val="24"/>
          <w:szCs w:val="24"/>
          <w:lang w:val="pt-BR"/>
        </w:rPr>
        <w:t>2.3 Investimento Externo Direto e Instituições Políticas</w:t>
      </w:r>
    </w:p>
    <w:p w:rsidR="00D65585" w:rsidRPr="00F47284" w:rsidRDefault="00D65585" w:rsidP="003B78A3">
      <w:pPr>
        <w:pStyle w:val="Pr-formataoHTML"/>
        <w:shd w:val="clear" w:color="auto" w:fill="FFFFFF"/>
        <w:tabs>
          <w:tab w:val="clear" w:pos="916"/>
          <w:tab w:val="left" w:pos="426"/>
        </w:tabs>
        <w:jc w:val="both"/>
        <w:rPr>
          <w:rFonts w:ascii="Times New Roman" w:hAnsi="Times New Roman" w:cs="Times New Roman"/>
          <w:sz w:val="24"/>
          <w:szCs w:val="24"/>
          <w:lang w:val="pt-BR"/>
        </w:rPr>
      </w:pPr>
      <w:r w:rsidRPr="00F47284">
        <w:rPr>
          <w:rFonts w:ascii="Times New Roman" w:hAnsi="Times New Roman" w:cs="Times New Roman"/>
          <w:sz w:val="24"/>
          <w:szCs w:val="24"/>
          <w:lang w:val="pt-BR"/>
        </w:rPr>
        <w:tab/>
        <w:t xml:space="preserve">A literatura sobre os determinantes do IED pode ser organizada em torno de quatro fatores causadores de sua alocação: econômicos, geográficos, culturais e políticos. Dada a ênfase para dimensão </w:t>
      </w:r>
      <w:r w:rsidRPr="00F47284">
        <w:rPr>
          <w:rFonts w:ascii="Times New Roman" w:hAnsi="Times New Roman" w:cs="Times New Roman"/>
          <w:sz w:val="24"/>
          <w:szCs w:val="24"/>
          <w:lang w:val="pt-BR"/>
        </w:rPr>
        <w:lastRenderedPageBreak/>
        <w:t xml:space="preserve">política, foco deste estudo, este fator tem sua base em questões como políticas e as condições político sistêmicas, as quais servirão de parâmetro para a escolha do direcionamento do IED. Além disso, os determinantes de políticas econômicas no país anfitrião também são importantes. Os impostos, a estabilidade macroeconômica, o grau de abertura, o clima político, o grau de liberdade econômica e a ausência (ou não) de regulamentações nos mercados afetam diretamente o IDE. No caso particular da América Latina, segundo </w:t>
      </w:r>
      <w:proofErr w:type="spellStart"/>
      <w:r w:rsidRPr="00F47284">
        <w:rPr>
          <w:rFonts w:ascii="Times New Roman" w:hAnsi="Times New Roman" w:cs="Times New Roman"/>
          <w:sz w:val="24"/>
          <w:szCs w:val="24"/>
          <w:lang w:val="pt-BR"/>
        </w:rPr>
        <w:t>Bengoa</w:t>
      </w:r>
      <w:proofErr w:type="spellEnd"/>
      <w:r w:rsidRPr="00F47284">
        <w:rPr>
          <w:rFonts w:ascii="Times New Roman" w:hAnsi="Times New Roman" w:cs="Times New Roman"/>
          <w:sz w:val="24"/>
          <w:szCs w:val="24"/>
          <w:lang w:val="pt-BR"/>
        </w:rPr>
        <w:t xml:space="preserve"> e Sanchez-Robles (2003), as condições de excesso de dívida no país anfitrião são importantes e afetam diretamente a economia. Além disso, condições políticas necessárias para a existência do mercado são criadas em um processo político pelo Estado e outros agentes sociais, que estabelecem com o mercado e seus agentes uma relação hierárquica e de poder. </w:t>
      </w:r>
    </w:p>
    <w:p w:rsidR="00D65585" w:rsidRPr="00F47284" w:rsidRDefault="00D65585" w:rsidP="003B78A3">
      <w:pPr>
        <w:pStyle w:val="Pr-formataoHTML"/>
        <w:shd w:val="clear" w:color="auto" w:fill="FFFFFF"/>
        <w:tabs>
          <w:tab w:val="clear" w:pos="916"/>
          <w:tab w:val="left" w:pos="426"/>
        </w:tabs>
        <w:jc w:val="both"/>
        <w:rPr>
          <w:rFonts w:ascii="Times New Roman" w:hAnsi="Times New Roman" w:cs="Times New Roman"/>
          <w:sz w:val="24"/>
          <w:szCs w:val="24"/>
          <w:lang w:val="pt-BR"/>
        </w:rPr>
      </w:pPr>
      <w:r w:rsidRPr="00F47284">
        <w:rPr>
          <w:rFonts w:ascii="Times New Roman" w:hAnsi="Times New Roman" w:cs="Times New Roman"/>
          <w:sz w:val="24"/>
          <w:szCs w:val="24"/>
          <w:lang w:val="pt-BR"/>
        </w:rPr>
        <w:tab/>
        <w:t>Um determinado equilíbrio de políticas em que as localidades estariam, a todo o momento, buscando superar as condições existentes por meio de inovações, como por exemplo, regulatórias, para atrair um percentual maior do montante disponível internacionalmente para o investimento. Mais do que isso, essa convergência de políticas e instituições políticas deve, com o tempo resultar na criação de uma infraestrutura de mercados global devido à crescente semelhança entre as condições políticas nacionais, aumentando o fluxo internacional de IED. Este fenômeno da convergência de políticas vem sendo confirmado por estudos empíricos, Al-</w:t>
      </w:r>
      <w:proofErr w:type="spellStart"/>
      <w:r w:rsidRPr="00F47284">
        <w:rPr>
          <w:rFonts w:ascii="Times New Roman" w:hAnsi="Times New Roman" w:cs="Times New Roman"/>
          <w:sz w:val="24"/>
          <w:szCs w:val="24"/>
          <w:lang w:val="pt-BR"/>
        </w:rPr>
        <w:t>Sharmani</w:t>
      </w:r>
      <w:proofErr w:type="spellEnd"/>
      <w:r w:rsidRPr="00F47284">
        <w:rPr>
          <w:rFonts w:ascii="Times New Roman" w:hAnsi="Times New Roman" w:cs="Times New Roman"/>
          <w:sz w:val="24"/>
          <w:szCs w:val="24"/>
          <w:lang w:val="pt-BR"/>
        </w:rPr>
        <w:t xml:space="preserve"> (2000) estudou a regulamentação do IED em 50 países em desenvolvimento e a evolução de suas normas aponta que existe um claro processo de convergência em adotar padrões internacionais políticos.</w:t>
      </w:r>
    </w:p>
    <w:p w:rsidR="00D65585" w:rsidRPr="00F47284" w:rsidRDefault="00D65585" w:rsidP="003B78A3">
      <w:pPr>
        <w:pStyle w:val="Pr-formataoHTML"/>
        <w:shd w:val="clear" w:color="auto" w:fill="FFFFFF"/>
        <w:tabs>
          <w:tab w:val="clear" w:pos="916"/>
          <w:tab w:val="left" w:pos="426"/>
        </w:tabs>
        <w:jc w:val="both"/>
        <w:rPr>
          <w:rFonts w:ascii="Times New Roman" w:hAnsi="Times New Roman" w:cs="Times New Roman"/>
          <w:sz w:val="24"/>
          <w:szCs w:val="24"/>
          <w:lang w:val="pt-BR"/>
        </w:rPr>
      </w:pPr>
      <w:r w:rsidRPr="00F47284">
        <w:rPr>
          <w:rFonts w:ascii="Times New Roman" w:hAnsi="Times New Roman" w:cs="Times New Roman"/>
          <w:sz w:val="24"/>
          <w:szCs w:val="24"/>
          <w:lang w:val="pt-BR"/>
        </w:rPr>
        <w:tab/>
        <w:t xml:space="preserve">Stevens (1974) observou a necessidade de expansão das variáveis explicativas do IES, e destacou a importância do ambiente de negócios e das diferentes estruturas políticas, apontado em seu trabalho que a inclusão de variáveis políticas pode gerar um avanço na área do investimento internacional. </w:t>
      </w:r>
      <w:proofErr w:type="spellStart"/>
      <w:r w:rsidRPr="00F47284">
        <w:rPr>
          <w:rFonts w:ascii="Times New Roman" w:hAnsi="Times New Roman" w:cs="Times New Roman"/>
          <w:sz w:val="24"/>
          <w:szCs w:val="24"/>
          <w:lang w:val="pt-BR"/>
        </w:rPr>
        <w:t>Zebregs</w:t>
      </w:r>
      <w:proofErr w:type="spellEnd"/>
      <w:r w:rsidRPr="00F47284">
        <w:rPr>
          <w:rFonts w:ascii="Times New Roman" w:hAnsi="Times New Roman" w:cs="Times New Roman"/>
          <w:sz w:val="24"/>
          <w:szCs w:val="24"/>
          <w:lang w:val="pt-BR"/>
        </w:rPr>
        <w:t xml:space="preserve"> (1998) realizou testes e chegou à conclusão de que o modelo neoclássico não á capaz de explicar a alocação internacional do IED, segundo o autor, mesmo as extensões desse modelo não são capazes de gerar explicações razoáveis sobre o fenômeno do IED, deixando assim aberto uma lacuna para explicações relacionadas a instituições políticas e suas influencias obre o investimento internacional. Já </w:t>
      </w:r>
      <w:proofErr w:type="spellStart"/>
      <w:r w:rsidRPr="00F47284">
        <w:rPr>
          <w:rFonts w:ascii="Times New Roman" w:hAnsi="Times New Roman" w:cs="Times New Roman"/>
          <w:sz w:val="24"/>
          <w:szCs w:val="24"/>
          <w:lang w:val="pt-BR"/>
        </w:rPr>
        <w:t>Biswas</w:t>
      </w:r>
      <w:proofErr w:type="spellEnd"/>
      <w:r w:rsidRPr="00F47284">
        <w:rPr>
          <w:rFonts w:ascii="Times New Roman" w:hAnsi="Times New Roman" w:cs="Times New Roman"/>
          <w:sz w:val="24"/>
          <w:szCs w:val="24"/>
          <w:lang w:val="pt-BR"/>
        </w:rPr>
        <w:t xml:space="preserve"> (1998) realizou um estudo exploratório onde buscou analisar os efeitos da instabilidade política e também o impacto de variáveis como propriedade intelectual, disponibilidade de infraestrutura, regime político, tempo de duração do regime político sobre o IED no período de 1983 a 1990, concluindo que os fatores políticos são importantes determinantes, ao lado dos custos salariais. </w:t>
      </w:r>
    </w:p>
    <w:p w:rsidR="00D65585" w:rsidRPr="00F47284" w:rsidRDefault="00D65585" w:rsidP="003B78A3">
      <w:pPr>
        <w:pStyle w:val="Pr-formataoHTML"/>
        <w:shd w:val="clear" w:color="auto" w:fill="FFFFFF"/>
        <w:tabs>
          <w:tab w:val="clear" w:pos="916"/>
          <w:tab w:val="left" w:pos="426"/>
        </w:tabs>
        <w:jc w:val="both"/>
        <w:rPr>
          <w:rFonts w:ascii="Times New Roman" w:hAnsi="Times New Roman" w:cs="Times New Roman"/>
          <w:sz w:val="24"/>
          <w:szCs w:val="24"/>
          <w:lang w:val="pt-BR"/>
        </w:rPr>
      </w:pPr>
      <w:r w:rsidRPr="00F47284">
        <w:rPr>
          <w:rFonts w:ascii="Times New Roman" w:hAnsi="Times New Roman" w:cs="Times New Roman"/>
          <w:sz w:val="24"/>
          <w:szCs w:val="24"/>
          <w:lang w:val="pt-BR"/>
        </w:rPr>
        <w:tab/>
        <w:t xml:space="preserve">Os autores </w:t>
      </w:r>
      <w:proofErr w:type="spellStart"/>
      <w:r w:rsidRPr="00F47284">
        <w:rPr>
          <w:rFonts w:ascii="Times New Roman" w:hAnsi="Times New Roman" w:cs="Times New Roman"/>
          <w:sz w:val="24"/>
          <w:szCs w:val="24"/>
          <w:lang w:val="pt-BR"/>
        </w:rPr>
        <w:t>Globeman</w:t>
      </w:r>
      <w:proofErr w:type="spellEnd"/>
      <w:r w:rsidRPr="00F47284">
        <w:rPr>
          <w:rFonts w:ascii="Times New Roman" w:hAnsi="Times New Roman" w:cs="Times New Roman"/>
          <w:sz w:val="24"/>
          <w:szCs w:val="24"/>
          <w:lang w:val="pt-BR"/>
        </w:rPr>
        <w:t xml:space="preserve"> e Shapiro (2002) apresentaram a tese de que a infraestrutura política é um dos fatores determinantes na atração de IED. O conceito de infraestrutura política utilizada por eles inclui um sistema legal eficiente, estabilidade e credibilidade institucional, além de mercados abertos e livres. Apesar de utilizar uma perspectiva mais restrita a respeito da infraestrutura política, seus resultados corroboram com o fato de que um ambiente político equilibrado é um fator de extrema importância ao lado do tamanho do mercado local para a atração de IED. Já no que diz respeito ao risco político </w:t>
      </w:r>
      <w:proofErr w:type="spellStart"/>
      <w:r w:rsidRPr="00F47284">
        <w:rPr>
          <w:rFonts w:ascii="Times New Roman" w:hAnsi="Times New Roman" w:cs="Times New Roman"/>
          <w:sz w:val="24"/>
          <w:szCs w:val="24"/>
          <w:lang w:val="pt-BR"/>
        </w:rPr>
        <w:t>Busse</w:t>
      </w:r>
      <w:proofErr w:type="spellEnd"/>
      <w:r w:rsidRPr="00F47284">
        <w:rPr>
          <w:rFonts w:ascii="Times New Roman" w:hAnsi="Times New Roman" w:cs="Times New Roman"/>
          <w:sz w:val="24"/>
          <w:szCs w:val="24"/>
          <w:lang w:val="pt-BR"/>
        </w:rPr>
        <w:t xml:space="preserve"> e </w:t>
      </w:r>
      <w:proofErr w:type="spellStart"/>
      <w:r w:rsidRPr="00F47284">
        <w:rPr>
          <w:rFonts w:ascii="Times New Roman" w:hAnsi="Times New Roman" w:cs="Times New Roman"/>
          <w:sz w:val="24"/>
          <w:szCs w:val="24"/>
          <w:lang w:val="pt-BR"/>
        </w:rPr>
        <w:t>Hefeker</w:t>
      </w:r>
      <w:proofErr w:type="spellEnd"/>
      <w:r w:rsidRPr="00F47284">
        <w:rPr>
          <w:rFonts w:ascii="Times New Roman" w:hAnsi="Times New Roman" w:cs="Times New Roman"/>
          <w:sz w:val="24"/>
          <w:szCs w:val="24"/>
          <w:lang w:val="pt-BR"/>
        </w:rPr>
        <w:t xml:space="preserve"> (2005) afirmam que este fator influência nas decisões de alocação do IED e é tão importante quanto o tamanho de um mercado. Sendo assim, os países que apresentam regimes políticos mais sólidos e um ambiente político mais estável conseguem atrair mais investimentos. Do mesmo modo, os países que têm regimes políticos instáveis e incertos acabam tendo dificuldade em atrair investimentos do exterior. O risco político, a garantia de liberdades civis, o respeito aos contratos e a resolução de conflitos, segundo </w:t>
      </w:r>
      <w:proofErr w:type="spellStart"/>
      <w:r w:rsidRPr="00F47284">
        <w:rPr>
          <w:rFonts w:ascii="Times New Roman" w:hAnsi="Times New Roman" w:cs="Times New Roman"/>
          <w:sz w:val="24"/>
          <w:szCs w:val="24"/>
          <w:lang w:val="pt-BR"/>
        </w:rPr>
        <w:t>Athukorala</w:t>
      </w:r>
      <w:proofErr w:type="spellEnd"/>
      <w:r w:rsidRPr="00F47284">
        <w:rPr>
          <w:rFonts w:ascii="Times New Roman" w:hAnsi="Times New Roman" w:cs="Times New Roman"/>
          <w:sz w:val="24"/>
          <w:szCs w:val="24"/>
          <w:lang w:val="pt-BR"/>
        </w:rPr>
        <w:t xml:space="preserve"> et al. (2011), acabam no surgimento de um ambiente jurídico favorável ao IED, e além disso, os acordos preferenciais, bilaterais ou regionais de comércio e investimento influenciam nas estratégias dos investidores estrangeiros. Gijón-</w:t>
      </w:r>
      <w:proofErr w:type="spellStart"/>
      <w:r w:rsidRPr="00F47284">
        <w:rPr>
          <w:rFonts w:ascii="Times New Roman" w:hAnsi="Times New Roman" w:cs="Times New Roman"/>
          <w:sz w:val="24"/>
          <w:szCs w:val="24"/>
          <w:lang w:val="pt-BR"/>
        </w:rPr>
        <w:t>Spalla</w:t>
      </w:r>
      <w:proofErr w:type="spellEnd"/>
      <w:r w:rsidRPr="00F47284">
        <w:rPr>
          <w:rFonts w:ascii="Times New Roman" w:hAnsi="Times New Roman" w:cs="Times New Roman"/>
          <w:sz w:val="24"/>
          <w:szCs w:val="24"/>
          <w:lang w:val="pt-BR"/>
        </w:rPr>
        <w:t xml:space="preserve"> (2004) incorpora em seu estudo, além das </w:t>
      </w:r>
      <w:r w:rsidRPr="00F47284">
        <w:rPr>
          <w:rFonts w:ascii="Times New Roman" w:hAnsi="Times New Roman" w:cs="Times New Roman"/>
          <w:sz w:val="24"/>
          <w:szCs w:val="24"/>
          <w:lang w:val="pt-BR"/>
        </w:rPr>
        <w:lastRenderedPageBreak/>
        <w:t>instituições políticas, o resultado de políticas, como a existência de infraestrutura física, resultado da ação dessas instituições políticas na realidade. Sendo assim, a qualidade das instituições foi identificada como determinante de grande importância em distintas modelagens e com índices de explicação elevados.</w:t>
      </w:r>
    </w:p>
    <w:p w:rsidR="00DF649B" w:rsidRPr="00F47284" w:rsidRDefault="0048407B" w:rsidP="003B78A3">
      <w:pPr>
        <w:pStyle w:val="Pr-formataoHTML"/>
        <w:shd w:val="clear" w:color="auto" w:fill="FFFFFF"/>
        <w:tabs>
          <w:tab w:val="clear" w:pos="916"/>
          <w:tab w:val="left" w:pos="426"/>
        </w:tabs>
        <w:jc w:val="both"/>
        <w:rPr>
          <w:rFonts w:ascii="Times New Roman" w:hAnsi="Times New Roman" w:cs="Times New Roman"/>
          <w:sz w:val="24"/>
          <w:szCs w:val="24"/>
          <w:lang w:val="pt-BR"/>
        </w:rPr>
      </w:pPr>
      <w:r w:rsidRPr="00F47284">
        <w:rPr>
          <w:rFonts w:ascii="Times New Roman" w:hAnsi="Times New Roman" w:cs="Times New Roman"/>
          <w:sz w:val="24"/>
          <w:szCs w:val="24"/>
          <w:lang w:val="pt-BR"/>
        </w:rPr>
        <w:tab/>
      </w:r>
      <w:r w:rsidR="00D65585" w:rsidRPr="00F47284">
        <w:rPr>
          <w:rFonts w:ascii="Times New Roman" w:hAnsi="Times New Roman" w:cs="Times New Roman"/>
          <w:sz w:val="24"/>
          <w:szCs w:val="24"/>
          <w:lang w:val="pt-BR"/>
        </w:rPr>
        <w:t>Apesar das convergências e divergências a respeito do que pode ser considerado como um componente do fator político ou sobre como medi-los, os estudos aqui analisados possuem um núcleo conceitual comum e vêm encontrando evidencias empíricas sobre a importância desse fator na atração de IED. A importância do ambiente político, e do controle de sua instabilidade vem também sendo confirmada em diversas modelagens com amostras para as mais variadas regiões. Contudo, chama a atenção a limitação teórica para explicar os diversos resultados empíricos encontrados.</w:t>
      </w:r>
    </w:p>
    <w:p w:rsidR="0042193C" w:rsidRPr="00F47284" w:rsidRDefault="009873C8" w:rsidP="003B78A3">
      <w:pPr>
        <w:pStyle w:val="Headings1"/>
        <w:spacing w:before="218" w:after="218"/>
        <w:ind w:firstLine="482"/>
        <w:rPr>
          <w:szCs w:val="24"/>
          <w:lang w:val="pt-BR" w:eastAsia="ko-KR"/>
        </w:rPr>
      </w:pPr>
      <w:r w:rsidRPr="00F47284">
        <w:rPr>
          <w:szCs w:val="24"/>
          <w:lang w:val="pt-BR" w:eastAsia="ko-KR"/>
        </w:rPr>
        <w:t>3. Modelo E</w:t>
      </w:r>
      <w:r w:rsidR="00D7684D" w:rsidRPr="00F47284">
        <w:rPr>
          <w:szCs w:val="24"/>
          <w:lang w:val="pt-BR" w:eastAsia="ko-KR"/>
        </w:rPr>
        <w:t>conométrico e Especificação de D</w:t>
      </w:r>
      <w:r w:rsidRPr="00F47284">
        <w:rPr>
          <w:szCs w:val="24"/>
          <w:lang w:val="pt-BR" w:eastAsia="ko-KR"/>
        </w:rPr>
        <w:t>ados</w:t>
      </w:r>
    </w:p>
    <w:p w:rsidR="001E18F4" w:rsidRPr="00F47284" w:rsidRDefault="001E18F4" w:rsidP="003B78A3">
      <w:pPr>
        <w:ind w:firstLine="424"/>
        <w:rPr>
          <w:sz w:val="24"/>
          <w:szCs w:val="24"/>
          <w:lang w:val="pt-BR"/>
        </w:rPr>
      </w:pPr>
      <w:r w:rsidRPr="00F47284">
        <w:rPr>
          <w:sz w:val="24"/>
          <w:szCs w:val="24"/>
          <w:lang w:val="pt-BR"/>
        </w:rPr>
        <w:t>O mode</w:t>
      </w:r>
      <w:r w:rsidR="008903E7" w:rsidRPr="00F47284">
        <w:rPr>
          <w:sz w:val="24"/>
          <w:szCs w:val="24"/>
          <w:lang w:val="pt-BR"/>
        </w:rPr>
        <w:t xml:space="preserve">lo </w:t>
      </w:r>
      <w:r w:rsidRPr="00F47284">
        <w:rPr>
          <w:sz w:val="24"/>
          <w:szCs w:val="24"/>
          <w:lang w:val="pt-BR"/>
        </w:rPr>
        <w:t xml:space="preserve">utilizado como referência para avaliar o papel desempenhado pelas instituições na determinação do IED assume as seguintes formas: </w:t>
      </w:r>
    </w:p>
    <w:p w:rsidR="001E18F4" w:rsidRPr="00F47284" w:rsidRDefault="001E18F4" w:rsidP="003B78A3">
      <w:pPr>
        <w:ind w:firstLine="424"/>
        <w:rPr>
          <w:sz w:val="24"/>
          <w:szCs w:val="24"/>
          <w:lang w:val="pt-BR"/>
        </w:rPr>
      </w:pPr>
      <w:r w:rsidRPr="00F47284">
        <w:rPr>
          <w:sz w:val="24"/>
          <w:szCs w:val="24"/>
          <w:lang w:val="pt-BR"/>
        </w:rPr>
        <w:t>Um primeiro modelo, composto pela equação,</w:t>
      </w:r>
    </w:p>
    <w:p w:rsidR="001E18F4" w:rsidRPr="00F47284" w:rsidRDefault="001E18F4" w:rsidP="003B78A3">
      <w:pPr>
        <w:rPr>
          <w:sz w:val="24"/>
          <w:szCs w:val="24"/>
          <w:lang w:val="pt-BR"/>
        </w:rPr>
      </w:pPr>
    </w:p>
    <w:p w:rsidR="001E18F4" w:rsidRPr="00F47284" w:rsidRDefault="001E18F4" w:rsidP="003B78A3">
      <w:pPr>
        <w:jc w:val="center"/>
        <w:rPr>
          <w:rFonts w:eastAsia="Times New Roman"/>
          <w:sz w:val="24"/>
          <w:szCs w:val="24"/>
          <w:lang w:val="pt-BR"/>
        </w:rPr>
      </w:pPr>
      <w:r w:rsidRPr="00F47284">
        <w:rPr>
          <w:rFonts w:eastAsia="Times New Roman"/>
          <w:sz w:val="24"/>
          <w:szCs w:val="24"/>
          <w:lang w:val="pt-BR"/>
        </w:rPr>
        <w:t xml:space="preserve"> </w:t>
      </w:r>
      <m:oMath>
        <m:sSub>
          <m:sSubPr>
            <m:ctrlPr>
              <w:rPr>
                <w:rFonts w:ascii="Cambria Math" w:hAnsi="Cambria Math"/>
                <w:i/>
                <w:sz w:val="24"/>
                <w:szCs w:val="24"/>
                <w:lang w:val="pt-BR"/>
              </w:rPr>
            </m:ctrlPr>
          </m:sSubPr>
          <m:e>
            <m:r>
              <w:rPr>
                <w:rFonts w:ascii="Cambria Math" w:hAnsi="Cambria Math"/>
                <w:sz w:val="24"/>
                <w:szCs w:val="24"/>
                <w:lang w:val="pt-BR"/>
              </w:rPr>
              <m:t xml:space="preserve"> IED</m:t>
            </m:r>
          </m:e>
          <m:sub>
            <m:r>
              <w:rPr>
                <w:rFonts w:ascii="Cambria Math" w:hAnsi="Cambria Math"/>
                <w:sz w:val="24"/>
                <w:szCs w:val="24"/>
                <w:lang w:val="pt-BR"/>
              </w:rPr>
              <m:t>it</m:t>
            </m:r>
          </m:sub>
        </m:sSub>
        <m:r>
          <w:rPr>
            <w:rFonts w:ascii="Cambria Math" w:hAnsi="Cambria Math"/>
            <w:sz w:val="24"/>
            <w:szCs w:val="24"/>
            <w:lang w:val="pt-BR"/>
          </w:rPr>
          <m:t>=</m:t>
        </m:r>
        <m:sSub>
          <m:sSubPr>
            <m:ctrlPr>
              <w:rPr>
                <w:rFonts w:ascii="Cambria Math" w:hAnsi="Cambria Math"/>
                <w:i/>
                <w:sz w:val="24"/>
                <w:szCs w:val="24"/>
                <w:lang w:val="pt-BR"/>
              </w:rPr>
            </m:ctrlPr>
          </m:sSubPr>
          <m:e>
            <m:r>
              <w:rPr>
                <w:rFonts w:ascii="Cambria Math" w:hAnsi="Cambria Math"/>
                <w:sz w:val="24"/>
                <w:szCs w:val="24"/>
                <w:lang w:val="pt-BR"/>
              </w:rPr>
              <m:t>α</m:t>
            </m:r>
          </m:e>
          <m:sub>
            <m:r>
              <w:rPr>
                <w:rFonts w:ascii="Cambria Math" w:hAnsi="Cambria Math"/>
                <w:sz w:val="24"/>
                <w:szCs w:val="24"/>
                <w:lang w:val="pt-BR"/>
              </w:rPr>
              <m:t>i</m:t>
            </m:r>
          </m:sub>
        </m:sSub>
        <m:r>
          <w:rPr>
            <w:rFonts w:ascii="Cambria Math" w:hAnsi="Cambria Math"/>
            <w:sz w:val="24"/>
            <w:szCs w:val="24"/>
            <w:lang w:val="pt-BR"/>
          </w:rPr>
          <m:t>+</m:t>
        </m:r>
        <m:sSub>
          <m:sSubPr>
            <m:ctrlPr>
              <w:rPr>
                <w:rFonts w:ascii="Cambria Math" w:hAnsi="Cambria Math"/>
                <w:i/>
                <w:sz w:val="24"/>
                <w:szCs w:val="24"/>
                <w:lang w:val="pt-BR"/>
              </w:rPr>
            </m:ctrlPr>
          </m:sSubPr>
          <m:e>
            <m:r>
              <w:rPr>
                <w:rFonts w:ascii="Cambria Math" w:hAnsi="Cambria Math"/>
                <w:sz w:val="24"/>
                <w:szCs w:val="24"/>
                <w:lang w:val="pt-BR"/>
              </w:rPr>
              <m:t>δ</m:t>
            </m:r>
          </m:e>
          <m:sub>
            <m:r>
              <w:rPr>
                <w:rFonts w:ascii="Cambria Math" w:hAnsi="Cambria Math"/>
                <w:sz w:val="24"/>
                <w:szCs w:val="24"/>
                <w:lang w:val="pt-BR"/>
              </w:rPr>
              <m:t>i</m:t>
            </m:r>
          </m:sub>
        </m:sSub>
        <m:r>
          <w:rPr>
            <w:rFonts w:ascii="Cambria Math" w:hAnsi="Cambria Math"/>
            <w:sz w:val="24"/>
            <w:szCs w:val="24"/>
            <w:lang w:val="pt-BR"/>
          </w:rPr>
          <m:t xml:space="preserve"> AmPol+</m:t>
        </m:r>
        <m:sSub>
          <m:sSubPr>
            <m:ctrlPr>
              <w:rPr>
                <w:rFonts w:ascii="Cambria Math" w:hAnsi="Cambria Math"/>
                <w:i/>
                <w:sz w:val="24"/>
                <w:szCs w:val="24"/>
                <w:lang w:val="pt-BR"/>
              </w:rPr>
            </m:ctrlPr>
          </m:sSubPr>
          <m:e>
            <m:r>
              <w:rPr>
                <w:rFonts w:ascii="Cambria Math" w:hAnsi="Cambria Math"/>
                <w:sz w:val="24"/>
                <w:szCs w:val="24"/>
                <w:lang w:val="pt-BR"/>
              </w:rPr>
              <m:t>λ</m:t>
            </m:r>
          </m:e>
          <m:sub>
            <m:r>
              <w:rPr>
                <w:rFonts w:ascii="Cambria Math" w:hAnsi="Cambria Math"/>
                <w:sz w:val="24"/>
                <w:szCs w:val="24"/>
                <w:lang w:val="pt-BR"/>
              </w:rPr>
              <m:t>1</m:t>
            </m:r>
          </m:sub>
        </m:sSub>
        <m:sSub>
          <m:sSubPr>
            <m:ctrlPr>
              <w:rPr>
                <w:rFonts w:ascii="Cambria Math" w:hAnsi="Cambria Math"/>
                <w:sz w:val="24"/>
                <w:szCs w:val="24"/>
                <w:lang w:val="pt-BR" w:eastAsia="pt-BR"/>
              </w:rPr>
            </m:ctrlPr>
          </m:sSubPr>
          <m:e>
            <m:r>
              <w:rPr>
                <w:rFonts w:ascii="Cambria Math" w:hAnsi="Cambria Math"/>
                <w:sz w:val="24"/>
                <w:szCs w:val="24"/>
                <w:lang w:val="pt-BR" w:eastAsia="pt-BR"/>
              </w:rPr>
              <m:t>INF</m:t>
            </m:r>
          </m:e>
          <m:sub>
            <m:r>
              <w:rPr>
                <w:rFonts w:ascii="Cambria Math" w:hAnsi="Cambria Math"/>
                <w:sz w:val="24"/>
                <w:szCs w:val="24"/>
                <w:lang w:val="pt-BR" w:eastAsia="pt-BR"/>
              </w:rPr>
              <m:t>it</m:t>
            </m:r>
          </m:sub>
        </m:sSub>
        <m:r>
          <w:rPr>
            <w:rFonts w:ascii="Cambria Math" w:hAnsi="Cambria Math"/>
            <w:sz w:val="24"/>
            <w:szCs w:val="24"/>
            <w:lang w:val="pt-BR"/>
          </w:rPr>
          <m:t>+</m:t>
        </m:r>
        <m:sSub>
          <m:sSubPr>
            <m:ctrlPr>
              <w:rPr>
                <w:rFonts w:ascii="Cambria Math" w:hAnsi="Cambria Math"/>
                <w:i/>
                <w:sz w:val="24"/>
                <w:szCs w:val="24"/>
                <w:lang w:val="pt-BR"/>
              </w:rPr>
            </m:ctrlPr>
          </m:sSubPr>
          <m:e>
            <m:r>
              <w:rPr>
                <w:rFonts w:ascii="Cambria Math" w:hAnsi="Cambria Math"/>
                <w:sz w:val="24"/>
                <w:szCs w:val="24"/>
                <w:lang w:val="pt-BR"/>
              </w:rPr>
              <m:t>λ</m:t>
            </m:r>
          </m:e>
          <m:sub>
            <m:r>
              <w:rPr>
                <w:rFonts w:ascii="Cambria Math" w:hAnsi="Cambria Math"/>
                <w:sz w:val="24"/>
                <w:szCs w:val="24"/>
                <w:lang w:val="pt-BR"/>
              </w:rPr>
              <m:t>2</m:t>
            </m:r>
          </m:sub>
        </m:sSub>
        <m:sSub>
          <m:sSubPr>
            <m:ctrlPr>
              <w:rPr>
                <w:rFonts w:ascii="Cambria Math" w:hAnsi="Cambria Math"/>
                <w:sz w:val="24"/>
                <w:szCs w:val="24"/>
                <w:lang w:val="pt-BR" w:eastAsia="pt-BR"/>
              </w:rPr>
            </m:ctrlPr>
          </m:sSubPr>
          <m:e>
            <m:r>
              <w:rPr>
                <w:rFonts w:ascii="Cambria Math" w:hAnsi="Cambria Math"/>
                <w:sz w:val="24"/>
                <w:szCs w:val="24"/>
                <w:lang w:val="pt-BR" w:eastAsia="pt-BR"/>
              </w:rPr>
              <m:t>TXCA</m:t>
            </m:r>
          </m:e>
          <m:sub>
            <m:r>
              <w:rPr>
                <w:rFonts w:ascii="Cambria Math" w:hAnsi="Cambria Math"/>
                <w:sz w:val="24"/>
                <w:szCs w:val="24"/>
                <w:lang w:val="pt-BR" w:eastAsia="pt-BR"/>
              </w:rPr>
              <m:t>it</m:t>
            </m:r>
          </m:sub>
        </m:sSub>
        <m:r>
          <m:rPr>
            <m:sty m:val="p"/>
          </m:rPr>
          <w:rPr>
            <w:rFonts w:ascii="Cambria Math" w:hAnsi="Cambria Math"/>
            <w:sz w:val="24"/>
            <w:szCs w:val="24"/>
            <w:lang w:val="pt-BR" w:eastAsia="pt-BR"/>
          </w:rPr>
          <m:t>+</m:t>
        </m:r>
        <m:sSub>
          <m:sSubPr>
            <m:ctrlPr>
              <w:rPr>
                <w:rFonts w:ascii="Cambria Math" w:hAnsi="Cambria Math"/>
                <w:i/>
                <w:sz w:val="24"/>
                <w:szCs w:val="24"/>
                <w:lang w:val="pt-BR"/>
              </w:rPr>
            </m:ctrlPr>
          </m:sSubPr>
          <m:e>
            <m:r>
              <w:rPr>
                <w:rFonts w:ascii="Cambria Math" w:hAnsi="Cambria Math"/>
                <w:sz w:val="24"/>
                <w:szCs w:val="24"/>
                <w:lang w:val="pt-BR"/>
              </w:rPr>
              <m:t>λ</m:t>
            </m:r>
          </m:e>
          <m:sub>
            <m:r>
              <w:rPr>
                <w:rFonts w:ascii="Cambria Math" w:hAnsi="Cambria Math"/>
                <w:sz w:val="24"/>
                <w:szCs w:val="24"/>
                <w:lang w:val="pt-BR"/>
              </w:rPr>
              <m:t>3</m:t>
            </m:r>
          </m:sub>
        </m:sSub>
        <m:sSub>
          <m:sSubPr>
            <m:ctrlPr>
              <w:rPr>
                <w:rFonts w:ascii="Cambria Math" w:hAnsi="Cambria Math"/>
                <w:sz w:val="24"/>
                <w:szCs w:val="24"/>
                <w:lang w:val="pt-BR" w:eastAsia="pt-BR"/>
              </w:rPr>
            </m:ctrlPr>
          </m:sSubPr>
          <m:e>
            <m:r>
              <w:rPr>
                <w:rFonts w:ascii="Cambria Math" w:hAnsi="Cambria Math"/>
                <w:sz w:val="24"/>
                <w:szCs w:val="24"/>
                <w:lang w:val="pt-BR" w:eastAsia="pt-BR"/>
              </w:rPr>
              <m:t>FBDC</m:t>
            </m:r>
          </m:e>
          <m:sub>
            <m:r>
              <w:rPr>
                <w:rFonts w:ascii="Cambria Math" w:hAnsi="Cambria Math"/>
                <w:sz w:val="24"/>
                <w:szCs w:val="24"/>
                <w:lang w:val="pt-BR" w:eastAsia="pt-BR"/>
              </w:rPr>
              <m:t>it</m:t>
            </m:r>
          </m:sub>
        </m:sSub>
        <m:r>
          <w:rPr>
            <w:rFonts w:ascii="Cambria Math" w:hAnsi="Cambria Math"/>
            <w:sz w:val="24"/>
            <w:szCs w:val="24"/>
            <w:lang w:val="pt-BR"/>
          </w:rPr>
          <m:t>+</m:t>
        </m:r>
        <m:sSub>
          <m:sSubPr>
            <m:ctrlPr>
              <w:rPr>
                <w:rFonts w:ascii="Cambria Math" w:hAnsi="Cambria Math"/>
                <w:i/>
                <w:sz w:val="24"/>
                <w:szCs w:val="24"/>
                <w:lang w:val="pt-BR"/>
              </w:rPr>
            </m:ctrlPr>
          </m:sSubPr>
          <m:e>
            <m:r>
              <w:rPr>
                <w:rFonts w:ascii="Cambria Math" w:hAnsi="Cambria Math"/>
                <w:sz w:val="24"/>
                <w:szCs w:val="24"/>
                <w:lang w:val="pt-BR"/>
              </w:rPr>
              <m:t>λ</m:t>
            </m:r>
          </m:e>
          <m:sub>
            <m:r>
              <w:rPr>
                <w:rFonts w:ascii="Cambria Math" w:hAnsi="Cambria Math"/>
                <w:sz w:val="24"/>
                <w:szCs w:val="24"/>
                <w:lang w:val="pt-BR"/>
              </w:rPr>
              <m:t>4</m:t>
            </m:r>
          </m:sub>
        </m:sSub>
        <m:sSub>
          <m:sSubPr>
            <m:ctrlPr>
              <w:rPr>
                <w:rFonts w:ascii="Cambria Math" w:hAnsi="Cambria Math"/>
                <w:sz w:val="24"/>
                <w:szCs w:val="24"/>
                <w:lang w:val="pt-BR" w:eastAsia="pt-BR"/>
              </w:rPr>
            </m:ctrlPr>
          </m:sSubPr>
          <m:e>
            <m:r>
              <w:rPr>
                <w:rFonts w:ascii="Cambria Math" w:hAnsi="Cambria Math"/>
                <w:sz w:val="24"/>
                <w:szCs w:val="24"/>
                <w:lang w:val="pt-BR" w:eastAsia="pt-BR"/>
              </w:rPr>
              <m:t>TXCPIB</m:t>
            </m:r>
          </m:e>
          <m:sub>
            <m:r>
              <w:rPr>
                <w:rFonts w:ascii="Cambria Math" w:hAnsi="Cambria Math"/>
                <w:sz w:val="24"/>
                <w:szCs w:val="24"/>
                <w:lang w:val="pt-BR" w:eastAsia="pt-BR"/>
              </w:rPr>
              <m:t>it</m:t>
            </m:r>
          </m:sub>
        </m:sSub>
        <m:r>
          <w:rPr>
            <w:rFonts w:ascii="Cambria Math" w:hAnsi="Cambria Math"/>
            <w:sz w:val="24"/>
            <w:szCs w:val="24"/>
            <w:lang w:val="pt-BR"/>
          </w:rPr>
          <m:t>+</m:t>
        </m:r>
        <m:sSub>
          <m:sSubPr>
            <m:ctrlPr>
              <w:rPr>
                <w:rFonts w:ascii="Cambria Math" w:hAnsi="Cambria Math"/>
                <w:i/>
                <w:sz w:val="24"/>
                <w:szCs w:val="24"/>
                <w:lang w:val="pt-BR"/>
              </w:rPr>
            </m:ctrlPr>
          </m:sSubPr>
          <m:e>
            <m:r>
              <w:rPr>
                <w:rFonts w:ascii="Cambria Math" w:hAnsi="Cambria Math"/>
                <w:sz w:val="24"/>
                <w:szCs w:val="24"/>
                <w:lang w:val="pt-BR"/>
              </w:rPr>
              <m:t>u</m:t>
            </m:r>
          </m:e>
          <m:sub>
            <m:r>
              <w:rPr>
                <w:rFonts w:ascii="Cambria Math" w:hAnsi="Cambria Math"/>
                <w:sz w:val="24"/>
                <w:szCs w:val="24"/>
                <w:lang w:val="pt-BR"/>
              </w:rPr>
              <m:t>it</m:t>
            </m:r>
          </m:sub>
        </m:sSub>
      </m:oMath>
      <w:r w:rsidRPr="00F47284">
        <w:rPr>
          <w:rFonts w:eastAsia="Times New Roman"/>
          <w:sz w:val="24"/>
          <w:szCs w:val="24"/>
          <w:lang w:val="pt-BR"/>
        </w:rPr>
        <w:t>.     (2)</w:t>
      </w:r>
    </w:p>
    <w:p w:rsidR="00BC222C" w:rsidRPr="00F47284" w:rsidRDefault="00BC222C" w:rsidP="003B78A3">
      <w:pPr>
        <w:jc w:val="left"/>
        <w:rPr>
          <w:rFonts w:eastAsia="Times New Roman"/>
          <w:sz w:val="24"/>
          <w:szCs w:val="24"/>
          <w:lang w:val="pt-BR"/>
        </w:rPr>
      </w:pPr>
    </w:p>
    <w:p w:rsidR="001E18F4" w:rsidRPr="00F47284" w:rsidRDefault="00BC222C" w:rsidP="003B78A3">
      <w:pPr>
        <w:ind w:firstLine="424"/>
        <w:rPr>
          <w:rFonts w:eastAsia="Times New Roman"/>
          <w:sz w:val="24"/>
          <w:szCs w:val="24"/>
          <w:lang w:val="pt-BR"/>
        </w:rPr>
      </w:pPr>
      <w:r w:rsidRPr="00F47284">
        <w:rPr>
          <w:rFonts w:eastAsia="Times New Roman"/>
          <w:sz w:val="24"/>
          <w:szCs w:val="24"/>
          <w:lang w:val="pt-BR"/>
        </w:rPr>
        <w:t xml:space="preserve">Onde IED, a variável dependente, refere-se ao Investimento Externo Direto, descontado os desinvestimentos. </w:t>
      </w:r>
      <w:proofErr w:type="spellStart"/>
      <w:r w:rsidRPr="00F47284">
        <w:rPr>
          <w:rFonts w:eastAsia="Times New Roman"/>
          <w:sz w:val="24"/>
          <w:szCs w:val="24"/>
          <w:lang w:val="pt-BR"/>
        </w:rPr>
        <w:t>AmPol</w:t>
      </w:r>
      <w:proofErr w:type="spellEnd"/>
      <w:r w:rsidRPr="00F47284">
        <w:rPr>
          <w:rFonts w:eastAsia="Times New Roman"/>
          <w:sz w:val="24"/>
          <w:szCs w:val="24"/>
          <w:lang w:val="pt-BR"/>
        </w:rPr>
        <w:t xml:space="preserve">, a variável institucional de interesse, representa o ambiente político, coletada do relatório internacional </w:t>
      </w:r>
      <w:r w:rsidRPr="00F47284">
        <w:rPr>
          <w:rFonts w:eastAsia="Times New Roman"/>
          <w:i/>
          <w:sz w:val="24"/>
          <w:szCs w:val="24"/>
          <w:lang w:val="pt-BR"/>
        </w:rPr>
        <w:t xml:space="preserve">The Global </w:t>
      </w:r>
      <w:proofErr w:type="spellStart"/>
      <w:r w:rsidRPr="00F47284">
        <w:rPr>
          <w:rFonts w:eastAsia="Times New Roman"/>
          <w:i/>
          <w:sz w:val="24"/>
          <w:szCs w:val="24"/>
          <w:lang w:val="pt-BR"/>
        </w:rPr>
        <w:t>Innovation</w:t>
      </w:r>
      <w:proofErr w:type="spellEnd"/>
      <w:r w:rsidRPr="00F47284">
        <w:rPr>
          <w:rFonts w:eastAsia="Times New Roman"/>
          <w:i/>
          <w:sz w:val="24"/>
          <w:szCs w:val="24"/>
          <w:lang w:val="pt-BR"/>
        </w:rPr>
        <w:t xml:space="preserve"> Index</w:t>
      </w:r>
      <w:r w:rsidRPr="00F47284">
        <w:rPr>
          <w:rFonts w:eastAsia="Times New Roman"/>
          <w:sz w:val="24"/>
          <w:szCs w:val="24"/>
          <w:lang w:val="pt-BR"/>
        </w:rPr>
        <w:t xml:space="preserve">. E as quatro variáveis de controle seguintes são, </w:t>
      </w:r>
      <w:proofErr w:type="spellStart"/>
      <w:r w:rsidRPr="00F47284">
        <w:rPr>
          <w:rFonts w:eastAsia="Times New Roman"/>
          <w:sz w:val="24"/>
          <w:szCs w:val="24"/>
          <w:lang w:val="pt-BR"/>
        </w:rPr>
        <w:t>Inf</w:t>
      </w:r>
      <w:proofErr w:type="spellEnd"/>
      <w:r w:rsidRPr="00F47284">
        <w:rPr>
          <w:rFonts w:eastAsia="Times New Roman"/>
          <w:sz w:val="24"/>
          <w:szCs w:val="24"/>
          <w:lang w:val="pt-BR"/>
        </w:rPr>
        <w:t xml:space="preserve">, </w:t>
      </w:r>
      <w:proofErr w:type="spellStart"/>
      <w:r w:rsidRPr="00F47284">
        <w:rPr>
          <w:rFonts w:eastAsia="Times New Roman"/>
          <w:sz w:val="24"/>
          <w:szCs w:val="24"/>
          <w:lang w:val="pt-BR"/>
        </w:rPr>
        <w:t>Inflção</w:t>
      </w:r>
      <w:proofErr w:type="spellEnd"/>
      <w:r w:rsidRPr="00F47284">
        <w:rPr>
          <w:rFonts w:eastAsia="Times New Roman"/>
          <w:sz w:val="24"/>
          <w:szCs w:val="24"/>
          <w:lang w:val="pt-BR"/>
        </w:rPr>
        <w:t xml:space="preserve">; </w:t>
      </w:r>
      <w:proofErr w:type="spellStart"/>
      <w:r w:rsidRPr="00F47284">
        <w:rPr>
          <w:rFonts w:eastAsia="Times New Roman"/>
          <w:sz w:val="24"/>
          <w:szCs w:val="24"/>
          <w:lang w:val="pt-BR"/>
        </w:rPr>
        <w:t>TxCa</w:t>
      </w:r>
      <w:proofErr w:type="spellEnd"/>
      <w:r w:rsidRPr="00F47284">
        <w:rPr>
          <w:rFonts w:eastAsia="Times New Roman"/>
          <w:sz w:val="24"/>
          <w:szCs w:val="24"/>
          <w:lang w:val="pt-BR"/>
        </w:rPr>
        <w:t xml:space="preserve">, Taxa de Câmbio; </w:t>
      </w:r>
      <w:proofErr w:type="spellStart"/>
      <w:r w:rsidRPr="00F47284">
        <w:rPr>
          <w:rFonts w:eastAsia="Times New Roman"/>
          <w:sz w:val="24"/>
          <w:szCs w:val="24"/>
          <w:lang w:val="pt-BR"/>
        </w:rPr>
        <w:t>Fbdc</w:t>
      </w:r>
      <w:proofErr w:type="spellEnd"/>
      <w:r w:rsidRPr="00F47284">
        <w:rPr>
          <w:rFonts w:eastAsia="Times New Roman"/>
          <w:sz w:val="24"/>
          <w:szCs w:val="24"/>
          <w:lang w:val="pt-BR"/>
        </w:rPr>
        <w:t xml:space="preserve">, Formação bruta de capital e </w:t>
      </w:r>
      <w:proofErr w:type="spellStart"/>
      <w:r w:rsidRPr="00F47284">
        <w:rPr>
          <w:rFonts w:eastAsia="Times New Roman"/>
          <w:sz w:val="24"/>
          <w:szCs w:val="24"/>
          <w:lang w:val="pt-BR"/>
        </w:rPr>
        <w:t>TxcPib</w:t>
      </w:r>
      <w:proofErr w:type="spellEnd"/>
      <w:r w:rsidRPr="00F47284">
        <w:rPr>
          <w:rFonts w:eastAsia="Times New Roman"/>
          <w:sz w:val="24"/>
          <w:szCs w:val="24"/>
          <w:lang w:val="pt-BR"/>
        </w:rPr>
        <w:t xml:space="preserve">, Taxa de crescimento do PIB. </w:t>
      </w:r>
    </w:p>
    <w:p w:rsidR="001E18F4" w:rsidRPr="00F47284" w:rsidRDefault="001E18F4" w:rsidP="003B78A3">
      <w:pPr>
        <w:ind w:firstLine="424"/>
        <w:rPr>
          <w:rFonts w:eastAsia="Times New Roman"/>
          <w:sz w:val="24"/>
          <w:szCs w:val="24"/>
          <w:lang w:val="pt-BR"/>
        </w:rPr>
      </w:pPr>
      <w:r w:rsidRPr="00F47284">
        <w:rPr>
          <w:rFonts w:eastAsia="Times New Roman"/>
          <w:sz w:val="24"/>
          <w:szCs w:val="24"/>
          <w:lang w:val="pt-BR"/>
        </w:rPr>
        <w:t>E um segundo modelo, que possui</w:t>
      </w:r>
      <w:r w:rsidR="002E069F" w:rsidRPr="00F47284">
        <w:rPr>
          <w:rFonts w:eastAsia="Times New Roman"/>
          <w:sz w:val="24"/>
          <w:szCs w:val="24"/>
          <w:lang w:val="pt-BR"/>
        </w:rPr>
        <w:t xml:space="preserve"> as mesmas variáveis de controle e dependente,</w:t>
      </w:r>
      <w:r w:rsidRPr="00F47284">
        <w:rPr>
          <w:rFonts w:eastAsia="Times New Roman"/>
          <w:sz w:val="24"/>
          <w:szCs w:val="24"/>
          <w:lang w:val="pt-BR"/>
        </w:rPr>
        <w:t xml:space="preserve"> </w:t>
      </w:r>
      <w:r w:rsidR="002E069F" w:rsidRPr="00F47284">
        <w:rPr>
          <w:rFonts w:eastAsia="Times New Roman"/>
          <w:sz w:val="24"/>
          <w:szCs w:val="24"/>
          <w:lang w:val="pt-BR"/>
        </w:rPr>
        <w:t>diferindo no fato de que a</w:t>
      </w:r>
      <w:r w:rsidRPr="00F47284">
        <w:rPr>
          <w:rFonts w:eastAsia="Times New Roman"/>
          <w:sz w:val="24"/>
          <w:szCs w:val="24"/>
          <w:lang w:val="pt-BR"/>
        </w:rPr>
        <w:t xml:space="preserve"> variável </w:t>
      </w:r>
      <w:r w:rsidR="002E069F" w:rsidRPr="00F47284">
        <w:rPr>
          <w:rFonts w:eastAsia="Times New Roman"/>
          <w:sz w:val="24"/>
          <w:szCs w:val="24"/>
          <w:lang w:val="pt-BR"/>
        </w:rPr>
        <w:t xml:space="preserve">institucional </w:t>
      </w:r>
      <w:r w:rsidRPr="00F47284">
        <w:rPr>
          <w:rFonts w:eastAsia="Times New Roman"/>
          <w:sz w:val="24"/>
          <w:szCs w:val="24"/>
          <w:lang w:val="pt-BR"/>
        </w:rPr>
        <w:t>de interesse a</w:t>
      </w:r>
      <w:r w:rsidR="002E069F" w:rsidRPr="00F47284">
        <w:rPr>
          <w:rFonts w:eastAsia="Times New Roman"/>
          <w:sz w:val="24"/>
          <w:szCs w:val="24"/>
          <w:lang w:val="pt-BR"/>
        </w:rPr>
        <w:t>gora será a</w:t>
      </w:r>
      <w:r w:rsidRPr="00F47284">
        <w:rPr>
          <w:rFonts w:eastAsia="Times New Roman"/>
          <w:sz w:val="24"/>
          <w:szCs w:val="24"/>
          <w:lang w:val="pt-BR"/>
        </w:rPr>
        <w:t xml:space="preserve"> Estabilidade Política (</w:t>
      </w:r>
      <w:proofErr w:type="spellStart"/>
      <w:r w:rsidRPr="00F47284">
        <w:rPr>
          <w:rFonts w:eastAsia="Times New Roman"/>
          <w:sz w:val="24"/>
          <w:szCs w:val="24"/>
          <w:lang w:val="pt-BR"/>
        </w:rPr>
        <w:t>EstPol</w:t>
      </w:r>
      <w:proofErr w:type="spellEnd"/>
      <w:r w:rsidRPr="00F47284">
        <w:rPr>
          <w:rFonts w:eastAsia="Times New Roman"/>
          <w:sz w:val="24"/>
          <w:szCs w:val="24"/>
          <w:lang w:val="pt-BR"/>
        </w:rPr>
        <w:t>), composto pela equação,</w:t>
      </w:r>
    </w:p>
    <w:p w:rsidR="001E18F4" w:rsidRPr="00F47284" w:rsidRDefault="001E18F4" w:rsidP="003B78A3">
      <w:pPr>
        <w:rPr>
          <w:rFonts w:eastAsia="Times New Roman"/>
          <w:sz w:val="24"/>
          <w:szCs w:val="24"/>
          <w:lang w:val="pt-BR"/>
        </w:rPr>
      </w:pPr>
    </w:p>
    <w:p w:rsidR="001E18F4" w:rsidRPr="00F47284" w:rsidRDefault="00C52A18" w:rsidP="003B78A3">
      <w:pPr>
        <w:jc w:val="center"/>
        <w:rPr>
          <w:rFonts w:eastAsia="Times New Roman"/>
          <w:sz w:val="24"/>
          <w:szCs w:val="24"/>
          <w:lang w:val="pt-BR"/>
        </w:rPr>
      </w:pPr>
      <m:oMath>
        <m:sSub>
          <m:sSubPr>
            <m:ctrlPr>
              <w:rPr>
                <w:rFonts w:ascii="Cambria Math" w:hAnsi="Cambria Math"/>
                <w:i/>
                <w:sz w:val="24"/>
                <w:szCs w:val="24"/>
                <w:lang w:val="pt-BR"/>
              </w:rPr>
            </m:ctrlPr>
          </m:sSubPr>
          <m:e>
            <m:r>
              <w:rPr>
                <w:rFonts w:ascii="Cambria Math" w:hAnsi="Cambria Math"/>
                <w:sz w:val="24"/>
                <w:szCs w:val="24"/>
                <w:lang w:val="pt-BR"/>
              </w:rPr>
              <m:t xml:space="preserve"> IED</m:t>
            </m:r>
          </m:e>
          <m:sub>
            <m:r>
              <w:rPr>
                <w:rFonts w:ascii="Cambria Math" w:hAnsi="Cambria Math"/>
                <w:sz w:val="24"/>
                <w:szCs w:val="24"/>
                <w:lang w:val="pt-BR"/>
              </w:rPr>
              <m:t>it</m:t>
            </m:r>
          </m:sub>
        </m:sSub>
        <m:r>
          <w:rPr>
            <w:rFonts w:ascii="Cambria Math" w:hAnsi="Cambria Math"/>
            <w:sz w:val="24"/>
            <w:szCs w:val="24"/>
            <w:lang w:val="pt-BR"/>
          </w:rPr>
          <m:t>=</m:t>
        </m:r>
        <m:sSub>
          <m:sSubPr>
            <m:ctrlPr>
              <w:rPr>
                <w:rFonts w:ascii="Cambria Math" w:hAnsi="Cambria Math"/>
                <w:i/>
                <w:sz w:val="24"/>
                <w:szCs w:val="24"/>
                <w:lang w:val="pt-BR"/>
              </w:rPr>
            </m:ctrlPr>
          </m:sSubPr>
          <m:e>
            <m:r>
              <w:rPr>
                <w:rFonts w:ascii="Cambria Math" w:hAnsi="Cambria Math"/>
                <w:sz w:val="24"/>
                <w:szCs w:val="24"/>
                <w:lang w:val="pt-BR"/>
              </w:rPr>
              <m:t>α</m:t>
            </m:r>
          </m:e>
          <m:sub>
            <m:r>
              <w:rPr>
                <w:rFonts w:ascii="Cambria Math" w:hAnsi="Cambria Math"/>
                <w:sz w:val="24"/>
                <w:szCs w:val="24"/>
                <w:lang w:val="pt-BR"/>
              </w:rPr>
              <m:t>i</m:t>
            </m:r>
          </m:sub>
        </m:sSub>
        <m:r>
          <w:rPr>
            <w:rFonts w:ascii="Cambria Math" w:hAnsi="Cambria Math"/>
            <w:sz w:val="24"/>
            <w:szCs w:val="24"/>
            <w:lang w:val="pt-BR"/>
          </w:rPr>
          <m:t>+</m:t>
        </m:r>
        <m:sSub>
          <m:sSubPr>
            <m:ctrlPr>
              <w:rPr>
                <w:rFonts w:ascii="Cambria Math" w:hAnsi="Cambria Math"/>
                <w:i/>
                <w:sz w:val="24"/>
                <w:szCs w:val="24"/>
                <w:lang w:val="pt-BR"/>
              </w:rPr>
            </m:ctrlPr>
          </m:sSubPr>
          <m:e>
            <m:r>
              <w:rPr>
                <w:rFonts w:ascii="Cambria Math" w:hAnsi="Cambria Math"/>
                <w:sz w:val="24"/>
                <w:szCs w:val="24"/>
                <w:lang w:val="pt-BR"/>
              </w:rPr>
              <m:t>δ</m:t>
            </m:r>
          </m:e>
          <m:sub>
            <m:r>
              <w:rPr>
                <w:rFonts w:ascii="Cambria Math" w:hAnsi="Cambria Math"/>
                <w:sz w:val="24"/>
                <w:szCs w:val="24"/>
                <w:lang w:val="pt-BR"/>
              </w:rPr>
              <m:t>i</m:t>
            </m:r>
          </m:sub>
        </m:sSub>
        <m:r>
          <w:rPr>
            <w:rFonts w:ascii="Cambria Math" w:hAnsi="Cambria Math"/>
            <w:sz w:val="24"/>
            <w:szCs w:val="24"/>
            <w:lang w:val="pt-BR"/>
          </w:rPr>
          <m:t xml:space="preserve"> EstPol+</m:t>
        </m:r>
        <m:sSub>
          <m:sSubPr>
            <m:ctrlPr>
              <w:rPr>
                <w:rFonts w:ascii="Cambria Math" w:hAnsi="Cambria Math"/>
                <w:i/>
                <w:sz w:val="24"/>
                <w:szCs w:val="24"/>
                <w:lang w:val="pt-BR"/>
              </w:rPr>
            </m:ctrlPr>
          </m:sSubPr>
          <m:e>
            <m:r>
              <w:rPr>
                <w:rFonts w:ascii="Cambria Math" w:hAnsi="Cambria Math"/>
                <w:sz w:val="24"/>
                <w:szCs w:val="24"/>
                <w:lang w:val="pt-BR"/>
              </w:rPr>
              <m:t>λ</m:t>
            </m:r>
          </m:e>
          <m:sub>
            <m:r>
              <w:rPr>
                <w:rFonts w:ascii="Cambria Math" w:hAnsi="Cambria Math"/>
                <w:sz w:val="24"/>
                <w:szCs w:val="24"/>
                <w:lang w:val="pt-BR"/>
              </w:rPr>
              <m:t>1</m:t>
            </m:r>
          </m:sub>
        </m:sSub>
        <m:sSub>
          <m:sSubPr>
            <m:ctrlPr>
              <w:rPr>
                <w:rFonts w:ascii="Cambria Math" w:hAnsi="Cambria Math"/>
                <w:sz w:val="24"/>
                <w:szCs w:val="24"/>
                <w:lang w:val="pt-BR" w:eastAsia="pt-BR"/>
              </w:rPr>
            </m:ctrlPr>
          </m:sSubPr>
          <m:e>
            <m:r>
              <w:rPr>
                <w:rFonts w:ascii="Cambria Math" w:hAnsi="Cambria Math"/>
                <w:sz w:val="24"/>
                <w:szCs w:val="24"/>
                <w:lang w:val="pt-BR" w:eastAsia="pt-BR"/>
              </w:rPr>
              <m:t>INF</m:t>
            </m:r>
          </m:e>
          <m:sub>
            <m:r>
              <w:rPr>
                <w:rFonts w:ascii="Cambria Math" w:hAnsi="Cambria Math"/>
                <w:sz w:val="24"/>
                <w:szCs w:val="24"/>
                <w:lang w:val="pt-BR" w:eastAsia="pt-BR"/>
              </w:rPr>
              <m:t>it</m:t>
            </m:r>
          </m:sub>
        </m:sSub>
        <m:r>
          <w:rPr>
            <w:rFonts w:ascii="Cambria Math" w:hAnsi="Cambria Math"/>
            <w:sz w:val="24"/>
            <w:szCs w:val="24"/>
            <w:lang w:val="pt-BR"/>
          </w:rPr>
          <m:t>+</m:t>
        </m:r>
        <m:sSub>
          <m:sSubPr>
            <m:ctrlPr>
              <w:rPr>
                <w:rFonts w:ascii="Cambria Math" w:hAnsi="Cambria Math"/>
                <w:i/>
                <w:sz w:val="24"/>
                <w:szCs w:val="24"/>
                <w:lang w:val="pt-BR"/>
              </w:rPr>
            </m:ctrlPr>
          </m:sSubPr>
          <m:e>
            <m:r>
              <w:rPr>
                <w:rFonts w:ascii="Cambria Math" w:hAnsi="Cambria Math"/>
                <w:sz w:val="24"/>
                <w:szCs w:val="24"/>
                <w:lang w:val="pt-BR"/>
              </w:rPr>
              <m:t>λ</m:t>
            </m:r>
          </m:e>
          <m:sub>
            <m:r>
              <w:rPr>
                <w:rFonts w:ascii="Cambria Math" w:hAnsi="Cambria Math"/>
                <w:sz w:val="24"/>
                <w:szCs w:val="24"/>
                <w:lang w:val="pt-BR"/>
              </w:rPr>
              <m:t>2</m:t>
            </m:r>
          </m:sub>
        </m:sSub>
        <m:sSub>
          <m:sSubPr>
            <m:ctrlPr>
              <w:rPr>
                <w:rFonts w:ascii="Cambria Math" w:hAnsi="Cambria Math"/>
                <w:sz w:val="24"/>
                <w:szCs w:val="24"/>
                <w:lang w:val="pt-BR" w:eastAsia="pt-BR"/>
              </w:rPr>
            </m:ctrlPr>
          </m:sSubPr>
          <m:e>
            <m:r>
              <w:rPr>
                <w:rFonts w:ascii="Cambria Math" w:hAnsi="Cambria Math"/>
                <w:sz w:val="24"/>
                <w:szCs w:val="24"/>
                <w:lang w:val="pt-BR" w:eastAsia="pt-BR"/>
              </w:rPr>
              <m:t>TXCA</m:t>
            </m:r>
          </m:e>
          <m:sub>
            <m:r>
              <w:rPr>
                <w:rFonts w:ascii="Cambria Math" w:hAnsi="Cambria Math"/>
                <w:sz w:val="24"/>
                <w:szCs w:val="24"/>
                <w:lang w:val="pt-BR" w:eastAsia="pt-BR"/>
              </w:rPr>
              <m:t>it</m:t>
            </m:r>
          </m:sub>
        </m:sSub>
        <m:r>
          <m:rPr>
            <m:sty m:val="p"/>
          </m:rPr>
          <w:rPr>
            <w:rFonts w:ascii="Cambria Math" w:hAnsi="Cambria Math"/>
            <w:sz w:val="24"/>
            <w:szCs w:val="24"/>
            <w:lang w:val="pt-BR" w:eastAsia="pt-BR"/>
          </w:rPr>
          <m:t>+</m:t>
        </m:r>
        <m:sSub>
          <m:sSubPr>
            <m:ctrlPr>
              <w:rPr>
                <w:rFonts w:ascii="Cambria Math" w:hAnsi="Cambria Math"/>
                <w:i/>
                <w:sz w:val="24"/>
                <w:szCs w:val="24"/>
                <w:lang w:val="pt-BR"/>
              </w:rPr>
            </m:ctrlPr>
          </m:sSubPr>
          <m:e>
            <m:r>
              <w:rPr>
                <w:rFonts w:ascii="Cambria Math" w:hAnsi="Cambria Math"/>
                <w:sz w:val="24"/>
                <w:szCs w:val="24"/>
                <w:lang w:val="pt-BR"/>
              </w:rPr>
              <m:t>λ</m:t>
            </m:r>
          </m:e>
          <m:sub>
            <m:r>
              <w:rPr>
                <w:rFonts w:ascii="Cambria Math" w:hAnsi="Cambria Math"/>
                <w:sz w:val="24"/>
                <w:szCs w:val="24"/>
                <w:lang w:val="pt-BR"/>
              </w:rPr>
              <m:t>3</m:t>
            </m:r>
          </m:sub>
        </m:sSub>
        <m:sSub>
          <m:sSubPr>
            <m:ctrlPr>
              <w:rPr>
                <w:rFonts w:ascii="Cambria Math" w:hAnsi="Cambria Math"/>
                <w:sz w:val="24"/>
                <w:szCs w:val="24"/>
                <w:lang w:val="pt-BR" w:eastAsia="pt-BR"/>
              </w:rPr>
            </m:ctrlPr>
          </m:sSubPr>
          <m:e>
            <m:r>
              <w:rPr>
                <w:rFonts w:ascii="Cambria Math" w:hAnsi="Cambria Math"/>
                <w:sz w:val="24"/>
                <w:szCs w:val="24"/>
                <w:lang w:val="pt-BR" w:eastAsia="pt-BR"/>
              </w:rPr>
              <m:t>FBDC</m:t>
            </m:r>
          </m:e>
          <m:sub>
            <m:r>
              <w:rPr>
                <w:rFonts w:ascii="Cambria Math" w:hAnsi="Cambria Math"/>
                <w:sz w:val="24"/>
                <w:szCs w:val="24"/>
                <w:lang w:val="pt-BR" w:eastAsia="pt-BR"/>
              </w:rPr>
              <m:t>it</m:t>
            </m:r>
          </m:sub>
        </m:sSub>
        <m:r>
          <w:rPr>
            <w:rFonts w:ascii="Cambria Math" w:hAnsi="Cambria Math"/>
            <w:sz w:val="24"/>
            <w:szCs w:val="24"/>
            <w:lang w:val="pt-BR"/>
          </w:rPr>
          <m:t>+</m:t>
        </m:r>
        <m:sSub>
          <m:sSubPr>
            <m:ctrlPr>
              <w:rPr>
                <w:rFonts w:ascii="Cambria Math" w:hAnsi="Cambria Math"/>
                <w:i/>
                <w:sz w:val="24"/>
                <w:szCs w:val="24"/>
                <w:lang w:val="pt-BR"/>
              </w:rPr>
            </m:ctrlPr>
          </m:sSubPr>
          <m:e>
            <m:r>
              <w:rPr>
                <w:rFonts w:ascii="Cambria Math" w:hAnsi="Cambria Math"/>
                <w:sz w:val="24"/>
                <w:szCs w:val="24"/>
                <w:lang w:val="pt-BR"/>
              </w:rPr>
              <m:t>λ</m:t>
            </m:r>
          </m:e>
          <m:sub>
            <m:r>
              <w:rPr>
                <w:rFonts w:ascii="Cambria Math" w:hAnsi="Cambria Math"/>
                <w:sz w:val="24"/>
                <w:szCs w:val="24"/>
                <w:lang w:val="pt-BR"/>
              </w:rPr>
              <m:t>4</m:t>
            </m:r>
          </m:sub>
        </m:sSub>
        <m:sSub>
          <m:sSubPr>
            <m:ctrlPr>
              <w:rPr>
                <w:rFonts w:ascii="Cambria Math" w:hAnsi="Cambria Math"/>
                <w:sz w:val="24"/>
                <w:szCs w:val="24"/>
                <w:lang w:val="pt-BR" w:eastAsia="pt-BR"/>
              </w:rPr>
            </m:ctrlPr>
          </m:sSubPr>
          <m:e>
            <m:r>
              <w:rPr>
                <w:rFonts w:ascii="Cambria Math" w:hAnsi="Cambria Math"/>
                <w:sz w:val="24"/>
                <w:szCs w:val="24"/>
                <w:lang w:val="pt-BR" w:eastAsia="pt-BR"/>
              </w:rPr>
              <m:t>TXCPIB</m:t>
            </m:r>
          </m:e>
          <m:sub>
            <m:r>
              <w:rPr>
                <w:rFonts w:ascii="Cambria Math" w:hAnsi="Cambria Math"/>
                <w:sz w:val="24"/>
                <w:szCs w:val="24"/>
                <w:lang w:val="pt-BR" w:eastAsia="pt-BR"/>
              </w:rPr>
              <m:t>it</m:t>
            </m:r>
          </m:sub>
        </m:sSub>
        <m:r>
          <w:rPr>
            <w:rFonts w:ascii="Cambria Math" w:hAnsi="Cambria Math"/>
            <w:sz w:val="24"/>
            <w:szCs w:val="24"/>
            <w:lang w:val="pt-BR"/>
          </w:rPr>
          <m:t>+</m:t>
        </m:r>
        <m:sSub>
          <m:sSubPr>
            <m:ctrlPr>
              <w:rPr>
                <w:rFonts w:ascii="Cambria Math" w:hAnsi="Cambria Math"/>
                <w:i/>
                <w:sz w:val="24"/>
                <w:szCs w:val="24"/>
                <w:lang w:val="pt-BR"/>
              </w:rPr>
            </m:ctrlPr>
          </m:sSubPr>
          <m:e>
            <m:r>
              <w:rPr>
                <w:rFonts w:ascii="Cambria Math" w:hAnsi="Cambria Math"/>
                <w:sz w:val="24"/>
                <w:szCs w:val="24"/>
                <w:lang w:val="pt-BR"/>
              </w:rPr>
              <m:t>u</m:t>
            </m:r>
          </m:e>
          <m:sub>
            <m:r>
              <w:rPr>
                <w:rFonts w:ascii="Cambria Math" w:hAnsi="Cambria Math"/>
                <w:sz w:val="24"/>
                <w:szCs w:val="24"/>
                <w:lang w:val="pt-BR"/>
              </w:rPr>
              <m:t>it</m:t>
            </m:r>
          </m:sub>
        </m:sSub>
      </m:oMath>
      <w:r w:rsidR="001E18F4" w:rsidRPr="00F47284">
        <w:rPr>
          <w:rFonts w:eastAsia="Times New Roman"/>
          <w:sz w:val="24"/>
          <w:szCs w:val="24"/>
          <w:lang w:val="pt-BR"/>
        </w:rPr>
        <w:t xml:space="preserve">,     (3) </w:t>
      </w:r>
    </w:p>
    <w:p w:rsidR="001E18F4" w:rsidRPr="00F47284" w:rsidRDefault="001E18F4" w:rsidP="003B78A3">
      <w:pPr>
        <w:jc w:val="center"/>
        <w:rPr>
          <w:rFonts w:eastAsia="Times New Roman"/>
          <w:sz w:val="24"/>
          <w:szCs w:val="24"/>
          <w:lang w:val="pt-BR"/>
        </w:rPr>
      </w:pPr>
    </w:p>
    <w:p w:rsidR="001E18F4" w:rsidRPr="00F47284" w:rsidRDefault="001E18F4" w:rsidP="003B78A3">
      <w:pPr>
        <w:ind w:firstLine="422"/>
        <w:rPr>
          <w:sz w:val="24"/>
          <w:szCs w:val="24"/>
          <w:lang w:val="pt-BR"/>
        </w:rPr>
      </w:pPr>
      <w:r w:rsidRPr="00F47284">
        <w:rPr>
          <w:sz w:val="24"/>
          <w:szCs w:val="24"/>
          <w:lang w:val="pt-BR"/>
        </w:rPr>
        <w:t>A criação de um modelo para cada variável institucional (</w:t>
      </w:r>
      <w:proofErr w:type="spellStart"/>
      <w:r w:rsidRPr="00F47284">
        <w:rPr>
          <w:sz w:val="24"/>
          <w:szCs w:val="24"/>
          <w:lang w:val="pt-BR"/>
        </w:rPr>
        <w:t>AmPol</w:t>
      </w:r>
      <w:proofErr w:type="spellEnd"/>
      <w:r w:rsidRPr="00F47284">
        <w:rPr>
          <w:sz w:val="24"/>
          <w:szCs w:val="24"/>
          <w:lang w:val="pt-BR"/>
        </w:rPr>
        <w:t xml:space="preserve"> e </w:t>
      </w:r>
      <w:proofErr w:type="spellStart"/>
      <w:r w:rsidRPr="00F47284">
        <w:rPr>
          <w:sz w:val="24"/>
          <w:szCs w:val="24"/>
          <w:lang w:val="pt-BR"/>
        </w:rPr>
        <w:t>EstPol</w:t>
      </w:r>
      <w:proofErr w:type="spellEnd"/>
      <w:r w:rsidRPr="00F47284">
        <w:rPr>
          <w:sz w:val="24"/>
          <w:szCs w:val="24"/>
          <w:lang w:val="pt-BR"/>
        </w:rPr>
        <w:t>) foi adotada para possibilitar a análise destas variáveis separadamente, tendo em vista que ao aplicá-las no mesmo modelo problemas de correlação foram identificados.</w:t>
      </w:r>
      <w:r w:rsidR="00BC222C" w:rsidRPr="00F47284">
        <w:rPr>
          <w:sz w:val="24"/>
          <w:szCs w:val="24"/>
          <w:lang w:val="pt-BR"/>
        </w:rPr>
        <w:t xml:space="preserve"> </w:t>
      </w:r>
      <w:r w:rsidRPr="00F47284">
        <w:rPr>
          <w:sz w:val="24"/>
          <w:szCs w:val="24"/>
          <w:lang w:val="pt-BR"/>
        </w:rPr>
        <w:t>Cada um destes modelos, expressos pelas equações 2 e 3, passarão por duas abordagens distintas, com e sem a aplicação d</w:t>
      </w:r>
      <w:r w:rsidR="00033D81" w:rsidRPr="00F47284">
        <w:rPr>
          <w:sz w:val="24"/>
          <w:szCs w:val="24"/>
          <w:lang w:val="pt-BR"/>
        </w:rPr>
        <w:t>os instrumentos</w:t>
      </w:r>
      <w:r w:rsidRPr="00F47284">
        <w:rPr>
          <w:sz w:val="24"/>
          <w:szCs w:val="24"/>
          <w:lang w:val="pt-BR"/>
        </w:rPr>
        <w:t>,</w:t>
      </w:r>
      <w:r w:rsidR="00033D81" w:rsidRPr="00F47284">
        <w:rPr>
          <w:sz w:val="24"/>
          <w:szCs w:val="24"/>
          <w:lang w:val="pt-BR"/>
        </w:rPr>
        <w:t xml:space="preserve"> Dis</w:t>
      </w:r>
      <w:r w:rsidR="006C73C6" w:rsidRPr="00F47284">
        <w:rPr>
          <w:sz w:val="24"/>
          <w:szCs w:val="24"/>
          <w:lang w:val="pt-BR"/>
        </w:rPr>
        <w:t>tâ</w:t>
      </w:r>
      <w:r w:rsidR="00033D81" w:rsidRPr="00F47284">
        <w:rPr>
          <w:sz w:val="24"/>
          <w:szCs w:val="24"/>
          <w:lang w:val="pt-BR"/>
        </w:rPr>
        <w:t>ncia Euclidiana da Religião</w:t>
      </w:r>
      <w:r w:rsidRPr="00F47284">
        <w:rPr>
          <w:sz w:val="24"/>
          <w:szCs w:val="24"/>
          <w:lang w:val="pt-BR"/>
        </w:rPr>
        <w:t xml:space="preserve"> </w:t>
      </w:r>
      <w:r w:rsidR="00033D81" w:rsidRPr="00F47284">
        <w:rPr>
          <w:sz w:val="24"/>
          <w:szCs w:val="24"/>
          <w:lang w:val="pt-BR"/>
        </w:rPr>
        <w:t>(</w:t>
      </w:r>
      <w:proofErr w:type="spellStart"/>
      <w:r w:rsidRPr="00F47284">
        <w:rPr>
          <w:sz w:val="24"/>
          <w:szCs w:val="24"/>
          <w:lang w:val="pt-BR"/>
        </w:rPr>
        <w:t>DeuRel</w:t>
      </w:r>
      <w:proofErr w:type="spellEnd"/>
      <w:r w:rsidR="00033D81" w:rsidRPr="00F47284">
        <w:rPr>
          <w:sz w:val="24"/>
          <w:szCs w:val="24"/>
          <w:lang w:val="pt-BR"/>
        </w:rPr>
        <w:t>)</w:t>
      </w:r>
      <w:r w:rsidRPr="00F47284">
        <w:rPr>
          <w:sz w:val="24"/>
          <w:szCs w:val="24"/>
          <w:lang w:val="pt-BR"/>
        </w:rPr>
        <w:t xml:space="preserve"> e </w:t>
      </w:r>
      <w:r w:rsidR="00033D81" w:rsidRPr="00F47284">
        <w:rPr>
          <w:sz w:val="24"/>
          <w:szCs w:val="24"/>
          <w:lang w:val="pt-BR"/>
        </w:rPr>
        <w:t>Religião Majoritária (</w:t>
      </w:r>
      <w:proofErr w:type="spellStart"/>
      <w:r w:rsidRPr="00F47284">
        <w:rPr>
          <w:sz w:val="24"/>
          <w:szCs w:val="24"/>
          <w:lang w:val="pt-BR"/>
        </w:rPr>
        <w:t>RelMaj</w:t>
      </w:r>
      <w:proofErr w:type="spellEnd"/>
      <w:r w:rsidR="00033D81" w:rsidRPr="00F47284">
        <w:rPr>
          <w:sz w:val="24"/>
          <w:szCs w:val="24"/>
          <w:lang w:val="pt-BR"/>
        </w:rPr>
        <w:t>), os quais serão</w:t>
      </w:r>
      <w:r w:rsidR="006C73C6" w:rsidRPr="00F47284">
        <w:rPr>
          <w:sz w:val="24"/>
          <w:szCs w:val="24"/>
          <w:lang w:val="pt-BR"/>
        </w:rPr>
        <w:t xml:space="preserve"> melhor descritos</w:t>
      </w:r>
      <w:r w:rsidR="00033D81" w:rsidRPr="00F47284">
        <w:rPr>
          <w:sz w:val="24"/>
          <w:szCs w:val="24"/>
          <w:lang w:val="pt-BR"/>
        </w:rPr>
        <w:t xml:space="preserve"> no t</w:t>
      </w:r>
      <w:r w:rsidR="006C73C6" w:rsidRPr="00F47284">
        <w:rPr>
          <w:sz w:val="24"/>
          <w:szCs w:val="24"/>
          <w:lang w:val="pt-BR"/>
        </w:rPr>
        <w:t>ópico 3.3</w:t>
      </w:r>
      <w:r w:rsidRPr="00F47284">
        <w:rPr>
          <w:sz w:val="24"/>
          <w:szCs w:val="24"/>
          <w:lang w:val="pt-BR"/>
        </w:rPr>
        <w:t xml:space="preserve">. Num primeiro momento, os chamados modelos 1A e </w:t>
      </w:r>
      <w:r w:rsidR="00642B2A" w:rsidRPr="00F47284">
        <w:rPr>
          <w:sz w:val="24"/>
          <w:szCs w:val="24"/>
          <w:lang w:val="pt-BR"/>
        </w:rPr>
        <w:t>1B</w:t>
      </w:r>
      <w:r w:rsidRPr="00F47284">
        <w:rPr>
          <w:sz w:val="24"/>
          <w:szCs w:val="24"/>
          <w:lang w:val="pt-BR"/>
        </w:rPr>
        <w:t xml:space="preserve">, que tem seus resultados apresentados na Tabela 3, serão modelos com dados em painel e estimador de efeitos fixos, já no segundo momento os modelos chamados por </w:t>
      </w:r>
      <w:r w:rsidR="00642B2A" w:rsidRPr="00F47284">
        <w:rPr>
          <w:sz w:val="24"/>
          <w:szCs w:val="24"/>
          <w:lang w:val="pt-BR"/>
        </w:rPr>
        <w:t>2A</w:t>
      </w:r>
      <w:r w:rsidRPr="00F47284">
        <w:rPr>
          <w:sz w:val="24"/>
          <w:szCs w:val="24"/>
          <w:lang w:val="pt-BR"/>
        </w:rPr>
        <w:t xml:space="preserve"> e 2B, apresentados na Tabela 4, passarão por uma abordagem de Mínimos Quadrados em Dois Estágios (MQ2E) aplicando as variáveis instrumentais, no intuito de chegar a resultados mais robustos, corrigindo diferentes fontes de viés e atingindo melhores níveis de significância.</w:t>
      </w:r>
    </w:p>
    <w:p w:rsidR="004644E9" w:rsidRPr="00F47284" w:rsidRDefault="004644E9" w:rsidP="003B78A3">
      <w:pPr>
        <w:rPr>
          <w:sz w:val="24"/>
          <w:szCs w:val="24"/>
          <w:lang w:val="pt-BR" w:eastAsia="ko-KR"/>
        </w:rPr>
      </w:pPr>
    </w:p>
    <w:p w:rsidR="0042193C" w:rsidRPr="00F47284" w:rsidRDefault="00FE599E" w:rsidP="003B78A3">
      <w:pPr>
        <w:pStyle w:val="Headings2"/>
        <w:ind w:firstLineChars="176" w:firstLine="424"/>
        <w:rPr>
          <w:sz w:val="24"/>
          <w:szCs w:val="24"/>
          <w:lang w:val="pt-BR"/>
        </w:rPr>
      </w:pPr>
      <w:r w:rsidRPr="00F47284">
        <w:rPr>
          <w:sz w:val="24"/>
          <w:szCs w:val="24"/>
          <w:lang w:val="pt-BR"/>
        </w:rPr>
        <w:t>3.1</w:t>
      </w:r>
      <w:r w:rsidR="00DC7A30" w:rsidRPr="00F47284">
        <w:rPr>
          <w:sz w:val="24"/>
          <w:szCs w:val="24"/>
          <w:lang w:val="pt-BR"/>
        </w:rPr>
        <w:t xml:space="preserve"> Variáveis institucionais políticas</w:t>
      </w:r>
    </w:p>
    <w:p w:rsidR="0042193C" w:rsidRPr="00F47284" w:rsidRDefault="00077D76" w:rsidP="003B78A3">
      <w:pPr>
        <w:ind w:firstLine="420"/>
        <w:rPr>
          <w:sz w:val="24"/>
          <w:szCs w:val="24"/>
          <w:lang w:val="pt-BR"/>
        </w:rPr>
      </w:pPr>
      <w:r w:rsidRPr="00F47284">
        <w:rPr>
          <w:sz w:val="24"/>
          <w:szCs w:val="24"/>
          <w:lang w:val="pt-BR"/>
        </w:rPr>
        <w:t>Para refletir a qualidade do ambiente institucional em sua dimensão política, selecionou-se 2 variáveis junto ao</w:t>
      </w:r>
      <w:r w:rsidR="0042193C" w:rsidRPr="00F47284">
        <w:rPr>
          <w:sz w:val="24"/>
          <w:szCs w:val="24"/>
          <w:lang w:val="pt-BR"/>
        </w:rPr>
        <w:t xml:space="preserve"> “</w:t>
      </w:r>
      <w:r w:rsidR="0042193C" w:rsidRPr="00F47284">
        <w:rPr>
          <w:i/>
          <w:sz w:val="24"/>
          <w:szCs w:val="24"/>
          <w:lang w:val="pt-BR"/>
        </w:rPr>
        <w:t xml:space="preserve">The Global </w:t>
      </w:r>
      <w:proofErr w:type="spellStart"/>
      <w:r w:rsidR="0042193C" w:rsidRPr="00F47284">
        <w:rPr>
          <w:i/>
          <w:sz w:val="24"/>
          <w:szCs w:val="24"/>
          <w:lang w:val="pt-BR"/>
        </w:rPr>
        <w:t>Innovation</w:t>
      </w:r>
      <w:proofErr w:type="spellEnd"/>
      <w:r w:rsidR="0042193C" w:rsidRPr="00F47284">
        <w:rPr>
          <w:i/>
          <w:sz w:val="24"/>
          <w:szCs w:val="24"/>
          <w:lang w:val="pt-BR"/>
        </w:rPr>
        <w:t xml:space="preserve"> Index (GII) – </w:t>
      </w:r>
      <w:proofErr w:type="spellStart"/>
      <w:r w:rsidR="0042193C" w:rsidRPr="00F47284">
        <w:rPr>
          <w:i/>
          <w:sz w:val="24"/>
          <w:szCs w:val="24"/>
          <w:lang w:val="pt-BR"/>
        </w:rPr>
        <w:t>Human</w:t>
      </w:r>
      <w:proofErr w:type="spellEnd"/>
      <w:r w:rsidR="0042193C" w:rsidRPr="00F47284">
        <w:rPr>
          <w:i/>
          <w:sz w:val="24"/>
          <w:szCs w:val="24"/>
          <w:lang w:val="pt-BR"/>
        </w:rPr>
        <w:t xml:space="preserve"> </w:t>
      </w:r>
      <w:proofErr w:type="spellStart"/>
      <w:r w:rsidR="0042193C" w:rsidRPr="00F47284">
        <w:rPr>
          <w:i/>
          <w:sz w:val="24"/>
          <w:szCs w:val="24"/>
          <w:lang w:val="pt-BR"/>
        </w:rPr>
        <w:t>Factor</w:t>
      </w:r>
      <w:proofErr w:type="spellEnd"/>
      <w:r w:rsidR="0042193C" w:rsidRPr="00F47284">
        <w:rPr>
          <w:i/>
          <w:sz w:val="24"/>
          <w:szCs w:val="24"/>
          <w:lang w:val="pt-BR"/>
        </w:rPr>
        <w:t xml:space="preserve"> in </w:t>
      </w:r>
      <w:proofErr w:type="spellStart"/>
      <w:r w:rsidR="0042193C" w:rsidRPr="00F47284">
        <w:rPr>
          <w:i/>
          <w:sz w:val="24"/>
          <w:szCs w:val="24"/>
          <w:lang w:val="pt-BR"/>
        </w:rPr>
        <w:t>Innnovation</w:t>
      </w:r>
      <w:proofErr w:type="spellEnd"/>
      <w:r w:rsidR="0042193C" w:rsidRPr="00F47284">
        <w:rPr>
          <w:sz w:val="24"/>
          <w:szCs w:val="24"/>
          <w:lang w:val="pt-BR"/>
        </w:rPr>
        <w:t>”:</w:t>
      </w:r>
    </w:p>
    <w:p w:rsidR="0042193C" w:rsidRPr="00F47284" w:rsidRDefault="0042193C" w:rsidP="003B78A3">
      <w:pPr>
        <w:pStyle w:val="PargrafodaLista"/>
        <w:widowControl/>
        <w:numPr>
          <w:ilvl w:val="0"/>
          <w:numId w:val="5"/>
        </w:numPr>
        <w:ind w:left="0" w:firstLineChars="0" w:firstLine="567"/>
        <w:contextualSpacing/>
        <w:rPr>
          <w:sz w:val="24"/>
          <w:lang w:val="pt-BR"/>
        </w:rPr>
      </w:pPr>
      <w:r w:rsidRPr="00F47284">
        <w:rPr>
          <w:sz w:val="24"/>
          <w:lang w:val="pt-BR"/>
        </w:rPr>
        <w:t>Ambiente político (</w:t>
      </w:r>
      <w:proofErr w:type="spellStart"/>
      <w:r w:rsidRPr="00F47284">
        <w:rPr>
          <w:sz w:val="24"/>
          <w:lang w:val="pt-BR"/>
        </w:rPr>
        <w:t>AmPol</w:t>
      </w:r>
      <w:proofErr w:type="spellEnd"/>
      <w:r w:rsidRPr="00F47284">
        <w:rPr>
          <w:sz w:val="24"/>
          <w:lang w:val="pt-BR"/>
        </w:rPr>
        <w:t xml:space="preserve">), variável formada pela média de três fatores que juntos representam a atmosfera política de um país, sendo eles, o equilíbrio político, a eficácia governamental, e a liberdade de imprensa. Esses fatores juntos captam o grau de independência política e efetividade do governo, além de </w:t>
      </w:r>
      <w:r w:rsidRPr="00F47284">
        <w:rPr>
          <w:sz w:val="24"/>
          <w:lang w:val="pt-BR"/>
        </w:rPr>
        <w:lastRenderedPageBreak/>
        <w:t>refletir o grau de liberdade de que possuem os jornalistas e as organizações de notícias em cada país e os esforços das autoridades para respeitar e assegurar o respeito por esta liberdade.</w:t>
      </w:r>
    </w:p>
    <w:p w:rsidR="0042193C" w:rsidRPr="00F47284" w:rsidRDefault="0042193C" w:rsidP="003B78A3">
      <w:pPr>
        <w:pStyle w:val="PargrafodaLista"/>
        <w:widowControl/>
        <w:numPr>
          <w:ilvl w:val="0"/>
          <w:numId w:val="5"/>
        </w:numPr>
        <w:ind w:left="0" w:firstLineChars="0" w:firstLine="567"/>
        <w:contextualSpacing/>
        <w:rPr>
          <w:sz w:val="24"/>
          <w:lang w:val="pt-BR"/>
        </w:rPr>
      </w:pPr>
      <w:r w:rsidRPr="00F47284">
        <w:rPr>
          <w:sz w:val="24"/>
          <w:lang w:val="pt-BR"/>
        </w:rPr>
        <w:t>Estabilidade política e ausência de violência ou terrorismo (</w:t>
      </w:r>
      <w:proofErr w:type="spellStart"/>
      <w:r w:rsidRPr="00F47284">
        <w:rPr>
          <w:sz w:val="24"/>
          <w:lang w:val="pt-BR"/>
        </w:rPr>
        <w:t>EstPol</w:t>
      </w:r>
      <w:proofErr w:type="spellEnd"/>
      <w:r w:rsidRPr="00F47284">
        <w:rPr>
          <w:sz w:val="24"/>
          <w:lang w:val="pt-BR"/>
        </w:rPr>
        <w:t>), a qual capta percepções da probabilidade de o governo ser desestabilizado ou derrubado por meios inconstitucionais ou violentos, incluindo a violência politicamente motivada pelo terrorismo, as pontuações dessa variável são padronizadas.</w:t>
      </w:r>
    </w:p>
    <w:p w:rsidR="0042193C" w:rsidRPr="00F47284" w:rsidRDefault="0042193C" w:rsidP="003B78A3">
      <w:pPr>
        <w:ind w:firstLine="424"/>
        <w:rPr>
          <w:sz w:val="24"/>
          <w:szCs w:val="24"/>
          <w:lang w:val="pt-BR"/>
        </w:rPr>
      </w:pPr>
      <w:r w:rsidRPr="00F47284">
        <w:rPr>
          <w:sz w:val="24"/>
          <w:szCs w:val="24"/>
          <w:lang w:val="pt-BR"/>
        </w:rPr>
        <w:t xml:space="preserve">Sabe-se que para que uma nação cresça de forma equilibrada são necessárias instituições estáveis e sólidas. Nesse contexto, o ambiente político surge como um forte representante desses importantes fatores. Em Kaufman </w:t>
      </w:r>
      <w:r w:rsidRPr="00F47284">
        <w:rPr>
          <w:i/>
          <w:sz w:val="24"/>
          <w:szCs w:val="24"/>
          <w:lang w:val="pt-BR"/>
        </w:rPr>
        <w:t>et al</w:t>
      </w:r>
      <w:r w:rsidRPr="00F47284">
        <w:rPr>
          <w:sz w:val="24"/>
          <w:szCs w:val="24"/>
          <w:lang w:val="pt-BR"/>
        </w:rPr>
        <w:t xml:space="preserve">. (1999) foram utilizados seis indicadores agregados sobre conceitos básicos de governança: voz e </w:t>
      </w:r>
      <w:proofErr w:type="spellStart"/>
      <w:r w:rsidRPr="00F47284">
        <w:rPr>
          <w:i/>
          <w:sz w:val="24"/>
          <w:szCs w:val="24"/>
          <w:lang w:val="pt-BR"/>
        </w:rPr>
        <w:t>accountability</w:t>
      </w:r>
      <w:proofErr w:type="spellEnd"/>
      <w:r w:rsidRPr="00F47284">
        <w:rPr>
          <w:sz w:val="24"/>
          <w:szCs w:val="24"/>
          <w:lang w:val="pt-BR"/>
        </w:rPr>
        <w:t xml:space="preserve">, instabilidade política e violência, efetividade do governo, estado de direito, carga regulatória e corrupção. Em estudo feito por </w:t>
      </w:r>
      <w:proofErr w:type="spellStart"/>
      <w:r w:rsidRPr="00F47284">
        <w:rPr>
          <w:sz w:val="24"/>
          <w:szCs w:val="24"/>
          <w:lang w:val="pt-BR"/>
        </w:rPr>
        <w:t>Hausmann</w:t>
      </w:r>
      <w:proofErr w:type="spellEnd"/>
      <w:r w:rsidRPr="00F47284">
        <w:rPr>
          <w:sz w:val="24"/>
          <w:szCs w:val="24"/>
          <w:lang w:val="pt-BR"/>
        </w:rPr>
        <w:t xml:space="preserve"> e Fernández-Arias (2000), foram encontradas evidências de que os indicadores de Kaufman </w:t>
      </w:r>
      <w:r w:rsidRPr="00F47284">
        <w:rPr>
          <w:i/>
          <w:sz w:val="24"/>
          <w:szCs w:val="24"/>
          <w:lang w:val="pt-BR"/>
        </w:rPr>
        <w:t>et al</w:t>
      </w:r>
      <w:r w:rsidRPr="00F47284">
        <w:rPr>
          <w:sz w:val="24"/>
          <w:szCs w:val="24"/>
          <w:lang w:val="pt-BR"/>
        </w:rPr>
        <w:t xml:space="preserve">. (1999) possuem uma correlação forte e positiva com o volume total da entrada de capitais nos países. Entretanto, os autores ponderam que o IED cresce em menor proporção do que outras formas de capital, nessas outras formas de capital estão incluídos investimentos de portfólio e os </w:t>
      </w:r>
      <w:proofErr w:type="spellStart"/>
      <w:r w:rsidRPr="00F47284">
        <w:rPr>
          <w:sz w:val="24"/>
          <w:szCs w:val="24"/>
          <w:lang w:val="pt-BR"/>
        </w:rPr>
        <w:t>ﬁnanciamentos</w:t>
      </w:r>
      <w:proofErr w:type="spellEnd"/>
      <w:r w:rsidRPr="00F47284">
        <w:rPr>
          <w:sz w:val="24"/>
          <w:szCs w:val="24"/>
          <w:lang w:val="pt-BR"/>
        </w:rPr>
        <w:t>.</w:t>
      </w:r>
    </w:p>
    <w:p w:rsidR="0042193C" w:rsidRPr="00F47284" w:rsidRDefault="0042193C" w:rsidP="003B78A3">
      <w:pPr>
        <w:ind w:firstLine="420"/>
        <w:rPr>
          <w:sz w:val="24"/>
          <w:szCs w:val="24"/>
          <w:lang w:val="pt-BR"/>
        </w:rPr>
      </w:pPr>
      <w:r w:rsidRPr="00F47284">
        <w:rPr>
          <w:sz w:val="24"/>
          <w:szCs w:val="24"/>
          <w:lang w:val="pt-BR"/>
        </w:rPr>
        <w:t xml:space="preserve">Stein e </w:t>
      </w:r>
      <w:proofErr w:type="spellStart"/>
      <w:r w:rsidRPr="00F47284">
        <w:rPr>
          <w:sz w:val="24"/>
          <w:szCs w:val="24"/>
          <w:lang w:val="pt-BR"/>
        </w:rPr>
        <w:t>Daude</w:t>
      </w:r>
      <w:proofErr w:type="spellEnd"/>
      <w:r w:rsidRPr="00F47284">
        <w:rPr>
          <w:sz w:val="24"/>
          <w:szCs w:val="24"/>
          <w:lang w:val="pt-BR"/>
        </w:rPr>
        <w:t xml:space="preserve"> (2001), utilizando as variáveis propostas por Kaufman </w:t>
      </w:r>
      <w:r w:rsidRPr="00F47284">
        <w:rPr>
          <w:i/>
          <w:sz w:val="24"/>
          <w:szCs w:val="24"/>
          <w:lang w:val="pt-BR"/>
        </w:rPr>
        <w:t>et al</w:t>
      </w:r>
      <w:r w:rsidRPr="00F47284">
        <w:rPr>
          <w:sz w:val="24"/>
          <w:szCs w:val="24"/>
          <w:lang w:val="pt-BR"/>
        </w:rPr>
        <w:t>. (1999) para mais de 800 observações, encontram resultados semelhantes. A média das vari</w:t>
      </w:r>
      <w:r w:rsidR="008E1A7B" w:rsidRPr="00F47284">
        <w:rPr>
          <w:sz w:val="24"/>
          <w:szCs w:val="24"/>
          <w:lang w:val="pt-BR"/>
        </w:rPr>
        <w:t>áveis foi estatisticament</w:t>
      </w:r>
      <w:r w:rsidR="00DF649B" w:rsidRPr="00F47284">
        <w:rPr>
          <w:sz w:val="24"/>
          <w:szCs w:val="24"/>
          <w:lang w:val="pt-BR"/>
        </w:rPr>
        <w:t>e</w:t>
      </w:r>
      <w:r w:rsidRPr="00F47284">
        <w:rPr>
          <w:sz w:val="24"/>
          <w:szCs w:val="24"/>
          <w:lang w:val="pt-BR"/>
        </w:rPr>
        <w:t xml:space="preserve"> </w:t>
      </w:r>
      <w:proofErr w:type="spellStart"/>
      <w:r w:rsidRPr="00F47284">
        <w:rPr>
          <w:sz w:val="24"/>
          <w:szCs w:val="24"/>
          <w:lang w:val="pt-BR"/>
        </w:rPr>
        <w:t>signiﬁcativa</w:t>
      </w:r>
      <w:proofErr w:type="spellEnd"/>
      <w:r w:rsidRPr="00F47284">
        <w:rPr>
          <w:sz w:val="24"/>
          <w:szCs w:val="24"/>
          <w:lang w:val="pt-BR"/>
        </w:rPr>
        <w:t xml:space="preserve">, onde a </w:t>
      </w:r>
      <w:proofErr w:type="spellStart"/>
      <w:r w:rsidRPr="00F47284">
        <w:rPr>
          <w:sz w:val="24"/>
          <w:szCs w:val="24"/>
          <w:lang w:val="pt-BR"/>
        </w:rPr>
        <w:t>eﬁcácia</w:t>
      </w:r>
      <w:proofErr w:type="spellEnd"/>
      <w:r w:rsidRPr="00F47284">
        <w:rPr>
          <w:sz w:val="24"/>
          <w:szCs w:val="24"/>
          <w:lang w:val="pt-BR"/>
        </w:rPr>
        <w:t xml:space="preserve"> do governo, o ônus da regulação, e as regras para legislar foram as que apresentaram maior impacto sobre a decisão de investir. </w:t>
      </w:r>
      <w:proofErr w:type="spellStart"/>
      <w:r w:rsidRPr="00F47284">
        <w:rPr>
          <w:sz w:val="24"/>
          <w:szCs w:val="24"/>
          <w:lang w:val="pt-BR" w:eastAsia="pt-BR"/>
        </w:rPr>
        <w:t>Bengoa</w:t>
      </w:r>
      <w:proofErr w:type="spellEnd"/>
      <w:r w:rsidRPr="00F47284">
        <w:rPr>
          <w:sz w:val="24"/>
          <w:szCs w:val="24"/>
          <w:lang w:val="pt-BR" w:eastAsia="pt-BR"/>
        </w:rPr>
        <w:t xml:space="preserve"> e Sanchez-Robles (2003) encontram indícios da necessidade de um ambiente político estável e equilibrado, para que haja atração de investimento externo, além da relação positiva entre esses dois fatores</w:t>
      </w:r>
      <w:r w:rsidR="00DF649B" w:rsidRPr="00F47284">
        <w:rPr>
          <w:sz w:val="24"/>
          <w:szCs w:val="24"/>
          <w:lang w:val="pt-BR" w:eastAsia="pt-BR"/>
        </w:rPr>
        <w:t xml:space="preserve">. </w:t>
      </w:r>
      <w:r w:rsidRPr="00F47284">
        <w:rPr>
          <w:sz w:val="24"/>
          <w:szCs w:val="24"/>
          <w:lang w:val="pt-BR"/>
        </w:rPr>
        <w:t xml:space="preserve">Sendo assim, </w:t>
      </w:r>
      <w:r w:rsidRPr="00F47284">
        <w:rPr>
          <w:i/>
          <w:sz w:val="24"/>
          <w:szCs w:val="24"/>
          <w:lang w:val="pt-BR"/>
        </w:rPr>
        <w:t>a priori</w:t>
      </w:r>
      <w:r w:rsidRPr="00F47284">
        <w:rPr>
          <w:sz w:val="24"/>
          <w:szCs w:val="24"/>
          <w:lang w:val="pt-BR"/>
        </w:rPr>
        <w:t xml:space="preserve"> espera-se um coeficiente positivo para ambas as variáveis institucionais, as quais serão utilizadas, uma vez que melhora nos arranjos institucionais significaria mais atração de IED para os países.</w:t>
      </w:r>
    </w:p>
    <w:p w:rsidR="003F4AC9" w:rsidRPr="00F47284" w:rsidRDefault="003F4AC9" w:rsidP="003B78A3">
      <w:pPr>
        <w:rPr>
          <w:sz w:val="24"/>
          <w:szCs w:val="24"/>
          <w:lang w:val="pt-BR" w:eastAsia="ko-KR"/>
        </w:rPr>
      </w:pPr>
    </w:p>
    <w:p w:rsidR="001B46D8" w:rsidRPr="00F47284" w:rsidRDefault="00DF649B" w:rsidP="003B78A3">
      <w:pPr>
        <w:pStyle w:val="Headings2"/>
        <w:ind w:firstLine="482"/>
        <w:rPr>
          <w:sz w:val="24"/>
          <w:szCs w:val="24"/>
          <w:lang w:val="pt-BR"/>
        </w:rPr>
      </w:pPr>
      <w:r w:rsidRPr="00F47284">
        <w:rPr>
          <w:sz w:val="24"/>
          <w:szCs w:val="24"/>
          <w:lang w:val="pt-BR"/>
        </w:rPr>
        <w:t>3.2</w:t>
      </w:r>
      <w:r w:rsidR="001B46D8" w:rsidRPr="00F47284">
        <w:rPr>
          <w:sz w:val="24"/>
          <w:szCs w:val="24"/>
          <w:lang w:val="pt-BR"/>
        </w:rPr>
        <w:t xml:space="preserve"> </w:t>
      </w:r>
      <w:r w:rsidR="009873C8" w:rsidRPr="00F47284">
        <w:rPr>
          <w:sz w:val="24"/>
          <w:szCs w:val="24"/>
          <w:lang w:val="pt-BR"/>
        </w:rPr>
        <w:t>Variáveis de Controle</w:t>
      </w:r>
    </w:p>
    <w:p w:rsidR="009873C8" w:rsidRPr="00F47284" w:rsidRDefault="009873C8" w:rsidP="003B78A3">
      <w:pPr>
        <w:ind w:firstLine="420"/>
        <w:rPr>
          <w:sz w:val="24"/>
          <w:szCs w:val="24"/>
          <w:lang w:val="pt-BR"/>
        </w:rPr>
      </w:pPr>
      <w:r w:rsidRPr="00F47284">
        <w:rPr>
          <w:sz w:val="24"/>
          <w:szCs w:val="24"/>
          <w:lang w:val="pt-BR"/>
        </w:rPr>
        <w:t xml:space="preserve">A possibilidade de escolhas das variáveis que condicionam a atração de investimento se mostra ampla. Entre elas, selecionou-se, a partir da sua contribuição para a explicação do modelo, um conjunto de 4 variáveis explicativas de controle para o modelo, retiradas do </w:t>
      </w:r>
      <w:r w:rsidRPr="00F47284">
        <w:rPr>
          <w:i/>
          <w:sz w:val="24"/>
          <w:szCs w:val="24"/>
          <w:lang w:val="pt-BR"/>
        </w:rPr>
        <w:t xml:space="preserve">World </w:t>
      </w:r>
      <w:proofErr w:type="spellStart"/>
      <w:r w:rsidRPr="00F47284">
        <w:rPr>
          <w:i/>
          <w:sz w:val="24"/>
          <w:szCs w:val="24"/>
          <w:lang w:val="pt-BR"/>
        </w:rPr>
        <w:t>DataBank</w:t>
      </w:r>
      <w:proofErr w:type="spellEnd"/>
      <w:r w:rsidRPr="00F47284">
        <w:rPr>
          <w:sz w:val="24"/>
          <w:szCs w:val="24"/>
          <w:lang w:val="pt-BR"/>
        </w:rPr>
        <w:t xml:space="preserve"> – banco de dados do Banco Mundial:</w:t>
      </w:r>
    </w:p>
    <w:p w:rsidR="009873C8" w:rsidRPr="00F47284" w:rsidRDefault="009873C8" w:rsidP="003B78A3">
      <w:pPr>
        <w:pStyle w:val="SemEspaamento"/>
        <w:numPr>
          <w:ilvl w:val="0"/>
          <w:numId w:val="3"/>
        </w:numPr>
        <w:ind w:left="0" w:firstLine="426"/>
        <w:rPr>
          <w:szCs w:val="24"/>
          <w:lang w:eastAsia="pt-BR"/>
        </w:rPr>
      </w:pPr>
      <w:r w:rsidRPr="00F47284">
        <w:rPr>
          <w:szCs w:val="24"/>
          <w:lang w:eastAsia="pt-BR"/>
        </w:rPr>
        <w:t>Inflação (</w:t>
      </w:r>
      <w:proofErr w:type="spellStart"/>
      <w:r w:rsidRPr="00F47284">
        <w:rPr>
          <w:szCs w:val="24"/>
          <w:lang w:eastAsia="pt-BR"/>
        </w:rPr>
        <w:t>Inf</w:t>
      </w:r>
      <w:proofErr w:type="spellEnd"/>
      <w:r w:rsidRPr="00F47284">
        <w:rPr>
          <w:szCs w:val="24"/>
          <w:lang w:eastAsia="pt-BR"/>
        </w:rPr>
        <w:t xml:space="preserve">), como </w:t>
      </w:r>
      <w:r w:rsidRPr="00F47284">
        <w:rPr>
          <w:i/>
          <w:szCs w:val="24"/>
          <w:lang w:eastAsia="pt-BR"/>
        </w:rPr>
        <w:t>proxy</w:t>
      </w:r>
      <w:r w:rsidRPr="00F47284">
        <w:rPr>
          <w:szCs w:val="24"/>
          <w:lang w:eastAsia="pt-BR"/>
        </w:rPr>
        <w:t xml:space="preserve"> para estabilidade econômica, medida pelo índice de preços ao consumidor reflete a variação percentual anual no custo para o consumidor médio de aquisição de uma cesta de bens e serviços que possam ser corrigidos ou alterados em intervalos específicos, tais como anual. </w:t>
      </w:r>
    </w:p>
    <w:p w:rsidR="009873C8" w:rsidRPr="00F47284" w:rsidRDefault="009873C8" w:rsidP="003B78A3">
      <w:pPr>
        <w:pStyle w:val="SemEspaamento"/>
        <w:numPr>
          <w:ilvl w:val="0"/>
          <w:numId w:val="3"/>
        </w:numPr>
        <w:ind w:left="0" w:firstLine="426"/>
        <w:rPr>
          <w:szCs w:val="24"/>
          <w:lang w:eastAsia="pt-BR"/>
        </w:rPr>
      </w:pPr>
      <w:r w:rsidRPr="00F47284">
        <w:rPr>
          <w:szCs w:val="24"/>
          <w:lang w:eastAsia="pt-BR"/>
        </w:rPr>
        <w:t>Taxa de câmbio (</w:t>
      </w:r>
      <w:proofErr w:type="spellStart"/>
      <w:r w:rsidRPr="00F47284">
        <w:rPr>
          <w:szCs w:val="24"/>
          <w:lang w:eastAsia="pt-BR"/>
        </w:rPr>
        <w:t>TxCa</w:t>
      </w:r>
      <w:proofErr w:type="spellEnd"/>
      <w:r w:rsidRPr="00F47284">
        <w:rPr>
          <w:szCs w:val="24"/>
          <w:lang w:eastAsia="pt-BR"/>
        </w:rPr>
        <w:t>), refere-se à taxa de câmbio determinada pelas autoridades nacionais ou à taxa determinada no mercado de câmbio legalmente sancionada. É calculado como uma média anual com base nas médias mensais, unidades de moeda local em relação ao dólar americano;</w:t>
      </w:r>
    </w:p>
    <w:p w:rsidR="009873C8" w:rsidRPr="00F47284" w:rsidRDefault="009873C8" w:rsidP="003B78A3">
      <w:pPr>
        <w:pStyle w:val="SemEspaamento"/>
        <w:numPr>
          <w:ilvl w:val="0"/>
          <w:numId w:val="3"/>
        </w:numPr>
        <w:ind w:left="0" w:firstLine="426"/>
        <w:rPr>
          <w:szCs w:val="24"/>
          <w:lang w:eastAsia="pt-BR"/>
        </w:rPr>
      </w:pPr>
      <w:r w:rsidRPr="00F47284">
        <w:rPr>
          <w:szCs w:val="24"/>
          <w:lang w:eastAsia="pt-BR"/>
        </w:rPr>
        <w:t>Formação bruta de capital como porcentagem do PIB (</w:t>
      </w:r>
      <w:proofErr w:type="spellStart"/>
      <w:r w:rsidRPr="00F47284">
        <w:rPr>
          <w:szCs w:val="24"/>
          <w:lang w:eastAsia="pt-BR"/>
        </w:rPr>
        <w:t>Fbdc</w:t>
      </w:r>
      <w:proofErr w:type="spellEnd"/>
      <w:r w:rsidRPr="00F47284">
        <w:rPr>
          <w:szCs w:val="24"/>
          <w:lang w:eastAsia="pt-BR"/>
        </w:rPr>
        <w:t>), composta por gastos com adições aos ativos fixos da economia mais as variações líquidas no nível de estoques. Ativos fixos incluem melhoramentos de terrenos (cercas, valas, drenos, e assim por diante); instalações, máquinas e equipamentos de compras; e a construção de estradas, caminhos de ferro, e similares, incluindo escolas, escritórios, hospitais, habitações residenciais privadas e edifícios comerciais e industriais. Já os estoques são acúmulos de bens detidos por empresas para atender às flutuações temporárias ou inesperadas na produção ou vendas.</w:t>
      </w:r>
    </w:p>
    <w:p w:rsidR="009873C8" w:rsidRPr="00F47284" w:rsidRDefault="009873C8" w:rsidP="003B78A3">
      <w:pPr>
        <w:pStyle w:val="SemEspaamento"/>
        <w:numPr>
          <w:ilvl w:val="0"/>
          <w:numId w:val="3"/>
        </w:numPr>
        <w:ind w:left="0" w:firstLine="426"/>
        <w:rPr>
          <w:szCs w:val="24"/>
          <w:lang w:eastAsia="pt-BR"/>
        </w:rPr>
      </w:pPr>
      <w:r w:rsidRPr="00F47284">
        <w:rPr>
          <w:szCs w:val="24"/>
          <w:lang w:eastAsia="pt-BR"/>
        </w:rPr>
        <w:lastRenderedPageBreak/>
        <w:t>Taxa anual de crescimento percentual do PIB (</w:t>
      </w:r>
      <w:proofErr w:type="spellStart"/>
      <w:r w:rsidRPr="00F47284">
        <w:rPr>
          <w:szCs w:val="24"/>
          <w:lang w:eastAsia="pt-BR"/>
        </w:rPr>
        <w:t>TxcPib</w:t>
      </w:r>
      <w:proofErr w:type="spellEnd"/>
      <w:r w:rsidRPr="00F47284">
        <w:rPr>
          <w:szCs w:val="24"/>
          <w:lang w:eastAsia="pt-BR"/>
        </w:rPr>
        <w:t>), a preços de mercado com base em moeda local constante. Os agregados são baseados em dólares americanos constantes em 2010, e são calculados sem fazer deduções para depreciação de ativos fabricados ou para esgotamento e degradação de recursos naturais.</w:t>
      </w:r>
    </w:p>
    <w:p w:rsidR="009873C8" w:rsidRPr="00F47284" w:rsidRDefault="009873C8" w:rsidP="003B78A3">
      <w:pPr>
        <w:pStyle w:val="SemEspaamento"/>
        <w:ind w:firstLine="480"/>
        <w:rPr>
          <w:szCs w:val="24"/>
        </w:rPr>
      </w:pPr>
      <w:r w:rsidRPr="00F47284">
        <w:rPr>
          <w:szCs w:val="24"/>
        </w:rPr>
        <w:t xml:space="preserve">Sabe-se que os fluxos de IDE geralmente são direcionados para países com bom desempenho econômico, tanto em termos de crescimento quanto desenvolvimento. </w:t>
      </w:r>
      <w:r w:rsidRPr="00F47284">
        <w:rPr>
          <w:szCs w:val="24"/>
          <w:lang w:eastAsia="pt-BR"/>
        </w:rPr>
        <w:t xml:space="preserve">No que diz respeito a taxa de câmbio, segundo </w:t>
      </w:r>
      <w:proofErr w:type="spellStart"/>
      <w:r w:rsidRPr="00F47284">
        <w:rPr>
          <w:szCs w:val="24"/>
          <w:lang w:eastAsia="pt-BR"/>
        </w:rPr>
        <w:t>Amal</w:t>
      </w:r>
      <w:proofErr w:type="spellEnd"/>
      <w:r w:rsidRPr="00F47284">
        <w:rPr>
          <w:szCs w:val="24"/>
          <w:lang w:eastAsia="pt-BR"/>
        </w:rPr>
        <w:t xml:space="preserve"> e Seabra (2007</w:t>
      </w:r>
      <w:r w:rsidR="0042193C" w:rsidRPr="00F47284">
        <w:rPr>
          <w:szCs w:val="24"/>
          <w:lang w:eastAsia="pt-BR"/>
        </w:rPr>
        <w:t xml:space="preserve">), </w:t>
      </w:r>
      <w:r w:rsidRPr="00F47284">
        <w:rPr>
          <w:szCs w:val="24"/>
          <w:lang w:eastAsia="pt-BR"/>
        </w:rPr>
        <w:t xml:space="preserve">espera-se que </w:t>
      </w:r>
      <w:r w:rsidRPr="00F47284">
        <w:rPr>
          <w:szCs w:val="24"/>
        </w:rPr>
        <w:t xml:space="preserve">o resultado de uma desvalorização real da moeda local do país destino do IED sobre o investimento seja ambíguo. A desvalorização, por um lado, aumenta a competitividade das exportações, contudo, por outro, restringe o valor monetário dos resultados financeiros da empresa multinacional quando convertidos em dólares americanos. Entretanto, na grande maioria, os estudos esperam um sinal positivo por parte dessa variável cambial. Já a inflação, por sua vez, reflete através do desempenho dos preços o nível de estabilidade da economia interna do país, uma vez que, segundo </w:t>
      </w:r>
      <w:proofErr w:type="spellStart"/>
      <w:r w:rsidRPr="00F47284">
        <w:rPr>
          <w:szCs w:val="24"/>
        </w:rPr>
        <w:t>Nonnenberg</w:t>
      </w:r>
      <w:proofErr w:type="spellEnd"/>
      <w:r w:rsidRPr="00F47284">
        <w:rPr>
          <w:szCs w:val="24"/>
        </w:rPr>
        <w:t xml:space="preserve"> e Mendonça (2005), um dos sinais mais clássicos de perda de domínio, tanto fiscal como monetário, é o descontrole inflacionário. Logo, espera-se que esta variável apresente um coeficiente negativo, assim países com elevadas taxas de inflação, e consequentemente maior instabilidade interna, não devem atrair fluxos grandes de IED. </w:t>
      </w:r>
    </w:p>
    <w:p w:rsidR="009873C8" w:rsidRPr="00F47284" w:rsidRDefault="009873C8" w:rsidP="003B78A3">
      <w:pPr>
        <w:pStyle w:val="SemEspaamento"/>
        <w:ind w:firstLine="480"/>
        <w:rPr>
          <w:szCs w:val="24"/>
          <w:lang w:eastAsia="pt-BR"/>
        </w:rPr>
      </w:pPr>
      <w:r w:rsidRPr="00F47284">
        <w:rPr>
          <w:szCs w:val="24"/>
        </w:rPr>
        <w:t xml:space="preserve">Em relação a </w:t>
      </w:r>
      <w:r w:rsidRPr="00F47284">
        <w:rPr>
          <w:szCs w:val="24"/>
          <w:lang w:eastAsia="pt-BR"/>
        </w:rPr>
        <w:t xml:space="preserve">formação bruta de capital como porcentagem do PIB, espera-se também que possua um coeficiente positivo, visto que tal variável é composta por gastos com ativos fixos e níveis de estoques da economia. Por fim, a relação entre a taxa anual de crescimento percentual do PIB e o IED é até certo ponto ambígua, assim como a taxa de câmbio, pois, a correlação positiva entre estas duas variáveis pode ser ilustrada pelo aumento de lucros, logo o surgimento de mais recursos para a concretização de investimentos no exterior. Porém, segundo </w:t>
      </w:r>
      <w:proofErr w:type="spellStart"/>
      <w:r w:rsidRPr="00F47284">
        <w:rPr>
          <w:szCs w:val="24"/>
          <w:lang w:eastAsia="pt-BR"/>
        </w:rPr>
        <w:t>Nonnemberg</w:t>
      </w:r>
      <w:proofErr w:type="spellEnd"/>
      <w:r w:rsidRPr="00F47284">
        <w:rPr>
          <w:szCs w:val="24"/>
          <w:lang w:eastAsia="pt-BR"/>
        </w:rPr>
        <w:t xml:space="preserve"> e Mendonça (2005) uma correlação negativa pode ser interpretada como diversificação de risco.  Mesmo assim, a maioria dos estudos busca um sinal positivo para essa variável, quando relacionada com IED.</w:t>
      </w:r>
    </w:p>
    <w:p w:rsidR="008274D8" w:rsidRPr="00F47284" w:rsidRDefault="008274D8" w:rsidP="003B78A3">
      <w:pPr>
        <w:pStyle w:val="Headings2"/>
        <w:ind w:firstLine="482"/>
        <w:rPr>
          <w:sz w:val="24"/>
          <w:szCs w:val="24"/>
          <w:lang w:val="pt-BR"/>
        </w:rPr>
      </w:pPr>
    </w:p>
    <w:p w:rsidR="003F4AC9" w:rsidRPr="00F47284" w:rsidRDefault="00DF649B" w:rsidP="003B78A3">
      <w:pPr>
        <w:pStyle w:val="Headings2"/>
        <w:ind w:firstLine="482"/>
        <w:rPr>
          <w:sz w:val="24"/>
          <w:szCs w:val="24"/>
          <w:lang w:val="pt-BR"/>
        </w:rPr>
      </w:pPr>
      <w:r w:rsidRPr="00F47284">
        <w:rPr>
          <w:sz w:val="24"/>
          <w:szCs w:val="24"/>
          <w:lang w:val="pt-BR"/>
        </w:rPr>
        <w:t>3</w:t>
      </w:r>
      <w:r w:rsidR="003F4AC9" w:rsidRPr="00F47284">
        <w:rPr>
          <w:sz w:val="24"/>
          <w:szCs w:val="24"/>
          <w:lang w:val="pt-BR"/>
        </w:rPr>
        <w:t>.3 Variáveis Instrumentais</w:t>
      </w:r>
    </w:p>
    <w:p w:rsidR="003F4AC9" w:rsidRPr="00F47284" w:rsidRDefault="003F4AC9" w:rsidP="003B78A3">
      <w:pPr>
        <w:ind w:firstLine="420"/>
        <w:rPr>
          <w:sz w:val="24"/>
          <w:szCs w:val="24"/>
          <w:lang w:val="pt-BR"/>
        </w:rPr>
      </w:pPr>
      <w:r w:rsidRPr="00F47284">
        <w:rPr>
          <w:sz w:val="24"/>
          <w:szCs w:val="24"/>
          <w:lang w:val="pt-BR"/>
        </w:rPr>
        <w:t xml:space="preserve">Na literatura que se dedica a estudar os arranjos institucionais dos países e como estes influenciam o desenvolvimento econômico, comumente são utilizadas variáveis instrumentais, com o intuito de controlar o problema de </w:t>
      </w:r>
      <w:proofErr w:type="spellStart"/>
      <w:r w:rsidRPr="00F47284">
        <w:rPr>
          <w:sz w:val="24"/>
          <w:szCs w:val="24"/>
          <w:lang w:val="pt-BR"/>
        </w:rPr>
        <w:t>endogeneidade</w:t>
      </w:r>
      <w:proofErr w:type="spellEnd"/>
      <w:r w:rsidRPr="00F47284">
        <w:rPr>
          <w:sz w:val="24"/>
          <w:szCs w:val="24"/>
          <w:lang w:val="pt-BR"/>
        </w:rPr>
        <w:t xml:space="preserve"> e correlação das variáveis. Porém, deve-se levar em conta que nem sempre é fácil encontrar boas </w:t>
      </w:r>
      <w:r w:rsidRPr="00F47284">
        <w:rPr>
          <w:i/>
          <w:sz w:val="24"/>
          <w:szCs w:val="24"/>
          <w:lang w:val="pt-BR"/>
        </w:rPr>
        <w:t xml:space="preserve">proxies </w:t>
      </w:r>
      <w:r w:rsidRPr="00F47284">
        <w:rPr>
          <w:sz w:val="24"/>
          <w:szCs w:val="24"/>
          <w:lang w:val="pt-BR"/>
        </w:rPr>
        <w:t xml:space="preserve">para utilizar como instrumento, e nesse caso o método de variáveis instrumentais pode não se adequar como deveria, logo podemos ter de recorrer às técnicas de estimação de máxima verossimilhança. </w:t>
      </w:r>
    </w:p>
    <w:p w:rsidR="003F4AC9" w:rsidRPr="00F47284" w:rsidRDefault="003F4AC9" w:rsidP="003B78A3">
      <w:pPr>
        <w:ind w:firstLine="420"/>
        <w:rPr>
          <w:sz w:val="24"/>
          <w:szCs w:val="24"/>
          <w:lang w:val="pt-BR"/>
        </w:rPr>
      </w:pPr>
      <w:r w:rsidRPr="00F47284">
        <w:rPr>
          <w:sz w:val="24"/>
          <w:szCs w:val="24"/>
          <w:lang w:val="pt-BR"/>
        </w:rPr>
        <w:t xml:space="preserve">Os instrumentos </w:t>
      </w:r>
      <w:r w:rsidRPr="00F47284">
        <w:rPr>
          <w:sz w:val="24"/>
          <w:szCs w:val="24"/>
          <w:shd w:val="clear" w:color="auto" w:fill="FFFFFF"/>
          <w:lang w:val="pt-BR"/>
        </w:rPr>
        <w:t>devem ter uma correlação forte com a variável explicativa, entretanto não pode ser correlacionado com o erro da variável dependente. Além disso, as variáveis instrumentais</w:t>
      </w:r>
      <w:r w:rsidRPr="00F47284">
        <w:rPr>
          <w:sz w:val="24"/>
          <w:szCs w:val="24"/>
          <w:lang w:val="pt-BR"/>
        </w:rPr>
        <w:t xml:space="preserve"> devem representar as características individuais que variam de acordo com cada país, refletindo assim aspectos como o tipo de colonização, a religião e a origem do sistema legal. Para </w:t>
      </w:r>
      <w:proofErr w:type="spellStart"/>
      <w:r w:rsidRPr="00F47284">
        <w:rPr>
          <w:sz w:val="24"/>
          <w:szCs w:val="24"/>
          <w:lang w:val="pt-BR"/>
        </w:rPr>
        <w:t>Acemoglu</w:t>
      </w:r>
      <w:proofErr w:type="spellEnd"/>
      <w:r w:rsidRPr="00F47284">
        <w:rPr>
          <w:sz w:val="24"/>
          <w:szCs w:val="24"/>
          <w:lang w:val="pt-BR"/>
        </w:rPr>
        <w:t xml:space="preserve"> </w:t>
      </w:r>
      <w:r w:rsidRPr="00F47284">
        <w:rPr>
          <w:i/>
          <w:sz w:val="24"/>
          <w:szCs w:val="24"/>
          <w:lang w:val="pt-BR"/>
        </w:rPr>
        <w:t>et al.</w:t>
      </w:r>
      <w:r w:rsidRPr="00F47284">
        <w:rPr>
          <w:sz w:val="24"/>
          <w:szCs w:val="24"/>
          <w:lang w:val="pt-BR"/>
        </w:rPr>
        <w:t xml:space="preserve"> (2001), as instituições são o reflexo, por exemplo, do modelo de colonização, uma vez que este molde influenciaria na formação dos padrões culturais e das instituições formais, afeiçoando o sistema de leis e de costumes dos países. Segundo Landes (1998) e La Porta </w:t>
      </w:r>
      <w:r w:rsidRPr="00F47284">
        <w:rPr>
          <w:i/>
          <w:sz w:val="24"/>
          <w:szCs w:val="24"/>
          <w:lang w:val="pt-BR"/>
        </w:rPr>
        <w:t>et al.</w:t>
      </w:r>
      <w:r w:rsidRPr="00F47284">
        <w:rPr>
          <w:sz w:val="24"/>
          <w:szCs w:val="24"/>
          <w:lang w:val="pt-BR"/>
        </w:rPr>
        <w:t xml:space="preserve"> (1999), a organização das religiões nas sociedades ao redor do mundo também gera uma certa influência sobre os arranjos institucionais dos países, visto que representam os padrões éticos e crenças dos indivíduos.</w:t>
      </w:r>
    </w:p>
    <w:p w:rsidR="00731749" w:rsidRPr="00F47284" w:rsidRDefault="00731749" w:rsidP="003B78A3">
      <w:pPr>
        <w:ind w:firstLine="420"/>
        <w:rPr>
          <w:sz w:val="24"/>
          <w:szCs w:val="24"/>
          <w:lang w:val="pt-BR"/>
        </w:rPr>
      </w:pPr>
      <w:r w:rsidRPr="00F47284">
        <w:rPr>
          <w:sz w:val="24"/>
          <w:szCs w:val="24"/>
          <w:lang w:val="pt-BR"/>
        </w:rPr>
        <w:t xml:space="preserve">Diversos autores defendem a relação positiva entre características culturais e o desempenho econômico da nação (Harrison e Huntington, 2002; </w:t>
      </w:r>
      <w:proofErr w:type="spellStart"/>
      <w:r w:rsidRPr="00F47284">
        <w:rPr>
          <w:sz w:val="24"/>
          <w:szCs w:val="24"/>
          <w:lang w:val="pt-BR"/>
        </w:rPr>
        <w:t>Craddock</w:t>
      </w:r>
      <w:proofErr w:type="spellEnd"/>
      <w:r w:rsidRPr="00F47284">
        <w:rPr>
          <w:sz w:val="24"/>
          <w:szCs w:val="24"/>
          <w:lang w:val="pt-BR"/>
        </w:rPr>
        <w:t xml:space="preserve">, 2003). Sobre o grau de importância do </w:t>
      </w:r>
      <w:r w:rsidRPr="00F47284">
        <w:rPr>
          <w:sz w:val="24"/>
          <w:szCs w:val="24"/>
          <w:lang w:val="pt-BR"/>
        </w:rPr>
        <w:lastRenderedPageBreak/>
        <w:t>fator cultural para o investimento estrangeiro, as contribuições podem ser divididas em duas categorias. A primeira aponta a cultura como um fator central no processo de internacionalização. Já a segunda, aborda o fator cultural como uma variável relevante para diminuir ou aumentar as chances de sucesso de um determinado empreendimento. Além da escolha pelos mecanismos de internacionalização, as empresas procurariam se internacionalizar primeira na direção de países que lhes são mais familiares em termos culturais. Sendo esse grau de distanciamento cultural importante na medida que a busca por locais com práticas de mercado, políticas e regras parecidas com as do país de origem seriam mais fácies de lidar, no que diz respeito ao IED.</w:t>
      </w:r>
    </w:p>
    <w:p w:rsidR="00731749" w:rsidRPr="00F47284" w:rsidRDefault="00731749" w:rsidP="003B78A3">
      <w:pPr>
        <w:ind w:firstLine="420"/>
        <w:rPr>
          <w:sz w:val="24"/>
          <w:szCs w:val="24"/>
          <w:lang w:val="pt-BR"/>
        </w:rPr>
      </w:pPr>
      <w:r w:rsidRPr="00F47284">
        <w:rPr>
          <w:sz w:val="24"/>
          <w:szCs w:val="24"/>
          <w:lang w:val="pt-BR"/>
        </w:rPr>
        <w:t xml:space="preserve">Outro ponto que toma a cultura como determinante do investimento estrangeiro direto é a dos custos culturais de transação. </w:t>
      </w:r>
      <w:r w:rsidR="00A91006" w:rsidRPr="00F47284">
        <w:rPr>
          <w:sz w:val="24"/>
          <w:szCs w:val="24"/>
          <w:lang w:val="pt-BR"/>
        </w:rPr>
        <w:t xml:space="preserve">Para </w:t>
      </w:r>
      <w:r w:rsidRPr="00F47284">
        <w:rPr>
          <w:sz w:val="24"/>
          <w:szCs w:val="24"/>
          <w:lang w:val="pt-BR"/>
        </w:rPr>
        <w:t>Hanson II (1999</w:t>
      </w:r>
      <w:r w:rsidR="00A91006" w:rsidRPr="00F47284">
        <w:rPr>
          <w:sz w:val="24"/>
          <w:szCs w:val="24"/>
          <w:lang w:val="pt-BR"/>
        </w:rPr>
        <w:t xml:space="preserve">), </w:t>
      </w:r>
      <w:r w:rsidRPr="00F47284">
        <w:rPr>
          <w:sz w:val="24"/>
          <w:szCs w:val="24"/>
          <w:lang w:val="pt-BR"/>
        </w:rPr>
        <w:t>a convergência cultural é sim um resultado da globalização econômica, sendo que o nível de globalização é determinado pelo nível de proximidade cultural entre os países. O autor defende que a baixa atratividade ao IED de países pobres persiste devido a es</w:t>
      </w:r>
      <w:r w:rsidR="00A91006" w:rsidRPr="00F47284">
        <w:rPr>
          <w:sz w:val="24"/>
          <w:szCs w:val="24"/>
          <w:lang w:val="pt-BR"/>
        </w:rPr>
        <w:t>se alto distanciamento cultural</w:t>
      </w:r>
      <w:r w:rsidRPr="00F47284">
        <w:rPr>
          <w:sz w:val="24"/>
          <w:szCs w:val="24"/>
          <w:lang w:val="pt-BR"/>
        </w:rPr>
        <w:t xml:space="preserve"> em relação a países que são fonte de seus investimentos. Essa distância impõe custos de transação de ordem cultural que inviabilizam a realização de investimentos, e essas diferenças culturais resultam em desconfiança, falhas de comunicação, incompatibilidades pessoais e linguísticas além de noções de propriedade conflitantes. Nesse contexto, a compatibilidade cultural pode</w:t>
      </w:r>
      <w:r w:rsidR="00A91006" w:rsidRPr="00F47284">
        <w:rPr>
          <w:sz w:val="24"/>
          <w:szCs w:val="24"/>
          <w:lang w:val="pt-BR"/>
        </w:rPr>
        <w:t xml:space="preserve"> </w:t>
      </w:r>
      <w:r w:rsidRPr="00F47284">
        <w:rPr>
          <w:sz w:val="24"/>
          <w:szCs w:val="24"/>
          <w:lang w:val="pt-BR"/>
        </w:rPr>
        <w:t>aumentar a atração de investidores, enquanto o estranhamento cultural repeli.</w:t>
      </w:r>
    </w:p>
    <w:p w:rsidR="00731749" w:rsidRPr="00F47284" w:rsidRDefault="00731749" w:rsidP="003B78A3">
      <w:pPr>
        <w:ind w:firstLine="420"/>
        <w:rPr>
          <w:sz w:val="24"/>
          <w:szCs w:val="24"/>
          <w:lang w:val="pt-BR"/>
        </w:rPr>
      </w:pPr>
      <w:r w:rsidRPr="00F47284">
        <w:rPr>
          <w:sz w:val="24"/>
          <w:szCs w:val="24"/>
          <w:lang w:val="pt-BR"/>
        </w:rPr>
        <w:t xml:space="preserve">A influência da cultura política sobre as empresas multinacionais foi objeto de estudo de </w:t>
      </w:r>
      <w:proofErr w:type="spellStart"/>
      <w:r w:rsidRPr="00F47284">
        <w:rPr>
          <w:sz w:val="24"/>
          <w:szCs w:val="24"/>
          <w:lang w:val="pt-BR"/>
        </w:rPr>
        <w:t>Mudambi</w:t>
      </w:r>
      <w:proofErr w:type="spellEnd"/>
      <w:r w:rsidRPr="00F47284">
        <w:rPr>
          <w:sz w:val="24"/>
          <w:szCs w:val="24"/>
          <w:lang w:val="pt-BR"/>
        </w:rPr>
        <w:t xml:space="preserve"> e Navarra (2003), os autores utilizaram o caso da Itália para avaliar o impacto da cultura política sobre o desempenho das empresas multinacionais. O caso reúne sob condições econômicas e financeiras semelhantes, duas realidades de cultura política muito distintas, no </w:t>
      </w:r>
      <w:proofErr w:type="gramStart"/>
      <w:r w:rsidRPr="00F47284">
        <w:rPr>
          <w:sz w:val="24"/>
          <w:szCs w:val="24"/>
          <w:lang w:val="pt-BR"/>
        </w:rPr>
        <w:t>sul</w:t>
      </w:r>
      <w:proofErr w:type="gramEnd"/>
      <w:r w:rsidRPr="00F47284">
        <w:rPr>
          <w:sz w:val="24"/>
          <w:szCs w:val="24"/>
          <w:lang w:val="pt-BR"/>
        </w:rPr>
        <w:t xml:space="preserve"> e no norte. O resultado confirma que, ao lado das condições econômicas, a cultura política de um país é um fator decisivo para a localização de empresas multinacionais. </w:t>
      </w:r>
      <w:proofErr w:type="spellStart"/>
      <w:r w:rsidRPr="00F47284">
        <w:rPr>
          <w:sz w:val="24"/>
          <w:szCs w:val="24"/>
          <w:lang w:val="pt-BR"/>
        </w:rPr>
        <w:t>Hofstede</w:t>
      </w:r>
      <w:proofErr w:type="spellEnd"/>
      <w:r w:rsidRPr="00F47284">
        <w:rPr>
          <w:sz w:val="24"/>
          <w:szCs w:val="24"/>
          <w:lang w:val="pt-BR"/>
        </w:rPr>
        <w:t xml:space="preserve"> (1994) também identifica a cultura como uma das questões fundamentais para a gestão de empresas multinacionais. O autor revisa os padrões culturais e políticos, delineando as características de grandes grupos sociais, analisando práticas administrativas que seriam incompatíveis com a cultura de determinadas regiões. E </w:t>
      </w:r>
      <w:proofErr w:type="spellStart"/>
      <w:r w:rsidRPr="00F47284">
        <w:rPr>
          <w:sz w:val="24"/>
          <w:szCs w:val="24"/>
          <w:lang w:val="pt-BR"/>
        </w:rPr>
        <w:t>Majidi</w:t>
      </w:r>
      <w:proofErr w:type="spellEnd"/>
      <w:r w:rsidRPr="00F47284">
        <w:rPr>
          <w:sz w:val="24"/>
          <w:szCs w:val="24"/>
          <w:lang w:val="pt-BR"/>
        </w:rPr>
        <w:t xml:space="preserve"> (2006) confirma os demais estudos, ao encontrar evidências empíricas de que as fusões e aquisições internacionais tem maior possibilidade de insucesso quanto maior for o distanciamento cultural entre os países. </w:t>
      </w:r>
    </w:p>
    <w:p w:rsidR="003F4AC9" w:rsidRPr="00F47284" w:rsidRDefault="003F4AC9" w:rsidP="003B78A3">
      <w:pPr>
        <w:ind w:firstLine="420"/>
        <w:rPr>
          <w:sz w:val="24"/>
          <w:szCs w:val="24"/>
          <w:lang w:val="pt-BR"/>
        </w:rPr>
      </w:pPr>
      <w:r w:rsidRPr="00F47284">
        <w:rPr>
          <w:sz w:val="24"/>
          <w:szCs w:val="24"/>
          <w:lang w:val="pt-BR"/>
        </w:rPr>
        <w:t>Sendo assim as variáveis instrumentais utilizadas neste estudo, foram retiradas do “</w:t>
      </w:r>
      <w:proofErr w:type="spellStart"/>
      <w:r w:rsidRPr="00F47284">
        <w:rPr>
          <w:i/>
          <w:sz w:val="24"/>
          <w:szCs w:val="24"/>
          <w:lang w:val="pt-BR"/>
        </w:rPr>
        <w:t>Pew</w:t>
      </w:r>
      <w:proofErr w:type="spellEnd"/>
      <w:r w:rsidRPr="00F47284">
        <w:rPr>
          <w:i/>
          <w:sz w:val="24"/>
          <w:szCs w:val="24"/>
          <w:lang w:val="pt-BR"/>
        </w:rPr>
        <w:t xml:space="preserve"> </w:t>
      </w:r>
      <w:proofErr w:type="spellStart"/>
      <w:r w:rsidRPr="00F47284">
        <w:rPr>
          <w:i/>
          <w:sz w:val="24"/>
          <w:szCs w:val="24"/>
          <w:lang w:val="pt-BR"/>
        </w:rPr>
        <w:t>Research</w:t>
      </w:r>
      <w:proofErr w:type="spellEnd"/>
      <w:r w:rsidRPr="00F47284">
        <w:rPr>
          <w:i/>
          <w:sz w:val="24"/>
          <w:szCs w:val="24"/>
          <w:lang w:val="pt-BR"/>
        </w:rPr>
        <w:t xml:space="preserve"> Center: </w:t>
      </w:r>
      <w:proofErr w:type="spellStart"/>
      <w:r w:rsidRPr="00F47284">
        <w:rPr>
          <w:i/>
          <w:sz w:val="24"/>
          <w:szCs w:val="24"/>
          <w:lang w:val="pt-BR"/>
        </w:rPr>
        <w:t>Religion</w:t>
      </w:r>
      <w:proofErr w:type="spellEnd"/>
      <w:r w:rsidRPr="00F47284">
        <w:rPr>
          <w:i/>
          <w:sz w:val="24"/>
          <w:szCs w:val="24"/>
          <w:lang w:val="pt-BR"/>
        </w:rPr>
        <w:t xml:space="preserve"> &amp; </w:t>
      </w:r>
      <w:proofErr w:type="spellStart"/>
      <w:r w:rsidRPr="00F47284">
        <w:rPr>
          <w:i/>
          <w:sz w:val="24"/>
          <w:szCs w:val="24"/>
          <w:lang w:val="pt-BR"/>
        </w:rPr>
        <w:t>Public</w:t>
      </w:r>
      <w:proofErr w:type="spellEnd"/>
      <w:r w:rsidRPr="00F47284">
        <w:rPr>
          <w:i/>
          <w:sz w:val="24"/>
          <w:szCs w:val="24"/>
          <w:lang w:val="pt-BR"/>
        </w:rPr>
        <w:t xml:space="preserve"> Life</w:t>
      </w:r>
      <w:r w:rsidRPr="00F47284">
        <w:rPr>
          <w:sz w:val="24"/>
          <w:szCs w:val="24"/>
          <w:lang w:val="pt-BR"/>
        </w:rPr>
        <w:t xml:space="preserve">”, as quais são: </w:t>
      </w:r>
    </w:p>
    <w:p w:rsidR="003F4AC9" w:rsidRPr="00F47284" w:rsidRDefault="003F4AC9" w:rsidP="003B78A3">
      <w:pPr>
        <w:pStyle w:val="PargrafodaLista"/>
        <w:widowControl/>
        <w:numPr>
          <w:ilvl w:val="0"/>
          <w:numId w:val="4"/>
        </w:numPr>
        <w:ind w:left="0" w:firstLineChars="0" w:firstLine="567"/>
        <w:contextualSpacing/>
        <w:rPr>
          <w:sz w:val="24"/>
          <w:lang w:val="pt-BR"/>
        </w:rPr>
      </w:pPr>
      <w:r w:rsidRPr="00F47284">
        <w:rPr>
          <w:sz w:val="24"/>
          <w:lang w:val="pt-BR"/>
        </w:rPr>
        <w:t>Distância Euclidiana da Religião (</w:t>
      </w:r>
      <w:proofErr w:type="spellStart"/>
      <w:r w:rsidRPr="00F47284">
        <w:rPr>
          <w:sz w:val="24"/>
          <w:lang w:val="pt-BR"/>
        </w:rPr>
        <w:t>DeuRel</w:t>
      </w:r>
      <w:proofErr w:type="spellEnd"/>
      <w:r w:rsidRPr="00F47284">
        <w:rPr>
          <w:sz w:val="24"/>
          <w:lang w:val="pt-BR"/>
        </w:rPr>
        <w:t>), onde considera-se o percentual na população de cada país de cristões, hindus, muçulmanos, judeus, credos nativos, outras religiões e não filiados a nenhuma religião com relação aos percentuais apresentados pela população dos Estados Unidos, tomado como base para medir a distância cultural entre os países.</w:t>
      </w:r>
    </w:p>
    <w:p w:rsidR="003F4AC9" w:rsidRPr="00F47284" w:rsidRDefault="003F4AC9" w:rsidP="003B78A3">
      <w:pPr>
        <w:pStyle w:val="PargrafodaLista"/>
        <w:widowControl/>
        <w:numPr>
          <w:ilvl w:val="0"/>
          <w:numId w:val="4"/>
        </w:numPr>
        <w:ind w:left="0" w:firstLineChars="0" w:firstLine="567"/>
        <w:contextualSpacing/>
        <w:rPr>
          <w:sz w:val="24"/>
          <w:lang w:val="pt-BR"/>
        </w:rPr>
      </w:pPr>
      <w:r w:rsidRPr="00F47284">
        <w:rPr>
          <w:sz w:val="24"/>
          <w:lang w:val="pt-BR"/>
        </w:rPr>
        <w:t>Religião Majoritária (</w:t>
      </w:r>
      <w:proofErr w:type="spellStart"/>
      <w:r w:rsidRPr="00F47284">
        <w:rPr>
          <w:sz w:val="24"/>
          <w:lang w:val="pt-BR"/>
        </w:rPr>
        <w:t>RelMaj</w:t>
      </w:r>
      <w:proofErr w:type="spellEnd"/>
      <w:r w:rsidRPr="00F47284">
        <w:rPr>
          <w:sz w:val="24"/>
          <w:lang w:val="pt-BR"/>
        </w:rPr>
        <w:t>), onde considera-se o percentual de participação da religião predominante no país em relação ao total de outras religiões presentes no mesmo país.</w:t>
      </w:r>
    </w:p>
    <w:p w:rsidR="003F4AC9" w:rsidRPr="00F47284" w:rsidRDefault="003F4AC9" w:rsidP="003B78A3">
      <w:pPr>
        <w:ind w:firstLine="424"/>
        <w:rPr>
          <w:sz w:val="24"/>
          <w:szCs w:val="24"/>
          <w:lang w:val="pt-BR"/>
        </w:rPr>
      </w:pPr>
      <w:r w:rsidRPr="00F47284">
        <w:rPr>
          <w:sz w:val="24"/>
          <w:szCs w:val="24"/>
          <w:lang w:val="pt-BR"/>
        </w:rPr>
        <w:t xml:space="preserve">As instituições políticas, formais ou jurídicas, recebem influência do sistema de crenças e de valores religiosos, os quais impõem restrições e incentivos ao comportamento individual e, por conseguinte, às iniciativas que conduzem o processo de desenvolvimento econômico. Segundo Barro e </w:t>
      </w:r>
      <w:proofErr w:type="spellStart"/>
      <w:r w:rsidRPr="00F47284">
        <w:rPr>
          <w:sz w:val="24"/>
          <w:szCs w:val="24"/>
          <w:lang w:val="pt-BR"/>
        </w:rPr>
        <w:t>McCleary</w:t>
      </w:r>
      <w:proofErr w:type="spellEnd"/>
      <w:r w:rsidRPr="00F47284">
        <w:rPr>
          <w:sz w:val="24"/>
          <w:szCs w:val="24"/>
          <w:lang w:val="pt-BR"/>
        </w:rPr>
        <w:t xml:space="preserve"> (2003), o crescimento econômico é afetado pelas crenças religiosas sobre, por exemplo, no que diz respeito a existência de céu e inferno, e vida além da morte. Além disso, La Porta </w:t>
      </w:r>
      <w:r w:rsidRPr="00F47284">
        <w:rPr>
          <w:i/>
          <w:sz w:val="24"/>
          <w:szCs w:val="24"/>
          <w:lang w:val="pt-BR"/>
        </w:rPr>
        <w:t>et al.</w:t>
      </w:r>
      <w:r w:rsidRPr="00F47284">
        <w:rPr>
          <w:sz w:val="24"/>
          <w:szCs w:val="24"/>
          <w:lang w:val="pt-BR"/>
        </w:rPr>
        <w:t xml:space="preserve"> (1999) encontraram evidências de que fatores culturais e históricos são relevantes para explicar o desempenho dos governos, principalmente em países com estruturas religiosas muito sólidas e praticamente incontestáveis. </w:t>
      </w:r>
    </w:p>
    <w:p w:rsidR="003F4AC9" w:rsidRPr="00F47284" w:rsidRDefault="003F4AC9" w:rsidP="003B78A3">
      <w:pPr>
        <w:ind w:firstLine="424"/>
        <w:rPr>
          <w:sz w:val="24"/>
          <w:szCs w:val="24"/>
          <w:lang w:val="pt-BR"/>
        </w:rPr>
      </w:pPr>
      <w:r w:rsidRPr="00F47284">
        <w:rPr>
          <w:sz w:val="24"/>
          <w:szCs w:val="24"/>
          <w:lang w:val="pt-BR"/>
        </w:rPr>
        <w:lastRenderedPageBreak/>
        <w:t xml:space="preserve">A quantidade de adeptos a determinadas religiões se torna um fator relevante para o caminho institucional de um país. A </w:t>
      </w:r>
      <w:r w:rsidRPr="00F47284">
        <w:rPr>
          <w:i/>
          <w:sz w:val="24"/>
          <w:szCs w:val="24"/>
          <w:lang w:val="pt-BR"/>
        </w:rPr>
        <w:t xml:space="preserve">proxies </w:t>
      </w:r>
      <w:r w:rsidRPr="00F47284">
        <w:rPr>
          <w:sz w:val="24"/>
          <w:szCs w:val="24"/>
          <w:lang w:val="pt-BR"/>
        </w:rPr>
        <w:t xml:space="preserve">adotadas neste trabalho para medir a influência da religião sobre o comportamento dos indivíduos na sociedade, foram a distância euclidiana da religião e a religião majoritária. Estes instrumentos foram escolhidos devido à importância da cultura, e mais especificamente da religião, no desenvolvimento dos arranjos institucionais. A religião, ao retratar os valores e crenças dos indivíduos, reflete o tipo de colonização de cada país, bem como o seu desenvolvimento histórico e os padrões de organização criados com o passar do tempo. </w:t>
      </w:r>
    </w:p>
    <w:p w:rsidR="00880387" w:rsidRPr="00F47284" w:rsidRDefault="003F4AC9" w:rsidP="003B78A3">
      <w:pPr>
        <w:ind w:firstLine="424"/>
        <w:rPr>
          <w:sz w:val="24"/>
          <w:szCs w:val="24"/>
          <w:lang w:val="pt-BR"/>
        </w:rPr>
      </w:pPr>
      <w:r w:rsidRPr="00F47284">
        <w:rPr>
          <w:sz w:val="24"/>
          <w:szCs w:val="24"/>
          <w:lang w:val="pt-BR"/>
        </w:rPr>
        <w:t xml:space="preserve">Portanto, o padrão de classificação da população entre diferentes tipos de crenças religiosas foi escolhido como instrumento para controlar a </w:t>
      </w:r>
      <w:proofErr w:type="spellStart"/>
      <w:r w:rsidRPr="00F47284">
        <w:rPr>
          <w:sz w:val="24"/>
          <w:szCs w:val="24"/>
          <w:lang w:val="pt-BR"/>
        </w:rPr>
        <w:t>endogeneidade</w:t>
      </w:r>
      <w:proofErr w:type="spellEnd"/>
      <w:r w:rsidRPr="00F47284">
        <w:rPr>
          <w:sz w:val="24"/>
          <w:szCs w:val="24"/>
          <w:lang w:val="pt-BR"/>
        </w:rPr>
        <w:t xml:space="preserve"> e a correlação das variáveis do modelo. Contudo, além da participação das variáveis </w:t>
      </w:r>
      <w:proofErr w:type="spellStart"/>
      <w:r w:rsidRPr="00F47284">
        <w:rPr>
          <w:sz w:val="24"/>
          <w:szCs w:val="24"/>
          <w:lang w:val="pt-BR"/>
        </w:rPr>
        <w:t>DeuRel</w:t>
      </w:r>
      <w:proofErr w:type="spellEnd"/>
      <w:r w:rsidRPr="00F47284">
        <w:rPr>
          <w:sz w:val="24"/>
          <w:szCs w:val="24"/>
          <w:lang w:val="pt-BR"/>
        </w:rPr>
        <w:t xml:space="preserve"> e </w:t>
      </w:r>
      <w:proofErr w:type="spellStart"/>
      <w:r w:rsidRPr="00F47284">
        <w:rPr>
          <w:sz w:val="24"/>
          <w:szCs w:val="24"/>
          <w:lang w:val="pt-BR"/>
        </w:rPr>
        <w:t>RelMaj</w:t>
      </w:r>
      <w:proofErr w:type="spellEnd"/>
      <w:r w:rsidRPr="00F47284">
        <w:rPr>
          <w:i/>
          <w:sz w:val="24"/>
          <w:szCs w:val="24"/>
          <w:lang w:val="pt-BR"/>
        </w:rPr>
        <w:t xml:space="preserve"> </w:t>
      </w:r>
      <w:r w:rsidRPr="00F47284">
        <w:rPr>
          <w:sz w:val="24"/>
          <w:szCs w:val="24"/>
          <w:lang w:val="pt-BR"/>
        </w:rPr>
        <w:t>como instrumentos, as variáveis de controle também entram neste conjunto, uma vez que são necessárias para instrumentalizar e gerar equilíbrio nos modelos de Mínimos Quadrados em Dois Estágios (MQ2E) onde serão aplicadas.</w:t>
      </w:r>
    </w:p>
    <w:p w:rsidR="00DD4E6A" w:rsidRPr="00F47284" w:rsidRDefault="00DD4E6A" w:rsidP="003B78A3">
      <w:pPr>
        <w:ind w:firstLine="424"/>
        <w:rPr>
          <w:sz w:val="24"/>
          <w:szCs w:val="24"/>
          <w:lang w:val="pt-BR"/>
        </w:rPr>
      </w:pPr>
    </w:p>
    <w:p w:rsidR="00880387" w:rsidRPr="00F47284" w:rsidRDefault="00880387" w:rsidP="003B78A3">
      <w:pPr>
        <w:pStyle w:val="Headings2"/>
        <w:ind w:firstLine="482"/>
        <w:rPr>
          <w:sz w:val="24"/>
          <w:szCs w:val="24"/>
          <w:lang w:val="pt-BR"/>
        </w:rPr>
      </w:pPr>
      <w:r w:rsidRPr="00F47284">
        <w:rPr>
          <w:sz w:val="24"/>
          <w:szCs w:val="24"/>
          <w:lang w:val="pt-BR"/>
        </w:rPr>
        <w:t>3.4 Resultados</w:t>
      </w:r>
    </w:p>
    <w:p w:rsidR="0003531F" w:rsidRPr="00F47284" w:rsidRDefault="00880387" w:rsidP="003B78A3">
      <w:pPr>
        <w:ind w:firstLine="420"/>
        <w:rPr>
          <w:sz w:val="24"/>
          <w:szCs w:val="24"/>
          <w:lang w:val="pt-BR"/>
        </w:rPr>
      </w:pPr>
      <w:r w:rsidRPr="00F47284">
        <w:rPr>
          <w:sz w:val="24"/>
          <w:szCs w:val="24"/>
          <w:lang w:val="pt-BR"/>
        </w:rPr>
        <w:t xml:space="preserve">Partindo das informações apresentadas até aqui, serão estimados quatro modelos econométricos utilizando o </w:t>
      </w:r>
      <w:r w:rsidRPr="00F47284">
        <w:rPr>
          <w:i/>
          <w:sz w:val="24"/>
          <w:szCs w:val="24"/>
          <w:lang w:val="pt-BR"/>
        </w:rPr>
        <w:t>software</w:t>
      </w:r>
      <w:r w:rsidRPr="00F47284">
        <w:rPr>
          <w:sz w:val="24"/>
          <w:szCs w:val="24"/>
          <w:lang w:val="pt-BR"/>
        </w:rPr>
        <w:t xml:space="preserve"> S</w:t>
      </w:r>
      <w:r w:rsidR="008E5324" w:rsidRPr="00F47284">
        <w:rPr>
          <w:sz w:val="24"/>
          <w:szCs w:val="24"/>
          <w:lang w:val="pt-BR"/>
        </w:rPr>
        <w:t>TATA 13.0</w:t>
      </w:r>
      <w:r w:rsidR="0048407B" w:rsidRPr="00F47284">
        <w:rPr>
          <w:sz w:val="24"/>
          <w:szCs w:val="24"/>
          <w:lang w:val="pt-BR"/>
        </w:rPr>
        <w:t xml:space="preserve">. Os Modelos 1A </w:t>
      </w:r>
      <w:r w:rsidRPr="00F47284">
        <w:rPr>
          <w:sz w:val="24"/>
          <w:szCs w:val="24"/>
          <w:lang w:val="pt-BR"/>
        </w:rPr>
        <w:t xml:space="preserve">e </w:t>
      </w:r>
      <w:r w:rsidR="00642B2A" w:rsidRPr="00F47284">
        <w:rPr>
          <w:sz w:val="24"/>
          <w:szCs w:val="24"/>
          <w:lang w:val="pt-BR"/>
        </w:rPr>
        <w:t>1B</w:t>
      </w:r>
      <w:r w:rsidRPr="00F47284">
        <w:rPr>
          <w:sz w:val="24"/>
          <w:szCs w:val="24"/>
          <w:lang w:val="pt-BR"/>
        </w:rPr>
        <w:t xml:space="preserve"> serão estimados através de regressão com dados em painel, utilizando a aplicação do estimador mais adequado segundo testes específicos, já os Modelos </w:t>
      </w:r>
      <w:r w:rsidR="0048407B" w:rsidRPr="00F47284">
        <w:rPr>
          <w:sz w:val="24"/>
          <w:szCs w:val="24"/>
          <w:lang w:val="pt-BR"/>
        </w:rPr>
        <w:t>1B e 2B</w:t>
      </w:r>
      <w:r w:rsidRPr="00F47284">
        <w:rPr>
          <w:sz w:val="24"/>
          <w:szCs w:val="24"/>
          <w:lang w:val="pt-BR"/>
        </w:rPr>
        <w:t xml:space="preserve"> serão estimados empregando o método de Mínimos Quadrados em Dois Estágios (MQ2E), com dados em painel. </w:t>
      </w:r>
    </w:p>
    <w:p w:rsidR="00880387" w:rsidRPr="00F47284" w:rsidRDefault="00880387" w:rsidP="003B78A3">
      <w:pPr>
        <w:ind w:firstLine="424"/>
        <w:rPr>
          <w:sz w:val="24"/>
          <w:szCs w:val="24"/>
          <w:lang w:val="pt-BR"/>
        </w:rPr>
      </w:pPr>
      <w:r w:rsidRPr="00F47284">
        <w:rPr>
          <w:sz w:val="24"/>
          <w:szCs w:val="24"/>
          <w:lang w:val="pt-BR"/>
        </w:rPr>
        <w:t>Inicialmente, para os Modelos 1</w:t>
      </w:r>
      <w:r w:rsidR="0048407B" w:rsidRPr="00F47284">
        <w:rPr>
          <w:sz w:val="24"/>
          <w:szCs w:val="24"/>
          <w:lang w:val="pt-BR"/>
        </w:rPr>
        <w:t>A</w:t>
      </w:r>
      <w:r w:rsidRPr="00F47284">
        <w:rPr>
          <w:sz w:val="24"/>
          <w:szCs w:val="24"/>
          <w:lang w:val="pt-BR"/>
        </w:rPr>
        <w:t xml:space="preserve"> e </w:t>
      </w:r>
      <w:r w:rsidR="00642B2A" w:rsidRPr="00F47284">
        <w:rPr>
          <w:sz w:val="24"/>
          <w:szCs w:val="24"/>
          <w:lang w:val="pt-BR"/>
        </w:rPr>
        <w:t>1B</w:t>
      </w:r>
      <w:r w:rsidRPr="00F47284">
        <w:rPr>
          <w:sz w:val="24"/>
          <w:szCs w:val="24"/>
          <w:lang w:val="pt-BR"/>
        </w:rPr>
        <w:t xml:space="preserve"> efetuou-se os diagnósticos de painel através de testes específicos. Os parâmetros de decisão de cada teste foram calculados, e expostos resumidamente na Tabela 2.</w:t>
      </w:r>
    </w:p>
    <w:p w:rsidR="00880387" w:rsidRPr="00F47284" w:rsidRDefault="00880387" w:rsidP="003B78A3">
      <w:pPr>
        <w:jc w:val="center"/>
        <w:rPr>
          <w:b/>
          <w:sz w:val="24"/>
          <w:szCs w:val="24"/>
          <w:lang w:val="pt-BR"/>
        </w:rPr>
      </w:pPr>
      <w:r w:rsidRPr="00F47284">
        <w:rPr>
          <w:b/>
          <w:sz w:val="24"/>
          <w:szCs w:val="24"/>
          <w:lang w:val="pt-BR"/>
        </w:rPr>
        <w:t>Tabela 2</w:t>
      </w:r>
      <w:r w:rsidR="002A3206" w:rsidRPr="00F47284">
        <w:rPr>
          <w:b/>
          <w:sz w:val="24"/>
          <w:szCs w:val="24"/>
          <w:lang w:val="pt-BR"/>
        </w:rPr>
        <w:t xml:space="preserve"> – Resultados dos p</w:t>
      </w:r>
      <w:r w:rsidRPr="00F47284">
        <w:rPr>
          <w:b/>
          <w:sz w:val="24"/>
          <w:szCs w:val="24"/>
          <w:lang w:val="pt-BR"/>
        </w:rPr>
        <w:t>arâmetros de decisão entre modelos</w:t>
      </w:r>
    </w:p>
    <w:tbl>
      <w:tblPr>
        <w:tblW w:w="7839" w:type="dxa"/>
        <w:jc w:val="center"/>
        <w:tblBorders>
          <w:top w:val="single" w:sz="4" w:space="0" w:color="7F7F7F"/>
          <w:bottom w:val="single" w:sz="4" w:space="0" w:color="7F7F7F"/>
        </w:tblBorders>
        <w:tblLook w:val="04A0" w:firstRow="1" w:lastRow="0" w:firstColumn="1" w:lastColumn="0" w:noHBand="0" w:noVBand="1"/>
      </w:tblPr>
      <w:tblGrid>
        <w:gridCol w:w="4291"/>
        <w:gridCol w:w="1774"/>
        <w:gridCol w:w="1774"/>
      </w:tblGrid>
      <w:tr w:rsidR="00D20D05" w:rsidRPr="0022530D" w:rsidTr="005051E9">
        <w:trPr>
          <w:trHeight w:val="296"/>
          <w:jc w:val="center"/>
        </w:trPr>
        <w:tc>
          <w:tcPr>
            <w:tcW w:w="4291" w:type="dxa"/>
            <w:tcBorders>
              <w:top w:val="single" w:sz="12" w:space="0" w:color="auto"/>
              <w:bottom w:val="single" w:sz="4" w:space="0" w:color="auto"/>
            </w:tcBorders>
            <w:shd w:val="clear" w:color="auto" w:fill="auto"/>
            <w:noWrap/>
            <w:hideMark/>
          </w:tcPr>
          <w:p w:rsidR="00880387" w:rsidRPr="0022530D" w:rsidRDefault="00880387" w:rsidP="003B78A3">
            <w:pPr>
              <w:rPr>
                <w:rFonts w:eastAsia="Times New Roman"/>
                <w:b/>
                <w:bCs/>
                <w:sz w:val="22"/>
                <w:szCs w:val="24"/>
                <w:lang w:val="pt-BR"/>
              </w:rPr>
            </w:pPr>
          </w:p>
        </w:tc>
        <w:tc>
          <w:tcPr>
            <w:tcW w:w="1774" w:type="dxa"/>
            <w:tcBorders>
              <w:top w:val="single" w:sz="12" w:space="0" w:color="auto"/>
              <w:bottom w:val="single" w:sz="4" w:space="0" w:color="auto"/>
            </w:tcBorders>
            <w:shd w:val="clear" w:color="auto" w:fill="auto"/>
            <w:noWrap/>
            <w:hideMark/>
          </w:tcPr>
          <w:p w:rsidR="00880387" w:rsidRPr="0022530D" w:rsidRDefault="00880387" w:rsidP="003B78A3">
            <w:pPr>
              <w:jc w:val="center"/>
              <w:rPr>
                <w:rFonts w:eastAsia="Times New Roman"/>
                <w:bCs/>
                <w:sz w:val="22"/>
                <w:szCs w:val="24"/>
                <w:lang w:val="pt-BR"/>
              </w:rPr>
            </w:pPr>
            <w:r w:rsidRPr="0022530D">
              <w:rPr>
                <w:rFonts w:eastAsia="Times New Roman"/>
                <w:bCs/>
                <w:sz w:val="22"/>
                <w:szCs w:val="24"/>
                <w:lang w:val="pt-BR"/>
              </w:rPr>
              <w:t>Modelo 1</w:t>
            </w:r>
            <w:r w:rsidR="00F630E7" w:rsidRPr="0022530D">
              <w:rPr>
                <w:rFonts w:eastAsia="Times New Roman"/>
                <w:bCs/>
                <w:sz w:val="22"/>
                <w:szCs w:val="24"/>
                <w:lang w:val="pt-BR"/>
              </w:rPr>
              <w:t>A</w:t>
            </w:r>
          </w:p>
        </w:tc>
        <w:tc>
          <w:tcPr>
            <w:tcW w:w="1774" w:type="dxa"/>
            <w:tcBorders>
              <w:top w:val="single" w:sz="12" w:space="0" w:color="auto"/>
              <w:bottom w:val="single" w:sz="4" w:space="0" w:color="auto"/>
            </w:tcBorders>
            <w:shd w:val="clear" w:color="auto" w:fill="auto"/>
            <w:noWrap/>
            <w:hideMark/>
          </w:tcPr>
          <w:p w:rsidR="00880387" w:rsidRPr="0022530D" w:rsidRDefault="0048407B" w:rsidP="003B78A3">
            <w:pPr>
              <w:jc w:val="center"/>
              <w:rPr>
                <w:rFonts w:eastAsia="Times New Roman"/>
                <w:bCs/>
                <w:sz w:val="22"/>
                <w:szCs w:val="24"/>
                <w:lang w:val="pt-BR"/>
              </w:rPr>
            </w:pPr>
            <w:r w:rsidRPr="0022530D">
              <w:rPr>
                <w:rFonts w:eastAsia="Times New Roman"/>
                <w:bCs/>
                <w:sz w:val="22"/>
                <w:szCs w:val="24"/>
                <w:lang w:val="pt-BR"/>
              </w:rPr>
              <w:t xml:space="preserve">Modelo </w:t>
            </w:r>
            <w:r w:rsidR="00642B2A" w:rsidRPr="0022530D">
              <w:rPr>
                <w:rFonts w:eastAsia="Times New Roman"/>
                <w:bCs/>
                <w:sz w:val="22"/>
                <w:szCs w:val="24"/>
                <w:lang w:val="pt-BR"/>
              </w:rPr>
              <w:t>1B</w:t>
            </w:r>
          </w:p>
        </w:tc>
      </w:tr>
      <w:tr w:rsidR="00D20D05" w:rsidRPr="0022530D" w:rsidTr="005051E9">
        <w:trPr>
          <w:trHeight w:val="508"/>
          <w:jc w:val="center"/>
        </w:trPr>
        <w:tc>
          <w:tcPr>
            <w:tcW w:w="4291" w:type="dxa"/>
            <w:tcBorders>
              <w:top w:val="single" w:sz="4" w:space="0" w:color="auto"/>
              <w:bottom w:val="nil"/>
            </w:tcBorders>
            <w:shd w:val="clear" w:color="auto" w:fill="auto"/>
            <w:noWrap/>
            <w:vAlign w:val="center"/>
            <w:hideMark/>
          </w:tcPr>
          <w:p w:rsidR="00880387" w:rsidRPr="0022530D" w:rsidRDefault="00880387" w:rsidP="003B78A3">
            <w:pPr>
              <w:jc w:val="center"/>
              <w:rPr>
                <w:rFonts w:eastAsia="Times New Roman"/>
                <w:bCs/>
                <w:sz w:val="22"/>
                <w:szCs w:val="24"/>
                <w:lang w:val="pt-BR"/>
              </w:rPr>
            </w:pPr>
            <w:r w:rsidRPr="0022530D">
              <w:rPr>
                <w:rFonts w:eastAsia="Times New Roman"/>
                <w:bCs/>
                <w:sz w:val="22"/>
                <w:szCs w:val="24"/>
                <w:lang w:val="pt-BR"/>
              </w:rPr>
              <w:t>Teste F de contribuição marginal</w:t>
            </w:r>
          </w:p>
        </w:tc>
        <w:tc>
          <w:tcPr>
            <w:tcW w:w="1774" w:type="dxa"/>
            <w:tcBorders>
              <w:top w:val="single" w:sz="4" w:space="0" w:color="auto"/>
              <w:bottom w:val="nil"/>
            </w:tcBorders>
            <w:shd w:val="clear" w:color="auto" w:fill="auto"/>
            <w:noWrap/>
            <w:vAlign w:val="center"/>
            <w:hideMark/>
          </w:tcPr>
          <w:p w:rsidR="00880387" w:rsidRPr="0022530D" w:rsidRDefault="00880387" w:rsidP="003B78A3">
            <w:pPr>
              <w:jc w:val="center"/>
              <w:rPr>
                <w:rFonts w:eastAsia="Times New Roman"/>
                <w:sz w:val="22"/>
                <w:szCs w:val="24"/>
                <w:lang w:val="pt-BR"/>
              </w:rPr>
            </w:pPr>
            <w:r w:rsidRPr="0022530D">
              <w:rPr>
                <w:rFonts w:eastAsia="Times New Roman"/>
                <w:sz w:val="22"/>
                <w:szCs w:val="24"/>
                <w:lang w:val="pt-BR"/>
              </w:rPr>
              <w:t>8,09</w:t>
            </w:r>
          </w:p>
          <w:p w:rsidR="00880387" w:rsidRPr="0022530D" w:rsidRDefault="00880387" w:rsidP="003B78A3">
            <w:pPr>
              <w:jc w:val="center"/>
              <w:rPr>
                <w:rFonts w:eastAsia="Times New Roman"/>
                <w:sz w:val="22"/>
                <w:szCs w:val="24"/>
                <w:lang w:val="pt-BR"/>
              </w:rPr>
            </w:pPr>
            <w:r w:rsidRPr="0022530D">
              <w:rPr>
                <w:rFonts w:eastAsia="Times New Roman"/>
                <w:sz w:val="22"/>
                <w:szCs w:val="24"/>
                <w:lang w:val="pt-BR"/>
              </w:rPr>
              <w:t>[0.0000]</w:t>
            </w:r>
          </w:p>
        </w:tc>
        <w:tc>
          <w:tcPr>
            <w:tcW w:w="1774" w:type="dxa"/>
            <w:tcBorders>
              <w:top w:val="single" w:sz="4" w:space="0" w:color="auto"/>
              <w:bottom w:val="nil"/>
            </w:tcBorders>
            <w:shd w:val="clear" w:color="auto" w:fill="auto"/>
            <w:noWrap/>
            <w:vAlign w:val="center"/>
            <w:hideMark/>
          </w:tcPr>
          <w:p w:rsidR="00880387" w:rsidRPr="0022530D" w:rsidRDefault="00880387" w:rsidP="003B78A3">
            <w:pPr>
              <w:jc w:val="center"/>
              <w:rPr>
                <w:rFonts w:eastAsia="Times New Roman"/>
                <w:sz w:val="22"/>
                <w:szCs w:val="24"/>
                <w:lang w:val="pt-BR"/>
              </w:rPr>
            </w:pPr>
            <w:r w:rsidRPr="0022530D">
              <w:rPr>
                <w:rFonts w:eastAsia="Times New Roman"/>
                <w:sz w:val="22"/>
                <w:szCs w:val="24"/>
                <w:lang w:val="pt-BR"/>
              </w:rPr>
              <w:t>7,60</w:t>
            </w:r>
          </w:p>
          <w:p w:rsidR="00880387" w:rsidRPr="0022530D" w:rsidRDefault="00880387" w:rsidP="003B78A3">
            <w:pPr>
              <w:jc w:val="center"/>
              <w:rPr>
                <w:rFonts w:eastAsia="Times New Roman"/>
                <w:sz w:val="22"/>
                <w:szCs w:val="24"/>
                <w:lang w:val="pt-BR"/>
              </w:rPr>
            </w:pPr>
            <w:r w:rsidRPr="0022530D">
              <w:rPr>
                <w:rFonts w:eastAsia="Times New Roman"/>
                <w:sz w:val="22"/>
                <w:szCs w:val="24"/>
                <w:lang w:val="pt-BR"/>
              </w:rPr>
              <w:t>[0.0000]</w:t>
            </w:r>
          </w:p>
        </w:tc>
      </w:tr>
      <w:tr w:rsidR="00D20D05" w:rsidRPr="0022530D" w:rsidTr="00315C01">
        <w:trPr>
          <w:trHeight w:val="652"/>
          <w:jc w:val="center"/>
        </w:trPr>
        <w:tc>
          <w:tcPr>
            <w:tcW w:w="4291" w:type="dxa"/>
            <w:tcBorders>
              <w:top w:val="nil"/>
              <w:bottom w:val="nil"/>
            </w:tcBorders>
            <w:shd w:val="clear" w:color="auto" w:fill="E7E6E6"/>
            <w:noWrap/>
            <w:vAlign w:val="center"/>
            <w:hideMark/>
          </w:tcPr>
          <w:p w:rsidR="00880387" w:rsidRPr="0022530D" w:rsidRDefault="00880387" w:rsidP="003B78A3">
            <w:pPr>
              <w:jc w:val="center"/>
              <w:rPr>
                <w:rFonts w:eastAsia="Times New Roman"/>
                <w:bCs/>
                <w:sz w:val="22"/>
                <w:szCs w:val="24"/>
                <w:lang w:val="pt-BR"/>
              </w:rPr>
            </w:pPr>
            <w:r w:rsidRPr="0022530D">
              <w:rPr>
                <w:rFonts w:eastAsia="Times New Roman"/>
                <w:bCs/>
                <w:sz w:val="22"/>
                <w:szCs w:val="24"/>
                <w:lang w:val="pt-BR"/>
              </w:rPr>
              <w:t xml:space="preserve">Teste de </w:t>
            </w:r>
            <w:proofErr w:type="spellStart"/>
            <w:r w:rsidRPr="0022530D">
              <w:rPr>
                <w:rFonts w:eastAsia="Times New Roman"/>
                <w:bCs/>
                <w:sz w:val="22"/>
                <w:szCs w:val="24"/>
                <w:lang w:val="pt-BR"/>
              </w:rPr>
              <w:t>Breusch</w:t>
            </w:r>
            <w:proofErr w:type="spellEnd"/>
            <w:r w:rsidRPr="0022530D">
              <w:rPr>
                <w:rFonts w:eastAsia="Times New Roman"/>
                <w:bCs/>
                <w:sz w:val="22"/>
                <w:szCs w:val="24"/>
                <w:lang w:val="pt-BR"/>
              </w:rPr>
              <w:t xml:space="preserve"> e </w:t>
            </w:r>
            <w:proofErr w:type="spellStart"/>
            <w:r w:rsidRPr="0022530D">
              <w:rPr>
                <w:rFonts w:eastAsia="Times New Roman"/>
                <w:bCs/>
                <w:sz w:val="22"/>
                <w:szCs w:val="24"/>
                <w:lang w:val="pt-BR"/>
              </w:rPr>
              <w:t>Pagan</w:t>
            </w:r>
            <w:proofErr w:type="spellEnd"/>
          </w:p>
        </w:tc>
        <w:tc>
          <w:tcPr>
            <w:tcW w:w="1774" w:type="dxa"/>
            <w:tcBorders>
              <w:top w:val="nil"/>
              <w:bottom w:val="nil"/>
            </w:tcBorders>
            <w:shd w:val="clear" w:color="auto" w:fill="E7E6E6"/>
            <w:noWrap/>
            <w:vAlign w:val="center"/>
            <w:hideMark/>
          </w:tcPr>
          <w:p w:rsidR="00880387" w:rsidRPr="0022530D" w:rsidRDefault="00880387" w:rsidP="003B78A3">
            <w:pPr>
              <w:jc w:val="center"/>
              <w:rPr>
                <w:rFonts w:eastAsia="Times New Roman"/>
                <w:sz w:val="22"/>
                <w:szCs w:val="24"/>
                <w:lang w:val="pt-BR"/>
              </w:rPr>
            </w:pPr>
            <w:r w:rsidRPr="0022530D">
              <w:rPr>
                <w:rFonts w:eastAsia="Times New Roman"/>
                <w:sz w:val="22"/>
                <w:szCs w:val="24"/>
                <w:lang w:val="pt-BR"/>
              </w:rPr>
              <w:t>434,58</w:t>
            </w:r>
          </w:p>
          <w:p w:rsidR="00880387" w:rsidRPr="0022530D" w:rsidRDefault="00880387" w:rsidP="003B78A3">
            <w:pPr>
              <w:jc w:val="center"/>
              <w:rPr>
                <w:rFonts w:eastAsia="Times New Roman"/>
                <w:sz w:val="22"/>
                <w:szCs w:val="24"/>
                <w:lang w:val="pt-BR"/>
              </w:rPr>
            </w:pPr>
            <w:r w:rsidRPr="0022530D">
              <w:rPr>
                <w:rFonts w:eastAsia="Times New Roman"/>
                <w:sz w:val="22"/>
                <w:szCs w:val="24"/>
                <w:lang w:val="pt-BR"/>
              </w:rPr>
              <w:t>[0.0000]</w:t>
            </w:r>
          </w:p>
        </w:tc>
        <w:tc>
          <w:tcPr>
            <w:tcW w:w="1774" w:type="dxa"/>
            <w:tcBorders>
              <w:top w:val="nil"/>
              <w:bottom w:val="nil"/>
            </w:tcBorders>
            <w:shd w:val="clear" w:color="auto" w:fill="E7E6E6"/>
            <w:noWrap/>
            <w:vAlign w:val="center"/>
            <w:hideMark/>
          </w:tcPr>
          <w:p w:rsidR="00880387" w:rsidRPr="0022530D" w:rsidRDefault="00880387" w:rsidP="003B78A3">
            <w:pPr>
              <w:jc w:val="center"/>
              <w:rPr>
                <w:rFonts w:eastAsia="Times New Roman"/>
                <w:sz w:val="22"/>
                <w:szCs w:val="24"/>
                <w:lang w:val="pt-BR"/>
              </w:rPr>
            </w:pPr>
            <w:r w:rsidRPr="0022530D">
              <w:rPr>
                <w:rFonts w:eastAsia="Times New Roman"/>
                <w:sz w:val="22"/>
                <w:szCs w:val="24"/>
                <w:lang w:val="pt-BR"/>
              </w:rPr>
              <w:t>425,92</w:t>
            </w:r>
          </w:p>
          <w:p w:rsidR="00880387" w:rsidRPr="0022530D" w:rsidRDefault="00880387" w:rsidP="003B78A3">
            <w:pPr>
              <w:jc w:val="center"/>
              <w:rPr>
                <w:rFonts w:eastAsia="Times New Roman"/>
                <w:sz w:val="22"/>
                <w:szCs w:val="24"/>
                <w:lang w:val="pt-BR"/>
              </w:rPr>
            </w:pPr>
            <w:r w:rsidRPr="0022530D">
              <w:rPr>
                <w:rFonts w:eastAsia="Times New Roman"/>
                <w:sz w:val="22"/>
                <w:szCs w:val="24"/>
                <w:lang w:val="pt-BR"/>
              </w:rPr>
              <w:t>[0.0000]</w:t>
            </w:r>
          </w:p>
        </w:tc>
      </w:tr>
      <w:tr w:rsidR="00D20D05" w:rsidRPr="0022530D" w:rsidTr="005051E9">
        <w:trPr>
          <w:trHeight w:val="230"/>
          <w:jc w:val="center"/>
        </w:trPr>
        <w:tc>
          <w:tcPr>
            <w:tcW w:w="4291" w:type="dxa"/>
            <w:tcBorders>
              <w:top w:val="nil"/>
              <w:bottom w:val="single" w:sz="12" w:space="0" w:color="auto"/>
            </w:tcBorders>
            <w:shd w:val="clear" w:color="auto" w:fill="auto"/>
            <w:noWrap/>
            <w:vAlign w:val="center"/>
            <w:hideMark/>
          </w:tcPr>
          <w:p w:rsidR="00880387" w:rsidRPr="0022530D" w:rsidRDefault="00880387" w:rsidP="003B78A3">
            <w:pPr>
              <w:jc w:val="center"/>
              <w:rPr>
                <w:rFonts w:eastAsia="Times New Roman"/>
                <w:bCs/>
                <w:sz w:val="22"/>
                <w:szCs w:val="24"/>
                <w:lang w:val="pt-BR"/>
              </w:rPr>
            </w:pPr>
            <w:r w:rsidRPr="0022530D">
              <w:rPr>
                <w:rFonts w:eastAsia="Times New Roman"/>
                <w:bCs/>
                <w:sz w:val="22"/>
                <w:szCs w:val="24"/>
                <w:lang w:val="pt-BR"/>
              </w:rPr>
              <w:t xml:space="preserve">Teste de </w:t>
            </w:r>
            <w:proofErr w:type="spellStart"/>
            <w:r w:rsidRPr="0022530D">
              <w:rPr>
                <w:rFonts w:eastAsia="Times New Roman"/>
                <w:bCs/>
                <w:sz w:val="22"/>
                <w:szCs w:val="24"/>
                <w:lang w:val="pt-BR"/>
              </w:rPr>
              <w:t>Hausman</w:t>
            </w:r>
            <w:proofErr w:type="spellEnd"/>
          </w:p>
        </w:tc>
        <w:tc>
          <w:tcPr>
            <w:tcW w:w="1774" w:type="dxa"/>
            <w:tcBorders>
              <w:top w:val="nil"/>
              <w:bottom w:val="single" w:sz="12" w:space="0" w:color="auto"/>
            </w:tcBorders>
            <w:shd w:val="clear" w:color="auto" w:fill="auto"/>
            <w:noWrap/>
            <w:vAlign w:val="center"/>
            <w:hideMark/>
          </w:tcPr>
          <w:p w:rsidR="00880387" w:rsidRPr="0022530D" w:rsidRDefault="00880387" w:rsidP="003B78A3">
            <w:pPr>
              <w:jc w:val="center"/>
              <w:rPr>
                <w:rFonts w:eastAsia="Times New Roman"/>
                <w:sz w:val="22"/>
                <w:szCs w:val="24"/>
                <w:lang w:val="pt-BR"/>
              </w:rPr>
            </w:pPr>
            <w:r w:rsidRPr="0022530D">
              <w:rPr>
                <w:rFonts w:eastAsia="Times New Roman"/>
                <w:sz w:val="22"/>
                <w:szCs w:val="24"/>
                <w:lang w:val="pt-BR"/>
              </w:rPr>
              <w:t>21,34</w:t>
            </w:r>
          </w:p>
          <w:p w:rsidR="00880387" w:rsidRPr="0022530D" w:rsidRDefault="00880387" w:rsidP="003B78A3">
            <w:pPr>
              <w:jc w:val="center"/>
              <w:rPr>
                <w:rFonts w:eastAsia="Times New Roman"/>
                <w:sz w:val="22"/>
                <w:szCs w:val="24"/>
                <w:lang w:val="pt-BR"/>
              </w:rPr>
            </w:pPr>
            <w:r w:rsidRPr="0022530D">
              <w:rPr>
                <w:rFonts w:eastAsia="Times New Roman"/>
                <w:sz w:val="22"/>
                <w:szCs w:val="24"/>
                <w:lang w:val="pt-BR"/>
              </w:rPr>
              <w:t>[0.0007]</w:t>
            </w:r>
          </w:p>
        </w:tc>
        <w:tc>
          <w:tcPr>
            <w:tcW w:w="1774" w:type="dxa"/>
            <w:tcBorders>
              <w:top w:val="nil"/>
              <w:bottom w:val="single" w:sz="12" w:space="0" w:color="auto"/>
            </w:tcBorders>
            <w:shd w:val="clear" w:color="auto" w:fill="auto"/>
            <w:noWrap/>
            <w:vAlign w:val="center"/>
            <w:hideMark/>
          </w:tcPr>
          <w:p w:rsidR="00880387" w:rsidRPr="0022530D" w:rsidRDefault="00880387" w:rsidP="003B78A3">
            <w:pPr>
              <w:jc w:val="center"/>
              <w:rPr>
                <w:rFonts w:eastAsia="Times New Roman"/>
                <w:sz w:val="22"/>
                <w:szCs w:val="24"/>
                <w:lang w:val="pt-BR"/>
              </w:rPr>
            </w:pPr>
            <w:r w:rsidRPr="0022530D">
              <w:rPr>
                <w:rFonts w:eastAsia="Times New Roman"/>
                <w:sz w:val="22"/>
                <w:szCs w:val="24"/>
                <w:lang w:val="pt-BR"/>
              </w:rPr>
              <w:t>26,38</w:t>
            </w:r>
          </w:p>
          <w:p w:rsidR="00880387" w:rsidRPr="0022530D" w:rsidRDefault="00880387" w:rsidP="003B78A3">
            <w:pPr>
              <w:jc w:val="center"/>
              <w:rPr>
                <w:rFonts w:eastAsia="Times New Roman"/>
                <w:sz w:val="22"/>
                <w:szCs w:val="24"/>
                <w:lang w:val="pt-BR"/>
              </w:rPr>
            </w:pPr>
            <w:r w:rsidRPr="0022530D">
              <w:rPr>
                <w:rFonts w:eastAsia="Times New Roman"/>
                <w:sz w:val="22"/>
                <w:szCs w:val="24"/>
                <w:lang w:val="pt-BR"/>
              </w:rPr>
              <w:t xml:space="preserve"> [0.0001]</w:t>
            </w:r>
          </w:p>
        </w:tc>
      </w:tr>
    </w:tbl>
    <w:p w:rsidR="00880387" w:rsidRPr="0022530D" w:rsidRDefault="00880387" w:rsidP="003B78A3">
      <w:pPr>
        <w:rPr>
          <w:sz w:val="20"/>
          <w:szCs w:val="24"/>
          <w:lang w:val="pt-BR"/>
        </w:rPr>
      </w:pPr>
      <w:r w:rsidRPr="0022530D">
        <w:rPr>
          <w:sz w:val="20"/>
          <w:szCs w:val="24"/>
          <w:lang w:val="pt-BR"/>
        </w:rPr>
        <w:t>Nota: Valores-</w:t>
      </w:r>
      <w:r w:rsidRPr="0022530D">
        <w:rPr>
          <w:i/>
          <w:sz w:val="20"/>
          <w:szCs w:val="24"/>
          <w:lang w:val="pt-BR"/>
        </w:rPr>
        <w:t>p</w:t>
      </w:r>
      <w:r w:rsidRPr="0022530D">
        <w:rPr>
          <w:sz w:val="20"/>
          <w:szCs w:val="24"/>
          <w:lang w:val="pt-BR"/>
        </w:rPr>
        <w:t xml:space="preserve"> entre colchetes abaixo do resultado de cada teste.</w:t>
      </w:r>
    </w:p>
    <w:p w:rsidR="003B78A3" w:rsidRPr="00F47284" w:rsidRDefault="003B78A3" w:rsidP="003B78A3">
      <w:pPr>
        <w:rPr>
          <w:sz w:val="24"/>
          <w:szCs w:val="24"/>
          <w:lang w:val="pt-BR"/>
        </w:rPr>
      </w:pPr>
    </w:p>
    <w:p w:rsidR="00880387" w:rsidRPr="00F47284" w:rsidRDefault="00880387" w:rsidP="003B78A3">
      <w:pPr>
        <w:rPr>
          <w:sz w:val="24"/>
          <w:szCs w:val="24"/>
          <w:lang w:val="pt-BR"/>
        </w:rPr>
      </w:pPr>
      <w:r w:rsidRPr="00F47284">
        <w:rPr>
          <w:sz w:val="24"/>
          <w:szCs w:val="24"/>
          <w:lang w:val="pt-BR"/>
        </w:rPr>
        <w:t xml:space="preserve"> </w:t>
      </w:r>
      <w:r w:rsidR="002A3206" w:rsidRPr="00F47284">
        <w:rPr>
          <w:sz w:val="24"/>
          <w:szCs w:val="24"/>
          <w:lang w:val="pt-BR"/>
        </w:rPr>
        <w:tab/>
      </w:r>
      <w:r w:rsidRPr="00F47284">
        <w:rPr>
          <w:sz w:val="24"/>
          <w:szCs w:val="24"/>
          <w:lang w:val="pt-BR"/>
        </w:rPr>
        <w:t xml:space="preserve">O teste F de contribuição marginal foi calculado como um critério de decisão entre a aplicação do modelo de dados empilhados e modelo de Efeitos Fixos (EF). Nesse caso, valor </w:t>
      </w:r>
      <w:r w:rsidRPr="00F47284">
        <w:rPr>
          <w:i/>
          <w:sz w:val="24"/>
          <w:szCs w:val="24"/>
          <w:lang w:val="pt-BR"/>
        </w:rPr>
        <w:t>p</w:t>
      </w:r>
      <w:r w:rsidRPr="00F47284">
        <w:rPr>
          <w:sz w:val="24"/>
          <w:szCs w:val="24"/>
          <w:lang w:val="pt-BR"/>
        </w:rPr>
        <w:t xml:space="preserve"> resultante para os dois modelos foi muito próximo de zero, indicando que o modelo de dados empilhados não é adequado. Calculou-se também o teste de </w:t>
      </w:r>
      <w:proofErr w:type="spellStart"/>
      <w:r w:rsidRPr="00F47284">
        <w:rPr>
          <w:sz w:val="24"/>
          <w:szCs w:val="24"/>
          <w:lang w:val="pt-BR"/>
        </w:rPr>
        <w:t>Breusch</w:t>
      </w:r>
      <w:proofErr w:type="spellEnd"/>
      <w:r w:rsidRPr="00F47284">
        <w:rPr>
          <w:sz w:val="24"/>
          <w:szCs w:val="24"/>
          <w:lang w:val="pt-BR"/>
        </w:rPr>
        <w:t xml:space="preserve"> e </w:t>
      </w:r>
      <w:proofErr w:type="spellStart"/>
      <w:r w:rsidRPr="00F47284">
        <w:rPr>
          <w:sz w:val="24"/>
          <w:szCs w:val="24"/>
          <w:lang w:val="pt-BR"/>
        </w:rPr>
        <w:t>Pagan</w:t>
      </w:r>
      <w:proofErr w:type="spellEnd"/>
      <w:r w:rsidRPr="00F47284">
        <w:rPr>
          <w:sz w:val="24"/>
          <w:szCs w:val="24"/>
          <w:lang w:val="pt-BR"/>
        </w:rPr>
        <w:t xml:space="preserve"> para verificar se o modelo de dados empilhados é mais eficiente quando comparado ao modelo de Efeitos Aleatórios (EA). Outra vez o valor </w:t>
      </w:r>
      <w:r w:rsidRPr="00F47284">
        <w:rPr>
          <w:i/>
          <w:sz w:val="24"/>
          <w:szCs w:val="24"/>
          <w:lang w:val="pt-BR"/>
        </w:rPr>
        <w:t xml:space="preserve">p </w:t>
      </w:r>
      <w:r w:rsidRPr="00F47284">
        <w:rPr>
          <w:sz w:val="24"/>
          <w:szCs w:val="24"/>
          <w:lang w:val="pt-BR"/>
        </w:rPr>
        <w:t>para os modelos 1</w:t>
      </w:r>
      <w:r w:rsidR="0048407B" w:rsidRPr="00F47284">
        <w:rPr>
          <w:sz w:val="24"/>
          <w:szCs w:val="24"/>
          <w:lang w:val="pt-BR"/>
        </w:rPr>
        <w:t>A</w:t>
      </w:r>
      <w:r w:rsidRPr="00F47284">
        <w:rPr>
          <w:sz w:val="24"/>
          <w:szCs w:val="24"/>
          <w:lang w:val="pt-BR"/>
        </w:rPr>
        <w:t xml:space="preserve"> e </w:t>
      </w:r>
      <w:r w:rsidR="00642B2A" w:rsidRPr="00F47284">
        <w:rPr>
          <w:sz w:val="24"/>
          <w:szCs w:val="24"/>
          <w:lang w:val="pt-BR"/>
        </w:rPr>
        <w:t>1B</w:t>
      </w:r>
      <w:r w:rsidRPr="00F47284">
        <w:rPr>
          <w:sz w:val="24"/>
          <w:szCs w:val="24"/>
          <w:lang w:val="pt-BR"/>
        </w:rPr>
        <w:t xml:space="preserve"> aproximou-se de zero, logo a 5% de significância o modelo de dados empilhados não seria aplicável.</w:t>
      </w:r>
    </w:p>
    <w:p w:rsidR="00880387" w:rsidRPr="00F47284" w:rsidRDefault="00880387" w:rsidP="003B78A3">
      <w:pPr>
        <w:ind w:firstLine="424"/>
        <w:rPr>
          <w:sz w:val="24"/>
          <w:szCs w:val="24"/>
          <w:lang w:val="pt-BR"/>
        </w:rPr>
      </w:pPr>
      <w:r w:rsidRPr="00F47284">
        <w:rPr>
          <w:sz w:val="24"/>
          <w:szCs w:val="24"/>
          <w:lang w:val="pt-BR"/>
        </w:rPr>
        <w:t xml:space="preserve">Entretanto, é necessário verificar se há diferenças estatisticamente significativas entre os estimadores de EF e EA. Aplicando o teste de </w:t>
      </w:r>
      <w:proofErr w:type="spellStart"/>
      <w:r w:rsidRPr="00F47284">
        <w:rPr>
          <w:sz w:val="24"/>
          <w:szCs w:val="24"/>
          <w:lang w:val="pt-BR"/>
        </w:rPr>
        <w:t>Hausman</w:t>
      </w:r>
      <w:proofErr w:type="spellEnd"/>
      <w:r w:rsidRPr="00F47284">
        <w:rPr>
          <w:sz w:val="24"/>
          <w:szCs w:val="24"/>
          <w:lang w:val="pt-BR"/>
        </w:rPr>
        <w:t xml:space="preserve"> para cada um dos dois modelos escolhidos, verificou-se que o valor </w:t>
      </w:r>
      <w:r w:rsidRPr="00F47284">
        <w:rPr>
          <w:i/>
          <w:sz w:val="24"/>
          <w:szCs w:val="24"/>
          <w:lang w:val="pt-BR"/>
        </w:rPr>
        <w:t>p</w:t>
      </w:r>
      <w:r w:rsidRPr="00F47284">
        <w:rPr>
          <w:sz w:val="24"/>
          <w:szCs w:val="24"/>
          <w:lang w:val="pt-BR"/>
        </w:rPr>
        <w:t xml:space="preserve"> apresentou valores próximos de zero, portanto a diferença entre os coeficientes dos modelos de EF e EA são estatisticamente significativas, e sendo assim o estimador de EA não é consistente, e o modelo mais adequado a ser aplicado é o de EF, o qual irá gerar coeficientes não </w:t>
      </w:r>
      <w:proofErr w:type="spellStart"/>
      <w:r w:rsidRPr="00F47284">
        <w:rPr>
          <w:sz w:val="24"/>
          <w:szCs w:val="24"/>
          <w:lang w:val="pt-BR"/>
        </w:rPr>
        <w:t>viesados</w:t>
      </w:r>
      <w:proofErr w:type="spellEnd"/>
      <w:r w:rsidRPr="00F47284">
        <w:rPr>
          <w:sz w:val="24"/>
          <w:szCs w:val="24"/>
          <w:lang w:val="pt-BR"/>
        </w:rPr>
        <w:t xml:space="preserve"> e consistentes.</w:t>
      </w:r>
    </w:p>
    <w:p w:rsidR="00C579E7" w:rsidRPr="00F47284" w:rsidRDefault="00C579E7" w:rsidP="003B78A3">
      <w:pPr>
        <w:ind w:firstLine="424"/>
        <w:rPr>
          <w:sz w:val="24"/>
          <w:szCs w:val="24"/>
          <w:lang w:val="pt-BR"/>
        </w:rPr>
      </w:pPr>
      <w:r w:rsidRPr="00F47284">
        <w:rPr>
          <w:sz w:val="24"/>
          <w:szCs w:val="24"/>
          <w:lang w:val="pt-BR"/>
        </w:rPr>
        <w:lastRenderedPageBreak/>
        <w:t>Tendo evidenciado os testes realizados para escolha do método a ser empregado, a Tabela 3 apresenta os principais resultados obtidos para os modelos 1</w:t>
      </w:r>
      <w:r w:rsidR="0048407B" w:rsidRPr="00F47284">
        <w:rPr>
          <w:sz w:val="24"/>
          <w:szCs w:val="24"/>
          <w:lang w:val="pt-BR"/>
        </w:rPr>
        <w:t>A</w:t>
      </w:r>
      <w:r w:rsidRPr="00F47284">
        <w:rPr>
          <w:sz w:val="24"/>
          <w:szCs w:val="24"/>
          <w:lang w:val="pt-BR"/>
        </w:rPr>
        <w:t xml:space="preserve"> e </w:t>
      </w:r>
      <w:r w:rsidR="00642B2A" w:rsidRPr="00F47284">
        <w:rPr>
          <w:sz w:val="24"/>
          <w:szCs w:val="24"/>
          <w:lang w:val="pt-BR"/>
        </w:rPr>
        <w:t>1B</w:t>
      </w:r>
      <w:r w:rsidRPr="00F47284">
        <w:rPr>
          <w:sz w:val="24"/>
          <w:szCs w:val="24"/>
          <w:lang w:val="pt-BR"/>
        </w:rPr>
        <w:t xml:space="preserve">, regredidos com dados em painel com estimador de Efeitos Fixos, para cada variável institucional. Verificou-se que dentre as variáveis de controle nenhuma foi significativa à 5% de nível de significância. Contudo, todas as variáveis de controle possuíram os sinais esperados de relação com o IED: a inflação sinal negativo, indicando a relação inversa entre esta </w:t>
      </w:r>
      <w:r w:rsidRPr="00F47284">
        <w:rPr>
          <w:i/>
          <w:sz w:val="24"/>
          <w:szCs w:val="24"/>
          <w:lang w:val="pt-BR"/>
        </w:rPr>
        <w:t>proxy</w:t>
      </w:r>
      <w:r w:rsidRPr="00F47284">
        <w:rPr>
          <w:sz w:val="24"/>
          <w:szCs w:val="24"/>
          <w:lang w:val="pt-BR"/>
        </w:rPr>
        <w:t xml:space="preserve"> de estabilidade econômica e o IED, já as demais variáveis de controle possuíram sinais positivos, sinalizando a relação diretamente proporcional desses fatores com IED, indo de encontro com as suposições feitas </w:t>
      </w:r>
      <w:r w:rsidRPr="00F47284">
        <w:rPr>
          <w:i/>
          <w:sz w:val="24"/>
          <w:szCs w:val="24"/>
          <w:lang w:val="pt-BR"/>
        </w:rPr>
        <w:t>a priori</w:t>
      </w:r>
      <w:r w:rsidR="00765A3F" w:rsidRPr="00F47284">
        <w:rPr>
          <w:sz w:val="24"/>
          <w:szCs w:val="24"/>
          <w:lang w:val="pt-BR"/>
        </w:rPr>
        <w:t>.</w:t>
      </w:r>
    </w:p>
    <w:p w:rsidR="0003531F" w:rsidRDefault="00765A3F" w:rsidP="003B78A3">
      <w:pPr>
        <w:ind w:firstLine="424"/>
        <w:rPr>
          <w:sz w:val="24"/>
          <w:szCs w:val="24"/>
          <w:lang w:val="pt-BR"/>
        </w:rPr>
      </w:pPr>
      <w:r w:rsidRPr="00F47284">
        <w:rPr>
          <w:sz w:val="24"/>
          <w:szCs w:val="24"/>
          <w:lang w:val="pt-BR"/>
        </w:rPr>
        <w:t>Como pode ser observado na Tabela 3 o estimador de EF gera coeficientes positivos e estatisticamente significativos ao nível de 5% para as variáveis institucionais, de ambiente político (</w:t>
      </w:r>
      <w:proofErr w:type="spellStart"/>
      <w:r w:rsidRPr="00F47284">
        <w:rPr>
          <w:sz w:val="24"/>
          <w:szCs w:val="24"/>
          <w:lang w:val="pt-BR"/>
        </w:rPr>
        <w:t>AmPol</w:t>
      </w:r>
      <w:proofErr w:type="spellEnd"/>
      <w:r w:rsidRPr="00F47284">
        <w:rPr>
          <w:sz w:val="24"/>
          <w:szCs w:val="24"/>
          <w:lang w:val="pt-BR"/>
        </w:rPr>
        <w:t>) e estabilidade política e ausência de violência ou terrorismo (</w:t>
      </w:r>
      <w:proofErr w:type="spellStart"/>
      <w:r w:rsidRPr="00F47284">
        <w:rPr>
          <w:sz w:val="24"/>
          <w:szCs w:val="24"/>
          <w:lang w:val="pt-BR"/>
        </w:rPr>
        <w:t>EstPol</w:t>
      </w:r>
      <w:proofErr w:type="spellEnd"/>
      <w:r w:rsidRPr="00F47284">
        <w:rPr>
          <w:sz w:val="24"/>
          <w:szCs w:val="24"/>
          <w:lang w:val="pt-BR"/>
        </w:rPr>
        <w:t xml:space="preserve">). Indicando que quanto maior a qualidade destes arranjos institucionais, maior será o valor do IED recebido pelo país. Por se tratar de modelos com forma linear, o aumento de uma unidade nas variáveis </w:t>
      </w:r>
      <w:proofErr w:type="spellStart"/>
      <w:r w:rsidRPr="00F47284">
        <w:rPr>
          <w:sz w:val="24"/>
          <w:szCs w:val="24"/>
          <w:lang w:val="pt-BR"/>
        </w:rPr>
        <w:t>AmPol</w:t>
      </w:r>
      <w:proofErr w:type="spellEnd"/>
      <w:r w:rsidRPr="00F47284">
        <w:rPr>
          <w:sz w:val="24"/>
          <w:szCs w:val="24"/>
          <w:lang w:val="pt-BR"/>
        </w:rPr>
        <w:t xml:space="preserve"> e </w:t>
      </w:r>
      <w:proofErr w:type="spellStart"/>
      <w:r w:rsidRPr="00F47284">
        <w:rPr>
          <w:sz w:val="24"/>
          <w:szCs w:val="24"/>
          <w:lang w:val="pt-BR"/>
        </w:rPr>
        <w:t>EstPol</w:t>
      </w:r>
      <w:proofErr w:type="spellEnd"/>
      <w:r w:rsidRPr="00F47284">
        <w:rPr>
          <w:sz w:val="24"/>
          <w:szCs w:val="24"/>
          <w:lang w:val="pt-BR"/>
        </w:rPr>
        <w:t>, irá gerar um aumento de aproximadamente 0,</w:t>
      </w:r>
      <w:r w:rsidR="0048407B" w:rsidRPr="00F47284">
        <w:rPr>
          <w:sz w:val="24"/>
          <w:szCs w:val="24"/>
          <w:lang w:val="pt-BR"/>
        </w:rPr>
        <w:t>0539</w:t>
      </w:r>
      <w:r w:rsidRPr="00F47284">
        <w:rPr>
          <w:sz w:val="24"/>
          <w:szCs w:val="24"/>
          <w:lang w:val="pt-BR"/>
        </w:rPr>
        <w:t xml:space="preserve"> e 0,0258 unidades na atração de IED, respectivamente.</w:t>
      </w:r>
    </w:p>
    <w:p w:rsidR="003B78A3" w:rsidRPr="00F47284" w:rsidRDefault="003B78A3" w:rsidP="003B78A3">
      <w:pPr>
        <w:ind w:firstLine="424"/>
        <w:rPr>
          <w:sz w:val="24"/>
          <w:szCs w:val="24"/>
          <w:lang w:val="pt-BR"/>
        </w:rPr>
      </w:pPr>
    </w:p>
    <w:p w:rsidR="00880387" w:rsidRPr="003B78A3" w:rsidRDefault="00880387" w:rsidP="003B78A3">
      <w:pPr>
        <w:jc w:val="center"/>
        <w:rPr>
          <w:b/>
          <w:sz w:val="24"/>
          <w:szCs w:val="24"/>
          <w:lang w:val="pt-BR"/>
        </w:rPr>
      </w:pPr>
      <w:r w:rsidRPr="003B78A3">
        <w:rPr>
          <w:b/>
          <w:sz w:val="24"/>
          <w:szCs w:val="24"/>
          <w:lang w:val="pt-BR"/>
        </w:rPr>
        <w:t>Tabela 3 – Principais resultados dos modelos com estimador de Efeitos Fixos</w:t>
      </w:r>
    </w:p>
    <w:tbl>
      <w:tblPr>
        <w:tblW w:w="8781" w:type="dxa"/>
        <w:jc w:val="center"/>
        <w:tblBorders>
          <w:top w:val="single" w:sz="4" w:space="0" w:color="7F7F7F"/>
          <w:bottom w:val="single" w:sz="4" w:space="0" w:color="7F7F7F"/>
        </w:tblBorders>
        <w:tblLook w:val="04A0" w:firstRow="1" w:lastRow="0" w:firstColumn="1" w:lastColumn="0" w:noHBand="0" w:noVBand="1"/>
      </w:tblPr>
      <w:tblGrid>
        <w:gridCol w:w="3170"/>
        <w:gridCol w:w="2219"/>
        <w:gridCol w:w="1284"/>
        <w:gridCol w:w="2108"/>
      </w:tblGrid>
      <w:tr w:rsidR="00D20D05" w:rsidRPr="003B78A3" w:rsidTr="005051E9">
        <w:trPr>
          <w:trHeight w:val="342"/>
          <w:jc w:val="center"/>
        </w:trPr>
        <w:tc>
          <w:tcPr>
            <w:tcW w:w="3170" w:type="dxa"/>
            <w:tcBorders>
              <w:top w:val="single" w:sz="12" w:space="0" w:color="auto"/>
              <w:bottom w:val="single" w:sz="4" w:space="0" w:color="auto"/>
            </w:tcBorders>
            <w:shd w:val="clear" w:color="auto" w:fill="auto"/>
            <w:noWrap/>
            <w:vAlign w:val="center"/>
            <w:hideMark/>
          </w:tcPr>
          <w:p w:rsidR="00880387" w:rsidRPr="003B78A3" w:rsidRDefault="00880387" w:rsidP="003B78A3">
            <w:pPr>
              <w:jc w:val="center"/>
              <w:rPr>
                <w:rFonts w:eastAsia="Times New Roman"/>
                <w:b/>
                <w:bCs/>
                <w:sz w:val="22"/>
                <w:szCs w:val="24"/>
                <w:lang w:val="pt-BR"/>
              </w:rPr>
            </w:pPr>
          </w:p>
        </w:tc>
        <w:tc>
          <w:tcPr>
            <w:tcW w:w="2219" w:type="dxa"/>
            <w:tcBorders>
              <w:top w:val="single" w:sz="12" w:space="0" w:color="auto"/>
              <w:bottom w:val="single" w:sz="4" w:space="0" w:color="auto"/>
            </w:tcBorders>
            <w:shd w:val="clear" w:color="auto" w:fill="auto"/>
            <w:noWrap/>
            <w:vAlign w:val="center"/>
            <w:hideMark/>
          </w:tcPr>
          <w:p w:rsidR="00880387" w:rsidRPr="003B78A3" w:rsidRDefault="00880387" w:rsidP="003B78A3">
            <w:pPr>
              <w:jc w:val="center"/>
              <w:rPr>
                <w:rFonts w:eastAsia="Times New Roman"/>
                <w:b/>
                <w:bCs/>
                <w:sz w:val="22"/>
                <w:szCs w:val="24"/>
                <w:lang w:val="pt-BR"/>
              </w:rPr>
            </w:pPr>
            <w:r w:rsidRPr="003B78A3">
              <w:rPr>
                <w:rFonts w:eastAsia="Times New Roman"/>
                <w:b/>
                <w:bCs/>
                <w:sz w:val="22"/>
                <w:szCs w:val="24"/>
                <w:lang w:val="pt-BR"/>
              </w:rPr>
              <w:t>Modelo 1</w:t>
            </w:r>
            <w:r w:rsidR="00F630E7" w:rsidRPr="003B78A3">
              <w:rPr>
                <w:rFonts w:eastAsia="Times New Roman"/>
                <w:b/>
                <w:bCs/>
                <w:sz w:val="22"/>
                <w:szCs w:val="24"/>
                <w:lang w:val="pt-BR"/>
              </w:rPr>
              <w:t>A</w:t>
            </w:r>
          </w:p>
        </w:tc>
        <w:tc>
          <w:tcPr>
            <w:tcW w:w="3391" w:type="dxa"/>
            <w:gridSpan w:val="2"/>
            <w:tcBorders>
              <w:top w:val="single" w:sz="12" w:space="0" w:color="auto"/>
              <w:bottom w:val="single" w:sz="4" w:space="0" w:color="auto"/>
            </w:tcBorders>
            <w:shd w:val="clear" w:color="auto" w:fill="auto"/>
            <w:noWrap/>
            <w:vAlign w:val="center"/>
            <w:hideMark/>
          </w:tcPr>
          <w:p w:rsidR="00880387" w:rsidRPr="003B78A3" w:rsidRDefault="00880387" w:rsidP="003B78A3">
            <w:pPr>
              <w:jc w:val="center"/>
              <w:rPr>
                <w:rFonts w:eastAsia="Times New Roman"/>
                <w:b/>
                <w:bCs/>
                <w:sz w:val="22"/>
                <w:szCs w:val="24"/>
                <w:lang w:val="pt-BR"/>
              </w:rPr>
            </w:pPr>
            <w:r w:rsidRPr="003B78A3">
              <w:rPr>
                <w:rFonts w:eastAsia="Times New Roman"/>
                <w:b/>
                <w:bCs/>
                <w:sz w:val="22"/>
                <w:szCs w:val="24"/>
                <w:lang w:val="pt-BR"/>
              </w:rPr>
              <w:t xml:space="preserve">Modelo </w:t>
            </w:r>
            <w:r w:rsidR="00642B2A" w:rsidRPr="003B78A3">
              <w:rPr>
                <w:rFonts w:eastAsia="Times New Roman"/>
                <w:b/>
                <w:bCs/>
                <w:sz w:val="22"/>
                <w:szCs w:val="24"/>
                <w:lang w:val="pt-BR"/>
              </w:rPr>
              <w:t>1B</w:t>
            </w:r>
          </w:p>
        </w:tc>
      </w:tr>
      <w:tr w:rsidR="00D20D05" w:rsidRPr="003B78A3" w:rsidTr="005051E9">
        <w:trPr>
          <w:trHeight w:val="414"/>
          <w:jc w:val="center"/>
        </w:trPr>
        <w:tc>
          <w:tcPr>
            <w:tcW w:w="3170" w:type="dxa"/>
            <w:tcBorders>
              <w:top w:val="single" w:sz="4" w:space="0" w:color="auto"/>
              <w:bottom w:val="nil"/>
            </w:tcBorders>
            <w:shd w:val="clear" w:color="auto" w:fill="auto"/>
            <w:noWrap/>
            <w:vAlign w:val="center"/>
            <w:hideMark/>
          </w:tcPr>
          <w:p w:rsidR="00880387" w:rsidRPr="003B78A3" w:rsidRDefault="00880387" w:rsidP="003B78A3">
            <w:pPr>
              <w:jc w:val="left"/>
              <w:rPr>
                <w:rFonts w:eastAsia="Times New Roman"/>
                <w:b/>
                <w:bCs/>
                <w:sz w:val="22"/>
                <w:szCs w:val="24"/>
                <w:lang w:val="pt-BR"/>
              </w:rPr>
            </w:pPr>
            <w:proofErr w:type="spellStart"/>
            <w:r w:rsidRPr="003B78A3">
              <w:rPr>
                <w:rFonts w:eastAsia="Times New Roman"/>
                <w:b/>
                <w:bCs/>
                <w:sz w:val="22"/>
                <w:szCs w:val="24"/>
                <w:lang w:val="pt-BR"/>
              </w:rPr>
              <w:t>AmPol</w:t>
            </w:r>
            <w:proofErr w:type="spellEnd"/>
            <w:r w:rsidRPr="003B78A3">
              <w:rPr>
                <w:rFonts w:eastAsia="Times New Roman"/>
                <w:b/>
                <w:bCs/>
                <w:sz w:val="22"/>
                <w:szCs w:val="24"/>
                <w:lang w:val="pt-BR"/>
              </w:rPr>
              <w:t xml:space="preserve"> - Ambiente Político</w:t>
            </w:r>
          </w:p>
        </w:tc>
        <w:tc>
          <w:tcPr>
            <w:tcW w:w="2219" w:type="dxa"/>
            <w:tcBorders>
              <w:top w:val="single" w:sz="4" w:space="0" w:color="auto"/>
              <w:bottom w:val="nil"/>
            </w:tcBorders>
            <w:shd w:val="clear" w:color="auto" w:fill="auto"/>
            <w:noWrap/>
            <w:vAlign w:val="center"/>
            <w:hideMark/>
          </w:tcPr>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0.05394 **</w:t>
            </w:r>
          </w:p>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(0.0276)</w:t>
            </w:r>
          </w:p>
        </w:tc>
        <w:tc>
          <w:tcPr>
            <w:tcW w:w="3391" w:type="dxa"/>
            <w:gridSpan w:val="2"/>
            <w:tcBorders>
              <w:top w:val="single" w:sz="4" w:space="0" w:color="auto"/>
              <w:bottom w:val="nil"/>
            </w:tcBorders>
            <w:shd w:val="clear" w:color="auto" w:fill="auto"/>
            <w:noWrap/>
            <w:vAlign w:val="center"/>
            <w:hideMark/>
          </w:tcPr>
          <w:p w:rsidR="00880387" w:rsidRPr="003B78A3" w:rsidRDefault="00C52357" w:rsidP="003B78A3">
            <w:pPr>
              <w:jc w:val="center"/>
              <w:rPr>
                <w:rFonts w:eastAsia="Times New Roman"/>
                <w:sz w:val="22"/>
                <w:szCs w:val="24"/>
                <w:lang w:val="pt-BR"/>
              </w:rPr>
            </w:pPr>
            <w:r w:rsidRPr="003B78A3">
              <w:rPr>
                <w:rFonts w:eastAsia="Times New Roman"/>
                <w:sz w:val="22"/>
                <w:szCs w:val="24"/>
                <w:lang w:val="pt-BR"/>
              </w:rPr>
              <w:t>-</w:t>
            </w:r>
          </w:p>
        </w:tc>
      </w:tr>
      <w:tr w:rsidR="00D20D05" w:rsidRPr="003B78A3" w:rsidTr="00315C01">
        <w:trPr>
          <w:trHeight w:val="389"/>
          <w:jc w:val="center"/>
        </w:trPr>
        <w:tc>
          <w:tcPr>
            <w:tcW w:w="3170" w:type="dxa"/>
            <w:tcBorders>
              <w:top w:val="nil"/>
              <w:bottom w:val="nil"/>
            </w:tcBorders>
            <w:shd w:val="clear" w:color="auto" w:fill="E7E6E6"/>
            <w:noWrap/>
            <w:vAlign w:val="center"/>
            <w:hideMark/>
          </w:tcPr>
          <w:p w:rsidR="00880387" w:rsidRPr="003B78A3" w:rsidRDefault="00880387" w:rsidP="003B78A3">
            <w:pPr>
              <w:jc w:val="left"/>
              <w:rPr>
                <w:rFonts w:eastAsia="Times New Roman"/>
                <w:b/>
                <w:bCs/>
                <w:sz w:val="22"/>
                <w:szCs w:val="24"/>
                <w:lang w:val="pt-BR"/>
              </w:rPr>
            </w:pPr>
            <w:proofErr w:type="spellStart"/>
            <w:r w:rsidRPr="003B78A3">
              <w:rPr>
                <w:rFonts w:eastAsia="Times New Roman"/>
                <w:b/>
                <w:bCs/>
                <w:sz w:val="22"/>
                <w:szCs w:val="24"/>
                <w:lang w:val="pt-BR"/>
              </w:rPr>
              <w:t>EstPol</w:t>
            </w:r>
            <w:proofErr w:type="spellEnd"/>
            <w:r w:rsidRPr="003B78A3">
              <w:rPr>
                <w:rFonts w:eastAsia="Times New Roman"/>
                <w:b/>
                <w:bCs/>
                <w:sz w:val="22"/>
                <w:szCs w:val="24"/>
                <w:lang w:val="pt-BR"/>
              </w:rPr>
              <w:t xml:space="preserve"> – Estabilidade Política</w:t>
            </w:r>
          </w:p>
        </w:tc>
        <w:tc>
          <w:tcPr>
            <w:tcW w:w="2219" w:type="dxa"/>
            <w:tcBorders>
              <w:top w:val="nil"/>
              <w:bottom w:val="nil"/>
            </w:tcBorders>
            <w:shd w:val="clear" w:color="auto" w:fill="E7E6E6"/>
            <w:noWrap/>
            <w:vAlign w:val="center"/>
            <w:hideMark/>
          </w:tcPr>
          <w:p w:rsidR="00880387" w:rsidRPr="003B78A3" w:rsidRDefault="00C52357" w:rsidP="003B78A3">
            <w:pPr>
              <w:jc w:val="center"/>
              <w:rPr>
                <w:rFonts w:eastAsia="Times New Roman"/>
                <w:sz w:val="22"/>
                <w:szCs w:val="24"/>
                <w:lang w:val="pt-BR"/>
              </w:rPr>
            </w:pPr>
            <w:r w:rsidRPr="003B78A3">
              <w:rPr>
                <w:rFonts w:eastAsia="Times New Roman"/>
                <w:sz w:val="22"/>
                <w:szCs w:val="24"/>
                <w:lang w:val="pt-BR"/>
              </w:rPr>
              <w:t>-</w:t>
            </w:r>
          </w:p>
        </w:tc>
        <w:tc>
          <w:tcPr>
            <w:tcW w:w="3391" w:type="dxa"/>
            <w:gridSpan w:val="2"/>
            <w:tcBorders>
              <w:top w:val="nil"/>
              <w:bottom w:val="nil"/>
            </w:tcBorders>
            <w:shd w:val="clear" w:color="auto" w:fill="E7E6E6"/>
            <w:noWrap/>
            <w:vAlign w:val="center"/>
            <w:hideMark/>
          </w:tcPr>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0.02579 **</w:t>
            </w:r>
          </w:p>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(0.0214)</w:t>
            </w:r>
          </w:p>
        </w:tc>
      </w:tr>
      <w:tr w:rsidR="00D20D05" w:rsidRPr="003B78A3" w:rsidTr="005051E9">
        <w:trPr>
          <w:trHeight w:val="845"/>
          <w:jc w:val="center"/>
        </w:trPr>
        <w:tc>
          <w:tcPr>
            <w:tcW w:w="3170" w:type="dxa"/>
            <w:tcBorders>
              <w:top w:val="nil"/>
              <w:bottom w:val="nil"/>
            </w:tcBorders>
            <w:shd w:val="clear" w:color="auto" w:fill="auto"/>
            <w:noWrap/>
            <w:vAlign w:val="center"/>
            <w:hideMark/>
          </w:tcPr>
          <w:p w:rsidR="00880387" w:rsidRPr="003B78A3" w:rsidRDefault="00880387" w:rsidP="003B78A3">
            <w:pPr>
              <w:jc w:val="left"/>
              <w:rPr>
                <w:rFonts w:eastAsia="Times New Roman"/>
                <w:b/>
                <w:bCs/>
                <w:sz w:val="22"/>
                <w:szCs w:val="24"/>
                <w:lang w:val="pt-BR"/>
              </w:rPr>
            </w:pPr>
            <w:proofErr w:type="spellStart"/>
            <w:r w:rsidRPr="003B78A3">
              <w:rPr>
                <w:rFonts w:eastAsia="Times New Roman"/>
                <w:b/>
                <w:bCs/>
                <w:sz w:val="22"/>
                <w:szCs w:val="24"/>
                <w:lang w:val="pt-BR"/>
              </w:rPr>
              <w:t>Inf</w:t>
            </w:r>
            <w:proofErr w:type="spellEnd"/>
            <w:r w:rsidRPr="003B78A3">
              <w:rPr>
                <w:rFonts w:eastAsia="Times New Roman"/>
                <w:b/>
                <w:bCs/>
                <w:sz w:val="22"/>
                <w:szCs w:val="24"/>
                <w:lang w:val="pt-BR"/>
              </w:rPr>
              <w:t xml:space="preserve"> </w:t>
            </w:r>
            <w:r w:rsidR="004C6223" w:rsidRPr="003B78A3">
              <w:rPr>
                <w:rFonts w:eastAsia="Times New Roman"/>
                <w:b/>
                <w:bCs/>
                <w:sz w:val="22"/>
                <w:szCs w:val="24"/>
                <w:lang w:val="pt-BR"/>
              </w:rPr>
              <w:t>–</w:t>
            </w:r>
            <w:r w:rsidRPr="003B78A3">
              <w:rPr>
                <w:rFonts w:eastAsia="Times New Roman"/>
                <w:b/>
                <w:bCs/>
                <w:sz w:val="22"/>
                <w:szCs w:val="24"/>
                <w:lang w:val="pt-BR"/>
              </w:rPr>
              <w:t xml:space="preserve"> Inflação</w:t>
            </w:r>
          </w:p>
        </w:tc>
        <w:tc>
          <w:tcPr>
            <w:tcW w:w="2219" w:type="dxa"/>
            <w:tcBorders>
              <w:top w:val="nil"/>
              <w:bottom w:val="nil"/>
            </w:tcBorders>
            <w:shd w:val="clear" w:color="auto" w:fill="auto"/>
            <w:noWrap/>
            <w:vAlign w:val="center"/>
            <w:hideMark/>
          </w:tcPr>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- 0.00066</w:t>
            </w:r>
          </w:p>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(0.0005)</w:t>
            </w:r>
          </w:p>
        </w:tc>
        <w:tc>
          <w:tcPr>
            <w:tcW w:w="3391" w:type="dxa"/>
            <w:gridSpan w:val="2"/>
            <w:tcBorders>
              <w:top w:val="nil"/>
              <w:bottom w:val="nil"/>
            </w:tcBorders>
            <w:shd w:val="clear" w:color="auto" w:fill="auto"/>
            <w:noWrap/>
            <w:vAlign w:val="center"/>
            <w:hideMark/>
          </w:tcPr>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- 0.00072</w:t>
            </w:r>
          </w:p>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(0.00058)</w:t>
            </w:r>
          </w:p>
        </w:tc>
      </w:tr>
      <w:tr w:rsidR="00D20D05" w:rsidRPr="003B78A3" w:rsidTr="00315C01">
        <w:trPr>
          <w:trHeight w:val="845"/>
          <w:jc w:val="center"/>
        </w:trPr>
        <w:tc>
          <w:tcPr>
            <w:tcW w:w="3170" w:type="dxa"/>
            <w:tcBorders>
              <w:top w:val="nil"/>
              <w:bottom w:val="nil"/>
            </w:tcBorders>
            <w:shd w:val="clear" w:color="auto" w:fill="E7E6E6"/>
            <w:noWrap/>
            <w:vAlign w:val="center"/>
          </w:tcPr>
          <w:p w:rsidR="00880387" w:rsidRPr="003B78A3" w:rsidRDefault="00880387" w:rsidP="003B78A3">
            <w:pPr>
              <w:jc w:val="left"/>
              <w:rPr>
                <w:rFonts w:eastAsia="Times New Roman"/>
                <w:b/>
                <w:bCs/>
                <w:sz w:val="22"/>
                <w:szCs w:val="24"/>
                <w:lang w:val="pt-BR"/>
              </w:rPr>
            </w:pPr>
            <w:proofErr w:type="spellStart"/>
            <w:r w:rsidRPr="003B78A3">
              <w:rPr>
                <w:rFonts w:eastAsia="Times New Roman"/>
                <w:b/>
                <w:bCs/>
                <w:sz w:val="22"/>
                <w:szCs w:val="24"/>
                <w:lang w:val="pt-BR"/>
              </w:rPr>
              <w:t>TxCa</w:t>
            </w:r>
            <w:proofErr w:type="spellEnd"/>
            <w:r w:rsidRPr="003B78A3">
              <w:rPr>
                <w:rFonts w:eastAsia="Times New Roman"/>
                <w:b/>
                <w:bCs/>
                <w:sz w:val="22"/>
                <w:szCs w:val="24"/>
                <w:lang w:val="pt-BR"/>
              </w:rPr>
              <w:t xml:space="preserve"> – Taxa de Câmbio </w:t>
            </w:r>
          </w:p>
        </w:tc>
        <w:tc>
          <w:tcPr>
            <w:tcW w:w="2219" w:type="dxa"/>
            <w:tcBorders>
              <w:top w:val="nil"/>
              <w:bottom w:val="nil"/>
            </w:tcBorders>
            <w:shd w:val="clear" w:color="auto" w:fill="E7E6E6"/>
            <w:noWrap/>
            <w:vAlign w:val="center"/>
          </w:tcPr>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0.03991</w:t>
            </w:r>
          </w:p>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(0.0846)</w:t>
            </w:r>
          </w:p>
        </w:tc>
        <w:tc>
          <w:tcPr>
            <w:tcW w:w="3391" w:type="dxa"/>
            <w:gridSpan w:val="2"/>
            <w:tcBorders>
              <w:top w:val="nil"/>
              <w:bottom w:val="nil"/>
            </w:tcBorders>
            <w:shd w:val="clear" w:color="auto" w:fill="E7E6E6"/>
            <w:noWrap/>
            <w:vAlign w:val="center"/>
          </w:tcPr>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0.04747</w:t>
            </w:r>
          </w:p>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(0.0845)</w:t>
            </w:r>
          </w:p>
        </w:tc>
      </w:tr>
      <w:tr w:rsidR="00D20D05" w:rsidRPr="003B78A3" w:rsidTr="005051E9">
        <w:trPr>
          <w:trHeight w:val="845"/>
          <w:jc w:val="center"/>
        </w:trPr>
        <w:tc>
          <w:tcPr>
            <w:tcW w:w="3170" w:type="dxa"/>
            <w:tcBorders>
              <w:top w:val="nil"/>
              <w:bottom w:val="nil"/>
            </w:tcBorders>
            <w:shd w:val="clear" w:color="auto" w:fill="auto"/>
            <w:noWrap/>
            <w:vAlign w:val="center"/>
            <w:hideMark/>
          </w:tcPr>
          <w:p w:rsidR="00880387" w:rsidRPr="003B78A3" w:rsidRDefault="00880387" w:rsidP="003B78A3">
            <w:pPr>
              <w:jc w:val="left"/>
              <w:rPr>
                <w:rFonts w:eastAsia="Times New Roman"/>
                <w:b/>
                <w:bCs/>
                <w:sz w:val="22"/>
                <w:szCs w:val="24"/>
                <w:lang w:val="pt-BR"/>
              </w:rPr>
            </w:pPr>
            <w:proofErr w:type="spellStart"/>
            <w:r w:rsidRPr="003B78A3">
              <w:rPr>
                <w:rFonts w:eastAsia="Times New Roman"/>
                <w:b/>
                <w:bCs/>
                <w:sz w:val="22"/>
                <w:szCs w:val="24"/>
                <w:lang w:val="pt-BR"/>
              </w:rPr>
              <w:t>Fbdc</w:t>
            </w:r>
            <w:proofErr w:type="spellEnd"/>
            <w:r w:rsidRPr="003B78A3">
              <w:rPr>
                <w:rFonts w:eastAsia="Times New Roman"/>
                <w:b/>
                <w:bCs/>
                <w:sz w:val="22"/>
                <w:szCs w:val="24"/>
                <w:lang w:val="pt-BR"/>
              </w:rPr>
              <w:t xml:space="preserve"> – Formação Bruta de Capital</w:t>
            </w:r>
          </w:p>
        </w:tc>
        <w:tc>
          <w:tcPr>
            <w:tcW w:w="2219" w:type="dxa"/>
            <w:tcBorders>
              <w:top w:val="nil"/>
              <w:bottom w:val="nil"/>
            </w:tcBorders>
            <w:shd w:val="clear" w:color="auto" w:fill="auto"/>
            <w:noWrap/>
            <w:vAlign w:val="center"/>
            <w:hideMark/>
          </w:tcPr>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0.24366</w:t>
            </w:r>
          </w:p>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(0.2122)</w:t>
            </w:r>
          </w:p>
        </w:tc>
        <w:tc>
          <w:tcPr>
            <w:tcW w:w="3391" w:type="dxa"/>
            <w:gridSpan w:val="2"/>
            <w:tcBorders>
              <w:top w:val="nil"/>
              <w:bottom w:val="nil"/>
            </w:tcBorders>
            <w:shd w:val="clear" w:color="auto" w:fill="auto"/>
            <w:noWrap/>
            <w:vAlign w:val="center"/>
            <w:hideMark/>
          </w:tcPr>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0.244415</w:t>
            </w:r>
          </w:p>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(0.2126)</w:t>
            </w:r>
          </w:p>
        </w:tc>
      </w:tr>
      <w:tr w:rsidR="00D20D05" w:rsidRPr="003B78A3" w:rsidTr="00315C01">
        <w:trPr>
          <w:trHeight w:val="688"/>
          <w:jc w:val="center"/>
        </w:trPr>
        <w:tc>
          <w:tcPr>
            <w:tcW w:w="3170" w:type="dxa"/>
            <w:tcBorders>
              <w:top w:val="nil"/>
              <w:bottom w:val="nil"/>
            </w:tcBorders>
            <w:shd w:val="clear" w:color="auto" w:fill="E7E6E6"/>
            <w:noWrap/>
            <w:vAlign w:val="center"/>
            <w:hideMark/>
          </w:tcPr>
          <w:p w:rsidR="00880387" w:rsidRPr="003B78A3" w:rsidRDefault="00880387" w:rsidP="003B78A3">
            <w:pPr>
              <w:jc w:val="left"/>
              <w:rPr>
                <w:rFonts w:eastAsia="Times New Roman"/>
                <w:b/>
                <w:bCs/>
                <w:sz w:val="22"/>
                <w:szCs w:val="24"/>
                <w:lang w:val="pt-BR"/>
              </w:rPr>
            </w:pPr>
            <w:proofErr w:type="spellStart"/>
            <w:r w:rsidRPr="003B78A3">
              <w:rPr>
                <w:rFonts w:eastAsia="Times New Roman"/>
                <w:b/>
                <w:bCs/>
                <w:sz w:val="22"/>
                <w:szCs w:val="24"/>
                <w:lang w:val="pt-BR"/>
              </w:rPr>
              <w:t>TxcPib</w:t>
            </w:r>
            <w:proofErr w:type="spellEnd"/>
            <w:r w:rsidRPr="003B78A3">
              <w:rPr>
                <w:rFonts w:eastAsia="Times New Roman"/>
                <w:b/>
                <w:bCs/>
                <w:sz w:val="22"/>
                <w:szCs w:val="24"/>
                <w:lang w:val="pt-BR"/>
              </w:rPr>
              <w:t xml:space="preserve"> – Taxa de Crescimento do PIB</w:t>
            </w:r>
          </w:p>
        </w:tc>
        <w:tc>
          <w:tcPr>
            <w:tcW w:w="2219" w:type="dxa"/>
            <w:tcBorders>
              <w:top w:val="nil"/>
              <w:bottom w:val="nil"/>
            </w:tcBorders>
            <w:shd w:val="clear" w:color="auto" w:fill="E7E6E6"/>
            <w:noWrap/>
            <w:vAlign w:val="center"/>
            <w:hideMark/>
          </w:tcPr>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0.24811</w:t>
            </w:r>
          </w:p>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(0.2084)</w:t>
            </w:r>
          </w:p>
        </w:tc>
        <w:tc>
          <w:tcPr>
            <w:tcW w:w="3391" w:type="dxa"/>
            <w:gridSpan w:val="2"/>
            <w:tcBorders>
              <w:top w:val="nil"/>
              <w:bottom w:val="nil"/>
            </w:tcBorders>
            <w:shd w:val="clear" w:color="auto" w:fill="E7E6E6"/>
            <w:noWrap/>
            <w:vAlign w:val="center"/>
            <w:hideMark/>
          </w:tcPr>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0.26092</w:t>
            </w:r>
          </w:p>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(0.2084)</w:t>
            </w:r>
          </w:p>
        </w:tc>
      </w:tr>
      <w:tr w:rsidR="00D20D05" w:rsidRPr="003B78A3" w:rsidTr="005051E9">
        <w:trPr>
          <w:trHeight w:val="845"/>
          <w:jc w:val="center"/>
        </w:trPr>
        <w:tc>
          <w:tcPr>
            <w:tcW w:w="3170" w:type="dxa"/>
            <w:tcBorders>
              <w:top w:val="nil"/>
              <w:bottom w:val="single" w:sz="4" w:space="0" w:color="auto"/>
            </w:tcBorders>
            <w:shd w:val="clear" w:color="auto" w:fill="auto"/>
            <w:noWrap/>
            <w:vAlign w:val="center"/>
            <w:hideMark/>
          </w:tcPr>
          <w:p w:rsidR="00880387" w:rsidRPr="003B78A3" w:rsidRDefault="00880387" w:rsidP="003B78A3">
            <w:pPr>
              <w:jc w:val="center"/>
              <w:rPr>
                <w:rFonts w:eastAsia="Times New Roman"/>
                <w:b/>
                <w:bCs/>
                <w:sz w:val="22"/>
                <w:szCs w:val="24"/>
                <w:lang w:val="pt-BR"/>
              </w:rPr>
            </w:pPr>
            <w:r w:rsidRPr="003B78A3">
              <w:rPr>
                <w:rFonts w:eastAsia="Times New Roman"/>
                <w:b/>
                <w:bCs/>
                <w:sz w:val="22"/>
                <w:szCs w:val="24"/>
                <w:lang w:val="pt-BR"/>
              </w:rPr>
              <w:t>Constante</w:t>
            </w:r>
          </w:p>
        </w:tc>
        <w:tc>
          <w:tcPr>
            <w:tcW w:w="2219" w:type="dxa"/>
            <w:tcBorders>
              <w:top w:val="nil"/>
              <w:bottom w:val="single" w:sz="4" w:space="0" w:color="auto"/>
            </w:tcBorders>
            <w:shd w:val="clear" w:color="auto" w:fill="auto"/>
            <w:noWrap/>
            <w:vAlign w:val="center"/>
            <w:hideMark/>
          </w:tcPr>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-5.16238</w:t>
            </w:r>
          </w:p>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(5.7999)</w:t>
            </w:r>
          </w:p>
        </w:tc>
        <w:tc>
          <w:tcPr>
            <w:tcW w:w="3391" w:type="dxa"/>
            <w:gridSpan w:val="2"/>
            <w:tcBorders>
              <w:top w:val="nil"/>
              <w:bottom w:val="single" w:sz="4" w:space="0" w:color="auto"/>
            </w:tcBorders>
            <w:shd w:val="clear" w:color="auto" w:fill="auto"/>
            <w:noWrap/>
            <w:vAlign w:val="center"/>
            <w:hideMark/>
          </w:tcPr>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- 3.75108</w:t>
            </w:r>
          </w:p>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(5.8301)</w:t>
            </w:r>
          </w:p>
        </w:tc>
      </w:tr>
      <w:tr w:rsidR="00D20D05" w:rsidRPr="003B78A3" w:rsidTr="005051E9">
        <w:trPr>
          <w:trHeight w:val="342"/>
          <w:jc w:val="center"/>
        </w:trPr>
        <w:tc>
          <w:tcPr>
            <w:tcW w:w="3170" w:type="dxa"/>
            <w:tcBorders>
              <w:top w:val="nil"/>
              <w:bottom w:val="single" w:sz="4" w:space="0" w:color="auto"/>
            </w:tcBorders>
            <w:shd w:val="clear" w:color="auto" w:fill="auto"/>
            <w:noWrap/>
            <w:vAlign w:val="center"/>
          </w:tcPr>
          <w:p w:rsidR="00880387" w:rsidRPr="003B78A3" w:rsidRDefault="00880387" w:rsidP="003B78A3">
            <w:pPr>
              <w:jc w:val="center"/>
              <w:rPr>
                <w:rFonts w:eastAsia="Times New Roman"/>
                <w:b/>
                <w:bCs/>
                <w:sz w:val="22"/>
                <w:szCs w:val="24"/>
                <w:lang w:val="pt-BR"/>
              </w:rPr>
            </w:pPr>
            <w:r w:rsidRPr="003B78A3">
              <w:rPr>
                <w:rFonts w:eastAsia="Times New Roman"/>
                <w:b/>
                <w:bCs/>
                <w:sz w:val="22"/>
                <w:szCs w:val="24"/>
                <w:lang w:val="pt-BR"/>
              </w:rPr>
              <w:t>Nº de grupos</w:t>
            </w:r>
          </w:p>
        </w:tc>
        <w:tc>
          <w:tcPr>
            <w:tcW w:w="2219" w:type="dxa"/>
            <w:tcBorders>
              <w:top w:val="nil"/>
              <w:bottom w:val="single" w:sz="4" w:space="0" w:color="auto"/>
            </w:tcBorders>
            <w:shd w:val="clear" w:color="auto" w:fill="auto"/>
            <w:noWrap/>
            <w:vAlign w:val="center"/>
          </w:tcPr>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104</w:t>
            </w:r>
          </w:p>
        </w:tc>
        <w:tc>
          <w:tcPr>
            <w:tcW w:w="3391" w:type="dxa"/>
            <w:gridSpan w:val="2"/>
            <w:tcBorders>
              <w:top w:val="nil"/>
              <w:bottom w:val="single" w:sz="4" w:space="0" w:color="auto"/>
            </w:tcBorders>
            <w:shd w:val="clear" w:color="auto" w:fill="auto"/>
            <w:noWrap/>
            <w:vAlign w:val="center"/>
          </w:tcPr>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104</w:t>
            </w:r>
          </w:p>
        </w:tc>
      </w:tr>
      <w:tr w:rsidR="00D20D05" w:rsidRPr="003B78A3" w:rsidTr="005051E9">
        <w:trPr>
          <w:trHeight w:val="342"/>
          <w:jc w:val="center"/>
        </w:trPr>
        <w:tc>
          <w:tcPr>
            <w:tcW w:w="3170" w:type="dxa"/>
            <w:tcBorders>
              <w:top w:val="nil"/>
              <w:bottom w:val="single" w:sz="4" w:space="0" w:color="auto"/>
            </w:tcBorders>
            <w:shd w:val="clear" w:color="auto" w:fill="auto"/>
            <w:noWrap/>
            <w:vAlign w:val="center"/>
          </w:tcPr>
          <w:p w:rsidR="00880387" w:rsidRPr="003B78A3" w:rsidRDefault="00880387" w:rsidP="003B78A3">
            <w:pPr>
              <w:jc w:val="center"/>
              <w:rPr>
                <w:rFonts w:eastAsia="Times New Roman"/>
                <w:b/>
                <w:bCs/>
                <w:sz w:val="22"/>
                <w:szCs w:val="24"/>
                <w:lang w:val="pt-BR"/>
              </w:rPr>
            </w:pPr>
            <w:r w:rsidRPr="003B78A3">
              <w:rPr>
                <w:rFonts w:eastAsia="Times New Roman"/>
                <w:b/>
                <w:bCs/>
                <w:sz w:val="22"/>
                <w:szCs w:val="24"/>
                <w:lang w:val="pt-BR"/>
              </w:rPr>
              <w:t>Total de obs.</w:t>
            </w:r>
          </w:p>
        </w:tc>
        <w:tc>
          <w:tcPr>
            <w:tcW w:w="2219" w:type="dxa"/>
            <w:tcBorders>
              <w:top w:val="nil"/>
              <w:bottom w:val="single" w:sz="4" w:space="0" w:color="auto"/>
            </w:tcBorders>
            <w:shd w:val="clear" w:color="auto" w:fill="auto"/>
            <w:noWrap/>
            <w:vAlign w:val="center"/>
          </w:tcPr>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446</w:t>
            </w:r>
          </w:p>
        </w:tc>
        <w:tc>
          <w:tcPr>
            <w:tcW w:w="3391" w:type="dxa"/>
            <w:gridSpan w:val="2"/>
            <w:tcBorders>
              <w:top w:val="nil"/>
              <w:bottom w:val="single" w:sz="4" w:space="0" w:color="auto"/>
            </w:tcBorders>
            <w:shd w:val="clear" w:color="auto" w:fill="auto"/>
            <w:noWrap/>
            <w:vAlign w:val="center"/>
          </w:tcPr>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445</w:t>
            </w:r>
          </w:p>
        </w:tc>
      </w:tr>
      <w:tr w:rsidR="00D20D05" w:rsidRPr="003B78A3" w:rsidTr="005051E9">
        <w:trPr>
          <w:trHeight w:val="342"/>
          <w:jc w:val="center"/>
        </w:trPr>
        <w:tc>
          <w:tcPr>
            <w:tcW w:w="3170" w:type="dxa"/>
            <w:tcBorders>
              <w:top w:val="nil"/>
              <w:bottom w:val="single" w:sz="4" w:space="0" w:color="auto"/>
            </w:tcBorders>
            <w:shd w:val="clear" w:color="auto" w:fill="auto"/>
            <w:noWrap/>
            <w:vAlign w:val="center"/>
          </w:tcPr>
          <w:p w:rsidR="00880387" w:rsidRPr="003B78A3" w:rsidRDefault="00880387" w:rsidP="003B78A3">
            <w:pPr>
              <w:jc w:val="center"/>
              <w:rPr>
                <w:rFonts w:eastAsia="Times New Roman"/>
                <w:b/>
                <w:bCs/>
                <w:sz w:val="22"/>
                <w:szCs w:val="24"/>
                <w:lang w:val="pt-BR"/>
              </w:rPr>
            </w:pPr>
            <w:r w:rsidRPr="003B78A3">
              <w:rPr>
                <w:rFonts w:eastAsia="Times New Roman"/>
                <w:b/>
                <w:bCs/>
                <w:sz w:val="22"/>
                <w:szCs w:val="24"/>
                <w:lang w:val="pt-BR"/>
              </w:rPr>
              <w:sym w:font="Symbol" w:char="F072"/>
            </w:r>
          </w:p>
        </w:tc>
        <w:tc>
          <w:tcPr>
            <w:tcW w:w="2219" w:type="dxa"/>
            <w:tcBorders>
              <w:top w:val="nil"/>
              <w:bottom w:val="single" w:sz="4" w:space="0" w:color="auto"/>
            </w:tcBorders>
            <w:shd w:val="clear" w:color="auto" w:fill="auto"/>
            <w:noWrap/>
            <w:vAlign w:val="center"/>
          </w:tcPr>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0.7532</w:t>
            </w:r>
          </w:p>
        </w:tc>
        <w:tc>
          <w:tcPr>
            <w:tcW w:w="3391" w:type="dxa"/>
            <w:gridSpan w:val="2"/>
            <w:tcBorders>
              <w:top w:val="nil"/>
              <w:bottom w:val="single" w:sz="4" w:space="0" w:color="auto"/>
            </w:tcBorders>
            <w:shd w:val="clear" w:color="auto" w:fill="auto"/>
            <w:noWrap/>
            <w:vAlign w:val="center"/>
          </w:tcPr>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0.7544</w:t>
            </w:r>
          </w:p>
        </w:tc>
      </w:tr>
      <w:tr w:rsidR="00D20D05" w:rsidRPr="003B78A3" w:rsidTr="005051E9">
        <w:trPr>
          <w:trHeight w:val="239"/>
          <w:jc w:val="center"/>
        </w:trPr>
        <w:tc>
          <w:tcPr>
            <w:tcW w:w="3170" w:type="dxa"/>
            <w:tcBorders>
              <w:top w:val="single" w:sz="4" w:space="0" w:color="auto"/>
              <w:bottom w:val="single" w:sz="12" w:space="0" w:color="auto"/>
            </w:tcBorders>
            <w:shd w:val="clear" w:color="auto" w:fill="auto"/>
            <w:noWrap/>
            <w:vAlign w:val="center"/>
            <w:hideMark/>
          </w:tcPr>
          <w:p w:rsidR="00880387" w:rsidRPr="003B78A3" w:rsidRDefault="00880387" w:rsidP="003B78A3">
            <w:pPr>
              <w:jc w:val="center"/>
              <w:rPr>
                <w:rFonts w:eastAsia="Times New Roman"/>
                <w:b/>
                <w:bCs/>
                <w:sz w:val="22"/>
                <w:szCs w:val="24"/>
                <w:lang w:val="pt-BR"/>
              </w:rPr>
            </w:pPr>
            <w:r w:rsidRPr="003B78A3">
              <w:rPr>
                <w:rFonts w:eastAsia="Times New Roman"/>
                <w:b/>
                <w:bCs/>
                <w:sz w:val="22"/>
                <w:szCs w:val="24"/>
                <w:lang w:val="pt-BR"/>
              </w:rPr>
              <w:t>R²</w:t>
            </w:r>
          </w:p>
        </w:tc>
        <w:tc>
          <w:tcPr>
            <w:tcW w:w="3503" w:type="dxa"/>
            <w:gridSpan w:val="2"/>
            <w:tcBorders>
              <w:top w:val="single" w:sz="4" w:space="0" w:color="auto"/>
              <w:bottom w:val="single" w:sz="12" w:space="0" w:color="auto"/>
            </w:tcBorders>
            <w:shd w:val="clear" w:color="auto" w:fill="auto"/>
            <w:noWrap/>
            <w:vAlign w:val="center"/>
            <w:hideMark/>
          </w:tcPr>
          <w:p w:rsidR="00880387" w:rsidRPr="003B78A3" w:rsidRDefault="003B78A3" w:rsidP="003B78A3">
            <w:pPr>
              <w:rPr>
                <w:rFonts w:eastAsia="Times New Roman"/>
                <w:sz w:val="22"/>
                <w:szCs w:val="24"/>
                <w:lang w:val="pt-BR"/>
              </w:rPr>
            </w:pPr>
            <w:r>
              <w:rPr>
                <w:rFonts w:eastAsia="Times New Roman"/>
                <w:sz w:val="22"/>
                <w:szCs w:val="24"/>
                <w:lang w:val="pt-BR"/>
              </w:rPr>
              <w:t xml:space="preserve">       </w:t>
            </w:r>
            <w:r w:rsidR="00880387" w:rsidRPr="003B78A3">
              <w:rPr>
                <w:rFonts w:eastAsia="Times New Roman"/>
                <w:sz w:val="22"/>
                <w:szCs w:val="24"/>
                <w:lang w:val="pt-BR"/>
              </w:rPr>
              <w:t xml:space="preserve"> 0.0477</w:t>
            </w:r>
          </w:p>
        </w:tc>
        <w:tc>
          <w:tcPr>
            <w:tcW w:w="2108" w:type="dxa"/>
            <w:tcBorders>
              <w:top w:val="single" w:sz="4" w:space="0" w:color="auto"/>
              <w:bottom w:val="single" w:sz="12" w:space="0" w:color="auto"/>
            </w:tcBorders>
            <w:shd w:val="clear" w:color="auto" w:fill="auto"/>
            <w:noWrap/>
            <w:vAlign w:val="center"/>
            <w:hideMark/>
          </w:tcPr>
          <w:p w:rsidR="00880387" w:rsidRPr="003B78A3" w:rsidRDefault="00880387" w:rsidP="003B78A3">
            <w:pPr>
              <w:rPr>
                <w:rFonts w:eastAsia="Times New Roman"/>
                <w:sz w:val="22"/>
                <w:szCs w:val="24"/>
                <w:lang w:val="pt-BR"/>
              </w:rPr>
            </w:pPr>
            <w:r w:rsidRPr="003B78A3">
              <w:rPr>
                <w:rFonts w:eastAsia="Times New Roman"/>
                <w:sz w:val="22"/>
                <w:szCs w:val="24"/>
                <w:lang w:val="pt-BR"/>
              </w:rPr>
              <w:t>0.0403</w:t>
            </w:r>
          </w:p>
        </w:tc>
      </w:tr>
    </w:tbl>
    <w:p w:rsidR="0003531F" w:rsidRPr="003B78A3" w:rsidRDefault="00880387" w:rsidP="003B78A3">
      <w:pPr>
        <w:rPr>
          <w:sz w:val="20"/>
          <w:szCs w:val="24"/>
          <w:lang w:val="pt-BR"/>
        </w:rPr>
      </w:pPr>
      <w:r w:rsidRPr="003B78A3">
        <w:rPr>
          <w:sz w:val="20"/>
          <w:szCs w:val="24"/>
          <w:lang w:val="pt-BR"/>
        </w:rPr>
        <w:t>Nota: Níveis de significância dados pelos Valores-</w:t>
      </w:r>
      <w:r w:rsidRPr="003B78A3">
        <w:rPr>
          <w:i/>
          <w:sz w:val="20"/>
          <w:szCs w:val="24"/>
          <w:lang w:val="pt-BR"/>
        </w:rPr>
        <w:t>p</w:t>
      </w:r>
      <w:r w:rsidRPr="003B78A3">
        <w:rPr>
          <w:sz w:val="20"/>
          <w:szCs w:val="24"/>
          <w:lang w:val="pt-BR"/>
        </w:rPr>
        <w:t>, onde: * p&lt;0,1; ** p&lt;0,05 e *** p&lt;0,01.</w:t>
      </w:r>
      <w:r w:rsidR="002A3206" w:rsidRPr="003B78A3">
        <w:rPr>
          <w:sz w:val="20"/>
          <w:szCs w:val="24"/>
          <w:lang w:val="pt-BR"/>
        </w:rPr>
        <w:t xml:space="preserve"> </w:t>
      </w:r>
      <w:r w:rsidRPr="003B78A3">
        <w:rPr>
          <w:sz w:val="20"/>
          <w:szCs w:val="24"/>
          <w:lang w:val="pt-BR"/>
        </w:rPr>
        <w:t>Desvios Padrão entre parêntes</w:t>
      </w:r>
      <w:r w:rsidR="00765A3F" w:rsidRPr="003B78A3">
        <w:rPr>
          <w:sz w:val="20"/>
          <w:szCs w:val="24"/>
          <w:lang w:val="pt-BR"/>
        </w:rPr>
        <w:t>es abaixo de cada coeficiente.</w:t>
      </w:r>
    </w:p>
    <w:p w:rsidR="003B78A3" w:rsidRPr="00F47284" w:rsidRDefault="003B78A3" w:rsidP="003B78A3">
      <w:pPr>
        <w:rPr>
          <w:sz w:val="24"/>
          <w:szCs w:val="24"/>
          <w:lang w:val="pt-BR"/>
        </w:rPr>
      </w:pPr>
    </w:p>
    <w:p w:rsidR="00880387" w:rsidRPr="00F47284" w:rsidRDefault="00880387" w:rsidP="003B78A3">
      <w:pPr>
        <w:ind w:firstLine="424"/>
        <w:rPr>
          <w:sz w:val="24"/>
          <w:szCs w:val="24"/>
          <w:lang w:val="pt-BR"/>
        </w:rPr>
      </w:pPr>
      <w:r w:rsidRPr="00F47284">
        <w:rPr>
          <w:sz w:val="24"/>
          <w:szCs w:val="24"/>
          <w:lang w:val="pt-BR"/>
        </w:rPr>
        <w:t xml:space="preserve">Além disso, a estatísticas </w:t>
      </w:r>
      <w:proofErr w:type="spellStart"/>
      <w:r w:rsidRPr="00F47284">
        <w:rPr>
          <w:sz w:val="24"/>
          <w:szCs w:val="24"/>
          <w:lang w:val="pt-BR"/>
        </w:rPr>
        <w:t>rô</w:t>
      </w:r>
      <w:proofErr w:type="spellEnd"/>
      <w:r w:rsidRPr="00F47284">
        <w:rPr>
          <w:sz w:val="24"/>
          <w:szCs w:val="24"/>
          <w:lang w:val="pt-BR"/>
        </w:rPr>
        <w:t xml:space="preserve"> (</w:t>
      </w:r>
      <w:r w:rsidRPr="00F47284">
        <w:rPr>
          <w:sz w:val="24"/>
          <w:szCs w:val="24"/>
          <w:lang w:val="pt-BR"/>
        </w:rPr>
        <w:sym w:font="Symbol" w:char="F072"/>
      </w:r>
      <w:r w:rsidRPr="00F47284">
        <w:rPr>
          <w:sz w:val="24"/>
          <w:szCs w:val="24"/>
          <w:lang w:val="pt-BR"/>
        </w:rPr>
        <w:t>) igual a 0,7532, para o modelo 1</w:t>
      </w:r>
      <w:r w:rsidR="00F630E7" w:rsidRPr="00F47284">
        <w:rPr>
          <w:sz w:val="24"/>
          <w:szCs w:val="24"/>
          <w:lang w:val="pt-BR"/>
        </w:rPr>
        <w:t>A</w:t>
      </w:r>
      <w:r w:rsidRPr="00F47284">
        <w:rPr>
          <w:sz w:val="24"/>
          <w:szCs w:val="24"/>
          <w:lang w:val="pt-BR"/>
        </w:rPr>
        <w:t xml:space="preserve">, e 0,7544, para o modelo </w:t>
      </w:r>
      <w:r w:rsidR="00642B2A" w:rsidRPr="00F47284">
        <w:rPr>
          <w:sz w:val="24"/>
          <w:szCs w:val="24"/>
          <w:lang w:val="pt-BR"/>
        </w:rPr>
        <w:t>1B</w:t>
      </w:r>
      <w:r w:rsidRPr="00F47284">
        <w:rPr>
          <w:sz w:val="24"/>
          <w:szCs w:val="24"/>
          <w:lang w:val="pt-BR"/>
        </w:rPr>
        <w:t xml:space="preserve">, indica que no primeiro modelo 75,32% da variância total do modelo se deve a características de variância individuais das variáveis explicativas, e 75,44% no segundo modelo. Observou-se ainda o poder de </w:t>
      </w:r>
      <w:r w:rsidRPr="00F47284">
        <w:rPr>
          <w:sz w:val="24"/>
          <w:szCs w:val="24"/>
          <w:lang w:val="pt-BR"/>
        </w:rPr>
        <w:lastRenderedPageBreak/>
        <w:t>explicação dos modelos 1</w:t>
      </w:r>
      <w:r w:rsidR="0048407B" w:rsidRPr="00F47284">
        <w:rPr>
          <w:sz w:val="24"/>
          <w:szCs w:val="24"/>
          <w:lang w:val="pt-BR"/>
        </w:rPr>
        <w:t>A</w:t>
      </w:r>
      <w:r w:rsidRPr="00F47284">
        <w:rPr>
          <w:sz w:val="24"/>
          <w:szCs w:val="24"/>
          <w:lang w:val="pt-BR"/>
        </w:rPr>
        <w:t xml:space="preserve"> e </w:t>
      </w:r>
      <w:r w:rsidR="00642B2A" w:rsidRPr="00F47284">
        <w:rPr>
          <w:sz w:val="24"/>
          <w:szCs w:val="24"/>
          <w:lang w:val="pt-BR"/>
        </w:rPr>
        <w:t>1B</w:t>
      </w:r>
      <w:r w:rsidRPr="00F47284">
        <w:rPr>
          <w:sz w:val="24"/>
          <w:szCs w:val="24"/>
          <w:lang w:val="pt-BR"/>
        </w:rPr>
        <w:t xml:space="preserve"> com estimador de Efeitos Fixos, dado pelo coeficiente de determinação (R²), é 0,0477 e 0,0403, respectivamente. Indicando que,</w:t>
      </w:r>
      <w:r w:rsidRPr="00F47284">
        <w:rPr>
          <w:sz w:val="24"/>
          <w:szCs w:val="24"/>
          <w:shd w:val="clear" w:color="auto" w:fill="FFFFFF"/>
          <w:lang w:val="pt-BR"/>
        </w:rPr>
        <w:t xml:space="preserve"> nos dois modelos, em torno de 4% do montante de variação temporal da variável dependente (IED) consegue ser explicada pelo montante de variação temporal das variáveis </w:t>
      </w:r>
      <w:proofErr w:type="spellStart"/>
      <w:r w:rsidRPr="00F47284">
        <w:rPr>
          <w:sz w:val="24"/>
          <w:szCs w:val="24"/>
          <w:shd w:val="clear" w:color="auto" w:fill="FFFFFF"/>
          <w:lang w:val="pt-BR"/>
        </w:rPr>
        <w:t>regressoras</w:t>
      </w:r>
      <w:proofErr w:type="spellEnd"/>
      <w:r w:rsidRPr="00F47284">
        <w:rPr>
          <w:sz w:val="24"/>
          <w:szCs w:val="24"/>
          <w:lang w:val="pt-BR"/>
        </w:rPr>
        <w:t>. Um valor baixo, mas coerente, uma vez que o investimento internacional é influenciado por inúmeros fatores, e aqui a intenção é ver se as instituições são um desses fatores que influenciam positivamente na atração de IED para os países, além de que esta forma de painel não é a mais robusta de se utilizar.</w:t>
      </w:r>
    </w:p>
    <w:p w:rsidR="002A3206" w:rsidRDefault="00880387" w:rsidP="003B78A3">
      <w:pPr>
        <w:ind w:firstLine="424"/>
        <w:rPr>
          <w:sz w:val="24"/>
          <w:szCs w:val="24"/>
          <w:shd w:val="clear" w:color="auto" w:fill="FFFFFF"/>
          <w:lang w:val="pt-BR"/>
        </w:rPr>
      </w:pPr>
      <w:r w:rsidRPr="00F47284">
        <w:rPr>
          <w:sz w:val="24"/>
          <w:szCs w:val="24"/>
          <w:lang w:val="pt-BR"/>
        </w:rPr>
        <w:t xml:space="preserve">Em seguida, para </w:t>
      </w:r>
      <w:r w:rsidRPr="00F47284">
        <w:rPr>
          <w:sz w:val="24"/>
          <w:szCs w:val="24"/>
          <w:shd w:val="clear" w:color="auto" w:fill="FFFFFF"/>
          <w:lang w:val="pt-BR"/>
        </w:rPr>
        <w:t>solucionar os possíveis vieses que podem surgir devido à correlação entre o erro e a variável explicativa, resultante da omissão de variáveis relevantes para o modelo, erro nas variáveis ou até mesmo simultaneidade,</w:t>
      </w:r>
      <w:r w:rsidRPr="00F47284">
        <w:rPr>
          <w:sz w:val="24"/>
          <w:szCs w:val="24"/>
          <w:lang w:val="pt-BR"/>
        </w:rPr>
        <w:t xml:space="preserve"> </w:t>
      </w:r>
      <w:r w:rsidRPr="00F47284">
        <w:rPr>
          <w:sz w:val="24"/>
          <w:szCs w:val="24"/>
          <w:shd w:val="clear" w:color="auto" w:fill="FFFFFF"/>
          <w:lang w:val="pt-BR"/>
        </w:rPr>
        <w:t>a aplicação do modelo de Mínimos Quadrados em Dois Estágios (MQ2E) com variável instrumental torna-se a maneira mais eficiente de se estimar os modelos. Entretanto, o modelo de Efeitos Fixos utilizado anteriormente nos modelos 1</w:t>
      </w:r>
      <w:r w:rsidR="0048407B" w:rsidRPr="00F47284">
        <w:rPr>
          <w:sz w:val="24"/>
          <w:szCs w:val="24"/>
          <w:shd w:val="clear" w:color="auto" w:fill="FFFFFF"/>
          <w:lang w:val="pt-BR"/>
        </w:rPr>
        <w:t>A</w:t>
      </w:r>
      <w:r w:rsidRPr="00F47284">
        <w:rPr>
          <w:sz w:val="24"/>
          <w:szCs w:val="24"/>
          <w:shd w:val="clear" w:color="auto" w:fill="FFFFFF"/>
          <w:lang w:val="pt-BR"/>
        </w:rPr>
        <w:t xml:space="preserve"> e </w:t>
      </w:r>
      <w:r w:rsidR="00642B2A" w:rsidRPr="00F47284">
        <w:rPr>
          <w:sz w:val="24"/>
          <w:szCs w:val="24"/>
          <w:shd w:val="clear" w:color="auto" w:fill="FFFFFF"/>
          <w:lang w:val="pt-BR"/>
        </w:rPr>
        <w:t>1B</w:t>
      </w:r>
      <w:r w:rsidRPr="00F47284">
        <w:rPr>
          <w:sz w:val="24"/>
          <w:szCs w:val="24"/>
          <w:shd w:val="clear" w:color="auto" w:fill="FFFFFF"/>
          <w:lang w:val="pt-BR"/>
        </w:rPr>
        <w:t xml:space="preserve"> controla todas as diferenças invariantes no tempo entre os indivíduos, de modo que os coeficientes estimados dos modelos de Efeitos Fixos não podem ser tendenciosos devido a características invariantes temporais omitidos, como cultura, religião, gênero, raça, entre outras. Segundo </w:t>
      </w:r>
      <w:proofErr w:type="spellStart"/>
      <w:r w:rsidRPr="00F47284">
        <w:rPr>
          <w:sz w:val="24"/>
          <w:szCs w:val="24"/>
          <w:shd w:val="clear" w:color="auto" w:fill="FFFFFF"/>
          <w:lang w:val="pt-BR"/>
        </w:rPr>
        <w:t>Kohler</w:t>
      </w:r>
      <w:proofErr w:type="spellEnd"/>
      <w:r w:rsidRPr="00F47284">
        <w:rPr>
          <w:sz w:val="24"/>
          <w:szCs w:val="24"/>
          <w:shd w:val="clear" w:color="auto" w:fill="FFFFFF"/>
          <w:lang w:val="pt-BR"/>
        </w:rPr>
        <w:t xml:space="preserve"> e </w:t>
      </w:r>
      <w:proofErr w:type="spellStart"/>
      <w:r w:rsidRPr="00F47284">
        <w:rPr>
          <w:sz w:val="24"/>
          <w:szCs w:val="24"/>
          <w:shd w:val="clear" w:color="auto" w:fill="FFFFFF"/>
          <w:lang w:val="pt-BR"/>
        </w:rPr>
        <w:t>Kreuter</w:t>
      </w:r>
      <w:proofErr w:type="spellEnd"/>
      <w:r w:rsidRPr="00F47284">
        <w:rPr>
          <w:sz w:val="24"/>
          <w:szCs w:val="24"/>
          <w:shd w:val="clear" w:color="auto" w:fill="FFFFFF"/>
          <w:lang w:val="pt-BR"/>
        </w:rPr>
        <w:t xml:space="preserve"> (2009) um efeito colateral dos recursos do modelo de Efeitos Fixos é que eles não podem ser usados para investigar causas invariantes no tempo das variáveis dependentes. Tecnicamente, as características invariantes do tempo dos indivíduos são perfeitamente colineares com o indivíduo, ou no caso país. Logo, o modelo de Efeitos Fixos é projetado para estudar as causas das mudanças dentro de um indivíduo. Dessa forma, uma característica invariante do tempo não pode causar tal alteração, porque é constante para cada indivíduo. Sendo assim, como as variáveis instrumentais (</w:t>
      </w:r>
      <w:proofErr w:type="spellStart"/>
      <w:r w:rsidRPr="00F47284">
        <w:rPr>
          <w:sz w:val="24"/>
          <w:szCs w:val="24"/>
          <w:shd w:val="clear" w:color="auto" w:fill="FFFFFF"/>
          <w:lang w:val="pt-BR"/>
        </w:rPr>
        <w:t>DeuRel</w:t>
      </w:r>
      <w:proofErr w:type="spellEnd"/>
      <w:r w:rsidRPr="00F47284">
        <w:rPr>
          <w:sz w:val="24"/>
          <w:szCs w:val="24"/>
          <w:shd w:val="clear" w:color="auto" w:fill="FFFFFF"/>
          <w:lang w:val="pt-BR"/>
        </w:rPr>
        <w:t xml:space="preserve"> e </w:t>
      </w:r>
      <w:proofErr w:type="spellStart"/>
      <w:r w:rsidRPr="00F47284">
        <w:rPr>
          <w:sz w:val="24"/>
          <w:szCs w:val="24"/>
          <w:shd w:val="clear" w:color="auto" w:fill="FFFFFF"/>
          <w:lang w:val="pt-BR"/>
        </w:rPr>
        <w:t>RelMaj</w:t>
      </w:r>
      <w:proofErr w:type="spellEnd"/>
      <w:r w:rsidRPr="00F47284">
        <w:rPr>
          <w:sz w:val="24"/>
          <w:szCs w:val="24"/>
          <w:shd w:val="clear" w:color="auto" w:fill="FFFFFF"/>
          <w:lang w:val="pt-BR"/>
        </w:rPr>
        <w:t xml:space="preserve">) utilizadas neste estudo são fixas no tempo o estimador de Efeitos Fixos não pode ser aplicado em MQ2E, portanto o estimador que melhor se adequa aos modelos </w:t>
      </w:r>
      <w:r w:rsidR="002178AF" w:rsidRPr="00F47284">
        <w:rPr>
          <w:sz w:val="24"/>
          <w:szCs w:val="24"/>
          <w:shd w:val="clear" w:color="auto" w:fill="FFFFFF"/>
          <w:lang w:val="pt-BR"/>
        </w:rPr>
        <w:t>2A</w:t>
      </w:r>
      <w:r w:rsidR="0048407B" w:rsidRPr="00F47284">
        <w:rPr>
          <w:sz w:val="24"/>
          <w:szCs w:val="24"/>
          <w:shd w:val="clear" w:color="auto" w:fill="FFFFFF"/>
          <w:lang w:val="pt-BR"/>
        </w:rPr>
        <w:t xml:space="preserve"> e 2B</w:t>
      </w:r>
      <w:r w:rsidRPr="00F47284">
        <w:rPr>
          <w:sz w:val="24"/>
          <w:szCs w:val="24"/>
          <w:shd w:val="clear" w:color="auto" w:fill="FFFFFF"/>
          <w:lang w:val="pt-BR"/>
        </w:rPr>
        <w:t xml:space="preserve"> é o de Efeitos Aleatórios.</w:t>
      </w:r>
    </w:p>
    <w:p w:rsidR="0022530D" w:rsidRPr="00F47284" w:rsidRDefault="0022530D" w:rsidP="0022530D">
      <w:pPr>
        <w:ind w:firstLine="424"/>
        <w:rPr>
          <w:sz w:val="24"/>
          <w:szCs w:val="24"/>
          <w:lang w:val="pt-BR"/>
        </w:rPr>
      </w:pPr>
      <w:r w:rsidRPr="00F47284">
        <w:rPr>
          <w:sz w:val="24"/>
          <w:szCs w:val="24"/>
          <w:lang w:val="pt-BR"/>
        </w:rPr>
        <w:t xml:space="preserve">A Tabela 4 apresenta os principais resultados dos dois modelos regredidos com variável instrumental através do método de MQ2E com estimador Efeitos Aleatórios, utilizando o procedimento de </w:t>
      </w:r>
      <w:proofErr w:type="spellStart"/>
      <w:r w:rsidRPr="00F47284">
        <w:rPr>
          <w:sz w:val="24"/>
          <w:szCs w:val="24"/>
          <w:lang w:val="pt-BR"/>
        </w:rPr>
        <w:t>Baltagi</w:t>
      </w:r>
      <w:proofErr w:type="spellEnd"/>
      <w:r w:rsidRPr="00F47284">
        <w:rPr>
          <w:sz w:val="24"/>
          <w:szCs w:val="24"/>
          <w:lang w:val="pt-BR"/>
        </w:rPr>
        <w:t xml:space="preserve">-Chang, proposto pelo </w:t>
      </w:r>
      <w:r w:rsidRPr="00F47284">
        <w:rPr>
          <w:i/>
          <w:sz w:val="24"/>
          <w:szCs w:val="24"/>
          <w:lang w:val="pt-BR"/>
        </w:rPr>
        <w:t>software</w:t>
      </w:r>
      <w:r w:rsidRPr="00F47284">
        <w:rPr>
          <w:sz w:val="24"/>
          <w:szCs w:val="24"/>
          <w:lang w:val="pt-BR"/>
        </w:rPr>
        <w:t xml:space="preserve"> STATA 13.0. Em relação aos modelos 2A e 2B, os coeficientes de </w:t>
      </w:r>
      <w:proofErr w:type="spellStart"/>
      <w:r w:rsidRPr="00F47284">
        <w:rPr>
          <w:sz w:val="24"/>
          <w:szCs w:val="24"/>
          <w:lang w:val="pt-BR"/>
        </w:rPr>
        <w:t>AmPol</w:t>
      </w:r>
      <w:proofErr w:type="spellEnd"/>
      <w:r w:rsidRPr="00F47284">
        <w:rPr>
          <w:sz w:val="24"/>
          <w:szCs w:val="24"/>
          <w:lang w:val="pt-BR"/>
        </w:rPr>
        <w:t xml:space="preserve"> e </w:t>
      </w:r>
      <w:proofErr w:type="spellStart"/>
      <w:r w:rsidRPr="00F47284">
        <w:rPr>
          <w:sz w:val="24"/>
          <w:szCs w:val="24"/>
          <w:lang w:val="pt-BR"/>
        </w:rPr>
        <w:t>EstPol</w:t>
      </w:r>
      <w:proofErr w:type="spellEnd"/>
      <w:r w:rsidRPr="00F47284">
        <w:rPr>
          <w:sz w:val="24"/>
          <w:szCs w:val="24"/>
          <w:lang w:val="pt-BR"/>
        </w:rPr>
        <w:t>, variáveis que mensuram o arranjo institucional, são positivos e significativos com 95% de confiança. Indicando que o aumento da qualidade destes arranjos institucionais e a atração de IED são diretamente proporcionais, logo, a medida que estas instituições em questão melhoram, mais IED é atraído para os países.</w:t>
      </w:r>
    </w:p>
    <w:p w:rsidR="0022530D" w:rsidRPr="00F47284" w:rsidRDefault="0022530D" w:rsidP="0022530D">
      <w:pPr>
        <w:ind w:firstLine="424"/>
        <w:rPr>
          <w:sz w:val="24"/>
          <w:szCs w:val="24"/>
          <w:lang w:val="pt-BR"/>
        </w:rPr>
      </w:pPr>
      <w:r w:rsidRPr="00F47284">
        <w:rPr>
          <w:sz w:val="24"/>
          <w:szCs w:val="24"/>
          <w:lang w:val="pt-BR"/>
        </w:rPr>
        <w:t>As variáveis instrumentais utilizadas nos Modelos 2A e 2B, foram a Distância Euclidiana da Religião (</w:t>
      </w:r>
      <w:proofErr w:type="spellStart"/>
      <w:r w:rsidRPr="00F47284">
        <w:rPr>
          <w:sz w:val="24"/>
          <w:szCs w:val="24"/>
          <w:lang w:val="pt-BR"/>
        </w:rPr>
        <w:t>DeuRel</w:t>
      </w:r>
      <w:proofErr w:type="spellEnd"/>
      <w:r w:rsidRPr="00F47284">
        <w:rPr>
          <w:sz w:val="24"/>
          <w:szCs w:val="24"/>
          <w:lang w:val="pt-BR"/>
        </w:rPr>
        <w:t>) e a Religião Majoritária (</w:t>
      </w:r>
      <w:proofErr w:type="spellStart"/>
      <w:r w:rsidRPr="00F47284">
        <w:rPr>
          <w:sz w:val="24"/>
          <w:szCs w:val="24"/>
          <w:lang w:val="pt-BR"/>
        </w:rPr>
        <w:t>RelMaj</w:t>
      </w:r>
      <w:proofErr w:type="spellEnd"/>
      <w:r w:rsidRPr="00F47284">
        <w:rPr>
          <w:sz w:val="24"/>
          <w:szCs w:val="24"/>
          <w:lang w:val="pt-BR"/>
        </w:rPr>
        <w:t xml:space="preserve">), e servem para controlar o problema de </w:t>
      </w:r>
      <w:proofErr w:type="spellStart"/>
      <w:r w:rsidRPr="00F47284">
        <w:rPr>
          <w:sz w:val="24"/>
          <w:szCs w:val="24"/>
          <w:lang w:val="pt-BR"/>
        </w:rPr>
        <w:t>endogeneidade</w:t>
      </w:r>
      <w:proofErr w:type="spellEnd"/>
      <w:r w:rsidRPr="00F47284">
        <w:rPr>
          <w:sz w:val="24"/>
          <w:szCs w:val="24"/>
          <w:lang w:val="pt-BR"/>
        </w:rPr>
        <w:t xml:space="preserve"> e correlação das variáveis. A religião foi escolhida para este conjunto de variáveis pois os arranjos institucionais recebem forte influência do sistema de crenças e de valores religiosos, uma vez que impõem restrições e incentivos aos comportamentos dos indivíduos, e também aos empreendimentos que conduzem o processo de desenvolvimento econômico. Segundo La Porta </w:t>
      </w:r>
      <w:r w:rsidRPr="00F47284">
        <w:rPr>
          <w:i/>
          <w:sz w:val="24"/>
          <w:szCs w:val="24"/>
          <w:lang w:val="pt-BR"/>
        </w:rPr>
        <w:t>et al.</w:t>
      </w:r>
      <w:r w:rsidRPr="00F47284">
        <w:rPr>
          <w:sz w:val="24"/>
          <w:szCs w:val="24"/>
          <w:lang w:val="pt-BR"/>
        </w:rPr>
        <w:t xml:space="preserve"> (1999), existem fortes evidências de que fatores culturais e históricos são importantes para explicar o desempenho dos governos, principalmente em países com estruturas religiosas muito sólidas. Além desses dois instrumentos principais as variáveis de controle também entram como instrumentos dos modelos, uma vez que são necessárias para instrumentalizar e gerar equilíbrio.</w:t>
      </w:r>
    </w:p>
    <w:p w:rsidR="0022530D" w:rsidRDefault="0022530D" w:rsidP="003B78A3">
      <w:pPr>
        <w:ind w:firstLine="424"/>
        <w:rPr>
          <w:sz w:val="24"/>
          <w:szCs w:val="24"/>
          <w:shd w:val="clear" w:color="auto" w:fill="FFFFFF"/>
          <w:lang w:val="pt-BR"/>
        </w:rPr>
      </w:pPr>
    </w:p>
    <w:p w:rsidR="0022530D" w:rsidRDefault="0022530D" w:rsidP="003B78A3">
      <w:pPr>
        <w:ind w:firstLine="424"/>
        <w:rPr>
          <w:sz w:val="24"/>
          <w:szCs w:val="24"/>
          <w:shd w:val="clear" w:color="auto" w:fill="FFFFFF"/>
          <w:lang w:val="pt-BR"/>
        </w:rPr>
      </w:pPr>
    </w:p>
    <w:p w:rsidR="0022530D" w:rsidRPr="00F47284" w:rsidRDefault="0022530D" w:rsidP="003B78A3">
      <w:pPr>
        <w:ind w:firstLine="424"/>
        <w:rPr>
          <w:sz w:val="24"/>
          <w:szCs w:val="24"/>
          <w:shd w:val="clear" w:color="auto" w:fill="FFFFFF"/>
          <w:lang w:val="pt-BR"/>
        </w:rPr>
      </w:pPr>
    </w:p>
    <w:p w:rsidR="00880387" w:rsidRPr="00F47284" w:rsidRDefault="00880387" w:rsidP="003B78A3">
      <w:pPr>
        <w:jc w:val="center"/>
        <w:rPr>
          <w:b/>
          <w:sz w:val="24"/>
          <w:szCs w:val="24"/>
          <w:lang w:val="pt-BR"/>
        </w:rPr>
      </w:pPr>
      <w:r w:rsidRPr="00F47284">
        <w:rPr>
          <w:b/>
          <w:sz w:val="24"/>
          <w:szCs w:val="24"/>
          <w:lang w:val="pt-BR"/>
        </w:rPr>
        <w:lastRenderedPageBreak/>
        <w:t>Tabela 4 – Principais resultados dos modelos de MQ2E com variável instrumental</w:t>
      </w:r>
    </w:p>
    <w:tbl>
      <w:tblPr>
        <w:tblW w:w="9139" w:type="dxa"/>
        <w:jc w:val="center"/>
        <w:tblBorders>
          <w:top w:val="single" w:sz="4" w:space="0" w:color="7F7F7F"/>
          <w:bottom w:val="single" w:sz="4" w:space="0" w:color="7F7F7F"/>
        </w:tblBorders>
        <w:tblLook w:val="04A0" w:firstRow="1" w:lastRow="0" w:firstColumn="1" w:lastColumn="0" w:noHBand="0" w:noVBand="1"/>
      </w:tblPr>
      <w:tblGrid>
        <w:gridCol w:w="2968"/>
        <w:gridCol w:w="2355"/>
        <w:gridCol w:w="3816"/>
      </w:tblGrid>
      <w:tr w:rsidR="00D20D05" w:rsidRPr="003B78A3" w:rsidTr="0022530D">
        <w:trPr>
          <w:trHeight w:val="322"/>
          <w:jc w:val="center"/>
        </w:trPr>
        <w:tc>
          <w:tcPr>
            <w:tcW w:w="2968" w:type="dxa"/>
            <w:tcBorders>
              <w:top w:val="single" w:sz="4" w:space="0" w:color="auto"/>
              <w:bottom w:val="nil"/>
            </w:tcBorders>
            <w:shd w:val="clear" w:color="auto" w:fill="auto"/>
            <w:noWrap/>
            <w:vAlign w:val="center"/>
            <w:hideMark/>
          </w:tcPr>
          <w:p w:rsidR="00880387" w:rsidRPr="003B78A3" w:rsidRDefault="00880387" w:rsidP="003B78A3">
            <w:pPr>
              <w:jc w:val="left"/>
              <w:rPr>
                <w:rFonts w:eastAsia="Times New Roman"/>
                <w:b/>
                <w:bCs/>
                <w:sz w:val="22"/>
                <w:szCs w:val="24"/>
                <w:lang w:val="pt-BR"/>
              </w:rPr>
            </w:pPr>
          </w:p>
        </w:tc>
        <w:tc>
          <w:tcPr>
            <w:tcW w:w="2355" w:type="dxa"/>
            <w:tcBorders>
              <w:top w:val="single" w:sz="4" w:space="0" w:color="auto"/>
              <w:bottom w:val="nil"/>
            </w:tcBorders>
            <w:shd w:val="clear" w:color="auto" w:fill="auto"/>
            <w:noWrap/>
            <w:vAlign w:val="center"/>
            <w:hideMark/>
          </w:tcPr>
          <w:p w:rsidR="00880387" w:rsidRPr="003B78A3" w:rsidRDefault="00880387" w:rsidP="003B78A3">
            <w:pPr>
              <w:jc w:val="center"/>
              <w:rPr>
                <w:rFonts w:eastAsia="Times New Roman"/>
                <w:b/>
                <w:bCs/>
                <w:sz w:val="22"/>
                <w:szCs w:val="24"/>
                <w:lang w:val="pt-BR"/>
              </w:rPr>
            </w:pPr>
            <w:r w:rsidRPr="003B78A3">
              <w:rPr>
                <w:rFonts w:eastAsia="Times New Roman"/>
                <w:b/>
                <w:bCs/>
                <w:sz w:val="22"/>
                <w:szCs w:val="24"/>
                <w:lang w:val="pt-BR"/>
              </w:rPr>
              <w:t xml:space="preserve">Modelo </w:t>
            </w:r>
            <w:r w:rsidR="002178AF" w:rsidRPr="003B78A3">
              <w:rPr>
                <w:rFonts w:eastAsia="Times New Roman"/>
                <w:b/>
                <w:bCs/>
                <w:sz w:val="22"/>
                <w:szCs w:val="24"/>
                <w:lang w:val="pt-BR"/>
              </w:rPr>
              <w:t>2A</w:t>
            </w:r>
          </w:p>
        </w:tc>
        <w:tc>
          <w:tcPr>
            <w:tcW w:w="3816" w:type="dxa"/>
            <w:tcBorders>
              <w:top w:val="single" w:sz="4" w:space="0" w:color="auto"/>
              <w:bottom w:val="nil"/>
            </w:tcBorders>
            <w:shd w:val="clear" w:color="auto" w:fill="auto"/>
            <w:noWrap/>
            <w:vAlign w:val="center"/>
            <w:hideMark/>
          </w:tcPr>
          <w:p w:rsidR="00880387" w:rsidRPr="003B78A3" w:rsidRDefault="00880387" w:rsidP="003B78A3">
            <w:pPr>
              <w:jc w:val="center"/>
              <w:rPr>
                <w:rFonts w:eastAsia="Times New Roman"/>
                <w:b/>
                <w:bCs/>
                <w:sz w:val="22"/>
                <w:szCs w:val="24"/>
                <w:lang w:val="pt-BR"/>
              </w:rPr>
            </w:pPr>
            <w:r w:rsidRPr="003B78A3">
              <w:rPr>
                <w:rFonts w:eastAsia="Times New Roman"/>
                <w:b/>
                <w:bCs/>
                <w:sz w:val="22"/>
                <w:szCs w:val="24"/>
                <w:lang w:val="pt-BR"/>
              </w:rPr>
              <w:t xml:space="preserve">Modelo </w:t>
            </w:r>
            <w:r w:rsidR="0048407B" w:rsidRPr="003B78A3">
              <w:rPr>
                <w:rFonts w:eastAsia="Times New Roman"/>
                <w:b/>
                <w:bCs/>
                <w:sz w:val="22"/>
                <w:szCs w:val="24"/>
                <w:lang w:val="pt-BR"/>
              </w:rPr>
              <w:t>2</w:t>
            </w:r>
            <w:r w:rsidR="00BC5468" w:rsidRPr="003B78A3">
              <w:rPr>
                <w:rFonts w:eastAsia="Times New Roman"/>
                <w:b/>
                <w:bCs/>
                <w:sz w:val="22"/>
                <w:szCs w:val="24"/>
                <w:lang w:val="pt-BR"/>
              </w:rPr>
              <w:t>B</w:t>
            </w:r>
          </w:p>
        </w:tc>
      </w:tr>
      <w:tr w:rsidR="00D20D05" w:rsidRPr="003B78A3" w:rsidTr="0022530D">
        <w:trPr>
          <w:trHeight w:val="706"/>
          <w:jc w:val="center"/>
        </w:trPr>
        <w:tc>
          <w:tcPr>
            <w:tcW w:w="2968" w:type="dxa"/>
            <w:tcBorders>
              <w:top w:val="single" w:sz="4" w:space="0" w:color="auto"/>
              <w:bottom w:val="nil"/>
            </w:tcBorders>
            <w:shd w:val="clear" w:color="auto" w:fill="auto"/>
            <w:noWrap/>
            <w:vAlign w:val="center"/>
            <w:hideMark/>
          </w:tcPr>
          <w:p w:rsidR="00880387" w:rsidRPr="003B78A3" w:rsidRDefault="00880387" w:rsidP="003B78A3">
            <w:pPr>
              <w:jc w:val="left"/>
              <w:rPr>
                <w:rFonts w:eastAsia="Times New Roman"/>
                <w:b/>
                <w:bCs/>
                <w:sz w:val="22"/>
                <w:szCs w:val="24"/>
                <w:lang w:val="pt-BR"/>
              </w:rPr>
            </w:pPr>
            <w:proofErr w:type="spellStart"/>
            <w:r w:rsidRPr="003B78A3">
              <w:rPr>
                <w:rFonts w:eastAsia="Times New Roman"/>
                <w:b/>
                <w:bCs/>
                <w:sz w:val="22"/>
                <w:szCs w:val="24"/>
                <w:lang w:val="pt-BR"/>
              </w:rPr>
              <w:t>AmPol</w:t>
            </w:r>
            <w:proofErr w:type="spellEnd"/>
            <w:r w:rsidRPr="003B78A3">
              <w:rPr>
                <w:rFonts w:eastAsia="Times New Roman"/>
                <w:b/>
                <w:bCs/>
                <w:sz w:val="22"/>
                <w:szCs w:val="24"/>
                <w:lang w:val="pt-BR"/>
              </w:rPr>
              <w:t xml:space="preserve"> - Ambiente Político</w:t>
            </w:r>
          </w:p>
        </w:tc>
        <w:tc>
          <w:tcPr>
            <w:tcW w:w="2355" w:type="dxa"/>
            <w:tcBorders>
              <w:top w:val="single" w:sz="4" w:space="0" w:color="auto"/>
              <w:bottom w:val="nil"/>
            </w:tcBorders>
            <w:shd w:val="clear" w:color="auto" w:fill="auto"/>
            <w:noWrap/>
            <w:vAlign w:val="center"/>
          </w:tcPr>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0.10203 **</w:t>
            </w:r>
          </w:p>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(0.0350)</w:t>
            </w:r>
          </w:p>
        </w:tc>
        <w:tc>
          <w:tcPr>
            <w:tcW w:w="3816" w:type="dxa"/>
            <w:tcBorders>
              <w:top w:val="single" w:sz="4" w:space="0" w:color="auto"/>
              <w:bottom w:val="nil"/>
            </w:tcBorders>
            <w:shd w:val="clear" w:color="auto" w:fill="auto"/>
            <w:noWrap/>
            <w:vAlign w:val="center"/>
            <w:hideMark/>
          </w:tcPr>
          <w:p w:rsidR="00880387" w:rsidRPr="003B78A3" w:rsidRDefault="00C52357" w:rsidP="003B78A3">
            <w:pPr>
              <w:jc w:val="center"/>
              <w:rPr>
                <w:rFonts w:eastAsia="Times New Roman"/>
                <w:sz w:val="22"/>
                <w:szCs w:val="24"/>
                <w:lang w:val="pt-BR"/>
              </w:rPr>
            </w:pPr>
            <w:r w:rsidRPr="003B78A3">
              <w:rPr>
                <w:rFonts w:eastAsia="Times New Roman"/>
                <w:sz w:val="22"/>
                <w:szCs w:val="24"/>
                <w:lang w:val="pt-BR"/>
              </w:rPr>
              <w:t>-</w:t>
            </w:r>
          </w:p>
        </w:tc>
      </w:tr>
      <w:tr w:rsidR="00D20D05" w:rsidRPr="003B78A3" w:rsidTr="0022530D">
        <w:trPr>
          <w:trHeight w:val="605"/>
          <w:jc w:val="center"/>
        </w:trPr>
        <w:tc>
          <w:tcPr>
            <w:tcW w:w="2968" w:type="dxa"/>
            <w:tcBorders>
              <w:top w:val="nil"/>
              <w:bottom w:val="nil"/>
            </w:tcBorders>
            <w:shd w:val="clear" w:color="auto" w:fill="E7E6E6"/>
            <w:noWrap/>
            <w:vAlign w:val="center"/>
            <w:hideMark/>
          </w:tcPr>
          <w:p w:rsidR="00880387" w:rsidRPr="003B78A3" w:rsidRDefault="00880387" w:rsidP="003B78A3">
            <w:pPr>
              <w:jc w:val="left"/>
              <w:rPr>
                <w:rFonts w:eastAsia="Times New Roman"/>
                <w:b/>
                <w:bCs/>
                <w:sz w:val="22"/>
                <w:szCs w:val="24"/>
                <w:lang w:val="pt-BR"/>
              </w:rPr>
            </w:pPr>
            <w:proofErr w:type="spellStart"/>
            <w:r w:rsidRPr="003B78A3">
              <w:rPr>
                <w:rFonts w:eastAsia="Times New Roman"/>
                <w:b/>
                <w:bCs/>
                <w:sz w:val="22"/>
                <w:szCs w:val="24"/>
                <w:lang w:val="pt-BR"/>
              </w:rPr>
              <w:t>EstPol</w:t>
            </w:r>
            <w:proofErr w:type="spellEnd"/>
            <w:r w:rsidRPr="003B78A3">
              <w:rPr>
                <w:rFonts w:eastAsia="Times New Roman"/>
                <w:b/>
                <w:bCs/>
                <w:sz w:val="22"/>
                <w:szCs w:val="24"/>
                <w:lang w:val="pt-BR"/>
              </w:rPr>
              <w:t xml:space="preserve"> – Estabilidade Política</w:t>
            </w:r>
          </w:p>
        </w:tc>
        <w:tc>
          <w:tcPr>
            <w:tcW w:w="2355" w:type="dxa"/>
            <w:tcBorders>
              <w:top w:val="nil"/>
              <w:bottom w:val="nil"/>
            </w:tcBorders>
            <w:shd w:val="clear" w:color="auto" w:fill="E7E6E6"/>
            <w:noWrap/>
            <w:vAlign w:val="center"/>
            <w:hideMark/>
          </w:tcPr>
          <w:p w:rsidR="00880387" w:rsidRPr="003B78A3" w:rsidRDefault="00C52357" w:rsidP="003B78A3">
            <w:pPr>
              <w:jc w:val="center"/>
              <w:rPr>
                <w:rFonts w:eastAsia="Times New Roman"/>
                <w:sz w:val="22"/>
                <w:szCs w:val="24"/>
                <w:lang w:val="pt-BR"/>
              </w:rPr>
            </w:pPr>
            <w:r w:rsidRPr="003B78A3">
              <w:rPr>
                <w:rFonts w:eastAsia="Times New Roman"/>
                <w:sz w:val="22"/>
                <w:szCs w:val="24"/>
                <w:lang w:val="pt-BR"/>
              </w:rPr>
              <w:t>-</w:t>
            </w:r>
          </w:p>
        </w:tc>
        <w:tc>
          <w:tcPr>
            <w:tcW w:w="3816" w:type="dxa"/>
            <w:tcBorders>
              <w:top w:val="nil"/>
              <w:bottom w:val="nil"/>
            </w:tcBorders>
            <w:shd w:val="clear" w:color="auto" w:fill="E7E6E6"/>
            <w:noWrap/>
            <w:vAlign w:val="center"/>
          </w:tcPr>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0.11129 **</w:t>
            </w:r>
          </w:p>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(0.0388)</w:t>
            </w:r>
          </w:p>
        </w:tc>
      </w:tr>
      <w:tr w:rsidR="00D20D05" w:rsidRPr="003B78A3" w:rsidTr="0022530D">
        <w:trPr>
          <w:trHeight w:val="447"/>
          <w:jc w:val="center"/>
        </w:trPr>
        <w:tc>
          <w:tcPr>
            <w:tcW w:w="2968" w:type="dxa"/>
            <w:tcBorders>
              <w:top w:val="nil"/>
              <w:bottom w:val="nil"/>
            </w:tcBorders>
            <w:shd w:val="clear" w:color="auto" w:fill="auto"/>
            <w:noWrap/>
            <w:vAlign w:val="center"/>
            <w:hideMark/>
          </w:tcPr>
          <w:p w:rsidR="00880387" w:rsidRPr="003B78A3" w:rsidRDefault="00880387" w:rsidP="003B78A3">
            <w:pPr>
              <w:jc w:val="left"/>
              <w:rPr>
                <w:rFonts w:eastAsia="Times New Roman"/>
                <w:b/>
                <w:bCs/>
                <w:sz w:val="22"/>
                <w:szCs w:val="24"/>
                <w:lang w:val="pt-BR"/>
              </w:rPr>
            </w:pPr>
            <w:proofErr w:type="spellStart"/>
            <w:r w:rsidRPr="003B78A3">
              <w:rPr>
                <w:rFonts w:eastAsia="Times New Roman"/>
                <w:b/>
                <w:bCs/>
                <w:sz w:val="22"/>
                <w:szCs w:val="24"/>
                <w:lang w:val="pt-BR"/>
              </w:rPr>
              <w:t>Inf</w:t>
            </w:r>
            <w:proofErr w:type="spellEnd"/>
            <w:r w:rsidRPr="003B78A3">
              <w:rPr>
                <w:rFonts w:eastAsia="Times New Roman"/>
                <w:b/>
                <w:bCs/>
                <w:sz w:val="22"/>
                <w:szCs w:val="24"/>
                <w:lang w:val="pt-BR"/>
              </w:rPr>
              <w:t xml:space="preserve"> </w:t>
            </w:r>
            <w:r w:rsidR="008903E7" w:rsidRPr="003B78A3">
              <w:rPr>
                <w:rFonts w:eastAsia="Times New Roman"/>
                <w:b/>
                <w:bCs/>
                <w:sz w:val="22"/>
                <w:szCs w:val="24"/>
                <w:lang w:val="pt-BR"/>
              </w:rPr>
              <w:t>–</w:t>
            </w:r>
            <w:r w:rsidRPr="003B78A3">
              <w:rPr>
                <w:rFonts w:eastAsia="Times New Roman"/>
                <w:b/>
                <w:bCs/>
                <w:sz w:val="22"/>
                <w:szCs w:val="24"/>
                <w:lang w:val="pt-BR"/>
              </w:rPr>
              <w:t xml:space="preserve"> Inflação</w:t>
            </w:r>
          </w:p>
        </w:tc>
        <w:tc>
          <w:tcPr>
            <w:tcW w:w="2355" w:type="dxa"/>
            <w:tcBorders>
              <w:top w:val="nil"/>
              <w:bottom w:val="nil"/>
            </w:tcBorders>
            <w:shd w:val="clear" w:color="auto" w:fill="auto"/>
            <w:noWrap/>
            <w:vAlign w:val="center"/>
          </w:tcPr>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- 0.00009</w:t>
            </w:r>
          </w:p>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(0.0001)</w:t>
            </w:r>
          </w:p>
        </w:tc>
        <w:tc>
          <w:tcPr>
            <w:tcW w:w="3816" w:type="dxa"/>
            <w:tcBorders>
              <w:top w:val="nil"/>
              <w:bottom w:val="nil"/>
            </w:tcBorders>
            <w:shd w:val="clear" w:color="auto" w:fill="auto"/>
            <w:noWrap/>
            <w:vAlign w:val="center"/>
          </w:tcPr>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- 0.0002</w:t>
            </w:r>
          </w:p>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(0.0002)</w:t>
            </w:r>
          </w:p>
        </w:tc>
      </w:tr>
      <w:tr w:rsidR="00D20D05" w:rsidRPr="003B78A3" w:rsidTr="0022530D">
        <w:trPr>
          <w:trHeight w:val="773"/>
          <w:jc w:val="center"/>
        </w:trPr>
        <w:tc>
          <w:tcPr>
            <w:tcW w:w="2968" w:type="dxa"/>
            <w:tcBorders>
              <w:top w:val="nil"/>
              <w:bottom w:val="nil"/>
            </w:tcBorders>
            <w:shd w:val="clear" w:color="auto" w:fill="E7E6E6"/>
            <w:noWrap/>
            <w:vAlign w:val="center"/>
            <w:hideMark/>
          </w:tcPr>
          <w:p w:rsidR="00880387" w:rsidRPr="003B78A3" w:rsidRDefault="00880387" w:rsidP="003B78A3">
            <w:pPr>
              <w:jc w:val="left"/>
              <w:rPr>
                <w:rFonts w:eastAsia="Times New Roman"/>
                <w:b/>
                <w:bCs/>
                <w:sz w:val="22"/>
                <w:szCs w:val="24"/>
                <w:lang w:val="pt-BR"/>
              </w:rPr>
            </w:pPr>
            <w:proofErr w:type="spellStart"/>
            <w:r w:rsidRPr="003B78A3">
              <w:rPr>
                <w:rFonts w:eastAsia="Times New Roman"/>
                <w:b/>
                <w:bCs/>
                <w:sz w:val="22"/>
                <w:szCs w:val="24"/>
                <w:lang w:val="pt-BR"/>
              </w:rPr>
              <w:t>TxCa</w:t>
            </w:r>
            <w:proofErr w:type="spellEnd"/>
            <w:r w:rsidRPr="003B78A3">
              <w:rPr>
                <w:rFonts w:eastAsia="Times New Roman"/>
                <w:b/>
                <w:bCs/>
                <w:sz w:val="22"/>
                <w:szCs w:val="24"/>
                <w:lang w:val="pt-BR"/>
              </w:rPr>
              <w:t xml:space="preserve"> – Taxa de Câmbio</w:t>
            </w:r>
          </w:p>
        </w:tc>
        <w:tc>
          <w:tcPr>
            <w:tcW w:w="2355" w:type="dxa"/>
            <w:tcBorders>
              <w:top w:val="nil"/>
              <w:bottom w:val="nil"/>
            </w:tcBorders>
            <w:shd w:val="clear" w:color="auto" w:fill="E7E6E6"/>
            <w:noWrap/>
            <w:vAlign w:val="center"/>
          </w:tcPr>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0.13099 *</w:t>
            </w:r>
          </w:p>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(0.0507)</w:t>
            </w:r>
          </w:p>
        </w:tc>
        <w:tc>
          <w:tcPr>
            <w:tcW w:w="3816" w:type="dxa"/>
            <w:tcBorders>
              <w:top w:val="nil"/>
              <w:bottom w:val="nil"/>
            </w:tcBorders>
            <w:shd w:val="clear" w:color="auto" w:fill="E7E6E6"/>
            <w:noWrap/>
            <w:vAlign w:val="center"/>
          </w:tcPr>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0.20131 **</w:t>
            </w:r>
          </w:p>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(0.0643)</w:t>
            </w:r>
          </w:p>
        </w:tc>
      </w:tr>
      <w:tr w:rsidR="00D20D05" w:rsidRPr="003B78A3" w:rsidTr="0022530D">
        <w:trPr>
          <w:trHeight w:val="589"/>
          <w:jc w:val="center"/>
        </w:trPr>
        <w:tc>
          <w:tcPr>
            <w:tcW w:w="2968" w:type="dxa"/>
            <w:tcBorders>
              <w:top w:val="nil"/>
              <w:bottom w:val="nil"/>
            </w:tcBorders>
            <w:shd w:val="clear" w:color="auto" w:fill="auto"/>
            <w:noWrap/>
            <w:vAlign w:val="center"/>
            <w:hideMark/>
          </w:tcPr>
          <w:p w:rsidR="00880387" w:rsidRPr="003B78A3" w:rsidRDefault="00880387" w:rsidP="003B78A3">
            <w:pPr>
              <w:jc w:val="left"/>
              <w:rPr>
                <w:rFonts w:eastAsia="Times New Roman"/>
                <w:b/>
                <w:bCs/>
                <w:sz w:val="22"/>
                <w:szCs w:val="24"/>
                <w:lang w:val="pt-BR"/>
              </w:rPr>
            </w:pPr>
            <w:proofErr w:type="spellStart"/>
            <w:r w:rsidRPr="003B78A3">
              <w:rPr>
                <w:rFonts w:eastAsia="Times New Roman"/>
                <w:b/>
                <w:bCs/>
                <w:sz w:val="22"/>
                <w:szCs w:val="24"/>
                <w:lang w:val="pt-BR"/>
              </w:rPr>
              <w:t>Fbdc</w:t>
            </w:r>
            <w:proofErr w:type="spellEnd"/>
            <w:r w:rsidRPr="003B78A3">
              <w:rPr>
                <w:rFonts w:eastAsia="Times New Roman"/>
                <w:b/>
                <w:bCs/>
                <w:sz w:val="22"/>
                <w:szCs w:val="24"/>
                <w:lang w:val="pt-BR"/>
              </w:rPr>
              <w:t xml:space="preserve"> – Formação Bruta de Capital</w:t>
            </w:r>
          </w:p>
        </w:tc>
        <w:tc>
          <w:tcPr>
            <w:tcW w:w="2355" w:type="dxa"/>
            <w:tcBorders>
              <w:top w:val="nil"/>
              <w:bottom w:val="nil"/>
            </w:tcBorders>
            <w:shd w:val="clear" w:color="auto" w:fill="auto"/>
            <w:noWrap/>
            <w:vAlign w:val="center"/>
          </w:tcPr>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0.25443 ***</w:t>
            </w:r>
          </w:p>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(0.0489)</w:t>
            </w:r>
          </w:p>
        </w:tc>
        <w:tc>
          <w:tcPr>
            <w:tcW w:w="3816" w:type="dxa"/>
            <w:tcBorders>
              <w:top w:val="nil"/>
              <w:bottom w:val="nil"/>
            </w:tcBorders>
            <w:shd w:val="clear" w:color="auto" w:fill="auto"/>
            <w:noWrap/>
            <w:vAlign w:val="center"/>
          </w:tcPr>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0.24319 ***</w:t>
            </w:r>
          </w:p>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(0.0505)</w:t>
            </w:r>
          </w:p>
        </w:tc>
      </w:tr>
      <w:tr w:rsidR="00D20D05" w:rsidRPr="003B78A3" w:rsidTr="0022530D">
        <w:trPr>
          <w:trHeight w:val="748"/>
          <w:jc w:val="center"/>
        </w:trPr>
        <w:tc>
          <w:tcPr>
            <w:tcW w:w="2968" w:type="dxa"/>
            <w:tcBorders>
              <w:top w:val="nil"/>
              <w:bottom w:val="nil"/>
            </w:tcBorders>
            <w:shd w:val="clear" w:color="auto" w:fill="E7E6E6"/>
            <w:noWrap/>
            <w:vAlign w:val="center"/>
            <w:hideMark/>
          </w:tcPr>
          <w:p w:rsidR="00880387" w:rsidRPr="003B78A3" w:rsidRDefault="00880387" w:rsidP="003B78A3">
            <w:pPr>
              <w:jc w:val="left"/>
              <w:rPr>
                <w:rFonts w:eastAsia="Times New Roman"/>
                <w:b/>
                <w:bCs/>
                <w:sz w:val="22"/>
                <w:szCs w:val="24"/>
                <w:lang w:val="pt-BR"/>
              </w:rPr>
            </w:pPr>
            <w:proofErr w:type="spellStart"/>
            <w:r w:rsidRPr="003B78A3">
              <w:rPr>
                <w:rFonts w:eastAsia="Times New Roman"/>
                <w:b/>
                <w:bCs/>
                <w:sz w:val="22"/>
                <w:szCs w:val="24"/>
                <w:lang w:val="pt-BR"/>
              </w:rPr>
              <w:t>TxcPib</w:t>
            </w:r>
            <w:proofErr w:type="spellEnd"/>
            <w:r w:rsidRPr="003B78A3">
              <w:rPr>
                <w:rFonts w:eastAsia="Times New Roman"/>
                <w:b/>
                <w:bCs/>
                <w:sz w:val="22"/>
                <w:szCs w:val="24"/>
                <w:lang w:val="pt-BR"/>
              </w:rPr>
              <w:t xml:space="preserve"> – Taxa de Crescimento do PIB</w:t>
            </w:r>
          </w:p>
        </w:tc>
        <w:tc>
          <w:tcPr>
            <w:tcW w:w="2355" w:type="dxa"/>
            <w:tcBorders>
              <w:top w:val="nil"/>
              <w:bottom w:val="nil"/>
            </w:tcBorders>
            <w:shd w:val="clear" w:color="auto" w:fill="E7E6E6"/>
            <w:noWrap/>
            <w:vAlign w:val="center"/>
          </w:tcPr>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0.35237 ***</w:t>
            </w:r>
          </w:p>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(0.0857)</w:t>
            </w:r>
          </w:p>
        </w:tc>
        <w:tc>
          <w:tcPr>
            <w:tcW w:w="3816" w:type="dxa"/>
            <w:tcBorders>
              <w:top w:val="nil"/>
              <w:bottom w:val="nil"/>
            </w:tcBorders>
            <w:shd w:val="clear" w:color="auto" w:fill="E7E6E6"/>
            <w:noWrap/>
            <w:vAlign w:val="center"/>
          </w:tcPr>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0.43990 ***</w:t>
            </w:r>
          </w:p>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(0.0969)</w:t>
            </w:r>
          </w:p>
        </w:tc>
      </w:tr>
      <w:tr w:rsidR="00D20D05" w:rsidRPr="003B78A3" w:rsidTr="0022530D">
        <w:trPr>
          <w:trHeight w:val="623"/>
          <w:jc w:val="center"/>
        </w:trPr>
        <w:tc>
          <w:tcPr>
            <w:tcW w:w="2968" w:type="dxa"/>
            <w:tcBorders>
              <w:top w:val="nil"/>
              <w:bottom w:val="single" w:sz="4" w:space="0" w:color="auto"/>
            </w:tcBorders>
            <w:shd w:val="clear" w:color="auto" w:fill="auto"/>
            <w:noWrap/>
            <w:vAlign w:val="center"/>
          </w:tcPr>
          <w:p w:rsidR="00880387" w:rsidRPr="003B78A3" w:rsidRDefault="00880387" w:rsidP="003B78A3">
            <w:pPr>
              <w:jc w:val="left"/>
              <w:rPr>
                <w:rFonts w:eastAsia="Times New Roman"/>
                <w:b/>
                <w:bCs/>
                <w:sz w:val="22"/>
                <w:szCs w:val="24"/>
                <w:lang w:val="pt-BR"/>
              </w:rPr>
            </w:pPr>
            <w:r w:rsidRPr="003B78A3">
              <w:rPr>
                <w:rFonts w:eastAsia="Times New Roman"/>
                <w:b/>
                <w:bCs/>
                <w:sz w:val="22"/>
                <w:szCs w:val="24"/>
                <w:lang w:val="pt-BR"/>
              </w:rPr>
              <w:t>Constante</w:t>
            </w:r>
          </w:p>
        </w:tc>
        <w:tc>
          <w:tcPr>
            <w:tcW w:w="2355" w:type="dxa"/>
            <w:tcBorders>
              <w:top w:val="nil"/>
              <w:bottom w:val="single" w:sz="4" w:space="0" w:color="auto"/>
            </w:tcBorders>
            <w:shd w:val="clear" w:color="auto" w:fill="auto"/>
            <w:noWrap/>
            <w:vAlign w:val="center"/>
          </w:tcPr>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- 9.61282 ***</w:t>
            </w:r>
          </w:p>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(2.3919)</w:t>
            </w:r>
          </w:p>
        </w:tc>
        <w:tc>
          <w:tcPr>
            <w:tcW w:w="3816" w:type="dxa"/>
            <w:tcBorders>
              <w:top w:val="nil"/>
              <w:bottom w:val="single" w:sz="4" w:space="0" w:color="auto"/>
            </w:tcBorders>
            <w:shd w:val="clear" w:color="auto" w:fill="auto"/>
            <w:noWrap/>
            <w:vAlign w:val="center"/>
          </w:tcPr>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- 10.71468 ***</w:t>
            </w:r>
          </w:p>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(2.7726)</w:t>
            </w:r>
          </w:p>
        </w:tc>
      </w:tr>
      <w:tr w:rsidR="00D20D05" w:rsidRPr="003B78A3" w:rsidTr="0022530D">
        <w:trPr>
          <w:trHeight w:val="322"/>
          <w:jc w:val="center"/>
        </w:trPr>
        <w:tc>
          <w:tcPr>
            <w:tcW w:w="2968" w:type="dxa"/>
            <w:tcBorders>
              <w:top w:val="nil"/>
              <w:bottom w:val="single" w:sz="4" w:space="0" w:color="auto"/>
            </w:tcBorders>
            <w:shd w:val="clear" w:color="auto" w:fill="auto"/>
            <w:noWrap/>
            <w:vAlign w:val="center"/>
          </w:tcPr>
          <w:p w:rsidR="00880387" w:rsidRPr="003B78A3" w:rsidRDefault="00880387" w:rsidP="003B78A3">
            <w:pPr>
              <w:jc w:val="left"/>
              <w:rPr>
                <w:rFonts w:eastAsia="Times New Roman"/>
                <w:b/>
                <w:bCs/>
                <w:sz w:val="22"/>
                <w:szCs w:val="24"/>
                <w:lang w:val="pt-BR"/>
              </w:rPr>
            </w:pPr>
            <w:r w:rsidRPr="003B78A3">
              <w:rPr>
                <w:rFonts w:eastAsia="Times New Roman"/>
                <w:b/>
                <w:bCs/>
                <w:sz w:val="22"/>
                <w:szCs w:val="24"/>
                <w:lang w:val="pt-BR"/>
              </w:rPr>
              <w:t>Nº de grupos</w:t>
            </w:r>
          </w:p>
        </w:tc>
        <w:tc>
          <w:tcPr>
            <w:tcW w:w="2355" w:type="dxa"/>
            <w:tcBorders>
              <w:top w:val="nil"/>
              <w:bottom w:val="single" w:sz="4" w:space="0" w:color="auto"/>
            </w:tcBorders>
            <w:shd w:val="clear" w:color="auto" w:fill="auto"/>
            <w:noWrap/>
            <w:vAlign w:val="center"/>
          </w:tcPr>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105</w:t>
            </w:r>
          </w:p>
        </w:tc>
        <w:tc>
          <w:tcPr>
            <w:tcW w:w="3816" w:type="dxa"/>
            <w:tcBorders>
              <w:top w:val="nil"/>
              <w:bottom w:val="single" w:sz="4" w:space="0" w:color="auto"/>
            </w:tcBorders>
            <w:shd w:val="clear" w:color="auto" w:fill="auto"/>
            <w:noWrap/>
            <w:vAlign w:val="center"/>
          </w:tcPr>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105</w:t>
            </w:r>
          </w:p>
        </w:tc>
      </w:tr>
      <w:tr w:rsidR="00D20D05" w:rsidRPr="003B78A3" w:rsidTr="0022530D">
        <w:trPr>
          <w:trHeight w:val="322"/>
          <w:jc w:val="center"/>
        </w:trPr>
        <w:tc>
          <w:tcPr>
            <w:tcW w:w="2968" w:type="dxa"/>
            <w:tcBorders>
              <w:top w:val="nil"/>
              <w:bottom w:val="single" w:sz="4" w:space="0" w:color="auto"/>
            </w:tcBorders>
            <w:shd w:val="clear" w:color="auto" w:fill="auto"/>
            <w:noWrap/>
            <w:vAlign w:val="center"/>
          </w:tcPr>
          <w:p w:rsidR="00880387" w:rsidRPr="003B78A3" w:rsidRDefault="00880387" w:rsidP="003B78A3">
            <w:pPr>
              <w:jc w:val="left"/>
              <w:rPr>
                <w:rFonts w:eastAsia="Times New Roman"/>
                <w:b/>
                <w:bCs/>
                <w:sz w:val="22"/>
                <w:szCs w:val="24"/>
                <w:lang w:val="pt-BR"/>
              </w:rPr>
            </w:pPr>
            <w:r w:rsidRPr="003B78A3">
              <w:rPr>
                <w:rFonts w:eastAsia="Times New Roman"/>
                <w:b/>
                <w:bCs/>
                <w:sz w:val="22"/>
                <w:szCs w:val="24"/>
                <w:lang w:val="pt-BR"/>
              </w:rPr>
              <w:t>Total de obs.</w:t>
            </w:r>
          </w:p>
        </w:tc>
        <w:tc>
          <w:tcPr>
            <w:tcW w:w="2355" w:type="dxa"/>
            <w:tcBorders>
              <w:top w:val="nil"/>
              <w:bottom w:val="single" w:sz="4" w:space="0" w:color="auto"/>
            </w:tcBorders>
            <w:shd w:val="clear" w:color="auto" w:fill="auto"/>
            <w:noWrap/>
            <w:vAlign w:val="center"/>
          </w:tcPr>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545</w:t>
            </w:r>
          </w:p>
        </w:tc>
        <w:tc>
          <w:tcPr>
            <w:tcW w:w="3816" w:type="dxa"/>
            <w:tcBorders>
              <w:top w:val="nil"/>
              <w:bottom w:val="single" w:sz="4" w:space="0" w:color="auto"/>
            </w:tcBorders>
            <w:shd w:val="clear" w:color="auto" w:fill="auto"/>
            <w:noWrap/>
            <w:vAlign w:val="center"/>
          </w:tcPr>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544</w:t>
            </w:r>
          </w:p>
        </w:tc>
      </w:tr>
      <w:tr w:rsidR="00D20D05" w:rsidRPr="003B78A3" w:rsidTr="0022530D">
        <w:trPr>
          <w:trHeight w:val="322"/>
          <w:jc w:val="center"/>
        </w:trPr>
        <w:tc>
          <w:tcPr>
            <w:tcW w:w="2968" w:type="dxa"/>
            <w:tcBorders>
              <w:top w:val="nil"/>
              <w:bottom w:val="single" w:sz="4" w:space="0" w:color="auto"/>
            </w:tcBorders>
            <w:shd w:val="clear" w:color="auto" w:fill="auto"/>
            <w:noWrap/>
            <w:vAlign w:val="center"/>
          </w:tcPr>
          <w:p w:rsidR="00880387" w:rsidRPr="003B78A3" w:rsidRDefault="00880387" w:rsidP="003B78A3">
            <w:pPr>
              <w:jc w:val="left"/>
              <w:rPr>
                <w:rFonts w:eastAsia="Times New Roman"/>
                <w:b/>
                <w:bCs/>
                <w:sz w:val="22"/>
                <w:szCs w:val="24"/>
                <w:lang w:val="pt-BR"/>
              </w:rPr>
            </w:pPr>
            <w:r w:rsidRPr="003B78A3">
              <w:rPr>
                <w:rFonts w:eastAsia="Times New Roman"/>
                <w:b/>
                <w:bCs/>
                <w:sz w:val="22"/>
                <w:szCs w:val="24"/>
                <w:lang w:val="pt-BR"/>
              </w:rPr>
              <w:t xml:space="preserve">Teste de </w:t>
            </w:r>
            <w:proofErr w:type="spellStart"/>
            <w:r w:rsidRPr="003B78A3">
              <w:rPr>
                <w:rFonts w:eastAsia="Times New Roman"/>
                <w:b/>
                <w:bCs/>
                <w:sz w:val="22"/>
                <w:szCs w:val="24"/>
                <w:lang w:val="pt-BR"/>
              </w:rPr>
              <w:t>Hausman</w:t>
            </w:r>
            <w:proofErr w:type="spellEnd"/>
          </w:p>
        </w:tc>
        <w:tc>
          <w:tcPr>
            <w:tcW w:w="2355" w:type="dxa"/>
            <w:tcBorders>
              <w:top w:val="nil"/>
              <w:bottom w:val="single" w:sz="4" w:space="0" w:color="auto"/>
            </w:tcBorders>
            <w:shd w:val="clear" w:color="auto" w:fill="auto"/>
            <w:noWrap/>
            <w:vAlign w:val="center"/>
          </w:tcPr>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5.75</w:t>
            </w:r>
          </w:p>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[0.3316]</w:t>
            </w:r>
          </w:p>
        </w:tc>
        <w:tc>
          <w:tcPr>
            <w:tcW w:w="3816" w:type="dxa"/>
            <w:tcBorders>
              <w:top w:val="nil"/>
              <w:bottom w:val="single" w:sz="4" w:space="0" w:color="auto"/>
            </w:tcBorders>
            <w:shd w:val="clear" w:color="auto" w:fill="auto"/>
            <w:noWrap/>
            <w:vAlign w:val="center"/>
          </w:tcPr>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2.99</w:t>
            </w:r>
          </w:p>
          <w:p w:rsidR="00880387" w:rsidRPr="003B78A3" w:rsidRDefault="00880387" w:rsidP="003B78A3">
            <w:pPr>
              <w:jc w:val="center"/>
              <w:rPr>
                <w:rFonts w:eastAsia="Times New Roman"/>
                <w:sz w:val="22"/>
                <w:szCs w:val="24"/>
                <w:lang w:val="pt-BR"/>
              </w:rPr>
            </w:pPr>
            <w:r w:rsidRPr="003B78A3">
              <w:rPr>
                <w:rFonts w:eastAsia="Times New Roman"/>
                <w:sz w:val="22"/>
                <w:szCs w:val="24"/>
                <w:lang w:val="pt-BR"/>
              </w:rPr>
              <w:t>[0.5601]</w:t>
            </w:r>
          </w:p>
        </w:tc>
      </w:tr>
      <w:tr w:rsidR="0022530D" w:rsidRPr="003B78A3" w:rsidTr="0022530D">
        <w:trPr>
          <w:trHeight w:val="322"/>
          <w:jc w:val="center"/>
        </w:trPr>
        <w:tc>
          <w:tcPr>
            <w:tcW w:w="2968" w:type="dxa"/>
            <w:tcBorders>
              <w:top w:val="nil"/>
              <w:bottom w:val="single" w:sz="4" w:space="0" w:color="auto"/>
            </w:tcBorders>
            <w:shd w:val="clear" w:color="auto" w:fill="auto"/>
            <w:noWrap/>
            <w:vAlign w:val="center"/>
          </w:tcPr>
          <w:p w:rsidR="0022530D" w:rsidRPr="0022530D" w:rsidRDefault="0022530D" w:rsidP="0022530D">
            <w:pPr>
              <w:pStyle w:val="Pr-formataoHTML"/>
              <w:shd w:val="clear" w:color="auto" w:fill="FFFFFF"/>
              <w:rPr>
                <w:rFonts w:ascii="Times New Roman" w:hAnsi="Times New Roman" w:cs="Times New Roman"/>
                <w:b/>
                <w:bCs/>
                <w:sz w:val="22"/>
                <w:szCs w:val="24"/>
                <w:lang w:val="pt-BR"/>
              </w:rPr>
            </w:pPr>
            <w:r w:rsidRPr="0022530D">
              <w:rPr>
                <w:rFonts w:ascii="Times New Roman" w:hAnsi="Times New Roman" w:cs="Times New Roman"/>
                <w:b/>
                <w:bCs/>
                <w:sz w:val="22"/>
                <w:szCs w:val="24"/>
                <w:lang w:val="pt-BR"/>
              </w:rPr>
              <w:t xml:space="preserve">Teste de </w:t>
            </w:r>
            <w:proofErr w:type="spellStart"/>
            <w:r w:rsidRPr="0022530D">
              <w:rPr>
                <w:rFonts w:ascii="Times New Roman" w:hAnsi="Times New Roman" w:cs="Times New Roman"/>
                <w:b/>
                <w:bCs/>
                <w:sz w:val="22"/>
                <w:szCs w:val="24"/>
                <w:lang w:val="pt-BR"/>
              </w:rPr>
              <w:t>sobreidentificação</w:t>
            </w:r>
            <w:proofErr w:type="spellEnd"/>
            <w:r w:rsidRPr="0022530D">
              <w:rPr>
                <w:rFonts w:ascii="Times New Roman" w:hAnsi="Times New Roman" w:cs="Times New Roman"/>
                <w:b/>
                <w:bCs/>
                <w:sz w:val="22"/>
                <w:szCs w:val="24"/>
                <w:lang w:val="pt-BR"/>
              </w:rPr>
              <w:t xml:space="preserve"> de restrições</w:t>
            </w:r>
          </w:p>
        </w:tc>
        <w:tc>
          <w:tcPr>
            <w:tcW w:w="2355" w:type="dxa"/>
            <w:tcBorders>
              <w:top w:val="nil"/>
              <w:bottom w:val="single" w:sz="4" w:space="0" w:color="auto"/>
            </w:tcBorders>
            <w:shd w:val="clear" w:color="auto" w:fill="auto"/>
            <w:noWrap/>
            <w:vAlign w:val="center"/>
          </w:tcPr>
          <w:p w:rsidR="0022530D" w:rsidRPr="0022530D" w:rsidRDefault="0022530D" w:rsidP="0022530D">
            <w:pPr>
              <w:jc w:val="center"/>
              <w:rPr>
                <w:rFonts w:eastAsia="Times New Roman"/>
                <w:sz w:val="22"/>
                <w:szCs w:val="24"/>
                <w:lang w:val="pt-BR"/>
              </w:rPr>
            </w:pPr>
            <w:r w:rsidRPr="0022530D">
              <w:rPr>
                <w:rFonts w:eastAsia="Times New Roman"/>
                <w:sz w:val="22"/>
                <w:szCs w:val="24"/>
                <w:lang w:val="pt-BR"/>
              </w:rPr>
              <w:t>0.507</w:t>
            </w:r>
          </w:p>
          <w:p w:rsidR="0022530D" w:rsidRPr="0022530D" w:rsidRDefault="0022530D" w:rsidP="0022530D">
            <w:pPr>
              <w:jc w:val="center"/>
              <w:rPr>
                <w:rFonts w:eastAsia="Times New Roman"/>
                <w:sz w:val="22"/>
                <w:szCs w:val="24"/>
                <w:lang w:val="pt-BR"/>
              </w:rPr>
            </w:pPr>
            <w:r w:rsidRPr="0022530D">
              <w:rPr>
                <w:rFonts w:eastAsia="Times New Roman"/>
                <w:sz w:val="22"/>
                <w:szCs w:val="24"/>
                <w:lang w:val="pt-BR"/>
              </w:rPr>
              <w:t>[0.4764]</w:t>
            </w:r>
          </w:p>
        </w:tc>
        <w:tc>
          <w:tcPr>
            <w:tcW w:w="3816" w:type="dxa"/>
            <w:tcBorders>
              <w:top w:val="nil"/>
              <w:bottom w:val="single" w:sz="4" w:space="0" w:color="auto"/>
            </w:tcBorders>
            <w:shd w:val="clear" w:color="auto" w:fill="auto"/>
            <w:noWrap/>
            <w:vAlign w:val="center"/>
          </w:tcPr>
          <w:p w:rsidR="0022530D" w:rsidRPr="0022530D" w:rsidRDefault="0022530D" w:rsidP="0022530D">
            <w:pPr>
              <w:jc w:val="center"/>
              <w:rPr>
                <w:rFonts w:eastAsia="Times New Roman"/>
                <w:sz w:val="22"/>
                <w:szCs w:val="24"/>
                <w:lang w:val="pt-BR"/>
              </w:rPr>
            </w:pPr>
            <w:r w:rsidRPr="0022530D">
              <w:rPr>
                <w:rFonts w:eastAsia="Times New Roman"/>
                <w:sz w:val="22"/>
                <w:szCs w:val="24"/>
                <w:lang w:val="pt-BR"/>
              </w:rPr>
              <w:t>0.312</w:t>
            </w:r>
          </w:p>
          <w:p w:rsidR="0022530D" w:rsidRPr="0022530D" w:rsidRDefault="0022530D" w:rsidP="0022530D">
            <w:pPr>
              <w:jc w:val="center"/>
              <w:rPr>
                <w:rFonts w:eastAsia="Times New Roman"/>
                <w:sz w:val="22"/>
                <w:szCs w:val="24"/>
                <w:lang w:val="pt-BR"/>
              </w:rPr>
            </w:pPr>
            <w:r w:rsidRPr="0022530D">
              <w:rPr>
                <w:rFonts w:eastAsia="Times New Roman"/>
                <w:sz w:val="22"/>
                <w:szCs w:val="24"/>
                <w:lang w:val="pt-BR"/>
              </w:rPr>
              <w:t>[0.5762]</w:t>
            </w:r>
          </w:p>
        </w:tc>
      </w:tr>
      <w:tr w:rsidR="0022530D" w:rsidRPr="003B78A3" w:rsidTr="0022530D">
        <w:trPr>
          <w:trHeight w:val="322"/>
          <w:jc w:val="center"/>
        </w:trPr>
        <w:tc>
          <w:tcPr>
            <w:tcW w:w="2968" w:type="dxa"/>
            <w:tcBorders>
              <w:top w:val="nil"/>
              <w:bottom w:val="single" w:sz="4" w:space="0" w:color="auto"/>
            </w:tcBorders>
            <w:shd w:val="clear" w:color="auto" w:fill="auto"/>
            <w:noWrap/>
            <w:vAlign w:val="center"/>
          </w:tcPr>
          <w:p w:rsidR="0022530D" w:rsidRPr="003B78A3" w:rsidRDefault="0022530D" w:rsidP="0022530D">
            <w:pPr>
              <w:jc w:val="left"/>
              <w:rPr>
                <w:rFonts w:eastAsia="Times New Roman"/>
                <w:b/>
                <w:bCs/>
                <w:sz w:val="22"/>
                <w:szCs w:val="24"/>
                <w:lang w:val="pt-BR"/>
              </w:rPr>
            </w:pPr>
            <w:r w:rsidRPr="003B78A3">
              <w:rPr>
                <w:rFonts w:eastAsia="Times New Roman"/>
                <w:b/>
                <w:bCs/>
                <w:sz w:val="22"/>
                <w:szCs w:val="24"/>
                <w:lang w:val="pt-BR"/>
              </w:rPr>
              <w:sym w:font="Symbol" w:char="F072"/>
            </w:r>
          </w:p>
        </w:tc>
        <w:tc>
          <w:tcPr>
            <w:tcW w:w="2355" w:type="dxa"/>
            <w:tcBorders>
              <w:top w:val="nil"/>
              <w:bottom w:val="single" w:sz="4" w:space="0" w:color="auto"/>
            </w:tcBorders>
            <w:shd w:val="clear" w:color="auto" w:fill="auto"/>
            <w:noWrap/>
            <w:vAlign w:val="center"/>
          </w:tcPr>
          <w:p w:rsidR="0022530D" w:rsidRPr="003B78A3" w:rsidRDefault="0022530D" w:rsidP="0022530D">
            <w:pPr>
              <w:jc w:val="center"/>
              <w:rPr>
                <w:rFonts w:eastAsia="Times New Roman"/>
                <w:sz w:val="22"/>
                <w:szCs w:val="24"/>
                <w:lang w:val="pt-BR"/>
              </w:rPr>
            </w:pPr>
            <w:r w:rsidRPr="003B78A3">
              <w:rPr>
                <w:rFonts w:eastAsia="Times New Roman"/>
                <w:sz w:val="22"/>
                <w:szCs w:val="24"/>
                <w:lang w:val="pt-BR"/>
              </w:rPr>
              <w:t>0.5796</w:t>
            </w:r>
          </w:p>
        </w:tc>
        <w:tc>
          <w:tcPr>
            <w:tcW w:w="3816" w:type="dxa"/>
            <w:tcBorders>
              <w:top w:val="nil"/>
              <w:bottom w:val="single" w:sz="4" w:space="0" w:color="auto"/>
            </w:tcBorders>
            <w:shd w:val="clear" w:color="auto" w:fill="auto"/>
            <w:noWrap/>
            <w:vAlign w:val="center"/>
          </w:tcPr>
          <w:p w:rsidR="0022530D" w:rsidRPr="003B78A3" w:rsidRDefault="0022530D" w:rsidP="0022530D">
            <w:pPr>
              <w:jc w:val="center"/>
              <w:rPr>
                <w:rFonts w:eastAsia="Times New Roman"/>
                <w:sz w:val="22"/>
                <w:szCs w:val="24"/>
                <w:lang w:val="pt-BR"/>
              </w:rPr>
            </w:pPr>
            <w:r w:rsidRPr="003B78A3">
              <w:rPr>
                <w:rFonts w:eastAsia="Times New Roman"/>
                <w:sz w:val="22"/>
                <w:szCs w:val="24"/>
                <w:lang w:val="pt-BR"/>
              </w:rPr>
              <w:t>0.5788</w:t>
            </w:r>
          </w:p>
        </w:tc>
      </w:tr>
      <w:tr w:rsidR="0022530D" w:rsidRPr="003B78A3" w:rsidTr="0022530D">
        <w:trPr>
          <w:trHeight w:val="322"/>
          <w:jc w:val="center"/>
        </w:trPr>
        <w:tc>
          <w:tcPr>
            <w:tcW w:w="2968" w:type="dxa"/>
            <w:tcBorders>
              <w:top w:val="single" w:sz="4" w:space="0" w:color="auto"/>
              <w:bottom w:val="single" w:sz="4" w:space="0" w:color="auto"/>
            </w:tcBorders>
            <w:shd w:val="clear" w:color="auto" w:fill="auto"/>
            <w:noWrap/>
            <w:vAlign w:val="center"/>
            <w:hideMark/>
          </w:tcPr>
          <w:p w:rsidR="0022530D" w:rsidRPr="003B78A3" w:rsidRDefault="0022530D" w:rsidP="0022530D">
            <w:pPr>
              <w:jc w:val="left"/>
              <w:rPr>
                <w:rFonts w:eastAsia="Times New Roman"/>
                <w:b/>
                <w:bCs/>
                <w:sz w:val="22"/>
                <w:szCs w:val="24"/>
                <w:lang w:val="pt-BR"/>
              </w:rPr>
            </w:pPr>
            <w:r w:rsidRPr="003B78A3">
              <w:rPr>
                <w:rFonts w:eastAsia="Times New Roman"/>
                <w:b/>
                <w:bCs/>
                <w:sz w:val="22"/>
                <w:szCs w:val="24"/>
                <w:lang w:val="pt-BR"/>
              </w:rPr>
              <w:t>R²</w:t>
            </w:r>
          </w:p>
        </w:tc>
        <w:tc>
          <w:tcPr>
            <w:tcW w:w="2355" w:type="dxa"/>
            <w:tcBorders>
              <w:top w:val="single" w:sz="4" w:space="0" w:color="auto"/>
              <w:bottom w:val="single" w:sz="4" w:space="0" w:color="auto"/>
            </w:tcBorders>
            <w:shd w:val="clear" w:color="auto" w:fill="auto"/>
            <w:noWrap/>
            <w:vAlign w:val="center"/>
          </w:tcPr>
          <w:p w:rsidR="0022530D" w:rsidRPr="003B78A3" w:rsidRDefault="0022530D" w:rsidP="0022530D">
            <w:pPr>
              <w:jc w:val="center"/>
              <w:rPr>
                <w:rFonts w:eastAsia="Times New Roman"/>
                <w:sz w:val="22"/>
                <w:szCs w:val="24"/>
                <w:lang w:val="pt-BR"/>
              </w:rPr>
            </w:pPr>
            <w:r w:rsidRPr="003B78A3">
              <w:rPr>
                <w:rFonts w:eastAsia="Times New Roman"/>
                <w:sz w:val="22"/>
                <w:szCs w:val="24"/>
                <w:lang w:val="pt-BR"/>
              </w:rPr>
              <w:t>0.0672</w:t>
            </w:r>
          </w:p>
        </w:tc>
        <w:tc>
          <w:tcPr>
            <w:tcW w:w="3816" w:type="dxa"/>
            <w:tcBorders>
              <w:top w:val="single" w:sz="4" w:space="0" w:color="auto"/>
              <w:bottom w:val="single" w:sz="4" w:space="0" w:color="auto"/>
            </w:tcBorders>
            <w:shd w:val="clear" w:color="auto" w:fill="auto"/>
            <w:noWrap/>
            <w:vAlign w:val="center"/>
          </w:tcPr>
          <w:p w:rsidR="0022530D" w:rsidRPr="003B78A3" w:rsidRDefault="0022530D" w:rsidP="0022530D">
            <w:pPr>
              <w:jc w:val="center"/>
              <w:rPr>
                <w:rFonts w:eastAsia="Times New Roman"/>
                <w:sz w:val="22"/>
                <w:szCs w:val="24"/>
                <w:lang w:val="pt-BR"/>
              </w:rPr>
            </w:pPr>
            <w:r w:rsidRPr="003B78A3">
              <w:rPr>
                <w:rFonts w:eastAsia="Times New Roman"/>
                <w:sz w:val="22"/>
                <w:szCs w:val="24"/>
                <w:lang w:val="pt-BR"/>
              </w:rPr>
              <w:t>0.0640</w:t>
            </w:r>
          </w:p>
        </w:tc>
      </w:tr>
      <w:tr w:rsidR="0022530D" w:rsidRPr="003B78A3" w:rsidTr="005051E9">
        <w:trPr>
          <w:trHeight w:val="322"/>
          <w:jc w:val="center"/>
        </w:trPr>
        <w:tc>
          <w:tcPr>
            <w:tcW w:w="9139" w:type="dxa"/>
            <w:gridSpan w:val="3"/>
            <w:tcBorders>
              <w:top w:val="single" w:sz="4" w:space="0" w:color="auto"/>
              <w:bottom w:val="single" w:sz="4" w:space="0" w:color="auto"/>
            </w:tcBorders>
            <w:shd w:val="clear" w:color="auto" w:fill="auto"/>
            <w:noWrap/>
            <w:vAlign w:val="center"/>
          </w:tcPr>
          <w:p w:rsidR="0022530D" w:rsidRPr="003B78A3" w:rsidRDefault="0022530D" w:rsidP="0022530D">
            <w:pPr>
              <w:jc w:val="left"/>
              <w:rPr>
                <w:rFonts w:eastAsia="Times New Roman"/>
                <w:b/>
                <w:bCs/>
                <w:sz w:val="22"/>
                <w:szCs w:val="24"/>
                <w:lang w:val="pt-BR"/>
              </w:rPr>
            </w:pPr>
            <w:r w:rsidRPr="003B78A3">
              <w:rPr>
                <w:rFonts w:eastAsia="Times New Roman"/>
                <w:b/>
                <w:bCs/>
                <w:sz w:val="22"/>
                <w:szCs w:val="24"/>
                <w:lang w:val="pt-BR"/>
              </w:rPr>
              <w:t xml:space="preserve">Variáveis instrumentalizadas: </w:t>
            </w:r>
            <w:proofErr w:type="spellStart"/>
            <w:r w:rsidRPr="003B78A3">
              <w:rPr>
                <w:rFonts w:eastAsia="Times New Roman"/>
                <w:b/>
                <w:bCs/>
                <w:sz w:val="22"/>
                <w:szCs w:val="24"/>
                <w:lang w:val="pt-BR"/>
              </w:rPr>
              <w:t>AmPol</w:t>
            </w:r>
            <w:proofErr w:type="spellEnd"/>
            <w:r w:rsidRPr="003B78A3">
              <w:rPr>
                <w:rFonts w:eastAsia="Times New Roman"/>
                <w:b/>
                <w:bCs/>
                <w:sz w:val="22"/>
                <w:szCs w:val="24"/>
                <w:lang w:val="pt-BR"/>
              </w:rPr>
              <w:t xml:space="preserve"> e </w:t>
            </w:r>
            <w:proofErr w:type="spellStart"/>
            <w:r w:rsidRPr="003B78A3">
              <w:rPr>
                <w:rFonts w:eastAsia="Times New Roman"/>
                <w:b/>
                <w:bCs/>
                <w:sz w:val="22"/>
                <w:szCs w:val="24"/>
                <w:lang w:val="pt-BR"/>
              </w:rPr>
              <w:t>EstPol</w:t>
            </w:r>
            <w:proofErr w:type="spellEnd"/>
          </w:p>
          <w:p w:rsidR="0022530D" w:rsidRPr="003B78A3" w:rsidRDefault="0022530D" w:rsidP="0022530D">
            <w:pPr>
              <w:jc w:val="left"/>
              <w:rPr>
                <w:rFonts w:eastAsia="Times New Roman"/>
                <w:b/>
                <w:bCs/>
                <w:sz w:val="22"/>
                <w:szCs w:val="24"/>
                <w:lang w:val="pt-BR"/>
              </w:rPr>
            </w:pPr>
            <w:r w:rsidRPr="003B78A3">
              <w:rPr>
                <w:rFonts w:eastAsia="Times New Roman"/>
                <w:b/>
                <w:bCs/>
                <w:sz w:val="22"/>
                <w:szCs w:val="24"/>
                <w:lang w:val="pt-BR"/>
              </w:rPr>
              <w:t xml:space="preserve">Instrumentos: </w:t>
            </w:r>
            <w:proofErr w:type="spellStart"/>
            <w:r w:rsidRPr="003B78A3">
              <w:rPr>
                <w:rFonts w:eastAsia="Times New Roman"/>
                <w:b/>
                <w:bCs/>
                <w:sz w:val="22"/>
                <w:szCs w:val="24"/>
                <w:lang w:val="pt-BR"/>
              </w:rPr>
              <w:t>DeuRel</w:t>
            </w:r>
            <w:proofErr w:type="spellEnd"/>
            <w:r w:rsidRPr="003B78A3">
              <w:rPr>
                <w:rFonts w:eastAsia="Times New Roman"/>
                <w:b/>
                <w:bCs/>
                <w:sz w:val="22"/>
                <w:szCs w:val="24"/>
                <w:lang w:val="pt-BR"/>
              </w:rPr>
              <w:t xml:space="preserve">, </w:t>
            </w:r>
            <w:proofErr w:type="spellStart"/>
            <w:r w:rsidRPr="003B78A3">
              <w:rPr>
                <w:rFonts w:eastAsia="Times New Roman"/>
                <w:b/>
                <w:bCs/>
                <w:sz w:val="22"/>
                <w:szCs w:val="24"/>
                <w:lang w:val="pt-BR"/>
              </w:rPr>
              <w:t>RelMaj</w:t>
            </w:r>
            <w:proofErr w:type="spellEnd"/>
            <w:r w:rsidRPr="003B78A3">
              <w:rPr>
                <w:rFonts w:eastAsia="Times New Roman"/>
                <w:b/>
                <w:bCs/>
                <w:sz w:val="22"/>
                <w:szCs w:val="24"/>
                <w:lang w:val="pt-BR"/>
              </w:rPr>
              <w:t xml:space="preserve">, </w:t>
            </w:r>
            <w:proofErr w:type="spellStart"/>
            <w:r w:rsidRPr="003B78A3">
              <w:rPr>
                <w:rFonts w:eastAsia="Times New Roman"/>
                <w:b/>
                <w:bCs/>
                <w:sz w:val="22"/>
                <w:szCs w:val="24"/>
                <w:lang w:val="pt-BR"/>
              </w:rPr>
              <w:t>Inf</w:t>
            </w:r>
            <w:proofErr w:type="spellEnd"/>
            <w:r w:rsidRPr="003B78A3">
              <w:rPr>
                <w:rFonts w:eastAsia="Times New Roman"/>
                <w:b/>
                <w:bCs/>
                <w:sz w:val="22"/>
                <w:szCs w:val="24"/>
                <w:lang w:val="pt-BR"/>
              </w:rPr>
              <w:t xml:space="preserve">, </w:t>
            </w:r>
            <w:proofErr w:type="spellStart"/>
            <w:r w:rsidRPr="003B78A3">
              <w:rPr>
                <w:rFonts w:eastAsia="Times New Roman"/>
                <w:b/>
                <w:bCs/>
                <w:sz w:val="22"/>
                <w:szCs w:val="24"/>
                <w:lang w:val="pt-BR"/>
              </w:rPr>
              <w:t>TxCa</w:t>
            </w:r>
            <w:proofErr w:type="spellEnd"/>
            <w:r w:rsidRPr="003B78A3">
              <w:rPr>
                <w:rFonts w:eastAsia="Times New Roman"/>
                <w:b/>
                <w:bCs/>
                <w:sz w:val="22"/>
                <w:szCs w:val="24"/>
                <w:lang w:val="pt-BR"/>
              </w:rPr>
              <w:t xml:space="preserve">, </w:t>
            </w:r>
            <w:proofErr w:type="spellStart"/>
            <w:r w:rsidRPr="003B78A3">
              <w:rPr>
                <w:rFonts w:eastAsia="Times New Roman"/>
                <w:b/>
                <w:bCs/>
                <w:sz w:val="22"/>
                <w:szCs w:val="24"/>
                <w:lang w:val="pt-BR"/>
              </w:rPr>
              <w:t>Fbdc</w:t>
            </w:r>
            <w:proofErr w:type="spellEnd"/>
            <w:r w:rsidRPr="003B78A3">
              <w:rPr>
                <w:rFonts w:eastAsia="Times New Roman"/>
                <w:b/>
                <w:bCs/>
                <w:sz w:val="22"/>
                <w:szCs w:val="24"/>
                <w:lang w:val="pt-BR"/>
              </w:rPr>
              <w:t xml:space="preserve"> e </w:t>
            </w:r>
            <w:proofErr w:type="spellStart"/>
            <w:r w:rsidRPr="003B78A3">
              <w:rPr>
                <w:rFonts w:eastAsia="Times New Roman"/>
                <w:b/>
                <w:bCs/>
                <w:sz w:val="22"/>
                <w:szCs w:val="24"/>
                <w:lang w:val="pt-BR"/>
              </w:rPr>
              <w:t>TxcPib</w:t>
            </w:r>
            <w:proofErr w:type="spellEnd"/>
          </w:p>
        </w:tc>
      </w:tr>
    </w:tbl>
    <w:p w:rsidR="00880387" w:rsidRPr="003B78A3" w:rsidRDefault="00880387" w:rsidP="003B78A3">
      <w:pPr>
        <w:rPr>
          <w:sz w:val="20"/>
          <w:szCs w:val="24"/>
          <w:lang w:val="pt-BR"/>
        </w:rPr>
      </w:pPr>
      <w:r w:rsidRPr="003B78A3">
        <w:rPr>
          <w:sz w:val="20"/>
          <w:szCs w:val="24"/>
          <w:lang w:val="pt-BR"/>
        </w:rPr>
        <w:t>Nota: Níveis de significância dados pelos Valores-</w:t>
      </w:r>
      <w:r w:rsidRPr="003B78A3">
        <w:rPr>
          <w:i/>
          <w:sz w:val="20"/>
          <w:szCs w:val="24"/>
          <w:lang w:val="pt-BR"/>
        </w:rPr>
        <w:t>p</w:t>
      </w:r>
      <w:r w:rsidRPr="003B78A3">
        <w:rPr>
          <w:sz w:val="20"/>
          <w:szCs w:val="24"/>
          <w:lang w:val="pt-BR"/>
        </w:rPr>
        <w:t>, onde: * p&lt;0,1; ** p&lt;0,05 e *** p&lt;0,01.</w:t>
      </w:r>
      <w:r w:rsidR="00C52357" w:rsidRPr="003B78A3">
        <w:rPr>
          <w:sz w:val="20"/>
          <w:szCs w:val="24"/>
          <w:lang w:val="pt-BR"/>
        </w:rPr>
        <w:t xml:space="preserve"> </w:t>
      </w:r>
      <w:r w:rsidRPr="003B78A3">
        <w:rPr>
          <w:sz w:val="20"/>
          <w:szCs w:val="24"/>
          <w:lang w:val="pt-BR"/>
        </w:rPr>
        <w:t>Valores-</w:t>
      </w:r>
      <w:r w:rsidRPr="003B78A3">
        <w:rPr>
          <w:i/>
          <w:sz w:val="20"/>
          <w:szCs w:val="24"/>
          <w:lang w:val="pt-BR"/>
        </w:rPr>
        <w:t>p</w:t>
      </w:r>
      <w:r w:rsidRPr="003B78A3">
        <w:rPr>
          <w:sz w:val="20"/>
          <w:szCs w:val="24"/>
          <w:lang w:val="pt-BR"/>
        </w:rPr>
        <w:t xml:space="preserve"> entre colchetes abaixo do</w:t>
      </w:r>
      <w:r w:rsidR="0022530D">
        <w:rPr>
          <w:sz w:val="20"/>
          <w:szCs w:val="24"/>
          <w:lang w:val="pt-BR"/>
        </w:rPr>
        <w:t>s</w:t>
      </w:r>
      <w:r w:rsidRPr="003B78A3">
        <w:rPr>
          <w:sz w:val="20"/>
          <w:szCs w:val="24"/>
          <w:lang w:val="pt-BR"/>
        </w:rPr>
        <w:t xml:space="preserve"> resultado</w:t>
      </w:r>
      <w:r w:rsidR="0022530D">
        <w:rPr>
          <w:sz w:val="20"/>
          <w:szCs w:val="24"/>
          <w:lang w:val="pt-BR"/>
        </w:rPr>
        <w:t>s</w:t>
      </w:r>
      <w:r w:rsidRPr="003B78A3">
        <w:rPr>
          <w:sz w:val="20"/>
          <w:szCs w:val="24"/>
          <w:lang w:val="pt-BR"/>
        </w:rPr>
        <w:t xml:space="preserve"> do teste de </w:t>
      </w:r>
      <w:proofErr w:type="spellStart"/>
      <w:r w:rsidRPr="003B78A3">
        <w:rPr>
          <w:sz w:val="20"/>
          <w:szCs w:val="24"/>
          <w:lang w:val="pt-BR"/>
        </w:rPr>
        <w:t>Hausman</w:t>
      </w:r>
      <w:proofErr w:type="spellEnd"/>
      <w:r w:rsidR="0022530D">
        <w:rPr>
          <w:sz w:val="20"/>
          <w:szCs w:val="24"/>
          <w:lang w:val="pt-BR"/>
        </w:rPr>
        <w:t xml:space="preserve"> e Teste de </w:t>
      </w:r>
      <w:proofErr w:type="spellStart"/>
      <w:r w:rsidR="0022530D">
        <w:rPr>
          <w:sz w:val="20"/>
          <w:szCs w:val="24"/>
          <w:lang w:val="pt-BR"/>
        </w:rPr>
        <w:t>Sobreindentificação</w:t>
      </w:r>
      <w:proofErr w:type="spellEnd"/>
      <w:r w:rsidR="0022530D">
        <w:rPr>
          <w:sz w:val="20"/>
          <w:szCs w:val="24"/>
          <w:lang w:val="pt-BR"/>
        </w:rPr>
        <w:t xml:space="preserve"> de Restrições</w:t>
      </w:r>
      <w:r w:rsidRPr="003B78A3">
        <w:rPr>
          <w:sz w:val="20"/>
          <w:szCs w:val="24"/>
          <w:lang w:val="pt-BR"/>
        </w:rPr>
        <w:t>.</w:t>
      </w:r>
      <w:r w:rsidR="00C52357" w:rsidRPr="003B78A3">
        <w:rPr>
          <w:sz w:val="20"/>
          <w:szCs w:val="24"/>
          <w:lang w:val="pt-BR"/>
        </w:rPr>
        <w:t xml:space="preserve"> </w:t>
      </w:r>
      <w:r w:rsidRPr="003B78A3">
        <w:rPr>
          <w:sz w:val="20"/>
          <w:szCs w:val="24"/>
          <w:lang w:val="pt-BR"/>
        </w:rPr>
        <w:t>Desvios Padrão entre parênteses abaixo de cada coeficiente.</w:t>
      </w:r>
    </w:p>
    <w:p w:rsidR="003B78A3" w:rsidRPr="00F47284" w:rsidRDefault="003B78A3" w:rsidP="003B78A3">
      <w:pPr>
        <w:rPr>
          <w:sz w:val="24"/>
          <w:szCs w:val="24"/>
          <w:lang w:val="pt-BR"/>
        </w:rPr>
      </w:pPr>
    </w:p>
    <w:p w:rsidR="00880387" w:rsidRPr="00F47284" w:rsidRDefault="00E56DC8" w:rsidP="003B78A3">
      <w:pPr>
        <w:ind w:firstLine="424"/>
        <w:rPr>
          <w:sz w:val="24"/>
          <w:szCs w:val="24"/>
          <w:shd w:val="clear" w:color="auto" w:fill="FFFFFF"/>
          <w:lang w:val="pt-BR"/>
        </w:rPr>
      </w:pPr>
      <w:r w:rsidRPr="00F47284">
        <w:rPr>
          <w:sz w:val="24"/>
          <w:szCs w:val="24"/>
          <w:lang w:val="pt-BR"/>
        </w:rPr>
        <w:t>O</w:t>
      </w:r>
      <w:r w:rsidR="00880387" w:rsidRPr="00F47284">
        <w:rPr>
          <w:sz w:val="24"/>
          <w:szCs w:val="24"/>
          <w:lang w:val="pt-BR"/>
        </w:rPr>
        <w:t xml:space="preserve"> teste de </w:t>
      </w:r>
      <w:proofErr w:type="spellStart"/>
      <w:r w:rsidR="00880387" w:rsidRPr="00F47284">
        <w:rPr>
          <w:sz w:val="24"/>
          <w:szCs w:val="24"/>
          <w:lang w:val="pt-BR"/>
        </w:rPr>
        <w:t>sobreidentificação</w:t>
      </w:r>
      <w:proofErr w:type="spellEnd"/>
      <w:r w:rsidR="00880387" w:rsidRPr="00F47284">
        <w:rPr>
          <w:sz w:val="24"/>
          <w:szCs w:val="24"/>
          <w:lang w:val="pt-BR"/>
        </w:rPr>
        <w:t xml:space="preserve"> de restrições</w:t>
      </w:r>
      <w:r w:rsidR="00DD4E6A" w:rsidRPr="00F47284">
        <w:rPr>
          <w:sz w:val="24"/>
          <w:szCs w:val="24"/>
          <w:lang w:val="pt-BR"/>
        </w:rPr>
        <w:t xml:space="preserve"> (</w:t>
      </w:r>
      <w:proofErr w:type="spellStart"/>
      <w:r w:rsidR="00DD4E6A" w:rsidRPr="00F47284">
        <w:rPr>
          <w:sz w:val="24"/>
          <w:szCs w:val="24"/>
          <w:lang w:val="pt-BR"/>
        </w:rPr>
        <w:t>Sargan</w:t>
      </w:r>
      <w:proofErr w:type="spellEnd"/>
      <w:r w:rsidR="00DD4E6A" w:rsidRPr="00F47284">
        <w:rPr>
          <w:sz w:val="24"/>
          <w:szCs w:val="24"/>
          <w:lang w:val="pt-BR"/>
        </w:rPr>
        <w:t>, 1958)</w:t>
      </w:r>
      <w:r w:rsidR="004D4702" w:rsidRPr="00F47284">
        <w:rPr>
          <w:sz w:val="24"/>
          <w:szCs w:val="24"/>
          <w:lang w:val="pt-BR"/>
        </w:rPr>
        <w:t xml:space="preserve">, teste estatístico criado </w:t>
      </w:r>
      <w:proofErr w:type="spellStart"/>
      <w:r w:rsidR="004D4702" w:rsidRPr="00F47284">
        <w:rPr>
          <w:sz w:val="24"/>
          <w:szCs w:val="24"/>
          <w:lang w:val="pt-BR"/>
        </w:rPr>
        <w:t>Sargan</w:t>
      </w:r>
      <w:proofErr w:type="spellEnd"/>
      <w:r w:rsidR="004D4702" w:rsidRPr="00F47284">
        <w:rPr>
          <w:sz w:val="24"/>
          <w:szCs w:val="24"/>
          <w:lang w:val="pt-BR"/>
        </w:rPr>
        <w:t xml:space="preserve">-Hansen, </w:t>
      </w:r>
      <w:r w:rsidRPr="00F47284">
        <w:rPr>
          <w:sz w:val="24"/>
          <w:szCs w:val="24"/>
          <w:lang w:val="pt-BR"/>
        </w:rPr>
        <w:t xml:space="preserve">foi aplicado nos Modelos </w:t>
      </w:r>
      <w:r w:rsidR="002178AF" w:rsidRPr="00F47284">
        <w:rPr>
          <w:sz w:val="24"/>
          <w:szCs w:val="24"/>
          <w:lang w:val="pt-BR"/>
        </w:rPr>
        <w:t>2A</w:t>
      </w:r>
      <w:r w:rsidR="0048407B" w:rsidRPr="00F47284">
        <w:rPr>
          <w:sz w:val="24"/>
          <w:szCs w:val="24"/>
          <w:lang w:val="pt-BR"/>
        </w:rPr>
        <w:t xml:space="preserve"> e 2B</w:t>
      </w:r>
      <w:r w:rsidR="004D4702" w:rsidRPr="00F47284">
        <w:rPr>
          <w:sz w:val="24"/>
          <w:szCs w:val="24"/>
          <w:lang w:val="pt-BR"/>
        </w:rPr>
        <w:t>, para</w:t>
      </w:r>
      <w:r w:rsidR="00880387" w:rsidRPr="00F47284">
        <w:rPr>
          <w:sz w:val="24"/>
          <w:szCs w:val="24"/>
          <w:lang w:val="pt-BR"/>
        </w:rPr>
        <w:t xml:space="preserve"> analisa</w:t>
      </w:r>
      <w:r w:rsidR="004D4702" w:rsidRPr="00F47284">
        <w:rPr>
          <w:sz w:val="24"/>
          <w:szCs w:val="24"/>
          <w:lang w:val="pt-BR"/>
        </w:rPr>
        <w:t>r</w:t>
      </w:r>
      <w:r w:rsidR="00880387" w:rsidRPr="00F47284">
        <w:rPr>
          <w:sz w:val="24"/>
          <w:szCs w:val="24"/>
          <w:lang w:val="pt-BR"/>
        </w:rPr>
        <w:t xml:space="preserve"> a validade dos instrumentos utilizados. A estatística dos testes foi calculada para cada modelo, e ex</w:t>
      </w:r>
      <w:r w:rsidR="0022530D">
        <w:rPr>
          <w:sz w:val="24"/>
          <w:szCs w:val="24"/>
          <w:lang w:val="pt-BR"/>
        </w:rPr>
        <w:t>postos na Tabela 4</w:t>
      </w:r>
      <w:r w:rsidR="00880387" w:rsidRPr="00F47284">
        <w:rPr>
          <w:sz w:val="24"/>
          <w:szCs w:val="24"/>
          <w:lang w:val="pt-BR"/>
        </w:rPr>
        <w:t>. Para os dois modelos o valor-</w:t>
      </w:r>
      <w:r w:rsidR="00880387" w:rsidRPr="00F47284">
        <w:rPr>
          <w:i/>
          <w:sz w:val="24"/>
          <w:szCs w:val="24"/>
          <w:lang w:val="pt-BR"/>
        </w:rPr>
        <w:t>p</w:t>
      </w:r>
      <w:r w:rsidR="00880387" w:rsidRPr="00F47284">
        <w:rPr>
          <w:sz w:val="24"/>
          <w:szCs w:val="24"/>
          <w:lang w:val="pt-BR"/>
        </w:rPr>
        <w:t xml:space="preserve"> resultante foi maior do que o nível de significância de 0,05, aceitando a hipótese </w:t>
      </w:r>
      <w:r w:rsidR="00880387" w:rsidRPr="00F47284">
        <w:rPr>
          <w:sz w:val="24"/>
          <w:szCs w:val="24"/>
          <w:shd w:val="clear" w:color="auto" w:fill="FFFFFF"/>
          <w:lang w:val="pt-BR"/>
        </w:rPr>
        <w:t>nula de que os são instrumentos válidos, isto é, não correlacionados com o termo de erro e corretamente aplicados.</w:t>
      </w:r>
    </w:p>
    <w:p w:rsidR="00880387" w:rsidRPr="00F47284" w:rsidRDefault="00880387" w:rsidP="003B78A3">
      <w:pPr>
        <w:ind w:firstLine="424"/>
        <w:rPr>
          <w:sz w:val="24"/>
          <w:szCs w:val="24"/>
          <w:lang w:val="pt-BR"/>
        </w:rPr>
      </w:pPr>
      <w:r w:rsidRPr="00F47284">
        <w:rPr>
          <w:sz w:val="24"/>
          <w:szCs w:val="24"/>
          <w:lang w:val="pt-BR"/>
        </w:rPr>
        <w:t xml:space="preserve">Além disso, em relação a tabela 4, pode-se inferir que aumento em uma unidade nas variáveis </w:t>
      </w:r>
      <w:proofErr w:type="spellStart"/>
      <w:r w:rsidRPr="00F47284">
        <w:rPr>
          <w:sz w:val="24"/>
          <w:szCs w:val="24"/>
          <w:lang w:val="pt-BR"/>
        </w:rPr>
        <w:t>AmPol</w:t>
      </w:r>
      <w:proofErr w:type="spellEnd"/>
      <w:r w:rsidRPr="00F47284">
        <w:rPr>
          <w:sz w:val="24"/>
          <w:szCs w:val="24"/>
          <w:lang w:val="pt-BR"/>
        </w:rPr>
        <w:t xml:space="preserve"> e </w:t>
      </w:r>
      <w:proofErr w:type="spellStart"/>
      <w:r w:rsidRPr="00F47284">
        <w:rPr>
          <w:sz w:val="24"/>
          <w:szCs w:val="24"/>
          <w:lang w:val="pt-BR"/>
        </w:rPr>
        <w:t>EstPol</w:t>
      </w:r>
      <w:proofErr w:type="spellEnd"/>
      <w:r w:rsidRPr="00F47284">
        <w:rPr>
          <w:sz w:val="24"/>
          <w:szCs w:val="24"/>
          <w:lang w:val="pt-BR"/>
        </w:rPr>
        <w:t xml:space="preserve"> gera um aumento de aproximadamente 0,102 e 0,111 unidades sobre a atração de IED para os países, respectivamente. Em ambos os modelos se verificou que dentre as variáveis de controle a </w:t>
      </w:r>
      <w:r w:rsidRPr="00F47284">
        <w:rPr>
          <w:sz w:val="24"/>
          <w:szCs w:val="24"/>
          <w:lang w:val="pt-BR" w:eastAsia="pt-BR"/>
        </w:rPr>
        <w:t>Formação bruta de capital como porcentagem do PIB (</w:t>
      </w:r>
      <w:proofErr w:type="spellStart"/>
      <w:r w:rsidRPr="00F47284">
        <w:rPr>
          <w:sz w:val="24"/>
          <w:szCs w:val="24"/>
          <w:lang w:val="pt-BR" w:eastAsia="pt-BR"/>
        </w:rPr>
        <w:t>Fbdc</w:t>
      </w:r>
      <w:proofErr w:type="spellEnd"/>
      <w:r w:rsidRPr="00F47284">
        <w:rPr>
          <w:sz w:val="24"/>
          <w:szCs w:val="24"/>
          <w:lang w:val="pt-BR" w:eastAsia="pt-BR"/>
        </w:rPr>
        <w:t>)</w:t>
      </w:r>
      <w:r w:rsidRPr="00F47284">
        <w:rPr>
          <w:sz w:val="24"/>
          <w:szCs w:val="24"/>
          <w:lang w:val="pt-BR"/>
        </w:rPr>
        <w:t xml:space="preserve">, </w:t>
      </w:r>
      <w:r w:rsidRPr="00F47284">
        <w:rPr>
          <w:i/>
          <w:sz w:val="24"/>
          <w:szCs w:val="24"/>
          <w:lang w:val="pt-BR"/>
        </w:rPr>
        <w:t>proxy</w:t>
      </w:r>
      <w:r w:rsidRPr="00F47284">
        <w:rPr>
          <w:sz w:val="24"/>
          <w:szCs w:val="24"/>
          <w:lang w:val="pt-BR"/>
        </w:rPr>
        <w:t xml:space="preserve"> utilizada para mensurar as variações dos ativos e estoques das economias, a variável </w:t>
      </w:r>
      <w:r w:rsidRPr="00F47284">
        <w:rPr>
          <w:sz w:val="24"/>
          <w:szCs w:val="24"/>
          <w:lang w:val="pt-BR" w:eastAsia="pt-BR"/>
        </w:rPr>
        <w:t>Taxa anual de crescimento percentual do PIB (</w:t>
      </w:r>
      <w:proofErr w:type="spellStart"/>
      <w:r w:rsidRPr="00F47284">
        <w:rPr>
          <w:sz w:val="24"/>
          <w:szCs w:val="24"/>
          <w:lang w:val="pt-BR" w:eastAsia="pt-BR"/>
        </w:rPr>
        <w:t>TxcPib</w:t>
      </w:r>
      <w:proofErr w:type="spellEnd"/>
      <w:r w:rsidRPr="00F47284">
        <w:rPr>
          <w:sz w:val="24"/>
          <w:szCs w:val="24"/>
          <w:lang w:val="pt-BR" w:eastAsia="pt-BR"/>
        </w:rPr>
        <w:t>) e a Taxa de Câmbio</w:t>
      </w:r>
      <w:r w:rsidRPr="00F47284">
        <w:rPr>
          <w:sz w:val="24"/>
          <w:szCs w:val="24"/>
          <w:lang w:val="pt-BR"/>
        </w:rPr>
        <w:t xml:space="preserve"> foras (</w:t>
      </w:r>
      <w:proofErr w:type="spellStart"/>
      <w:r w:rsidRPr="00F47284">
        <w:rPr>
          <w:sz w:val="24"/>
          <w:szCs w:val="24"/>
          <w:lang w:val="pt-BR"/>
        </w:rPr>
        <w:t>TxCa</w:t>
      </w:r>
      <w:proofErr w:type="spellEnd"/>
      <w:r w:rsidRPr="00F47284">
        <w:rPr>
          <w:sz w:val="24"/>
          <w:szCs w:val="24"/>
          <w:lang w:val="pt-BR"/>
        </w:rPr>
        <w:t>) foram significativas ao nível de 5% e apresentaram o sinal correto de seus coeficientes. A inflação (</w:t>
      </w:r>
      <w:proofErr w:type="spellStart"/>
      <w:r w:rsidRPr="00F47284">
        <w:rPr>
          <w:sz w:val="24"/>
          <w:szCs w:val="24"/>
          <w:lang w:val="pt-BR"/>
        </w:rPr>
        <w:t>Inf</w:t>
      </w:r>
      <w:proofErr w:type="spellEnd"/>
      <w:r w:rsidRPr="00F47284">
        <w:rPr>
          <w:sz w:val="24"/>
          <w:szCs w:val="24"/>
          <w:lang w:val="pt-BR"/>
        </w:rPr>
        <w:t xml:space="preserve">), apesar de não significativa, possuiu o sinal negativo esperado de relação com o IED, indo assim de encontro com as suposições de sinais feitas. </w:t>
      </w:r>
    </w:p>
    <w:p w:rsidR="00880387" w:rsidRPr="00F47284" w:rsidRDefault="00880387" w:rsidP="003B78A3">
      <w:pPr>
        <w:ind w:firstLine="424"/>
        <w:rPr>
          <w:sz w:val="24"/>
          <w:szCs w:val="24"/>
          <w:lang w:val="pt-BR"/>
        </w:rPr>
      </w:pPr>
      <w:r w:rsidRPr="00F47284">
        <w:rPr>
          <w:sz w:val="24"/>
          <w:szCs w:val="24"/>
          <w:lang w:val="pt-BR"/>
        </w:rPr>
        <w:lastRenderedPageBreak/>
        <w:t>Ressalta-se ainda que o coeficiente de determinação (R</w:t>
      </w:r>
      <w:r w:rsidRPr="00F47284">
        <w:rPr>
          <w:rFonts w:eastAsia="Times New Roman"/>
          <w:sz w:val="24"/>
          <w:szCs w:val="24"/>
          <w:lang w:val="pt-BR"/>
        </w:rPr>
        <w:t>²)</w:t>
      </w:r>
      <w:r w:rsidRPr="00F47284">
        <w:rPr>
          <w:sz w:val="24"/>
          <w:szCs w:val="24"/>
          <w:lang w:val="pt-BR"/>
        </w:rPr>
        <w:t xml:space="preserve"> dos modelos </w:t>
      </w:r>
      <w:r w:rsidR="002178AF" w:rsidRPr="00F47284">
        <w:rPr>
          <w:sz w:val="24"/>
          <w:szCs w:val="24"/>
          <w:lang w:val="pt-BR"/>
        </w:rPr>
        <w:t>2A</w:t>
      </w:r>
      <w:r w:rsidR="0048407B" w:rsidRPr="00F47284">
        <w:rPr>
          <w:sz w:val="24"/>
          <w:szCs w:val="24"/>
          <w:lang w:val="pt-BR"/>
        </w:rPr>
        <w:t xml:space="preserve"> e 2B</w:t>
      </w:r>
      <w:r w:rsidRPr="00F47284">
        <w:rPr>
          <w:sz w:val="24"/>
          <w:szCs w:val="24"/>
          <w:lang w:val="pt-BR"/>
        </w:rPr>
        <w:t>, o qual exprimi o poder de explicação dos modelos estimados, são iguais a 0,0672 e 0,0640, respectivamente. Logo,</w:t>
      </w:r>
      <w:r w:rsidRPr="00F47284">
        <w:rPr>
          <w:sz w:val="24"/>
          <w:szCs w:val="24"/>
          <w:shd w:val="clear" w:color="auto" w:fill="FFFFFF"/>
          <w:lang w:val="pt-BR"/>
        </w:rPr>
        <w:t xml:space="preserve"> em torno de 6,72% do montante de variação temporal da variável dependente consegue ser explicada pelo montante de variação temporal dos </w:t>
      </w:r>
      <w:proofErr w:type="spellStart"/>
      <w:r w:rsidRPr="00F47284">
        <w:rPr>
          <w:sz w:val="24"/>
          <w:szCs w:val="24"/>
          <w:shd w:val="clear" w:color="auto" w:fill="FFFFFF"/>
          <w:lang w:val="pt-BR"/>
        </w:rPr>
        <w:t>r</w:t>
      </w:r>
      <w:r w:rsidR="0048407B" w:rsidRPr="00F47284">
        <w:rPr>
          <w:sz w:val="24"/>
          <w:szCs w:val="24"/>
          <w:shd w:val="clear" w:color="auto" w:fill="FFFFFF"/>
          <w:lang w:val="pt-BR"/>
        </w:rPr>
        <w:t>egressores</w:t>
      </w:r>
      <w:proofErr w:type="spellEnd"/>
      <w:r w:rsidR="0048407B" w:rsidRPr="00F47284">
        <w:rPr>
          <w:sz w:val="24"/>
          <w:szCs w:val="24"/>
          <w:shd w:val="clear" w:color="auto" w:fill="FFFFFF"/>
          <w:lang w:val="pt-BR"/>
        </w:rPr>
        <w:t xml:space="preserve"> presentes no modelo </w:t>
      </w:r>
      <w:r w:rsidR="002178AF" w:rsidRPr="00F47284">
        <w:rPr>
          <w:sz w:val="24"/>
          <w:szCs w:val="24"/>
          <w:shd w:val="clear" w:color="auto" w:fill="FFFFFF"/>
          <w:lang w:val="pt-BR"/>
        </w:rPr>
        <w:t>2A</w:t>
      </w:r>
      <w:r w:rsidR="0048407B" w:rsidRPr="00F47284">
        <w:rPr>
          <w:sz w:val="24"/>
          <w:szCs w:val="24"/>
          <w:shd w:val="clear" w:color="auto" w:fill="FFFFFF"/>
          <w:lang w:val="pt-BR"/>
        </w:rPr>
        <w:t>, e 6,4% no modelo 2B</w:t>
      </w:r>
      <w:r w:rsidRPr="00F47284">
        <w:rPr>
          <w:sz w:val="24"/>
          <w:szCs w:val="24"/>
          <w:shd w:val="clear" w:color="auto" w:fill="FFFFFF"/>
          <w:lang w:val="pt-BR"/>
        </w:rPr>
        <w:t>. Assim como nos modelos 1</w:t>
      </w:r>
      <w:r w:rsidR="00F630E7" w:rsidRPr="00F47284">
        <w:rPr>
          <w:sz w:val="24"/>
          <w:szCs w:val="24"/>
          <w:shd w:val="clear" w:color="auto" w:fill="FFFFFF"/>
          <w:lang w:val="pt-BR"/>
        </w:rPr>
        <w:t xml:space="preserve">A e </w:t>
      </w:r>
      <w:r w:rsidR="00642B2A" w:rsidRPr="00F47284">
        <w:rPr>
          <w:sz w:val="24"/>
          <w:szCs w:val="24"/>
          <w:shd w:val="clear" w:color="auto" w:fill="FFFFFF"/>
          <w:lang w:val="pt-BR"/>
        </w:rPr>
        <w:t>1B</w:t>
      </w:r>
      <w:r w:rsidR="00F630E7" w:rsidRPr="00F47284">
        <w:rPr>
          <w:sz w:val="24"/>
          <w:szCs w:val="24"/>
          <w:shd w:val="clear" w:color="auto" w:fill="FFFFFF"/>
          <w:lang w:val="pt-BR"/>
        </w:rPr>
        <w:t xml:space="preserve"> </w:t>
      </w:r>
      <w:r w:rsidRPr="00F47284">
        <w:rPr>
          <w:sz w:val="24"/>
          <w:szCs w:val="24"/>
          <w:shd w:val="clear" w:color="auto" w:fill="FFFFFF"/>
          <w:lang w:val="pt-BR"/>
        </w:rPr>
        <w:t>o valor destes coeficientes de determinação são relativamente baixos, porém isso se deve ao fato de que os modelos apresentam apenas alguns dos fatores que moldam o fluxo de IED ao redor do mundo.</w:t>
      </w:r>
      <w:r w:rsidRPr="00F47284">
        <w:rPr>
          <w:sz w:val="24"/>
          <w:szCs w:val="24"/>
          <w:lang w:val="pt-BR"/>
        </w:rPr>
        <w:t xml:space="preserve"> Além disso, a estatística </w:t>
      </w:r>
      <w:proofErr w:type="spellStart"/>
      <w:r w:rsidRPr="00F47284">
        <w:rPr>
          <w:sz w:val="24"/>
          <w:szCs w:val="24"/>
          <w:lang w:val="pt-BR"/>
        </w:rPr>
        <w:t>rô</w:t>
      </w:r>
      <w:proofErr w:type="spellEnd"/>
      <w:r w:rsidRPr="00F47284">
        <w:rPr>
          <w:sz w:val="24"/>
          <w:szCs w:val="24"/>
          <w:lang w:val="pt-BR"/>
        </w:rPr>
        <w:t xml:space="preserve"> (</w:t>
      </w:r>
      <w:r w:rsidRPr="00F47284">
        <w:rPr>
          <w:sz w:val="24"/>
          <w:szCs w:val="24"/>
          <w:lang w:val="pt-BR"/>
        </w:rPr>
        <w:sym w:font="Symbol" w:char="F072"/>
      </w:r>
      <w:r w:rsidRPr="00F47284">
        <w:rPr>
          <w:sz w:val="24"/>
          <w:szCs w:val="24"/>
          <w:lang w:val="pt-BR"/>
        </w:rPr>
        <w:t>) com valor igua</w:t>
      </w:r>
      <w:r w:rsidR="0048407B" w:rsidRPr="00F47284">
        <w:rPr>
          <w:sz w:val="24"/>
          <w:szCs w:val="24"/>
          <w:lang w:val="pt-BR"/>
        </w:rPr>
        <w:t xml:space="preserve">l a 0,5796 para o modelo </w:t>
      </w:r>
      <w:r w:rsidR="002178AF" w:rsidRPr="00F47284">
        <w:rPr>
          <w:sz w:val="24"/>
          <w:szCs w:val="24"/>
          <w:lang w:val="pt-BR"/>
        </w:rPr>
        <w:t>2A</w:t>
      </w:r>
      <w:r w:rsidR="0048407B" w:rsidRPr="00F47284">
        <w:rPr>
          <w:sz w:val="24"/>
          <w:szCs w:val="24"/>
          <w:lang w:val="pt-BR"/>
        </w:rPr>
        <w:t xml:space="preserve"> e 0,5788 para o modelo 2B</w:t>
      </w:r>
      <w:r w:rsidRPr="00F47284">
        <w:rPr>
          <w:sz w:val="24"/>
          <w:szCs w:val="24"/>
          <w:lang w:val="pt-BR"/>
        </w:rPr>
        <w:t xml:space="preserve"> indica que no terceiro modelo 57,96% da variância total do modelo se deve a características de variâncias individuais das variáveis explicativas, e 57,88% no quarto modelo. O teste de </w:t>
      </w:r>
      <w:proofErr w:type="spellStart"/>
      <w:r w:rsidRPr="00F47284">
        <w:rPr>
          <w:sz w:val="24"/>
          <w:szCs w:val="24"/>
          <w:lang w:val="pt-BR"/>
        </w:rPr>
        <w:t>Hausman</w:t>
      </w:r>
      <w:proofErr w:type="spellEnd"/>
      <w:r w:rsidRPr="00F47284">
        <w:rPr>
          <w:sz w:val="24"/>
          <w:szCs w:val="24"/>
          <w:lang w:val="pt-BR"/>
        </w:rPr>
        <w:t xml:space="preserve"> foi calculado para mostrar que o modelo de Efeitos Aleatórios é eficiente e pode ser aplicado, como os valores-</w:t>
      </w:r>
      <w:r w:rsidRPr="00F47284">
        <w:rPr>
          <w:i/>
          <w:sz w:val="24"/>
          <w:szCs w:val="24"/>
          <w:lang w:val="pt-BR"/>
        </w:rPr>
        <w:t>p</w:t>
      </w:r>
      <w:r w:rsidRPr="00F47284">
        <w:rPr>
          <w:sz w:val="24"/>
          <w:szCs w:val="24"/>
          <w:lang w:val="pt-BR"/>
        </w:rPr>
        <w:t xml:space="preserve"> dos testes em ambos os modelos foi superior ao valor do nível de significância de 0,05, aceita-se a hipótese nula de que os coeficientes são iguais em ambos os modelos, portanto o modelo de Efeitos Aleatórios pode ser aplicado.</w:t>
      </w:r>
    </w:p>
    <w:p w:rsidR="00880387" w:rsidRPr="00F47284" w:rsidRDefault="00880387" w:rsidP="003B78A3">
      <w:pPr>
        <w:ind w:firstLine="424"/>
        <w:rPr>
          <w:sz w:val="24"/>
          <w:szCs w:val="24"/>
          <w:lang w:val="pt-BR"/>
        </w:rPr>
      </w:pPr>
      <w:r w:rsidRPr="00F47284">
        <w:rPr>
          <w:sz w:val="24"/>
          <w:szCs w:val="24"/>
          <w:shd w:val="clear" w:color="auto" w:fill="FFFFFF"/>
          <w:lang w:val="pt-BR"/>
        </w:rPr>
        <w:t>Fazendo um</w:t>
      </w:r>
      <w:r w:rsidR="00F630E7" w:rsidRPr="00F47284">
        <w:rPr>
          <w:sz w:val="24"/>
          <w:szCs w:val="24"/>
          <w:shd w:val="clear" w:color="auto" w:fill="FFFFFF"/>
          <w:lang w:val="pt-BR"/>
        </w:rPr>
        <w:t>a comparação entre os modelos 1</w:t>
      </w:r>
      <w:r w:rsidR="0048407B" w:rsidRPr="00F47284">
        <w:rPr>
          <w:sz w:val="24"/>
          <w:szCs w:val="24"/>
          <w:shd w:val="clear" w:color="auto" w:fill="FFFFFF"/>
          <w:lang w:val="pt-BR"/>
        </w:rPr>
        <w:t xml:space="preserve">A e </w:t>
      </w:r>
      <w:r w:rsidR="00642B2A" w:rsidRPr="00F47284">
        <w:rPr>
          <w:sz w:val="24"/>
          <w:szCs w:val="24"/>
          <w:shd w:val="clear" w:color="auto" w:fill="FFFFFF"/>
          <w:lang w:val="pt-BR"/>
        </w:rPr>
        <w:t>1B</w:t>
      </w:r>
      <w:r w:rsidRPr="00F47284">
        <w:rPr>
          <w:sz w:val="24"/>
          <w:szCs w:val="24"/>
          <w:shd w:val="clear" w:color="auto" w:fill="FFFFFF"/>
          <w:lang w:val="pt-BR"/>
        </w:rPr>
        <w:t xml:space="preserve"> </w:t>
      </w:r>
      <w:r w:rsidR="00642B2A" w:rsidRPr="00F47284">
        <w:rPr>
          <w:sz w:val="24"/>
          <w:szCs w:val="24"/>
          <w:shd w:val="clear" w:color="auto" w:fill="FFFFFF"/>
          <w:lang w:val="pt-BR"/>
        </w:rPr>
        <w:t xml:space="preserve">(Efeitos Fixos) </w:t>
      </w:r>
      <w:r w:rsidRPr="00F47284">
        <w:rPr>
          <w:sz w:val="24"/>
          <w:szCs w:val="24"/>
          <w:shd w:val="clear" w:color="auto" w:fill="FFFFFF"/>
          <w:lang w:val="pt-BR"/>
        </w:rPr>
        <w:t xml:space="preserve">e os modelos </w:t>
      </w:r>
      <w:r w:rsidR="00642B2A" w:rsidRPr="00F47284">
        <w:rPr>
          <w:sz w:val="24"/>
          <w:szCs w:val="24"/>
          <w:shd w:val="clear" w:color="auto" w:fill="FFFFFF"/>
          <w:lang w:val="pt-BR"/>
        </w:rPr>
        <w:t>2A</w:t>
      </w:r>
      <w:r w:rsidR="0048407B" w:rsidRPr="00F47284">
        <w:rPr>
          <w:sz w:val="24"/>
          <w:szCs w:val="24"/>
          <w:shd w:val="clear" w:color="auto" w:fill="FFFFFF"/>
          <w:lang w:val="pt-BR"/>
        </w:rPr>
        <w:t xml:space="preserve"> e 2B</w:t>
      </w:r>
      <w:r w:rsidR="00642B2A" w:rsidRPr="00F47284">
        <w:rPr>
          <w:sz w:val="24"/>
          <w:szCs w:val="24"/>
          <w:shd w:val="clear" w:color="auto" w:fill="FFFFFF"/>
          <w:lang w:val="pt-BR"/>
        </w:rPr>
        <w:t xml:space="preserve"> (MQ2E)</w:t>
      </w:r>
      <w:r w:rsidRPr="00F47284">
        <w:rPr>
          <w:sz w:val="24"/>
          <w:szCs w:val="24"/>
          <w:shd w:val="clear" w:color="auto" w:fill="FFFFFF"/>
          <w:lang w:val="pt-BR"/>
        </w:rPr>
        <w:t xml:space="preserve">, é possível perceber que ao aplicar o processo de MQ2E, nos modelos </w:t>
      </w:r>
      <w:r w:rsidR="00642B2A" w:rsidRPr="00F47284">
        <w:rPr>
          <w:sz w:val="24"/>
          <w:szCs w:val="24"/>
          <w:shd w:val="clear" w:color="auto" w:fill="FFFFFF"/>
          <w:lang w:val="pt-BR"/>
        </w:rPr>
        <w:t>2A</w:t>
      </w:r>
      <w:r w:rsidR="0048407B" w:rsidRPr="00F47284">
        <w:rPr>
          <w:sz w:val="24"/>
          <w:szCs w:val="24"/>
          <w:shd w:val="clear" w:color="auto" w:fill="FFFFFF"/>
          <w:lang w:val="pt-BR"/>
        </w:rPr>
        <w:t xml:space="preserve"> e 2B</w:t>
      </w:r>
      <w:r w:rsidRPr="00F47284">
        <w:rPr>
          <w:sz w:val="24"/>
          <w:szCs w:val="24"/>
          <w:shd w:val="clear" w:color="auto" w:fill="FFFFFF"/>
          <w:lang w:val="pt-BR"/>
        </w:rPr>
        <w:t xml:space="preserve">, houve um aumento nos valores dos coeficientes das variáveis institucionais, indicando que de fato este método se encaixa melhor as variáveis em questão, e que acréscimos unitários nas variáveis institucionais utilizadas geram ainda mais aumento na atração de IED para as economias. Além disso, os coeficientes de determinação dos modelos </w:t>
      </w:r>
      <w:r w:rsidR="00642B2A" w:rsidRPr="00F47284">
        <w:rPr>
          <w:sz w:val="24"/>
          <w:szCs w:val="24"/>
          <w:shd w:val="clear" w:color="auto" w:fill="FFFFFF"/>
          <w:lang w:val="pt-BR"/>
        </w:rPr>
        <w:t>2A</w:t>
      </w:r>
      <w:r w:rsidR="0048407B" w:rsidRPr="00F47284">
        <w:rPr>
          <w:sz w:val="24"/>
          <w:szCs w:val="24"/>
          <w:shd w:val="clear" w:color="auto" w:fill="FFFFFF"/>
          <w:lang w:val="pt-BR"/>
        </w:rPr>
        <w:t xml:space="preserve"> e </w:t>
      </w:r>
      <w:r w:rsidR="00642B2A" w:rsidRPr="00F47284">
        <w:rPr>
          <w:sz w:val="24"/>
          <w:szCs w:val="24"/>
          <w:shd w:val="clear" w:color="auto" w:fill="FFFFFF"/>
          <w:lang w:val="pt-BR"/>
        </w:rPr>
        <w:t>2B</w:t>
      </w:r>
      <w:r w:rsidRPr="00F47284">
        <w:rPr>
          <w:sz w:val="24"/>
          <w:szCs w:val="24"/>
          <w:shd w:val="clear" w:color="auto" w:fill="FFFFFF"/>
          <w:lang w:val="pt-BR"/>
        </w:rPr>
        <w:t xml:space="preserve"> são comparativamente maiores dos que</w:t>
      </w:r>
      <w:r w:rsidR="0048407B" w:rsidRPr="00F47284">
        <w:rPr>
          <w:sz w:val="24"/>
          <w:szCs w:val="24"/>
          <w:shd w:val="clear" w:color="auto" w:fill="FFFFFF"/>
          <w:lang w:val="pt-BR"/>
        </w:rPr>
        <w:t xml:space="preserve"> os apresentados pelos modelos 1A</w:t>
      </w:r>
      <w:r w:rsidRPr="00F47284">
        <w:rPr>
          <w:sz w:val="24"/>
          <w:szCs w:val="24"/>
          <w:shd w:val="clear" w:color="auto" w:fill="FFFFFF"/>
          <w:lang w:val="pt-BR"/>
        </w:rPr>
        <w:t xml:space="preserve"> e </w:t>
      </w:r>
      <w:r w:rsidR="00642B2A" w:rsidRPr="00F47284">
        <w:rPr>
          <w:sz w:val="24"/>
          <w:szCs w:val="24"/>
          <w:shd w:val="clear" w:color="auto" w:fill="FFFFFF"/>
          <w:lang w:val="pt-BR"/>
        </w:rPr>
        <w:t>1B</w:t>
      </w:r>
      <w:r w:rsidRPr="00F47284">
        <w:rPr>
          <w:sz w:val="24"/>
          <w:szCs w:val="24"/>
          <w:shd w:val="clear" w:color="auto" w:fill="FFFFFF"/>
          <w:lang w:val="pt-BR"/>
        </w:rPr>
        <w:t>, logo houve um ganho de poder de explicação nos modelos estimados.</w:t>
      </w:r>
    </w:p>
    <w:p w:rsidR="00880387" w:rsidRPr="00F47284" w:rsidRDefault="00880387" w:rsidP="003B78A3">
      <w:pPr>
        <w:ind w:firstLine="420"/>
        <w:rPr>
          <w:sz w:val="24"/>
          <w:szCs w:val="24"/>
          <w:lang w:val="pt-BR"/>
        </w:rPr>
      </w:pPr>
      <w:r w:rsidRPr="00F47284">
        <w:rPr>
          <w:sz w:val="24"/>
          <w:szCs w:val="24"/>
          <w:shd w:val="clear" w:color="auto" w:fill="FFFFFF"/>
          <w:lang w:val="pt-BR"/>
        </w:rPr>
        <w:t xml:space="preserve">Sendo assim, analisando os quatro modelos expostos nas Tabelas 3 e 4 de uma forma conjunta, encontram-se evidências de que as variáveis institucionais </w:t>
      </w:r>
      <w:proofErr w:type="spellStart"/>
      <w:r w:rsidRPr="00F47284">
        <w:rPr>
          <w:sz w:val="24"/>
          <w:szCs w:val="24"/>
          <w:shd w:val="clear" w:color="auto" w:fill="FFFFFF"/>
          <w:lang w:val="pt-BR"/>
        </w:rPr>
        <w:t>AmPol</w:t>
      </w:r>
      <w:proofErr w:type="spellEnd"/>
      <w:r w:rsidRPr="00F47284">
        <w:rPr>
          <w:sz w:val="24"/>
          <w:szCs w:val="24"/>
          <w:shd w:val="clear" w:color="auto" w:fill="FFFFFF"/>
          <w:lang w:val="pt-BR"/>
        </w:rPr>
        <w:t xml:space="preserve"> e </w:t>
      </w:r>
      <w:proofErr w:type="spellStart"/>
      <w:r w:rsidRPr="00F47284">
        <w:rPr>
          <w:sz w:val="24"/>
          <w:szCs w:val="24"/>
          <w:shd w:val="clear" w:color="auto" w:fill="FFFFFF"/>
          <w:lang w:val="pt-BR"/>
        </w:rPr>
        <w:t>EstPol</w:t>
      </w:r>
      <w:proofErr w:type="spellEnd"/>
      <w:r w:rsidRPr="00F47284">
        <w:rPr>
          <w:sz w:val="24"/>
          <w:szCs w:val="24"/>
          <w:shd w:val="clear" w:color="auto" w:fill="FFFFFF"/>
          <w:lang w:val="pt-BR"/>
        </w:rPr>
        <w:t xml:space="preserve"> impactam positivamente sobre o fluxo de atração de IED para os países, uma vez que em todos os modelos elas possuem coeficientes com sinais positivos e significativos com 95% de confiança. Portanto, pode-se inferir que as instituições possuem um papel relevante na atração do IED para os países</w:t>
      </w:r>
      <w:r w:rsidRPr="00F47284">
        <w:rPr>
          <w:sz w:val="24"/>
          <w:szCs w:val="24"/>
          <w:lang w:val="pt-BR"/>
        </w:rPr>
        <w:t xml:space="preserve">. As variáveis de controle em todos os modelos fazem o seu papel de gerar estabilidade, além disso, mesmo as que não foram significativas, ainda possuíam os sinais corretos de relação com o IED segundo a literatura. </w:t>
      </w:r>
    </w:p>
    <w:p w:rsidR="00880387" w:rsidRPr="00F47284" w:rsidRDefault="00880387" w:rsidP="003B78A3">
      <w:pPr>
        <w:ind w:firstLine="420"/>
        <w:rPr>
          <w:sz w:val="24"/>
          <w:szCs w:val="24"/>
          <w:lang w:val="pt-BR" w:eastAsia="pt-BR"/>
        </w:rPr>
      </w:pPr>
      <w:r w:rsidRPr="00F47284">
        <w:rPr>
          <w:sz w:val="24"/>
          <w:szCs w:val="24"/>
          <w:lang w:val="pt-BR"/>
        </w:rPr>
        <w:t xml:space="preserve">Para determinar a relevância dos resultados obtidos é possível realizar comparações com alguns estudos, como é o caso da pesquisa feita por </w:t>
      </w:r>
      <w:proofErr w:type="spellStart"/>
      <w:r w:rsidRPr="00F47284">
        <w:rPr>
          <w:sz w:val="24"/>
          <w:szCs w:val="24"/>
          <w:lang w:val="pt-BR" w:eastAsia="pt-BR"/>
        </w:rPr>
        <w:t>Bengoa</w:t>
      </w:r>
      <w:proofErr w:type="spellEnd"/>
      <w:r w:rsidRPr="00F47284">
        <w:rPr>
          <w:sz w:val="24"/>
          <w:szCs w:val="24"/>
          <w:lang w:val="pt-BR" w:eastAsia="pt-BR"/>
        </w:rPr>
        <w:t xml:space="preserve"> e Sanchez-Robles (2003), onde os resultados encontrados sugerem que um ambiente político estável e orientado para o mercado atrai investimentos do exterior, além de que um grau de estabilidade política e econômica mais elevado também seria necessário. Sendo assim, tanto o ambiente político como a estabilidade política surgem como variantes importantes para a atração de investimento estrangeiro, e até mesmo como fatores que chamam a atenção do investidor internacional na hora de escolher onde investir. Do mesmo modo, </w:t>
      </w:r>
      <w:proofErr w:type="spellStart"/>
      <w:r w:rsidRPr="00F47284">
        <w:rPr>
          <w:sz w:val="24"/>
          <w:szCs w:val="24"/>
          <w:lang w:val="pt-BR" w:eastAsia="pt-BR"/>
        </w:rPr>
        <w:t>Harms</w:t>
      </w:r>
      <w:proofErr w:type="spellEnd"/>
      <w:r w:rsidRPr="00F47284">
        <w:rPr>
          <w:sz w:val="24"/>
          <w:szCs w:val="24"/>
          <w:lang w:val="pt-BR" w:eastAsia="pt-BR"/>
        </w:rPr>
        <w:t xml:space="preserve"> e </w:t>
      </w:r>
      <w:proofErr w:type="spellStart"/>
      <w:r w:rsidRPr="00F47284">
        <w:rPr>
          <w:sz w:val="24"/>
          <w:szCs w:val="24"/>
          <w:lang w:val="pt-BR" w:eastAsia="pt-BR"/>
        </w:rPr>
        <w:t>Ursprung</w:t>
      </w:r>
      <w:proofErr w:type="spellEnd"/>
      <w:r w:rsidRPr="00F47284">
        <w:rPr>
          <w:sz w:val="24"/>
          <w:szCs w:val="24"/>
          <w:lang w:val="pt-BR" w:eastAsia="pt-BR"/>
        </w:rPr>
        <w:t xml:space="preserve"> (2002) também conseguem identificar uma repercussão positiva das instituições sobre o fluxo de IED no mundo, visto que concluem que contenção política não impulsiona investimento, e muito menos o atrai. Empresas multinacionais são atraídas por países em que a liberdade civil e política são respeitadas, constatando que existe uma relação positiva entre democracia, crescimento econômico e atração de investimentos.</w:t>
      </w:r>
    </w:p>
    <w:p w:rsidR="001B46D8" w:rsidRPr="00F47284" w:rsidRDefault="001B46D8" w:rsidP="003B78A3">
      <w:pPr>
        <w:pStyle w:val="Headings1"/>
        <w:spacing w:before="218" w:after="218"/>
        <w:ind w:firstLine="482"/>
        <w:rPr>
          <w:szCs w:val="24"/>
          <w:lang w:val="pt-BR" w:eastAsia="ja-JP"/>
        </w:rPr>
      </w:pPr>
      <w:r w:rsidRPr="00F47284">
        <w:rPr>
          <w:szCs w:val="24"/>
          <w:lang w:val="pt-BR" w:eastAsia="ko-KR"/>
        </w:rPr>
        <w:t>4. Conclu</w:t>
      </w:r>
      <w:r w:rsidR="00F47284" w:rsidRPr="00F47284">
        <w:rPr>
          <w:szCs w:val="24"/>
          <w:lang w:val="pt-BR" w:eastAsia="ja-JP"/>
        </w:rPr>
        <w:t>são</w:t>
      </w:r>
    </w:p>
    <w:p w:rsidR="00C52357" w:rsidRPr="00F47284" w:rsidRDefault="00C52357" w:rsidP="003B78A3">
      <w:pPr>
        <w:ind w:firstLine="432"/>
        <w:rPr>
          <w:sz w:val="24"/>
          <w:szCs w:val="24"/>
          <w:lang w:val="pt-BR"/>
        </w:rPr>
      </w:pPr>
      <w:r w:rsidRPr="00F47284">
        <w:rPr>
          <w:sz w:val="24"/>
          <w:szCs w:val="24"/>
          <w:lang w:val="pt-BR"/>
        </w:rPr>
        <w:t xml:space="preserve">A teoria que trata a respeito da atividade do IED sugere diversas motivações para a produção em mercados estrangeiros, com destaque para a busca por recursos naturais, mão-de-obra, mercado consumidor, eficiência produtiva e ativos estratégicos. A partir do século XXI, inclui-se também a busca </w:t>
      </w:r>
      <w:r w:rsidRPr="00F47284">
        <w:rPr>
          <w:sz w:val="24"/>
          <w:szCs w:val="24"/>
          <w:lang w:val="pt-BR"/>
        </w:rPr>
        <w:lastRenderedPageBreak/>
        <w:t xml:space="preserve">das empresas multinacionais por ambientes institucionais de qualidade, através de percepções no que diz respeito à eficiência do governo, direitos de propriedade, qualidade burocrática, entre outros fatores, a fim de instalar-se em um ambiente estável e com menores riscos políticos e econômicos. </w:t>
      </w:r>
    </w:p>
    <w:p w:rsidR="008903E7" w:rsidRPr="00F47284" w:rsidRDefault="00C52357" w:rsidP="003B78A3">
      <w:pPr>
        <w:ind w:firstLine="432"/>
        <w:rPr>
          <w:sz w:val="24"/>
          <w:szCs w:val="24"/>
          <w:lang w:val="pt-BR" w:eastAsia="pt-BR"/>
        </w:rPr>
      </w:pPr>
      <w:r w:rsidRPr="00F47284">
        <w:rPr>
          <w:sz w:val="24"/>
          <w:szCs w:val="24"/>
          <w:lang w:val="pt-BR"/>
        </w:rPr>
        <w:t xml:space="preserve"> O papel da qualidade dos arranjos institucionais na determinação dos fluxos de IED tem sido visto como um componente importante de decisão, onde </w:t>
      </w:r>
      <w:r w:rsidRPr="00F47284">
        <w:rPr>
          <w:sz w:val="24"/>
          <w:szCs w:val="24"/>
          <w:lang w:val="pt-BR" w:eastAsia="pt-BR"/>
        </w:rPr>
        <w:t xml:space="preserve">grande parte dos estudos que abordam o tema institucional revelam a existência de uma relação entre instituições e IED. Os estudos aplicados sobre o tema, no entanto, encontravam barreiras na escassez de informação a respeito de instituições, uma vez que as séries e oferta mais ampla de dados institucionais é bastante recente. Apesar disso, fica claro que um ambiente institucional equilibrado e bem gerido motiva desenvolvimento econômico e interesse internacional. </w:t>
      </w:r>
      <w:r w:rsidR="00FA0306" w:rsidRPr="00F47284">
        <w:rPr>
          <w:sz w:val="24"/>
          <w:szCs w:val="24"/>
          <w:lang w:val="pt-BR"/>
        </w:rPr>
        <w:t>A dimensão institucional política tem sido relacionada em alguns estudos às condições de atração do IED</w:t>
      </w:r>
      <w:r w:rsidR="007D3340" w:rsidRPr="00F47284">
        <w:rPr>
          <w:sz w:val="24"/>
          <w:szCs w:val="24"/>
          <w:lang w:val="pt-BR"/>
        </w:rPr>
        <w:t>.</w:t>
      </w:r>
      <w:r w:rsidR="008903E7" w:rsidRPr="00F47284">
        <w:rPr>
          <w:sz w:val="24"/>
          <w:szCs w:val="24"/>
          <w:lang w:val="pt-BR"/>
        </w:rPr>
        <w:t xml:space="preserve"> </w:t>
      </w:r>
      <w:r w:rsidR="008903E7" w:rsidRPr="00F47284">
        <w:rPr>
          <w:sz w:val="24"/>
          <w:szCs w:val="24"/>
          <w:lang w:val="pt-BR" w:eastAsia="pt-BR"/>
        </w:rPr>
        <w:t>As instituições políticas servem como meio de referência para o investidor internacional tomar suas decisões, uma vez que por meio delas é possível constatar se há condições propícias ao desenvolvimento e atrativos ao investimento. Portanto, um ambiente político estável é um sinalizador de segurança para os investidores internacionais, sinalizando o fato de que os contratos e as leis são respeitados.</w:t>
      </w:r>
      <w:r w:rsidR="007D3340" w:rsidRPr="00F47284">
        <w:rPr>
          <w:sz w:val="24"/>
          <w:szCs w:val="24"/>
          <w:lang w:val="pt-BR"/>
        </w:rPr>
        <w:t xml:space="preserve"> </w:t>
      </w:r>
      <w:r w:rsidR="00FA0306" w:rsidRPr="00F47284">
        <w:rPr>
          <w:sz w:val="24"/>
          <w:szCs w:val="24"/>
          <w:lang w:val="pt-BR"/>
        </w:rPr>
        <w:t xml:space="preserve">Além das condições políticas institucionais, os </w:t>
      </w:r>
      <w:r w:rsidR="007D3340" w:rsidRPr="00F47284">
        <w:rPr>
          <w:sz w:val="24"/>
          <w:szCs w:val="24"/>
          <w:lang w:val="pt-BR"/>
        </w:rPr>
        <w:t>determinantes de políticas econômicas no país anfitrião surgem como pontos também importantes, uma vez que impostos, a estabilidade macroeconômica, o gr</w:t>
      </w:r>
      <w:r w:rsidR="008903E7" w:rsidRPr="00F47284">
        <w:rPr>
          <w:sz w:val="24"/>
          <w:szCs w:val="24"/>
          <w:lang w:val="pt-BR"/>
        </w:rPr>
        <w:t>au de abertura</w:t>
      </w:r>
      <w:r w:rsidR="007D3340" w:rsidRPr="00F47284">
        <w:rPr>
          <w:sz w:val="24"/>
          <w:szCs w:val="24"/>
          <w:lang w:val="pt-BR"/>
        </w:rPr>
        <w:t xml:space="preserve">, o grau de liberdade econômica e a ausência de regulamentações nos mercados afetam diretamente o IDE. </w:t>
      </w:r>
    </w:p>
    <w:p w:rsidR="00C52357" w:rsidRPr="00F47284" w:rsidRDefault="00C52357" w:rsidP="003B78A3">
      <w:pPr>
        <w:ind w:firstLine="432"/>
        <w:rPr>
          <w:sz w:val="24"/>
          <w:szCs w:val="24"/>
          <w:lang w:val="pt-BR" w:eastAsia="pt-BR"/>
        </w:rPr>
      </w:pPr>
      <w:r w:rsidRPr="00F47284">
        <w:rPr>
          <w:rFonts w:eastAsia="Times New Roman"/>
          <w:sz w:val="24"/>
          <w:szCs w:val="24"/>
          <w:lang w:val="pt-BR" w:eastAsia="pt-BR"/>
        </w:rPr>
        <w:t xml:space="preserve">Com o intuito de procurar evidências sobre a hipótese de que a qualidade </w:t>
      </w:r>
      <w:r w:rsidR="000E721E" w:rsidRPr="00F47284">
        <w:rPr>
          <w:rFonts w:eastAsia="Times New Roman"/>
          <w:sz w:val="24"/>
          <w:szCs w:val="24"/>
          <w:lang w:val="pt-BR" w:eastAsia="pt-BR"/>
        </w:rPr>
        <w:t>do arranjo institucional político</w:t>
      </w:r>
      <w:r w:rsidRPr="00F47284">
        <w:rPr>
          <w:rFonts w:eastAsia="Times New Roman"/>
          <w:sz w:val="24"/>
          <w:szCs w:val="24"/>
          <w:lang w:val="pt-BR" w:eastAsia="pt-BR"/>
        </w:rPr>
        <w:t xml:space="preserve"> é um fator importante para a atração de Investimento Externo Direto (IED), buscou-se</w:t>
      </w:r>
      <w:r w:rsidRPr="00F47284">
        <w:rPr>
          <w:sz w:val="24"/>
          <w:szCs w:val="24"/>
          <w:lang w:val="pt-BR"/>
        </w:rPr>
        <w:t xml:space="preserve"> identificar a relação entre a qualidade das instituições</w:t>
      </w:r>
      <w:r w:rsidR="000E721E" w:rsidRPr="00F47284">
        <w:rPr>
          <w:sz w:val="24"/>
          <w:szCs w:val="24"/>
          <w:lang w:val="pt-BR"/>
        </w:rPr>
        <w:t xml:space="preserve"> políticas</w:t>
      </w:r>
      <w:r w:rsidRPr="00F47284">
        <w:rPr>
          <w:sz w:val="24"/>
          <w:szCs w:val="24"/>
          <w:lang w:val="pt-BR"/>
        </w:rPr>
        <w:t xml:space="preserve"> e a atração do IED</w:t>
      </w:r>
      <w:r w:rsidR="000E721E" w:rsidRPr="00F47284">
        <w:rPr>
          <w:sz w:val="24"/>
          <w:szCs w:val="24"/>
          <w:lang w:val="pt-BR"/>
        </w:rPr>
        <w:t>,</w:t>
      </w:r>
      <w:r w:rsidRPr="00F47284">
        <w:rPr>
          <w:sz w:val="24"/>
          <w:szCs w:val="24"/>
          <w:lang w:val="pt-BR"/>
        </w:rPr>
        <w:t xml:space="preserve"> </w:t>
      </w:r>
      <w:r w:rsidR="000E721E" w:rsidRPr="00F47284">
        <w:rPr>
          <w:sz w:val="24"/>
          <w:szCs w:val="24"/>
          <w:lang w:val="pt-BR"/>
        </w:rPr>
        <w:t>levando em consideração</w:t>
      </w:r>
      <w:r w:rsidRPr="00F47284">
        <w:rPr>
          <w:sz w:val="24"/>
          <w:szCs w:val="24"/>
          <w:lang w:val="pt-BR"/>
        </w:rPr>
        <w:t xml:space="preserve"> países com diferentes níveis de desenvolvimento. Para avaliar a influência </w:t>
      </w:r>
      <w:r w:rsidR="009C0C49" w:rsidRPr="00F47284">
        <w:rPr>
          <w:sz w:val="24"/>
          <w:szCs w:val="24"/>
          <w:lang w:val="pt-BR"/>
        </w:rPr>
        <w:t xml:space="preserve">na atração de IED, </w:t>
      </w:r>
      <w:r w:rsidRPr="00F47284">
        <w:rPr>
          <w:sz w:val="24"/>
          <w:szCs w:val="24"/>
          <w:lang w:val="pt-BR"/>
        </w:rPr>
        <w:t>dos indicadores institucionais</w:t>
      </w:r>
      <w:r w:rsidR="000E721E" w:rsidRPr="00F47284">
        <w:rPr>
          <w:sz w:val="24"/>
          <w:szCs w:val="24"/>
          <w:lang w:val="pt-BR"/>
        </w:rPr>
        <w:t xml:space="preserve"> relacionados a ambiente e estabilidade política</w:t>
      </w:r>
      <w:r w:rsidRPr="00F47284">
        <w:rPr>
          <w:sz w:val="24"/>
          <w:szCs w:val="24"/>
          <w:lang w:val="pt-BR"/>
        </w:rPr>
        <w:t xml:space="preserve">, selecionou-se um conjunto de variáveis </w:t>
      </w:r>
      <w:r w:rsidRPr="00F47284">
        <w:rPr>
          <w:i/>
          <w:sz w:val="24"/>
          <w:szCs w:val="24"/>
          <w:lang w:val="pt-BR"/>
        </w:rPr>
        <w:t>proxies</w:t>
      </w:r>
      <w:r w:rsidR="009C0C49" w:rsidRPr="00F47284">
        <w:rPr>
          <w:sz w:val="24"/>
          <w:szCs w:val="24"/>
          <w:lang w:val="pt-BR"/>
        </w:rPr>
        <w:t xml:space="preserve"> para qualidade destas</w:t>
      </w:r>
      <w:r w:rsidRPr="00F47284">
        <w:rPr>
          <w:sz w:val="24"/>
          <w:szCs w:val="24"/>
          <w:lang w:val="pt-BR"/>
        </w:rPr>
        <w:t xml:space="preserve"> instituições</w:t>
      </w:r>
      <w:r w:rsidR="009C0C49" w:rsidRPr="00F47284">
        <w:rPr>
          <w:sz w:val="24"/>
          <w:szCs w:val="24"/>
          <w:lang w:val="pt-BR"/>
        </w:rPr>
        <w:t xml:space="preserve"> específicas.</w:t>
      </w:r>
      <w:r w:rsidR="00F96307" w:rsidRPr="00F47284">
        <w:rPr>
          <w:sz w:val="24"/>
          <w:szCs w:val="24"/>
          <w:lang w:val="pt-BR"/>
        </w:rPr>
        <w:t xml:space="preserve"> </w:t>
      </w:r>
      <w:r w:rsidRPr="00F47284">
        <w:rPr>
          <w:sz w:val="24"/>
          <w:szCs w:val="24"/>
          <w:lang w:val="pt-BR"/>
        </w:rPr>
        <w:t xml:space="preserve">Foram estimados modelos dados em painel, para 123 países, ao longo dos anos de 2011 a 2016. Dois deles, sem a utilização de variáveis instrumentais; e os outros dois, foram estimados com a inclusão de variáveis instrumentais, pelo método de Mínimos Quadrados em Dois Estágios. Cabe destacar que a utilização de variáveis instrumentais contribuiu para o melhor ajuste dos modelos, sendo elas referentes à formação cultural, refletidas na estrutura religiosa dos países. </w:t>
      </w:r>
    </w:p>
    <w:p w:rsidR="00C52357" w:rsidRPr="00F47284" w:rsidRDefault="00C52357" w:rsidP="003B78A3">
      <w:pPr>
        <w:ind w:firstLine="424"/>
        <w:rPr>
          <w:sz w:val="24"/>
          <w:szCs w:val="24"/>
          <w:lang w:val="pt-BR"/>
        </w:rPr>
      </w:pPr>
      <w:r w:rsidRPr="00F47284">
        <w:rPr>
          <w:sz w:val="24"/>
          <w:szCs w:val="24"/>
          <w:lang w:val="pt-BR"/>
        </w:rPr>
        <w:t>Conforme os resultados obtidos, as variáveis institucionais representadas pelo</w:t>
      </w:r>
      <w:r w:rsidR="009C41E2" w:rsidRPr="00F47284">
        <w:rPr>
          <w:sz w:val="24"/>
          <w:szCs w:val="24"/>
          <w:lang w:val="pt-BR"/>
        </w:rPr>
        <w:t>:</w:t>
      </w:r>
      <w:r w:rsidRPr="00F47284">
        <w:rPr>
          <w:sz w:val="24"/>
          <w:szCs w:val="24"/>
          <w:lang w:val="pt-BR" w:eastAsia="pt-BR"/>
        </w:rPr>
        <w:t xml:space="preserve"> </w:t>
      </w:r>
      <w:r w:rsidRPr="00F47284">
        <w:rPr>
          <w:sz w:val="24"/>
          <w:szCs w:val="24"/>
          <w:lang w:val="pt-BR"/>
        </w:rPr>
        <w:t>“ambiente político”</w:t>
      </w:r>
      <w:r w:rsidR="009C61CA" w:rsidRPr="00F47284">
        <w:rPr>
          <w:sz w:val="24"/>
          <w:szCs w:val="24"/>
          <w:lang w:val="pt-BR"/>
        </w:rPr>
        <w:t xml:space="preserve">, composto por fatores de equilíbrio político, eficácia governamental, e liberdade de imprensa; </w:t>
      </w:r>
      <w:r w:rsidRPr="00F47284">
        <w:rPr>
          <w:sz w:val="24"/>
          <w:szCs w:val="24"/>
          <w:lang w:val="pt-BR"/>
        </w:rPr>
        <w:t xml:space="preserve">e pela “estabilidade política e ausência de violência ou terrorismo” </w:t>
      </w:r>
      <w:r w:rsidR="009C41E2" w:rsidRPr="00F47284">
        <w:rPr>
          <w:sz w:val="24"/>
          <w:szCs w:val="24"/>
          <w:lang w:val="pt-BR"/>
        </w:rPr>
        <w:t xml:space="preserve">a qual capta percepções da probabilidade de o governo ser desestabilizado por meios inconstitucionais ou violentos, incluindo a violência politicamente motivada pelo terrorismo, ambas </w:t>
      </w:r>
      <w:r w:rsidRPr="00F47284">
        <w:rPr>
          <w:sz w:val="24"/>
          <w:szCs w:val="24"/>
          <w:lang w:val="pt-BR"/>
        </w:rPr>
        <w:t>confirmaram a hipótese teórica de que a qualidade das instituições impacta de maneira positiva sobre a atração de IED. A importância das instituições na atração de investimentos externos diretos, indicaram que os arranjos institucionais utilizados e o fluxo de entrada de IED são diretamente relacionados. Logo, quanto maior a qualidade destas instituições, mais IED é atraído para os países em questão.</w:t>
      </w:r>
    </w:p>
    <w:p w:rsidR="00F47284" w:rsidRPr="00F47284" w:rsidRDefault="00C52357" w:rsidP="003B78A3">
      <w:pPr>
        <w:ind w:firstLine="432"/>
        <w:rPr>
          <w:sz w:val="24"/>
          <w:szCs w:val="24"/>
          <w:lang w:val="pt-BR"/>
        </w:rPr>
      </w:pPr>
      <w:r w:rsidRPr="00F47284">
        <w:rPr>
          <w:sz w:val="24"/>
          <w:szCs w:val="24"/>
          <w:lang w:val="pt-BR"/>
        </w:rPr>
        <w:t>Finalmente, dada a impossibilidade de esgotar o tema abordado, sugere-se para futuros trabalhos primeiramente a ampliação da amostra através do horizonte temporal, adicionando mais observações aos modelos, e também aumentando o número de indivíduos. Além de buscar novos bancos de dados institucionais, para estudar a relação do IED com outras dimensões institucionais, referentes aos ambientes de negócios e do sistema judiciário</w:t>
      </w:r>
      <w:r w:rsidR="00F47284" w:rsidRPr="00F47284">
        <w:rPr>
          <w:sz w:val="24"/>
          <w:szCs w:val="24"/>
          <w:lang w:val="pt-BR"/>
        </w:rPr>
        <w:t>.</w:t>
      </w:r>
    </w:p>
    <w:p w:rsidR="00F47284" w:rsidRPr="00F47284" w:rsidRDefault="00F47284" w:rsidP="003B78A3">
      <w:pPr>
        <w:ind w:firstLine="432"/>
        <w:rPr>
          <w:sz w:val="24"/>
          <w:szCs w:val="24"/>
          <w:lang w:val="pt-BR"/>
        </w:rPr>
      </w:pPr>
    </w:p>
    <w:p w:rsidR="003050A4" w:rsidRPr="00F47284" w:rsidRDefault="003050A4" w:rsidP="003B78A3">
      <w:pPr>
        <w:pStyle w:val="author1"/>
        <w:spacing w:after="312"/>
        <w:jc w:val="both"/>
        <w:rPr>
          <w:b/>
          <w:i w:val="0"/>
          <w:sz w:val="24"/>
          <w:szCs w:val="24"/>
          <w:lang w:val="pt-BR"/>
        </w:rPr>
      </w:pPr>
      <w:r w:rsidRPr="00F47284">
        <w:rPr>
          <w:b/>
          <w:i w:val="0"/>
          <w:sz w:val="24"/>
          <w:szCs w:val="24"/>
          <w:lang w:val="pt-BR"/>
        </w:rPr>
        <w:t>ANEXO – Países da Amostra</w:t>
      </w:r>
    </w:p>
    <w:tbl>
      <w:tblPr>
        <w:tblW w:w="90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1"/>
        <w:gridCol w:w="2496"/>
        <w:gridCol w:w="2008"/>
        <w:gridCol w:w="2381"/>
      </w:tblGrid>
      <w:tr w:rsidR="00D20D05" w:rsidRPr="00F47284" w:rsidTr="00315C01">
        <w:trPr>
          <w:cantSplit/>
          <w:trHeight w:val="355"/>
          <w:jc w:val="center"/>
        </w:trPr>
        <w:tc>
          <w:tcPr>
            <w:tcW w:w="21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Albânia</w:t>
            </w:r>
          </w:p>
        </w:tc>
        <w:tc>
          <w:tcPr>
            <w:tcW w:w="2496"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Egito</w:t>
            </w:r>
          </w:p>
        </w:tc>
        <w:tc>
          <w:tcPr>
            <w:tcW w:w="2007"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Líbano</w:t>
            </w:r>
          </w:p>
        </w:tc>
        <w:tc>
          <w:tcPr>
            <w:tcW w:w="23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Ruanda</w:t>
            </w:r>
          </w:p>
        </w:tc>
      </w:tr>
      <w:tr w:rsidR="00D20D05" w:rsidRPr="00F47284" w:rsidTr="00315C01">
        <w:trPr>
          <w:cantSplit/>
          <w:trHeight w:val="355"/>
          <w:jc w:val="center"/>
        </w:trPr>
        <w:tc>
          <w:tcPr>
            <w:tcW w:w="21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Argélia</w:t>
            </w:r>
          </w:p>
        </w:tc>
        <w:tc>
          <w:tcPr>
            <w:tcW w:w="2496"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El Salvador</w:t>
            </w:r>
          </w:p>
        </w:tc>
        <w:tc>
          <w:tcPr>
            <w:tcW w:w="2007"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Lituânia</w:t>
            </w:r>
          </w:p>
        </w:tc>
        <w:tc>
          <w:tcPr>
            <w:tcW w:w="23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Arábia Saudita</w:t>
            </w:r>
          </w:p>
        </w:tc>
      </w:tr>
      <w:tr w:rsidR="00D20D05" w:rsidRPr="00F47284" w:rsidTr="00315C01">
        <w:trPr>
          <w:cantSplit/>
          <w:trHeight w:val="355"/>
          <w:jc w:val="center"/>
        </w:trPr>
        <w:tc>
          <w:tcPr>
            <w:tcW w:w="21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Argentina</w:t>
            </w:r>
          </w:p>
        </w:tc>
        <w:tc>
          <w:tcPr>
            <w:tcW w:w="2496"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Estônia</w:t>
            </w:r>
          </w:p>
        </w:tc>
        <w:tc>
          <w:tcPr>
            <w:tcW w:w="2007"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Luxemburgo</w:t>
            </w:r>
          </w:p>
        </w:tc>
        <w:tc>
          <w:tcPr>
            <w:tcW w:w="23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Senegal</w:t>
            </w:r>
          </w:p>
        </w:tc>
      </w:tr>
      <w:tr w:rsidR="00D20D05" w:rsidRPr="00F47284" w:rsidTr="00315C01">
        <w:trPr>
          <w:cantSplit/>
          <w:trHeight w:val="355"/>
          <w:jc w:val="center"/>
        </w:trPr>
        <w:tc>
          <w:tcPr>
            <w:tcW w:w="21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Armênia</w:t>
            </w:r>
          </w:p>
        </w:tc>
        <w:tc>
          <w:tcPr>
            <w:tcW w:w="2496"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Etiópia</w:t>
            </w:r>
          </w:p>
        </w:tc>
        <w:tc>
          <w:tcPr>
            <w:tcW w:w="2007"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Madagáscar</w:t>
            </w:r>
          </w:p>
        </w:tc>
        <w:tc>
          <w:tcPr>
            <w:tcW w:w="23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Sérvia</w:t>
            </w:r>
          </w:p>
        </w:tc>
      </w:tr>
      <w:tr w:rsidR="00D20D05" w:rsidRPr="00F47284" w:rsidTr="00315C01">
        <w:trPr>
          <w:cantSplit/>
          <w:trHeight w:val="355"/>
          <w:jc w:val="center"/>
        </w:trPr>
        <w:tc>
          <w:tcPr>
            <w:tcW w:w="21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Austrália</w:t>
            </w:r>
          </w:p>
        </w:tc>
        <w:tc>
          <w:tcPr>
            <w:tcW w:w="2496"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Finlândia</w:t>
            </w:r>
          </w:p>
        </w:tc>
        <w:tc>
          <w:tcPr>
            <w:tcW w:w="2007"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Malaui</w:t>
            </w:r>
          </w:p>
        </w:tc>
        <w:tc>
          <w:tcPr>
            <w:tcW w:w="23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Cingapura</w:t>
            </w:r>
          </w:p>
        </w:tc>
      </w:tr>
      <w:tr w:rsidR="00D20D05" w:rsidRPr="00F47284" w:rsidTr="00315C01">
        <w:trPr>
          <w:cantSplit/>
          <w:trHeight w:val="355"/>
          <w:jc w:val="center"/>
        </w:trPr>
        <w:tc>
          <w:tcPr>
            <w:tcW w:w="21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Áustria</w:t>
            </w:r>
          </w:p>
        </w:tc>
        <w:tc>
          <w:tcPr>
            <w:tcW w:w="2496"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França</w:t>
            </w:r>
          </w:p>
        </w:tc>
        <w:tc>
          <w:tcPr>
            <w:tcW w:w="2007"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Malásia</w:t>
            </w:r>
          </w:p>
        </w:tc>
        <w:tc>
          <w:tcPr>
            <w:tcW w:w="23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República Eslovaca</w:t>
            </w:r>
          </w:p>
        </w:tc>
      </w:tr>
      <w:tr w:rsidR="00D20D05" w:rsidRPr="00F47284" w:rsidTr="00315C01">
        <w:trPr>
          <w:cantSplit/>
          <w:trHeight w:val="355"/>
          <w:jc w:val="center"/>
        </w:trPr>
        <w:tc>
          <w:tcPr>
            <w:tcW w:w="21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Azerbaijão</w:t>
            </w:r>
          </w:p>
        </w:tc>
        <w:tc>
          <w:tcPr>
            <w:tcW w:w="2496"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Geórgia</w:t>
            </w:r>
          </w:p>
        </w:tc>
        <w:tc>
          <w:tcPr>
            <w:tcW w:w="2007"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Mali</w:t>
            </w:r>
          </w:p>
        </w:tc>
        <w:tc>
          <w:tcPr>
            <w:tcW w:w="23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Eslovênia</w:t>
            </w:r>
          </w:p>
        </w:tc>
      </w:tr>
      <w:tr w:rsidR="00D20D05" w:rsidRPr="00F47284" w:rsidTr="00315C01">
        <w:trPr>
          <w:cantSplit/>
          <w:trHeight w:val="355"/>
          <w:jc w:val="center"/>
        </w:trPr>
        <w:tc>
          <w:tcPr>
            <w:tcW w:w="21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Bahrein</w:t>
            </w:r>
          </w:p>
        </w:tc>
        <w:tc>
          <w:tcPr>
            <w:tcW w:w="2496"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Alemanha</w:t>
            </w:r>
          </w:p>
        </w:tc>
        <w:tc>
          <w:tcPr>
            <w:tcW w:w="2007"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Maurício</w:t>
            </w:r>
          </w:p>
        </w:tc>
        <w:tc>
          <w:tcPr>
            <w:tcW w:w="23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África do Sul</w:t>
            </w:r>
          </w:p>
        </w:tc>
      </w:tr>
      <w:tr w:rsidR="00D20D05" w:rsidRPr="00F47284" w:rsidTr="00315C01">
        <w:trPr>
          <w:cantSplit/>
          <w:trHeight w:val="355"/>
          <w:jc w:val="center"/>
        </w:trPr>
        <w:tc>
          <w:tcPr>
            <w:tcW w:w="21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Bangladesh</w:t>
            </w:r>
          </w:p>
        </w:tc>
        <w:tc>
          <w:tcPr>
            <w:tcW w:w="2496"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Gana</w:t>
            </w:r>
          </w:p>
        </w:tc>
        <w:tc>
          <w:tcPr>
            <w:tcW w:w="2007"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México</w:t>
            </w:r>
          </w:p>
        </w:tc>
        <w:tc>
          <w:tcPr>
            <w:tcW w:w="23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Espanha</w:t>
            </w:r>
          </w:p>
        </w:tc>
      </w:tr>
      <w:tr w:rsidR="00D20D05" w:rsidRPr="00F47284" w:rsidTr="00315C01">
        <w:trPr>
          <w:cantSplit/>
          <w:trHeight w:val="355"/>
          <w:jc w:val="center"/>
        </w:trPr>
        <w:tc>
          <w:tcPr>
            <w:tcW w:w="21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Bélgica</w:t>
            </w:r>
          </w:p>
        </w:tc>
        <w:tc>
          <w:tcPr>
            <w:tcW w:w="2496"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Grécia</w:t>
            </w:r>
          </w:p>
        </w:tc>
        <w:tc>
          <w:tcPr>
            <w:tcW w:w="2007"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Moldávia</w:t>
            </w:r>
          </w:p>
        </w:tc>
        <w:tc>
          <w:tcPr>
            <w:tcW w:w="23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Sri Lanka</w:t>
            </w:r>
          </w:p>
        </w:tc>
      </w:tr>
      <w:tr w:rsidR="00D20D05" w:rsidRPr="00F47284" w:rsidTr="00315C01">
        <w:trPr>
          <w:cantSplit/>
          <w:trHeight w:val="355"/>
          <w:jc w:val="center"/>
        </w:trPr>
        <w:tc>
          <w:tcPr>
            <w:tcW w:w="21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Benin</w:t>
            </w:r>
          </w:p>
        </w:tc>
        <w:tc>
          <w:tcPr>
            <w:tcW w:w="2496"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Guatemala</w:t>
            </w:r>
          </w:p>
        </w:tc>
        <w:tc>
          <w:tcPr>
            <w:tcW w:w="2007"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Mongólia</w:t>
            </w:r>
          </w:p>
        </w:tc>
        <w:tc>
          <w:tcPr>
            <w:tcW w:w="23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Sudão</w:t>
            </w:r>
          </w:p>
        </w:tc>
      </w:tr>
      <w:tr w:rsidR="00D20D05" w:rsidRPr="00F47284" w:rsidTr="00315C01">
        <w:trPr>
          <w:cantSplit/>
          <w:trHeight w:val="355"/>
          <w:jc w:val="center"/>
        </w:trPr>
        <w:tc>
          <w:tcPr>
            <w:tcW w:w="21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Bolívia</w:t>
            </w:r>
          </w:p>
        </w:tc>
        <w:tc>
          <w:tcPr>
            <w:tcW w:w="2496"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Guiné</w:t>
            </w:r>
          </w:p>
        </w:tc>
        <w:tc>
          <w:tcPr>
            <w:tcW w:w="2007"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Marrocos</w:t>
            </w:r>
          </w:p>
        </w:tc>
        <w:tc>
          <w:tcPr>
            <w:tcW w:w="23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Suazilândia</w:t>
            </w:r>
          </w:p>
        </w:tc>
      </w:tr>
      <w:tr w:rsidR="00D20D05" w:rsidRPr="00F47284" w:rsidTr="00315C01">
        <w:trPr>
          <w:cantSplit/>
          <w:trHeight w:val="355"/>
          <w:jc w:val="center"/>
        </w:trPr>
        <w:tc>
          <w:tcPr>
            <w:tcW w:w="21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Bósnia e Herzegovina</w:t>
            </w:r>
          </w:p>
        </w:tc>
        <w:tc>
          <w:tcPr>
            <w:tcW w:w="2496"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Honduras</w:t>
            </w:r>
          </w:p>
        </w:tc>
        <w:tc>
          <w:tcPr>
            <w:tcW w:w="2007"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Namíbia</w:t>
            </w:r>
          </w:p>
        </w:tc>
        <w:tc>
          <w:tcPr>
            <w:tcW w:w="23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Suécia</w:t>
            </w:r>
          </w:p>
        </w:tc>
      </w:tr>
      <w:tr w:rsidR="00D20D05" w:rsidRPr="00F47284" w:rsidTr="00315C01">
        <w:trPr>
          <w:cantSplit/>
          <w:trHeight w:val="355"/>
          <w:jc w:val="center"/>
        </w:trPr>
        <w:tc>
          <w:tcPr>
            <w:tcW w:w="21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Botswana</w:t>
            </w:r>
          </w:p>
        </w:tc>
        <w:tc>
          <w:tcPr>
            <w:tcW w:w="2496"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Hong Kong, China</w:t>
            </w:r>
          </w:p>
        </w:tc>
        <w:tc>
          <w:tcPr>
            <w:tcW w:w="2007"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Países Baixos</w:t>
            </w:r>
          </w:p>
        </w:tc>
        <w:tc>
          <w:tcPr>
            <w:tcW w:w="23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Suíça</w:t>
            </w:r>
          </w:p>
        </w:tc>
      </w:tr>
      <w:tr w:rsidR="00D20D05" w:rsidRPr="00F47284" w:rsidTr="00315C01">
        <w:trPr>
          <w:cantSplit/>
          <w:trHeight w:val="355"/>
          <w:jc w:val="center"/>
        </w:trPr>
        <w:tc>
          <w:tcPr>
            <w:tcW w:w="21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Brasil</w:t>
            </w:r>
          </w:p>
        </w:tc>
        <w:tc>
          <w:tcPr>
            <w:tcW w:w="2496"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Hungria</w:t>
            </w:r>
          </w:p>
        </w:tc>
        <w:tc>
          <w:tcPr>
            <w:tcW w:w="2007"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Nova Zelândia</w:t>
            </w:r>
          </w:p>
        </w:tc>
        <w:tc>
          <w:tcPr>
            <w:tcW w:w="23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Tajiquistão</w:t>
            </w:r>
          </w:p>
        </w:tc>
      </w:tr>
      <w:tr w:rsidR="00D20D05" w:rsidRPr="00F47284" w:rsidTr="00315C01">
        <w:trPr>
          <w:cantSplit/>
          <w:trHeight w:val="355"/>
          <w:jc w:val="center"/>
        </w:trPr>
        <w:tc>
          <w:tcPr>
            <w:tcW w:w="21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Brunei Darussalam</w:t>
            </w:r>
          </w:p>
        </w:tc>
        <w:tc>
          <w:tcPr>
            <w:tcW w:w="2496"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Islândia</w:t>
            </w:r>
          </w:p>
        </w:tc>
        <w:tc>
          <w:tcPr>
            <w:tcW w:w="2007"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Nicarágua</w:t>
            </w:r>
          </w:p>
        </w:tc>
        <w:tc>
          <w:tcPr>
            <w:tcW w:w="23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Tanzânia</w:t>
            </w:r>
          </w:p>
        </w:tc>
      </w:tr>
      <w:tr w:rsidR="00D20D05" w:rsidRPr="00F47284" w:rsidTr="00315C01">
        <w:trPr>
          <w:cantSplit/>
          <w:trHeight w:val="355"/>
          <w:jc w:val="center"/>
        </w:trPr>
        <w:tc>
          <w:tcPr>
            <w:tcW w:w="21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Bulgária</w:t>
            </w:r>
          </w:p>
        </w:tc>
        <w:tc>
          <w:tcPr>
            <w:tcW w:w="2496"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Índia</w:t>
            </w:r>
          </w:p>
        </w:tc>
        <w:tc>
          <w:tcPr>
            <w:tcW w:w="2007"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Níger</w:t>
            </w:r>
          </w:p>
        </w:tc>
        <w:tc>
          <w:tcPr>
            <w:tcW w:w="23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Tailândia</w:t>
            </w:r>
          </w:p>
        </w:tc>
      </w:tr>
      <w:tr w:rsidR="00D20D05" w:rsidRPr="00F47284" w:rsidTr="00315C01">
        <w:trPr>
          <w:cantSplit/>
          <w:trHeight w:val="355"/>
          <w:jc w:val="center"/>
        </w:trPr>
        <w:tc>
          <w:tcPr>
            <w:tcW w:w="21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Burkina Faso</w:t>
            </w:r>
          </w:p>
        </w:tc>
        <w:tc>
          <w:tcPr>
            <w:tcW w:w="2496"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Indonésia</w:t>
            </w:r>
          </w:p>
        </w:tc>
        <w:tc>
          <w:tcPr>
            <w:tcW w:w="2007"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Nigéria</w:t>
            </w:r>
          </w:p>
        </w:tc>
        <w:tc>
          <w:tcPr>
            <w:tcW w:w="23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Trinidad e Tobago</w:t>
            </w:r>
          </w:p>
        </w:tc>
      </w:tr>
      <w:tr w:rsidR="00D20D05" w:rsidRPr="00F47284" w:rsidTr="00315C01">
        <w:trPr>
          <w:cantSplit/>
          <w:trHeight w:val="355"/>
          <w:jc w:val="center"/>
        </w:trPr>
        <w:tc>
          <w:tcPr>
            <w:tcW w:w="21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Camboja</w:t>
            </w:r>
          </w:p>
        </w:tc>
        <w:tc>
          <w:tcPr>
            <w:tcW w:w="2496"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Irã, Rep.</w:t>
            </w:r>
          </w:p>
        </w:tc>
        <w:tc>
          <w:tcPr>
            <w:tcW w:w="2007"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Noruega</w:t>
            </w:r>
          </w:p>
        </w:tc>
        <w:tc>
          <w:tcPr>
            <w:tcW w:w="23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Tunísia</w:t>
            </w:r>
          </w:p>
        </w:tc>
      </w:tr>
      <w:tr w:rsidR="00D20D05" w:rsidRPr="00F47284" w:rsidTr="00315C01">
        <w:trPr>
          <w:cantSplit/>
          <w:trHeight w:val="355"/>
          <w:jc w:val="center"/>
        </w:trPr>
        <w:tc>
          <w:tcPr>
            <w:tcW w:w="21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Camarões</w:t>
            </w:r>
          </w:p>
        </w:tc>
        <w:tc>
          <w:tcPr>
            <w:tcW w:w="2496"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Irlanda</w:t>
            </w:r>
          </w:p>
        </w:tc>
        <w:tc>
          <w:tcPr>
            <w:tcW w:w="2007"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Omã</w:t>
            </w:r>
          </w:p>
        </w:tc>
        <w:tc>
          <w:tcPr>
            <w:tcW w:w="23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Peru</w:t>
            </w:r>
          </w:p>
        </w:tc>
      </w:tr>
      <w:tr w:rsidR="00D20D05" w:rsidRPr="00F47284" w:rsidTr="00315C01">
        <w:trPr>
          <w:cantSplit/>
          <w:trHeight w:val="355"/>
          <w:jc w:val="center"/>
        </w:trPr>
        <w:tc>
          <w:tcPr>
            <w:tcW w:w="21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Canadá</w:t>
            </w:r>
          </w:p>
        </w:tc>
        <w:tc>
          <w:tcPr>
            <w:tcW w:w="2496"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Israel</w:t>
            </w:r>
          </w:p>
        </w:tc>
        <w:tc>
          <w:tcPr>
            <w:tcW w:w="2007"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Paquistão</w:t>
            </w:r>
          </w:p>
        </w:tc>
        <w:tc>
          <w:tcPr>
            <w:tcW w:w="23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Uganda</w:t>
            </w:r>
          </w:p>
        </w:tc>
      </w:tr>
      <w:tr w:rsidR="00D20D05" w:rsidRPr="00F47284" w:rsidTr="00315C01">
        <w:trPr>
          <w:cantSplit/>
          <w:trHeight w:val="355"/>
          <w:jc w:val="center"/>
        </w:trPr>
        <w:tc>
          <w:tcPr>
            <w:tcW w:w="21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Chile</w:t>
            </w:r>
          </w:p>
        </w:tc>
        <w:tc>
          <w:tcPr>
            <w:tcW w:w="2496"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Itália</w:t>
            </w:r>
          </w:p>
        </w:tc>
        <w:tc>
          <w:tcPr>
            <w:tcW w:w="2007"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Panamá</w:t>
            </w:r>
          </w:p>
        </w:tc>
        <w:tc>
          <w:tcPr>
            <w:tcW w:w="23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Ucrânia</w:t>
            </w:r>
          </w:p>
        </w:tc>
      </w:tr>
      <w:tr w:rsidR="00D20D05" w:rsidRPr="00F47284" w:rsidTr="00315C01">
        <w:trPr>
          <w:cantSplit/>
          <w:trHeight w:val="355"/>
          <w:jc w:val="center"/>
        </w:trPr>
        <w:tc>
          <w:tcPr>
            <w:tcW w:w="21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China</w:t>
            </w:r>
          </w:p>
        </w:tc>
        <w:tc>
          <w:tcPr>
            <w:tcW w:w="2496"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Jamaica</w:t>
            </w:r>
          </w:p>
        </w:tc>
        <w:tc>
          <w:tcPr>
            <w:tcW w:w="2007"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Paraguai</w:t>
            </w:r>
          </w:p>
        </w:tc>
        <w:tc>
          <w:tcPr>
            <w:tcW w:w="23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Emirados Árabes Unidos</w:t>
            </w:r>
          </w:p>
        </w:tc>
      </w:tr>
      <w:tr w:rsidR="00D20D05" w:rsidRPr="00F47284" w:rsidTr="00315C01">
        <w:trPr>
          <w:cantSplit/>
          <w:trHeight w:val="355"/>
          <w:jc w:val="center"/>
        </w:trPr>
        <w:tc>
          <w:tcPr>
            <w:tcW w:w="21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Colômbia</w:t>
            </w:r>
          </w:p>
        </w:tc>
        <w:tc>
          <w:tcPr>
            <w:tcW w:w="2496"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Japão</w:t>
            </w:r>
          </w:p>
        </w:tc>
        <w:tc>
          <w:tcPr>
            <w:tcW w:w="2007"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Peru</w:t>
            </w:r>
          </w:p>
        </w:tc>
        <w:tc>
          <w:tcPr>
            <w:tcW w:w="23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Reino Unido</w:t>
            </w:r>
          </w:p>
        </w:tc>
      </w:tr>
      <w:tr w:rsidR="00D20D05" w:rsidRPr="00F47284" w:rsidTr="00315C01">
        <w:trPr>
          <w:cantSplit/>
          <w:trHeight w:val="355"/>
          <w:jc w:val="center"/>
        </w:trPr>
        <w:tc>
          <w:tcPr>
            <w:tcW w:w="21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Costa Rica</w:t>
            </w:r>
          </w:p>
        </w:tc>
        <w:tc>
          <w:tcPr>
            <w:tcW w:w="2496"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Jordânia</w:t>
            </w:r>
          </w:p>
        </w:tc>
        <w:tc>
          <w:tcPr>
            <w:tcW w:w="2007"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Filipinas</w:t>
            </w:r>
          </w:p>
        </w:tc>
        <w:tc>
          <w:tcPr>
            <w:tcW w:w="23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Estados Unidos</w:t>
            </w:r>
          </w:p>
        </w:tc>
      </w:tr>
      <w:tr w:rsidR="00D20D05" w:rsidRPr="00F47284" w:rsidTr="00315C01">
        <w:trPr>
          <w:cantSplit/>
          <w:trHeight w:val="355"/>
          <w:jc w:val="center"/>
        </w:trPr>
        <w:tc>
          <w:tcPr>
            <w:tcW w:w="21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Cote d'</w:t>
            </w:r>
            <w:proofErr w:type="spellStart"/>
            <w:r w:rsidRPr="00F47284">
              <w:rPr>
                <w:rFonts w:eastAsia="Times New Roman"/>
                <w:kern w:val="0"/>
                <w:sz w:val="24"/>
                <w:szCs w:val="24"/>
                <w:lang w:val="pt-BR" w:eastAsia="pt-BR"/>
              </w:rPr>
              <w:t>Ivoire</w:t>
            </w:r>
            <w:proofErr w:type="spellEnd"/>
          </w:p>
        </w:tc>
        <w:tc>
          <w:tcPr>
            <w:tcW w:w="2496"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Cazaquistão</w:t>
            </w:r>
          </w:p>
        </w:tc>
        <w:tc>
          <w:tcPr>
            <w:tcW w:w="2007"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Polônia</w:t>
            </w:r>
          </w:p>
        </w:tc>
        <w:tc>
          <w:tcPr>
            <w:tcW w:w="23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Uruguai</w:t>
            </w:r>
          </w:p>
        </w:tc>
      </w:tr>
      <w:tr w:rsidR="00D20D05" w:rsidRPr="00F47284" w:rsidTr="00315C01">
        <w:trPr>
          <w:cantSplit/>
          <w:trHeight w:val="355"/>
          <w:jc w:val="center"/>
        </w:trPr>
        <w:tc>
          <w:tcPr>
            <w:tcW w:w="21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Croácia</w:t>
            </w:r>
          </w:p>
        </w:tc>
        <w:tc>
          <w:tcPr>
            <w:tcW w:w="2496"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Quênia</w:t>
            </w:r>
          </w:p>
        </w:tc>
        <w:tc>
          <w:tcPr>
            <w:tcW w:w="2007"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Portugal</w:t>
            </w:r>
          </w:p>
        </w:tc>
        <w:tc>
          <w:tcPr>
            <w:tcW w:w="23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Venezuela</w:t>
            </w:r>
          </w:p>
        </w:tc>
      </w:tr>
      <w:tr w:rsidR="00D20D05" w:rsidRPr="00F47284" w:rsidTr="00315C01">
        <w:trPr>
          <w:cantSplit/>
          <w:trHeight w:val="355"/>
          <w:jc w:val="center"/>
        </w:trPr>
        <w:tc>
          <w:tcPr>
            <w:tcW w:w="21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Chipre</w:t>
            </w:r>
          </w:p>
        </w:tc>
        <w:tc>
          <w:tcPr>
            <w:tcW w:w="2496"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Coréia, Rep.</w:t>
            </w:r>
          </w:p>
        </w:tc>
        <w:tc>
          <w:tcPr>
            <w:tcW w:w="2007"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Catar</w:t>
            </w:r>
          </w:p>
        </w:tc>
        <w:tc>
          <w:tcPr>
            <w:tcW w:w="23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Vietnã</w:t>
            </w:r>
          </w:p>
        </w:tc>
      </w:tr>
      <w:tr w:rsidR="00D20D05" w:rsidRPr="00F47284" w:rsidTr="00315C01">
        <w:trPr>
          <w:cantSplit/>
          <w:trHeight w:val="355"/>
          <w:jc w:val="center"/>
        </w:trPr>
        <w:tc>
          <w:tcPr>
            <w:tcW w:w="21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República Checa</w:t>
            </w:r>
          </w:p>
        </w:tc>
        <w:tc>
          <w:tcPr>
            <w:tcW w:w="2496"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Kuwait</w:t>
            </w:r>
          </w:p>
        </w:tc>
        <w:tc>
          <w:tcPr>
            <w:tcW w:w="2007"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Roménia</w:t>
            </w:r>
          </w:p>
        </w:tc>
        <w:tc>
          <w:tcPr>
            <w:tcW w:w="23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Iêmen, Rep.</w:t>
            </w:r>
          </w:p>
        </w:tc>
      </w:tr>
      <w:tr w:rsidR="00D20D05" w:rsidRPr="00F47284" w:rsidTr="00315C01">
        <w:trPr>
          <w:cantSplit/>
          <w:trHeight w:val="355"/>
          <w:jc w:val="center"/>
        </w:trPr>
        <w:tc>
          <w:tcPr>
            <w:tcW w:w="21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Dinamarca</w:t>
            </w:r>
          </w:p>
        </w:tc>
        <w:tc>
          <w:tcPr>
            <w:tcW w:w="2496"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República do Quirguistão</w:t>
            </w:r>
          </w:p>
        </w:tc>
        <w:tc>
          <w:tcPr>
            <w:tcW w:w="2007"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Federação Russa</w:t>
            </w:r>
          </w:p>
        </w:tc>
        <w:tc>
          <w:tcPr>
            <w:tcW w:w="2381" w:type="dxa"/>
            <w:shd w:val="clear" w:color="auto" w:fill="auto"/>
            <w:noWrap/>
            <w:vAlign w:val="center"/>
            <w:hideMark/>
          </w:tcPr>
          <w:p w:rsidR="003050A4" w:rsidRPr="00F47284" w:rsidRDefault="003050A4"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Zâmbia</w:t>
            </w:r>
          </w:p>
        </w:tc>
      </w:tr>
      <w:tr w:rsidR="00315C01" w:rsidRPr="00F47284" w:rsidTr="00315C01">
        <w:trPr>
          <w:cantSplit/>
          <w:trHeight w:val="355"/>
          <w:jc w:val="center"/>
        </w:trPr>
        <w:tc>
          <w:tcPr>
            <w:tcW w:w="6685" w:type="dxa"/>
            <w:gridSpan w:val="3"/>
            <w:tcBorders>
              <w:left w:val="nil"/>
              <w:bottom w:val="nil"/>
            </w:tcBorders>
            <w:shd w:val="clear" w:color="auto" w:fill="auto"/>
            <w:noWrap/>
            <w:vAlign w:val="center"/>
            <w:hideMark/>
          </w:tcPr>
          <w:p w:rsidR="00150DFE" w:rsidRPr="00F47284" w:rsidRDefault="00150DFE" w:rsidP="003B78A3">
            <w:pPr>
              <w:widowControl/>
              <w:jc w:val="left"/>
              <w:rPr>
                <w:rFonts w:eastAsia="Times New Roman"/>
                <w:kern w:val="0"/>
                <w:sz w:val="24"/>
                <w:szCs w:val="24"/>
                <w:lang w:val="pt-BR" w:eastAsia="pt-BR"/>
              </w:rPr>
            </w:pPr>
          </w:p>
        </w:tc>
        <w:tc>
          <w:tcPr>
            <w:tcW w:w="2381" w:type="dxa"/>
            <w:tcBorders>
              <w:bottom w:val="single" w:sz="2" w:space="0" w:color="auto"/>
            </w:tcBorders>
            <w:shd w:val="clear" w:color="auto" w:fill="auto"/>
            <w:noWrap/>
            <w:vAlign w:val="center"/>
            <w:hideMark/>
          </w:tcPr>
          <w:p w:rsidR="00150DFE" w:rsidRPr="00F47284" w:rsidRDefault="00150DFE" w:rsidP="003B78A3">
            <w:pPr>
              <w:widowControl/>
              <w:jc w:val="left"/>
              <w:rPr>
                <w:rFonts w:eastAsia="Times New Roman"/>
                <w:kern w:val="0"/>
                <w:sz w:val="24"/>
                <w:szCs w:val="24"/>
                <w:lang w:val="pt-BR" w:eastAsia="pt-BR"/>
              </w:rPr>
            </w:pPr>
            <w:r w:rsidRPr="00F47284">
              <w:rPr>
                <w:rFonts w:eastAsia="Times New Roman"/>
                <w:kern w:val="0"/>
                <w:sz w:val="24"/>
                <w:szCs w:val="24"/>
                <w:lang w:val="pt-BR" w:eastAsia="pt-BR"/>
              </w:rPr>
              <w:t>Zimbábue</w:t>
            </w:r>
          </w:p>
        </w:tc>
      </w:tr>
    </w:tbl>
    <w:p w:rsidR="0098042B" w:rsidRPr="00F47284" w:rsidRDefault="0098042B" w:rsidP="003B78A3">
      <w:pPr>
        <w:pStyle w:val="reference1"/>
        <w:spacing w:line="240" w:lineRule="auto"/>
        <w:ind w:left="0" w:firstLineChars="0" w:firstLine="0"/>
        <w:rPr>
          <w:b/>
          <w:sz w:val="24"/>
          <w:szCs w:val="24"/>
          <w:lang w:val="pt-BR"/>
        </w:rPr>
      </w:pPr>
    </w:p>
    <w:p w:rsidR="0022530D" w:rsidRDefault="0022530D" w:rsidP="003B78A3">
      <w:pPr>
        <w:pStyle w:val="reference1"/>
        <w:spacing w:line="240" w:lineRule="auto"/>
        <w:ind w:left="480" w:hanging="480"/>
        <w:rPr>
          <w:b/>
          <w:sz w:val="24"/>
          <w:szCs w:val="24"/>
          <w:lang w:val="pt-BR"/>
        </w:rPr>
      </w:pPr>
    </w:p>
    <w:p w:rsidR="0022530D" w:rsidRDefault="0022530D" w:rsidP="003B78A3">
      <w:pPr>
        <w:pStyle w:val="reference1"/>
        <w:spacing w:line="240" w:lineRule="auto"/>
        <w:ind w:left="480" w:hanging="480"/>
        <w:rPr>
          <w:b/>
          <w:sz w:val="24"/>
          <w:szCs w:val="24"/>
          <w:lang w:val="pt-BR"/>
        </w:rPr>
      </w:pPr>
    </w:p>
    <w:p w:rsidR="0022530D" w:rsidRDefault="0022530D" w:rsidP="003B78A3">
      <w:pPr>
        <w:pStyle w:val="reference1"/>
        <w:spacing w:line="240" w:lineRule="auto"/>
        <w:ind w:left="480" w:hanging="480"/>
        <w:rPr>
          <w:b/>
          <w:sz w:val="24"/>
          <w:szCs w:val="24"/>
          <w:lang w:val="pt-BR"/>
        </w:rPr>
      </w:pPr>
    </w:p>
    <w:p w:rsidR="00BB7818" w:rsidRDefault="00BB7818" w:rsidP="003B78A3">
      <w:pPr>
        <w:pStyle w:val="reference1"/>
        <w:spacing w:line="240" w:lineRule="auto"/>
        <w:ind w:left="480" w:hanging="480"/>
        <w:rPr>
          <w:b/>
          <w:sz w:val="24"/>
          <w:szCs w:val="24"/>
          <w:lang w:val="pt-BR"/>
        </w:rPr>
      </w:pPr>
      <w:r w:rsidRPr="00F47284">
        <w:rPr>
          <w:b/>
          <w:sz w:val="24"/>
          <w:szCs w:val="24"/>
          <w:lang w:val="pt-BR"/>
        </w:rPr>
        <w:t>R</w:t>
      </w:r>
      <w:r w:rsidR="00F47284" w:rsidRPr="00F47284">
        <w:rPr>
          <w:b/>
          <w:sz w:val="24"/>
          <w:szCs w:val="24"/>
          <w:lang w:val="pt-BR"/>
        </w:rPr>
        <w:t>eferências</w:t>
      </w:r>
      <w:r w:rsidR="00C2502F" w:rsidRPr="00F47284">
        <w:rPr>
          <w:b/>
          <w:sz w:val="24"/>
          <w:szCs w:val="24"/>
          <w:lang w:val="pt-BR"/>
        </w:rPr>
        <w:t>:</w:t>
      </w:r>
    </w:p>
    <w:p w:rsidR="0022530D" w:rsidRPr="00F47284" w:rsidRDefault="0022530D" w:rsidP="003B78A3">
      <w:pPr>
        <w:pStyle w:val="reference1"/>
        <w:spacing w:line="240" w:lineRule="auto"/>
        <w:ind w:left="480" w:hanging="480"/>
        <w:rPr>
          <w:b/>
          <w:sz w:val="24"/>
          <w:szCs w:val="24"/>
          <w:lang w:val="pt-BR"/>
        </w:rPr>
      </w:pPr>
    </w:p>
    <w:p w:rsidR="00B41B09" w:rsidRPr="0022530D" w:rsidRDefault="00B41B09" w:rsidP="0022530D">
      <w:pPr>
        <w:widowControl/>
        <w:spacing w:line="276" w:lineRule="auto"/>
        <w:ind w:left="284" w:hanging="284"/>
        <w:rPr>
          <w:rFonts w:eastAsia="Times New Roman"/>
          <w:kern w:val="0"/>
          <w:sz w:val="22"/>
          <w:szCs w:val="24"/>
          <w:lang w:val="pt-BR" w:eastAsia="pt-BR"/>
        </w:rPr>
      </w:pPr>
      <w:proofErr w:type="spellStart"/>
      <w:r w:rsidRPr="0022530D">
        <w:rPr>
          <w:rFonts w:eastAsia="Times New Roman"/>
          <w:kern w:val="0"/>
          <w:sz w:val="22"/>
          <w:szCs w:val="24"/>
          <w:lang w:val="pt-BR" w:eastAsia="pt-BR"/>
        </w:rPr>
        <w:t>Acemolgu</w:t>
      </w:r>
      <w:proofErr w:type="spellEnd"/>
      <w:r w:rsidRPr="0022530D">
        <w:rPr>
          <w:rFonts w:eastAsia="Times New Roman"/>
          <w:kern w:val="0"/>
          <w:sz w:val="22"/>
          <w:szCs w:val="24"/>
          <w:lang w:val="pt-BR" w:eastAsia="pt-BR"/>
        </w:rPr>
        <w:t xml:space="preserve">, D., Johnson, S. &amp; Robinson, A. (2001). The colonial </w:t>
      </w:r>
      <w:proofErr w:type="spellStart"/>
      <w:r w:rsidRPr="0022530D">
        <w:rPr>
          <w:rFonts w:eastAsia="Times New Roman"/>
          <w:kern w:val="0"/>
          <w:sz w:val="22"/>
          <w:szCs w:val="24"/>
          <w:lang w:val="pt-BR" w:eastAsia="pt-BR"/>
        </w:rPr>
        <w:t>origins</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of</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comparative</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development</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an</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empirical</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investigation</w:t>
      </w:r>
      <w:proofErr w:type="spellEnd"/>
      <w:r w:rsidRPr="0022530D">
        <w:rPr>
          <w:rFonts w:eastAsia="Times New Roman"/>
          <w:kern w:val="0"/>
          <w:sz w:val="22"/>
          <w:szCs w:val="24"/>
          <w:lang w:val="pt-BR" w:eastAsia="pt-BR"/>
        </w:rPr>
        <w:t xml:space="preserve">. </w:t>
      </w:r>
      <w:r w:rsidRPr="0022530D">
        <w:rPr>
          <w:rFonts w:eastAsia="Times New Roman"/>
          <w:i/>
          <w:iCs/>
          <w:kern w:val="0"/>
          <w:sz w:val="22"/>
          <w:szCs w:val="24"/>
          <w:lang w:val="pt-BR" w:eastAsia="pt-BR"/>
        </w:rPr>
        <w:t xml:space="preserve">American </w:t>
      </w:r>
      <w:proofErr w:type="spellStart"/>
      <w:r w:rsidRPr="0022530D">
        <w:rPr>
          <w:rFonts w:eastAsia="Times New Roman"/>
          <w:i/>
          <w:iCs/>
          <w:kern w:val="0"/>
          <w:sz w:val="22"/>
          <w:szCs w:val="24"/>
          <w:lang w:val="pt-BR" w:eastAsia="pt-BR"/>
        </w:rPr>
        <w:t>Economic</w:t>
      </w:r>
      <w:proofErr w:type="spellEnd"/>
      <w:r w:rsidRPr="0022530D">
        <w:rPr>
          <w:rFonts w:eastAsia="Times New Roman"/>
          <w:i/>
          <w:iCs/>
          <w:kern w:val="0"/>
          <w:sz w:val="22"/>
          <w:szCs w:val="24"/>
          <w:lang w:val="pt-BR" w:eastAsia="pt-BR"/>
        </w:rPr>
        <w:t xml:space="preserve"> </w:t>
      </w:r>
      <w:proofErr w:type="spellStart"/>
      <w:r w:rsidRPr="0022530D">
        <w:rPr>
          <w:rFonts w:eastAsia="Times New Roman"/>
          <w:i/>
          <w:iCs/>
          <w:kern w:val="0"/>
          <w:sz w:val="22"/>
          <w:szCs w:val="24"/>
          <w:lang w:val="pt-BR" w:eastAsia="pt-BR"/>
        </w:rPr>
        <w:t>Review</w:t>
      </w:r>
      <w:proofErr w:type="spellEnd"/>
      <w:r w:rsidRPr="0022530D">
        <w:rPr>
          <w:rFonts w:eastAsia="Times New Roman"/>
          <w:i/>
          <w:iCs/>
          <w:kern w:val="0"/>
          <w:sz w:val="22"/>
          <w:szCs w:val="24"/>
          <w:lang w:val="pt-BR" w:eastAsia="pt-BR"/>
        </w:rPr>
        <w:t>,</w:t>
      </w:r>
      <w:r w:rsidRPr="0022530D">
        <w:rPr>
          <w:rFonts w:eastAsia="Times New Roman"/>
          <w:kern w:val="0"/>
          <w:sz w:val="22"/>
          <w:szCs w:val="24"/>
          <w:lang w:val="pt-BR" w:eastAsia="pt-BR"/>
        </w:rPr>
        <w:t xml:space="preserve"> </w:t>
      </w:r>
      <w:r w:rsidRPr="0022530D">
        <w:rPr>
          <w:rFonts w:eastAsia="Times New Roman"/>
          <w:i/>
          <w:iCs/>
          <w:kern w:val="0"/>
          <w:sz w:val="22"/>
          <w:szCs w:val="24"/>
          <w:lang w:val="pt-BR" w:eastAsia="pt-BR"/>
        </w:rPr>
        <w:t>91</w:t>
      </w:r>
      <w:r w:rsidRPr="0022530D">
        <w:rPr>
          <w:rFonts w:eastAsia="Times New Roman"/>
          <w:kern w:val="0"/>
          <w:sz w:val="22"/>
          <w:szCs w:val="24"/>
          <w:lang w:val="pt-BR" w:eastAsia="pt-BR"/>
        </w:rPr>
        <w:t>(5), pp. 1367-1401, 2001.</w:t>
      </w:r>
    </w:p>
    <w:p w:rsidR="00980022" w:rsidRPr="0022530D" w:rsidRDefault="00980022" w:rsidP="0022530D">
      <w:pPr>
        <w:spacing w:line="276" w:lineRule="auto"/>
        <w:ind w:left="284" w:hanging="284"/>
        <w:rPr>
          <w:sz w:val="22"/>
          <w:szCs w:val="24"/>
        </w:rPr>
      </w:pPr>
      <w:r w:rsidRPr="0022530D">
        <w:rPr>
          <w:color w:val="131413"/>
          <w:sz w:val="22"/>
          <w:szCs w:val="24"/>
        </w:rPr>
        <w:t xml:space="preserve">Ali, F. A.; </w:t>
      </w:r>
      <w:proofErr w:type="spellStart"/>
      <w:r w:rsidRPr="0022530D">
        <w:rPr>
          <w:color w:val="131413"/>
          <w:sz w:val="22"/>
          <w:szCs w:val="24"/>
        </w:rPr>
        <w:t>Fiess</w:t>
      </w:r>
      <w:proofErr w:type="spellEnd"/>
      <w:r w:rsidRPr="0022530D">
        <w:rPr>
          <w:color w:val="131413"/>
          <w:sz w:val="22"/>
          <w:szCs w:val="24"/>
        </w:rPr>
        <w:t xml:space="preserve">, N. &amp; MacDonald, R. Do Institutions Matter for Foreign Direct Investment? </w:t>
      </w:r>
      <w:r w:rsidRPr="0022530D">
        <w:rPr>
          <w:i/>
          <w:color w:val="131413"/>
          <w:sz w:val="22"/>
          <w:szCs w:val="24"/>
        </w:rPr>
        <w:t>Open Economies</w:t>
      </w:r>
      <w:r w:rsidRPr="0022530D">
        <w:rPr>
          <w:color w:val="131413"/>
          <w:sz w:val="22"/>
          <w:szCs w:val="24"/>
        </w:rPr>
        <w:t xml:space="preserve"> Review, 21, pp. 201–219</w:t>
      </w:r>
    </w:p>
    <w:p w:rsidR="00B41B09" w:rsidRPr="0022530D" w:rsidRDefault="00B41B09" w:rsidP="0022530D">
      <w:pPr>
        <w:widowControl/>
        <w:spacing w:line="276" w:lineRule="auto"/>
        <w:ind w:left="284" w:hanging="284"/>
        <w:rPr>
          <w:rFonts w:eastAsia="Times New Roman"/>
          <w:kern w:val="0"/>
          <w:sz w:val="22"/>
          <w:szCs w:val="24"/>
          <w:lang w:val="pt-BR" w:eastAsia="pt-BR"/>
        </w:rPr>
      </w:pPr>
      <w:proofErr w:type="spellStart"/>
      <w:r w:rsidRPr="0022530D">
        <w:rPr>
          <w:rFonts w:eastAsia="Times New Roman"/>
          <w:kern w:val="0"/>
          <w:sz w:val="22"/>
          <w:szCs w:val="24"/>
          <w:lang w:val="pt-BR" w:eastAsia="pt-BR"/>
        </w:rPr>
        <w:t>Amal</w:t>
      </w:r>
      <w:proofErr w:type="spellEnd"/>
      <w:r w:rsidRPr="0022530D">
        <w:rPr>
          <w:rFonts w:eastAsia="Times New Roman"/>
          <w:kern w:val="0"/>
          <w:sz w:val="22"/>
          <w:szCs w:val="24"/>
          <w:lang w:val="pt-BR" w:eastAsia="pt-BR"/>
        </w:rPr>
        <w:t xml:space="preserve">, M. &amp; Seabra, F. (2007). Determinantes do Investimento Direto Externo (IDE) na América Latina: Uma Perspectiva Institucional. </w:t>
      </w:r>
      <w:r w:rsidRPr="0022530D">
        <w:rPr>
          <w:rFonts w:eastAsia="Times New Roman"/>
          <w:i/>
          <w:iCs/>
          <w:kern w:val="0"/>
          <w:sz w:val="22"/>
          <w:szCs w:val="24"/>
          <w:lang w:val="pt-BR" w:eastAsia="pt-BR"/>
        </w:rPr>
        <w:t>Revista Economia,</w:t>
      </w:r>
      <w:r w:rsidRPr="0022530D">
        <w:rPr>
          <w:rFonts w:eastAsia="Times New Roman"/>
          <w:kern w:val="0"/>
          <w:sz w:val="22"/>
          <w:szCs w:val="24"/>
          <w:lang w:val="pt-BR" w:eastAsia="pt-BR"/>
        </w:rPr>
        <w:t xml:space="preserve"> </w:t>
      </w:r>
      <w:r w:rsidRPr="0022530D">
        <w:rPr>
          <w:rFonts w:eastAsia="Times New Roman"/>
          <w:i/>
          <w:iCs/>
          <w:kern w:val="0"/>
          <w:sz w:val="22"/>
          <w:szCs w:val="24"/>
          <w:lang w:val="pt-BR" w:eastAsia="pt-BR"/>
        </w:rPr>
        <w:t>8(</w:t>
      </w:r>
      <w:r w:rsidRPr="0022530D">
        <w:rPr>
          <w:rFonts w:eastAsia="Times New Roman"/>
          <w:kern w:val="0"/>
          <w:sz w:val="22"/>
          <w:szCs w:val="24"/>
          <w:lang w:val="pt-BR" w:eastAsia="pt-BR"/>
        </w:rPr>
        <w:t>2), pp. 231-247.</w:t>
      </w:r>
    </w:p>
    <w:p w:rsidR="00B41B09" w:rsidRPr="0022530D" w:rsidRDefault="00B41B09" w:rsidP="0022530D">
      <w:pPr>
        <w:widowControl/>
        <w:spacing w:line="276" w:lineRule="auto"/>
        <w:ind w:left="284" w:hanging="284"/>
        <w:rPr>
          <w:rFonts w:eastAsia="Times New Roman"/>
          <w:kern w:val="0"/>
          <w:sz w:val="22"/>
          <w:szCs w:val="24"/>
          <w:lang w:val="pt-BR" w:eastAsia="pt-BR"/>
        </w:rPr>
      </w:pPr>
      <w:proofErr w:type="spellStart"/>
      <w:r w:rsidRPr="0022530D">
        <w:rPr>
          <w:rFonts w:eastAsia="Times New Roman"/>
          <w:kern w:val="0"/>
          <w:sz w:val="22"/>
          <w:szCs w:val="24"/>
          <w:lang w:val="pt-BR" w:eastAsia="pt-BR"/>
        </w:rPr>
        <w:t>Arend</w:t>
      </w:r>
      <w:proofErr w:type="spellEnd"/>
      <w:r w:rsidRPr="0022530D">
        <w:rPr>
          <w:rFonts w:eastAsia="Times New Roman"/>
          <w:kern w:val="0"/>
          <w:sz w:val="22"/>
          <w:szCs w:val="24"/>
          <w:lang w:val="pt-BR" w:eastAsia="pt-BR"/>
        </w:rPr>
        <w:t xml:space="preserve">, M., Cario, S. A. F. &amp; </w:t>
      </w:r>
      <w:proofErr w:type="spellStart"/>
      <w:r w:rsidRPr="0022530D">
        <w:rPr>
          <w:rFonts w:eastAsia="Times New Roman"/>
          <w:kern w:val="0"/>
          <w:sz w:val="22"/>
          <w:szCs w:val="24"/>
          <w:lang w:val="pt-BR" w:eastAsia="pt-BR"/>
        </w:rPr>
        <w:t>Enderle</w:t>
      </w:r>
      <w:proofErr w:type="spellEnd"/>
      <w:r w:rsidRPr="0022530D">
        <w:rPr>
          <w:rFonts w:eastAsia="Times New Roman"/>
          <w:kern w:val="0"/>
          <w:sz w:val="22"/>
          <w:szCs w:val="24"/>
          <w:lang w:val="pt-BR" w:eastAsia="pt-BR"/>
        </w:rPr>
        <w:t>, R. A. (2012). Instituições, inovações e desenvolvimento econômico.</w:t>
      </w:r>
      <w:r w:rsidRPr="0022530D">
        <w:rPr>
          <w:rFonts w:eastAsia="Times New Roman"/>
          <w:b/>
          <w:bCs/>
          <w:kern w:val="0"/>
          <w:sz w:val="22"/>
          <w:szCs w:val="24"/>
          <w:lang w:val="pt-BR" w:eastAsia="pt-BR"/>
        </w:rPr>
        <w:t xml:space="preserve"> </w:t>
      </w:r>
      <w:r w:rsidRPr="0022530D">
        <w:rPr>
          <w:rFonts w:eastAsia="Times New Roman"/>
          <w:i/>
          <w:iCs/>
          <w:kern w:val="0"/>
          <w:sz w:val="22"/>
          <w:szCs w:val="24"/>
          <w:lang w:val="pt-BR" w:eastAsia="pt-BR"/>
        </w:rPr>
        <w:t>Pesquisa &amp; Debate</w:t>
      </w:r>
      <w:r w:rsidRPr="0022530D">
        <w:rPr>
          <w:rFonts w:eastAsia="Times New Roman"/>
          <w:kern w:val="0"/>
          <w:sz w:val="22"/>
          <w:szCs w:val="24"/>
          <w:lang w:val="pt-BR" w:eastAsia="pt-BR"/>
        </w:rPr>
        <w:t>,</w:t>
      </w:r>
      <w:r w:rsidRPr="0022530D">
        <w:rPr>
          <w:rFonts w:eastAsia="Times New Roman"/>
          <w:i/>
          <w:iCs/>
          <w:kern w:val="0"/>
          <w:sz w:val="22"/>
          <w:szCs w:val="24"/>
          <w:lang w:val="pt-BR" w:eastAsia="pt-BR"/>
        </w:rPr>
        <w:t xml:space="preserve"> 23</w:t>
      </w:r>
      <w:r w:rsidRPr="0022530D">
        <w:rPr>
          <w:rFonts w:eastAsia="Times New Roman"/>
          <w:kern w:val="0"/>
          <w:sz w:val="22"/>
          <w:szCs w:val="24"/>
          <w:lang w:val="pt-BR" w:eastAsia="pt-BR"/>
        </w:rPr>
        <w:t>(1), pp. 110-133.</w:t>
      </w:r>
    </w:p>
    <w:p w:rsidR="00B41B09" w:rsidRPr="0022530D" w:rsidRDefault="00B41B09" w:rsidP="0022530D">
      <w:pPr>
        <w:widowControl/>
        <w:spacing w:line="276" w:lineRule="auto"/>
        <w:ind w:left="284" w:hanging="284"/>
        <w:rPr>
          <w:rFonts w:eastAsia="Times New Roman"/>
          <w:kern w:val="0"/>
          <w:sz w:val="22"/>
          <w:szCs w:val="24"/>
          <w:lang w:val="pt-BR" w:eastAsia="pt-BR"/>
        </w:rPr>
      </w:pPr>
      <w:r w:rsidRPr="0022530D">
        <w:rPr>
          <w:rFonts w:eastAsia="Times New Roman"/>
          <w:kern w:val="0"/>
          <w:sz w:val="22"/>
          <w:szCs w:val="24"/>
          <w:lang w:val="pt-BR" w:eastAsia="pt-BR"/>
        </w:rPr>
        <w:t xml:space="preserve">Barro, R. J. &amp; </w:t>
      </w:r>
      <w:proofErr w:type="spellStart"/>
      <w:r w:rsidRPr="0022530D">
        <w:rPr>
          <w:rFonts w:eastAsia="Times New Roman"/>
          <w:kern w:val="0"/>
          <w:sz w:val="22"/>
          <w:szCs w:val="24"/>
          <w:lang w:val="pt-BR" w:eastAsia="pt-BR"/>
        </w:rPr>
        <w:t>McCleary</w:t>
      </w:r>
      <w:proofErr w:type="spellEnd"/>
      <w:r w:rsidRPr="0022530D">
        <w:rPr>
          <w:rFonts w:eastAsia="Times New Roman"/>
          <w:kern w:val="0"/>
          <w:sz w:val="22"/>
          <w:szCs w:val="24"/>
          <w:lang w:val="pt-BR" w:eastAsia="pt-BR"/>
        </w:rPr>
        <w:t xml:space="preserve">, R. M. (2003). </w:t>
      </w:r>
      <w:proofErr w:type="spellStart"/>
      <w:r w:rsidRPr="0022530D">
        <w:rPr>
          <w:rFonts w:eastAsia="Times New Roman"/>
          <w:kern w:val="0"/>
          <w:sz w:val="22"/>
          <w:szCs w:val="24"/>
          <w:lang w:val="pt-BR" w:eastAsia="pt-BR"/>
        </w:rPr>
        <w:t>Religion</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and</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economic</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growth</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across</w:t>
      </w:r>
      <w:proofErr w:type="spellEnd"/>
      <w:r w:rsidRPr="0022530D">
        <w:rPr>
          <w:rFonts w:eastAsia="Times New Roman"/>
          <w:kern w:val="0"/>
          <w:sz w:val="22"/>
          <w:szCs w:val="24"/>
          <w:lang w:val="pt-BR" w:eastAsia="pt-BR"/>
        </w:rPr>
        <w:t xml:space="preserve"> countries. </w:t>
      </w:r>
      <w:r w:rsidRPr="0022530D">
        <w:rPr>
          <w:rFonts w:eastAsia="Times New Roman"/>
          <w:i/>
          <w:iCs/>
          <w:kern w:val="0"/>
          <w:sz w:val="22"/>
          <w:szCs w:val="24"/>
          <w:lang w:val="pt-BR" w:eastAsia="pt-BR"/>
        </w:rPr>
        <w:t xml:space="preserve">American </w:t>
      </w:r>
      <w:proofErr w:type="spellStart"/>
      <w:r w:rsidRPr="0022530D">
        <w:rPr>
          <w:rFonts w:eastAsia="Times New Roman"/>
          <w:i/>
          <w:iCs/>
          <w:kern w:val="0"/>
          <w:sz w:val="22"/>
          <w:szCs w:val="24"/>
          <w:lang w:val="pt-BR" w:eastAsia="pt-BR"/>
        </w:rPr>
        <w:t>Sociological</w:t>
      </w:r>
      <w:proofErr w:type="spellEnd"/>
      <w:r w:rsidRPr="0022530D">
        <w:rPr>
          <w:rFonts w:eastAsia="Times New Roman"/>
          <w:i/>
          <w:iCs/>
          <w:kern w:val="0"/>
          <w:sz w:val="22"/>
          <w:szCs w:val="24"/>
          <w:lang w:val="pt-BR" w:eastAsia="pt-BR"/>
        </w:rPr>
        <w:t xml:space="preserve"> </w:t>
      </w:r>
      <w:proofErr w:type="spellStart"/>
      <w:r w:rsidRPr="0022530D">
        <w:rPr>
          <w:rFonts w:eastAsia="Times New Roman"/>
          <w:i/>
          <w:iCs/>
          <w:kern w:val="0"/>
          <w:sz w:val="22"/>
          <w:szCs w:val="24"/>
          <w:lang w:val="pt-BR" w:eastAsia="pt-BR"/>
        </w:rPr>
        <w:t>Review</w:t>
      </w:r>
      <w:proofErr w:type="spellEnd"/>
      <w:r w:rsidRPr="0022530D">
        <w:rPr>
          <w:rFonts w:eastAsia="Times New Roman"/>
          <w:i/>
          <w:iCs/>
          <w:kern w:val="0"/>
          <w:sz w:val="22"/>
          <w:szCs w:val="24"/>
          <w:lang w:val="pt-BR" w:eastAsia="pt-BR"/>
        </w:rPr>
        <w:t>, 68(</w:t>
      </w:r>
      <w:r w:rsidRPr="0022530D">
        <w:rPr>
          <w:rFonts w:eastAsia="Times New Roman"/>
          <w:kern w:val="0"/>
          <w:sz w:val="22"/>
          <w:szCs w:val="24"/>
          <w:lang w:val="pt-BR" w:eastAsia="pt-BR"/>
        </w:rPr>
        <w:t>5), pp. 760-781.</w:t>
      </w:r>
    </w:p>
    <w:p w:rsidR="00B41B09" w:rsidRPr="0022530D" w:rsidRDefault="00B41B09" w:rsidP="0022530D">
      <w:pPr>
        <w:widowControl/>
        <w:spacing w:line="276" w:lineRule="auto"/>
        <w:ind w:left="284" w:hanging="284"/>
        <w:rPr>
          <w:rFonts w:eastAsia="Times New Roman"/>
          <w:kern w:val="0"/>
          <w:sz w:val="22"/>
          <w:szCs w:val="24"/>
          <w:lang w:val="pt-BR" w:eastAsia="pt-BR"/>
        </w:rPr>
      </w:pPr>
      <w:proofErr w:type="spellStart"/>
      <w:r w:rsidRPr="0022530D">
        <w:rPr>
          <w:rFonts w:eastAsia="Times New Roman"/>
          <w:kern w:val="0"/>
          <w:sz w:val="22"/>
          <w:szCs w:val="24"/>
          <w:lang w:val="pt-BR" w:eastAsia="pt-BR"/>
        </w:rPr>
        <w:t>Bengoa</w:t>
      </w:r>
      <w:proofErr w:type="spellEnd"/>
      <w:r w:rsidRPr="0022530D">
        <w:rPr>
          <w:rFonts w:eastAsia="Times New Roman"/>
          <w:kern w:val="0"/>
          <w:sz w:val="22"/>
          <w:szCs w:val="24"/>
          <w:lang w:val="pt-BR" w:eastAsia="pt-BR"/>
        </w:rPr>
        <w:t>, M. &amp; Sanchez-</w:t>
      </w:r>
      <w:proofErr w:type="spellStart"/>
      <w:r w:rsidRPr="0022530D">
        <w:rPr>
          <w:rFonts w:eastAsia="Times New Roman"/>
          <w:kern w:val="0"/>
          <w:sz w:val="22"/>
          <w:szCs w:val="24"/>
          <w:lang w:val="pt-BR" w:eastAsia="pt-BR"/>
        </w:rPr>
        <w:t>Robless</w:t>
      </w:r>
      <w:proofErr w:type="spellEnd"/>
      <w:r w:rsidRPr="0022530D">
        <w:rPr>
          <w:rFonts w:eastAsia="Times New Roman"/>
          <w:kern w:val="0"/>
          <w:sz w:val="22"/>
          <w:szCs w:val="24"/>
          <w:lang w:val="pt-BR" w:eastAsia="pt-BR"/>
        </w:rPr>
        <w:t xml:space="preserve">, B. (2003). </w:t>
      </w:r>
      <w:proofErr w:type="spellStart"/>
      <w:r w:rsidRPr="0022530D">
        <w:rPr>
          <w:rFonts w:eastAsia="Times New Roman"/>
          <w:kern w:val="0"/>
          <w:sz w:val="22"/>
          <w:szCs w:val="24"/>
          <w:lang w:val="pt-BR" w:eastAsia="pt-BR"/>
        </w:rPr>
        <w:t>Foreign</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direct</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investment</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economic</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freedom</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and</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growth</w:t>
      </w:r>
      <w:proofErr w:type="spellEnd"/>
      <w:r w:rsidRPr="0022530D">
        <w:rPr>
          <w:rFonts w:eastAsia="Times New Roman"/>
          <w:kern w:val="0"/>
          <w:sz w:val="22"/>
          <w:szCs w:val="24"/>
          <w:lang w:val="pt-BR" w:eastAsia="pt-BR"/>
        </w:rPr>
        <w:t xml:space="preserve">: new </w:t>
      </w:r>
      <w:proofErr w:type="spellStart"/>
      <w:r w:rsidRPr="0022530D">
        <w:rPr>
          <w:rFonts w:eastAsia="Times New Roman"/>
          <w:kern w:val="0"/>
          <w:sz w:val="22"/>
          <w:szCs w:val="24"/>
          <w:lang w:val="pt-BR" w:eastAsia="pt-BR"/>
        </w:rPr>
        <w:t>evidence</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from</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Latin</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America</w:t>
      </w:r>
      <w:proofErr w:type="spellEnd"/>
      <w:r w:rsidRPr="0022530D">
        <w:rPr>
          <w:rFonts w:eastAsia="Times New Roman"/>
          <w:kern w:val="0"/>
          <w:sz w:val="22"/>
          <w:szCs w:val="24"/>
          <w:lang w:val="pt-BR" w:eastAsia="pt-BR"/>
        </w:rPr>
        <w:t xml:space="preserve">. </w:t>
      </w:r>
      <w:proofErr w:type="spellStart"/>
      <w:r w:rsidRPr="0022530D">
        <w:rPr>
          <w:rFonts w:eastAsia="Times New Roman"/>
          <w:i/>
          <w:iCs/>
          <w:kern w:val="0"/>
          <w:sz w:val="22"/>
          <w:szCs w:val="24"/>
          <w:lang w:val="pt-BR" w:eastAsia="pt-BR"/>
        </w:rPr>
        <w:t>European</w:t>
      </w:r>
      <w:proofErr w:type="spellEnd"/>
      <w:r w:rsidRPr="0022530D">
        <w:rPr>
          <w:rFonts w:eastAsia="Times New Roman"/>
          <w:i/>
          <w:iCs/>
          <w:kern w:val="0"/>
          <w:sz w:val="22"/>
          <w:szCs w:val="24"/>
          <w:lang w:val="pt-BR" w:eastAsia="pt-BR"/>
        </w:rPr>
        <w:t xml:space="preserve"> </w:t>
      </w:r>
      <w:proofErr w:type="spellStart"/>
      <w:r w:rsidRPr="0022530D">
        <w:rPr>
          <w:rFonts w:eastAsia="Times New Roman"/>
          <w:i/>
          <w:iCs/>
          <w:kern w:val="0"/>
          <w:sz w:val="22"/>
          <w:szCs w:val="24"/>
          <w:lang w:val="pt-BR" w:eastAsia="pt-BR"/>
        </w:rPr>
        <w:t>Journal</w:t>
      </w:r>
      <w:proofErr w:type="spellEnd"/>
      <w:r w:rsidRPr="0022530D">
        <w:rPr>
          <w:rFonts w:eastAsia="Times New Roman"/>
          <w:i/>
          <w:iCs/>
          <w:kern w:val="0"/>
          <w:sz w:val="22"/>
          <w:szCs w:val="24"/>
          <w:lang w:val="pt-BR" w:eastAsia="pt-BR"/>
        </w:rPr>
        <w:t xml:space="preserve"> </w:t>
      </w:r>
      <w:proofErr w:type="spellStart"/>
      <w:r w:rsidRPr="0022530D">
        <w:rPr>
          <w:rFonts w:eastAsia="Times New Roman"/>
          <w:i/>
          <w:iCs/>
          <w:kern w:val="0"/>
          <w:sz w:val="22"/>
          <w:szCs w:val="24"/>
          <w:lang w:val="pt-BR" w:eastAsia="pt-BR"/>
        </w:rPr>
        <w:t>of</w:t>
      </w:r>
      <w:proofErr w:type="spellEnd"/>
      <w:r w:rsidRPr="0022530D">
        <w:rPr>
          <w:rFonts w:eastAsia="Times New Roman"/>
          <w:i/>
          <w:iCs/>
          <w:kern w:val="0"/>
          <w:sz w:val="22"/>
          <w:szCs w:val="24"/>
          <w:lang w:val="pt-BR" w:eastAsia="pt-BR"/>
        </w:rPr>
        <w:t xml:space="preserve"> </w:t>
      </w:r>
      <w:proofErr w:type="spellStart"/>
      <w:r w:rsidRPr="0022530D">
        <w:rPr>
          <w:rFonts w:eastAsia="Times New Roman"/>
          <w:i/>
          <w:iCs/>
          <w:kern w:val="0"/>
          <w:sz w:val="22"/>
          <w:szCs w:val="24"/>
          <w:lang w:val="pt-BR" w:eastAsia="pt-BR"/>
        </w:rPr>
        <w:t>Political</w:t>
      </w:r>
      <w:proofErr w:type="spellEnd"/>
      <w:r w:rsidRPr="0022530D">
        <w:rPr>
          <w:rFonts w:eastAsia="Times New Roman"/>
          <w:i/>
          <w:iCs/>
          <w:kern w:val="0"/>
          <w:sz w:val="22"/>
          <w:szCs w:val="24"/>
          <w:lang w:val="pt-BR" w:eastAsia="pt-BR"/>
        </w:rPr>
        <w:t xml:space="preserve"> </w:t>
      </w:r>
      <w:proofErr w:type="spellStart"/>
      <w:r w:rsidRPr="0022530D">
        <w:rPr>
          <w:rFonts w:eastAsia="Times New Roman"/>
          <w:i/>
          <w:iCs/>
          <w:kern w:val="0"/>
          <w:sz w:val="22"/>
          <w:szCs w:val="24"/>
          <w:lang w:val="pt-BR" w:eastAsia="pt-BR"/>
        </w:rPr>
        <w:t>Economy</w:t>
      </w:r>
      <w:proofErr w:type="spellEnd"/>
      <w:r w:rsidRPr="0022530D">
        <w:rPr>
          <w:rFonts w:eastAsia="Times New Roman"/>
          <w:i/>
          <w:iCs/>
          <w:kern w:val="0"/>
          <w:sz w:val="22"/>
          <w:szCs w:val="24"/>
          <w:lang w:val="pt-BR" w:eastAsia="pt-BR"/>
        </w:rPr>
        <w:t>, 19(</w:t>
      </w:r>
      <w:r w:rsidRPr="0022530D">
        <w:rPr>
          <w:rFonts w:eastAsia="Times New Roman"/>
          <w:kern w:val="0"/>
          <w:sz w:val="22"/>
          <w:szCs w:val="24"/>
          <w:lang w:val="pt-BR" w:eastAsia="pt-BR"/>
        </w:rPr>
        <w:t>3), pp. 529-545.</w:t>
      </w:r>
    </w:p>
    <w:p w:rsidR="001512C3" w:rsidRPr="0022530D" w:rsidRDefault="001512C3" w:rsidP="0022530D">
      <w:pPr>
        <w:spacing w:line="276" w:lineRule="auto"/>
        <w:ind w:left="284" w:hanging="284"/>
        <w:rPr>
          <w:sz w:val="22"/>
          <w:szCs w:val="24"/>
        </w:rPr>
      </w:pPr>
      <w:r w:rsidRPr="0022530D">
        <w:rPr>
          <w:sz w:val="22"/>
          <w:szCs w:val="24"/>
        </w:rPr>
        <w:t xml:space="preserve">Biswas, R. (1998). </w:t>
      </w:r>
      <w:r w:rsidRPr="0022530D">
        <w:rPr>
          <w:i/>
          <w:sz w:val="22"/>
          <w:szCs w:val="24"/>
        </w:rPr>
        <w:t>Determinants of Foreign Direct Investment</w:t>
      </w:r>
      <w:r w:rsidRPr="0022530D">
        <w:rPr>
          <w:sz w:val="22"/>
          <w:szCs w:val="24"/>
        </w:rPr>
        <w:t>. Doctoral dissertation, Maryland University, Maryland, USA.</w:t>
      </w:r>
    </w:p>
    <w:p w:rsidR="00B41B09" w:rsidRPr="0022530D" w:rsidRDefault="00B41B09" w:rsidP="0022530D">
      <w:pPr>
        <w:widowControl/>
        <w:spacing w:line="276" w:lineRule="auto"/>
        <w:ind w:left="284" w:hanging="284"/>
        <w:rPr>
          <w:rFonts w:eastAsia="Times New Roman"/>
          <w:kern w:val="0"/>
          <w:sz w:val="22"/>
          <w:szCs w:val="24"/>
          <w:lang w:val="pt-BR" w:eastAsia="pt-BR"/>
        </w:rPr>
      </w:pPr>
      <w:r w:rsidRPr="0022530D">
        <w:rPr>
          <w:rFonts w:eastAsia="Times New Roman"/>
          <w:kern w:val="0"/>
          <w:sz w:val="22"/>
          <w:szCs w:val="24"/>
          <w:lang w:val="pt-BR" w:eastAsia="pt-BR"/>
        </w:rPr>
        <w:t xml:space="preserve">Caves, R. E., </w:t>
      </w:r>
      <w:proofErr w:type="spellStart"/>
      <w:r w:rsidRPr="0022530D">
        <w:rPr>
          <w:rFonts w:eastAsia="Times New Roman"/>
          <w:kern w:val="0"/>
          <w:sz w:val="22"/>
          <w:szCs w:val="24"/>
          <w:lang w:val="pt-BR" w:eastAsia="pt-BR"/>
        </w:rPr>
        <w:t>Frankel</w:t>
      </w:r>
      <w:proofErr w:type="spellEnd"/>
      <w:r w:rsidRPr="0022530D">
        <w:rPr>
          <w:rFonts w:eastAsia="Times New Roman"/>
          <w:kern w:val="0"/>
          <w:sz w:val="22"/>
          <w:szCs w:val="24"/>
          <w:lang w:val="pt-BR" w:eastAsia="pt-BR"/>
        </w:rPr>
        <w:t xml:space="preserve">, J. A. &amp; Jones, R. W. (2001). Economia Internacional – Comércio e Transações Globais. </w:t>
      </w:r>
      <w:r w:rsidRPr="0022530D">
        <w:rPr>
          <w:rFonts w:eastAsia="Times New Roman"/>
          <w:i/>
          <w:iCs/>
          <w:kern w:val="0"/>
          <w:sz w:val="22"/>
          <w:szCs w:val="24"/>
          <w:lang w:val="pt-BR" w:eastAsia="pt-BR"/>
        </w:rPr>
        <w:t>São Paulo:</w:t>
      </w:r>
      <w:r w:rsidRPr="0022530D">
        <w:rPr>
          <w:rFonts w:eastAsia="Times New Roman"/>
          <w:kern w:val="0"/>
          <w:sz w:val="22"/>
          <w:szCs w:val="24"/>
          <w:lang w:val="pt-BR" w:eastAsia="pt-BR"/>
        </w:rPr>
        <w:t xml:space="preserve"> Editora Saraiva.</w:t>
      </w:r>
    </w:p>
    <w:p w:rsidR="00B41B09" w:rsidRPr="0022530D" w:rsidRDefault="00B41B09" w:rsidP="0022530D">
      <w:pPr>
        <w:widowControl/>
        <w:spacing w:line="276" w:lineRule="auto"/>
        <w:ind w:left="284" w:hanging="284"/>
        <w:rPr>
          <w:rFonts w:eastAsia="Times New Roman"/>
          <w:kern w:val="0"/>
          <w:sz w:val="22"/>
          <w:szCs w:val="24"/>
          <w:lang w:val="pt-BR" w:eastAsia="pt-BR"/>
        </w:rPr>
      </w:pPr>
      <w:proofErr w:type="spellStart"/>
      <w:r w:rsidRPr="0022530D">
        <w:rPr>
          <w:rFonts w:eastAsia="Times New Roman"/>
          <w:kern w:val="0"/>
          <w:sz w:val="22"/>
          <w:szCs w:val="24"/>
          <w:lang w:val="pt-BR" w:eastAsia="pt-BR"/>
        </w:rPr>
        <w:t>Dunning</w:t>
      </w:r>
      <w:proofErr w:type="spellEnd"/>
      <w:r w:rsidRPr="0022530D">
        <w:rPr>
          <w:rFonts w:eastAsia="Times New Roman"/>
          <w:kern w:val="0"/>
          <w:sz w:val="22"/>
          <w:szCs w:val="24"/>
          <w:lang w:val="pt-BR" w:eastAsia="pt-BR"/>
        </w:rPr>
        <w:t xml:space="preserve">, J. H. (2001). The </w:t>
      </w:r>
      <w:proofErr w:type="spellStart"/>
      <w:r w:rsidRPr="0022530D">
        <w:rPr>
          <w:rFonts w:eastAsia="Times New Roman"/>
          <w:kern w:val="0"/>
          <w:sz w:val="22"/>
          <w:szCs w:val="24"/>
          <w:lang w:val="pt-BR" w:eastAsia="pt-BR"/>
        </w:rPr>
        <w:t>eclectic</w:t>
      </w:r>
      <w:proofErr w:type="spellEnd"/>
      <w:r w:rsidRPr="0022530D">
        <w:rPr>
          <w:rFonts w:eastAsia="Times New Roman"/>
          <w:kern w:val="0"/>
          <w:sz w:val="22"/>
          <w:szCs w:val="24"/>
          <w:lang w:val="pt-BR" w:eastAsia="pt-BR"/>
        </w:rPr>
        <w:t xml:space="preserve"> (OLI) </w:t>
      </w:r>
      <w:proofErr w:type="spellStart"/>
      <w:r w:rsidRPr="0022530D">
        <w:rPr>
          <w:rFonts w:eastAsia="Times New Roman"/>
          <w:kern w:val="0"/>
          <w:sz w:val="22"/>
          <w:szCs w:val="24"/>
          <w:lang w:val="pt-BR" w:eastAsia="pt-BR"/>
        </w:rPr>
        <w:t>paradigm</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of</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international</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production</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past</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present</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and</w:t>
      </w:r>
      <w:proofErr w:type="spellEnd"/>
      <w:r w:rsidRPr="0022530D">
        <w:rPr>
          <w:rFonts w:eastAsia="Times New Roman"/>
          <w:kern w:val="0"/>
          <w:sz w:val="22"/>
          <w:szCs w:val="24"/>
          <w:lang w:val="pt-BR" w:eastAsia="pt-BR"/>
        </w:rPr>
        <w:t xml:space="preserve"> future. </w:t>
      </w:r>
      <w:proofErr w:type="spellStart"/>
      <w:r w:rsidRPr="0022530D">
        <w:rPr>
          <w:rFonts w:eastAsia="Times New Roman"/>
          <w:i/>
          <w:iCs/>
          <w:kern w:val="0"/>
          <w:sz w:val="22"/>
          <w:szCs w:val="24"/>
          <w:lang w:val="pt-BR" w:eastAsia="pt-BR"/>
        </w:rPr>
        <w:t>International</w:t>
      </w:r>
      <w:proofErr w:type="spellEnd"/>
      <w:r w:rsidRPr="0022530D">
        <w:rPr>
          <w:rFonts w:eastAsia="Times New Roman"/>
          <w:i/>
          <w:iCs/>
          <w:kern w:val="0"/>
          <w:sz w:val="22"/>
          <w:szCs w:val="24"/>
          <w:lang w:val="pt-BR" w:eastAsia="pt-BR"/>
        </w:rPr>
        <w:t xml:space="preserve"> </w:t>
      </w:r>
      <w:proofErr w:type="spellStart"/>
      <w:r w:rsidRPr="0022530D">
        <w:rPr>
          <w:rFonts w:eastAsia="Times New Roman"/>
          <w:i/>
          <w:iCs/>
          <w:kern w:val="0"/>
          <w:sz w:val="22"/>
          <w:szCs w:val="24"/>
          <w:lang w:val="pt-BR" w:eastAsia="pt-BR"/>
        </w:rPr>
        <w:t>Journal</w:t>
      </w:r>
      <w:proofErr w:type="spellEnd"/>
      <w:r w:rsidRPr="0022530D">
        <w:rPr>
          <w:rFonts w:eastAsia="Times New Roman"/>
          <w:i/>
          <w:iCs/>
          <w:kern w:val="0"/>
          <w:sz w:val="22"/>
          <w:szCs w:val="24"/>
          <w:lang w:val="pt-BR" w:eastAsia="pt-BR"/>
        </w:rPr>
        <w:t xml:space="preserve"> </w:t>
      </w:r>
      <w:proofErr w:type="spellStart"/>
      <w:r w:rsidRPr="0022530D">
        <w:rPr>
          <w:rFonts w:eastAsia="Times New Roman"/>
          <w:i/>
          <w:iCs/>
          <w:kern w:val="0"/>
          <w:sz w:val="22"/>
          <w:szCs w:val="24"/>
          <w:lang w:val="pt-BR" w:eastAsia="pt-BR"/>
        </w:rPr>
        <w:t>of</w:t>
      </w:r>
      <w:proofErr w:type="spellEnd"/>
      <w:r w:rsidRPr="0022530D">
        <w:rPr>
          <w:rFonts w:eastAsia="Times New Roman"/>
          <w:i/>
          <w:iCs/>
          <w:kern w:val="0"/>
          <w:sz w:val="22"/>
          <w:szCs w:val="24"/>
          <w:lang w:val="pt-BR" w:eastAsia="pt-BR"/>
        </w:rPr>
        <w:t xml:space="preserve"> </w:t>
      </w:r>
      <w:proofErr w:type="spellStart"/>
      <w:r w:rsidRPr="0022530D">
        <w:rPr>
          <w:rFonts w:eastAsia="Times New Roman"/>
          <w:i/>
          <w:iCs/>
          <w:kern w:val="0"/>
          <w:sz w:val="22"/>
          <w:szCs w:val="24"/>
          <w:lang w:val="pt-BR" w:eastAsia="pt-BR"/>
        </w:rPr>
        <w:t>the</w:t>
      </w:r>
      <w:proofErr w:type="spellEnd"/>
      <w:r w:rsidRPr="0022530D">
        <w:rPr>
          <w:rFonts w:eastAsia="Times New Roman"/>
          <w:i/>
          <w:iCs/>
          <w:kern w:val="0"/>
          <w:sz w:val="22"/>
          <w:szCs w:val="24"/>
          <w:lang w:val="pt-BR" w:eastAsia="pt-BR"/>
        </w:rPr>
        <w:t xml:space="preserve"> </w:t>
      </w:r>
      <w:proofErr w:type="spellStart"/>
      <w:r w:rsidRPr="0022530D">
        <w:rPr>
          <w:rFonts w:eastAsia="Times New Roman"/>
          <w:i/>
          <w:iCs/>
          <w:kern w:val="0"/>
          <w:sz w:val="22"/>
          <w:szCs w:val="24"/>
          <w:lang w:val="pt-BR" w:eastAsia="pt-BR"/>
        </w:rPr>
        <w:t>Economic</w:t>
      </w:r>
      <w:proofErr w:type="spellEnd"/>
      <w:r w:rsidRPr="0022530D">
        <w:rPr>
          <w:rFonts w:eastAsia="Times New Roman"/>
          <w:i/>
          <w:iCs/>
          <w:kern w:val="0"/>
          <w:sz w:val="22"/>
          <w:szCs w:val="24"/>
          <w:lang w:val="pt-BR" w:eastAsia="pt-BR"/>
        </w:rPr>
        <w:t xml:space="preserve"> </w:t>
      </w:r>
      <w:proofErr w:type="spellStart"/>
      <w:r w:rsidRPr="0022530D">
        <w:rPr>
          <w:rFonts w:eastAsia="Times New Roman"/>
          <w:i/>
          <w:iCs/>
          <w:kern w:val="0"/>
          <w:sz w:val="22"/>
          <w:szCs w:val="24"/>
          <w:lang w:val="pt-BR" w:eastAsia="pt-BR"/>
        </w:rPr>
        <w:t>of</w:t>
      </w:r>
      <w:proofErr w:type="spellEnd"/>
      <w:r w:rsidRPr="0022530D">
        <w:rPr>
          <w:rFonts w:eastAsia="Times New Roman"/>
          <w:i/>
          <w:iCs/>
          <w:kern w:val="0"/>
          <w:sz w:val="22"/>
          <w:szCs w:val="24"/>
          <w:lang w:val="pt-BR" w:eastAsia="pt-BR"/>
        </w:rPr>
        <w:t xml:space="preserve"> Business, 8(</w:t>
      </w:r>
      <w:r w:rsidRPr="0022530D">
        <w:rPr>
          <w:rFonts w:eastAsia="Times New Roman"/>
          <w:kern w:val="0"/>
          <w:sz w:val="22"/>
          <w:szCs w:val="24"/>
          <w:lang w:val="pt-BR" w:eastAsia="pt-BR"/>
        </w:rPr>
        <w:t>2), pp. 173-190.</w:t>
      </w:r>
    </w:p>
    <w:p w:rsidR="00B41B09" w:rsidRPr="0022530D" w:rsidRDefault="00B41B09" w:rsidP="0022530D">
      <w:pPr>
        <w:widowControl/>
        <w:spacing w:line="276" w:lineRule="auto"/>
        <w:ind w:left="284" w:hanging="284"/>
        <w:rPr>
          <w:rFonts w:eastAsia="Times New Roman"/>
          <w:kern w:val="0"/>
          <w:sz w:val="22"/>
          <w:szCs w:val="24"/>
          <w:lang w:val="pt-BR" w:eastAsia="pt-BR"/>
        </w:rPr>
      </w:pPr>
      <w:r w:rsidRPr="0022530D">
        <w:rPr>
          <w:rFonts w:eastAsia="Times New Roman"/>
          <w:kern w:val="0"/>
          <w:sz w:val="22"/>
          <w:szCs w:val="24"/>
          <w:lang w:val="pt-BR" w:eastAsia="pt-BR"/>
        </w:rPr>
        <w:t xml:space="preserve">Gala, P. (2003). A teoria Institucional de Douglass North. </w:t>
      </w:r>
      <w:r w:rsidRPr="0022530D">
        <w:rPr>
          <w:rFonts w:eastAsia="Times New Roman"/>
          <w:i/>
          <w:iCs/>
          <w:kern w:val="0"/>
          <w:sz w:val="22"/>
          <w:szCs w:val="24"/>
          <w:lang w:val="pt-BR" w:eastAsia="pt-BR"/>
        </w:rPr>
        <w:t>Revista de Economia Política, 23(</w:t>
      </w:r>
      <w:r w:rsidRPr="0022530D">
        <w:rPr>
          <w:rFonts w:eastAsia="Times New Roman"/>
          <w:kern w:val="0"/>
          <w:sz w:val="22"/>
          <w:szCs w:val="24"/>
          <w:lang w:val="pt-BR" w:eastAsia="pt-BR"/>
        </w:rPr>
        <w:t>2), pp. 89-105.</w:t>
      </w:r>
    </w:p>
    <w:p w:rsidR="00B41B09" w:rsidRPr="0022530D" w:rsidRDefault="00B41B09" w:rsidP="0022530D">
      <w:pPr>
        <w:widowControl/>
        <w:spacing w:line="276" w:lineRule="auto"/>
        <w:ind w:left="284" w:hanging="284"/>
        <w:rPr>
          <w:rFonts w:eastAsia="Times New Roman"/>
          <w:kern w:val="0"/>
          <w:sz w:val="22"/>
          <w:szCs w:val="24"/>
          <w:lang w:val="pt-BR" w:eastAsia="pt-BR"/>
        </w:rPr>
      </w:pPr>
      <w:proofErr w:type="spellStart"/>
      <w:r w:rsidRPr="0022530D">
        <w:rPr>
          <w:rFonts w:eastAsia="Times New Roman"/>
          <w:kern w:val="0"/>
          <w:sz w:val="22"/>
          <w:szCs w:val="24"/>
          <w:lang w:val="pt-BR" w:eastAsia="pt-BR"/>
        </w:rPr>
        <w:t>Gastanaga</w:t>
      </w:r>
      <w:proofErr w:type="spellEnd"/>
      <w:r w:rsidRPr="0022530D">
        <w:rPr>
          <w:rFonts w:eastAsia="Times New Roman"/>
          <w:kern w:val="0"/>
          <w:sz w:val="22"/>
          <w:szCs w:val="24"/>
          <w:lang w:val="pt-BR" w:eastAsia="pt-BR"/>
        </w:rPr>
        <w:t xml:space="preserve">, V. M., </w:t>
      </w:r>
      <w:proofErr w:type="spellStart"/>
      <w:r w:rsidRPr="0022530D">
        <w:rPr>
          <w:rFonts w:eastAsia="Times New Roman"/>
          <w:kern w:val="0"/>
          <w:sz w:val="22"/>
          <w:szCs w:val="24"/>
          <w:lang w:val="pt-BR" w:eastAsia="pt-BR"/>
        </w:rPr>
        <w:t>Nugent</w:t>
      </w:r>
      <w:proofErr w:type="spellEnd"/>
      <w:r w:rsidRPr="0022530D">
        <w:rPr>
          <w:rFonts w:eastAsia="Times New Roman"/>
          <w:kern w:val="0"/>
          <w:sz w:val="22"/>
          <w:szCs w:val="24"/>
          <w:lang w:val="pt-BR" w:eastAsia="pt-BR"/>
        </w:rPr>
        <w:t xml:space="preserve">, J. B. &amp; </w:t>
      </w:r>
      <w:proofErr w:type="spellStart"/>
      <w:r w:rsidRPr="0022530D">
        <w:rPr>
          <w:rFonts w:eastAsia="Times New Roman"/>
          <w:kern w:val="0"/>
          <w:sz w:val="22"/>
          <w:szCs w:val="24"/>
          <w:lang w:val="pt-BR" w:eastAsia="pt-BR"/>
        </w:rPr>
        <w:t>Pashamova</w:t>
      </w:r>
      <w:proofErr w:type="spellEnd"/>
      <w:r w:rsidRPr="0022530D">
        <w:rPr>
          <w:rFonts w:eastAsia="Times New Roman"/>
          <w:kern w:val="0"/>
          <w:sz w:val="22"/>
          <w:szCs w:val="24"/>
          <w:lang w:val="pt-BR" w:eastAsia="pt-BR"/>
        </w:rPr>
        <w:t xml:space="preserve">, B. (1998). Host country </w:t>
      </w:r>
      <w:proofErr w:type="spellStart"/>
      <w:r w:rsidRPr="0022530D">
        <w:rPr>
          <w:rFonts w:eastAsia="Times New Roman"/>
          <w:kern w:val="0"/>
          <w:sz w:val="22"/>
          <w:szCs w:val="24"/>
          <w:lang w:val="pt-BR" w:eastAsia="pt-BR"/>
        </w:rPr>
        <w:t>reforms</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and</w:t>
      </w:r>
      <w:proofErr w:type="spellEnd"/>
      <w:r w:rsidRPr="0022530D">
        <w:rPr>
          <w:rFonts w:eastAsia="Times New Roman"/>
          <w:kern w:val="0"/>
          <w:sz w:val="22"/>
          <w:szCs w:val="24"/>
          <w:lang w:val="pt-BR" w:eastAsia="pt-BR"/>
        </w:rPr>
        <w:t xml:space="preserve"> FDI </w:t>
      </w:r>
      <w:proofErr w:type="spellStart"/>
      <w:r w:rsidRPr="0022530D">
        <w:rPr>
          <w:rFonts w:eastAsia="Times New Roman"/>
          <w:kern w:val="0"/>
          <w:sz w:val="22"/>
          <w:szCs w:val="24"/>
          <w:lang w:val="pt-BR" w:eastAsia="pt-BR"/>
        </w:rPr>
        <w:t>inflows</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how</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much</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difference</w:t>
      </w:r>
      <w:proofErr w:type="spellEnd"/>
      <w:r w:rsidRPr="0022530D">
        <w:rPr>
          <w:rFonts w:eastAsia="Times New Roman"/>
          <w:kern w:val="0"/>
          <w:sz w:val="22"/>
          <w:szCs w:val="24"/>
          <w:lang w:val="pt-BR" w:eastAsia="pt-BR"/>
        </w:rPr>
        <w:t xml:space="preserve"> do </w:t>
      </w:r>
      <w:proofErr w:type="spellStart"/>
      <w:r w:rsidRPr="0022530D">
        <w:rPr>
          <w:rFonts w:eastAsia="Times New Roman"/>
          <w:kern w:val="0"/>
          <w:sz w:val="22"/>
          <w:szCs w:val="24"/>
          <w:lang w:val="pt-BR" w:eastAsia="pt-BR"/>
        </w:rPr>
        <w:t>they</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make</w:t>
      </w:r>
      <w:proofErr w:type="spellEnd"/>
      <w:r w:rsidRPr="0022530D">
        <w:rPr>
          <w:rFonts w:eastAsia="Times New Roman"/>
          <w:kern w:val="0"/>
          <w:sz w:val="22"/>
          <w:szCs w:val="24"/>
          <w:lang w:val="pt-BR" w:eastAsia="pt-BR"/>
        </w:rPr>
        <w:t xml:space="preserve">? </w:t>
      </w:r>
      <w:r w:rsidRPr="0022530D">
        <w:rPr>
          <w:rFonts w:eastAsia="Times New Roman"/>
          <w:i/>
          <w:iCs/>
          <w:kern w:val="0"/>
          <w:sz w:val="22"/>
          <w:szCs w:val="24"/>
          <w:lang w:val="pt-BR" w:eastAsia="pt-BR"/>
        </w:rPr>
        <w:t xml:space="preserve">World </w:t>
      </w:r>
      <w:proofErr w:type="spellStart"/>
      <w:r w:rsidRPr="0022530D">
        <w:rPr>
          <w:rFonts w:eastAsia="Times New Roman"/>
          <w:i/>
          <w:iCs/>
          <w:kern w:val="0"/>
          <w:sz w:val="22"/>
          <w:szCs w:val="24"/>
          <w:lang w:val="pt-BR" w:eastAsia="pt-BR"/>
        </w:rPr>
        <w:t>Development</w:t>
      </w:r>
      <w:proofErr w:type="spellEnd"/>
      <w:r w:rsidRPr="0022530D">
        <w:rPr>
          <w:rFonts w:eastAsia="Times New Roman"/>
          <w:i/>
          <w:iCs/>
          <w:kern w:val="0"/>
          <w:sz w:val="22"/>
          <w:szCs w:val="24"/>
          <w:lang w:val="pt-BR" w:eastAsia="pt-BR"/>
        </w:rPr>
        <w:t>, 26(</w:t>
      </w:r>
      <w:r w:rsidRPr="0022530D">
        <w:rPr>
          <w:rFonts w:eastAsia="Times New Roman"/>
          <w:kern w:val="0"/>
          <w:sz w:val="22"/>
          <w:szCs w:val="24"/>
          <w:lang w:val="pt-BR" w:eastAsia="pt-BR"/>
        </w:rPr>
        <w:t>7), pp. 1299-1314.</w:t>
      </w:r>
    </w:p>
    <w:p w:rsidR="00B41B09" w:rsidRPr="0022530D" w:rsidRDefault="00B41B09" w:rsidP="0022530D">
      <w:pPr>
        <w:widowControl/>
        <w:spacing w:line="276" w:lineRule="auto"/>
        <w:ind w:left="284" w:hanging="284"/>
        <w:rPr>
          <w:rFonts w:eastAsia="Times New Roman"/>
          <w:kern w:val="0"/>
          <w:sz w:val="22"/>
          <w:szCs w:val="24"/>
          <w:lang w:val="pt-BR" w:eastAsia="pt-BR"/>
        </w:rPr>
      </w:pPr>
      <w:r w:rsidRPr="0022530D">
        <w:rPr>
          <w:rFonts w:eastAsia="Times New Roman"/>
          <w:kern w:val="0"/>
          <w:sz w:val="22"/>
          <w:szCs w:val="24"/>
          <w:lang w:val="pt-BR" w:eastAsia="pt-BR"/>
        </w:rPr>
        <w:t>Gonçalves, R. (1999). Globalização e Desnacionalização.</w:t>
      </w:r>
      <w:r w:rsidRPr="0022530D">
        <w:rPr>
          <w:rFonts w:eastAsia="Times New Roman"/>
          <w:b/>
          <w:bCs/>
          <w:kern w:val="0"/>
          <w:sz w:val="22"/>
          <w:szCs w:val="24"/>
          <w:lang w:val="pt-BR" w:eastAsia="pt-BR"/>
        </w:rPr>
        <w:t xml:space="preserve"> </w:t>
      </w:r>
      <w:r w:rsidRPr="0022530D">
        <w:rPr>
          <w:rFonts w:eastAsia="Times New Roman"/>
          <w:i/>
          <w:iCs/>
          <w:kern w:val="0"/>
          <w:sz w:val="22"/>
          <w:szCs w:val="24"/>
          <w:lang w:val="pt-BR" w:eastAsia="pt-BR"/>
        </w:rPr>
        <w:t>São Paulo:</w:t>
      </w:r>
      <w:r w:rsidRPr="0022530D">
        <w:rPr>
          <w:rFonts w:eastAsia="Times New Roman"/>
          <w:kern w:val="0"/>
          <w:sz w:val="22"/>
          <w:szCs w:val="24"/>
          <w:lang w:val="pt-BR" w:eastAsia="pt-BR"/>
        </w:rPr>
        <w:t xml:space="preserve"> Paz e Terra.</w:t>
      </w:r>
    </w:p>
    <w:p w:rsidR="00B41B09" w:rsidRPr="0022530D" w:rsidRDefault="00B41B09" w:rsidP="0022530D">
      <w:pPr>
        <w:widowControl/>
        <w:spacing w:line="276" w:lineRule="auto"/>
        <w:ind w:left="284" w:hanging="284"/>
        <w:rPr>
          <w:rFonts w:eastAsia="Times New Roman"/>
          <w:kern w:val="0"/>
          <w:sz w:val="22"/>
          <w:szCs w:val="24"/>
          <w:lang w:val="pt-BR" w:eastAsia="pt-BR"/>
        </w:rPr>
      </w:pPr>
      <w:proofErr w:type="spellStart"/>
      <w:r w:rsidRPr="0022530D">
        <w:rPr>
          <w:rFonts w:eastAsia="Times New Roman"/>
          <w:kern w:val="0"/>
          <w:sz w:val="22"/>
          <w:szCs w:val="24"/>
          <w:lang w:val="pt-BR" w:eastAsia="pt-BR"/>
        </w:rPr>
        <w:t>Harms</w:t>
      </w:r>
      <w:proofErr w:type="spellEnd"/>
      <w:r w:rsidRPr="0022530D">
        <w:rPr>
          <w:rFonts w:eastAsia="Times New Roman"/>
          <w:kern w:val="0"/>
          <w:sz w:val="22"/>
          <w:szCs w:val="24"/>
          <w:lang w:val="pt-BR" w:eastAsia="pt-BR"/>
        </w:rPr>
        <w:t xml:space="preserve">, P. &amp; </w:t>
      </w:r>
      <w:proofErr w:type="spellStart"/>
      <w:r w:rsidRPr="0022530D">
        <w:rPr>
          <w:rFonts w:eastAsia="Times New Roman"/>
          <w:kern w:val="0"/>
          <w:sz w:val="22"/>
          <w:szCs w:val="24"/>
          <w:lang w:val="pt-BR" w:eastAsia="pt-BR"/>
        </w:rPr>
        <w:t>Ursprungu</w:t>
      </w:r>
      <w:proofErr w:type="spellEnd"/>
      <w:r w:rsidRPr="0022530D">
        <w:rPr>
          <w:rFonts w:eastAsia="Times New Roman"/>
          <w:kern w:val="0"/>
          <w:sz w:val="22"/>
          <w:szCs w:val="24"/>
          <w:lang w:val="pt-BR" w:eastAsia="pt-BR"/>
        </w:rPr>
        <w:t xml:space="preserve">, H. W. (2002). Do civil </w:t>
      </w:r>
      <w:proofErr w:type="spellStart"/>
      <w:r w:rsidRPr="0022530D">
        <w:rPr>
          <w:rFonts w:eastAsia="Times New Roman"/>
          <w:kern w:val="0"/>
          <w:sz w:val="22"/>
          <w:szCs w:val="24"/>
          <w:lang w:val="pt-BR" w:eastAsia="pt-BR"/>
        </w:rPr>
        <w:t>and</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political</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repression</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really</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boost</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foreign</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direct</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investment</w:t>
      </w:r>
      <w:proofErr w:type="spellEnd"/>
      <w:r w:rsidRPr="0022530D">
        <w:rPr>
          <w:rFonts w:eastAsia="Times New Roman"/>
          <w:kern w:val="0"/>
          <w:sz w:val="22"/>
          <w:szCs w:val="24"/>
          <w:lang w:val="pt-BR" w:eastAsia="pt-BR"/>
        </w:rPr>
        <w:t xml:space="preserve">? </w:t>
      </w:r>
      <w:proofErr w:type="spellStart"/>
      <w:r w:rsidRPr="0022530D">
        <w:rPr>
          <w:rFonts w:eastAsia="Times New Roman"/>
          <w:i/>
          <w:iCs/>
          <w:kern w:val="0"/>
          <w:sz w:val="22"/>
          <w:szCs w:val="24"/>
          <w:lang w:val="pt-BR" w:eastAsia="pt-BR"/>
        </w:rPr>
        <w:t>Economic</w:t>
      </w:r>
      <w:proofErr w:type="spellEnd"/>
      <w:r w:rsidRPr="0022530D">
        <w:rPr>
          <w:rFonts w:eastAsia="Times New Roman"/>
          <w:i/>
          <w:iCs/>
          <w:kern w:val="0"/>
          <w:sz w:val="22"/>
          <w:szCs w:val="24"/>
          <w:lang w:val="pt-BR" w:eastAsia="pt-BR"/>
        </w:rPr>
        <w:t xml:space="preserve"> </w:t>
      </w:r>
      <w:proofErr w:type="spellStart"/>
      <w:r w:rsidRPr="0022530D">
        <w:rPr>
          <w:rFonts w:eastAsia="Times New Roman"/>
          <w:i/>
          <w:iCs/>
          <w:kern w:val="0"/>
          <w:sz w:val="22"/>
          <w:szCs w:val="24"/>
          <w:lang w:val="pt-BR" w:eastAsia="pt-BR"/>
        </w:rPr>
        <w:t>Inquiry</w:t>
      </w:r>
      <w:proofErr w:type="spellEnd"/>
      <w:r w:rsidRPr="0022530D">
        <w:rPr>
          <w:rFonts w:eastAsia="Times New Roman"/>
          <w:i/>
          <w:iCs/>
          <w:kern w:val="0"/>
          <w:sz w:val="22"/>
          <w:szCs w:val="24"/>
          <w:lang w:val="pt-BR" w:eastAsia="pt-BR"/>
        </w:rPr>
        <w:t>, 40(</w:t>
      </w:r>
      <w:r w:rsidRPr="0022530D">
        <w:rPr>
          <w:rFonts w:eastAsia="Times New Roman"/>
          <w:kern w:val="0"/>
          <w:sz w:val="22"/>
          <w:szCs w:val="24"/>
          <w:lang w:val="pt-BR" w:eastAsia="pt-BR"/>
        </w:rPr>
        <w:t>4), pp. 651–663.</w:t>
      </w:r>
    </w:p>
    <w:p w:rsidR="00B41B09" w:rsidRPr="0022530D" w:rsidRDefault="00B41B09" w:rsidP="0022530D">
      <w:pPr>
        <w:widowControl/>
        <w:spacing w:line="276" w:lineRule="auto"/>
        <w:ind w:left="284" w:hanging="284"/>
        <w:rPr>
          <w:rFonts w:eastAsia="Times New Roman"/>
          <w:kern w:val="0"/>
          <w:sz w:val="22"/>
          <w:szCs w:val="24"/>
          <w:lang w:val="pt-BR" w:eastAsia="pt-BR"/>
        </w:rPr>
      </w:pPr>
      <w:proofErr w:type="spellStart"/>
      <w:r w:rsidRPr="0022530D">
        <w:rPr>
          <w:rFonts w:eastAsia="Times New Roman"/>
          <w:kern w:val="0"/>
          <w:sz w:val="22"/>
          <w:szCs w:val="24"/>
          <w:lang w:val="pt-BR" w:eastAsia="pt-BR"/>
        </w:rPr>
        <w:t>Hausmann</w:t>
      </w:r>
      <w:proofErr w:type="spellEnd"/>
      <w:r w:rsidRPr="0022530D">
        <w:rPr>
          <w:rFonts w:eastAsia="Times New Roman"/>
          <w:kern w:val="0"/>
          <w:sz w:val="22"/>
          <w:szCs w:val="24"/>
          <w:lang w:val="pt-BR" w:eastAsia="pt-BR"/>
        </w:rPr>
        <w:t xml:space="preserve">, R. &amp; Fernandez-Arias, E. (2000). </w:t>
      </w:r>
      <w:proofErr w:type="spellStart"/>
      <w:r w:rsidRPr="0022530D">
        <w:rPr>
          <w:rFonts w:eastAsia="Times New Roman"/>
          <w:kern w:val="0"/>
          <w:sz w:val="22"/>
          <w:szCs w:val="24"/>
          <w:lang w:val="pt-BR" w:eastAsia="pt-BR"/>
        </w:rPr>
        <w:t>Foreign</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Direct</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Investment</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Good</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Cholesterol</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Inter-American</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Development</w:t>
      </w:r>
      <w:proofErr w:type="spellEnd"/>
      <w:r w:rsidRPr="0022530D">
        <w:rPr>
          <w:rFonts w:eastAsia="Times New Roman"/>
          <w:kern w:val="0"/>
          <w:sz w:val="22"/>
          <w:szCs w:val="24"/>
          <w:lang w:val="pt-BR" w:eastAsia="pt-BR"/>
        </w:rPr>
        <w:t xml:space="preserve"> Bank: </w:t>
      </w:r>
      <w:proofErr w:type="spellStart"/>
      <w:r w:rsidRPr="0022530D">
        <w:rPr>
          <w:rFonts w:eastAsia="Times New Roman"/>
          <w:i/>
          <w:iCs/>
          <w:kern w:val="0"/>
          <w:sz w:val="22"/>
          <w:szCs w:val="24"/>
          <w:lang w:val="pt-BR" w:eastAsia="pt-BR"/>
        </w:rPr>
        <w:t>Research</w:t>
      </w:r>
      <w:proofErr w:type="spellEnd"/>
      <w:r w:rsidRPr="0022530D">
        <w:rPr>
          <w:rFonts w:eastAsia="Times New Roman"/>
          <w:i/>
          <w:iCs/>
          <w:kern w:val="0"/>
          <w:sz w:val="22"/>
          <w:szCs w:val="24"/>
          <w:lang w:val="pt-BR" w:eastAsia="pt-BR"/>
        </w:rPr>
        <w:t xml:space="preserve"> </w:t>
      </w:r>
      <w:proofErr w:type="spellStart"/>
      <w:r w:rsidRPr="0022530D">
        <w:rPr>
          <w:rFonts w:eastAsia="Times New Roman"/>
          <w:i/>
          <w:iCs/>
          <w:kern w:val="0"/>
          <w:sz w:val="22"/>
          <w:szCs w:val="24"/>
          <w:lang w:val="pt-BR" w:eastAsia="pt-BR"/>
        </w:rPr>
        <w:t>Department</w:t>
      </w:r>
      <w:proofErr w:type="spellEnd"/>
      <w:r w:rsidRPr="0022530D">
        <w:rPr>
          <w:rFonts w:eastAsia="Times New Roman"/>
          <w:i/>
          <w:iCs/>
          <w:kern w:val="0"/>
          <w:sz w:val="22"/>
          <w:szCs w:val="24"/>
          <w:lang w:val="pt-BR" w:eastAsia="pt-BR"/>
        </w:rPr>
        <w:t xml:space="preserve"> </w:t>
      </w:r>
      <w:proofErr w:type="spellStart"/>
      <w:r w:rsidR="0003531F" w:rsidRPr="0022530D">
        <w:rPr>
          <w:rFonts w:eastAsia="Times New Roman"/>
          <w:i/>
          <w:iCs/>
          <w:kern w:val="0"/>
          <w:sz w:val="22"/>
          <w:szCs w:val="24"/>
          <w:lang w:val="pt-BR" w:eastAsia="pt-BR"/>
        </w:rPr>
        <w:t>working</w:t>
      </w:r>
      <w:proofErr w:type="spellEnd"/>
      <w:r w:rsidRPr="0022530D">
        <w:rPr>
          <w:rFonts w:eastAsia="Times New Roman"/>
          <w:i/>
          <w:iCs/>
          <w:kern w:val="0"/>
          <w:sz w:val="22"/>
          <w:szCs w:val="24"/>
          <w:lang w:val="pt-BR" w:eastAsia="pt-BR"/>
        </w:rPr>
        <w:t xml:space="preserve"> </w:t>
      </w:r>
      <w:proofErr w:type="spellStart"/>
      <w:r w:rsidRPr="0022530D">
        <w:rPr>
          <w:rFonts w:eastAsia="Times New Roman"/>
          <w:i/>
          <w:iCs/>
          <w:kern w:val="0"/>
          <w:sz w:val="22"/>
          <w:szCs w:val="24"/>
          <w:lang w:val="pt-BR" w:eastAsia="pt-BR"/>
        </w:rPr>
        <w:t>paper</w:t>
      </w:r>
      <w:proofErr w:type="spellEnd"/>
      <w:r w:rsidRPr="0022530D">
        <w:rPr>
          <w:rFonts w:eastAsia="Times New Roman"/>
          <w:i/>
          <w:iCs/>
          <w:kern w:val="0"/>
          <w:sz w:val="22"/>
          <w:szCs w:val="24"/>
          <w:lang w:val="pt-BR" w:eastAsia="pt-BR"/>
        </w:rPr>
        <w:t xml:space="preserve"> series, </w:t>
      </w:r>
      <w:r w:rsidRPr="0022530D">
        <w:rPr>
          <w:rFonts w:eastAsia="Times New Roman"/>
          <w:kern w:val="0"/>
          <w:sz w:val="22"/>
          <w:szCs w:val="24"/>
          <w:lang w:val="pt-BR" w:eastAsia="pt-BR"/>
        </w:rPr>
        <w:t>417, New Orleans, 1-46.</w:t>
      </w:r>
    </w:p>
    <w:p w:rsidR="00B41B09" w:rsidRPr="0022530D" w:rsidRDefault="00B41B09" w:rsidP="0022530D">
      <w:pPr>
        <w:widowControl/>
        <w:spacing w:line="276" w:lineRule="auto"/>
        <w:ind w:left="284" w:hanging="284"/>
        <w:rPr>
          <w:rFonts w:eastAsia="Times New Roman"/>
          <w:kern w:val="0"/>
          <w:sz w:val="22"/>
          <w:szCs w:val="24"/>
          <w:lang w:val="pt-BR" w:eastAsia="pt-BR"/>
        </w:rPr>
      </w:pPr>
      <w:proofErr w:type="spellStart"/>
      <w:r w:rsidRPr="0022530D">
        <w:rPr>
          <w:rFonts w:eastAsia="Times New Roman"/>
          <w:kern w:val="0"/>
          <w:sz w:val="22"/>
          <w:szCs w:val="24"/>
          <w:lang w:val="pt-BR" w:eastAsia="pt-BR"/>
        </w:rPr>
        <w:t>Henisz</w:t>
      </w:r>
      <w:proofErr w:type="spellEnd"/>
      <w:r w:rsidRPr="0022530D">
        <w:rPr>
          <w:rFonts w:eastAsia="Times New Roman"/>
          <w:kern w:val="0"/>
          <w:sz w:val="22"/>
          <w:szCs w:val="24"/>
          <w:lang w:val="pt-BR" w:eastAsia="pt-BR"/>
        </w:rPr>
        <w:t xml:space="preserve">, W. J. &amp; Williamson, O. E. (1999). </w:t>
      </w:r>
      <w:proofErr w:type="spellStart"/>
      <w:r w:rsidRPr="0022530D">
        <w:rPr>
          <w:rFonts w:eastAsia="Times New Roman"/>
          <w:kern w:val="0"/>
          <w:sz w:val="22"/>
          <w:szCs w:val="24"/>
          <w:lang w:val="pt-BR" w:eastAsia="pt-BR"/>
        </w:rPr>
        <w:t>Comparative</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economic</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organization</w:t>
      </w:r>
      <w:proofErr w:type="spellEnd"/>
      <w:r w:rsidRPr="0022530D">
        <w:rPr>
          <w:rFonts w:eastAsia="Times New Roman"/>
          <w:kern w:val="0"/>
          <w:sz w:val="22"/>
          <w:szCs w:val="24"/>
          <w:lang w:val="pt-BR" w:eastAsia="pt-BR"/>
        </w:rPr>
        <w:t xml:space="preserve"> - </w:t>
      </w:r>
      <w:proofErr w:type="spellStart"/>
      <w:r w:rsidRPr="0022530D">
        <w:rPr>
          <w:rFonts w:eastAsia="Times New Roman"/>
          <w:kern w:val="0"/>
          <w:sz w:val="22"/>
          <w:szCs w:val="24"/>
          <w:lang w:val="pt-BR" w:eastAsia="pt-BR"/>
        </w:rPr>
        <w:t>within</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and</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between</w:t>
      </w:r>
      <w:proofErr w:type="spellEnd"/>
      <w:r w:rsidRPr="0022530D">
        <w:rPr>
          <w:rFonts w:eastAsia="Times New Roman"/>
          <w:kern w:val="0"/>
          <w:sz w:val="22"/>
          <w:szCs w:val="24"/>
          <w:lang w:val="pt-BR" w:eastAsia="pt-BR"/>
        </w:rPr>
        <w:t xml:space="preserve"> countries. </w:t>
      </w:r>
      <w:r w:rsidRPr="0022530D">
        <w:rPr>
          <w:rFonts w:eastAsia="Times New Roman"/>
          <w:i/>
          <w:iCs/>
          <w:kern w:val="0"/>
          <w:sz w:val="22"/>
          <w:szCs w:val="24"/>
          <w:lang w:val="pt-BR" w:eastAsia="pt-BR"/>
        </w:rPr>
        <w:t xml:space="preserve">Business </w:t>
      </w:r>
      <w:proofErr w:type="spellStart"/>
      <w:r w:rsidRPr="0022530D">
        <w:rPr>
          <w:rFonts w:eastAsia="Times New Roman"/>
          <w:i/>
          <w:iCs/>
          <w:kern w:val="0"/>
          <w:sz w:val="22"/>
          <w:szCs w:val="24"/>
          <w:lang w:val="pt-BR" w:eastAsia="pt-BR"/>
        </w:rPr>
        <w:t>and</w:t>
      </w:r>
      <w:proofErr w:type="spellEnd"/>
      <w:r w:rsidRPr="0022530D">
        <w:rPr>
          <w:rFonts w:eastAsia="Times New Roman"/>
          <w:i/>
          <w:iCs/>
          <w:kern w:val="0"/>
          <w:sz w:val="22"/>
          <w:szCs w:val="24"/>
          <w:lang w:val="pt-BR" w:eastAsia="pt-BR"/>
        </w:rPr>
        <w:t xml:space="preserve"> </w:t>
      </w:r>
      <w:proofErr w:type="spellStart"/>
      <w:r w:rsidRPr="0022530D">
        <w:rPr>
          <w:rFonts w:eastAsia="Times New Roman"/>
          <w:i/>
          <w:iCs/>
          <w:kern w:val="0"/>
          <w:sz w:val="22"/>
          <w:szCs w:val="24"/>
          <w:lang w:val="pt-BR" w:eastAsia="pt-BR"/>
        </w:rPr>
        <w:t>Politics</w:t>
      </w:r>
      <w:proofErr w:type="spellEnd"/>
      <w:r w:rsidRPr="0022530D">
        <w:rPr>
          <w:rFonts w:eastAsia="Times New Roman"/>
          <w:i/>
          <w:iCs/>
          <w:kern w:val="0"/>
          <w:sz w:val="22"/>
          <w:szCs w:val="24"/>
          <w:lang w:val="pt-BR" w:eastAsia="pt-BR"/>
        </w:rPr>
        <w:t>, 1(</w:t>
      </w:r>
      <w:r w:rsidRPr="0022530D">
        <w:rPr>
          <w:rFonts w:eastAsia="Times New Roman"/>
          <w:kern w:val="0"/>
          <w:sz w:val="22"/>
          <w:szCs w:val="24"/>
          <w:lang w:val="pt-BR" w:eastAsia="pt-BR"/>
        </w:rPr>
        <w:t>3), pp. 261–277.</w:t>
      </w:r>
    </w:p>
    <w:p w:rsidR="00B41B09" w:rsidRPr="0022530D" w:rsidRDefault="00B41B09" w:rsidP="0022530D">
      <w:pPr>
        <w:widowControl/>
        <w:spacing w:line="276" w:lineRule="auto"/>
        <w:ind w:left="284" w:hanging="284"/>
        <w:rPr>
          <w:rFonts w:eastAsia="Times New Roman"/>
          <w:kern w:val="0"/>
          <w:sz w:val="22"/>
          <w:szCs w:val="24"/>
          <w:lang w:val="pt-BR" w:eastAsia="pt-BR"/>
        </w:rPr>
      </w:pPr>
      <w:r w:rsidRPr="0022530D">
        <w:rPr>
          <w:rFonts w:eastAsia="Times New Roman"/>
          <w:kern w:val="0"/>
          <w:sz w:val="22"/>
          <w:szCs w:val="24"/>
          <w:lang w:val="pt-BR" w:eastAsia="pt-BR"/>
        </w:rPr>
        <w:t xml:space="preserve">Krugman, P. R. &amp; </w:t>
      </w:r>
      <w:proofErr w:type="spellStart"/>
      <w:r w:rsidRPr="0022530D">
        <w:rPr>
          <w:rFonts w:eastAsia="Times New Roman"/>
          <w:kern w:val="0"/>
          <w:sz w:val="22"/>
          <w:szCs w:val="24"/>
          <w:lang w:val="pt-BR" w:eastAsia="pt-BR"/>
        </w:rPr>
        <w:t>Obstfeld</w:t>
      </w:r>
      <w:proofErr w:type="spellEnd"/>
      <w:r w:rsidRPr="0022530D">
        <w:rPr>
          <w:rFonts w:eastAsia="Times New Roman"/>
          <w:kern w:val="0"/>
          <w:sz w:val="22"/>
          <w:szCs w:val="24"/>
          <w:lang w:val="pt-BR" w:eastAsia="pt-BR"/>
        </w:rPr>
        <w:t xml:space="preserve">, Maurice. (2001). </w:t>
      </w:r>
      <w:r w:rsidRPr="0022530D">
        <w:rPr>
          <w:rFonts w:eastAsia="Times New Roman"/>
          <w:i/>
          <w:iCs/>
          <w:kern w:val="0"/>
          <w:sz w:val="22"/>
          <w:szCs w:val="24"/>
          <w:lang w:val="pt-BR" w:eastAsia="pt-BR"/>
        </w:rPr>
        <w:t>Economia Internacional: teoria e política</w:t>
      </w:r>
      <w:r w:rsidRPr="0022530D">
        <w:rPr>
          <w:rFonts w:eastAsia="Times New Roman"/>
          <w:kern w:val="0"/>
          <w:sz w:val="22"/>
          <w:szCs w:val="24"/>
          <w:lang w:val="pt-BR" w:eastAsia="pt-BR"/>
        </w:rPr>
        <w:t xml:space="preserve"> (E. M. Diniz, Trans.). São Paulo: Pearson </w:t>
      </w:r>
      <w:proofErr w:type="spellStart"/>
      <w:r w:rsidRPr="0022530D">
        <w:rPr>
          <w:rFonts w:eastAsia="Times New Roman"/>
          <w:kern w:val="0"/>
          <w:sz w:val="22"/>
          <w:szCs w:val="24"/>
          <w:lang w:val="pt-BR" w:eastAsia="pt-BR"/>
        </w:rPr>
        <w:t>Addison</w:t>
      </w:r>
      <w:proofErr w:type="spellEnd"/>
      <w:r w:rsidRPr="0022530D">
        <w:rPr>
          <w:rFonts w:eastAsia="Times New Roman"/>
          <w:kern w:val="0"/>
          <w:sz w:val="22"/>
          <w:szCs w:val="24"/>
          <w:lang w:val="pt-BR" w:eastAsia="pt-BR"/>
        </w:rPr>
        <w:t xml:space="preserve"> Wesley. (Original </w:t>
      </w:r>
      <w:proofErr w:type="spellStart"/>
      <w:r w:rsidRPr="0022530D">
        <w:rPr>
          <w:rFonts w:eastAsia="Times New Roman"/>
          <w:kern w:val="0"/>
          <w:sz w:val="22"/>
          <w:szCs w:val="24"/>
          <w:lang w:val="pt-BR" w:eastAsia="pt-BR"/>
        </w:rPr>
        <w:t>work</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published</w:t>
      </w:r>
      <w:proofErr w:type="spellEnd"/>
      <w:r w:rsidRPr="0022530D">
        <w:rPr>
          <w:rFonts w:eastAsia="Times New Roman"/>
          <w:kern w:val="0"/>
          <w:sz w:val="22"/>
          <w:szCs w:val="24"/>
          <w:lang w:val="pt-BR" w:eastAsia="pt-BR"/>
        </w:rPr>
        <w:t xml:space="preserve"> 1987)</w:t>
      </w:r>
    </w:p>
    <w:p w:rsidR="00B41B09" w:rsidRPr="0022530D" w:rsidRDefault="00B41B09" w:rsidP="0022530D">
      <w:pPr>
        <w:widowControl/>
        <w:spacing w:line="276" w:lineRule="auto"/>
        <w:ind w:left="284" w:hanging="284"/>
        <w:rPr>
          <w:rFonts w:eastAsia="Times New Roman"/>
          <w:kern w:val="0"/>
          <w:sz w:val="22"/>
          <w:szCs w:val="24"/>
          <w:lang w:val="pt-BR" w:eastAsia="pt-BR"/>
        </w:rPr>
      </w:pPr>
      <w:bookmarkStart w:id="1" w:name="_Hlk10106535"/>
      <w:r w:rsidRPr="0022530D">
        <w:rPr>
          <w:rFonts w:eastAsia="Times New Roman"/>
          <w:kern w:val="0"/>
          <w:sz w:val="22"/>
          <w:szCs w:val="24"/>
          <w:lang w:val="pt-BR" w:eastAsia="pt-BR"/>
        </w:rPr>
        <w:t>La Porta, R., Lopes-de-</w:t>
      </w:r>
      <w:proofErr w:type="spellStart"/>
      <w:r w:rsidRPr="0022530D">
        <w:rPr>
          <w:rFonts w:eastAsia="Times New Roman"/>
          <w:kern w:val="0"/>
          <w:sz w:val="22"/>
          <w:szCs w:val="24"/>
          <w:lang w:val="pt-BR" w:eastAsia="pt-BR"/>
        </w:rPr>
        <w:t>Silanes</w:t>
      </w:r>
      <w:proofErr w:type="spellEnd"/>
      <w:r w:rsidRPr="0022530D">
        <w:rPr>
          <w:rFonts w:eastAsia="Times New Roman"/>
          <w:kern w:val="0"/>
          <w:sz w:val="22"/>
          <w:szCs w:val="24"/>
          <w:lang w:val="pt-BR" w:eastAsia="pt-BR"/>
        </w:rPr>
        <w:t xml:space="preserve">, F., </w:t>
      </w:r>
      <w:proofErr w:type="spellStart"/>
      <w:r w:rsidRPr="0022530D">
        <w:rPr>
          <w:rFonts w:eastAsia="Times New Roman"/>
          <w:kern w:val="0"/>
          <w:sz w:val="22"/>
          <w:szCs w:val="24"/>
          <w:lang w:val="pt-BR" w:eastAsia="pt-BR"/>
        </w:rPr>
        <w:t>Shleifer</w:t>
      </w:r>
      <w:proofErr w:type="spellEnd"/>
      <w:r w:rsidRPr="0022530D">
        <w:rPr>
          <w:rFonts w:eastAsia="Times New Roman"/>
          <w:kern w:val="0"/>
          <w:sz w:val="22"/>
          <w:szCs w:val="24"/>
          <w:lang w:val="pt-BR" w:eastAsia="pt-BR"/>
        </w:rPr>
        <w:t xml:space="preserve">, A. &amp; </w:t>
      </w:r>
      <w:proofErr w:type="spellStart"/>
      <w:r w:rsidRPr="0022530D">
        <w:rPr>
          <w:rFonts w:eastAsia="Times New Roman"/>
          <w:kern w:val="0"/>
          <w:sz w:val="22"/>
          <w:szCs w:val="24"/>
          <w:lang w:val="pt-BR" w:eastAsia="pt-BR"/>
        </w:rPr>
        <w:t>Vishny</w:t>
      </w:r>
      <w:proofErr w:type="spellEnd"/>
      <w:r w:rsidRPr="0022530D">
        <w:rPr>
          <w:rFonts w:eastAsia="Times New Roman"/>
          <w:kern w:val="0"/>
          <w:sz w:val="22"/>
          <w:szCs w:val="24"/>
          <w:lang w:val="pt-BR" w:eastAsia="pt-BR"/>
        </w:rPr>
        <w:t xml:space="preserve">, R. (1999). The </w:t>
      </w:r>
      <w:proofErr w:type="spellStart"/>
      <w:r w:rsidRPr="0022530D">
        <w:rPr>
          <w:rFonts w:eastAsia="Times New Roman"/>
          <w:kern w:val="0"/>
          <w:sz w:val="22"/>
          <w:szCs w:val="24"/>
          <w:lang w:val="pt-BR" w:eastAsia="pt-BR"/>
        </w:rPr>
        <w:t>quality</w:t>
      </w:r>
      <w:proofErr w:type="spellEnd"/>
      <w:r w:rsidRPr="0022530D">
        <w:rPr>
          <w:rFonts w:eastAsia="Times New Roman"/>
          <w:kern w:val="0"/>
          <w:sz w:val="22"/>
          <w:szCs w:val="24"/>
          <w:lang w:val="pt-BR" w:eastAsia="pt-BR"/>
        </w:rPr>
        <w:t xml:space="preserve"> </w:t>
      </w:r>
      <w:proofErr w:type="spellStart"/>
      <w:r w:rsidR="0003531F" w:rsidRPr="0022530D">
        <w:rPr>
          <w:rFonts w:eastAsia="Times New Roman"/>
          <w:kern w:val="0"/>
          <w:sz w:val="22"/>
          <w:szCs w:val="24"/>
          <w:lang w:val="pt-BR" w:eastAsia="pt-BR"/>
        </w:rPr>
        <w:t>of</w:t>
      </w:r>
      <w:proofErr w:type="spellEnd"/>
      <w:r w:rsidR="0003531F" w:rsidRPr="0022530D">
        <w:rPr>
          <w:rFonts w:eastAsia="Times New Roman"/>
          <w:kern w:val="0"/>
          <w:sz w:val="22"/>
          <w:szCs w:val="24"/>
          <w:lang w:val="pt-BR" w:eastAsia="pt-BR"/>
        </w:rPr>
        <w:t xml:space="preserve"> </w:t>
      </w:r>
      <w:proofErr w:type="spellStart"/>
      <w:r w:rsidR="0003531F" w:rsidRPr="0022530D">
        <w:rPr>
          <w:rFonts w:eastAsia="Times New Roman"/>
          <w:kern w:val="0"/>
          <w:sz w:val="22"/>
          <w:szCs w:val="24"/>
          <w:lang w:val="pt-BR" w:eastAsia="pt-BR"/>
        </w:rPr>
        <w:t>government</w:t>
      </w:r>
      <w:proofErr w:type="spellEnd"/>
      <w:r w:rsidR="0003531F" w:rsidRPr="0022530D">
        <w:rPr>
          <w:rFonts w:eastAsia="Times New Roman"/>
          <w:kern w:val="0"/>
          <w:sz w:val="22"/>
          <w:szCs w:val="24"/>
          <w:lang w:val="pt-BR" w:eastAsia="pt-BR"/>
        </w:rPr>
        <w:t xml:space="preserve">. </w:t>
      </w:r>
      <w:proofErr w:type="spellStart"/>
      <w:r w:rsidR="0003531F" w:rsidRPr="0022530D">
        <w:rPr>
          <w:rFonts w:eastAsia="Times New Roman"/>
          <w:kern w:val="0"/>
          <w:sz w:val="22"/>
          <w:szCs w:val="24"/>
          <w:lang w:val="pt-BR" w:eastAsia="pt-BR"/>
        </w:rPr>
        <w:t>National</w:t>
      </w:r>
      <w:proofErr w:type="spellEnd"/>
      <w:r w:rsidR="0003531F" w:rsidRPr="0022530D">
        <w:rPr>
          <w:rFonts w:eastAsia="Times New Roman"/>
          <w:kern w:val="0"/>
          <w:sz w:val="22"/>
          <w:szCs w:val="24"/>
          <w:lang w:val="pt-BR" w:eastAsia="pt-BR"/>
        </w:rPr>
        <w:t xml:space="preserve"> </w:t>
      </w:r>
      <w:proofErr w:type="spellStart"/>
      <w:r w:rsidR="0003531F" w:rsidRPr="0022530D">
        <w:rPr>
          <w:rFonts w:eastAsia="Times New Roman"/>
          <w:kern w:val="0"/>
          <w:sz w:val="22"/>
          <w:szCs w:val="24"/>
          <w:lang w:val="pt-BR" w:eastAsia="pt-BR"/>
        </w:rPr>
        <w:t>Bureal</w:t>
      </w:r>
      <w:proofErr w:type="spellEnd"/>
      <w:r w:rsidR="0003531F" w:rsidRPr="0022530D">
        <w:rPr>
          <w:rFonts w:eastAsia="Times New Roman"/>
          <w:kern w:val="0"/>
          <w:sz w:val="22"/>
          <w:szCs w:val="24"/>
          <w:lang w:val="pt-BR" w:eastAsia="pt-BR"/>
        </w:rPr>
        <w:t xml:space="preserve"> </w:t>
      </w:r>
      <w:proofErr w:type="spellStart"/>
      <w:r w:rsidR="0003531F" w:rsidRPr="0022530D">
        <w:rPr>
          <w:rFonts w:eastAsia="Times New Roman"/>
          <w:kern w:val="0"/>
          <w:sz w:val="22"/>
          <w:szCs w:val="24"/>
          <w:lang w:val="pt-BR" w:eastAsia="pt-BR"/>
        </w:rPr>
        <w:t>o</w:t>
      </w:r>
      <w:r w:rsidRPr="0022530D">
        <w:rPr>
          <w:rFonts w:eastAsia="Times New Roman"/>
          <w:kern w:val="0"/>
          <w:sz w:val="22"/>
          <w:szCs w:val="24"/>
          <w:lang w:val="pt-BR" w:eastAsia="pt-BR"/>
        </w:rPr>
        <w:t>f</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Economic</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Research</w:t>
      </w:r>
      <w:proofErr w:type="spellEnd"/>
      <w:r w:rsidRPr="0022530D">
        <w:rPr>
          <w:rFonts w:eastAsia="Times New Roman"/>
          <w:kern w:val="0"/>
          <w:sz w:val="22"/>
          <w:szCs w:val="24"/>
          <w:lang w:val="pt-BR" w:eastAsia="pt-BR"/>
        </w:rPr>
        <w:t>:</w:t>
      </w:r>
      <w:r w:rsidRPr="0022530D">
        <w:rPr>
          <w:rFonts w:eastAsia="Times New Roman"/>
          <w:i/>
          <w:iCs/>
          <w:kern w:val="0"/>
          <w:sz w:val="22"/>
          <w:szCs w:val="24"/>
          <w:lang w:val="pt-BR" w:eastAsia="pt-BR"/>
        </w:rPr>
        <w:t xml:space="preserve"> </w:t>
      </w:r>
      <w:proofErr w:type="spellStart"/>
      <w:r w:rsidRPr="0022530D">
        <w:rPr>
          <w:rFonts w:eastAsia="Times New Roman"/>
          <w:i/>
          <w:iCs/>
          <w:kern w:val="0"/>
          <w:sz w:val="22"/>
          <w:szCs w:val="24"/>
          <w:lang w:val="pt-BR" w:eastAsia="pt-BR"/>
        </w:rPr>
        <w:t>working</w:t>
      </w:r>
      <w:proofErr w:type="spellEnd"/>
      <w:r w:rsidRPr="0022530D">
        <w:rPr>
          <w:rFonts w:eastAsia="Times New Roman"/>
          <w:i/>
          <w:iCs/>
          <w:kern w:val="0"/>
          <w:sz w:val="22"/>
          <w:szCs w:val="24"/>
          <w:lang w:val="pt-BR" w:eastAsia="pt-BR"/>
        </w:rPr>
        <w:t xml:space="preserve"> </w:t>
      </w:r>
      <w:proofErr w:type="spellStart"/>
      <w:r w:rsidRPr="0022530D">
        <w:rPr>
          <w:rFonts w:eastAsia="Times New Roman"/>
          <w:i/>
          <w:iCs/>
          <w:kern w:val="0"/>
          <w:sz w:val="22"/>
          <w:szCs w:val="24"/>
          <w:lang w:val="pt-BR" w:eastAsia="pt-BR"/>
        </w:rPr>
        <w:t>paper</w:t>
      </w:r>
      <w:proofErr w:type="spellEnd"/>
      <w:r w:rsidRPr="0022530D">
        <w:rPr>
          <w:rFonts w:eastAsia="Times New Roman"/>
          <w:i/>
          <w:iCs/>
          <w:kern w:val="0"/>
          <w:sz w:val="22"/>
          <w:szCs w:val="24"/>
          <w:lang w:val="pt-BR" w:eastAsia="pt-BR"/>
        </w:rPr>
        <w:t xml:space="preserve"> series, </w:t>
      </w:r>
      <w:r w:rsidRPr="0022530D">
        <w:rPr>
          <w:rFonts w:eastAsia="Times New Roman"/>
          <w:kern w:val="0"/>
          <w:sz w:val="22"/>
          <w:szCs w:val="24"/>
          <w:lang w:val="pt-BR" w:eastAsia="pt-BR"/>
        </w:rPr>
        <w:t xml:space="preserve">Cambridge, 6727, 1-61. </w:t>
      </w:r>
    </w:p>
    <w:p w:rsidR="00B41B09" w:rsidRPr="0022530D" w:rsidRDefault="00B41B09" w:rsidP="0022530D">
      <w:pPr>
        <w:widowControl/>
        <w:spacing w:line="276" w:lineRule="auto"/>
        <w:ind w:left="284" w:hanging="284"/>
        <w:rPr>
          <w:rFonts w:eastAsia="Times New Roman"/>
          <w:kern w:val="0"/>
          <w:sz w:val="22"/>
          <w:szCs w:val="24"/>
          <w:lang w:val="pt-BR" w:eastAsia="pt-BR"/>
        </w:rPr>
      </w:pPr>
      <w:bookmarkStart w:id="2" w:name="_Hlk10106494"/>
      <w:bookmarkEnd w:id="1"/>
      <w:r w:rsidRPr="0022530D">
        <w:rPr>
          <w:rFonts w:eastAsia="Times New Roman"/>
          <w:kern w:val="0"/>
          <w:sz w:val="22"/>
          <w:szCs w:val="24"/>
          <w:lang w:val="pt-BR" w:eastAsia="pt-BR"/>
        </w:rPr>
        <w:t xml:space="preserve">Landes, D. S. (1998). </w:t>
      </w:r>
      <w:r w:rsidRPr="0022530D">
        <w:rPr>
          <w:rFonts w:eastAsia="Times New Roman"/>
          <w:i/>
          <w:iCs/>
          <w:kern w:val="0"/>
          <w:sz w:val="22"/>
          <w:szCs w:val="24"/>
          <w:lang w:val="pt-BR" w:eastAsia="pt-BR"/>
        </w:rPr>
        <w:t xml:space="preserve">The </w:t>
      </w:r>
      <w:proofErr w:type="spellStart"/>
      <w:r w:rsidRPr="0022530D">
        <w:rPr>
          <w:rFonts w:eastAsia="Times New Roman"/>
          <w:i/>
          <w:iCs/>
          <w:kern w:val="0"/>
          <w:sz w:val="22"/>
          <w:szCs w:val="24"/>
          <w:lang w:val="pt-BR" w:eastAsia="pt-BR"/>
        </w:rPr>
        <w:t>wealth</w:t>
      </w:r>
      <w:proofErr w:type="spellEnd"/>
      <w:r w:rsidRPr="0022530D">
        <w:rPr>
          <w:rFonts w:eastAsia="Times New Roman"/>
          <w:i/>
          <w:iCs/>
          <w:kern w:val="0"/>
          <w:sz w:val="22"/>
          <w:szCs w:val="24"/>
          <w:lang w:val="pt-BR" w:eastAsia="pt-BR"/>
        </w:rPr>
        <w:t xml:space="preserve"> </w:t>
      </w:r>
      <w:proofErr w:type="spellStart"/>
      <w:r w:rsidRPr="0022530D">
        <w:rPr>
          <w:rFonts w:eastAsia="Times New Roman"/>
          <w:i/>
          <w:iCs/>
          <w:kern w:val="0"/>
          <w:sz w:val="22"/>
          <w:szCs w:val="24"/>
          <w:lang w:val="pt-BR" w:eastAsia="pt-BR"/>
        </w:rPr>
        <w:t>and</w:t>
      </w:r>
      <w:proofErr w:type="spellEnd"/>
      <w:r w:rsidRPr="0022530D">
        <w:rPr>
          <w:rFonts w:eastAsia="Times New Roman"/>
          <w:i/>
          <w:iCs/>
          <w:kern w:val="0"/>
          <w:sz w:val="22"/>
          <w:szCs w:val="24"/>
          <w:lang w:val="pt-BR" w:eastAsia="pt-BR"/>
        </w:rPr>
        <w:t xml:space="preserve"> </w:t>
      </w:r>
      <w:proofErr w:type="spellStart"/>
      <w:r w:rsidRPr="0022530D">
        <w:rPr>
          <w:rFonts w:eastAsia="Times New Roman"/>
          <w:i/>
          <w:iCs/>
          <w:kern w:val="0"/>
          <w:sz w:val="22"/>
          <w:szCs w:val="24"/>
          <w:lang w:val="pt-BR" w:eastAsia="pt-BR"/>
        </w:rPr>
        <w:t>poverty</w:t>
      </w:r>
      <w:proofErr w:type="spellEnd"/>
      <w:r w:rsidRPr="0022530D">
        <w:rPr>
          <w:rFonts w:eastAsia="Times New Roman"/>
          <w:i/>
          <w:iCs/>
          <w:kern w:val="0"/>
          <w:sz w:val="22"/>
          <w:szCs w:val="24"/>
          <w:lang w:val="pt-BR" w:eastAsia="pt-BR"/>
        </w:rPr>
        <w:t xml:space="preserve"> </w:t>
      </w:r>
      <w:proofErr w:type="spellStart"/>
      <w:r w:rsidRPr="0022530D">
        <w:rPr>
          <w:rFonts w:eastAsia="Times New Roman"/>
          <w:i/>
          <w:iCs/>
          <w:kern w:val="0"/>
          <w:sz w:val="22"/>
          <w:szCs w:val="24"/>
          <w:lang w:val="pt-BR" w:eastAsia="pt-BR"/>
        </w:rPr>
        <w:t>of</w:t>
      </w:r>
      <w:proofErr w:type="spellEnd"/>
      <w:r w:rsidRPr="0022530D">
        <w:rPr>
          <w:rFonts w:eastAsia="Times New Roman"/>
          <w:i/>
          <w:iCs/>
          <w:kern w:val="0"/>
          <w:sz w:val="22"/>
          <w:szCs w:val="24"/>
          <w:lang w:val="pt-BR" w:eastAsia="pt-BR"/>
        </w:rPr>
        <w:t xml:space="preserve"> </w:t>
      </w:r>
      <w:proofErr w:type="spellStart"/>
      <w:r w:rsidRPr="0022530D">
        <w:rPr>
          <w:rFonts w:eastAsia="Times New Roman"/>
          <w:i/>
          <w:iCs/>
          <w:kern w:val="0"/>
          <w:sz w:val="22"/>
          <w:szCs w:val="24"/>
          <w:lang w:val="pt-BR" w:eastAsia="pt-BR"/>
        </w:rPr>
        <w:t>nations</w:t>
      </w:r>
      <w:proofErr w:type="spellEnd"/>
      <w:r w:rsidRPr="0022530D">
        <w:rPr>
          <w:rFonts w:eastAsia="Times New Roman"/>
          <w:i/>
          <w:iCs/>
          <w:kern w:val="0"/>
          <w:sz w:val="22"/>
          <w:szCs w:val="24"/>
          <w:lang w:val="pt-BR" w:eastAsia="pt-BR"/>
        </w:rPr>
        <w:t xml:space="preserve">: </w:t>
      </w:r>
      <w:proofErr w:type="spellStart"/>
      <w:r w:rsidRPr="0022530D">
        <w:rPr>
          <w:rFonts w:eastAsia="Times New Roman"/>
          <w:i/>
          <w:iCs/>
          <w:kern w:val="0"/>
          <w:sz w:val="22"/>
          <w:szCs w:val="24"/>
          <w:lang w:val="pt-BR" w:eastAsia="pt-BR"/>
        </w:rPr>
        <w:t>why</w:t>
      </w:r>
      <w:proofErr w:type="spellEnd"/>
      <w:r w:rsidRPr="0022530D">
        <w:rPr>
          <w:rFonts w:eastAsia="Times New Roman"/>
          <w:i/>
          <w:iCs/>
          <w:kern w:val="0"/>
          <w:sz w:val="22"/>
          <w:szCs w:val="24"/>
          <w:lang w:val="pt-BR" w:eastAsia="pt-BR"/>
        </w:rPr>
        <w:t xml:space="preserve"> some are </w:t>
      </w:r>
      <w:proofErr w:type="spellStart"/>
      <w:r w:rsidRPr="0022530D">
        <w:rPr>
          <w:rFonts w:eastAsia="Times New Roman"/>
          <w:i/>
          <w:iCs/>
          <w:kern w:val="0"/>
          <w:sz w:val="22"/>
          <w:szCs w:val="24"/>
          <w:lang w:val="pt-BR" w:eastAsia="pt-BR"/>
        </w:rPr>
        <w:t>so</w:t>
      </w:r>
      <w:proofErr w:type="spellEnd"/>
      <w:r w:rsidRPr="0022530D">
        <w:rPr>
          <w:rFonts w:eastAsia="Times New Roman"/>
          <w:i/>
          <w:iCs/>
          <w:kern w:val="0"/>
          <w:sz w:val="22"/>
          <w:szCs w:val="24"/>
          <w:lang w:val="pt-BR" w:eastAsia="pt-BR"/>
        </w:rPr>
        <w:t xml:space="preserve"> </w:t>
      </w:r>
      <w:proofErr w:type="spellStart"/>
      <w:r w:rsidRPr="0022530D">
        <w:rPr>
          <w:rFonts w:eastAsia="Times New Roman"/>
          <w:i/>
          <w:iCs/>
          <w:kern w:val="0"/>
          <w:sz w:val="22"/>
          <w:szCs w:val="24"/>
          <w:lang w:val="pt-BR" w:eastAsia="pt-BR"/>
        </w:rPr>
        <w:t>rich</w:t>
      </w:r>
      <w:proofErr w:type="spellEnd"/>
      <w:r w:rsidRPr="0022530D">
        <w:rPr>
          <w:rFonts w:eastAsia="Times New Roman"/>
          <w:i/>
          <w:iCs/>
          <w:kern w:val="0"/>
          <w:sz w:val="22"/>
          <w:szCs w:val="24"/>
          <w:lang w:val="pt-BR" w:eastAsia="pt-BR"/>
        </w:rPr>
        <w:t xml:space="preserve"> </w:t>
      </w:r>
      <w:proofErr w:type="spellStart"/>
      <w:r w:rsidRPr="0022530D">
        <w:rPr>
          <w:rFonts w:eastAsia="Times New Roman"/>
          <w:i/>
          <w:iCs/>
          <w:kern w:val="0"/>
          <w:sz w:val="22"/>
          <w:szCs w:val="24"/>
          <w:lang w:val="pt-BR" w:eastAsia="pt-BR"/>
        </w:rPr>
        <w:t>and</w:t>
      </w:r>
      <w:proofErr w:type="spellEnd"/>
      <w:r w:rsidRPr="0022530D">
        <w:rPr>
          <w:rFonts w:eastAsia="Times New Roman"/>
          <w:i/>
          <w:iCs/>
          <w:kern w:val="0"/>
          <w:sz w:val="22"/>
          <w:szCs w:val="24"/>
          <w:lang w:val="pt-BR" w:eastAsia="pt-BR"/>
        </w:rPr>
        <w:t xml:space="preserve"> some </w:t>
      </w:r>
      <w:proofErr w:type="spellStart"/>
      <w:r w:rsidRPr="0022530D">
        <w:rPr>
          <w:rFonts w:eastAsia="Times New Roman"/>
          <w:i/>
          <w:iCs/>
          <w:kern w:val="0"/>
          <w:sz w:val="22"/>
          <w:szCs w:val="24"/>
          <w:lang w:val="pt-BR" w:eastAsia="pt-BR"/>
        </w:rPr>
        <w:t>so</w:t>
      </w:r>
      <w:proofErr w:type="spellEnd"/>
      <w:r w:rsidRPr="0022530D">
        <w:rPr>
          <w:rFonts w:eastAsia="Times New Roman"/>
          <w:i/>
          <w:iCs/>
          <w:kern w:val="0"/>
          <w:sz w:val="22"/>
          <w:szCs w:val="24"/>
          <w:lang w:val="pt-BR" w:eastAsia="pt-BR"/>
        </w:rPr>
        <w:t xml:space="preserve"> </w:t>
      </w:r>
      <w:proofErr w:type="spellStart"/>
      <w:r w:rsidRPr="0022530D">
        <w:rPr>
          <w:rFonts w:eastAsia="Times New Roman"/>
          <w:i/>
          <w:iCs/>
          <w:kern w:val="0"/>
          <w:sz w:val="22"/>
          <w:szCs w:val="24"/>
          <w:lang w:val="pt-BR" w:eastAsia="pt-BR"/>
        </w:rPr>
        <w:t>poor</w:t>
      </w:r>
      <w:proofErr w:type="spellEnd"/>
      <w:r w:rsidRPr="0022530D">
        <w:rPr>
          <w:rFonts w:eastAsia="Times New Roman"/>
          <w:kern w:val="0"/>
          <w:sz w:val="22"/>
          <w:szCs w:val="24"/>
          <w:lang w:val="pt-BR" w:eastAsia="pt-BR"/>
        </w:rPr>
        <w:t>. New York, NY: W. W. Norton.</w:t>
      </w:r>
    </w:p>
    <w:bookmarkEnd w:id="2"/>
    <w:p w:rsidR="00B41B09" w:rsidRPr="0022530D" w:rsidRDefault="00B41B09" w:rsidP="0022530D">
      <w:pPr>
        <w:widowControl/>
        <w:spacing w:line="276" w:lineRule="auto"/>
        <w:ind w:left="284" w:hanging="284"/>
        <w:rPr>
          <w:rFonts w:eastAsia="Times New Roman"/>
          <w:kern w:val="0"/>
          <w:sz w:val="22"/>
          <w:szCs w:val="24"/>
          <w:lang w:val="pt-BR" w:eastAsia="pt-BR"/>
        </w:rPr>
      </w:pPr>
      <w:proofErr w:type="spellStart"/>
      <w:r w:rsidRPr="0022530D">
        <w:rPr>
          <w:rFonts w:eastAsia="Times New Roman"/>
          <w:kern w:val="0"/>
          <w:sz w:val="22"/>
          <w:szCs w:val="24"/>
          <w:lang w:val="pt-BR" w:eastAsia="pt-BR"/>
        </w:rPr>
        <w:lastRenderedPageBreak/>
        <w:t>Mudambi</w:t>
      </w:r>
      <w:proofErr w:type="spellEnd"/>
      <w:r w:rsidRPr="0022530D">
        <w:rPr>
          <w:rFonts w:eastAsia="Times New Roman"/>
          <w:kern w:val="0"/>
          <w:sz w:val="22"/>
          <w:szCs w:val="24"/>
          <w:lang w:val="pt-BR" w:eastAsia="pt-BR"/>
        </w:rPr>
        <w:t xml:space="preserve">, R. &amp; </w:t>
      </w:r>
      <w:proofErr w:type="spellStart"/>
      <w:r w:rsidRPr="0022530D">
        <w:rPr>
          <w:rFonts w:eastAsia="Times New Roman"/>
          <w:kern w:val="0"/>
          <w:sz w:val="22"/>
          <w:szCs w:val="24"/>
          <w:lang w:val="pt-BR" w:eastAsia="pt-BR"/>
        </w:rPr>
        <w:t>Navarran</w:t>
      </w:r>
      <w:proofErr w:type="spellEnd"/>
      <w:r w:rsidRPr="0022530D">
        <w:rPr>
          <w:rFonts w:eastAsia="Times New Roman"/>
          <w:kern w:val="0"/>
          <w:sz w:val="22"/>
          <w:szCs w:val="24"/>
          <w:lang w:val="pt-BR" w:eastAsia="pt-BR"/>
        </w:rPr>
        <w:t xml:space="preserve">, P. (2002). </w:t>
      </w:r>
      <w:proofErr w:type="spellStart"/>
      <w:r w:rsidRPr="0022530D">
        <w:rPr>
          <w:rFonts w:eastAsia="Times New Roman"/>
          <w:kern w:val="0"/>
          <w:sz w:val="22"/>
          <w:szCs w:val="24"/>
          <w:lang w:val="pt-BR" w:eastAsia="pt-BR"/>
        </w:rPr>
        <w:t>Institutions</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and</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international</w:t>
      </w:r>
      <w:proofErr w:type="spellEnd"/>
      <w:r w:rsidRPr="0022530D">
        <w:rPr>
          <w:rFonts w:eastAsia="Times New Roman"/>
          <w:kern w:val="0"/>
          <w:sz w:val="22"/>
          <w:szCs w:val="24"/>
          <w:lang w:val="pt-BR" w:eastAsia="pt-BR"/>
        </w:rPr>
        <w:t xml:space="preserve"> business: a </w:t>
      </w:r>
      <w:proofErr w:type="spellStart"/>
      <w:r w:rsidRPr="0022530D">
        <w:rPr>
          <w:rFonts w:eastAsia="Times New Roman"/>
          <w:kern w:val="0"/>
          <w:sz w:val="22"/>
          <w:szCs w:val="24"/>
          <w:lang w:val="pt-BR" w:eastAsia="pt-BR"/>
        </w:rPr>
        <w:t>theoretical</w:t>
      </w:r>
      <w:proofErr w:type="spellEnd"/>
      <w:r w:rsidRPr="0022530D">
        <w:rPr>
          <w:rFonts w:eastAsia="Times New Roman"/>
          <w:kern w:val="0"/>
          <w:sz w:val="22"/>
          <w:szCs w:val="24"/>
          <w:lang w:val="pt-BR" w:eastAsia="pt-BR"/>
        </w:rPr>
        <w:t xml:space="preserve"> overview. </w:t>
      </w:r>
      <w:proofErr w:type="spellStart"/>
      <w:r w:rsidRPr="0022530D">
        <w:rPr>
          <w:rFonts w:eastAsia="Times New Roman"/>
          <w:bCs/>
          <w:i/>
          <w:kern w:val="0"/>
          <w:sz w:val="22"/>
          <w:szCs w:val="24"/>
          <w:lang w:val="pt-BR" w:eastAsia="pt-BR"/>
        </w:rPr>
        <w:t>International</w:t>
      </w:r>
      <w:proofErr w:type="spellEnd"/>
      <w:r w:rsidRPr="0022530D">
        <w:rPr>
          <w:rFonts w:eastAsia="Times New Roman"/>
          <w:bCs/>
          <w:i/>
          <w:kern w:val="0"/>
          <w:sz w:val="22"/>
          <w:szCs w:val="24"/>
          <w:lang w:val="pt-BR" w:eastAsia="pt-BR"/>
        </w:rPr>
        <w:t xml:space="preserve"> Business </w:t>
      </w:r>
      <w:proofErr w:type="spellStart"/>
      <w:r w:rsidRPr="0022530D">
        <w:rPr>
          <w:rFonts w:eastAsia="Times New Roman"/>
          <w:bCs/>
          <w:i/>
          <w:kern w:val="0"/>
          <w:sz w:val="22"/>
          <w:szCs w:val="24"/>
          <w:lang w:val="pt-BR" w:eastAsia="pt-BR"/>
        </w:rPr>
        <w:t>Review</w:t>
      </w:r>
      <w:proofErr w:type="spellEnd"/>
      <w:r w:rsidRPr="0022530D">
        <w:rPr>
          <w:rFonts w:eastAsia="Times New Roman"/>
          <w:kern w:val="0"/>
          <w:sz w:val="22"/>
          <w:szCs w:val="24"/>
          <w:lang w:val="pt-BR" w:eastAsia="pt-BR"/>
        </w:rPr>
        <w:t>, 11</w:t>
      </w:r>
      <w:r w:rsidR="0010081A" w:rsidRPr="0022530D">
        <w:rPr>
          <w:rFonts w:eastAsia="Times New Roman"/>
          <w:kern w:val="0"/>
          <w:sz w:val="22"/>
          <w:szCs w:val="24"/>
          <w:lang w:val="pt-BR" w:eastAsia="pt-BR"/>
        </w:rPr>
        <w:t>(6)</w:t>
      </w:r>
      <w:r w:rsidRPr="0022530D">
        <w:rPr>
          <w:rFonts w:eastAsia="Times New Roman"/>
          <w:kern w:val="0"/>
          <w:sz w:val="22"/>
          <w:szCs w:val="24"/>
          <w:lang w:val="pt-BR" w:eastAsia="pt-BR"/>
        </w:rPr>
        <w:t>, p</w:t>
      </w:r>
      <w:r w:rsidR="0010081A" w:rsidRPr="0022530D">
        <w:rPr>
          <w:rFonts w:eastAsia="Times New Roman"/>
          <w:kern w:val="0"/>
          <w:sz w:val="22"/>
          <w:szCs w:val="24"/>
          <w:lang w:val="pt-BR" w:eastAsia="pt-BR"/>
        </w:rPr>
        <w:t>p</w:t>
      </w:r>
      <w:r w:rsidRPr="0022530D">
        <w:rPr>
          <w:rFonts w:eastAsia="Times New Roman"/>
          <w:kern w:val="0"/>
          <w:sz w:val="22"/>
          <w:szCs w:val="24"/>
          <w:lang w:val="pt-BR" w:eastAsia="pt-BR"/>
        </w:rPr>
        <w:t>. 635-646.</w:t>
      </w:r>
    </w:p>
    <w:p w:rsidR="00B41B09" w:rsidRPr="0022530D" w:rsidRDefault="00B41B09" w:rsidP="0022530D">
      <w:pPr>
        <w:widowControl/>
        <w:spacing w:line="276" w:lineRule="auto"/>
        <w:ind w:left="284" w:hanging="284"/>
        <w:rPr>
          <w:rFonts w:eastAsia="Times New Roman"/>
          <w:kern w:val="0"/>
          <w:sz w:val="22"/>
          <w:szCs w:val="24"/>
          <w:lang w:val="pt-BR" w:eastAsia="pt-BR"/>
        </w:rPr>
      </w:pPr>
      <w:proofErr w:type="spellStart"/>
      <w:r w:rsidRPr="0022530D">
        <w:rPr>
          <w:rFonts w:eastAsia="Times New Roman"/>
          <w:kern w:val="0"/>
          <w:sz w:val="22"/>
          <w:szCs w:val="24"/>
          <w:lang w:val="pt-BR" w:eastAsia="pt-BR"/>
        </w:rPr>
        <w:t>Narula</w:t>
      </w:r>
      <w:proofErr w:type="spellEnd"/>
      <w:r w:rsidRPr="0022530D">
        <w:rPr>
          <w:rFonts w:eastAsia="Times New Roman"/>
          <w:kern w:val="0"/>
          <w:sz w:val="22"/>
          <w:szCs w:val="24"/>
          <w:lang w:val="pt-BR" w:eastAsia="pt-BR"/>
        </w:rPr>
        <w:t xml:space="preserve">, R. e </w:t>
      </w:r>
      <w:proofErr w:type="spellStart"/>
      <w:r w:rsidRPr="0022530D">
        <w:rPr>
          <w:rFonts w:eastAsia="Times New Roman"/>
          <w:kern w:val="0"/>
          <w:sz w:val="22"/>
          <w:szCs w:val="24"/>
          <w:lang w:val="pt-BR" w:eastAsia="pt-BR"/>
        </w:rPr>
        <w:t>Dunning</w:t>
      </w:r>
      <w:proofErr w:type="spellEnd"/>
      <w:r w:rsidRPr="0022530D">
        <w:rPr>
          <w:rFonts w:eastAsia="Times New Roman"/>
          <w:kern w:val="0"/>
          <w:sz w:val="22"/>
          <w:szCs w:val="24"/>
          <w:lang w:val="pt-BR" w:eastAsia="pt-BR"/>
        </w:rPr>
        <w:t xml:space="preserve">, J. H. Industrial </w:t>
      </w:r>
      <w:proofErr w:type="spellStart"/>
      <w:r w:rsidRPr="0022530D">
        <w:rPr>
          <w:rFonts w:eastAsia="Times New Roman"/>
          <w:kern w:val="0"/>
          <w:sz w:val="22"/>
          <w:szCs w:val="24"/>
          <w:lang w:val="pt-BR" w:eastAsia="pt-BR"/>
        </w:rPr>
        <w:t>development</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globalization</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and</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multinational</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enterprises</w:t>
      </w:r>
      <w:proofErr w:type="spellEnd"/>
      <w:r w:rsidRPr="0022530D">
        <w:rPr>
          <w:rFonts w:eastAsia="Times New Roman"/>
          <w:kern w:val="0"/>
          <w:sz w:val="22"/>
          <w:szCs w:val="24"/>
          <w:lang w:val="pt-BR" w:eastAsia="pt-BR"/>
        </w:rPr>
        <w:t xml:space="preserve">: new realities for </w:t>
      </w:r>
      <w:proofErr w:type="spellStart"/>
      <w:r w:rsidRPr="0022530D">
        <w:rPr>
          <w:rFonts w:eastAsia="Times New Roman"/>
          <w:kern w:val="0"/>
          <w:sz w:val="22"/>
          <w:szCs w:val="24"/>
          <w:lang w:val="pt-BR" w:eastAsia="pt-BR"/>
        </w:rPr>
        <w:t>developing</w:t>
      </w:r>
      <w:proofErr w:type="spellEnd"/>
      <w:r w:rsidRPr="0022530D">
        <w:rPr>
          <w:rFonts w:eastAsia="Times New Roman"/>
          <w:kern w:val="0"/>
          <w:sz w:val="22"/>
          <w:szCs w:val="24"/>
          <w:lang w:val="pt-BR" w:eastAsia="pt-BR"/>
        </w:rPr>
        <w:t xml:space="preserve"> countries. </w:t>
      </w:r>
      <w:r w:rsidRPr="0022530D">
        <w:rPr>
          <w:rFonts w:eastAsia="Times New Roman"/>
          <w:bCs/>
          <w:i/>
          <w:iCs/>
          <w:kern w:val="0"/>
          <w:sz w:val="22"/>
          <w:szCs w:val="24"/>
          <w:lang w:val="pt-BR" w:eastAsia="pt-BR"/>
        </w:rPr>
        <w:t xml:space="preserve">Oxford </w:t>
      </w:r>
      <w:proofErr w:type="spellStart"/>
      <w:r w:rsidRPr="0022530D">
        <w:rPr>
          <w:rFonts w:eastAsia="Times New Roman"/>
          <w:bCs/>
          <w:i/>
          <w:iCs/>
          <w:kern w:val="0"/>
          <w:sz w:val="22"/>
          <w:szCs w:val="24"/>
          <w:lang w:val="pt-BR" w:eastAsia="pt-BR"/>
        </w:rPr>
        <w:t>Development</w:t>
      </w:r>
      <w:proofErr w:type="spellEnd"/>
      <w:r w:rsidRPr="0022530D">
        <w:rPr>
          <w:rFonts w:eastAsia="Times New Roman"/>
          <w:bCs/>
          <w:i/>
          <w:iCs/>
          <w:kern w:val="0"/>
          <w:sz w:val="22"/>
          <w:szCs w:val="24"/>
          <w:lang w:val="pt-BR" w:eastAsia="pt-BR"/>
        </w:rPr>
        <w:t xml:space="preserve"> </w:t>
      </w:r>
      <w:proofErr w:type="spellStart"/>
      <w:r w:rsidRPr="0022530D">
        <w:rPr>
          <w:rFonts w:eastAsia="Times New Roman"/>
          <w:bCs/>
          <w:i/>
          <w:iCs/>
          <w:kern w:val="0"/>
          <w:sz w:val="22"/>
          <w:szCs w:val="24"/>
          <w:lang w:val="pt-BR" w:eastAsia="pt-BR"/>
        </w:rPr>
        <w:t>Studies</w:t>
      </w:r>
      <w:proofErr w:type="spellEnd"/>
      <w:r w:rsidRPr="0022530D">
        <w:rPr>
          <w:rFonts w:eastAsia="Times New Roman"/>
          <w:i/>
          <w:iCs/>
          <w:kern w:val="0"/>
          <w:sz w:val="22"/>
          <w:szCs w:val="24"/>
          <w:lang w:val="pt-BR" w:eastAsia="pt-BR"/>
        </w:rPr>
        <w:t>, 28</w:t>
      </w:r>
      <w:r w:rsidRPr="0022530D">
        <w:rPr>
          <w:rFonts w:eastAsia="Times New Roman"/>
          <w:kern w:val="0"/>
          <w:sz w:val="22"/>
          <w:szCs w:val="24"/>
          <w:lang w:val="pt-BR" w:eastAsia="pt-BR"/>
        </w:rPr>
        <w:t>(2),</w:t>
      </w:r>
      <w:r w:rsidRPr="0022530D">
        <w:rPr>
          <w:rFonts w:eastAsia="Times New Roman"/>
          <w:i/>
          <w:iCs/>
          <w:kern w:val="0"/>
          <w:sz w:val="22"/>
          <w:szCs w:val="24"/>
          <w:lang w:val="pt-BR" w:eastAsia="pt-BR"/>
        </w:rPr>
        <w:t xml:space="preserve"> </w:t>
      </w:r>
      <w:r w:rsidRPr="0022530D">
        <w:rPr>
          <w:rFonts w:eastAsia="Times New Roman"/>
          <w:kern w:val="0"/>
          <w:sz w:val="22"/>
          <w:szCs w:val="24"/>
          <w:lang w:val="pt-BR" w:eastAsia="pt-BR"/>
        </w:rPr>
        <w:t xml:space="preserve">pp.141-167. </w:t>
      </w:r>
    </w:p>
    <w:p w:rsidR="00B41B09" w:rsidRPr="0022530D" w:rsidRDefault="00B41B09" w:rsidP="0022530D">
      <w:pPr>
        <w:widowControl/>
        <w:spacing w:line="276" w:lineRule="auto"/>
        <w:ind w:left="284" w:hanging="284"/>
        <w:rPr>
          <w:rFonts w:eastAsia="Times New Roman"/>
          <w:kern w:val="0"/>
          <w:sz w:val="22"/>
          <w:szCs w:val="24"/>
          <w:lang w:val="pt-BR" w:eastAsia="pt-BR"/>
        </w:rPr>
      </w:pPr>
      <w:proofErr w:type="spellStart"/>
      <w:r w:rsidRPr="0022530D">
        <w:rPr>
          <w:rFonts w:eastAsia="Times New Roman"/>
          <w:kern w:val="0"/>
          <w:sz w:val="22"/>
          <w:szCs w:val="24"/>
          <w:lang w:val="pt-BR" w:eastAsia="pt-BR"/>
        </w:rPr>
        <w:t>Nonnenberg</w:t>
      </w:r>
      <w:proofErr w:type="spellEnd"/>
      <w:r w:rsidRPr="0022530D">
        <w:rPr>
          <w:rFonts w:eastAsia="Times New Roman"/>
          <w:kern w:val="0"/>
          <w:sz w:val="22"/>
          <w:szCs w:val="24"/>
          <w:lang w:val="pt-BR" w:eastAsia="pt-BR"/>
        </w:rPr>
        <w:t xml:space="preserve">, M. J. B. &amp; Mendonça, M. J. C. de. (2005). Determinantes dos investimentos diretos externos em países em desenvolvimento. </w:t>
      </w:r>
      <w:r w:rsidRPr="0022530D">
        <w:rPr>
          <w:rFonts w:eastAsia="Times New Roman"/>
          <w:i/>
          <w:iCs/>
          <w:kern w:val="0"/>
          <w:sz w:val="22"/>
          <w:szCs w:val="24"/>
          <w:lang w:val="pt-BR" w:eastAsia="pt-BR"/>
        </w:rPr>
        <w:t>Estudos Econômicos, 35</w:t>
      </w:r>
      <w:r w:rsidRPr="0022530D">
        <w:rPr>
          <w:rFonts w:eastAsia="Times New Roman"/>
          <w:kern w:val="0"/>
          <w:sz w:val="22"/>
          <w:szCs w:val="24"/>
          <w:lang w:val="pt-BR" w:eastAsia="pt-BR"/>
        </w:rPr>
        <w:t>(4), 2005, pp. 631-655.</w:t>
      </w:r>
    </w:p>
    <w:p w:rsidR="00B41B09" w:rsidRPr="0022530D" w:rsidRDefault="0010081A" w:rsidP="0022530D">
      <w:pPr>
        <w:widowControl/>
        <w:spacing w:line="276" w:lineRule="auto"/>
        <w:rPr>
          <w:rFonts w:eastAsia="Times New Roman"/>
          <w:kern w:val="0"/>
          <w:sz w:val="22"/>
          <w:szCs w:val="24"/>
          <w:lang w:val="pt-BR" w:eastAsia="pt-BR"/>
        </w:rPr>
      </w:pPr>
      <w:r w:rsidRPr="0022530D">
        <w:rPr>
          <w:rFonts w:eastAsia="Times New Roman"/>
          <w:kern w:val="0"/>
          <w:sz w:val="22"/>
          <w:szCs w:val="24"/>
          <w:lang w:val="pt-BR" w:eastAsia="pt-BR"/>
        </w:rPr>
        <w:t>North</w:t>
      </w:r>
      <w:r w:rsidR="00B41B09" w:rsidRPr="0022530D">
        <w:rPr>
          <w:rFonts w:eastAsia="Times New Roman"/>
          <w:kern w:val="0"/>
          <w:sz w:val="22"/>
          <w:szCs w:val="24"/>
          <w:lang w:val="pt-BR" w:eastAsia="pt-BR"/>
        </w:rPr>
        <w:t>, D. C. (1994).</w:t>
      </w:r>
      <w:r w:rsidRPr="0022530D">
        <w:rPr>
          <w:rFonts w:eastAsia="Times New Roman"/>
          <w:kern w:val="0"/>
          <w:sz w:val="22"/>
          <w:szCs w:val="24"/>
          <w:lang w:val="pt-BR" w:eastAsia="pt-BR"/>
        </w:rPr>
        <w:t xml:space="preserve"> </w:t>
      </w:r>
      <w:proofErr w:type="spellStart"/>
      <w:r w:rsidR="00B41B09" w:rsidRPr="0022530D">
        <w:rPr>
          <w:rFonts w:eastAsia="Times New Roman"/>
          <w:kern w:val="0"/>
          <w:sz w:val="22"/>
          <w:szCs w:val="24"/>
          <w:lang w:val="pt-BR" w:eastAsia="pt-BR"/>
        </w:rPr>
        <w:t>Economic</w:t>
      </w:r>
      <w:proofErr w:type="spellEnd"/>
      <w:r w:rsidR="00B41B09" w:rsidRPr="0022530D">
        <w:rPr>
          <w:rFonts w:eastAsia="Times New Roman"/>
          <w:kern w:val="0"/>
          <w:sz w:val="22"/>
          <w:szCs w:val="24"/>
          <w:lang w:val="pt-BR" w:eastAsia="pt-BR"/>
        </w:rPr>
        <w:t xml:space="preserve"> Performance </w:t>
      </w:r>
      <w:proofErr w:type="spellStart"/>
      <w:r w:rsidR="0003531F" w:rsidRPr="0022530D">
        <w:rPr>
          <w:rFonts w:eastAsia="Times New Roman"/>
          <w:kern w:val="0"/>
          <w:sz w:val="22"/>
          <w:szCs w:val="24"/>
          <w:lang w:val="pt-BR" w:eastAsia="pt-BR"/>
        </w:rPr>
        <w:t>through</w:t>
      </w:r>
      <w:proofErr w:type="spellEnd"/>
      <w:r w:rsidR="00B41B09" w:rsidRPr="0022530D">
        <w:rPr>
          <w:rFonts w:eastAsia="Times New Roman"/>
          <w:kern w:val="0"/>
          <w:sz w:val="22"/>
          <w:szCs w:val="24"/>
          <w:lang w:val="pt-BR" w:eastAsia="pt-BR"/>
        </w:rPr>
        <w:t xml:space="preserve"> Time. </w:t>
      </w:r>
      <w:r w:rsidR="00B41B09" w:rsidRPr="0022530D">
        <w:rPr>
          <w:rFonts w:eastAsia="Times New Roman"/>
          <w:i/>
          <w:iCs/>
          <w:kern w:val="0"/>
          <w:sz w:val="22"/>
          <w:szCs w:val="24"/>
          <w:lang w:val="pt-BR" w:eastAsia="pt-BR"/>
        </w:rPr>
        <w:t xml:space="preserve">The American </w:t>
      </w:r>
      <w:proofErr w:type="spellStart"/>
      <w:r w:rsidR="00B41B09" w:rsidRPr="0022530D">
        <w:rPr>
          <w:rFonts w:eastAsia="Times New Roman"/>
          <w:i/>
          <w:iCs/>
          <w:kern w:val="0"/>
          <w:sz w:val="22"/>
          <w:szCs w:val="24"/>
          <w:lang w:val="pt-BR" w:eastAsia="pt-BR"/>
        </w:rPr>
        <w:t>Economic</w:t>
      </w:r>
      <w:proofErr w:type="spellEnd"/>
      <w:r w:rsidR="00B41B09" w:rsidRPr="0022530D">
        <w:rPr>
          <w:rFonts w:eastAsia="Times New Roman"/>
          <w:i/>
          <w:iCs/>
          <w:kern w:val="0"/>
          <w:sz w:val="22"/>
          <w:szCs w:val="24"/>
          <w:lang w:val="pt-BR" w:eastAsia="pt-BR"/>
        </w:rPr>
        <w:t xml:space="preserve"> </w:t>
      </w:r>
      <w:proofErr w:type="spellStart"/>
      <w:r w:rsidR="00B41B09" w:rsidRPr="0022530D">
        <w:rPr>
          <w:rFonts w:eastAsia="Times New Roman"/>
          <w:i/>
          <w:iCs/>
          <w:kern w:val="0"/>
          <w:sz w:val="22"/>
          <w:szCs w:val="24"/>
          <w:lang w:val="pt-BR" w:eastAsia="pt-BR"/>
        </w:rPr>
        <w:t>Review</w:t>
      </w:r>
      <w:proofErr w:type="spellEnd"/>
      <w:r w:rsidRPr="0022530D">
        <w:rPr>
          <w:rFonts w:eastAsia="Times New Roman"/>
          <w:kern w:val="0"/>
          <w:sz w:val="22"/>
          <w:szCs w:val="24"/>
          <w:lang w:val="pt-BR" w:eastAsia="pt-BR"/>
        </w:rPr>
        <w:t xml:space="preserve">, 84(3), </w:t>
      </w:r>
      <w:r w:rsidR="00B41B09" w:rsidRPr="0022530D">
        <w:rPr>
          <w:rFonts w:eastAsia="Times New Roman"/>
          <w:kern w:val="0"/>
          <w:sz w:val="22"/>
          <w:szCs w:val="24"/>
          <w:lang w:val="pt-BR" w:eastAsia="pt-BR"/>
        </w:rPr>
        <w:t>p. 359-368.</w:t>
      </w:r>
    </w:p>
    <w:p w:rsidR="00B41B09" w:rsidRPr="0022530D" w:rsidRDefault="0010081A" w:rsidP="0022530D">
      <w:pPr>
        <w:widowControl/>
        <w:spacing w:line="276" w:lineRule="auto"/>
        <w:ind w:left="284" w:hanging="284"/>
        <w:rPr>
          <w:rFonts w:eastAsia="Times New Roman"/>
          <w:kern w:val="0"/>
          <w:sz w:val="22"/>
          <w:szCs w:val="24"/>
          <w:lang w:val="pt-BR" w:eastAsia="pt-BR"/>
        </w:rPr>
      </w:pPr>
      <w:r w:rsidRPr="0022530D">
        <w:rPr>
          <w:rFonts w:eastAsia="Times New Roman"/>
          <w:kern w:val="0"/>
          <w:sz w:val="22"/>
          <w:szCs w:val="24"/>
          <w:lang w:val="pt-BR" w:eastAsia="pt-BR"/>
        </w:rPr>
        <w:t xml:space="preserve">North, D. C. </w:t>
      </w:r>
      <w:r w:rsidR="00B41B09" w:rsidRPr="0022530D">
        <w:rPr>
          <w:rFonts w:eastAsia="Times New Roman"/>
          <w:kern w:val="0"/>
          <w:sz w:val="22"/>
          <w:szCs w:val="24"/>
          <w:lang w:val="pt-BR" w:eastAsia="pt-BR"/>
        </w:rPr>
        <w:t xml:space="preserve">(1990). </w:t>
      </w:r>
      <w:proofErr w:type="spellStart"/>
      <w:r w:rsidR="00B41B09" w:rsidRPr="0022530D">
        <w:rPr>
          <w:rFonts w:eastAsia="Times New Roman"/>
          <w:i/>
          <w:iCs/>
          <w:kern w:val="0"/>
          <w:sz w:val="22"/>
          <w:szCs w:val="24"/>
          <w:lang w:val="pt-BR" w:eastAsia="pt-BR"/>
        </w:rPr>
        <w:t>Institutions</w:t>
      </w:r>
      <w:proofErr w:type="spellEnd"/>
      <w:r w:rsidR="00B41B09" w:rsidRPr="0022530D">
        <w:rPr>
          <w:rFonts w:eastAsia="Times New Roman"/>
          <w:i/>
          <w:iCs/>
          <w:kern w:val="0"/>
          <w:sz w:val="22"/>
          <w:szCs w:val="24"/>
          <w:lang w:val="pt-BR" w:eastAsia="pt-BR"/>
        </w:rPr>
        <w:t xml:space="preserve">, </w:t>
      </w:r>
      <w:proofErr w:type="spellStart"/>
      <w:r w:rsidR="00B41B09" w:rsidRPr="0022530D">
        <w:rPr>
          <w:rFonts w:eastAsia="Times New Roman"/>
          <w:i/>
          <w:iCs/>
          <w:kern w:val="0"/>
          <w:sz w:val="22"/>
          <w:szCs w:val="24"/>
          <w:lang w:val="pt-BR" w:eastAsia="pt-BR"/>
        </w:rPr>
        <w:t>Institutional</w:t>
      </w:r>
      <w:proofErr w:type="spellEnd"/>
      <w:r w:rsidR="00B41B09" w:rsidRPr="0022530D">
        <w:rPr>
          <w:rFonts w:eastAsia="Times New Roman"/>
          <w:i/>
          <w:iCs/>
          <w:kern w:val="0"/>
          <w:sz w:val="22"/>
          <w:szCs w:val="24"/>
          <w:lang w:val="pt-BR" w:eastAsia="pt-BR"/>
        </w:rPr>
        <w:t xml:space="preserve"> </w:t>
      </w:r>
      <w:proofErr w:type="spellStart"/>
      <w:r w:rsidR="00B41B09" w:rsidRPr="0022530D">
        <w:rPr>
          <w:rFonts w:eastAsia="Times New Roman"/>
          <w:i/>
          <w:iCs/>
          <w:kern w:val="0"/>
          <w:sz w:val="22"/>
          <w:szCs w:val="24"/>
          <w:lang w:val="pt-BR" w:eastAsia="pt-BR"/>
        </w:rPr>
        <w:t>Change</w:t>
      </w:r>
      <w:proofErr w:type="spellEnd"/>
      <w:r w:rsidR="00B41B09" w:rsidRPr="0022530D">
        <w:rPr>
          <w:rFonts w:eastAsia="Times New Roman"/>
          <w:i/>
          <w:iCs/>
          <w:kern w:val="0"/>
          <w:sz w:val="22"/>
          <w:szCs w:val="24"/>
          <w:lang w:val="pt-BR" w:eastAsia="pt-BR"/>
        </w:rPr>
        <w:t xml:space="preserve"> </w:t>
      </w:r>
      <w:proofErr w:type="spellStart"/>
      <w:r w:rsidR="00B41B09" w:rsidRPr="0022530D">
        <w:rPr>
          <w:rFonts w:eastAsia="Times New Roman"/>
          <w:i/>
          <w:iCs/>
          <w:kern w:val="0"/>
          <w:sz w:val="22"/>
          <w:szCs w:val="24"/>
          <w:lang w:val="pt-BR" w:eastAsia="pt-BR"/>
        </w:rPr>
        <w:t>and</w:t>
      </w:r>
      <w:proofErr w:type="spellEnd"/>
      <w:r w:rsidR="00B41B09" w:rsidRPr="0022530D">
        <w:rPr>
          <w:rFonts w:eastAsia="Times New Roman"/>
          <w:i/>
          <w:iCs/>
          <w:kern w:val="0"/>
          <w:sz w:val="22"/>
          <w:szCs w:val="24"/>
          <w:lang w:val="pt-BR" w:eastAsia="pt-BR"/>
        </w:rPr>
        <w:t xml:space="preserve"> </w:t>
      </w:r>
      <w:proofErr w:type="spellStart"/>
      <w:r w:rsidR="00B41B09" w:rsidRPr="0022530D">
        <w:rPr>
          <w:rFonts w:eastAsia="Times New Roman"/>
          <w:i/>
          <w:iCs/>
          <w:kern w:val="0"/>
          <w:sz w:val="22"/>
          <w:szCs w:val="24"/>
          <w:lang w:val="pt-BR" w:eastAsia="pt-BR"/>
        </w:rPr>
        <w:t>Economic</w:t>
      </w:r>
      <w:proofErr w:type="spellEnd"/>
      <w:r w:rsidR="00B41B09" w:rsidRPr="0022530D">
        <w:rPr>
          <w:rFonts w:eastAsia="Times New Roman"/>
          <w:i/>
          <w:iCs/>
          <w:kern w:val="0"/>
          <w:sz w:val="22"/>
          <w:szCs w:val="24"/>
          <w:lang w:val="pt-BR" w:eastAsia="pt-BR"/>
        </w:rPr>
        <w:t xml:space="preserve"> Performance</w:t>
      </w:r>
      <w:r w:rsidR="00B41B09" w:rsidRPr="0022530D">
        <w:rPr>
          <w:rFonts w:eastAsia="Times New Roman"/>
          <w:kern w:val="0"/>
          <w:sz w:val="22"/>
          <w:szCs w:val="24"/>
          <w:lang w:val="pt-BR" w:eastAsia="pt-BR"/>
        </w:rPr>
        <w:t xml:space="preserve">. Cambridge: </w:t>
      </w:r>
      <w:proofErr w:type="spellStart"/>
      <w:r w:rsidR="00B41B09" w:rsidRPr="0022530D">
        <w:rPr>
          <w:rFonts w:eastAsia="Times New Roman"/>
          <w:kern w:val="0"/>
          <w:sz w:val="22"/>
          <w:szCs w:val="24"/>
          <w:lang w:val="pt-BR" w:eastAsia="pt-BR"/>
        </w:rPr>
        <w:t>University</w:t>
      </w:r>
      <w:proofErr w:type="spellEnd"/>
      <w:r w:rsidR="00B41B09" w:rsidRPr="0022530D">
        <w:rPr>
          <w:rFonts w:eastAsia="Times New Roman"/>
          <w:kern w:val="0"/>
          <w:sz w:val="22"/>
          <w:szCs w:val="24"/>
          <w:lang w:val="pt-BR" w:eastAsia="pt-BR"/>
        </w:rPr>
        <w:t xml:space="preserve"> Press.</w:t>
      </w:r>
    </w:p>
    <w:p w:rsidR="00B41B09" w:rsidRPr="0022530D" w:rsidRDefault="0010081A" w:rsidP="0022530D">
      <w:pPr>
        <w:widowControl/>
        <w:spacing w:line="276" w:lineRule="auto"/>
        <w:ind w:left="284" w:hanging="284"/>
        <w:rPr>
          <w:rFonts w:eastAsia="Times New Roman"/>
          <w:kern w:val="0"/>
          <w:sz w:val="22"/>
          <w:szCs w:val="24"/>
          <w:lang w:val="pt-BR" w:eastAsia="pt-BR"/>
        </w:rPr>
      </w:pPr>
      <w:r w:rsidRPr="0022530D">
        <w:rPr>
          <w:rFonts w:eastAsia="Times New Roman"/>
          <w:kern w:val="0"/>
          <w:sz w:val="22"/>
          <w:szCs w:val="24"/>
          <w:lang w:val="pt-BR" w:eastAsia="pt-BR"/>
        </w:rPr>
        <w:t>North, D. C</w:t>
      </w:r>
      <w:r w:rsidR="00B41B09" w:rsidRPr="0022530D">
        <w:rPr>
          <w:rFonts w:eastAsia="Times New Roman"/>
          <w:kern w:val="0"/>
          <w:sz w:val="22"/>
          <w:szCs w:val="24"/>
          <w:lang w:val="pt-BR" w:eastAsia="pt-BR"/>
        </w:rPr>
        <w:t xml:space="preserve">. (1991). </w:t>
      </w:r>
      <w:proofErr w:type="spellStart"/>
      <w:r w:rsidR="00B41B09" w:rsidRPr="0022530D">
        <w:rPr>
          <w:rFonts w:eastAsia="Times New Roman"/>
          <w:kern w:val="0"/>
          <w:sz w:val="22"/>
          <w:szCs w:val="24"/>
          <w:lang w:val="pt-BR" w:eastAsia="pt-BR"/>
        </w:rPr>
        <w:t>Institutions</w:t>
      </w:r>
      <w:proofErr w:type="spellEnd"/>
      <w:r w:rsidR="00B41B09" w:rsidRPr="0022530D">
        <w:rPr>
          <w:rFonts w:eastAsia="Times New Roman"/>
          <w:kern w:val="0"/>
          <w:sz w:val="22"/>
          <w:szCs w:val="24"/>
          <w:lang w:val="pt-BR" w:eastAsia="pt-BR"/>
        </w:rPr>
        <w:t>. </w:t>
      </w:r>
      <w:proofErr w:type="spellStart"/>
      <w:r w:rsidR="00B41B09" w:rsidRPr="0022530D">
        <w:rPr>
          <w:rFonts w:eastAsia="Times New Roman"/>
          <w:i/>
          <w:iCs/>
          <w:kern w:val="0"/>
          <w:sz w:val="22"/>
          <w:szCs w:val="24"/>
          <w:lang w:val="pt-BR" w:eastAsia="pt-BR"/>
        </w:rPr>
        <w:t>Journal</w:t>
      </w:r>
      <w:proofErr w:type="spellEnd"/>
      <w:r w:rsidR="00B41B09" w:rsidRPr="0022530D">
        <w:rPr>
          <w:rFonts w:eastAsia="Times New Roman"/>
          <w:i/>
          <w:iCs/>
          <w:kern w:val="0"/>
          <w:sz w:val="22"/>
          <w:szCs w:val="24"/>
          <w:lang w:val="pt-BR" w:eastAsia="pt-BR"/>
        </w:rPr>
        <w:t xml:space="preserve"> </w:t>
      </w:r>
      <w:proofErr w:type="spellStart"/>
      <w:r w:rsidR="00B41B09" w:rsidRPr="0022530D">
        <w:rPr>
          <w:rFonts w:eastAsia="Times New Roman"/>
          <w:i/>
          <w:iCs/>
          <w:kern w:val="0"/>
          <w:sz w:val="22"/>
          <w:szCs w:val="24"/>
          <w:lang w:val="pt-BR" w:eastAsia="pt-BR"/>
        </w:rPr>
        <w:t>of</w:t>
      </w:r>
      <w:proofErr w:type="spellEnd"/>
      <w:r w:rsidR="00B41B09" w:rsidRPr="0022530D">
        <w:rPr>
          <w:rFonts w:eastAsia="Times New Roman"/>
          <w:i/>
          <w:iCs/>
          <w:kern w:val="0"/>
          <w:sz w:val="22"/>
          <w:szCs w:val="24"/>
          <w:lang w:val="pt-BR" w:eastAsia="pt-BR"/>
        </w:rPr>
        <w:t xml:space="preserve"> </w:t>
      </w:r>
      <w:proofErr w:type="spellStart"/>
      <w:r w:rsidR="00B41B09" w:rsidRPr="0022530D">
        <w:rPr>
          <w:rFonts w:eastAsia="Times New Roman"/>
          <w:i/>
          <w:iCs/>
          <w:kern w:val="0"/>
          <w:sz w:val="22"/>
          <w:szCs w:val="24"/>
          <w:lang w:val="pt-BR" w:eastAsia="pt-BR"/>
        </w:rPr>
        <w:t>Economic</w:t>
      </w:r>
      <w:proofErr w:type="spellEnd"/>
      <w:r w:rsidR="00B41B09" w:rsidRPr="0022530D">
        <w:rPr>
          <w:rFonts w:eastAsia="Times New Roman"/>
          <w:i/>
          <w:iCs/>
          <w:kern w:val="0"/>
          <w:sz w:val="22"/>
          <w:szCs w:val="24"/>
          <w:lang w:val="pt-BR" w:eastAsia="pt-BR"/>
        </w:rPr>
        <w:t xml:space="preserve"> Perspectives, 5</w:t>
      </w:r>
      <w:r w:rsidR="00B41B09" w:rsidRPr="0022530D">
        <w:rPr>
          <w:rFonts w:eastAsia="Times New Roman"/>
          <w:kern w:val="0"/>
          <w:sz w:val="22"/>
          <w:szCs w:val="24"/>
          <w:lang w:val="pt-BR" w:eastAsia="pt-BR"/>
        </w:rPr>
        <w:t>(1), pp. 97-112.</w:t>
      </w:r>
    </w:p>
    <w:p w:rsidR="00B41B09" w:rsidRPr="0022530D" w:rsidRDefault="0010081A" w:rsidP="0022530D">
      <w:pPr>
        <w:widowControl/>
        <w:spacing w:line="276" w:lineRule="auto"/>
        <w:ind w:left="284" w:hanging="284"/>
        <w:rPr>
          <w:rFonts w:eastAsia="Times New Roman"/>
          <w:kern w:val="0"/>
          <w:sz w:val="22"/>
          <w:szCs w:val="24"/>
          <w:lang w:val="pt-BR" w:eastAsia="pt-BR"/>
        </w:rPr>
      </w:pPr>
      <w:r w:rsidRPr="0022530D">
        <w:rPr>
          <w:rFonts w:eastAsia="Times New Roman"/>
          <w:kern w:val="0"/>
          <w:sz w:val="22"/>
          <w:szCs w:val="24"/>
          <w:lang w:val="pt-BR" w:eastAsia="pt-BR"/>
        </w:rPr>
        <w:t xml:space="preserve">North, D. </w:t>
      </w:r>
      <w:r w:rsidR="00B41B09" w:rsidRPr="0022530D">
        <w:rPr>
          <w:rFonts w:eastAsia="Times New Roman"/>
          <w:kern w:val="0"/>
          <w:sz w:val="22"/>
          <w:szCs w:val="24"/>
          <w:lang w:val="pt-BR" w:eastAsia="pt-BR"/>
        </w:rPr>
        <w:t>C. (2003). </w:t>
      </w:r>
      <w:r w:rsidR="00B41B09" w:rsidRPr="0022530D">
        <w:rPr>
          <w:rFonts w:eastAsia="Times New Roman"/>
          <w:i/>
          <w:iCs/>
          <w:kern w:val="0"/>
          <w:sz w:val="22"/>
          <w:szCs w:val="24"/>
          <w:lang w:val="pt-BR" w:eastAsia="pt-BR"/>
        </w:rPr>
        <w:t xml:space="preserve">Five </w:t>
      </w:r>
      <w:proofErr w:type="spellStart"/>
      <w:r w:rsidR="00B41B09" w:rsidRPr="0022530D">
        <w:rPr>
          <w:rFonts w:eastAsia="Times New Roman"/>
          <w:i/>
          <w:iCs/>
          <w:kern w:val="0"/>
          <w:sz w:val="22"/>
          <w:szCs w:val="24"/>
          <w:lang w:val="pt-BR" w:eastAsia="pt-BR"/>
        </w:rPr>
        <w:t>Propositions</w:t>
      </w:r>
      <w:proofErr w:type="spellEnd"/>
      <w:r w:rsidR="00B41B09" w:rsidRPr="0022530D">
        <w:rPr>
          <w:rFonts w:eastAsia="Times New Roman"/>
          <w:i/>
          <w:iCs/>
          <w:kern w:val="0"/>
          <w:sz w:val="22"/>
          <w:szCs w:val="24"/>
          <w:lang w:val="pt-BR" w:eastAsia="pt-BR"/>
        </w:rPr>
        <w:t xml:space="preserve"> </w:t>
      </w:r>
      <w:proofErr w:type="spellStart"/>
      <w:r w:rsidR="00B41B09" w:rsidRPr="0022530D">
        <w:rPr>
          <w:rFonts w:eastAsia="Times New Roman"/>
          <w:i/>
          <w:iCs/>
          <w:kern w:val="0"/>
          <w:sz w:val="22"/>
          <w:szCs w:val="24"/>
          <w:lang w:val="pt-BR" w:eastAsia="pt-BR"/>
        </w:rPr>
        <w:t>about</w:t>
      </w:r>
      <w:proofErr w:type="spellEnd"/>
      <w:r w:rsidR="00B41B09" w:rsidRPr="0022530D">
        <w:rPr>
          <w:rFonts w:eastAsia="Times New Roman"/>
          <w:i/>
          <w:iCs/>
          <w:kern w:val="0"/>
          <w:sz w:val="22"/>
          <w:szCs w:val="24"/>
          <w:lang w:val="pt-BR" w:eastAsia="pt-BR"/>
        </w:rPr>
        <w:t xml:space="preserve"> </w:t>
      </w:r>
      <w:proofErr w:type="spellStart"/>
      <w:r w:rsidR="00B41B09" w:rsidRPr="0022530D">
        <w:rPr>
          <w:rFonts w:eastAsia="Times New Roman"/>
          <w:i/>
          <w:iCs/>
          <w:kern w:val="0"/>
          <w:sz w:val="22"/>
          <w:szCs w:val="24"/>
          <w:lang w:val="pt-BR" w:eastAsia="pt-BR"/>
        </w:rPr>
        <w:t>institutional</w:t>
      </w:r>
      <w:proofErr w:type="spellEnd"/>
      <w:r w:rsidR="00B41B09" w:rsidRPr="0022530D">
        <w:rPr>
          <w:rFonts w:eastAsia="Times New Roman"/>
          <w:i/>
          <w:iCs/>
          <w:kern w:val="0"/>
          <w:sz w:val="22"/>
          <w:szCs w:val="24"/>
          <w:lang w:val="pt-BR" w:eastAsia="pt-BR"/>
        </w:rPr>
        <w:t xml:space="preserve"> </w:t>
      </w:r>
      <w:proofErr w:type="spellStart"/>
      <w:r w:rsidR="00B41B09" w:rsidRPr="0022530D">
        <w:rPr>
          <w:rFonts w:eastAsia="Times New Roman"/>
          <w:i/>
          <w:iCs/>
          <w:kern w:val="0"/>
          <w:sz w:val="22"/>
          <w:szCs w:val="24"/>
          <w:lang w:val="pt-BR" w:eastAsia="pt-BR"/>
        </w:rPr>
        <w:t>change</w:t>
      </w:r>
      <w:proofErr w:type="spellEnd"/>
      <w:r w:rsidR="00B41B09" w:rsidRPr="0022530D">
        <w:rPr>
          <w:rFonts w:eastAsia="Times New Roman"/>
          <w:i/>
          <w:iCs/>
          <w:kern w:val="0"/>
          <w:sz w:val="22"/>
          <w:szCs w:val="24"/>
          <w:lang w:val="pt-BR" w:eastAsia="pt-BR"/>
        </w:rPr>
        <w:t>.</w:t>
      </w:r>
      <w:r w:rsidR="00B41B09" w:rsidRPr="0022530D">
        <w:rPr>
          <w:rFonts w:eastAsia="Times New Roman"/>
          <w:kern w:val="0"/>
          <w:sz w:val="22"/>
          <w:szCs w:val="24"/>
          <w:lang w:val="pt-BR" w:eastAsia="pt-BR"/>
        </w:rPr>
        <w:t xml:space="preserve"> Washington: St. Louis </w:t>
      </w:r>
      <w:proofErr w:type="spellStart"/>
      <w:r w:rsidR="00B41B09" w:rsidRPr="0022530D">
        <w:rPr>
          <w:rFonts w:eastAsia="Times New Roman"/>
          <w:kern w:val="0"/>
          <w:sz w:val="22"/>
          <w:szCs w:val="24"/>
          <w:lang w:val="pt-BR" w:eastAsia="pt-BR"/>
        </w:rPr>
        <w:t>University</w:t>
      </w:r>
      <w:proofErr w:type="spellEnd"/>
      <w:r w:rsidR="00B41B09" w:rsidRPr="0022530D">
        <w:rPr>
          <w:rFonts w:eastAsia="Times New Roman"/>
          <w:kern w:val="0"/>
          <w:sz w:val="22"/>
          <w:szCs w:val="24"/>
          <w:lang w:val="pt-BR" w:eastAsia="pt-BR"/>
        </w:rPr>
        <w:t>.</w:t>
      </w:r>
    </w:p>
    <w:p w:rsidR="00DD4E6A" w:rsidRPr="0022530D" w:rsidRDefault="00DD4E6A" w:rsidP="0022530D">
      <w:pPr>
        <w:widowControl/>
        <w:spacing w:line="276" w:lineRule="auto"/>
        <w:ind w:left="284" w:hanging="284"/>
        <w:rPr>
          <w:rFonts w:eastAsia="Times New Roman"/>
          <w:kern w:val="0"/>
          <w:sz w:val="22"/>
          <w:szCs w:val="24"/>
          <w:lang w:val="pt-BR" w:eastAsia="pt-BR"/>
        </w:rPr>
      </w:pPr>
      <w:bookmarkStart w:id="3" w:name="_Hlk10106423"/>
      <w:proofErr w:type="spellStart"/>
      <w:r w:rsidRPr="0022530D">
        <w:rPr>
          <w:sz w:val="22"/>
          <w:szCs w:val="24"/>
          <w:shd w:val="clear" w:color="auto" w:fill="FFFFFF"/>
        </w:rPr>
        <w:t>Sargan</w:t>
      </w:r>
      <w:proofErr w:type="spellEnd"/>
      <w:r w:rsidRPr="0022530D">
        <w:rPr>
          <w:sz w:val="22"/>
          <w:szCs w:val="24"/>
          <w:shd w:val="clear" w:color="auto" w:fill="FFFFFF"/>
        </w:rPr>
        <w:t xml:space="preserve">, J. D. (1958). </w:t>
      </w:r>
      <w:r w:rsidRPr="0022530D">
        <w:rPr>
          <w:i/>
          <w:sz w:val="22"/>
          <w:szCs w:val="24"/>
          <w:shd w:val="clear" w:color="auto" w:fill="FFFFFF"/>
        </w:rPr>
        <w:t>The Estimation of Economic Relationships Using Instrumental Variables</w:t>
      </w:r>
      <w:r w:rsidRPr="0022530D">
        <w:rPr>
          <w:sz w:val="22"/>
          <w:szCs w:val="24"/>
          <w:shd w:val="clear" w:color="auto" w:fill="FFFFFF"/>
        </w:rPr>
        <w:t>. </w:t>
      </w:r>
      <w:proofErr w:type="spellStart"/>
      <w:r w:rsidR="00C52A18">
        <w:rPr>
          <w:rStyle w:val="Hyperlink"/>
          <w:iCs/>
          <w:color w:val="auto"/>
          <w:sz w:val="22"/>
          <w:szCs w:val="24"/>
          <w:u w:val="none"/>
          <w:shd w:val="clear" w:color="auto" w:fill="FFFFFF"/>
        </w:rPr>
        <w:fldChar w:fldCharType="begin"/>
      </w:r>
      <w:r w:rsidR="00C52A18">
        <w:rPr>
          <w:rStyle w:val="Hyperlink"/>
          <w:iCs/>
          <w:color w:val="auto"/>
          <w:sz w:val="22"/>
          <w:szCs w:val="24"/>
          <w:u w:val="none"/>
          <w:shd w:val="clear" w:color="auto" w:fill="FFFFFF"/>
        </w:rPr>
        <w:instrText xml:space="preserve"> HYPERLINK "https://en.wikipedia.org/wiki/Econometrica" \o "Econometrica" </w:instrText>
      </w:r>
      <w:r w:rsidR="00C52A18">
        <w:rPr>
          <w:rStyle w:val="Hyperlink"/>
          <w:iCs/>
          <w:color w:val="auto"/>
          <w:sz w:val="22"/>
          <w:szCs w:val="24"/>
          <w:u w:val="none"/>
          <w:shd w:val="clear" w:color="auto" w:fill="FFFFFF"/>
        </w:rPr>
        <w:fldChar w:fldCharType="separate"/>
      </w:r>
      <w:r w:rsidRPr="0022530D">
        <w:rPr>
          <w:rStyle w:val="Hyperlink"/>
          <w:iCs/>
          <w:color w:val="auto"/>
          <w:sz w:val="22"/>
          <w:szCs w:val="24"/>
          <w:u w:val="none"/>
          <w:shd w:val="clear" w:color="auto" w:fill="FFFFFF"/>
        </w:rPr>
        <w:t>Econometrica</w:t>
      </w:r>
      <w:proofErr w:type="spellEnd"/>
      <w:r w:rsidR="00C52A18">
        <w:rPr>
          <w:rStyle w:val="Hyperlink"/>
          <w:iCs/>
          <w:color w:val="auto"/>
          <w:sz w:val="22"/>
          <w:szCs w:val="24"/>
          <w:u w:val="none"/>
          <w:shd w:val="clear" w:color="auto" w:fill="FFFFFF"/>
        </w:rPr>
        <w:fldChar w:fldCharType="end"/>
      </w:r>
      <w:r w:rsidRPr="0022530D">
        <w:rPr>
          <w:sz w:val="22"/>
          <w:szCs w:val="24"/>
          <w:shd w:val="clear" w:color="auto" w:fill="FFFFFF"/>
        </w:rPr>
        <w:t>. </w:t>
      </w:r>
      <w:proofErr w:type="gramStart"/>
      <w:r w:rsidRPr="0022530D">
        <w:rPr>
          <w:bCs/>
          <w:sz w:val="22"/>
          <w:szCs w:val="24"/>
          <w:shd w:val="clear" w:color="auto" w:fill="FFFFFF"/>
        </w:rPr>
        <w:t>26</w:t>
      </w:r>
      <w:proofErr w:type="gramEnd"/>
      <w:r w:rsidRPr="0022530D">
        <w:rPr>
          <w:sz w:val="22"/>
          <w:szCs w:val="24"/>
          <w:shd w:val="clear" w:color="auto" w:fill="FFFFFF"/>
        </w:rPr>
        <w:t> (3): p. 393–415.</w:t>
      </w:r>
    </w:p>
    <w:bookmarkEnd w:id="3"/>
    <w:p w:rsidR="00B41B09" w:rsidRPr="0022530D" w:rsidRDefault="00B41B09" w:rsidP="0022530D">
      <w:pPr>
        <w:widowControl/>
        <w:spacing w:line="276" w:lineRule="auto"/>
        <w:ind w:left="284" w:hanging="284"/>
        <w:rPr>
          <w:rFonts w:eastAsia="Times New Roman"/>
          <w:kern w:val="0"/>
          <w:sz w:val="22"/>
          <w:szCs w:val="24"/>
          <w:lang w:val="pt-BR" w:eastAsia="pt-BR"/>
        </w:rPr>
      </w:pPr>
      <w:proofErr w:type="spellStart"/>
      <w:r w:rsidRPr="0022530D">
        <w:rPr>
          <w:rFonts w:eastAsia="Times New Roman"/>
          <w:kern w:val="0"/>
          <w:sz w:val="22"/>
          <w:szCs w:val="24"/>
          <w:lang w:val="pt-BR" w:eastAsia="pt-BR"/>
        </w:rPr>
        <w:t>Sornarajah</w:t>
      </w:r>
      <w:proofErr w:type="spellEnd"/>
      <w:r w:rsidRPr="0022530D">
        <w:rPr>
          <w:rFonts w:eastAsia="Times New Roman"/>
          <w:kern w:val="0"/>
          <w:sz w:val="22"/>
          <w:szCs w:val="24"/>
          <w:lang w:val="pt-BR" w:eastAsia="pt-BR"/>
        </w:rPr>
        <w:t xml:space="preserve">, M. (2010). </w:t>
      </w:r>
      <w:r w:rsidRPr="0022530D">
        <w:rPr>
          <w:rFonts w:eastAsia="Times New Roman"/>
          <w:i/>
          <w:iCs/>
          <w:kern w:val="0"/>
          <w:sz w:val="22"/>
          <w:szCs w:val="24"/>
          <w:lang w:val="pt-BR" w:eastAsia="pt-BR"/>
        </w:rPr>
        <w:t xml:space="preserve">The </w:t>
      </w:r>
      <w:proofErr w:type="spellStart"/>
      <w:r w:rsidRPr="0022530D">
        <w:rPr>
          <w:rFonts w:eastAsia="Times New Roman"/>
          <w:i/>
          <w:iCs/>
          <w:kern w:val="0"/>
          <w:sz w:val="22"/>
          <w:szCs w:val="24"/>
          <w:lang w:val="pt-BR" w:eastAsia="pt-BR"/>
        </w:rPr>
        <w:t>International</w:t>
      </w:r>
      <w:proofErr w:type="spellEnd"/>
      <w:r w:rsidRPr="0022530D">
        <w:rPr>
          <w:rFonts w:eastAsia="Times New Roman"/>
          <w:i/>
          <w:iCs/>
          <w:kern w:val="0"/>
          <w:sz w:val="22"/>
          <w:szCs w:val="24"/>
          <w:lang w:val="pt-BR" w:eastAsia="pt-BR"/>
        </w:rPr>
        <w:t xml:space="preserve"> Law </w:t>
      </w:r>
      <w:proofErr w:type="spellStart"/>
      <w:r w:rsidRPr="0022530D">
        <w:rPr>
          <w:rFonts w:eastAsia="Times New Roman"/>
          <w:i/>
          <w:iCs/>
          <w:kern w:val="0"/>
          <w:sz w:val="22"/>
          <w:szCs w:val="24"/>
          <w:lang w:val="pt-BR" w:eastAsia="pt-BR"/>
        </w:rPr>
        <w:t>of</w:t>
      </w:r>
      <w:proofErr w:type="spellEnd"/>
      <w:r w:rsidRPr="0022530D">
        <w:rPr>
          <w:rFonts w:eastAsia="Times New Roman"/>
          <w:i/>
          <w:iCs/>
          <w:kern w:val="0"/>
          <w:sz w:val="22"/>
          <w:szCs w:val="24"/>
          <w:lang w:val="pt-BR" w:eastAsia="pt-BR"/>
        </w:rPr>
        <w:t xml:space="preserve"> </w:t>
      </w:r>
      <w:proofErr w:type="spellStart"/>
      <w:r w:rsidRPr="0022530D">
        <w:rPr>
          <w:rFonts w:eastAsia="Times New Roman"/>
          <w:i/>
          <w:iCs/>
          <w:kern w:val="0"/>
          <w:sz w:val="22"/>
          <w:szCs w:val="24"/>
          <w:lang w:val="pt-BR" w:eastAsia="pt-BR"/>
        </w:rPr>
        <w:t>Foreign</w:t>
      </w:r>
      <w:proofErr w:type="spellEnd"/>
      <w:r w:rsidRPr="0022530D">
        <w:rPr>
          <w:rFonts w:eastAsia="Times New Roman"/>
          <w:i/>
          <w:iCs/>
          <w:kern w:val="0"/>
          <w:sz w:val="22"/>
          <w:szCs w:val="24"/>
          <w:lang w:val="pt-BR" w:eastAsia="pt-BR"/>
        </w:rPr>
        <w:t xml:space="preserve"> </w:t>
      </w:r>
      <w:proofErr w:type="spellStart"/>
      <w:r w:rsidRPr="0022530D">
        <w:rPr>
          <w:rFonts w:eastAsia="Times New Roman"/>
          <w:i/>
          <w:iCs/>
          <w:kern w:val="0"/>
          <w:sz w:val="22"/>
          <w:szCs w:val="24"/>
          <w:lang w:val="pt-BR" w:eastAsia="pt-BR"/>
        </w:rPr>
        <w:t>Investment</w:t>
      </w:r>
      <w:proofErr w:type="spellEnd"/>
      <w:r w:rsidRPr="0022530D">
        <w:rPr>
          <w:rFonts w:eastAsia="Times New Roman"/>
          <w:kern w:val="0"/>
          <w:sz w:val="22"/>
          <w:szCs w:val="24"/>
          <w:lang w:val="pt-BR" w:eastAsia="pt-BR"/>
        </w:rPr>
        <w:t xml:space="preserve">. Cambridge: </w:t>
      </w:r>
      <w:proofErr w:type="spellStart"/>
      <w:r w:rsidRPr="0022530D">
        <w:rPr>
          <w:rFonts w:eastAsia="Times New Roman"/>
          <w:kern w:val="0"/>
          <w:sz w:val="22"/>
          <w:szCs w:val="24"/>
          <w:lang w:val="pt-BR" w:eastAsia="pt-BR"/>
        </w:rPr>
        <w:t>Author</w:t>
      </w:r>
      <w:proofErr w:type="spellEnd"/>
      <w:r w:rsidRPr="0022530D">
        <w:rPr>
          <w:rFonts w:eastAsia="Times New Roman"/>
          <w:kern w:val="0"/>
          <w:sz w:val="22"/>
          <w:szCs w:val="24"/>
          <w:lang w:val="pt-BR" w:eastAsia="pt-BR"/>
        </w:rPr>
        <w:t>.</w:t>
      </w:r>
    </w:p>
    <w:p w:rsidR="00CD280D" w:rsidRPr="0022530D" w:rsidRDefault="00B41B09" w:rsidP="0022530D">
      <w:pPr>
        <w:widowControl/>
        <w:spacing w:line="276" w:lineRule="auto"/>
        <w:ind w:left="284" w:hanging="284"/>
        <w:rPr>
          <w:rFonts w:eastAsia="Times New Roman"/>
          <w:kern w:val="0"/>
          <w:sz w:val="22"/>
          <w:szCs w:val="24"/>
          <w:lang w:val="pt-BR" w:eastAsia="pt-BR"/>
        </w:rPr>
      </w:pPr>
      <w:r w:rsidRPr="0022530D">
        <w:rPr>
          <w:rFonts w:eastAsia="Times New Roman"/>
          <w:kern w:val="0"/>
          <w:sz w:val="22"/>
          <w:szCs w:val="24"/>
          <w:lang w:val="pt-BR" w:eastAsia="pt-BR"/>
        </w:rPr>
        <w:t xml:space="preserve">Stein, E. e </w:t>
      </w:r>
      <w:proofErr w:type="spellStart"/>
      <w:r w:rsidRPr="0022530D">
        <w:rPr>
          <w:rFonts w:eastAsia="Times New Roman"/>
          <w:kern w:val="0"/>
          <w:sz w:val="22"/>
          <w:szCs w:val="24"/>
          <w:lang w:val="pt-BR" w:eastAsia="pt-BR"/>
        </w:rPr>
        <w:t>Dauded</w:t>
      </w:r>
      <w:proofErr w:type="spellEnd"/>
      <w:r w:rsidRPr="0022530D">
        <w:rPr>
          <w:rFonts w:eastAsia="Times New Roman"/>
          <w:kern w:val="0"/>
          <w:sz w:val="22"/>
          <w:szCs w:val="24"/>
          <w:lang w:val="pt-BR" w:eastAsia="pt-BR"/>
        </w:rPr>
        <w:t xml:space="preserve">, C. (2001). </w:t>
      </w:r>
      <w:proofErr w:type="spellStart"/>
      <w:r w:rsidRPr="0022530D">
        <w:rPr>
          <w:rFonts w:eastAsia="Times New Roman"/>
          <w:i/>
          <w:iCs/>
          <w:kern w:val="0"/>
          <w:sz w:val="22"/>
          <w:szCs w:val="24"/>
          <w:lang w:val="pt-BR" w:eastAsia="pt-BR"/>
        </w:rPr>
        <w:t>Institutions</w:t>
      </w:r>
      <w:proofErr w:type="spellEnd"/>
      <w:r w:rsidRPr="0022530D">
        <w:rPr>
          <w:rFonts w:eastAsia="Times New Roman"/>
          <w:i/>
          <w:iCs/>
          <w:kern w:val="0"/>
          <w:sz w:val="22"/>
          <w:szCs w:val="24"/>
          <w:lang w:val="pt-BR" w:eastAsia="pt-BR"/>
        </w:rPr>
        <w:t xml:space="preserve">, </w:t>
      </w:r>
      <w:proofErr w:type="spellStart"/>
      <w:r w:rsidRPr="0022530D">
        <w:rPr>
          <w:rFonts w:eastAsia="Times New Roman"/>
          <w:i/>
          <w:iCs/>
          <w:kern w:val="0"/>
          <w:sz w:val="22"/>
          <w:szCs w:val="24"/>
          <w:lang w:val="pt-BR" w:eastAsia="pt-BR"/>
        </w:rPr>
        <w:t>Integration</w:t>
      </w:r>
      <w:proofErr w:type="spellEnd"/>
      <w:r w:rsidRPr="0022530D">
        <w:rPr>
          <w:rFonts w:eastAsia="Times New Roman"/>
          <w:i/>
          <w:iCs/>
          <w:kern w:val="0"/>
          <w:sz w:val="22"/>
          <w:szCs w:val="24"/>
          <w:lang w:val="pt-BR" w:eastAsia="pt-BR"/>
        </w:rPr>
        <w:t xml:space="preserve"> </w:t>
      </w:r>
      <w:proofErr w:type="spellStart"/>
      <w:r w:rsidRPr="0022530D">
        <w:rPr>
          <w:rFonts w:eastAsia="Times New Roman"/>
          <w:i/>
          <w:iCs/>
          <w:kern w:val="0"/>
          <w:sz w:val="22"/>
          <w:szCs w:val="24"/>
          <w:lang w:val="pt-BR" w:eastAsia="pt-BR"/>
        </w:rPr>
        <w:t>and</w:t>
      </w:r>
      <w:proofErr w:type="spellEnd"/>
      <w:r w:rsidRPr="0022530D">
        <w:rPr>
          <w:rFonts w:eastAsia="Times New Roman"/>
          <w:i/>
          <w:iCs/>
          <w:kern w:val="0"/>
          <w:sz w:val="22"/>
          <w:szCs w:val="24"/>
          <w:lang w:val="pt-BR" w:eastAsia="pt-BR"/>
        </w:rPr>
        <w:t xml:space="preserve"> </w:t>
      </w:r>
      <w:proofErr w:type="spellStart"/>
      <w:r w:rsidRPr="0022530D">
        <w:rPr>
          <w:rFonts w:eastAsia="Times New Roman"/>
          <w:i/>
          <w:iCs/>
          <w:kern w:val="0"/>
          <w:sz w:val="22"/>
          <w:szCs w:val="24"/>
          <w:lang w:val="pt-BR" w:eastAsia="pt-BR"/>
        </w:rPr>
        <w:t>the</w:t>
      </w:r>
      <w:proofErr w:type="spellEnd"/>
      <w:r w:rsidRPr="0022530D">
        <w:rPr>
          <w:rFonts w:eastAsia="Times New Roman"/>
          <w:i/>
          <w:iCs/>
          <w:kern w:val="0"/>
          <w:sz w:val="22"/>
          <w:szCs w:val="24"/>
          <w:lang w:val="pt-BR" w:eastAsia="pt-BR"/>
        </w:rPr>
        <w:t xml:space="preserve"> </w:t>
      </w:r>
      <w:proofErr w:type="spellStart"/>
      <w:r w:rsidRPr="0022530D">
        <w:rPr>
          <w:rFonts w:eastAsia="Times New Roman"/>
          <w:i/>
          <w:iCs/>
          <w:kern w:val="0"/>
          <w:sz w:val="22"/>
          <w:szCs w:val="24"/>
          <w:lang w:val="pt-BR" w:eastAsia="pt-BR"/>
        </w:rPr>
        <w:t>Location</w:t>
      </w:r>
      <w:proofErr w:type="spellEnd"/>
      <w:r w:rsidRPr="0022530D">
        <w:rPr>
          <w:rFonts w:eastAsia="Times New Roman"/>
          <w:i/>
          <w:iCs/>
          <w:kern w:val="0"/>
          <w:sz w:val="22"/>
          <w:szCs w:val="24"/>
          <w:lang w:val="pt-BR" w:eastAsia="pt-BR"/>
        </w:rPr>
        <w:t xml:space="preserve"> </w:t>
      </w:r>
      <w:proofErr w:type="spellStart"/>
      <w:r w:rsidRPr="0022530D">
        <w:rPr>
          <w:rFonts w:eastAsia="Times New Roman"/>
          <w:i/>
          <w:iCs/>
          <w:kern w:val="0"/>
          <w:sz w:val="22"/>
          <w:szCs w:val="24"/>
          <w:lang w:val="pt-BR" w:eastAsia="pt-BR"/>
        </w:rPr>
        <w:t>of</w:t>
      </w:r>
      <w:proofErr w:type="spellEnd"/>
      <w:r w:rsidRPr="0022530D">
        <w:rPr>
          <w:rFonts w:eastAsia="Times New Roman"/>
          <w:i/>
          <w:iCs/>
          <w:kern w:val="0"/>
          <w:sz w:val="22"/>
          <w:szCs w:val="24"/>
          <w:lang w:val="pt-BR" w:eastAsia="pt-BR"/>
        </w:rPr>
        <w:t xml:space="preserve"> </w:t>
      </w:r>
      <w:proofErr w:type="spellStart"/>
      <w:r w:rsidRPr="0022530D">
        <w:rPr>
          <w:rFonts w:eastAsia="Times New Roman"/>
          <w:i/>
          <w:iCs/>
          <w:kern w:val="0"/>
          <w:sz w:val="22"/>
          <w:szCs w:val="24"/>
          <w:lang w:val="pt-BR" w:eastAsia="pt-BR"/>
        </w:rPr>
        <w:t>Foreign</w:t>
      </w:r>
      <w:proofErr w:type="spellEnd"/>
      <w:r w:rsidRPr="0022530D">
        <w:rPr>
          <w:rFonts w:eastAsia="Times New Roman"/>
          <w:i/>
          <w:iCs/>
          <w:kern w:val="0"/>
          <w:sz w:val="22"/>
          <w:szCs w:val="24"/>
          <w:lang w:val="pt-BR" w:eastAsia="pt-BR"/>
        </w:rPr>
        <w:t xml:space="preserve"> </w:t>
      </w:r>
      <w:proofErr w:type="spellStart"/>
      <w:r w:rsidRPr="0022530D">
        <w:rPr>
          <w:rFonts w:eastAsia="Times New Roman"/>
          <w:i/>
          <w:iCs/>
          <w:kern w:val="0"/>
          <w:sz w:val="22"/>
          <w:szCs w:val="24"/>
          <w:lang w:val="pt-BR" w:eastAsia="pt-BR"/>
        </w:rPr>
        <w:t>Direct</w:t>
      </w:r>
      <w:proofErr w:type="spellEnd"/>
      <w:r w:rsidRPr="0022530D">
        <w:rPr>
          <w:rFonts w:eastAsia="Times New Roman"/>
          <w:i/>
          <w:iCs/>
          <w:kern w:val="0"/>
          <w:sz w:val="22"/>
          <w:szCs w:val="24"/>
          <w:lang w:val="pt-BR" w:eastAsia="pt-BR"/>
        </w:rPr>
        <w:t xml:space="preserve"> </w:t>
      </w:r>
      <w:proofErr w:type="spellStart"/>
      <w:r w:rsidRPr="0022530D">
        <w:rPr>
          <w:rFonts w:eastAsia="Times New Roman"/>
          <w:i/>
          <w:iCs/>
          <w:kern w:val="0"/>
          <w:sz w:val="22"/>
          <w:szCs w:val="24"/>
          <w:lang w:val="pt-BR" w:eastAsia="pt-BR"/>
        </w:rPr>
        <w:t>Investmen</w:t>
      </w:r>
      <w:r w:rsidRPr="0022530D">
        <w:rPr>
          <w:rFonts w:eastAsia="Times New Roman"/>
          <w:kern w:val="0"/>
          <w:sz w:val="22"/>
          <w:szCs w:val="24"/>
          <w:lang w:val="pt-BR" w:eastAsia="pt-BR"/>
        </w:rPr>
        <w:t>t</w:t>
      </w:r>
      <w:proofErr w:type="spellEnd"/>
      <w:r w:rsidRPr="0022530D">
        <w:rPr>
          <w:rFonts w:eastAsia="Times New Roman"/>
          <w:kern w:val="0"/>
          <w:sz w:val="22"/>
          <w:szCs w:val="24"/>
          <w:lang w:val="pt-BR" w:eastAsia="pt-BR"/>
        </w:rPr>
        <w:t xml:space="preserve">. Santiago: IADB </w:t>
      </w:r>
      <w:proofErr w:type="spellStart"/>
      <w:r w:rsidRPr="0022530D">
        <w:rPr>
          <w:rFonts w:eastAsia="Times New Roman"/>
          <w:kern w:val="0"/>
          <w:sz w:val="22"/>
          <w:szCs w:val="24"/>
          <w:lang w:val="pt-BR" w:eastAsia="pt-BR"/>
        </w:rPr>
        <w:t>Research</w:t>
      </w:r>
      <w:proofErr w:type="spellEnd"/>
      <w:r w:rsidRPr="0022530D">
        <w:rPr>
          <w:rFonts w:eastAsia="Times New Roman"/>
          <w:kern w:val="0"/>
          <w:sz w:val="22"/>
          <w:szCs w:val="24"/>
          <w:lang w:val="pt-BR" w:eastAsia="pt-BR"/>
        </w:rPr>
        <w:t xml:space="preserve"> </w:t>
      </w:r>
      <w:proofErr w:type="spellStart"/>
      <w:r w:rsidRPr="0022530D">
        <w:rPr>
          <w:rFonts w:eastAsia="Times New Roman"/>
          <w:kern w:val="0"/>
          <w:sz w:val="22"/>
          <w:szCs w:val="24"/>
          <w:lang w:val="pt-BR" w:eastAsia="pt-BR"/>
        </w:rPr>
        <w:t>Department</w:t>
      </w:r>
      <w:proofErr w:type="spellEnd"/>
      <w:r w:rsidRPr="0022530D">
        <w:rPr>
          <w:rFonts w:eastAsia="Times New Roman"/>
          <w:kern w:val="0"/>
          <w:sz w:val="22"/>
          <w:szCs w:val="24"/>
          <w:lang w:val="pt-BR" w:eastAsia="pt-BR"/>
        </w:rPr>
        <w:t>.</w:t>
      </w:r>
    </w:p>
    <w:sectPr w:rsidR="00CD280D" w:rsidRPr="0022530D" w:rsidSect="00F47284">
      <w:footerReference w:type="even" r:id="rId8"/>
      <w:footerReference w:type="default" r:id="rId9"/>
      <w:headerReference w:type="first" r:id="rId10"/>
      <w:footerReference w:type="first" r:id="rId11"/>
      <w:type w:val="continuous"/>
      <w:pgSz w:w="11907" w:h="16160" w:code="512"/>
      <w:pgMar w:top="1134" w:right="851" w:bottom="1134" w:left="851" w:header="680" w:footer="1134" w:gutter="0"/>
      <w:pgNumType w:start="1"/>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4B8" w:rsidRDefault="001D04B8">
      <w:r>
        <w:separator/>
      </w:r>
    </w:p>
  </w:endnote>
  <w:endnote w:type="continuationSeparator" w:id="0">
    <w:p w:rsidR="001D04B8" w:rsidRDefault="001D0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imHei">
    <w:altName w:val="Arial Unicode MS"/>
    <w:panose1 w:val="02010600030101010101"/>
    <w:charset w:val="86"/>
    <w:family w:val="modern"/>
    <w:notTrueType/>
    <w:pitch w:val="fixed"/>
    <w:sig w:usb0="00000000" w:usb1="080E0000" w:usb2="00000010" w:usb3="00000000" w:csb0="00040000" w:csb1="00000000"/>
  </w:font>
  <w:font w:name="方正书宋繁体">
    <w:altName w:val="Arial Unicode MS"/>
    <w:charset w:val="86"/>
    <w:family w:val="auto"/>
    <w:pitch w:val="variable"/>
    <w:sig w:usb0="00000000" w:usb1="080E0000" w:usb2="00000010" w:usb3="00000000" w:csb0="0004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ө">
    <w:altName w:val="Times New Roman"/>
    <w:panose1 w:val="00000000000000000000"/>
    <w:charset w:val="00"/>
    <w:family w:val="roman"/>
    <w:notTrueType/>
    <w:pitch w:val="default"/>
  </w:font>
  <w:font w:name="LiSu">
    <w:altName w:val="隶书"/>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KaiTi_GB2312">
    <w:altName w:val="楷体_GB2312"/>
    <w:charset w:val="86"/>
    <w:family w:val="modern"/>
    <w:pitch w:val="fixed"/>
    <w:sig w:usb0="00000001" w:usb1="080E0000" w:usb2="00000010" w:usb3="00000000" w:csb0="0004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dobeSongStd-Light-Acro">
    <w:altName w:val="Arial Unicode MS"/>
    <w:panose1 w:val="00000000000000000000"/>
    <w:charset w:val="86"/>
    <w:family w:val="auto"/>
    <w:notTrueType/>
    <w:pitch w:val="default"/>
    <w:sig w:usb0="00000001" w:usb1="080E0000" w:usb2="00000010" w:usb3="00000000" w:csb0="00040000" w:csb1="00000000"/>
  </w:font>
  <w:font w:name="BatangChe">
    <w:charset w:val="81"/>
    <w:family w:val="modern"/>
    <w:pitch w:val="fixed"/>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YXDMN+Caecilia-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2A18" w:rsidRDefault="00C52A18">
    <w:pPr>
      <w:pStyle w:val="Rodap"/>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C52A18" w:rsidRDefault="00C52A18">
    <w:pPr>
      <w:pStyle w:val="Rodap"/>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2A18" w:rsidRDefault="00C52A18">
    <w:pPr>
      <w:pStyle w:val="Rodap"/>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0358D">
      <w:rPr>
        <w:rStyle w:val="Nmerodepgina"/>
        <w:noProof/>
      </w:rPr>
      <w:t>20</w:t>
    </w:r>
    <w:r>
      <w:rPr>
        <w:rStyle w:val="Nmerodepgina"/>
      </w:rPr>
      <w:fldChar w:fldCharType="end"/>
    </w:r>
  </w:p>
  <w:p w:rsidR="00C52A18" w:rsidRDefault="00C52A18">
    <w:pPr>
      <w:pStyle w:val="Rodap"/>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2A18" w:rsidRPr="00B41B09" w:rsidRDefault="00C52A18" w:rsidP="007439C8">
    <w:pPr>
      <w:pStyle w:val="Rodap"/>
      <w:jc w:val="right"/>
      <w:rPr>
        <w:lang w:val="pt-BR"/>
      </w:rPr>
    </w:pPr>
    <w:r>
      <w:rPr>
        <w:lang w:val="pt-BR"/>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4B8" w:rsidRDefault="001D04B8">
      <w:r>
        <w:separator/>
      </w:r>
    </w:p>
  </w:footnote>
  <w:footnote w:type="continuationSeparator" w:id="0">
    <w:p w:rsidR="001D04B8" w:rsidRDefault="001D04B8">
      <w:r>
        <w:continuationSeparator/>
      </w:r>
    </w:p>
  </w:footnote>
  <w:footnote w:id="1">
    <w:p w:rsidR="00C52A18" w:rsidRPr="00CB742F" w:rsidRDefault="00C52A18" w:rsidP="003B78A3">
      <w:pPr>
        <w:pStyle w:val="Textodenotaderodap"/>
        <w:jc w:val="both"/>
        <w:rPr>
          <w:lang w:val="pt-BR"/>
        </w:rPr>
      </w:pPr>
      <w:r w:rsidRPr="00CB742F">
        <w:rPr>
          <w:lang w:val="pt-BR"/>
        </w:rPr>
        <w:t>Ana Paula Menezes Pereira, Doutora em C</w:t>
      </w:r>
      <w:r>
        <w:rPr>
          <w:lang w:val="pt-BR"/>
        </w:rPr>
        <w:t>iências Econômicas, Departamento de Economia</w:t>
      </w:r>
      <w:r w:rsidRPr="00CB742F">
        <w:t xml:space="preserve">, </w:t>
      </w:r>
      <w:r>
        <w:rPr>
          <w:color w:val="222222"/>
          <w:shd w:val="clear" w:color="auto" w:fill="FFFFFF"/>
          <w:lang w:val="pt-BR"/>
        </w:rPr>
        <w:t>Universidade do Estado de Santa Catarina (UDESC)</w:t>
      </w:r>
      <w:r>
        <w:t xml:space="preserve">, </w:t>
      </w:r>
      <w:r w:rsidRPr="00CB742F">
        <w:rPr>
          <w:rFonts w:hint="eastAsia"/>
        </w:rPr>
        <w:t>E-</w:t>
      </w:r>
      <w:r w:rsidRPr="00CB742F">
        <w:t xml:space="preserve">mail: </w:t>
      </w:r>
      <w:r w:rsidRPr="00CB742F">
        <w:rPr>
          <w:lang w:val="pt-BR"/>
        </w:rPr>
        <w:t>ana.</w:t>
      </w:r>
      <w:r>
        <w:rPr>
          <w:lang w:val="pt-BR"/>
        </w:rPr>
        <w:t>paula.menezes.pereira</w:t>
      </w:r>
      <w:r w:rsidRPr="00CB742F">
        <w:rPr>
          <w:lang w:val="pt-BR"/>
        </w:rPr>
        <w:t>@gmail.com</w:t>
      </w:r>
      <w:r>
        <w:rPr>
          <w:lang w:val="pt-BR"/>
        </w:rPr>
        <w:t xml:space="preserve"> </w:t>
      </w:r>
    </w:p>
    <w:p w:rsidR="00C52A18" w:rsidRDefault="00C52A18" w:rsidP="003B78A3">
      <w:pPr>
        <w:pStyle w:val="Textodenotaderodap"/>
        <w:jc w:val="both"/>
        <w:rPr>
          <w:lang w:val="pt-BR"/>
        </w:rPr>
      </w:pPr>
      <w:r w:rsidRPr="00CB742F">
        <w:rPr>
          <w:lang w:val="pt-BR"/>
        </w:rPr>
        <w:t xml:space="preserve">Eduardo Henrique de Borba, </w:t>
      </w:r>
      <w:r>
        <w:rPr>
          <w:lang w:val="pt-BR"/>
        </w:rPr>
        <w:t>Mestrando em Administração</w:t>
      </w:r>
      <w:r w:rsidRPr="00CB742F">
        <w:rPr>
          <w:rFonts w:hint="eastAsia"/>
        </w:rPr>
        <w:t>,</w:t>
      </w:r>
      <w:r>
        <w:t xml:space="preserve"> </w:t>
      </w:r>
      <w:r w:rsidR="0000358D">
        <w:rPr>
          <w:lang w:val="pt-BR"/>
        </w:rPr>
        <w:t xml:space="preserve">Programa de Pós-Graduação </w:t>
      </w:r>
      <w:r>
        <w:rPr>
          <w:lang w:val="pt-BR"/>
        </w:rPr>
        <w:t>Acadêmico</w:t>
      </w:r>
      <w:bookmarkStart w:id="0" w:name="_GoBack"/>
      <w:bookmarkEnd w:id="0"/>
      <w:r w:rsidR="0000358D">
        <w:rPr>
          <w:lang w:val="pt-BR"/>
        </w:rPr>
        <w:t xml:space="preserve"> em Administração</w:t>
      </w:r>
      <w:r w:rsidRPr="00CB742F">
        <w:t>,</w:t>
      </w:r>
      <w:r w:rsidRPr="0098042B">
        <w:rPr>
          <w:color w:val="222222"/>
          <w:shd w:val="clear" w:color="auto" w:fill="FFFFFF"/>
          <w:lang w:val="pt-BR"/>
        </w:rPr>
        <w:t xml:space="preserve"> </w:t>
      </w:r>
      <w:r>
        <w:rPr>
          <w:color w:val="222222"/>
          <w:shd w:val="clear" w:color="auto" w:fill="FFFFFF"/>
          <w:lang w:val="pt-BR"/>
        </w:rPr>
        <w:t>Universidade do Estado de Santa Catarina (UDESC)</w:t>
      </w:r>
      <w:r>
        <w:t xml:space="preserve">, </w:t>
      </w:r>
      <w:r w:rsidRPr="00CB742F">
        <w:rPr>
          <w:rFonts w:hint="eastAsia"/>
        </w:rPr>
        <w:t>E-</w:t>
      </w:r>
      <w:r w:rsidRPr="00CB742F">
        <w:t xml:space="preserve">mail: </w:t>
      </w:r>
      <w:hyperlink r:id="rId1" w:history="1">
        <w:r w:rsidRPr="0023504F">
          <w:rPr>
            <w:rStyle w:val="Hyperlink"/>
            <w:lang w:val="pt-BR"/>
          </w:rPr>
          <w:t>eduardo.borba14@gmail.com</w:t>
        </w:r>
      </w:hyperlink>
    </w:p>
    <w:p w:rsidR="00C52A18" w:rsidRPr="0098042B" w:rsidRDefault="00C52A18" w:rsidP="003B78A3">
      <w:pPr>
        <w:pStyle w:val="Textodenotaderodap"/>
        <w:jc w:val="both"/>
        <w:rPr>
          <w:lang w:val="pt-BR"/>
        </w:rPr>
      </w:pPr>
      <w:r>
        <w:rPr>
          <w:lang w:val="pt-BR"/>
        </w:rPr>
        <w:t>*Os autores agradecem o apoio da Fundação de Amparo à Pesquisa e Inovação do Estado de Santa Catarina – FAPESC.</w:t>
      </w:r>
    </w:p>
  </w:footnote>
  <w:footnote w:id="2">
    <w:p w:rsidR="00C52A18" w:rsidRPr="00A0005E" w:rsidRDefault="00C52A18" w:rsidP="009873C8">
      <w:pPr>
        <w:pStyle w:val="Textodenotaderodap"/>
      </w:pPr>
      <w:r>
        <w:rPr>
          <w:rStyle w:val="Refdenotaderodap"/>
        </w:rPr>
        <w:footnoteRef/>
      </w:r>
      <w:r w:rsidRPr="00A0005E">
        <w:t xml:space="preserve"> </w:t>
      </w:r>
      <w:r w:rsidRPr="00A0005E">
        <w:rPr>
          <w:lang w:eastAsia="pt-BR"/>
        </w:rPr>
        <w:t xml:space="preserve">Se </w:t>
      </w:r>
      <w:proofErr w:type="spellStart"/>
      <w:r w:rsidRPr="00A0005E">
        <w:rPr>
          <w:lang w:eastAsia="pt-BR"/>
        </w:rPr>
        <w:t>sobressaem</w:t>
      </w:r>
      <w:proofErr w:type="spellEnd"/>
      <w:r w:rsidRPr="00A0005E">
        <w:rPr>
          <w:lang w:eastAsia="pt-BR"/>
        </w:rPr>
        <w:t xml:space="preserve"> </w:t>
      </w:r>
      <w:proofErr w:type="spellStart"/>
      <w:r w:rsidRPr="00A0005E">
        <w:rPr>
          <w:lang w:eastAsia="pt-BR"/>
        </w:rPr>
        <w:t>os</w:t>
      </w:r>
      <w:proofErr w:type="spellEnd"/>
      <w:r w:rsidRPr="00A0005E">
        <w:rPr>
          <w:lang w:eastAsia="pt-BR"/>
        </w:rPr>
        <w:t xml:space="preserve"> </w:t>
      </w:r>
      <w:proofErr w:type="spellStart"/>
      <w:r w:rsidRPr="00A0005E">
        <w:rPr>
          <w:lang w:eastAsia="pt-BR"/>
        </w:rPr>
        <w:t>autores</w:t>
      </w:r>
      <w:proofErr w:type="spellEnd"/>
      <w:r w:rsidRPr="00A0005E">
        <w:rPr>
          <w:lang w:eastAsia="pt-BR"/>
        </w:rPr>
        <w:t xml:space="preserve"> Richard R. Nelson, </w:t>
      </w:r>
      <w:proofErr w:type="spellStart"/>
      <w:r w:rsidRPr="00A0005E">
        <w:rPr>
          <w:lang w:eastAsia="pt-BR"/>
        </w:rPr>
        <w:t>Sidey</w:t>
      </w:r>
      <w:proofErr w:type="spellEnd"/>
      <w:r w:rsidRPr="00A0005E">
        <w:rPr>
          <w:lang w:eastAsia="pt-BR"/>
        </w:rPr>
        <w:t xml:space="preserve"> G. Winter e Giovani </w:t>
      </w:r>
      <w:proofErr w:type="spellStart"/>
      <w:r w:rsidRPr="00A0005E">
        <w:rPr>
          <w:lang w:eastAsia="pt-BR"/>
        </w:rPr>
        <w:t>Dosi</w:t>
      </w:r>
      <w:proofErr w:type="spellEnd"/>
      <w:r w:rsidRPr="00A0005E">
        <w:rPr>
          <w:lang w:eastAsia="pt-BR"/>
        </w:rPr>
        <w:t>.</w:t>
      </w:r>
    </w:p>
  </w:footnote>
  <w:footnote w:id="3">
    <w:p w:rsidR="00C52A18" w:rsidRPr="00BE13C3" w:rsidRDefault="00C52A18" w:rsidP="009873C8">
      <w:pPr>
        <w:pStyle w:val="Textodenotaderodap"/>
        <w:tabs>
          <w:tab w:val="left" w:pos="7410"/>
        </w:tabs>
      </w:pPr>
      <w:r>
        <w:rPr>
          <w:rStyle w:val="Refdenotaderodap"/>
        </w:rPr>
        <w:footnoteRef/>
      </w:r>
      <w:r w:rsidRPr="00BE13C3">
        <w:t xml:space="preserve"> </w:t>
      </w:r>
      <w:proofErr w:type="spellStart"/>
      <w:r>
        <w:rPr>
          <w:lang w:eastAsia="pt-BR"/>
        </w:rPr>
        <w:t>D</w:t>
      </w:r>
      <w:r w:rsidRPr="00BE13C3">
        <w:rPr>
          <w:lang w:eastAsia="pt-BR"/>
        </w:rPr>
        <w:t>estacam</w:t>
      </w:r>
      <w:proofErr w:type="spellEnd"/>
      <w:r w:rsidRPr="00BE13C3">
        <w:rPr>
          <w:lang w:eastAsia="pt-BR"/>
        </w:rPr>
        <w:t>-se</w:t>
      </w:r>
      <w:r>
        <w:rPr>
          <w:lang w:eastAsia="pt-BR"/>
        </w:rPr>
        <w:t xml:space="preserve"> </w:t>
      </w:r>
      <w:proofErr w:type="spellStart"/>
      <w:r>
        <w:rPr>
          <w:lang w:eastAsia="pt-BR"/>
        </w:rPr>
        <w:t>os</w:t>
      </w:r>
      <w:proofErr w:type="spellEnd"/>
      <w:r>
        <w:rPr>
          <w:lang w:eastAsia="pt-BR"/>
        </w:rPr>
        <w:t xml:space="preserve"> </w:t>
      </w:r>
      <w:proofErr w:type="spellStart"/>
      <w:r>
        <w:rPr>
          <w:lang w:eastAsia="pt-BR"/>
        </w:rPr>
        <w:t>autores</w:t>
      </w:r>
      <w:proofErr w:type="spellEnd"/>
      <w:r w:rsidRPr="00BE13C3">
        <w:rPr>
          <w:lang w:eastAsia="pt-BR"/>
        </w:rPr>
        <w:t xml:space="preserve"> </w:t>
      </w:r>
      <w:proofErr w:type="spellStart"/>
      <w:r w:rsidRPr="00BE13C3">
        <w:rPr>
          <w:lang w:eastAsia="pt-BR"/>
        </w:rPr>
        <w:t>Tho</w:t>
      </w:r>
      <w:r>
        <w:rPr>
          <w:lang w:eastAsia="pt-BR"/>
        </w:rPr>
        <w:t>rstein</w:t>
      </w:r>
      <w:proofErr w:type="spellEnd"/>
      <w:r>
        <w:rPr>
          <w:lang w:eastAsia="pt-BR"/>
        </w:rPr>
        <w:t xml:space="preserve"> Veblen, Wesley Mitchell, e </w:t>
      </w:r>
      <w:r w:rsidRPr="00BE13C3">
        <w:rPr>
          <w:lang w:eastAsia="pt-BR"/>
        </w:rPr>
        <w:t>John R. Commons</w:t>
      </w:r>
      <w:r>
        <w:rPr>
          <w:lang w:eastAsia="pt-BR"/>
        </w:rPr>
        <w:t>.</w:t>
      </w:r>
      <w:r>
        <w:rPr>
          <w:lang w:eastAsia="pt-BR"/>
        </w:rPr>
        <w:tab/>
      </w:r>
    </w:p>
  </w:footnote>
  <w:footnote w:id="4">
    <w:p w:rsidR="00C52A18" w:rsidRPr="00680354" w:rsidRDefault="00C52A18" w:rsidP="009873C8">
      <w:pPr>
        <w:pStyle w:val="Textodenotaderodap"/>
      </w:pPr>
      <w:r w:rsidRPr="00172313">
        <w:rPr>
          <w:rStyle w:val="Refdenotaderodap"/>
        </w:rPr>
        <w:footnoteRef/>
      </w:r>
      <w:r w:rsidRPr="00680354">
        <w:t xml:space="preserve"> </w:t>
      </w:r>
      <w:r w:rsidRPr="00680354">
        <w:rPr>
          <w:lang w:eastAsia="pt-BR"/>
        </w:rPr>
        <w:t xml:space="preserve">Com </w:t>
      </w:r>
      <w:proofErr w:type="spellStart"/>
      <w:r w:rsidRPr="00680354">
        <w:rPr>
          <w:lang w:eastAsia="pt-BR"/>
        </w:rPr>
        <w:t>ênfase</w:t>
      </w:r>
      <w:proofErr w:type="spellEnd"/>
      <w:r w:rsidRPr="00680354">
        <w:rPr>
          <w:lang w:eastAsia="pt-BR"/>
        </w:rPr>
        <w:t xml:space="preserve"> </w:t>
      </w:r>
      <w:proofErr w:type="spellStart"/>
      <w:r w:rsidRPr="00680354">
        <w:rPr>
          <w:lang w:eastAsia="pt-BR"/>
        </w:rPr>
        <w:t>nos</w:t>
      </w:r>
      <w:proofErr w:type="spellEnd"/>
      <w:r w:rsidRPr="00680354">
        <w:rPr>
          <w:lang w:eastAsia="pt-BR"/>
        </w:rPr>
        <w:t xml:space="preserve"> </w:t>
      </w:r>
      <w:proofErr w:type="spellStart"/>
      <w:r w:rsidRPr="00680354">
        <w:rPr>
          <w:lang w:eastAsia="pt-BR"/>
        </w:rPr>
        <w:t>autores</w:t>
      </w:r>
      <w:proofErr w:type="spellEnd"/>
      <w:r w:rsidRPr="00680354">
        <w:rPr>
          <w:lang w:eastAsia="pt-BR"/>
        </w:rPr>
        <w:t xml:space="preserve"> </w:t>
      </w:r>
      <w:r w:rsidRPr="00680354">
        <w:rPr>
          <w:rStyle w:val="nfase"/>
          <w:bCs/>
          <w:i w:val="0"/>
          <w:iCs w:val="0"/>
          <w:shd w:val="clear" w:color="auto" w:fill="FFFFFF"/>
        </w:rPr>
        <w:t>Douglass North</w:t>
      </w:r>
      <w:r w:rsidRPr="00680354">
        <w:rPr>
          <w:shd w:val="clear" w:color="auto" w:fill="FFFFFF"/>
        </w:rPr>
        <w:t>, Ronald Coase e</w:t>
      </w:r>
      <w:r w:rsidRPr="00680354">
        <w:rPr>
          <w:rStyle w:val="apple-converted-space"/>
          <w:shd w:val="clear" w:color="auto" w:fill="FFFFFF"/>
        </w:rPr>
        <w:t> </w:t>
      </w:r>
      <w:r w:rsidRPr="00680354">
        <w:rPr>
          <w:rStyle w:val="nfase"/>
          <w:bCs/>
          <w:i w:val="0"/>
          <w:iCs w:val="0"/>
          <w:shd w:val="clear" w:color="auto" w:fill="FFFFFF"/>
        </w:rPr>
        <w:t>Oliver Williamson.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2A18" w:rsidRPr="007C73C4" w:rsidRDefault="00C52A18" w:rsidP="007C73C4">
    <w:pPr>
      <w:pStyle w:val="Cabealho"/>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1163A8"/>
    <w:multiLevelType w:val="hybridMultilevel"/>
    <w:tmpl w:val="BEF8BBD0"/>
    <w:lvl w:ilvl="0" w:tplc="0416001B">
      <w:start w:val="1"/>
      <w:numFmt w:val="lowerRoman"/>
      <w:lvlText w:val="%1."/>
      <w:lvlJc w:val="right"/>
      <w:pPr>
        <w:ind w:left="1151" w:hanging="360"/>
      </w:pPr>
    </w:lvl>
    <w:lvl w:ilvl="1" w:tplc="04160019" w:tentative="1">
      <w:start w:val="1"/>
      <w:numFmt w:val="lowerLetter"/>
      <w:lvlText w:val="%2."/>
      <w:lvlJc w:val="left"/>
      <w:pPr>
        <w:ind w:left="1871" w:hanging="360"/>
      </w:pPr>
    </w:lvl>
    <w:lvl w:ilvl="2" w:tplc="0416001B" w:tentative="1">
      <w:start w:val="1"/>
      <w:numFmt w:val="lowerRoman"/>
      <w:lvlText w:val="%3."/>
      <w:lvlJc w:val="right"/>
      <w:pPr>
        <w:ind w:left="2591" w:hanging="180"/>
      </w:pPr>
    </w:lvl>
    <w:lvl w:ilvl="3" w:tplc="0416000F" w:tentative="1">
      <w:start w:val="1"/>
      <w:numFmt w:val="decimal"/>
      <w:lvlText w:val="%4."/>
      <w:lvlJc w:val="left"/>
      <w:pPr>
        <w:ind w:left="3311" w:hanging="360"/>
      </w:pPr>
    </w:lvl>
    <w:lvl w:ilvl="4" w:tplc="04160019" w:tentative="1">
      <w:start w:val="1"/>
      <w:numFmt w:val="lowerLetter"/>
      <w:lvlText w:val="%5."/>
      <w:lvlJc w:val="left"/>
      <w:pPr>
        <w:ind w:left="4031" w:hanging="360"/>
      </w:pPr>
    </w:lvl>
    <w:lvl w:ilvl="5" w:tplc="0416001B" w:tentative="1">
      <w:start w:val="1"/>
      <w:numFmt w:val="lowerRoman"/>
      <w:lvlText w:val="%6."/>
      <w:lvlJc w:val="right"/>
      <w:pPr>
        <w:ind w:left="4751" w:hanging="180"/>
      </w:pPr>
    </w:lvl>
    <w:lvl w:ilvl="6" w:tplc="0416000F" w:tentative="1">
      <w:start w:val="1"/>
      <w:numFmt w:val="decimal"/>
      <w:lvlText w:val="%7."/>
      <w:lvlJc w:val="left"/>
      <w:pPr>
        <w:ind w:left="5471" w:hanging="360"/>
      </w:pPr>
    </w:lvl>
    <w:lvl w:ilvl="7" w:tplc="04160019" w:tentative="1">
      <w:start w:val="1"/>
      <w:numFmt w:val="lowerLetter"/>
      <w:lvlText w:val="%8."/>
      <w:lvlJc w:val="left"/>
      <w:pPr>
        <w:ind w:left="6191" w:hanging="360"/>
      </w:pPr>
    </w:lvl>
    <w:lvl w:ilvl="8" w:tplc="0416001B" w:tentative="1">
      <w:start w:val="1"/>
      <w:numFmt w:val="lowerRoman"/>
      <w:lvlText w:val="%9."/>
      <w:lvlJc w:val="right"/>
      <w:pPr>
        <w:ind w:left="6911" w:hanging="180"/>
      </w:pPr>
    </w:lvl>
  </w:abstractNum>
  <w:abstractNum w:abstractNumId="1" w15:restartNumberingAfterBreak="0">
    <w:nsid w:val="3D762B50"/>
    <w:multiLevelType w:val="hybridMultilevel"/>
    <w:tmpl w:val="BB9256F6"/>
    <w:lvl w:ilvl="0" w:tplc="04160019">
      <w:start w:val="1"/>
      <w:numFmt w:val="lowerLetter"/>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2" w15:restartNumberingAfterBreak="0">
    <w:nsid w:val="60266C7C"/>
    <w:multiLevelType w:val="multilevel"/>
    <w:tmpl w:val="A300C6F2"/>
    <w:lvl w:ilvl="0">
      <w:start w:val="1"/>
      <w:numFmt w:val="lowerLetter"/>
      <w:pStyle w:val="Style3"/>
      <w:lvlText w:val="%1."/>
      <w:lvlJc w:val="left"/>
      <w:pPr>
        <w:tabs>
          <w:tab w:val="num" w:pos="567"/>
        </w:tabs>
        <w:ind w:left="567" w:hanging="567"/>
      </w:pPr>
      <w:rPr>
        <w:rFonts w:hint="default"/>
      </w:rPr>
    </w:lvl>
    <w:lvl w:ilvl="1">
      <w:start w:val="1"/>
      <w:numFmt w:val="decimal"/>
      <w:lvlText w:val="(%2)"/>
      <w:lvlJc w:val="left"/>
      <w:pPr>
        <w:tabs>
          <w:tab w:val="num" w:pos="1134"/>
        </w:tabs>
        <w:ind w:left="1134" w:hanging="567"/>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 w15:restartNumberingAfterBreak="0">
    <w:nsid w:val="71952982"/>
    <w:multiLevelType w:val="multilevel"/>
    <w:tmpl w:val="2D403408"/>
    <w:lvl w:ilvl="0">
      <w:start w:val="1"/>
      <w:numFmt w:val="lowerLetter"/>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4" w15:restartNumberingAfterBreak="0">
    <w:nsid w:val="7585342E"/>
    <w:multiLevelType w:val="hybridMultilevel"/>
    <w:tmpl w:val="79AACA62"/>
    <w:lvl w:ilvl="0" w:tplc="D130BFEC">
      <w:start w:val="1"/>
      <w:numFmt w:val="decimal"/>
      <w:lvlText w:val="(%1."/>
      <w:lvlJc w:val="left"/>
      <w:pPr>
        <w:ind w:left="720" w:hanging="360"/>
      </w:pPr>
      <w:rPr>
        <w:rFonts w:hint="default"/>
        <w:sz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4"/>
  <w:hyphenationZone w:val="425"/>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v:textbox inset="0,2mm,0,0"/>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2"/>
  </w:compat>
  <w:rsids>
    <w:rsidRoot w:val="00486E90"/>
    <w:rsid w:val="00000C4A"/>
    <w:rsid w:val="00001345"/>
    <w:rsid w:val="00001FB0"/>
    <w:rsid w:val="0000210A"/>
    <w:rsid w:val="00002458"/>
    <w:rsid w:val="00002D20"/>
    <w:rsid w:val="00002DE2"/>
    <w:rsid w:val="0000358D"/>
    <w:rsid w:val="00004924"/>
    <w:rsid w:val="00005E89"/>
    <w:rsid w:val="000068A7"/>
    <w:rsid w:val="00006D03"/>
    <w:rsid w:val="000103F1"/>
    <w:rsid w:val="00010F37"/>
    <w:rsid w:val="000113E0"/>
    <w:rsid w:val="000127F1"/>
    <w:rsid w:val="00013932"/>
    <w:rsid w:val="000140CC"/>
    <w:rsid w:val="00016F95"/>
    <w:rsid w:val="00017C55"/>
    <w:rsid w:val="0002026C"/>
    <w:rsid w:val="000207D0"/>
    <w:rsid w:val="00020964"/>
    <w:rsid w:val="000223B1"/>
    <w:rsid w:val="000232E3"/>
    <w:rsid w:val="000236B4"/>
    <w:rsid w:val="00023ECF"/>
    <w:rsid w:val="00027473"/>
    <w:rsid w:val="000303E9"/>
    <w:rsid w:val="00030BAA"/>
    <w:rsid w:val="00031AD5"/>
    <w:rsid w:val="00031D40"/>
    <w:rsid w:val="00033D81"/>
    <w:rsid w:val="00033EED"/>
    <w:rsid w:val="000349B1"/>
    <w:rsid w:val="0003531F"/>
    <w:rsid w:val="00035AAF"/>
    <w:rsid w:val="000367C1"/>
    <w:rsid w:val="00036FE3"/>
    <w:rsid w:val="0004063C"/>
    <w:rsid w:val="000412A6"/>
    <w:rsid w:val="00041D98"/>
    <w:rsid w:val="0004222A"/>
    <w:rsid w:val="0004312F"/>
    <w:rsid w:val="00044026"/>
    <w:rsid w:val="00044724"/>
    <w:rsid w:val="00045263"/>
    <w:rsid w:val="000468AC"/>
    <w:rsid w:val="00046B27"/>
    <w:rsid w:val="000478E1"/>
    <w:rsid w:val="00047EF7"/>
    <w:rsid w:val="000502B5"/>
    <w:rsid w:val="000513DD"/>
    <w:rsid w:val="00051769"/>
    <w:rsid w:val="0005186C"/>
    <w:rsid w:val="00052A81"/>
    <w:rsid w:val="00052E26"/>
    <w:rsid w:val="000535FB"/>
    <w:rsid w:val="00053BFE"/>
    <w:rsid w:val="0005582B"/>
    <w:rsid w:val="00055E32"/>
    <w:rsid w:val="0006006A"/>
    <w:rsid w:val="00061715"/>
    <w:rsid w:val="000625BA"/>
    <w:rsid w:val="0006362B"/>
    <w:rsid w:val="000640BB"/>
    <w:rsid w:val="00064723"/>
    <w:rsid w:val="00065418"/>
    <w:rsid w:val="00067516"/>
    <w:rsid w:val="000706B0"/>
    <w:rsid w:val="000739A4"/>
    <w:rsid w:val="00075AB6"/>
    <w:rsid w:val="00075F58"/>
    <w:rsid w:val="00076ACB"/>
    <w:rsid w:val="00076EBF"/>
    <w:rsid w:val="00077BE3"/>
    <w:rsid w:val="00077D76"/>
    <w:rsid w:val="00077EFC"/>
    <w:rsid w:val="00081057"/>
    <w:rsid w:val="00082332"/>
    <w:rsid w:val="000841B4"/>
    <w:rsid w:val="0008464B"/>
    <w:rsid w:val="000861BB"/>
    <w:rsid w:val="00090D0D"/>
    <w:rsid w:val="00090D73"/>
    <w:rsid w:val="00091DAD"/>
    <w:rsid w:val="00091EB0"/>
    <w:rsid w:val="00092578"/>
    <w:rsid w:val="00093911"/>
    <w:rsid w:val="00094CE7"/>
    <w:rsid w:val="00095429"/>
    <w:rsid w:val="000954DE"/>
    <w:rsid w:val="00095ABF"/>
    <w:rsid w:val="00096DCE"/>
    <w:rsid w:val="0009715F"/>
    <w:rsid w:val="0009716E"/>
    <w:rsid w:val="00097D27"/>
    <w:rsid w:val="000A1DCB"/>
    <w:rsid w:val="000A1F62"/>
    <w:rsid w:val="000A22C3"/>
    <w:rsid w:val="000A23AD"/>
    <w:rsid w:val="000A44CF"/>
    <w:rsid w:val="000A4595"/>
    <w:rsid w:val="000A4F14"/>
    <w:rsid w:val="000A5CE7"/>
    <w:rsid w:val="000A79F2"/>
    <w:rsid w:val="000B1A62"/>
    <w:rsid w:val="000B2083"/>
    <w:rsid w:val="000B4445"/>
    <w:rsid w:val="000B48EC"/>
    <w:rsid w:val="000B5448"/>
    <w:rsid w:val="000B56F8"/>
    <w:rsid w:val="000B570A"/>
    <w:rsid w:val="000B5D90"/>
    <w:rsid w:val="000B77CD"/>
    <w:rsid w:val="000C1828"/>
    <w:rsid w:val="000C1D0A"/>
    <w:rsid w:val="000C2018"/>
    <w:rsid w:val="000C36ED"/>
    <w:rsid w:val="000C3B81"/>
    <w:rsid w:val="000C42DA"/>
    <w:rsid w:val="000C4DA7"/>
    <w:rsid w:val="000C6A42"/>
    <w:rsid w:val="000C7600"/>
    <w:rsid w:val="000D07C7"/>
    <w:rsid w:val="000D2297"/>
    <w:rsid w:val="000D30D4"/>
    <w:rsid w:val="000D40E2"/>
    <w:rsid w:val="000D56BC"/>
    <w:rsid w:val="000D6588"/>
    <w:rsid w:val="000E2949"/>
    <w:rsid w:val="000E2EB6"/>
    <w:rsid w:val="000E43EA"/>
    <w:rsid w:val="000E4F30"/>
    <w:rsid w:val="000E5798"/>
    <w:rsid w:val="000E6441"/>
    <w:rsid w:val="000E721E"/>
    <w:rsid w:val="000E729A"/>
    <w:rsid w:val="000F1CD6"/>
    <w:rsid w:val="000F3369"/>
    <w:rsid w:val="000F4AA9"/>
    <w:rsid w:val="000F53B3"/>
    <w:rsid w:val="000F53DC"/>
    <w:rsid w:val="000F78D9"/>
    <w:rsid w:val="0010081A"/>
    <w:rsid w:val="00100D15"/>
    <w:rsid w:val="00103C38"/>
    <w:rsid w:val="0010509A"/>
    <w:rsid w:val="0010519E"/>
    <w:rsid w:val="001066BD"/>
    <w:rsid w:val="00107B66"/>
    <w:rsid w:val="001104FB"/>
    <w:rsid w:val="00110847"/>
    <w:rsid w:val="00111898"/>
    <w:rsid w:val="00111C71"/>
    <w:rsid w:val="00111F18"/>
    <w:rsid w:val="00112285"/>
    <w:rsid w:val="00112985"/>
    <w:rsid w:val="00113C0F"/>
    <w:rsid w:val="00113CED"/>
    <w:rsid w:val="0011424C"/>
    <w:rsid w:val="00114A95"/>
    <w:rsid w:val="00115144"/>
    <w:rsid w:val="00115784"/>
    <w:rsid w:val="00116448"/>
    <w:rsid w:val="00116584"/>
    <w:rsid w:val="001201F2"/>
    <w:rsid w:val="0012068B"/>
    <w:rsid w:val="00121518"/>
    <w:rsid w:val="00121EC7"/>
    <w:rsid w:val="00122F1B"/>
    <w:rsid w:val="001230B3"/>
    <w:rsid w:val="00124B2B"/>
    <w:rsid w:val="001259CC"/>
    <w:rsid w:val="00126979"/>
    <w:rsid w:val="00131839"/>
    <w:rsid w:val="00132DE0"/>
    <w:rsid w:val="00132FDE"/>
    <w:rsid w:val="00133878"/>
    <w:rsid w:val="001338DC"/>
    <w:rsid w:val="0013393A"/>
    <w:rsid w:val="00135DF7"/>
    <w:rsid w:val="0013640F"/>
    <w:rsid w:val="00136DF0"/>
    <w:rsid w:val="0013777D"/>
    <w:rsid w:val="00140864"/>
    <w:rsid w:val="00141B13"/>
    <w:rsid w:val="00142725"/>
    <w:rsid w:val="00144AE0"/>
    <w:rsid w:val="0014720D"/>
    <w:rsid w:val="00150DFE"/>
    <w:rsid w:val="001512C3"/>
    <w:rsid w:val="00151D9E"/>
    <w:rsid w:val="0015227F"/>
    <w:rsid w:val="00153848"/>
    <w:rsid w:val="00153D2C"/>
    <w:rsid w:val="001561B3"/>
    <w:rsid w:val="00156506"/>
    <w:rsid w:val="001603B5"/>
    <w:rsid w:val="00160F1E"/>
    <w:rsid w:val="00161155"/>
    <w:rsid w:val="001615BB"/>
    <w:rsid w:val="00162158"/>
    <w:rsid w:val="00162507"/>
    <w:rsid w:val="00163574"/>
    <w:rsid w:val="00163D8E"/>
    <w:rsid w:val="00163DC9"/>
    <w:rsid w:val="00165B31"/>
    <w:rsid w:val="001667D7"/>
    <w:rsid w:val="00166C9C"/>
    <w:rsid w:val="00166D12"/>
    <w:rsid w:val="00167697"/>
    <w:rsid w:val="00167894"/>
    <w:rsid w:val="001700B0"/>
    <w:rsid w:val="001702CB"/>
    <w:rsid w:val="00171A61"/>
    <w:rsid w:val="00172A8D"/>
    <w:rsid w:val="00172BFB"/>
    <w:rsid w:val="00174FFE"/>
    <w:rsid w:val="00176AEA"/>
    <w:rsid w:val="00176C66"/>
    <w:rsid w:val="00177A6A"/>
    <w:rsid w:val="00177BC8"/>
    <w:rsid w:val="00177DF0"/>
    <w:rsid w:val="001801F5"/>
    <w:rsid w:val="00181702"/>
    <w:rsid w:val="00183395"/>
    <w:rsid w:val="001834C6"/>
    <w:rsid w:val="0018439D"/>
    <w:rsid w:val="001843A9"/>
    <w:rsid w:val="00184B40"/>
    <w:rsid w:val="00184CC0"/>
    <w:rsid w:val="00185562"/>
    <w:rsid w:val="00185C48"/>
    <w:rsid w:val="00185C8C"/>
    <w:rsid w:val="0018638C"/>
    <w:rsid w:val="001875C7"/>
    <w:rsid w:val="00187A76"/>
    <w:rsid w:val="00190210"/>
    <w:rsid w:val="00190414"/>
    <w:rsid w:val="001925B9"/>
    <w:rsid w:val="00193456"/>
    <w:rsid w:val="001940F1"/>
    <w:rsid w:val="00195F52"/>
    <w:rsid w:val="00196271"/>
    <w:rsid w:val="00196877"/>
    <w:rsid w:val="001979E7"/>
    <w:rsid w:val="001A130C"/>
    <w:rsid w:val="001A2111"/>
    <w:rsid w:val="001A24DF"/>
    <w:rsid w:val="001A52E5"/>
    <w:rsid w:val="001A56C0"/>
    <w:rsid w:val="001B0D73"/>
    <w:rsid w:val="001B0EA5"/>
    <w:rsid w:val="001B24AB"/>
    <w:rsid w:val="001B24AF"/>
    <w:rsid w:val="001B333D"/>
    <w:rsid w:val="001B358E"/>
    <w:rsid w:val="001B35F3"/>
    <w:rsid w:val="001B3637"/>
    <w:rsid w:val="001B46D8"/>
    <w:rsid w:val="001B6320"/>
    <w:rsid w:val="001B78A6"/>
    <w:rsid w:val="001B7D7B"/>
    <w:rsid w:val="001B7F34"/>
    <w:rsid w:val="001C02D7"/>
    <w:rsid w:val="001C0C3D"/>
    <w:rsid w:val="001C3351"/>
    <w:rsid w:val="001C357B"/>
    <w:rsid w:val="001C42CB"/>
    <w:rsid w:val="001C4E23"/>
    <w:rsid w:val="001C5F33"/>
    <w:rsid w:val="001C666B"/>
    <w:rsid w:val="001D04B8"/>
    <w:rsid w:val="001D14D6"/>
    <w:rsid w:val="001D3134"/>
    <w:rsid w:val="001D4517"/>
    <w:rsid w:val="001D4796"/>
    <w:rsid w:val="001D4C5A"/>
    <w:rsid w:val="001D4F05"/>
    <w:rsid w:val="001D58AD"/>
    <w:rsid w:val="001D5D31"/>
    <w:rsid w:val="001D7910"/>
    <w:rsid w:val="001E1277"/>
    <w:rsid w:val="001E18F4"/>
    <w:rsid w:val="001E216A"/>
    <w:rsid w:val="001E3718"/>
    <w:rsid w:val="001E4716"/>
    <w:rsid w:val="001E476D"/>
    <w:rsid w:val="001E7054"/>
    <w:rsid w:val="001E70C2"/>
    <w:rsid w:val="001E720E"/>
    <w:rsid w:val="001E7268"/>
    <w:rsid w:val="001E75A3"/>
    <w:rsid w:val="001E7942"/>
    <w:rsid w:val="001F0920"/>
    <w:rsid w:val="001F3978"/>
    <w:rsid w:val="001F3A79"/>
    <w:rsid w:val="001F3EE7"/>
    <w:rsid w:val="001F4287"/>
    <w:rsid w:val="001F621B"/>
    <w:rsid w:val="001F67F7"/>
    <w:rsid w:val="00200494"/>
    <w:rsid w:val="00200AD6"/>
    <w:rsid w:val="00200E1D"/>
    <w:rsid w:val="0020199A"/>
    <w:rsid w:val="002029A3"/>
    <w:rsid w:val="0020362C"/>
    <w:rsid w:val="00204449"/>
    <w:rsid w:val="0020514F"/>
    <w:rsid w:val="00206BCA"/>
    <w:rsid w:val="00206DFB"/>
    <w:rsid w:val="00210396"/>
    <w:rsid w:val="0021050C"/>
    <w:rsid w:val="00210A86"/>
    <w:rsid w:val="00210A87"/>
    <w:rsid w:val="00211F1C"/>
    <w:rsid w:val="00212845"/>
    <w:rsid w:val="0021383A"/>
    <w:rsid w:val="0021687E"/>
    <w:rsid w:val="00216F43"/>
    <w:rsid w:val="0021747A"/>
    <w:rsid w:val="00217523"/>
    <w:rsid w:val="002178AF"/>
    <w:rsid w:val="00220ACE"/>
    <w:rsid w:val="00220B41"/>
    <w:rsid w:val="00222E0A"/>
    <w:rsid w:val="00223420"/>
    <w:rsid w:val="002235CE"/>
    <w:rsid w:val="00224714"/>
    <w:rsid w:val="002247CF"/>
    <w:rsid w:val="0022530D"/>
    <w:rsid w:val="002255B8"/>
    <w:rsid w:val="00225A23"/>
    <w:rsid w:val="00226350"/>
    <w:rsid w:val="00226A7F"/>
    <w:rsid w:val="002270DB"/>
    <w:rsid w:val="002304F3"/>
    <w:rsid w:val="00230EFE"/>
    <w:rsid w:val="00231B69"/>
    <w:rsid w:val="00232CAF"/>
    <w:rsid w:val="0023336C"/>
    <w:rsid w:val="00233526"/>
    <w:rsid w:val="00233B0B"/>
    <w:rsid w:val="00233DAE"/>
    <w:rsid w:val="0023484A"/>
    <w:rsid w:val="00237D42"/>
    <w:rsid w:val="00240716"/>
    <w:rsid w:val="0024120F"/>
    <w:rsid w:val="00241666"/>
    <w:rsid w:val="0024174A"/>
    <w:rsid w:val="00241F75"/>
    <w:rsid w:val="0024225C"/>
    <w:rsid w:val="002423B8"/>
    <w:rsid w:val="00242793"/>
    <w:rsid w:val="0024323E"/>
    <w:rsid w:val="002435A1"/>
    <w:rsid w:val="0024372B"/>
    <w:rsid w:val="00244AF8"/>
    <w:rsid w:val="0024522C"/>
    <w:rsid w:val="002457DB"/>
    <w:rsid w:val="00245E85"/>
    <w:rsid w:val="0024663D"/>
    <w:rsid w:val="00246917"/>
    <w:rsid w:val="00246A8C"/>
    <w:rsid w:val="00246BEC"/>
    <w:rsid w:val="00247124"/>
    <w:rsid w:val="00247499"/>
    <w:rsid w:val="00247981"/>
    <w:rsid w:val="002512D6"/>
    <w:rsid w:val="0025339A"/>
    <w:rsid w:val="002550F7"/>
    <w:rsid w:val="00255D7C"/>
    <w:rsid w:val="002561D0"/>
    <w:rsid w:val="0025621A"/>
    <w:rsid w:val="00256811"/>
    <w:rsid w:val="00256913"/>
    <w:rsid w:val="00260642"/>
    <w:rsid w:val="00261BF8"/>
    <w:rsid w:val="002652F4"/>
    <w:rsid w:val="0026651E"/>
    <w:rsid w:val="00266641"/>
    <w:rsid w:val="002668FB"/>
    <w:rsid w:val="00266A45"/>
    <w:rsid w:val="0027056A"/>
    <w:rsid w:val="00270B6B"/>
    <w:rsid w:val="00270B8C"/>
    <w:rsid w:val="00270F95"/>
    <w:rsid w:val="00272661"/>
    <w:rsid w:val="0027330F"/>
    <w:rsid w:val="00274A9E"/>
    <w:rsid w:val="002758D3"/>
    <w:rsid w:val="0027686E"/>
    <w:rsid w:val="00277713"/>
    <w:rsid w:val="002805C7"/>
    <w:rsid w:val="00281243"/>
    <w:rsid w:val="00281C88"/>
    <w:rsid w:val="002843E3"/>
    <w:rsid w:val="002845FC"/>
    <w:rsid w:val="00284E4D"/>
    <w:rsid w:val="00285206"/>
    <w:rsid w:val="00286927"/>
    <w:rsid w:val="00286FC2"/>
    <w:rsid w:val="00287065"/>
    <w:rsid w:val="0028781C"/>
    <w:rsid w:val="00290B2F"/>
    <w:rsid w:val="002923A4"/>
    <w:rsid w:val="00292653"/>
    <w:rsid w:val="00292F5D"/>
    <w:rsid w:val="00293399"/>
    <w:rsid w:val="002937B1"/>
    <w:rsid w:val="00293C2F"/>
    <w:rsid w:val="002948EB"/>
    <w:rsid w:val="00295B00"/>
    <w:rsid w:val="00297913"/>
    <w:rsid w:val="002A0057"/>
    <w:rsid w:val="002A0649"/>
    <w:rsid w:val="002A09F1"/>
    <w:rsid w:val="002A0A48"/>
    <w:rsid w:val="002A0E09"/>
    <w:rsid w:val="002A19B6"/>
    <w:rsid w:val="002A25EA"/>
    <w:rsid w:val="002A27F7"/>
    <w:rsid w:val="002A3206"/>
    <w:rsid w:val="002A3988"/>
    <w:rsid w:val="002A7C7A"/>
    <w:rsid w:val="002B1686"/>
    <w:rsid w:val="002B17DD"/>
    <w:rsid w:val="002B31F5"/>
    <w:rsid w:val="002B3CCE"/>
    <w:rsid w:val="002B3FBC"/>
    <w:rsid w:val="002B40EF"/>
    <w:rsid w:val="002B43D2"/>
    <w:rsid w:val="002B4F07"/>
    <w:rsid w:val="002B5F3A"/>
    <w:rsid w:val="002B6CC0"/>
    <w:rsid w:val="002B7CDB"/>
    <w:rsid w:val="002C0804"/>
    <w:rsid w:val="002C081C"/>
    <w:rsid w:val="002C093A"/>
    <w:rsid w:val="002C1112"/>
    <w:rsid w:val="002C1CD9"/>
    <w:rsid w:val="002C30CB"/>
    <w:rsid w:val="002C3C96"/>
    <w:rsid w:val="002C3D97"/>
    <w:rsid w:val="002C53EA"/>
    <w:rsid w:val="002C6734"/>
    <w:rsid w:val="002C76FC"/>
    <w:rsid w:val="002D0CE9"/>
    <w:rsid w:val="002D2BD7"/>
    <w:rsid w:val="002D30A5"/>
    <w:rsid w:val="002D34D1"/>
    <w:rsid w:val="002D3890"/>
    <w:rsid w:val="002D3FDE"/>
    <w:rsid w:val="002D4479"/>
    <w:rsid w:val="002D45BD"/>
    <w:rsid w:val="002D6072"/>
    <w:rsid w:val="002D6CEB"/>
    <w:rsid w:val="002D7B41"/>
    <w:rsid w:val="002E069F"/>
    <w:rsid w:val="002E09D0"/>
    <w:rsid w:val="002E0D0A"/>
    <w:rsid w:val="002E28E0"/>
    <w:rsid w:val="002E5050"/>
    <w:rsid w:val="002E5C36"/>
    <w:rsid w:val="002E6407"/>
    <w:rsid w:val="002E68D7"/>
    <w:rsid w:val="002E6DCF"/>
    <w:rsid w:val="002E6EFB"/>
    <w:rsid w:val="002E70F3"/>
    <w:rsid w:val="002F0116"/>
    <w:rsid w:val="002F06C9"/>
    <w:rsid w:val="002F0A83"/>
    <w:rsid w:val="002F1382"/>
    <w:rsid w:val="002F1750"/>
    <w:rsid w:val="002F1B62"/>
    <w:rsid w:val="002F3D81"/>
    <w:rsid w:val="002F49B5"/>
    <w:rsid w:val="002F4CE9"/>
    <w:rsid w:val="002F6965"/>
    <w:rsid w:val="002F6FE9"/>
    <w:rsid w:val="002F7BA5"/>
    <w:rsid w:val="002F7DAB"/>
    <w:rsid w:val="003000B5"/>
    <w:rsid w:val="0030207F"/>
    <w:rsid w:val="0030307B"/>
    <w:rsid w:val="00303E94"/>
    <w:rsid w:val="003041ED"/>
    <w:rsid w:val="00304996"/>
    <w:rsid w:val="003050A4"/>
    <w:rsid w:val="003063D1"/>
    <w:rsid w:val="0030677D"/>
    <w:rsid w:val="00306EF1"/>
    <w:rsid w:val="0031050D"/>
    <w:rsid w:val="00310DD5"/>
    <w:rsid w:val="00312A29"/>
    <w:rsid w:val="00312F2A"/>
    <w:rsid w:val="00313A73"/>
    <w:rsid w:val="00313F0B"/>
    <w:rsid w:val="00315393"/>
    <w:rsid w:val="003157AB"/>
    <w:rsid w:val="00315C01"/>
    <w:rsid w:val="00315E47"/>
    <w:rsid w:val="003161D4"/>
    <w:rsid w:val="00317016"/>
    <w:rsid w:val="00317CF4"/>
    <w:rsid w:val="00317D90"/>
    <w:rsid w:val="00320A23"/>
    <w:rsid w:val="00321DC7"/>
    <w:rsid w:val="00321EE6"/>
    <w:rsid w:val="00321FEE"/>
    <w:rsid w:val="00322447"/>
    <w:rsid w:val="00322910"/>
    <w:rsid w:val="00322DB7"/>
    <w:rsid w:val="003236D5"/>
    <w:rsid w:val="00324A5F"/>
    <w:rsid w:val="00325592"/>
    <w:rsid w:val="00325A12"/>
    <w:rsid w:val="00326EC6"/>
    <w:rsid w:val="003278D0"/>
    <w:rsid w:val="00327DE9"/>
    <w:rsid w:val="00330A20"/>
    <w:rsid w:val="00330F66"/>
    <w:rsid w:val="00331909"/>
    <w:rsid w:val="00334A1B"/>
    <w:rsid w:val="00335015"/>
    <w:rsid w:val="0033509C"/>
    <w:rsid w:val="00336139"/>
    <w:rsid w:val="0033654C"/>
    <w:rsid w:val="00337036"/>
    <w:rsid w:val="00341629"/>
    <w:rsid w:val="003440F1"/>
    <w:rsid w:val="00345701"/>
    <w:rsid w:val="003468A0"/>
    <w:rsid w:val="0035028E"/>
    <w:rsid w:val="00350AA8"/>
    <w:rsid w:val="003513EC"/>
    <w:rsid w:val="00353166"/>
    <w:rsid w:val="003531FF"/>
    <w:rsid w:val="00354B80"/>
    <w:rsid w:val="0035554A"/>
    <w:rsid w:val="00356672"/>
    <w:rsid w:val="003575F1"/>
    <w:rsid w:val="0036026E"/>
    <w:rsid w:val="00363380"/>
    <w:rsid w:val="0036429C"/>
    <w:rsid w:val="003648BB"/>
    <w:rsid w:val="003658BE"/>
    <w:rsid w:val="00365D4F"/>
    <w:rsid w:val="00371D31"/>
    <w:rsid w:val="00372518"/>
    <w:rsid w:val="00372994"/>
    <w:rsid w:val="003735E9"/>
    <w:rsid w:val="00373D88"/>
    <w:rsid w:val="003741F2"/>
    <w:rsid w:val="00374D35"/>
    <w:rsid w:val="0037508A"/>
    <w:rsid w:val="0037521A"/>
    <w:rsid w:val="00376756"/>
    <w:rsid w:val="00377945"/>
    <w:rsid w:val="00377F40"/>
    <w:rsid w:val="00377FB8"/>
    <w:rsid w:val="003802C9"/>
    <w:rsid w:val="00380409"/>
    <w:rsid w:val="00380A42"/>
    <w:rsid w:val="00381631"/>
    <w:rsid w:val="00384072"/>
    <w:rsid w:val="00384A52"/>
    <w:rsid w:val="00384BE1"/>
    <w:rsid w:val="003857C5"/>
    <w:rsid w:val="00386BB6"/>
    <w:rsid w:val="00390D1F"/>
    <w:rsid w:val="00391BF2"/>
    <w:rsid w:val="00394A68"/>
    <w:rsid w:val="00396909"/>
    <w:rsid w:val="003A009C"/>
    <w:rsid w:val="003A2912"/>
    <w:rsid w:val="003A30ED"/>
    <w:rsid w:val="003A35F6"/>
    <w:rsid w:val="003A4C26"/>
    <w:rsid w:val="003A5922"/>
    <w:rsid w:val="003A78B1"/>
    <w:rsid w:val="003B0BE9"/>
    <w:rsid w:val="003B0E30"/>
    <w:rsid w:val="003B0E56"/>
    <w:rsid w:val="003B13BD"/>
    <w:rsid w:val="003B1A69"/>
    <w:rsid w:val="003B244A"/>
    <w:rsid w:val="003B2757"/>
    <w:rsid w:val="003B31F8"/>
    <w:rsid w:val="003B4235"/>
    <w:rsid w:val="003B44E4"/>
    <w:rsid w:val="003B4AD3"/>
    <w:rsid w:val="003B4D39"/>
    <w:rsid w:val="003B5213"/>
    <w:rsid w:val="003B6270"/>
    <w:rsid w:val="003B63C8"/>
    <w:rsid w:val="003B78A3"/>
    <w:rsid w:val="003C019A"/>
    <w:rsid w:val="003C0BAC"/>
    <w:rsid w:val="003C13BC"/>
    <w:rsid w:val="003C201E"/>
    <w:rsid w:val="003C3151"/>
    <w:rsid w:val="003C3409"/>
    <w:rsid w:val="003C5AB4"/>
    <w:rsid w:val="003C6710"/>
    <w:rsid w:val="003C6C13"/>
    <w:rsid w:val="003C7067"/>
    <w:rsid w:val="003C7CAD"/>
    <w:rsid w:val="003D11A4"/>
    <w:rsid w:val="003D1A20"/>
    <w:rsid w:val="003D1ECB"/>
    <w:rsid w:val="003D2006"/>
    <w:rsid w:val="003D24E7"/>
    <w:rsid w:val="003D25F6"/>
    <w:rsid w:val="003D2C21"/>
    <w:rsid w:val="003D5CD2"/>
    <w:rsid w:val="003D6A34"/>
    <w:rsid w:val="003D6D47"/>
    <w:rsid w:val="003D7737"/>
    <w:rsid w:val="003D775C"/>
    <w:rsid w:val="003D7FAF"/>
    <w:rsid w:val="003E0329"/>
    <w:rsid w:val="003E034E"/>
    <w:rsid w:val="003E1F49"/>
    <w:rsid w:val="003E227D"/>
    <w:rsid w:val="003E2664"/>
    <w:rsid w:val="003E3032"/>
    <w:rsid w:val="003E3A47"/>
    <w:rsid w:val="003E449E"/>
    <w:rsid w:val="003F1BC4"/>
    <w:rsid w:val="003F240D"/>
    <w:rsid w:val="003F25D4"/>
    <w:rsid w:val="003F276B"/>
    <w:rsid w:val="003F3608"/>
    <w:rsid w:val="003F3A30"/>
    <w:rsid w:val="003F3FFF"/>
    <w:rsid w:val="003F44CB"/>
    <w:rsid w:val="003F480B"/>
    <w:rsid w:val="003F4AC9"/>
    <w:rsid w:val="003F4F53"/>
    <w:rsid w:val="003F5370"/>
    <w:rsid w:val="003F5DB1"/>
    <w:rsid w:val="003F6B60"/>
    <w:rsid w:val="003F72B2"/>
    <w:rsid w:val="003F76CA"/>
    <w:rsid w:val="003F7EB1"/>
    <w:rsid w:val="0040000D"/>
    <w:rsid w:val="00400135"/>
    <w:rsid w:val="00401079"/>
    <w:rsid w:val="0040181B"/>
    <w:rsid w:val="004024E0"/>
    <w:rsid w:val="00403AEB"/>
    <w:rsid w:val="004046BA"/>
    <w:rsid w:val="004052E5"/>
    <w:rsid w:val="00405BE6"/>
    <w:rsid w:val="004071C5"/>
    <w:rsid w:val="0041159A"/>
    <w:rsid w:val="004116C1"/>
    <w:rsid w:val="00411D27"/>
    <w:rsid w:val="00413B2C"/>
    <w:rsid w:val="004142B0"/>
    <w:rsid w:val="004144E2"/>
    <w:rsid w:val="0041612B"/>
    <w:rsid w:val="0041706B"/>
    <w:rsid w:val="004175FE"/>
    <w:rsid w:val="00417790"/>
    <w:rsid w:val="00417817"/>
    <w:rsid w:val="00417D23"/>
    <w:rsid w:val="00420661"/>
    <w:rsid w:val="00420DEE"/>
    <w:rsid w:val="0042193C"/>
    <w:rsid w:val="00422613"/>
    <w:rsid w:val="00422B3A"/>
    <w:rsid w:val="00422C9D"/>
    <w:rsid w:val="00422D8B"/>
    <w:rsid w:val="00422E92"/>
    <w:rsid w:val="00423819"/>
    <w:rsid w:val="00423FBD"/>
    <w:rsid w:val="0042405D"/>
    <w:rsid w:val="004246BD"/>
    <w:rsid w:val="00426021"/>
    <w:rsid w:val="00426367"/>
    <w:rsid w:val="0042687F"/>
    <w:rsid w:val="00426C98"/>
    <w:rsid w:val="00427D13"/>
    <w:rsid w:val="00427D72"/>
    <w:rsid w:val="00430263"/>
    <w:rsid w:val="00430A60"/>
    <w:rsid w:val="00430AC7"/>
    <w:rsid w:val="004310E3"/>
    <w:rsid w:val="00431247"/>
    <w:rsid w:val="00431B2A"/>
    <w:rsid w:val="00431F60"/>
    <w:rsid w:val="00431FAD"/>
    <w:rsid w:val="00432188"/>
    <w:rsid w:val="00432C7C"/>
    <w:rsid w:val="00433800"/>
    <w:rsid w:val="00433F14"/>
    <w:rsid w:val="00434C37"/>
    <w:rsid w:val="0043773E"/>
    <w:rsid w:val="004412ED"/>
    <w:rsid w:val="00442B34"/>
    <w:rsid w:val="0044372E"/>
    <w:rsid w:val="0044644E"/>
    <w:rsid w:val="00446AE5"/>
    <w:rsid w:val="00447178"/>
    <w:rsid w:val="004473A7"/>
    <w:rsid w:val="004474DB"/>
    <w:rsid w:val="00447BD5"/>
    <w:rsid w:val="004504E5"/>
    <w:rsid w:val="0045076D"/>
    <w:rsid w:val="00450A9D"/>
    <w:rsid w:val="00450E51"/>
    <w:rsid w:val="004511C0"/>
    <w:rsid w:val="00451717"/>
    <w:rsid w:val="00451DCB"/>
    <w:rsid w:val="00451F3E"/>
    <w:rsid w:val="0045539D"/>
    <w:rsid w:val="00455B3B"/>
    <w:rsid w:val="00457A36"/>
    <w:rsid w:val="0046060F"/>
    <w:rsid w:val="0046167A"/>
    <w:rsid w:val="00461E17"/>
    <w:rsid w:val="00463570"/>
    <w:rsid w:val="004644D2"/>
    <w:rsid w:val="004644E9"/>
    <w:rsid w:val="00464B28"/>
    <w:rsid w:val="00464F72"/>
    <w:rsid w:val="004663D1"/>
    <w:rsid w:val="0046707E"/>
    <w:rsid w:val="00467217"/>
    <w:rsid w:val="0046761E"/>
    <w:rsid w:val="00470B72"/>
    <w:rsid w:val="00471DB9"/>
    <w:rsid w:val="00475A5D"/>
    <w:rsid w:val="00475D5F"/>
    <w:rsid w:val="00475E3B"/>
    <w:rsid w:val="004769D6"/>
    <w:rsid w:val="00477184"/>
    <w:rsid w:val="004777B3"/>
    <w:rsid w:val="00480C35"/>
    <w:rsid w:val="00481815"/>
    <w:rsid w:val="00482D33"/>
    <w:rsid w:val="0048356D"/>
    <w:rsid w:val="00483A1B"/>
    <w:rsid w:val="0048407B"/>
    <w:rsid w:val="00484747"/>
    <w:rsid w:val="00484C50"/>
    <w:rsid w:val="0048514D"/>
    <w:rsid w:val="004854C2"/>
    <w:rsid w:val="0048618C"/>
    <w:rsid w:val="00486E90"/>
    <w:rsid w:val="00487239"/>
    <w:rsid w:val="00487D04"/>
    <w:rsid w:val="00487F01"/>
    <w:rsid w:val="004905DA"/>
    <w:rsid w:val="00491B5E"/>
    <w:rsid w:val="004923A4"/>
    <w:rsid w:val="004923E2"/>
    <w:rsid w:val="00492645"/>
    <w:rsid w:val="00493FD0"/>
    <w:rsid w:val="00494B04"/>
    <w:rsid w:val="0049541C"/>
    <w:rsid w:val="004959D8"/>
    <w:rsid w:val="00495F5F"/>
    <w:rsid w:val="00496179"/>
    <w:rsid w:val="00497931"/>
    <w:rsid w:val="004979F2"/>
    <w:rsid w:val="004A0706"/>
    <w:rsid w:val="004A0A15"/>
    <w:rsid w:val="004A16B6"/>
    <w:rsid w:val="004A2343"/>
    <w:rsid w:val="004A63E6"/>
    <w:rsid w:val="004A739B"/>
    <w:rsid w:val="004A7899"/>
    <w:rsid w:val="004B0110"/>
    <w:rsid w:val="004B09F2"/>
    <w:rsid w:val="004B0E99"/>
    <w:rsid w:val="004B1270"/>
    <w:rsid w:val="004B1636"/>
    <w:rsid w:val="004B46E3"/>
    <w:rsid w:val="004B62C6"/>
    <w:rsid w:val="004B63D2"/>
    <w:rsid w:val="004B6EF7"/>
    <w:rsid w:val="004B7011"/>
    <w:rsid w:val="004B7947"/>
    <w:rsid w:val="004C03F8"/>
    <w:rsid w:val="004C11D1"/>
    <w:rsid w:val="004C1847"/>
    <w:rsid w:val="004C1EF5"/>
    <w:rsid w:val="004C2C66"/>
    <w:rsid w:val="004C6223"/>
    <w:rsid w:val="004C6837"/>
    <w:rsid w:val="004C6CB3"/>
    <w:rsid w:val="004C6F15"/>
    <w:rsid w:val="004C6F43"/>
    <w:rsid w:val="004C70E6"/>
    <w:rsid w:val="004D0478"/>
    <w:rsid w:val="004D070C"/>
    <w:rsid w:val="004D0ECF"/>
    <w:rsid w:val="004D153A"/>
    <w:rsid w:val="004D1AEE"/>
    <w:rsid w:val="004D4702"/>
    <w:rsid w:val="004D4C38"/>
    <w:rsid w:val="004D4E3C"/>
    <w:rsid w:val="004D51A2"/>
    <w:rsid w:val="004D7355"/>
    <w:rsid w:val="004D7E16"/>
    <w:rsid w:val="004E0F30"/>
    <w:rsid w:val="004E253A"/>
    <w:rsid w:val="004E2FB1"/>
    <w:rsid w:val="004E35FF"/>
    <w:rsid w:val="004E4B90"/>
    <w:rsid w:val="004E5316"/>
    <w:rsid w:val="004E7220"/>
    <w:rsid w:val="004E77F7"/>
    <w:rsid w:val="004E7C17"/>
    <w:rsid w:val="004E7DEF"/>
    <w:rsid w:val="004F0826"/>
    <w:rsid w:val="004F0A8D"/>
    <w:rsid w:val="004F156F"/>
    <w:rsid w:val="004F170F"/>
    <w:rsid w:val="004F1FD5"/>
    <w:rsid w:val="004F361C"/>
    <w:rsid w:val="004F3FD9"/>
    <w:rsid w:val="004F5932"/>
    <w:rsid w:val="004F6046"/>
    <w:rsid w:val="004F60BD"/>
    <w:rsid w:val="004F640B"/>
    <w:rsid w:val="00500719"/>
    <w:rsid w:val="00500EE1"/>
    <w:rsid w:val="00501DA1"/>
    <w:rsid w:val="00502319"/>
    <w:rsid w:val="0050366F"/>
    <w:rsid w:val="005037AC"/>
    <w:rsid w:val="00503AB3"/>
    <w:rsid w:val="00503D49"/>
    <w:rsid w:val="005051E9"/>
    <w:rsid w:val="0050524E"/>
    <w:rsid w:val="00506354"/>
    <w:rsid w:val="00507114"/>
    <w:rsid w:val="00507662"/>
    <w:rsid w:val="005138D9"/>
    <w:rsid w:val="005144F5"/>
    <w:rsid w:val="00514802"/>
    <w:rsid w:val="005155E0"/>
    <w:rsid w:val="00515C22"/>
    <w:rsid w:val="005170C2"/>
    <w:rsid w:val="00517A18"/>
    <w:rsid w:val="0052022A"/>
    <w:rsid w:val="005203BC"/>
    <w:rsid w:val="00521523"/>
    <w:rsid w:val="0052231C"/>
    <w:rsid w:val="00522345"/>
    <w:rsid w:val="005227C8"/>
    <w:rsid w:val="00524010"/>
    <w:rsid w:val="0052437B"/>
    <w:rsid w:val="00527C8E"/>
    <w:rsid w:val="00530248"/>
    <w:rsid w:val="0053036E"/>
    <w:rsid w:val="00530C2C"/>
    <w:rsid w:val="00531DE8"/>
    <w:rsid w:val="00534023"/>
    <w:rsid w:val="00536CF9"/>
    <w:rsid w:val="005379E5"/>
    <w:rsid w:val="0054046D"/>
    <w:rsid w:val="0054113E"/>
    <w:rsid w:val="00542CFA"/>
    <w:rsid w:val="00544DDD"/>
    <w:rsid w:val="0054545F"/>
    <w:rsid w:val="00545A1E"/>
    <w:rsid w:val="00545D7A"/>
    <w:rsid w:val="00546796"/>
    <w:rsid w:val="00547A82"/>
    <w:rsid w:val="00552A2F"/>
    <w:rsid w:val="00553733"/>
    <w:rsid w:val="00554A36"/>
    <w:rsid w:val="005624C4"/>
    <w:rsid w:val="00562ADA"/>
    <w:rsid w:val="00562DB4"/>
    <w:rsid w:val="00563CF1"/>
    <w:rsid w:val="00563FA4"/>
    <w:rsid w:val="00564983"/>
    <w:rsid w:val="0056569D"/>
    <w:rsid w:val="005664E1"/>
    <w:rsid w:val="00566662"/>
    <w:rsid w:val="00566F66"/>
    <w:rsid w:val="00570322"/>
    <w:rsid w:val="005704CE"/>
    <w:rsid w:val="00570BDB"/>
    <w:rsid w:val="005716E7"/>
    <w:rsid w:val="00571774"/>
    <w:rsid w:val="00571917"/>
    <w:rsid w:val="00571C80"/>
    <w:rsid w:val="00572D39"/>
    <w:rsid w:val="005739FB"/>
    <w:rsid w:val="0057403B"/>
    <w:rsid w:val="00576E04"/>
    <w:rsid w:val="00580C22"/>
    <w:rsid w:val="00585655"/>
    <w:rsid w:val="00585F16"/>
    <w:rsid w:val="0058623F"/>
    <w:rsid w:val="005867D4"/>
    <w:rsid w:val="00586BE8"/>
    <w:rsid w:val="00587333"/>
    <w:rsid w:val="005900A4"/>
    <w:rsid w:val="005914D8"/>
    <w:rsid w:val="0059198D"/>
    <w:rsid w:val="00591FEE"/>
    <w:rsid w:val="00592020"/>
    <w:rsid w:val="00592414"/>
    <w:rsid w:val="00595928"/>
    <w:rsid w:val="00595FD3"/>
    <w:rsid w:val="00596B9E"/>
    <w:rsid w:val="00597B73"/>
    <w:rsid w:val="005A064D"/>
    <w:rsid w:val="005A09F8"/>
    <w:rsid w:val="005A1CF3"/>
    <w:rsid w:val="005A1EA3"/>
    <w:rsid w:val="005A32FA"/>
    <w:rsid w:val="005A408B"/>
    <w:rsid w:val="005A4E51"/>
    <w:rsid w:val="005A675D"/>
    <w:rsid w:val="005A6E8A"/>
    <w:rsid w:val="005A7931"/>
    <w:rsid w:val="005B12A2"/>
    <w:rsid w:val="005B1335"/>
    <w:rsid w:val="005B2367"/>
    <w:rsid w:val="005B3269"/>
    <w:rsid w:val="005B500B"/>
    <w:rsid w:val="005B5CB3"/>
    <w:rsid w:val="005B6743"/>
    <w:rsid w:val="005B71B1"/>
    <w:rsid w:val="005B7DB6"/>
    <w:rsid w:val="005C17AC"/>
    <w:rsid w:val="005C1CF8"/>
    <w:rsid w:val="005C206F"/>
    <w:rsid w:val="005C28BE"/>
    <w:rsid w:val="005C2B27"/>
    <w:rsid w:val="005C33E9"/>
    <w:rsid w:val="005C3B05"/>
    <w:rsid w:val="005C417F"/>
    <w:rsid w:val="005C42A0"/>
    <w:rsid w:val="005C5FAF"/>
    <w:rsid w:val="005D0B56"/>
    <w:rsid w:val="005D0E06"/>
    <w:rsid w:val="005D156C"/>
    <w:rsid w:val="005D16DB"/>
    <w:rsid w:val="005D1854"/>
    <w:rsid w:val="005D1B0E"/>
    <w:rsid w:val="005D1D92"/>
    <w:rsid w:val="005D25F3"/>
    <w:rsid w:val="005D43C0"/>
    <w:rsid w:val="005D5C89"/>
    <w:rsid w:val="005D5FC4"/>
    <w:rsid w:val="005D6D63"/>
    <w:rsid w:val="005D7C3E"/>
    <w:rsid w:val="005E1FB7"/>
    <w:rsid w:val="005E3A91"/>
    <w:rsid w:val="005E421F"/>
    <w:rsid w:val="005E4576"/>
    <w:rsid w:val="005E4A77"/>
    <w:rsid w:val="005E5A2D"/>
    <w:rsid w:val="005E5D26"/>
    <w:rsid w:val="005E652A"/>
    <w:rsid w:val="005E7DC0"/>
    <w:rsid w:val="005F01A4"/>
    <w:rsid w:val="005F0F6D"/>
    <w:rsid w:val="005F1AF9"/>
    <w:rsid w:val="005F350F"/>
    <w:rsid w:val="005F4A66"/>
    <w:rsid w:val="005F4A90"/>
    <w:rsid w:val="005F727A"/>
    <w:rsid w:val="005F7B38"/>
    <w:rsid w:val="005F7DFE"/>
    <w:rsid w:val="0060068C"/>
    <w:rsid w:val="00600E6B"/>
    <w:rsid w:val="006013EB"/>
    <w:rsid w:val="00601449"/>
    <w:rsid w:val="00603B04"/>
    <w:rsid w:val="00605029"/>
    <w:rsid w:val="00605187"/>
    <w:rsid w:val="00605F1F"/>
    <w:rsid w:val="0060701E"/>
    <w:rsid w:val="006077E4"/>
    <w:rsid w:val="006112BD"/>
    <w:rsid w:val="0061288D"/>
    <w:rsid w:val="00612B45"/>
    <w:rsid w:val="00612B4E"/>
    <w:rsid w:val="00612C64"/>
    <w:rsid w:val="00614564"/>
    <w:rsid w:val="0061496B"/>
    <w:rsid w:val="00616F9A"/>
    <w:rsid w:val="00617049"/>
    <w:rsid w:val="00621A50"/>
    <w:rsid w:val="00621EEC"/>
    <w:rsid w:val="00622A99"/>
    <w:rsid w:val="00623D49"/>
    <w:rsid w:val="00624F35"/>
    <w:rsid w:val="00625590"/>
    <w:rsid w:val="00625B02"/>
    <w:rsid w:val="0062730A"/>
    <w:rsid w:val="0062770D"/>
    <w:rsid w:val="00631345"/>
    <w:rsid w:val="00632C94"/>
    <w:rsid w:val="0063629F"/>
    <w:rsid w:val="00636FAC"/>
    <w:rsid w:val="006374A8"/>
    <w:rsid w:val="0063772C"/>
    <w:rsid w:val="00640CBC"/>
    <w:rsid w:val="00640E3E"/>
    <w:rsid w:val="006421D9"/>
    <w:rsid w:val="00642B2A"/>
    <w:rsid w:val="00642C71"/>
    <w:rsid w:val="006459A2"/>
    <w:rsid w:val="006459B3"/>
    <w:rsid w:val="00650422"/>
    <w:rsid w:val="00650EE9"/>
    <w:rsid w:val="0065194E"/>
    <w:rsid w:val="00651D57"/>
    <w:rsid w:val="00652E62"/>
    <w:rsid w:val="00654E9C"/>
    <w:rsid w:val="00654EC9"/>
    <w:rsid w:val="00655248"/>
    <w:rsid w:val="00656A3D"/>
    <w:rsid w:val="006607AB"/>
    <w:rsid w:val="00660DA8"/>
    <w:rsid w:val="006615D4"/>
    <w:rsid w:val="00661942"/>
    <w:rsid w:val="00661B87"/>
    <w:rsid w:val="00662669"/>
    <w:rsid w:val="0066321A"/>
    <w:rsid w:val="00664699"/>
    <w:rsid w:val="00665638"/>
    <w:rsid w:val="00665814"/>
    <w:rsid w:val="00666498"/>
    <w:rsid w:val="006678A7"/>
    <w:rsid w:val="006709F4"/>
    <w:rsid w:val="00671F83"/>
    <w:rsid w:val="0067238E"/>
    <w:rsid w:val="00672E04"/>
    <w:rsid w:val="00672EA9"/>
    <w:rsid w:val="00673084"/>
    <w:rsid w:val="006736DF"/>
    <w:rsid w:val="00674121"/>
    <w:rsid w:val="00675B5E"/>
    <w:rsid w:val="0067676E"/>
    <w:rsid w:val="006768CA"/>
    <w:rsid w:val="00682367"/>
    <w:rsid w:val="006833C1"/>
    <w:rsid w:val="00690108"/>
    <w:rsid w:val="00691525"/>
    <w:rsid w:val="006924E5"/>
    <w:rsid w:val="00693747"/>
    <w:rsid w:val="00694BDD"/>
    <w:rsid w:val="0069542E"/>
    <w:rsid w:val="0069619F"/>
    <w:rsid w:val="00696249"/>
    <w:rsid w:val="00696F05"/>
    <w:rsid w:val="0069778E"/>
    <w:rsid w:val="00697CE8"/>
    <w:rsid w:val="00697F22"/>
    <w:rsid w:val="006A00A9"/>
    <w:rsid w:val="006A01A9"/>
    <w:rsid w:val="006A1622"/>
    <w:rsid w:val="006A1C1E"/>
    <w:rsid w:val="006A36C0"/>
    <w:rsid w:val="006A3B24"/>
    <w:rsid w:val="006A3D27"/>
    <w:rsid w:val="006A3DC7"/>
    <w:rsid w:val="006A51A3"/>
    <w:rsid w:val="006A5871"/>
    <w:rsid w:val="006A5F3E"/>
    <w:rsid w:val="006A6F3D"/>
    <w:rsid w:val="006A7584"/>
    <w:rsid w:val="006B17C2"/>
    <w:rsid w:val="006B2081"/>
    <w:rsid w:val="006B2B18"/>
    <w:rsid w:val="006B4863"/>
    <w:rsid w:val="006B5D10"/>
    <w:rsid w:val="006B7593"/>
    <w:rsid w:val="006C0EE3"/>
    <w:rsid w:val="006C15B3"/>
    <w:rsid w:val="006C223B"/>
    <w:rsid w:val="006C3A88"/>
    <w:rsid w:val="006C4671"/>
    <w:rsid w:val="006C4FF0"/>
    <w:rsid w:val="006C60BD"/>
    <w:rsid w:val="006C6371"/>
    <w:rsid w:val="006C646D"/>
    <w:rsid w:val="006C65C3"/>
    <w:rsid w:val="006C65E3"/>
    <w:rsid w:val="006C6AE4"/>
    <w:rsid w:val="006C6EE7"/>
    <w:rsid w:val="006C73C6"/>
    <w:rsid w:val="006D03CE"/>
    <w:rsid w:val="006D46FD"/>
    <w:rsid w:val="006D4A89"/>
    <w:rsid w:val="006D6661"/>
    <w:rsid w:val="006D72B6"/>
    <w:rsid w:val="006E11B7"/>
    <w:rsid w:val="006E1C33"/>
    <w:rsid w:val="006E1CB9"/>
    <w:rsid w:val="006E25B0"/>
    <w:rsid w:val="006E270F"/>
    <w:rsid w:val="006E3918"/>
    <w:rsid w:val="006E3C4C"/>
    <w:rsid w:val="006E3D56"/>
    <w:rsid w:val="006E3F00"/>
    <w:rsid w:val="006E676F"/>
    <w:rsid w:val="006E6FB9"/>
    <w:rsid w:val="006E7E4C"/>
    <w:rsid w:val="006F0048"/>
    <w:rsid w:val="006F044F"/>
    <w:rsid w:val="006F202C"/>
    <w:rsid w:val="006F20F4"/>
    <w:rsid w:val="006F2642"/>
    <w:rsid w:val="006F333C"/>
    <w:rsid w:val="006F4F0A"/>
    <w:rsid w:val="006F50BF"/>
    <w:rsid w:val="006F5994"/>
    <w:rsid w:val="006F5BFB"/>
    <w:rsid w:val="006F5CEE"/>
    <w:rsid w:val="006F5E7B"/>
    <w:rsid w:val="006F685F"/>
    <w:rsid w:val="006F7150"/>
    <w:rsid w:val="006F7561"/>
    <w:rsid w:val="006F7A4E"/>
    <w:rsid w:val="00701C40"/>
    <w:rsid w:val="007022DC"/>
    <w:rsid w:val="0070347C"/>
    <w:rsid w:val="00703647"/>
    <w:rsid w:val="00704880"/>
    <w:rsid w:val="00704C10"/>
    <w:rsid w:val="007078A7"/>
    <w:rsid w:val="00710109"/>
    <w:rsid w:val="007116BA"/>
    <w:rsid w:val="00713DCC"/>
    <w:rsid w:val="00713FC6"/>
    <w:rsid w:val="00716190"/>
    <w:rsid w:val="00716771"/>
    <w:rsid w:val="00716D23"/>
    <w:rsid w:val="00717B2B"/>
    <w:rsid w:val="00717C63"/>
    <w:rsid w:val="00720409"/>
    <w:rsid w:val="007204A6"/>
    <w:rsid w:val="0072098E"/>
    <w:rsid w:val="007209C1"/>
    <w:rsid w:val="0072133F"/>
    <w:rsid w:val="007219D5"/>
    <w:rsid w:val="007226A3"/>
    <w:rsid w:val="007228F9"/>
    <w:rsid w:val="007231B8"/>
    <w:rsid w:val="007233D5"/>
    <w:rsid w:val="007234A0"/>
    <w:rsid w:val="0072391E"/>
    <w:rsid w:val="0072473B"/>
    <w:rsid w:val="00725506"/>
    <w:rsid w:val="00726094"/>
    <w:rsid w:val="00726797"/>
    <w:rsid w:val="00726E89"/>
    <w:rsid w:val="00730902"/>
    <w:rsid w:val="00730B27"/>
    <w:rsid w:val="00730C0C"/>
    <w:rsid w:val="007310F5"/>
    <w:rsid w:val="00731493"/>
    <w:rsid w:val="00731749"/>
    <w:rsid w:val="007329E4"/>
    <w:rsid w:val="00733C73"/>
    <w:rsid w:val="00734891"/>
    <w:rsid w:val="00734E37"/>
    <w:rsid w:val="0073502C"/>
    <w:rsid w:val="00735940"/>
    <w:rsid w:val="00735A7F"/>
    <w:rsid w:val="0073644F"/>
    <w:rsid w:val="007364B8"/>
    <w:rsid w:val="00736BD0"/>
    <w:rsid w:val="007376F1"/>
    <w:rsid w:val="007400DB"/>
    <w:rsid w:val="00740F7B"/>
    <w:rsid w:val="007410E2"/>
    <w:rsid w:val="00741B95"/>
    <w:rsid w:val="00742381"/>
    <w:rsid w:val="007436C7"/>
    <w:rsid w:val="007439C8"/>
    <w:rsid w:val="007445A8"/>
    <w:rsid w:val="00745134"/>
    <w:rsid w:val="00746637"/>
    <w:rsid w:val="00746CCA"/>
    <w:rsid w:val="00746EDE"/>
    <w:rsid w:val="00750AAB"/>
    <w:rsid w:val="00750EE7"/>
    <w:rsid w:val="007526DD"/>
    <w:rsid w:val="00752E77"/>
    <w:rsid w:val="00753307"/>
    <w:rsid w:val="007544F9"/>
    <w:rsid w:val="00754E2C"/>
    <w:rsid w:val="00755226"/>
    <w:rsid w:val="00757526"/>
    <w:rsid w:val="0076017E"/>
    <w:rsid w:val="00760455"/>
    <w:rsid w:val="007611B6"/>
    <w:rsid w:val="00761409"/>
    <w:rsid w:val="0076178F"/>
    <w:rsid w:val="007622DD"/>
    <w:rsid w:val="0076327B"/>
    <w:rsid w:val="0076379D"/>
    <w:rsid w:val="00763CFC"/>
    <w:rsid w:val="00764ED1"/>
    <w:rsid w:val="0076500D"/>
    <w:rsid w:val="007653CD"/>
    <w:rsid w:val="00765A3F"/>
    <w:rsid w:val="00770A8B"/>
    <w:rsid w:val="00771879"/>
    <w:rsid w:val="00771C95"/>
    <w:rsid w:val="00772B51"/>
    <w:rsid w:val="00773043"/>
    <w:rsid w:val="00773463"/>
    <w:rsid w:val="00773704"/>
    <w:rsid w:val="0077468F"/>
    <w:rsid w:val="007749FC"/>
    <w:rsid w:val="00774D56"/>
    <w:rsid w:val="00774EE5"/>
    <w:rsid w:val="00775DEB"/>
    <w:rsid w:val="00776399"/>
    <w:rsid w:val="007768AA"/>
    <w:rsid w:val="00780512"/>
    <w:rsid w:val="0078208D"/>
    <w:rsid w:val="00782A1F"/>
    <w:rsid w:val="007839EF"/>
    <w:rsid w:val="007842C8"/>
    <w:rsid w:val="007846B0"/>
    <w:rsid w:val="00785E54"/>
    <w:rsid w:val="00785EE3"/>
    <w:rsid w:val="00786D3D"/>
    <w:rsid w:val="00790059"/>
    <w:rsid w:val="00790246"/>
    <w:rsid w:val="007906B1"/>
    <w:rsid w:val="00790CD5"/>
    <w:rsid w:val="00790D0D"/>
    <w:rsid w:val="007923B6"/>
    <w:rsid w:val="007923FB"/>
    <w:rsid w:val="007925E0"/>
    <w:rsid w:val="00792E5B"/>
    <w:rsid w:val="007939C1"/>
    <w:rsid w:val="007947D3"/>
    <w:rsid w:val="00794A08"/>
    <w:rsid w:val="00795696"/>
    <w:rsid w:val="00795FA7"/>
    <w:rsid w:val="00796A9F"/>
    <w:rsid w:val="007A0252"/>
    <w:rsid w:val="007A284F"/>
    <w:rsid w:val="007A338B"/>
    <w:rsid w:val="007A4B81"/>
    <w:rsid w:val="007A4BE2"/>
    <w:rsid w:val="007A59F0"/>
    <w:rsid w:val="007A70F5"/>
    <w:rsid w:val="007B0B66"/>
    <w:rsid w:val="007B1F98"/>
    <w:rsid w:val="007B2534"/>
    <w:rsid w:val="007B26BE"/>
    <w:rsid w:val="007B4295"/>
    <w:rsid w:val="007B4424"/>
    <w:rsid w:val="007B626C"/>
    <w:rsid w:val="007B6A61"/>
    <w:rsid w:val="007C00DE"/>
    <w:rsid w:val="007C0B45"/>
    <w:rsid w:val="007C2D7E"/>
    <w:rsid w:val="007C4488"/>
    <w:rsid w:val="007C48F6"/>
    <w:rsid w:val="007C73C4"/>
    <w:rsid w:val="007C7E75"/>
    <w:rsid w:val="007D0023"/>
    <w:rsid w:val="007D1DB1"/>
    <w:rsid w:val="007D1F38"/>
    <w:rsid w:val="007D3340"/>
    <w:rsid w:val="007D3C58"/>
    <w:rsid w:val="007D5F8E"/>
    <w:rsid w:val="007D62CF"/>
    <w:rsid w:val="007D6D50"/>
    <w:rsid w:val="007D6E98"/>
    <w:rsid w:val="007E150B"/>
    <w:rsid w:val="007E1A0A"/>
    <w:rsid w:val="007E25D9"/>
    <w:rsid w:val="007E7B82"/>
    <w:rsid w:val="007E7FB4"/>
    <w:rsid w:val="007F1DC4"/>
    <w:rsid w:val="007F204D"/>
    <w:rsid w:val="007F350D"/>
    <w:rsid w:val="007F353E"/>
    <w:rsid w:val="007F58D1"/>
    <w:rsid w:val="007F60C9"/>
    <w:rsid w:val="007F7C29"/>
    <w:rsid w:val="00801560"/>
    <w:rsid w:val="008019AD"/>
    <w:rsid w:val="008023B0"/>
    <w:rsid w:val="00802C45"/>
    <w:rsid w:val="00803619"/>
    <w:rsid w:val="0080393F"/>
    <w:rsid w:val="00803D44"/>
    <w:rsid w:val="00804068"/>
    <w:rsid w:val="0080426F"/>
    <w:rsid w:val="00804309"/>
    <w:rsid w:val="00804DB9"/>
    <w:rsid w:val="00807B8F"/>
    <w:rsid w:val="008102F3"/>
    <w:rsid w:val="00811A0B"/>
    <w:rsid w:val="00811CFB"/>
    <w:rsid w:val="00812BBB"/>
    <w:rsid w:val="0081303D"/>
    <w:rsid w:val="008138B9"/>
    <w:rsid w:val="008138D5"/>
    <w:rsid w:val="0081505F"/>
    <w:rsid w:val="00815859"/>
    <w:rsid w:val="00815EDD"/>
    <w:rsid w:val="00820B2E"/>
    <w:rsid w:val="00820C2D"/>
    <w:rsid w:val="00820E16"/>
    <w:rsid w:val="00823233"/>
    <w:rsid w:val="00824C7C"/>
    <w:rsid w:val="008250AB"/>
    <w:rsid w:val="008274D8"/>
    <w:rsid w:val="00827821"/>
    <w:rsid w:val="00830A33"/>
    <w:rsid w:val="00830ED7"/>
    <w:rsid w:val="00831554"/>
    <w:rsid w:val="0083236C"/>
    <w:rsid w:val="00833453"/>
    <w:rsid w:val="0083430A"/>
    <w:rsid w:val="008352E9"/>
    <w:rsid w:val="008370E1"/>
    <w:rsid w:val="008423A7"/>
    <w:rsid w:val="00847E58"/>
    <w:rsid w:val="00852C51"/>
    <w:rsid w:val="008532B8"/>
    <w:rsid w:val="00853572"/>
    <w:rsid w:val="00855294"/>
    <w:rsid w:val="008558A5"/>
    <w:rsid w:val="00855D8F"/>
    <w:rsid w:val="0085629C"/>
    <w:rsid w:val="008576E8"/>
    <w:rsid w:val="008605E3"/>
    <w:rsid w:val="00861F6F"/>
    <w:rsid w:val="0086210C"/>
    <w:rsid w:val="008655A9"/>
    <w:rsid w:val="008660BF"/>
    <w:rsid w:val="008667E4"/>
    <w:rsid w:val="0086740C"/>
    <w:rsid w:val="00867942"/>
    <w:rsid w:val="0086799E"/>
    <w:rsid w:val="00867D49"/>
    <w:rsid w:val="00867F59"/>
    <w:rsid w:val="0087037E"/>
    <w:rsid w:val="008718A7"/>
    <w:rsid w:val="008738E3"/>
    <w:rsid w:val="00873BBD"/>
    <w:rsid w:val="00874B55"/>
    <w:rsid w:val="00875FA5"/>
    <w:rsid w:val="00876DFE"/>
    <w:rsid w:val="00880387"/>
    <w:rsid w:val="008804D5"/>
    <w:rsid w:val="008824F2"/>
    <w:rsid w:val="0088293B"/>
    <w:rsid w:val="008829E8"/>
    <w:rsid w:val="00882E7E"/>
    <w:rsid w:val="00884788"/>
    <w:rsid w:val="00886895"/>
    <w:rsid w:val="00886B71"/>
    <w:rsid w:val="00886C92"/>
    <w:rsid w:val="008878F3"/>
    <w:rsid w:val="00887B22"/>
    <w:rsid w:val="00887B35"/>
    <w:rsid w:val="008903E7"/>
    <w:rsid w:val="00891A3E"/>
    <w:rsid w:val="0089207C"/>
    <w:rsid w:val="0089254F"/>
    <w:rsid w:val="008938A4"/>
    <w:rsid w:val="00895328"/>
    <w:rsid w:val="00895B62"/>
    <w:rsid w:val="00897D34"/>
    <w:rsid w:val="008A07DD"/>
    <w:rsid w:val="008A0E72"/>
    <w:rsid w:val="008A34DC"/>
    <w:rsid w:val="008A40B4"/>
    <w:rsid w:val="008A4B47"/>
    <w:rsid w:val="008A53C7"/>
    <w:rsid w:val="008A598D"/>
    <w:rsid w:val="008A6B14"/>
    <w:rsid w:val="008A6B3A"/>
    <w:rsid w:val="008A6C26"/>
    <w:rsid w:val="008A7917"/>
    <w:rsid w:val="008A7CB0"/>
    <w:rsid w:val="008B2369"/>
    <w:rsid w:val="008B389F"/>
    <w:rsid w:val="008B4073"/>
    <w:rsid w:val="008B438B"/>
    <w:rsid w:val="008B4413"/>
    <w:rsid w:val="008B5581"/>
    <w:rsid w:val="008B55A4"/>
    <w:rsid w:val="008B5671"/>
    <w:rsid w:val="008B60A9"/>
    <w:rsid w:val="008B62CA"/>
    <w:rsid w:val="008B7569"/>
    <w:rsid w:val="008C012A"/>
    <w:rsid w:val="008C180F"/>
    <w:rsid w:val="008C25D4"/>
    <w:rsid w:val="008C2729"/>
    <w:rsid w:val="008C32F8"/>
    <w:rsid w:val="008C3971"/>
    <w:rsid w:val="008C3E2D"/>
    <w:rsid w:val="008C5679"/>
    <w:rsid w:val="008C5AC6"/>
    <w:rsid w:val="008C6473"/>
    <w:rsid w:val="008C6FF9"/>
    <w:rsid w:val="008C72F6"/>
    <w:rsid w:val="008C7E5A"/>
    <w:rsid w:val="008C7FB4"/>
    <w:rsid w:val="008D01C2"/>
    <w:rsid w:val="008D0A5E"/>
    <w:rsid w:val="008D1CA3"/>
    <w:rsid w:val="008D1FFC"/>
    <w:rsid w:val="008D20A4"/>
    <w:rsid w:val="008D2AA9"/>
    <w:rsid w:val="008D2B51"/>
    <w:rsid w:val="008D2F28"/>
    <w:rsid w:val="008D3A68"/>
    <w:rsid w:val="008D58F3"/>
    <w:rsid w:val="008D6F30"/>
    <w:rsid w:val="008D765A"/>
    <w:rsid w:val="008D7B0D"/>
    <w:rsid w:val="008E02FC"/>
    <w:rsid w:val="008E0C1B"/>
    <w:rsid w:val="008E138F"/>
    <w:rsid w:val="008E1A7B"/>
    <w:rsid w:val="008E2EC4"/>
    <w:rsid w:val="008E3739"/>
    <w:rsid w:val="008E3B21"/>
    <w:rsid w:val="008E4245"/>
    <w:rsid w:val="008E4D63"/>
    <w:rsid w:val="008E5324"/>
    <w:rsid w:val="008E5481"/>
    <w:rsid w:val="008E5B67"/>
    <w:rsid w:val="008E628F"/>
    <w:rsid w:val="008E6FD3"/>
    <w:rsid w:val="008E79EF"/>
    <w:rsid w:val="008E7BBD"/>
    <w:rsid w:val="008E7DD9"/>
    <w:rsid w:val="008F3039"/>
    <w:rsid w:val="008F3C4D"/>
    <w:rsid w:val="008F4ABA"/>
    <w:rsid w:val="008F60BD"/>
    <w:rsid w:val="008F67E2"/>
    <w:rsid w:val="008F6F83"/>
    <w:rsid w:val="008F77A4"/>
    <w:rsid w:val="00900B73"/>
    <w:rsid w:val="00901287"/>
    <w:rsid w:val="00902A39"/>
    <w:rsid w:val="00903445"/>
    <w:rsid w:val="00903CAB"/>
    <w:rsid w:val="00903F98"/>
    <w:rsid w:val="009048CC"/>
    <w:rsid w:val="00905BE6"/>
    <w:rsid w:val="00906655"/>
    <w:rsid w:val="00906D71"/>
    <w:rsid w:val="00912F95"/>
    <w:rsid w:val="00914177"/>
    <w:rsid w:val="00915005"/>
    <w:rsid w:val="00917727"/>
    <w:rsid w:val="0091775A"/>
    <w:rsid w:val="009204D4"/>
    <w:rsid w:val="00920A10"/>
    <w:rsid w:val="00922C3A"/>
    <w:rsid w:val="00923D62"/>
    <w:rsid w:val="0092498B"/>
    <w:rsid w:val="00926C35"/>
    <w:rsid w:val="00926F1C"/>
    <w:rsid w:val="009278A3"/>
    <w:rsid w:val="00930656"/>
    <w:rsid w:val="00931AC5"/>
    <w:rsid w:val="00932E4C"/>
    <w:rsid w:val="00935BE2"/>
    <w:rsid w:val="00936E89"/>
    <w:rsid w:val="009374FA"/>
    <w:rsid w:val="009379BA"/>
    <w:rsid w:val="00941FC2"/>
    <w:rsid w:val="00943AB5"/>
    <w:rsid w:val="00943D2E"/>
    <w:rsid w:val="00944338"/>
    <w:rsid w:val="00944759"/>
    <w:rsid w:val="009449FD"/>
    <w:rsid w:val="00944C1C"/>
    <w:rsid w:val="009453A8"/>
    <w:rsid w:val="00946BAA"/>
    <w:rsid w:val="00946FE6"/>
    <w:rsid w:val="00947FC7"/>
    <w:rsid w:val="009506FD"/>
    <w:rsid w:val="00951931"/>
    <w:rsid w:val="00951CAC"/>
    <w:rsid w:val="0095203D"/>
    <w:rsid w:val="009522C7"/>
    <w:rsid w:val="009523E0"/>
    <w:rsid w:val="00952A5A"/>
    <w:rsid w:val="00953101"/>
    <w:rsid w:val="009549ED"/>
    <w:rsid w:val="00955A79"/>
    <w:rsid w:val="00955C12"/>
    <w:rsid w:val="00955E55"/>
    <w:rsid w:val="009568C3"/>
    <w:rsid w:val="00957FB2"/>
    <w:rsid w:val="00960157"/>
    <w:rsid w:val="0096199C"/>
    <w:rsid w:val="00962158"/>
    <w:rsid w:val="00962B96"/>
    <w:rsid w:val="00964DA0"/>
    <w:rsid w:val="00965582"/>
    <w:rsid w:val="00970DAD"/>
    <w:rsid w:val="0097157D"/>
    <w:rsid w:val="00971A2D"/>
    <w:rsid w:val="00972C72"/>
    <w:rsid w:val="00974418"/>
    <w:rsid w:val="00974F37"/>
    <w:rsid w:val="009752A3"/>
    <w:rsid w:val="0097756D"/>
    <w:rsid w:val="00977A0E"/>
    <w:rsid w:val="00980022"/>
    <w:rsid w:val="0098042B"/>
    <w:rsid w:val="00980F37"/>
    <w:rsid w:val="00982AF4"/>
    <w:rsid w:val="00982DCD"/>
    <w:rsid w:val="00983A91"/>
    <w:rsid w:val="00985AFE"/>
    <w:rsid w:val="00985B8C"/>
    <w:rsid w:val="009866D6"/>
    <w:rsid w:val="00986EFD"/>
    <w:rsid w:val="009873C8"/>
    <w:rsid w:val="009879C8"/>
    <w:rsid w:val="00991CE4"/>
    <w:rsid w:val="00991EC9"/>
    <w:rsid w:val="00992439"/>
    <w:rsid w:val="00993A46"/>
    <w:rsid w:val="00993E19"/>
    <w:rsid w:val="0099432F"/>
    <w:rsid w:val="00994707"/>
    <w:rsid w:val="00995376"/>
    <w:rsid w:val="00995DB2"/>
    <w:rsid w:val="00996E86"/>
    <w:rsid w:val="00997BD7"/>
    <w:rsid w:val="009A0A40"/>
    <w:rsid w:val="009A0EF1"/>
    <w:rsid w:val="009A127B"/>
    <w:rsid w:val="009A147D"/>
    <w:rsid w:val="009A1871"/>
    <w:rsid w:val="009A1C1D"/>
    <w:rsid w:val="009A2489"/>
    <w:rsid w:val="009A24A6"/>
    <w:rsid w:val="009A4E1D"/>
    <w:rsid w:val="009A6047"/>
    <w:rsid w:val="009A6416"/>
    <w:rsid w:val="009A6C2E"/>
    <w:rsid w:val="009B1080"/>
    <w:rsid w:val="009B27EA"/>
    <w:rsid w:val="009B2B1B"/>
    <w:rsid w:val="009B3356"/>
    <w:rsid w:val="009B3E06"/>
    <w:rsid w:val="009B3E83"/>
    <w:rsid w:val="009B4F8C"/>
    <w:rsid w:val="009B61F2"/>
    <w:rsid w:val="009B62A0"/>
    <w:rsid w:val="009B6F30"/>
    <w:rsid w:val="009B7F1D"/>
    <w:rsid w:val="009C038B"/>
    <w:rsid w:val="009C0C49"/>
    <w:rsid w:val="009C11C3"/>
    <w:rsid w:val="009C1D25"/>
    <w:rsid w:val="009C2375"/>
    <w:rsid w:val="009C3214"/>
    <w:rsid w:val="009C3820"/>
    <w:rsid w:val="009C41E2"/>
    <w:rsid w:val="009C46F6"/>
    <w:rsid w:val="009C4AB4"/>
    <w:rsid w:val="009C4C89"/>
    <w:rsid w:val="009C535B"/>
    <w:rsid w:val="009C5FDC"/>
    <w:rsid w:val="009C61CA"/>
    <w:rsid w:val="009C66FB"/>
    <w:rsid w:val="009C719F"/>
    <w:rsid w:val="009C7637"/>
    <w:rsid w:val="009C7708"/>
    <w:rsid w:val="009C7DFF"/>
    <w:rsid w:val="009D00E0"/>
    <w:rsid w:val="009D2C14"/>
    <w:rsid w:val="009D3703"/>
    <w:rsid w:val="009D3FEC"/>
    <w:rsid w:val="009D4357"/>
    <w:rsid w:val="009D481C"/>
    <w:rsid w:val="009D79FD"/>
    <w:rsid w:val="009E1354"/>
    <w:rsid w:val="009E2E86"/>
    <w:rsid w:val="009E31BF"/>
    <w:rsid w:val="009E3DCE"/>
    <w:rsid w:val="009E3FAA"/>
    <w:rsid w:val="009E4CCB"/>
    <w:rsid w:val="009E5037"/>
    <w:rsid w:val="009E579E"/>
    <w:rsid w:val="009E69F5"/>
    <w:rsid w:val="009E6B14"/>
    <w:rsid w:val="009E6D71"/>
    <w:rsid w:val="009E730D"/>
    <w:rsid w:val="009F0950"/>
    <w:rsid w:val="009F0F71"/>
    <w:rsid w:val="009F1D39"/>
    <w:rsid w:val="009F1D69"/>
    <w:rsid w:val="009F213A"/>
    <w:rsid w:val="009F3C5E"/>
    <w:rsid w:val="009F51F3"/>
    <w:rsid w:val="009F5AA6"/>
    <w:rsid w:val="009F64A2"/>
    <w:rsid w:val="009F6594"/>
    <w:rsid w:val="009F6C9C"/>
    <w:rsid w:val="009F7557"/>
    <w:rsid w:val="009F7E06"/>
    <w:rsid w:val="00A0041F"/>
    <w:rsid w:val="00A00677"/>
    <w:rsid w:val="00A014CA"/>
    <w:rsid w:val="00A01FDF"/>
    <w:rsid w:val="00A02565"/>
    <w:rsid w:val="00A03C17"/>
    <w:rsid w:val="00A05AB3"/>
    <w:rsid w:val="00A07AC8"/>
    <w:rsid w:val="00A1061F"/>
    <w:rsid w:val="00A12232"/>
    <w:rsid w:val="00A12A7E"/>
    <w:rsid w:val="00A1310F"/>
    <w:rsid w:val="00A13D91"/>
    <w:rsid w:val="00A141AD"/>
    <w:rsid w:val="00A1476B"/>
    <w:rsid w:val="00A15294"/>
    <w:rsid w:val="00A154FB"/>
    <w:rsid w:val="00A15B81"/>
    <w:rsid w:val="00A15F6B"/>
    <w:rsid w:val="00A16168"/>
    <w:rsid w:val="00A1616F"/>
    <w:rsid w:val="00A16768"/>
    <w:rsid w:val="00A168F7"/>
    <w:rsid w:val="00A22524"/>
    <w:rsid w:val="00A2316D"/>
    <w:rsid w:val="00A244F2"/>
    <w:rsid w:val="00A24568"/>
    <w:rsid w:val="00A2546D"/>
    <w:rsid w:val="00A262C1"/>
    <w:rsid w:val="00A262FF"/>
    <w:rsid w:val="00A27557"/>
    <w:rsid w:val="00A3013D"/>
    <w:rsid w:val="00A30680"/>
    <w:rsid w:val="00A30AA7"/>
    <w:rsid w:val="00A30B37"/>
    <w:rsid w:val="00A333EF"/>
    <w:rsid w:val="00A35D6A"/>
    <w:rsid w:val="00A35FD7"/>
    <w:rsid w:val="00A36708"/>
    <w:rsid w:val="00A37F64"/>
    <w:rsid w:val="00A409A4"/>
    <w:rsid w:val="00A4179D"/>
    <w:rsid w:val="00A41E9F"/>
    <w:rsid w:val="00A42AAD"/>
    <w:rsid w:val="00A43238"/>
    <w:rsid w:val="00A4365D"/>
    <w:rsid w:val="00A43EF2"/>
    <w:rsid w:val="00A44B66"/>
    <w:rsid w:val="00A46200"/>
    <w:rsid w:val="00A46C9C"/>
    <w:rsid w:val="00A46F80"/>
    <w:rsid w:val="00A5020B"/>
    <w:rsid w:val="00A504F8"/>
    <w:rsid w:val="00A569FA"/>
    <w:rsid w:val="00A56ECA"/>
    <w:rsid w:val="00A5730D"/>
    <w:rsid w:val="00A57AB7"/>
    <w:rsid w:val="00A57BED"/>
    <w:rsid w:val="00A57F4B"/>
    <w:rsid w:val="00A601AC"/>
    <w:rsid w:val="00A62913"/>
    <w:rsid w:val="00A62F30"/>
    <w:rsid w:val="00A633F9"/>
    <w:rsid w:val="00A639A5"/>
    <w:rsid w:val="00A663E0"/>
    <w:rsid w:val="00A665FD"/>
    <w:rsid w:val="00A671D5"/>
    <w:rsid w:val="00A7092A"/>
    <w:rsid w:val="00A70A2C"/>
    <w:rsid w:val="00A70CD9"/>
    <w:rsid w:val="00A70D5A"/>
    <w:rsid w:val="00A70E43"/>
    <w:rsid w:val="00A72441"/>
    <w:rsid w:val="00A72E04"/>
    <w:rsid w:val="00A74125"/>
    <w:rsid w:val="00A74D2F"/>
    <w:rsid w:val="00A76478"/>
    <w:rsid w:val="00A774CE"/>
    <w:rsid w:val="00A77BAE"/>
    <w:rsid w:val="00A80257"/>
    <w:rsid w:val="00A80713"/>
    <w:rsid w:val="00A81078"/>
    <w:rsid w:val="00A83146"/>
    <w:rsid w:val="00A840BA"/>
    <w:rsid w:val="00A853E9"/>
    <w:rsid w:val="00A86E04"/>
    <w:rsid w:val="00A91006"/>
    <w:rsid w:val="00A92580"/>
    <w:rsid w:val="00A93C10"/>
    <w:rsid w:val="00A940CE"/>
    <w:rsid w:val="00A95B91"/>
    <w:rsid w:val="00A9600E"/>
    <w:rsid w:val="00A96B76"/>
    <w:rsid w:val="00A96DF6"/>
    <w:rsid w:val="00A96F00"/>
    <w:rsid w:val="00AA03F7"/>
    <w:rsid w:val="00AA07E4"/>
    <w:rsid w:val="00AA0C9E"/>
    <w:rsid w:val="00AA0E37"/>
    <w:rsid w:val="00AA1553"/>
    <w:rsid w:val="00AA1802"/>
    <w:rsid w:val="00AA25FF"/>
    <w:rsid w:val="00AA3127"/>
    <w:rsid w:val="00AA3863"/>
    <w:rsid w:val="00AA4B99"/>
    <w:rsid w:val="00AA5E97"/>
    <w:rsid w:val="00AA695A"/>
    <w:rsid w:val="00AA6985"/>
    <w:rsid w:val="00AA6B04"/>
    <w:rsid w:val="00AA7036"/>
    <w:rsid w:val="00AA79C8"/>
    <w:rsid w:val="00AB0E2C"/>
    <w:rsid w:val="00AB1D40"/>
    <w:rsid w:val="00AB2433"/>
    <w:rsid w:val="00AB3CA0"/>
    <w:rsid w:val="00AB4AD6"/>
    <w:rsid w:val="00AB4CD7"/>
    <w:rsid w:val="00AB5538"/>
    <w:rsid w:val="00AB5A13"/>
    <w:rsid w:val="00AB606F"/>
    <w:rsid w:val="00AB7172"/>
    <w:rsid w:val="00AC07BE"/>
    <w:rsid w:val="00AC184C"/>
    <w:rsid w:val="00AC35BB"/>
    <w:rsid w:val="00AC3952"/>
    <w:rsid w:val="00AC4452"/>
    <w:rsid w:val="00AC4621"/>
    <w:rsid w:val="00AC480B"/>
    <w:rsid w:val="00AC4D67"/>
    <w:rsid w:val="00AC5655"/>
    <w:rsid w:val="00AC575C"/>
    <w:rsid w:val="00AC5E47"/>
    <w:rsid w:val="00AD022D"/>
    <w:rsid w:val="00AD0E59"/>
    <w:rsid w:val="00AD374F"/>
    <w:rsid w:val="00AD41FA"/>
    <w:rsid w:val="00AD4535"/>
    <w:rsid w:val="00AD6BF4"/>
    <w:rsid w:val="00AD72D7"/>
    <w:rsid w:val="00AE086C"/>
    <w:rsid w:val="00AE1D59"/>
    <w:rsid w:val="00AE2766"/>
    <w:rsid w:val="00AE2E50"/>
    <w:rsid w:val="00AE2F28"/>
    <w:rsid w:val="00AE397F"/>
    <w:rsid w:val="00AE3B36"/>
    <w:rsid w:val="00AE437A"/>
    <w:rsid w:val="00AE4F42"/>
    <w:rsid w:val="00AE5D99"/>
    <w:rsid w:val="00AE786D"/>
    <w:rsid w:val="00AE7F18"/>
    <w:rsid w:val="00AF051E"/>
    <w:rsid w:val="00AF05E0"/>
    <w:rsid w:val="00AF1658"/>
    <w:rsid w:val="00AF1FCD"/>
    <w:rsid w:val="00AF1FCF"/>
    <w:rsid w:val="00AF2EA3"/>
    <w:rsid w:val="00AF3432"/>
    <w:rsid w:val="00AF3A42"/>
    <w:rsid w:val="00AF427B"/>
    <w:rsid w:val="00AF4297"/>
    <w:rsid w:val="00AF5840"/>
    <w:rsid w:val="00AF635A"/>
    <w:rsid w:val="00AF6D4E"/>
    <w:rsid w:val="00AF76EE"/>
    <w:rsid w:val="00B009F5"/>
    <w:rsid w:val="00B00B48"/>
    <w:rsid w:val="00B0203B"/>
    <w:rsid w:val="00B021C3"/>
    <w:rsid w:val="00B02333"/>
    <w:rsid w:val="00B02ACE"/>
    <w:rsid w:val="00B02E95"/>
    <w:rsid w:val="00B02FCB"/>
    <w:rsid w:val="00B059DD"/>
    <w:rsid w:val="00B06A31"/>
    <w:rsid w:val="00B078BF"/>
    <w:rsid w:val="00B1019A"/>
    <w:rsid w:val="00B11446"/>
    <w:rsid w:val="00B11ECA"/>
    <w:rsid w:val="00B128DD"/>
    <w:rsid w:val="00B1344F"/>
    <w:rsid w:val="00B14203"/>
    <w:rsid w:val="00B143AC"/>
    <w:rsid w:val="00B16C30"/>
    <w:rsid w:val="00B20AF1"/>
    <w:rsid w:val="00B21030"/>
    <w:rsid w:val="00B2219D"/>
    <w:rsid w:val="00B22339"/>
    <w:rsid w:val="00B22AB4"/>
    <w:rsid w:val="00B2303A"/>
    <w:rsid w:val="00B2324C"/>
    <w:rsid w:val="00B232C7"/>
    <w:rsid w:val="00B233E3"/>
    <w:rsid w:val="00B23ECA"/>
    <w:rsid w:val="00B24A67"/>
    <w:rsid w:val="00B25EDF"/>
    <w:rsid w:val="00B31B7A"/>
    <w:rsid w:val="00B32DFD"/>
    <w:rsid w:val="00B33DE8"/>
    <w:rsid w:val="00B3449A"/>
    <w:rsid w:val="00B34530"/>
    <w:rsid w:val="00B35C3C"/>
    <w:rsid w:val="00B3727F"/>
    <w:rsid w:val="00B37B02"/>
    <w:rsid w:val="00B37D84"/>
    <w:rsid w:val="00B41287"/>
    <w:rsid w:val="00B412F2"/>
    <w:rsid w:val="00B41B09"/>
    <w:rsid w:val="00B42472"/>
    <w:rsid w:val="00B43C6F"/>
    <w:rsid w:val="00B4509A"/>
    <w:rsid w:val="00B46C6C"/>
    <w:rsid w:val="00B4712E"/>
    <w:rsid w:val="00B4754C"/>
    <w:rsid w:val="00B50D36"/>
    <w:rsid w:val="00B524DB"/>
    <w:rsid w:val="00B52A65"/>
    <w:rsid w:val="00B52E61"/>
    <w:rsid w:val="00B53AB0"/>
    <w:rsid w:val="00B54653"/>
    <w:rsid w:val="00B559F8"/>
    <w:rsid w:val="00B560DE"/>
    <w:rsid w:val="00B569C4"/>
    <w:rsid w:val="00B56BE0"/>
    <w:rsid w:val="00B56D17"/>
    <w:rsid w:val="00B57204"/>
    <w:rsid w:val="00B5796A"/>
    <w:rsid w:val="00B57FD2"/>
    <w:rsid w:val="00B6144A"/>
    <w:rsid w:val="00B6188B"/>
    <w:rsid w:val="00B61E27"/>
    <w:rsid w:val="00B625DD"/>
    <w:rsid w:val="00B62AFD"/>
    <w:rsid w:val="00B639CA"/>
    <w:rsid w:val="00B65356"/>
    <w:rsid w:val="00B66029"/>
    <w:rsid w:val="00B676A7"/>
    <w:rsid w:val="00B67F2A"/>
    <w:rsid w:val="00B704E0"/>
    <w:rsid w:val="00B717D1"/>
    <w:rsid w:val="00B72919"/>
    <w:rsid w:val="00B72DA9"/>
    <w:rsid w:val="00B73109"/>
    <w:rsid w:val="00B734B6"/>
    <w:rsid w:val="00B73BFE"/>
    <w:rsid w:val="00B73D2F"/>
    <w:rsid w:val="00B740D7"/>
    <w:rsid w:val="00B74326"/>
    <w:rsid w:val="00B7481D"/>
    <w:rsid w:val="00B75F3C"/>
    <w:rsid w:val="00B77009"/>
    <w:rsid w:val="00B7720A"/>
    <w:rsid w:val="00B775AE"/>
    <w:rsid w:val="00B775BF"/>
    <w:rsid w:val="00B81A2F"/>
    <w:rsid w:val="00B82CC4"/>
    <w:rsid w:val="00B833C1"/>
    <w:rsid w:val="00B834C0"/>
    <w:rsid w:val="00B83919"/>
    <w:rsid w:val="00B83FDE"/>
    <w:rsid w:val="00B840C3"/>
    <w:rsid w:val="00B841D6"/>
    <w:rsid w:val="00B851D7"/>
    <w:rsid w:val="00B87119"/>
    <w:rsid w:val="00B87716"/>
    <w:rsid w:val="00B87D38"/>
    <w:rsid w:val="00B90078"/>
    <w:rsid w:val="00B9075F"/>
    <w:rsid w:val="00B914E9"/>
    <w:rsid w:val="00B92212"/>
    <w:rsid w:val="00B92F2F"/>
    <w:rsid w:val="00B93E2B"/>
    <w:rsid w:val="00B93F3D"/>
    <w:rsid w:val="00B95A5B"/>
    <w:rsid w:val="00B96032"/>
    <w:rsid w:val="00B96975"/>
    <w:rsid w:val="00B977F5"/>
    <w:rsid w:val="00BA033F"/>
    <w:rsid w:val="00BA1ABD"/>
    <w:rsid w:val="00BA1DB6"/>
    <w:rsid w:val="00BA33D7"/>
    <w:rsid w:val="00BA3554"/>
    <w:rsid w:val="00BA3DA9"/>
    <w:rsid w:val="00BA3F07"/>
    <w:rsid w:val="00BA402E"/>
    <w:rsid w:val="00BA56E4"/>
    <w:rsid w:val="00BA57FD"/>
    <w:rsid w:val="00BA750C"/>
    <w:rsid w:val="00BA7CBB"/>
    <w:rsid w:val="00BB02C1"/>
    <w:rsid w:val="00BB193F"/>
    <w:rsid w:val="00BB198C"/>
    <w:rsid w:val="00BB1A27"/>
    <w:rsid w:val="00BB38F2"/>
    <w:rsid w:val="00BB5F02"/>
    <w:rsid w:val="00BB6253"/>
    <w:rsid w:val="00BB6D51"/>
    <w:rsid w:val="00BB7818"/>
    <w:rsid w:val="00BB7C72"/>
    <w:rsid w:val="00BC1F64"/>
    <w:rsid w:val="00BC222C"/>
    <w:rsid w:val="00BC2EAA"/>
    <w:rsid w:val="00BC39F3"/>
    <w:rsid w:val="00BC430A"/>
    <w:rsid w:val="00BC4C0D"/>
    <w:rsid w:val="00BC51C9"/>
    <w:rsid w:val="00BC5468"/>
    <w:rsid w:val="00BC60C6"/>
    <w:rsid w:val="00BC6BC2"/>
    <w:rsid w:val="00BD17DB"/>
    <w:rsid w:val="00BD24BE"/>
    <w:rsid w:val="00BD2609"/>
    <w:rsid w:val="00BD3023"/>
    <w:rsid w:val="00BD3216"/>
    <w:rsid w:val="00BD3FC1"/>
    <w:rsid w:val="00BD4A93"/>
    <w:rsid w:val="00BD6441"/>
    <w:rsid w:val="00BD6E17"/>
    <w:rsid w:val="00BD79F8"/>
    <w:rsid w:val="00BD7BD3"/>
    <w:rsid w:val="00BE0A8B"/>
    <w:rsid w:val="00BE0B28"/>
    <w:rsid w:val="00BE1FC0"/>
    <w:rsid w:val="00BE310C"/>
    <w:rsid w:val="00BE3498"/>
    <w:rsid w:val="00BE59BA"/>
    <w:rsid w:val="00BE68DB"/>
    <w:rsid w:val="00BF0386"/>
    <w:rsid w:val="00BF173B"/>
    <w:rsid w:val="00BF18F4"/>
    <w:rsid w:val="00BF3224"/>
    <w:rsid w:val="00BF4372"/>
    <w:rsid w:val="00BF7089"/>
    <w:rsid w:val="00BF7FAA"/>
    <w:rsid w:val="00C00093"/>
    <w:rsid w:val="00C009C9"/>
    <w:rsid w:val="00C01F3B"/>
    <w:rsid w:val="00C031DD"/>
    <w:rsid w:val="00C03344"/>
    <w:rsid w:val="00C03C92"/>
    <w:rsid w:val="00C03CA6"/>
    <w:rsid w:val="00C05256"/>
    <w:rsid w:val="00C06C36"/>
    <w:rsid w:val="00C1032E"/>
    <w:rsid w:val="00C10E3C"/>
    <w:rsid w:val="00C111E8"/>
    <w:rsid w:val="00C12198"/>
    <w:rsid w:val="00C12885"/>
    <w:rsid w:val="00C12B55"/>
    <w:rsid w:val="00C1330E"/>
    <w:rsid w:val="00C141D4"/>
    <w:rsid w:val="00C1441F"/>
    <w:rsid w:val="00C1668A"/>
    <w:rsid w:val="00C16B15"/>
    <w:rsid w:val="00C17213"/>
    <w:rsid w:val="00C20189"/>
    <w:rsid w:val="00C20685"/>
    <w:rsid w:val="00C20DB8"/>
    <w:rsid w:val="00C20E2F"/>
    <w:rsid w:val="00C214D7"/>
    <w:rsid w:val="00C2224D"/>
    <w:rsid w:val="00C2257D"/>
    <w:rsid w:val="00C23358"/>
    <w:rsid w:val="00C237B0"/>
    <w:rsid w:val="00C23AA5"/>
    <w:rsid w:val="00C24A7E"/>
    <w:rsid w:val="00C2502F"/>
    <w:rsid w:val="00C27FD7"/>
    <w:rsid w:val="00C3158E"/>
    <w:rsid w:val="00C31B12"/>
    <w:rsid w:val="00C32ECB"/>
    <w:rsid w:val="00C333FF"/>
    <w:rsid w:val="00C3382D"/>
    <w:rsid w:val="00C34829"/>
    <w:rsid w:val="00C34BF8"/>
    <w:rsid w:val="00C35B33"/>
    <w:rsid w:val="00C36990"/>
    <w:rsid w:val="00C40A25"/>
    <w:rsid w:val="00C40F05"/>
    <w:rsid w:val="00C41732"/>
    <w:rsid w:val="00C41733"/>
    <w:rsid w:val="00C42227"/>
    <w:rsid w:val="00C4285C"/>
    <w:rsid w:val="00C42FC6"/>
    <w:rsid w:val="00C43AFF"/>
    <w:rsid w:val="00C44275"/>
    <w:rsid w:val="00C44C5D"/>
    <w:rsid w:val="00C44EE3"/>
    <w:rsid w:val="00C453BA"/>
    <w:rsid w:val="00C4568E"/>
    <w:rsid w:val="00C46645"/>
    <w:rsid w:val="00C46CF9"/>
    <w:rsid w:val="00C473E8"/>
    <w:rsid w:val="00C47E31"/>
    <w:rsid w:val="00C505FE"/>
    <w:rsid w:val="00C50683"/>
    <w:rsid w:val="00C50BE7"/>
    <w:rsid w:val="00C52357"/>
    <w:rsid w:val="00C52A18"/>
    <w:rsid w:val="00C5358C"/>
    <w:rsid w:val="00C550B7"/>
    <w:rsid w:val="00C5533F"/>
    <w:rsid w:val="00C55F7C"/>
    <w:rsid w:val="00C56CD4"/>
    <w:rsid w:val="00C579E7"/>
    <w:rsid w:val="00C57EE6"/>
    <w:rsid w:val="00C60F09"/>
    <w:rsid w:val="00C619E3"/>
    <w:rsid w:val="00C61E98"/>
    <w:rsid w:val="00C623A7"/>
    <w:rsid w:val="00C62800"/>
    <w:rsid w:val="00C63C67"/>
    <w:rsid w:val="00C64825"/>
    <w:rsid w:val="00C64DB6"/>
    <w:rsid w:val="00C64DEA"/>
    <w:rsid w:val="00C65C0F"/>
    <w:rsid w:val="00C65EDB"/>
    <w:rsid w:val="00C668C8"/>
    <w:rsid w:val="00C66B9E"/>
    <w:rsid w:val="00C71F7F"/>
    <w:rsid w:val="00C73869"/>
    <w:rsid w:val="00C740BA"/>
    <w:rsid w:val="00C74F5A"/>
    <w:rsid w:val="00C75A54"/>
    <w:rsid w:val="00C75C6B"/>
    <w:rsid w:val="00C75DF5"/>
    <w:rsid w:val="00C778D8"/>
    <w:rsid w:val="00C81707"/>
    <w:rsid w:val="00C828DD"/>
    <w:rsid w:val="00C82A6E"/>
    <w:rsid w:val="00C83154"/>
    <w:rsid w:val="00C83594"/>
    <w:rsid w:val="00C83BFD"/>
    <w:rsid w:val="00C85B7B"/>
    <w:rsid w:val="00C86B40"/>
    <w:rsid w:val="00C8781D"/>
    <w:rsid w:val="00C9169F"/>
    <w:rsid w:val="00C91C08"/>
    <w:rsid w:val="00C91EA2"/>
    <w:rsid w:val="00C949A1"/>
    <w:rsid w:val="00C94A7A"/>
    <w:rsid w:val="00C961E8"/>
    <w:rsid w:val="00C968FB"/>
    <w:rsid w:val="00C96B43"/>
    <w:rsid w:val="00C96D51"/>
    <w:rsid w:val="00C96F30"/>
    <w:rsid w:val="00C9725F"/>
    <w:rsid w:val="00C9758E"/>
    <w:rsid w:val="00CA0A42"/>
    <w:rsid w:val="00CA1758"/>
    <w:rsid w:val="00CA1CB9"/>
    <w:rsid w:val="00CA1FA7"/>
    <w:rsid w:val="00CA2367"/>
    <w:rsid w:val="00CA2595"/>
    <w:rsid w:val="00CA2A7F"/>
    <w:rsid w:val="00CA39BC"/>
    <w:rsid w:val="00CA3BAF"/>
    <w:rsid w:val="00CA4660"/>
    <w:rsid w:val="00CA5283"/>
    <w:rsid w:val="00CA6EE5"/>
    <w:rsid w:val="00CB1472"/>
    <w:rsid w:val="00CB2A4A"/>
    <w:rsid w:val="00CB2BBB"/>
    <w:rsid w:val="00CB301D"/>
    <w:rsid w:val="00CB67CD"/>
    <w:rsid w:val="00CB6863"/>
    <w:rsid w:val="00CB742F"/>
    <w:rsid w:val="00CC0C0D"/>
    <w:rsid w:val="00CC16A2"/>
    <w:rsid w:val="00CC27F2"/>
    <w:rsid w:val="00CC2E57"/>
    <w:rsid w:val="00CC35AF"/>
    <w:rsid w:val="00CC3799"/>
    <w:rsid w:val="00CC41A0"/>
    <w:rsid w:val="00CC441D"/>
    <w:rsid w:val="00CC547C"/>
    <w:rsid w:val="00CC644C"/>
    <w:rsid w:val="00CC69A9"/>
    <w:rsid w:val="00CC6EA3"/>
    <w:rsid w:val="00CC7B70"/>
    <w:rsid w:val="00CD1B26"/>
    <w:rsid w:val="00CD280D"/>
    <w:rsid w:val="00CD2FC5"/>
    <w:rsid w:val="00CD321C"/>
    <w:rsid w:val="00CD3828"/>
    <w:rsid w:val="00CD3B24"/>
    <w:rsid w:val="00CD4471"/>
    <w:rsid w:val="00CD50EA"/>
    <w:rsid w:val="00CD6431"/>
    <w:rsid w:val="00CD7CA8"/>
    <w:rsid w:val="00CE00BF"/>
    <w:rsid w:val="00CE13A0"/>
    <w:rsid w:val="00CE387D"/>
    <w:rsid w:val="00CE5B21"/>
    <w:rsid w:val="00CE679F"/>
    <w:rsid w:val="00CE6AE2"/>
    <w:rsid w:val="00CF0A6A"/>
    <w:rsid w:val="00CF158D"/>
    <w:rsid w:val="00CF1EA9"/>
    <w:rsid w:val="00CF2003"/>
    <w:rsid w:val="00CF28E9"/>
    <w:rsid w:val="00CF373D"/>
    <w:rsid w:val="00CF48B2"/>
    <w:rsid w:val="00CF54E1"/>
    <w:rsid w:val="00CF66C3"/>
    <w:rsid w:val="00CF6F4A"/>
    <w:rsid w:val="00CF7D5D"/>
    <w:rsid w:val="00D0064B"/>
    <w:rsid w:val="00D00BBE"/>
    <w:rsid w:val="00D024B6"/>
    <w:rsid w:val="00D02AB1"/>
    <w:rsid w:val="00D031E1"/>
    <w:rsid w:val="00D040BA"/>
    <w:rsid w:val="00D046ED"/>
    <w:rsid w:val="00D04A36"/>
    <w:rsid w:val="00D05282"/>
    <w:rsid w:val="00D06697"/>
    <w:rsid w:val="00D06CB2"/>
    <w:rsid w:val="00D06E8B"/>
    <w:rsid w:val="00D0770B"/>
    <w:rsid w:val="00D077EE"/>
    <w:rsid w:val="00D1078B"/>
    <w:rsid w:val="00D14284"/>
    <w:rsid w:val="00D14ABD"/>
    <w:rsid w:val="00D14D48"/>
    <w:rsid w:val="00D16B82"/>
    <w:rsid w:val="00D16E45"/>
    <w:rsid w:val="00D20AB7"/>
    <w:rsid w:val="00D20D05"/>
    <w:rsid w:val="00D20F87"/>
    <w:rsid w:val="00D21273"/>
    <w:rsid w:val="00D245DB"/>
    <w:rsid w:val="00D25DD6"/>
    <w:rsid w:val="00D25F59"/>
    <w:rsid w:val="00D30B0B"/>
    <w:rsid w:val="00D30F3B"/>
    <w:rsid w:val="00D316F6"/>
    <w:rsid w:val="00D3239B"/>
    <w:rsid w:val="00D32779"/>
    <w:rsid w:val="00D3324D"/>
    <w:rsid w:val="00D3330D"/>
    <w:rsid w:val="00D3600D"/>
    <w:rsid w:val="00D362E4"/>
    <w:rsid w:val="00D36740"/>
    <w:rsid w:val="00D372C9"/>
    <w:rsid w:val="00D37B41"/>
    <w:rsid w:val="00D402B3"/>
    <w:rsid w:val="00D40B9D"/>
    <w:rsid w:val="00D41066"/>
    <w:rsid w:val="00D41FBD"/>
    <w:rsid w:val="00D426AD"/>
    <w:rsid w:val="00D45581"/>
    <w:rsid w:val="00D4662C"/>
    <w:rsid w:val="00D47623"/>
    <w:rsid w:val="00D47B35"/>
    <w:rsid w:val="00D51CCE"/>
    <w:rsid w:val="00D5252A"/>
    <w:rsid w:val="00D52590"/>
    <w:rsid w:val="00D52666"/>
    <w:rsid w:val="00D528E5"/>
    <w:rsid w:val="00D52CA2"/>
    <w:rsid w:val="00D53245"/>
    <w:rsid w:val="00D53384"/>
    <w:rsid w:val="00D53754"/>
    <w:rsid w:val="00D545DC"/>
    <w:rsid w:val="00D5567B"/>
    <w:rsid w:val="00D57ACF"/>
    <w:rsid w:val="00D60C7E"/>
    <w:rsid w:val="00D60D4A"/>
    <w:rsid w:val="00D60E19"/>
    <w:rsid w:val="00D61E97"/>
    <w:rsid w:val="00D62CC6"/>
    <w:rsid w:val="00D63D7F"/>
    <w:rsid w:val="00D64868"/>
    <w:rsid w:val="00D64BBA"/>
    <w:rsid w:val="00D65585"/>
    <w:rsid w:val="00D657E6"/>
    <w:rsid w:val="00D661F3"/>
    <w:rsid w:val="00D666EA"/>
    <w:rsid w:val="00D67BEE"/>
    <w:rsid w:val="00D70A25"/>
    <w:rsid w:val="00D70F98"/>
    <w:rsid w:val="00D7112B"/>
    <w:rsid w:val="00D71BA4"/>
    <w:rsid w:val="00D73141"/>
    <w:rsid w:val="00D73E7C"/>
    <w:rsid w:val="00D7537E"/>
    <w:rsid w:val="00D7684D"/>
    <w:rsid w:val="00D76A80"/>
    <w:rsid w:val="00D7746E"/>
    <w:rsid w:val="00D7774D"/>
    <w:rsid w:val="00D779D1"/>
    <w:rsid w:val="00D77BE1"/>
    <w:rsid w:val="00D803BE"/>
    <w:rsid w:val="00D81512"/>
    <w:rsid w:val="00D81573"/>
    <w:rsid w:val="00D82F83"/>
    <w:rsid w:val="00D83005"/>
    <w:rsid w:val="00D8373D"/>
    <w:rsid w:val="00D83FAF"/>
    <w:rsid w:val="00D85C06"/>
    <w:rsid w:val="00D864A5"/>
    <w:rsid w:val="00D86A8D"/>
    <w:rsid w:val="00D86F71"/>
    <w:rsid w:val="00D87114"/>
    <w:rsid w:val="00D90251"/>
    <w:rsid w:val="00D90EB4"/>
    <w:rsid w:val="00D9259E"/>
    <w:rsid w:val="00D92F66"/>
    <w:rsid w:val="00D93C25"/>
    <w:rsid w:val="00D94D0D"/>
    <w:rsid w:val="00D95DAF"/>
    <w:rsid w:val="00D97B3F"/>
    <w:rsid w:val="00D97F0E"/>
    <w:rsid w:val="00DA2594"/>
    <w:rsid w:val="00DA4091"/>
    <w:rsid w:val="00DA5B1E"/>
    <w:rsid w:val="00DB02CD"/>
    <w:rsid w:val="00DB0774"/>
    <w:rsid w:val="00DB0F40"/>
    <w:rsid w:val="00DB1750"/>
    <w:rsid w:val="00DB2E43"/>
    <w:rsid w:val="00DB3797"/>
    <w:rsid w:val="00DB3AB0"/>
    <w:rsid w:val="00DB3CEE"/>
    <w:rsid w:val="00DB4CF8"/>
    <w:rsid w:val="00DB4DB9"/>
    <w:rsid w:val="00DB5018"/>
    <w:rsid w:val="00DB532B"/>
    <w:rsid w:val="00DB6CBE"/>
    <w:rsid w:val="00DB7241"/>
    <w:rsid w:val="00DB7320"/>
    <w:rsid w:val="00DB7711"/>
    <w:rsid w:val="00DC0D03"/>
    <w:rsid w:val="00DC0F19"/>
    <w:rsid w:val="00DC0FAC"/>
    <w:rsid w:val="00DC1473"/>
    <w:rsid w:val="00DC15F0"/>
    <w:rsid w:val="00DC1D55"/>
    <w:rsid w:val="00DC33D7"/>
    <w:rsid w:val="00DC399C"/>
    <w:rsid w:val="00DC4156"/>
    <w:rsid w:val="00DC4DA1"/>
    <w:rsid w:val="00DC5620"/>
    <w:rsid w:val="00DC7A30"/>
    <w:rsid w:val="00DD0F02"/>
    <w:rsid w:val="00DD22B4"/>
    <w:rsid w:val="00DD2759"/>
    <w:rsid w:val="00DD2B6A"/>
    <w:rsid w:val="00DD33ED"/>
    <w:rsid w:val="00DD3532"/>
    <w:rsid w:val="00DD46FE"/>
    <w:rsid w:val="00DD4A6D"/>
    <w:rsid w:val="00DD4E6A"/>
    <w:rsid w:val="00DD6373"/>
    <w:rsid w:val="00DD649C"/>
    <w:rsid w:val="00DD66D9"/>
    <w:rsid w:val="00DD6A22"/>
    <w:rsid w:val="00DE1977"/>
    <w:rsid w:val="00DE209C"/>
    <w:rsid w:val="00DE228A"/>
    <w:rsid w:val="00DE33D6"/>
    <w:rsid w:val="00DE3845"/>
    <w:rsid w:val="00DE5768"/>
    <w:rsid w:val="00DE5F3C"/>
    <w:rsid w:val="00DE659D"/>
    <w:rsid w:val="00DE6EB3"/>
    <w:rsid w:val="00DF0DDB"/>
    <w:rsid w:val="00DF1101"/>
    <w:rsid w:val="00DF17F0"/>
    <w:rsid w:val="00DF1B21"/>
    <w:rsid w:val="00DF1F4B"/>
    <w:rsid w:val="00DF2B13"/>
    <w:rsid w:val="00DF34F2"/>
    <w:rsid w:val="00DF5435"/>
    <w:rsid w:val="00DF5D3B"/>
    <w:rsid w:val="00DF649B"/>
    <w:rsid w:val="00DF657B"/>
    <w:rsid w:val="00DF72BB"/>
    <w:rsid w:val="00DF7D4D"/>
    <w:rsid w:val="00E0169A"/>
    <w:rsid w:val="00E01809"/>
    <w:rsid w:val="00E0196E"/>
    <w:rsid w:val="00E02AA0"/>
    <w:rsid w:val="00E059F5"/>
    <w:rsid w:val="00E066B4"/>
    <w:rsid w:val="00E07001"/>
    <w:rsid w:val="00E07372"/>
    <w:rsid w:val="00E07435"/>
    <w:rsid w:val="00E07440"/>
    <w:rsid w:val="00E076CC"/>
    <w:rsid w:val="00E11700"/>
    <w:rsid w:val="00E1210E"/>
    <w:rsid w:val="00E1247E"/>
    <w:rsid w:val="00E12866"/>
    <w:rsid w:val="00E12ADF"/>
    <w:rsid w:val="00E14892"/>
    <w:rsid w:val="00E14FC5"/>
    <w:rsid w:val="00E20BF4"/>
    <w:rsid w:val="00E2141F"/>
    <w:rsid w:val="00E239AB"/>
    <w:rsid w:val="00E23E17"/>
    <w:rsid w:val="00E241AD"/>
    <w:rsid w:val="00E24631"/>
    <w:rsid w:val="00E25D43"/>
    <w:rsid w:val="00E264C3"/>
    <w:rsid w:val="00E26913"/>
    <w:rsid w:val="00E27194"/>
    <w:rsid w:val="00E321F7"/>
    <w:rsid w:val="00E34E64"/>
    <w:rsid w:val="00E361BA"/>
    <w:rsid w:val="00E36951"/>
    <w:rsid w:val="00E37338"/>
    <w:rsid w:val="00E37A76"/>
    <w:rsid w:val="00E40867"/>
    <w:rsid w:val="00E4122A"/>
    <w:rsid w:val="00E41E51"/>
    <w:rsid w:val="00E424D3"/>
    <w:rsid w:val="00E42D0F"/>
    <w:rsid w:val="00E43DC1"/>
    <w:rsid w:val="00E4441F"/>
    <w:rsid w:val="00E459DE"/>
    <w:rsid w:val="00E45F41"/>
    <w:rsid w:val="00E4618A"/>
    <w:rsid w:val="00E536D0"/>
    <w:rsid w:val="00E55ED6"/>
    <w:rsid w:val="00E56DC8"/>
    <w:rsid w:val="00E6167E"/>
    <w:rsid w:val="00E621A3"/>
    <w:rsid w:val="00E6276E"/>
    <w:rsid w:val="00E63114"/>
    <w:rsid w:val="00E63AF6"/>
    <w:rsid w:val="00E64691"/>
    <w:rsid w:val="00E64FB6"/>
    <w:rsid w:val="00E66670"/>
    <w:rsid w:val="00E702D4"/>
    <w:rsid w:val="00E705D6"/>
    <w:rsid w:val="00E70C79"/>
    <w:rsid w:val="00E71662"/>
    <w:rsid w:val="00E7185B"/>
    <w:rsid w:val="00E72FE7"/>
    <w:rsid w:val="00E735F4"/>
    <w:rsid w:val="00E7426E"/>
    <w:rsid w:val="00E7681A"/>
    <w:rsid w:val="00E7696D"/>
    <w:rsid w:val="00E77184"/>
    <w:rsid w:val="00E8022D"/>
    <w:rsid w:val="00E80BC6"/>
    <w:rsid w:val="00E81B65"/>
    <w:rsid w:val="00E8406E"/>
    <w:rsid w:val="00E84330"/>
    <w:rsid w:val="00E868D9"/>
    <w:rsid w:val="00E87496"/>
    <w:rsid w:val="00E9019A"/>
    <w:rsid w:val="00E92116"/>
    <w:rsid w:val="00E9260E"/>
    <w:rsid w:val="00E92870"/>
    <w:rsid w:val="00E9377E"/>
    <w:rsid w:val="00E93E11"/>
    <w:rsid w:val="00E9518A"/>
    <w:rsid w:val="00E95ABC"/>
    <w:rsid w:val="00E96626"/>
    <w:rsid w:val="00E977FC"/>
    <w:rsid w:val="00EA05A3"/>
    <w:rsid w:val="00EA0C1B"/>
    <w:rsid w:val="00EA1061"/>
    <w:rsid w:val="00EA10B2"/>
    <w:rsid w:val="00EA2169"/>
    <w:rsid w:val="00EA2E6E"/>
    <w:rsid w:val="00EA3690"/>
    <w:rsid w:val="00EA3D41"/>
    <w:rsid w:val="00EA4609"/>
    <w:rsid w:val="00EA560D"/>
    <w:rsid w:val="00EA586B"/>
    <w:rsid w:val="00EB3A6A"/>
    <w:rsid w:val="00EB419D"/>
    <w:rsid w:val="00EB432C"/>
    <w:rsid w:val="00EB46EE"/>
    <w:rsid w:val="00EB4D33"/>
    <w:rsid w:val="00EB59E7"/>
    <w:rsid w:val="00EB7497"/>
    <w:rsid w:val="00EC2373"/>
    <w:rsid w:val="00EC5598"/>
    <w:rsid w:val="00EC625D"/>
    <w:rsid w:val="00EC693E"/>
    <w:rsid w:val="00EC6DC4"/>
    <w:rsid w:val="00EC7B65"/>
    <w:rsid w:val="00ED001D"/>
    <w:rsid w:val="00ED0C11"/>
    <w:rsid w:val="00ED1A93"/>
    <w:rsid w:val="00ED36CC"/>
    <w:rsid w:val="00ED5C24"/>
    <w:rsid w:val="00ED618D"/>
    <w:rsid w:val="00ED6A96"/>
    <w:rsid w:val="00ED7914"/>
    <w:rsid w:val="00EE1139"/>
    <w:rsid w:val="00EE190C"/>
    <w:rsid w:val="00EE2FBF"/>
    <w:rsid w:val="00EE4010"/>
    <w:rsid w:val="00EE4BD3"/>
    <w:rsid w:val="00EE5DE2"/>
    <w:rsid w:val="00EE61EF"/>
    <w:rsid w:val="00EE75C2"/>
    <w:rsid w:val="00EE7F7C"/>
    <w:rsid w:val="00EF0EE0"/>
    <w:rsid w:val="00EF212F"/>
    <w:rsid w:val="00EF22C7"/>
    <w:rsid w:val="00EF23C8"/>
    <w:rsid w:val="00EF2A06"/>
    <w:rsid w:val="00EF313E"/>
    <w:rsid w:val="00EF33ED"/>
    <w:rsid w:val="00EF7169"/>
    <w:rsid w:val="00F002DC"/>
    <w:rsid w:val="00F00C53"/>
    <w:rsid w:val="00F01158"/>
    <w:rsid w:val="00F0237A"/>
    <w:rsid w:val="00F0268A"/>
    <w:rsid w:val="00F02D5C"/>
    <w:rsid w:val="00F054DA"/>
    <w:rsid w:val="00F055CC"/>
    <w:rsid w:val="00F05772"/>
    <w:rsid w:val="00F11471"/>
    <w:rsid w:val="00F1307A"/>
    <w:rsid w:val="00F1371C"/>
    <w:rsid w:val="00F14490"/>
    <w:rsid w:val="00F15C70"/>
    <w:rsid w:val="00F16107"/>
    <w:rsid w:val="00F16BFC"/>
    <w:rsid w:val="00F16CE7"/>
    <w:rsid w:val="00F17935"/>
    <w:rsid w:val="00F179CA"/>
    <w:rsid w:val="00F20E9B"/>
    <w:rsid w:val="00F210BE"/>
    <w:rsid w:val="00F216BB"/>
    <w:rsid w:val="00F22066"/>
    <w:rsid w:val="00F22E45"/>
    <w:rsid w:val="00F248B0"/>
    <w:rsid w:val="00F254B4"/>
    <w:rsid w:val="00F25CD9"/>
    <w:rsid w:val="00F25DE2"/>
    <w:rsid w:val="00F31A6A"/>
    <w:rsid w:val="00F31B4E"/>
    <w:rsid w:val="00F32031"/>
    <w:rsid w:val="00F33E3C"/>
    <w:rsid w:val="00F34262"/>
    <w:rsid w:val="00F344C4"/>
    <w:rsid w:val="00F34BF9"/>
    <w:rsid w:val="00F352EB"/>
    <w:rsid w:val="00F36D46"/>
    <w:rsid w:val="00F37D92"/>
    <w:rsid w:val="00F428A7"/>
    <w:rsid w:val="00F43C52"/>
    <w:rsid w:val="00F44A31"/>
    <w:rsid w:val="00F45087"/>
    <w:rsid w:val="00F45D9F"/>
    <w:rsid w:val="00F464FC"/>
    <w:rsid w:val="00F466F3"/>
    <w:rsid w:val="00F47284"/>
    <w:rsid w:val="00F4736F"/>
    <w:rsid w:val="00F4770F"/>
    <w:rsid w:val="00F47EE4"/>
    <w:rsid w:val="00F50490"/>
    <w:rsid w:val="00F5059A"/>
    <w:rsid w:val="00F52128"/>
    <w:rsid w:val="00F5292F"/>
    <w:rsid w:val="00F5331A"/>
    <w:rsid w:val="00F53693"/>
    <w:rsid w:val="00F5396C"/>
    <w:rsid w:val="00F54C51"/>
    <w:rsid w:val="00F558BB"/>
    <w:rsid w:val="00F55B43"/>
    <w:rsid w:val="00F62409"/>
    <w:rsid w:val="00F630E7"/>
    <w:rsid w:val="00F6376E"/>
    <w:rsid w:val="00F638DA"/>
    <w:rsid w:val="00F6474F"/>
    <w:rsid w:val="00F64C0A"/>
    <w:rsid w:val="00F67116"/>
    <w:rsid w:val="00F7080D"/>
    <w:rsid w:val="00F71DB5"/>
    <w:rsid w:val="00F731F7"/>
    <w:rsid w:val="00F73268"/>
    <w:rsid w:val="00F7503D"/>
    <w:rsid w:val="00F75442"/>
    <w:rsid w:val="00F75A54"/>
    <w:rsid w:val="00F76DC8"/>
    <w:rsid w:val="00F76F4F"/>
    <w:rsid w:val="00F7752A"/>
    <w:rsid w:val="00F80F84"/>
    <w:rsid w:val="00F813BE"/>
    <w:rsid w:val="00F839B8"/>
    <w:rsid w:val="00F84064"/>
    <w:rsid w:val="00F845F6"/>
    <w:rsid w:val="00F84901"/>
    <w:rsid w:val="00F84A76"/>
    <w:rsid w:val="00F860AF"/>
    <w:rsid w:val="00F867C1"/>
    <w:rsid w:val="00F875E8"/>
    <w:rsid w:val="00F87D5C"/>
    <w:rsid w:val="00F91EC5"/>
    <w:rsid w:val="00F9258F"/>
    <w:rsid w:val="00F9298B"/>
    <w:rsid w:val="00F94C73"/>
    <w:rsid w:val="00F955E8"/>
    <w:rsid w:val="00F957B7"/>
    <w:rsid w:val="00F96307"/>
    <w:rsid w:val="00F969A5"/>
    <w:rsid w:val="00F96CE2"/>
    <w:rsid w:val="00FA0306"/>
    <w:rsid w:val="00FA0BE7"/>
    <w:rsid w:val="00FA0CA5"/>
    <w:rsid w:val="00FA19D9"/>
    <w:rsid w:val="00FA2ADA"/>
    <w:rsid w:val="00FA2D32"/>
    <w:rsid w:val="00FA3A94"/>
    <w:rsid w:val="00FA49A4"/>
    <w:rsid w:val="00FA4BCC"/>
    <w:rsid w:val="00FA526D"/>
    <w:rsid w:val="00FA7877"/>
    <w:rsid w:val="00FA7AD5"/>
    <w:rsid w:val="00FB0A30"/>
    <w:rsid w:val="00FB2450"/>
    <w:rsid w:val="00FB24AE"/>
    <w:rsid w:val="00FB28B2"/>
    <w:rsid w:val="00FB3395"/>
    <w:rsid w:val="00FB3E9A"/>
    <w:rsid w:val="00FB4D99"/>
    <w:rsid w:val="00FB67CD"/>
    <w:rsid w:val="00FB7CF8"/>
    <w:rsid w:val="00FC0844"/>
    <w:rsid w:val="00FC0BE2"/>
    <w:rsid w:val="00FC1BEB"/>
    <w:rsid w:val="00FC1E6B"/>
    <w:rsid w:val="00FC6CC0"/>
    <w:rsid w:val="00FC6DE1"/>
    <w:rsid w:val="00FC72A7"/>
    <w:rsid w:val="00FC7C13"/>
    <w:rsid w:val="00FD0ADF"/>
    <w:rsid w:val="00FD1CA3"/>
    <w:rsid w:val="00FD25EF"/>
    <w:rsid w:val="00FD2D29"/>
    <w:rsid w:val="00FD39CA"/>
    <w:rsid w:val="00FD4B33"/>
    <w:rsid w:val="00FD4BC2"/>
    <w:rsid w:val="00FD4EFC"/>
    <w:rsid w:val="00FD5626"/>
    <w:rsid w:val="00FD5910"/>
    <w:rsid w:val="00FD5E2A"/>
    <w:rsid w:val="00FD69A0"/>
    <w:rsid w:val="00FD7154"/>
    <w:rsid w:val="00FD7B5E"/>
    <w:rsid w:val="00FD7CB5"/>
    <w:rsid w:val="00FE12B0"/>
    <w:rsid w:val="00FE25B6"/>
    <w:rsid w:val="00FE2922"/>
    <w:rsid w:val="00FE2AAD"/>
    <w:rsid w:val="00FE3B5C"/>
    <w:rsid w:val="00FE50D5"/>
    <w:rsid w:val="00FE599E"/>
    <w:rsid w:val="00FE5FDC"/>
    <w:rsid w:val="00FE67BA"/>
    <w:rsid w:val="00FE6DEA"/>
    <w:rsid w:val="00FF25E5"/>
    <w:rsid w:val="00FF2A6C"/>
    <w:rsid w:val="00FF2E7F"/>
    <w:rsid w:val="00FF30FE"/>
    <w:rsid w:val="00FF61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inset="0,2mm,0,0"/>
    </o:shapedefaults>
    <o:shapelayout v:ext="edit">
      <o:idmap v:ext="edit" data="1"/>
    </o:shapelayout>
  </w:shapeDefaults>
  <w:decimalSymbol w:val=","/>
  <w:listSeparator w:val=";"/>
  <w15:docId w15:val="{27374B21-B305-44A2-82F2-FF664855C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pt-BR" w:eastAsia="pt-BR" w:bidi="ar-SA"/>
      </w:rPr>
    </w:rPrDefault>
    <w:pPrDefault/>
  </w:docDefaults>
  <w:latentStyles w:defLockedState="0" w:defUIPriority="0" w:defSemiHidden="0" w:defUnhideWhenUsed="0" w:defQFormat="0" w:count="371">
    <w:lsdException w:name="heading 1" w:uiPriority="9"/>
    <w:lsdException w:name="heading 2" w:uiPriority="9"/>
    <w:lsdException w:name="heading 3" w:uiPriority="9"/>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72DA9"/>
    <w:pPr>
      <w:widowControl w:val="0"/>
      <w:jc w:val="both"/>
    </w:pPr>
    <w:rPr>
      <w:kern w:val="2"/>
      <w:sz w:val="21"/>
      <w:lang w:val="en-US" w:eastAsia="zh-CN"/>
    </w:rPr>
  </w:style>
  <w:style w:type="paragraph" w:styleId="Ttulo1">
    <w:name w:val="heading 1"/>
    <w:basedOn w:val="Normal"/>
    <w:next w:val="Normal"/>
    <w:link w:val="Ttulo1Char"/>
    <w:uiPriority w:val="9"/>
    <w:rsid w:val="00B72DA9"/>
    <w:pPr>
      <w:keepNext/>
      <w:keepLines/>
      <w:spacing w:before="340" w:after="330" w:line="578" w:lineRule="auto"/>
      <w:outlineLvl w:val="0"/>
    </w:pPr>
    <w:rPr>
      <w:b/>
      <w:kern w:val="44"/>
      <w:sz w:val="44"/>
    </w:rPr>
  </w:style>
  <w:style w:type="paragraph" w:styleId="Ttulo2">
    <w:name w:val="heading 2"/>
    <w:basedOn w:val="Ttulo1"/>
    <w:link w:val="Ttulo2Char"/>
    <w:uiPriority w:val="9"/>
    <w:rsid w:val="00B72DA9"/>
    <w:pPr>
      <w:keepLines w:val="0"/>
      <w:widowControl/>
      <w:autoSpaceDE w:val="0"/>
      <w:autoSpaceDN w:val="0"/>
      <w:adjustRightInd w:val="0"/>
      <w:spacing w:before="240" w:after="120" w:line="360" w:lineRule="auto"/>
      <w:jc w:val="left"/>
      <w:outlineLvl w:val="1"/>
    </w:pPr>
    <w:rPr>
      <w:color w:val="000000"/>
      <w:kern w:val="0"/>
      <w:sz w:val="28"/>
    </w:rPr>
  </w:style>
  <w:style w:type="paragraph" w:styleId="Ttulo3">
    <w:name w:val="heading 3"/>
    <w:basedOn w:val="Ttulo2"/>
    <w:link w:val="Ttulo3Char"/>
    <w:uiPriority w:val="9"/>
    <w:rsid w:val="00B72DA9"/>
    <w:pPr>
      <w:widowControl w:val="0"/>
      <w:outlineLvl w:val="2"/>
    </w:pPr>
    <w:rPr>
      <w:sz w:val="26"/>
    </w:rPr>
  </w:style>
  <w:style w:type="paragraph" w:styleId="Ttulo4">
    <w:name w:val="heading 4"/>
    <w:basedOn w:val="Normal"/>
    <w:next w:val="Normal"/>
    <w:rsid w:val="00B72DA9"/>
    <w:pPr>
      <w:keepNext/>
      <w:adjustRightInd w:val="0"/>
      <w:snapToGrid w:val="0"/>
      <w:spacing w:line="300" w:lineRule="exact"/>
      <w:ind w:firstLineChars="200" w:firstLine="412"/>
      <w:outlineLvl w:val="3"/>
    </w:pPr>
    <w:rPr>
      <w:b/>
    </w:rPr>
  </w:style>
  <w:style w:type="paragraph" w:styleId="Ttulo5">
    <w:name w:val="heading 5"/>
    <w:basedOn w:val="Normal"/>
    <w:next w:val="Normal"/>
    <w:rsid w:val="00B72DA9"/>
    <w:pPr>
      <w:keepNext/>
      <w:outlineLvl w:val="4"/>
    </w:pPr>
    <w:rPr>
      <w:rFonts w:ascii="SimSun" w:hAnsi="SimSun"/>
      <w:b/>
      <w:bCs/>
      <w:color w:val="000000"/>
    </w:rPr>
  </w:style>
  <w:style w:type="paragraph" w:styleId="Ttulo6">
    <w:name w:val="heading 6"/>
    <w:basedOn w:val="Normal"/>
    <w:next w:val="Normal"/>
    <w:rsid w:val="00B72DA9"/>
    <w:pPr>
      <w:keepNext/>
      <w:spacing w:beforeLines="50" w:line="300" w:lineRule="exact"/>
      <w:jc w:val="center"/>
      <w:outlineLvl w:val="5"/>
    </w:pPr>
    <w:rPr>
      <w:b/>
      <w:bCs/>
      <w:sz w:val="28"/>
      <w:szCs w:val="24"/>
    </w:rPr>
  </w:style>
  <w:style w:type="paragraph" w:styleId="Ttulo7">
    <w:name w:val="heading 7"/>
    <w:basedOn w:val="Normal"/>
    <w:next w:val="Normal"/>
    <w:rsid w:val="00B72DA9"/>
    <w:pPr>
      <w:keepNext/>
      <w:spacing w:line="300" w:lineRule="exact"/>
      <w:jc w:val="center"/>
      <w:outlineLvl w:val="6"/>
    </w:pPr>
    <w:rPr>
      <w:sz w:val="28"/>
      <w:szCs w:val="24"/>
    </w:rPr>
  </w:style>
  <w:style w:type="paragraph" w:styleId="Ttulo8">
    <w:name w:val="heading 8"/>
    <w:basedOn w:val="Normal"/>
    <w:next w:val="Normal"/>
    <w:rsid w:val="00B72DA9"/>
    <w:pPr>
      <w:keepNext/>
      <w:adjustRightInd w:val="0"/>
      <w:snapToGrid w:val="0"/>
      <w:spacing w:line="432" w:lineRule="auto"/>
      <w:jc w:val="center"/>
      <w:outlineLvl w:val="7"/>
    </w:pPr>
    <w:rPr>
      <w:i/>
      <w:iCs/>
      <w:sz w:val="24"/>
    </w:rPr>
  </w:style>
  <w:style w:type="paragraph" w:styleId="Ttulo9">
    <w:name w:val="heading 9"/>
    <w:basedOn w:val="Normal"/>
    <w:next w:val="Normal"/>
    <w:rsid w:val="00B72DA9"/>
    <w:pPr>
      <w:keepNext/>
      <w:adjustRightInd w:val="0"/>
      <w:snapToGrid w:val="0"/>
      <w:spacing w:line="300" w:lineRule="exact"/>
      <w:ind w:firstLineChars="200" w:firstLine="471"/>
      <w:outlineLvl w:val="8"/>
    </w:pPr>
    <w:rPr>
      <w:b/>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locked/>
    <w:rsid w:val="004B63D2"/>
    <w:rPr>
      <w:b/>
      <w:kern w:val="44"/>
      <w:sz w:val="44"/>
    </w:rPr>
  </w:style>
  <w:style w:type="character" w:customStyle="1" w:styleId="Ttulo2Char">
    <w:name w:val="Título 2 Char"/>
    <w:link w:val="Ttulo2"/>
    <w:uiPriority w:val="9"/>
    <w:locked/>
    <w:rsid w:val="004B63D2"/>
    <w:rPr>
      <w:b/>
      <w:color w:val="000000"/>
      <w:sz w:val="28"/>
    </w:rPr>
  </w:style>
  <w:style w:type="character" w:customStyle="1" w:styleId="Ttulo3Char">
    <w:name w:val="Título 3 Char"/>
    <w:link w:val="Ttulo3"/>
    <w:uiPriority w:val="9"/>
    <w:locked/>
    <w:rsid w:val="004B63D2"/>
    <w:rPr>
      <w:b/>
      <w:color w:val="000000"/>
      <w:sz w:val="26"/>
    </w:rPr>
  </w:style>
  <w:style w:type="paragraph" w:styleId="Corpodetexto">
    <w:name w:val="Body Text"/>
    <w:basedOn w:val="Normal"/>
    <w:link w:val="CorpodetextoChar"/>
    <w:rsid w:val="00B72DA9"/>
    <w:pPr>
      <w:jc w:val="center"/>
    </w:pPr>
    <w:rPr>
      <w:sz w:val="36"/>
    </w:rPr>
  </w:style>
  <w:style w:type="character" w:customStyle="1" w:styleId="CorpodetextoChar">
    <w:name w:val="Corpo de texto Char"/>
    <w:link w:val="Corpodetexto"/>
    <w:locked/>
    <w:rsid w:val="00247981"/>
    <w:rPr>
      <w:rFonts w:eastAsia="SimSun"/>
      <w:kern w:val="2"/>
      <w:sz w:val="36"/>
      <w:lang w:val="en-US" w:eastAsia="zh-CN" w:bidi="ar-SA"/>
    </w:rPr>
  </w:style>
  <w:style w:type="paragraph" w:styleId="Recuonormal">
    <w:name w:val="Normal Indent"/>
    <w:basedOn w:val="Normal"/>
    <w:rsid w:val="00B72DA9"/>
    <w:pPr>
      <w:ind w:firstLine="420"/>
    </w:pPr>
  </w:style>
  <w:style w:type="paragraph" w:styleId="Corpodetexto3">
    <w:name w:val="Body Text 3"/>
    <w:basedOn w:val="Normal"/>
    <w:rsid w:val="00B72DA9"/>
    <w:pPr>
      <w:widowControl/>
      <w:autoSpaceDE w:val="0"/>
      <w:autoSpaceDN w:val="0"/>
      <w:adjustRightInd w:val="0"/>
    </w:pPr>
    <w:rPr>
      <w:rFonts w:ascii="SimSun"/>
      <w:kern w:val="0"/>
      <w:sz w:val="28"/>
    </w:rPr>
  </w:style>
  <w:style w:type="paragraph" w:styleId="Corpodetexto2">
    <w:name w:val="Body Text 2"/>
    <w:basedOn w:val="Normal"/>
    <w:link w:val="Corpodetexto2Char"/>
    <w:rsid w:val="00B72DA9"/>
    <w:pPr>
      <w:widowControl/>
      <w:autoSpaceDE w:val="0"/>
      <w:autoSpaceDN w:val="0"/>
      <w:adjustRightInd w:val="0"/>
    </w:pPr>
    <w:rPr>
      <w:kern w:val="0"/>
      <w:sz w:val="24"/>
    </w:rPr>
  </w:style>
  <w:style w:type="character" w:customStyle="1" w:styleId="Corpodetexto2Char">
    <w:name w:val="Corpo de texto 2 Char"/>
    <w:link w:val="Corpodetexto2"/>
    <w:locked/>
    <w:rsid w:val="00247981"/>
    <w:rPr>
      <w:rFonts w:eastAsia="SimSun"/>
      <w:sz w:val="24"/>
      <w:lang w:val="en-US" w:eastAsia="zh-CN" w:bidi="ar-SA"/>
    </w:rPr>
  </w:style>
  <w:style w:type="paragraph" w:styleId="Rodap">
    <w:name w:val="footer"/>
    <w:basedOn w:val="Normal"/>
    <w:link w:val="RodapChar"/>
    <w:uiPriority w:val="99"/>
    <w:rsid w:val="00B72DA9"/>
    <w:pPr>
      <w:tabs>
        <w:tab w:val="center" w:pos="4320"/>
        <w:tab w:val="right" w:pos="8640"/>
      </w:tabs>
      <w:snapToGrid w:val="0"/>
      <w:jc w:val="left"/>
    </w:pPr>
    <w:rPr>
      <w:sz w:val="18"/>
    </w:rPr>
  </w:style>
  <w:style w:type="character" w:customStyle="1" w:styleId="RodapChar">
    <w:name w:val="Rodapé Char"/>
    <w:link w:val="Rodap"/>
    <w:uiPriority w:val="99"/>
    <w:locked/>
    <w:rsid w:val="004B63D2"/>
    <w:rPr>
      <w:kern w:val="2"/>
      <w:sz w:val="18"/>
    </w:rPr>
  </w:style>
  <w:style w:type="character" w:styleId="Nmerodepgina">
    <w:name w:val="page number"/>
    <w:basedOn w:val="Fontepargpadro"/>
    <w:rsid w:val="00B72DA9"/>
  </w:style>
  <w:style w:type="paragraph" w:styleId="ndicedeilustraes">
    <w:name w:val="table of figures"/>
    <w:basedOn w:val="Normal"/>
    <w:next w:val="Normal"/>
    <w:semiHidden/>
    <w:rsid w:val="00B72DA9"/>
    <w:pPr>
      <w:widowControl/>
      <w:autoSpaceDE w:val="0"/>
      <w:autoSpaceDN w:val="0"/>
      <w:adjustRightInd w:val="0"/>
      <w:ind w:left="840" w:hanging="840"/>
    </w:pPr>
    <w:rPr>
      <w:kern w:val="0"/>
      <w:sz w:val="24"/>
    </w:rPr>
  </w:style>
  <w:style w:type="paragraph" w:styleId="Cabealho">
    <w:name w:val="header"/>
    <w:basedOn w:val="Normal"/>
    <w:link w:val="CabealhoChar"/>
    <w:uiPriority w:val="99"/>
    <w:rsid w:val="00B72DA9"/>
    <w:pPr>
      <w:pBdr>
        <w:bottom w:val="single" w:sz="4" w:space="1" w:color="auto"/>
      </w:pBdr>
      <w:tabs>
        <w:tab w:val="center" w:pos="4153"/>
        <w:tab w:val="right" w:pos="8306"/>
      </w:tabs>
      <w:snapToGrid w:val="0"/>
      <w:jc w:val="center"/>
    </w:pPr>
    <w:rPr>
      <w:sz w:val="18"/>
      <w:szCs w:val="18"/>
    </w:rPr>
  </w:style>
  <w:style w:type="character" w:customStyle="1" w:styleId="CabealhoChar">
    <w:name w:val="Cabeçalho Char"/>
    <w:link w:val="Cabealho"/>
    <w:uiPriority w:val="99"/>
    <w:locked/>
    <w:rsid w:val="004B63D2"/>
    <w:rPr>
      <w:kern w:val="2"/>
      <w:sz w:val="18"/>
      <w:szCs w:val="18"/>
    </w:rPr>
  </w:style>
  <w:style w:type="paragraph" w:styleId="Recuodecorpodetexto">
    <w:name w:val="Body Text Indent"/>
    <w:basedOn w:val="Normal"/>
    <w:rsid w:val="00B72DA9"/>
    <w:pPr>
      <w:adjustRightInd w:val="0"/>
      <w:snapToGrid w:val="0"/>
      <w:spacing w:line="300" w:lineRule="exact"/>
      <w:ind w:firstLineChars="200" w:firstLine="480"/>
    </w:pPr>
    <w:rPr>
      <w:sz w:val="24"/>
    </w:rPr>
  </w:style>
  <w:style w:type="character" w:styleId="Refdecomentrio">
    <w:name w:val="annotation reference"/>
    <w:uiPriority w:val="99"/>
    <w:semiHidden/>
    <w:rsid w:val="00B72DA9"/>
    <w:rPr>
      <w:sz w:val="16"/>
    </w:rPr>
  </w:style>
  <w:style w:type="paragraph" w:styleId="Textodecomentrio">
    <w:name w:val="annotation text"/>
    <w:basedOn w:val="Normal"/>
    <w:link w:val="TextodecomentrioChar"/>
    <w:uiPriority w:val="99"/>
    <w:semiHidden/>
    <w:rsid w:val="00B72DA9"/>
    <w:pPr>
      <w:widowControl/>
      <w:overflowPunct w:val="0"/>
      <w:autoSpaceDE w:val="0"/>
      <w:autoSpaceDN w:val="0"/>
      <w:adjustRightInd w:val="0"/>
      <w:jc w:val="left"/>
      <w:textAlignment w:val="baseline"/>
    </w:pPr>
    <w:rPr>
      <w:kern w:val="0"/>
      <w:sz w:val="20"/>
      <w:lang w:eastAsia="en-US"/>
    </w:rPr>
  </w:style>
  <w:style w:type="character" w:customStyle="1" w:styleId="TextodecomentrioChar">
    <w:name w:val="Texto de comentário Char"/>
    <w:link w:val="Textodecomentrio"/>
    <w:uiPriority w:val="99"/>
    <w:semiHidden/>
    <w:rsid w:val="004B63D2"/>
    <w:rPr>
      <w:lang w:eastAsia="en-US"/>
    </w:rPr>
  </w:style>
  <w:style w:type="character" w:styleId="Forte">
    <w:name w:val="Strong"/>
    <w:rsid w:val="00B72DA9"/>
    <w:rPr>
      <w:b/>
      <w:bCs/>
    </w:rPr>
  </w:style>
  <w:style w:type="paragraph" w:styleId="Recuodecorpodetexto2">
    <w:name w:val="Body Text Indent 2"/>
    <w:basedOn w:val="Normal"/>
    <w:link w:val="Recuodecorpodetexto2Char"/>
    <w:rsid w:val="00B72DA9"/>
    <w:pPr>
      <w:widowControl/>
      <w:overflowPunct w:val="0"/>
      <w:autoSpaceDE w:val="0"/>
      <w:autoSpaceDN w:val="0"/>
      <w:adjustRightInd w:val="0"/>
      <w:spacing w:line="300" w:lineRule="exact"/>
      <w:ind w:firstLineChars="200" w:firstLine="480"/>
      <w:textAlignment w:val="baseline"/>
    </w:pPr>
    <w:rPr>
      <w:kern w:val="0"/>
      <w:sz w:val="24"/>
      <w:lang w:eastAsia="en-US"/>
    </w:rPr>
  </w:style>
  <w:style w:type="character" w:customStyle="1" w:styleId="Recuodecorpodetexto2Char">
    <w:name w:val="Recuo de corpo de texto 2 Char"/>
    <w:link w:val="Recuodecorpodetexto2"/>
    <w:locked/>
    <w:rsid w:val="00247981"/>
    <w:rPr>
      <w:rFonts w:eastAsia="SimSun"/>
      <w:sz w:val="24"/>
      <w:lang w:val="en-US" w:eastAsia="en-US" w:bidi="ar-SA"/>
    </w:rPr>
  </w:style>
  <w:style w:type="paragraph" w:styleId="Ttulo">
    <w:name w:val="Title"/>
    <w:basedOn w:val="Normal"/>
    <w:link w:val="TtuloChar"/>
    <w:rsid w:val="00B72DA9"/>
    <w:pPr>
      <w:jc w:val="center"/>
    </w:pPr>
    <w:rPr>
      <w:b/>
      <w:bCs/>
      <w:sz w:val="24"/>
    </w:rPr>
  </w:style>
  <w:style w:type="character" w:customStyle="1" w:styleId="TtuloChar">
    <w:name w:val="Título Char"/>
    <w:link w:val="Ttulo"/>
    <w:locked/>
    <w:rsid w:val="00247981"/>
    <w:rPr>
      <w:rFonts w:eastAsia="SimSun"/>
      <w:b/>
      <w:bCs/>
      <w:kern w:val="2"/>
      <w:sz w:val="24"/>
      <w:lang w:val="en-US" w:eastAsia="zh-CN" w:bidi="ar-SA"/>
    </w:rPr>
  </w:style>
  <w:style w:type="character" w:styleId="Hyperlink">
    <w:name w:val="Hyperlink"/>
    <w:uiPriority w:val="99"/>
    <w:rsid w:val="00B72DA9"/>
    <w:rPr>
      <w:color w:val="0000FF"/>
      <w:u w:val="single"/>
    </w:rPr>
  </w:style>
  <w:style w:type="paragraph" w:styleId="Recuodecorpodetexto3">
    <w:name w:val="Body Text Indent 3"/>
    <w:basedOn w:val="Normal"/>
    <w:rsid w:val="00B72DA9"/>
    <w:pPr>
      <w:adjustRightInd w:val="0"/>
      <w:snapToGrid w:val="0"/>
      <w:spacing w:line="300" w:lineRule="exact"/>
      <w:ind w:firstLineChars="200" w:firstLine="420"/>
    </w:pPr>
  </w:style>
  <w:style w:type="character" w:styleId="Refdenotaderodap">
    <w:name w:val="footnote reference"/>
    <w:uiPriority w:val="99"/>
    <w:rsid w:val="00B72DA9"/>
    <w:rPr>
      <w:vertAlign w:val="superscript"/>
    </w:rPr>
  </w:style>
  <w:style w:type="paragraph" w:styleId="Textodenotaderodap">
    <w:name w:val="footnote text"/>
    <w:basedOn w:val="Normal"/>
    <w:link w:val="TextodenotaderodapChar"/>
    <w:uiPriority w:val="99"/>
    <w:rsid w:val="00B72DA9"/>
    <w:pPr>
      <w:snapToGrid w:val="0"/>
      <w:jc w:val="left"/>
    </w:pPr>
    <w:rPr>
      <w:sz w:val="18"/>
      <w:szCs w:val="18"/>
    </w:rPr>
  </w:style>
  <w:style w:type="character" w:customStyle="1" w:styleId="TextodenotaderodapChar">
    <w:name w:val="Texto de nota de rodapé Char"/>
    <w:link w:val="Textodenotaderodap"/>
    <w:uiPriority w:val="99"/>
    <w:locked/>
    <w:rsid w:val="004B63D2"/>
    <w:rPr>
      <w:kern w:val="2"/>
      <w:sz w:val="18"/>
      <w:szCs w:val="18"/>
    </w:rPr>
  </w:style>
  <w:style w:type="character" w:styleId="HiperlinkVisitado">
    <w:name w:val="FollowedHyperlink"/>
    <w:uiPriority w:val="99"/>
    <w:rsid w:val="00B72DA9"/>
    <w:rPr>
      <w:color w:val="800080"/>
      <w:u w:val="single"/>
    </w:rPr>
  </w:style>
  <w:style w:type="paragraph" w:styleId="Pr-formataoHTML">
    <w:name w:val="HTML Preformatted"/>
    <w:basedOn w:val="Normal"/>
    <w:link w:val="Pr-formataoHTMLChar"/>
    <w:uiPriority w:val="99"/>
    <w:rsid w:val="00B72D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SimHei" w:hAnsi="Courier New" w:cs="Courier New"/>
      <w:kern w:val="0"/>
      <w:sz w:val="20"/>
    </w:rPr>
  </w:style>
  <w:style w:type="paragraph" w:customStyle="1" w:styleId="Headings1">
    <w:name w:val="Headings 1"/>
    <w:basedOn w:val="Normal"/>
    <w:next w:val="Normal"/>
    <w:link w:val="Headings1Char"/>
    <w:qFormat/>
    <w:rsid w:val="00144AE0"/>
    <w:pPr>
      <w:spacing w:beforeLines="70" w:afterLines="70"/>
      <w:ind w:firstLineChars="200" w:firstLine="200"/>
    </w:pPr>
    <w:rPr>
      <w:b/>
      <w:bCs/>
      <w:sz w:val="24"/>
    </w:rPr>
  </w:style>
  <w:style w:type="character" w:customStyle="1" w:styleId="Headings1Char">
    <w:name w:val="Headings 1 Char"/>
    <w:link w:val="Headings1"/>
    <w:rsid w:val="002805C7"/>
    <w:rPr>
      <w:rFonts w:eastAsia="SimSun"/>
      <w:b/>
      <w:bCs/>
      <w:kern w:val="2"/>
      <w:sz w:val="24"/>
      <w:lang w:val="en-US" w:eastAsia="zh-CN" w:bidi="ar-SA"/>
    </w:rPr>
  </w:style>
  <w:style w:type="character" w:styleId="MquinadeescreverHTML">
    <w:name w:val="HTML Typewriter"/>
    <w:rsid w:val="00B72DA9"/>
    <w:rPr>
      <w:rFonts w:ascii="Courier New" w:eastAsia="SimHei" w:hAnsi="Courier New" w:cs="Courier New" w:hint="default"/>
      <w:sz w:val="20"/>
      <w:szCs w:val="20"/>
    </w:rPr>
  </w:style>
  <w:style w:type="paragraph" w:customStyle="1" w:styleId="Ttulo10">
    <w:name w:val="Título1"/>
    <w:basedOn w:val="Normal"/>
    <w:link w:val="TitleChar"/>
    <w:qFormat/>
    <w:rsid w:val="00B72DA9"/>
    <w:pPr>
      <w:spacing w:beforeLines="100" w:afterLines="100"/>
      <w:jc w:val="center"/>
    </w:pPr>
    <w:rPr>
      <w:b/>
      <w:sz w:val="30"/>
    </w:rPr>
  </w:style>
  <w:style w:type="character" w:customStyle="1" w:styleId="TitleChar">
    <w:name w:val="Title Char"/>
    <w:link w:val="Ttulo10"/>
    <w:rsid w:val="00C34BF8"/>
    <w:rPr>
      <w:rFonts w:eastAsia="SimSun"/>
      <w:b/>
      <w:kern w:val="2"/>
      <w:sz w:val="30"/>
      <w:lang w:val="en-US" w:eastAsia="zh-CN" w:bidi="ar-SA"/>
    </w:rPr>
  </w:style>
  <w:style w:type="paragraph" w:customStyle="1" w:styleId="author1">
    <w:name w:val="author－1"/>
    <w:basedOn w:val="Normal"/>
    <w:link w:val="author1Char"/>
    <w:qFormat/>
    <w:rsid w:val="00B72DA9"/>
    <w:pPr>
      <w:spacing w:afterLines="100"/>
      <w:jc w:val="center"/>
    </w:pPr>
    <w:rPr>
      <w:i/>
    </w:rPr>
  </w:style>
  <w:style w:type="character" w:customStyle="1" w:styleId="author1Char">
    <w:name w:val="author－1 Char"/>
    <w:link w:val="author1"/>
    <w:rsid w:val="004511C0"/>
    <w:rPr>
      <w:rFonts w:eastAsia="SimSun"/>
      <w:i/>
      <w:kern w:val="2"/>
      <w:sz w:val="21"/>
      <w:lang w:val="en-US" w:eastAsia="zh-CN" w:bidi="ar-SA"/>
    </w:rPr>
  </w:style>
  <w:style w:type="paragraph" w:customStyle="1" w:styleId="Text1">
    <w:name w:val="Text－1"/>
    <w:basedOn w:val="Ttulo10"/>
    <w:link w:val="Text1Char"/>
    <w:qFormat/>
    <w:rsid w:val="00542CFA"/>
    <w:pPr>
      <w:spacing w:beforeLines="0" w:afterLines="0"/>
      <w:ind w:firstLineChars="200" w:firstLine="200"/>
      <w:jc w:val="both"/>
    </w:pPr>
    <w:rPr>
      <w:b w:val="0"/>
      <w:sz w:val="21"/>
    </w:rPr>
  </w:style>
  <w:style w:type="character" w:customStyle="1" w:styleId="Text1Char">
    <w:name w:val="Text－1 Char"/>
    <w:link w:val="Text1"/>
    <w:rsid w:val="00542CFA"/>
    <w:rPr>
      <w:kern w:val="2"/>
      <w:sz w:val="21"/>
    </w:rPr>
  </w:style>
  <w:style w:type="paragraph" w:styleId="MapadoDocumento">
    <w:name w:val="Document Map"/>
    <w:basedOn w:val="Normal"/>
    <w:semiHidden/>
    <w:rsid w:val="00B72DA9"/>
    <w:pPr>
      <w:shd w:val="clear" w:color="auto" w:fill="000080"/>
    </w:pPr>
    <w:rPr>
      <w:szCs w:val="24"/>
    </w:rPr>
  </w:style>
  <w:style w:type="paragraph" w:customStyle="1" w:styleId="1">
    <w:name w:val="脚注－1"/>
    <w:basedOn w:val="Textodenotaderodap"/>
    <w:rsid w:val="00B72DA9"/>
    <w:pPr>
      <w:adjustRightInd w:val="0"/>
      <w:jc w:val="both"/>
    </w:pPr>
    <w:rPr>
      <w:rFonts w:eastAsia="方正书宋繁体"/>
    </w:rPr>
  </w:style>
  <w:style w:type="paragraph" w:customStyle="1" w:styleId="10">
    <w:name w:val="页眉－1"/>
    <w:basedOn w:val="Cabealho"/>
    <w:rsid w:val="00B72DA9"/>
    <w:pPr>
      <w:adjustRightInd w:val="0"/>
    </w:pPr>
    <w:rPr>
      <w:b/>
    </w:rPr>
  </w:style>
  <w:style w:type="paragraph" w:styleId="NormalWeb">
    <w:name w:val="Normal (Web)"/>
    <w:basedOn w:val="Normal"/>
    <w:uiPriority w:val="99"/>
    <w:rsid w:val="00B72DA9"/>
    <w:pPr>
      <w:widowControl/>
      <w:spacing w:before="100" w:beforeAutospacing="1" w:after="100" w:afterAutospacing="1"/>
      <w:jc w:val="left"/>
    </w:pPr>
    <w:rPr>
      <w:rFonts w:ascii="Arial Unicode MS" w:eastAsia="Arial Unicode MS" w:hAnsi="Arial Unicode MS" w:cs="Arial Unicode MS"/>
      <w:kern w:val="0"/>
      <w:sz w:val="24"/>
      <w:szCs w:val="24"/>
    </w:rPr>
  </w:style>
  <w:style w:type="character" w:styleId="Refdenotadefim">
    <w:name w:val="endnote reference"/>
    <w:uiPriority w:val="99"/>
    <w:semiHidden/>
    <w:rsid w:val="00B72DA9"/>
    <w:rPr>
      <w:vertAlign w:val="superscript"/>
    </w:rPr>
  </w:style>
  <w:style w:type="paragraph" w:styleId="Textodenotadefim">
    <w:name w:val="endnote text"/>
    <w:basedOn w:val="Normal"/>
    <w:link w:val="TextodenotadefimChar"/>
    <w:uiPriority w:val="99"/>
    <w:semiHidden/>
    <w:rsid w:val="00B72DA9"/>
    <w:pPr>
      <w:snapToGrid w:val="0"/>
      <w:jc w:val="left"/>
    </w:pPr>
    <w:rPr>
      <w:szCs w:val="24"/>
    </w:rPr>
  </w:style>
  <w:style w:type="character" w:customStyle="1" w:styleId="TextodenotadefimChar">
    <w:name w:val="Texto de nota de fim Char"/>
    <w:link w:val="Textodenotadefim"/>
    <w:uiPriority w:val="99"/>
    <w:semiHidden/>
    <w:locked/>
    <w:rsid w:val="004B63D2"/>
    <w:rPr>
      <w:kern w:val="2"/>
      <w:sz w:val="21"/>
      <w:szCs w:val="24"/>
    </w:rPr>
  </w:style>
  <w:style w:type="character" w:customStyle="1" w:styleId="content1">
    <w:name w:val="content1"/>
    <w:rsid w:val="00B72DA9"/>
    <w:rPr>
      <w:sz w:val="18"/>
      <w:szCs w:val="18"/>
    </w:rPr>
  </w:style>
  <w:style w:type="character" w:styleId="nfase">
    <w:name w:val="Emphasis"/>
    <w:uiPriority w:val="20"/>
    <w:qFormat/>
    <w:rsid w:val="00B72DA9"/>
    <w:rPr>
      <w:i/>
      <w:iCs/>
    </w:rPr>
  </w:style>
  <w:style w:type="character" w:customStyle="1" w:styleId="textenormal1">
    <w:name w:val="textenormal1"/>
    <w:rsid w:val="00B72DA9"/>
    <w:rPr>
      <w:rFonts w:ascii="Arial" w:hAnsi="Arial" w:cs="Arial" w:hint="default"/>
      <w:i w:val="0"/>
      <w:iCs w:val="0"/>
      <w:color w:val="000000"/>
      <w:sz w:val="20"/>
      <w:szCs w:val="20"/>
    </w:rPr>
  </w:style>
  <w:style w:type="character" w:customStyle="1" w:styleId="text10">
    <w:name w:val="text1"/>
    <w:rsid w:val="00B72DA9"/>
    <w:rPr>
      <w:rFonts w:hint="default"/>
      <w:color w:val="000000"/>
      <w:sz w:val="18"/>
      <w:szCs w:val="18"/>
    </w:rPr>
  </w:style>
  <w:style w:type="character" w:customStyle="1" w:styleId="tt1">
    <w:name w:val="tt1"/>
    <w:basedOn w:val="Fontepargpadro"/>
    <w:rsid w:val="00B72DA9"/>
  </w:style>
  <w:style w:type="character" w:customStyle="1" w:styleId="text41">
    <w:name w:val="text41"/>
    <w:rsid w:val="00B72DA9"/>
    <w:rPr>
      <w:rFonts w:ascii="ө" w:hAnsi="ө" w:cs="Arial" w:hint="default"/>
      <w:color w:val="333333"/>
      <w:sz w:val="16"/>
      <w:szCs w:val="16"/>
    </w:rPr>
  </w:style>
  <w:style w:type="paragraph" w:styleId="Textoembloco">
    <w:name w:val="Block Text"/>
    <w:basedOn w:val="Normal"/>
    <w:rsid w:val="00B72DA9"/>
    <w:pPr>
      <w:spacing w:line="320" w:lineRule="exact"/>
      <w:ind w:leftChars="-100" w:left="-210" w:rightChars="-100" w:right="-210"/>
    </w:pPr>
    <w:rPr>
      <w:sz w:val="28"/>
      <w:szCs w:val="24"/>
    </w:rPr>
  </w:style>
  <w:style w:type="paragraph" w:customStyle="1" w:styleId="formatrentbooknotindented">
    <w:name w:val="formatrentbook not indented"/>
    <w:basedOn w:val="Normal"/>
    <w:rsid w:val="00B72DA9"/>
    <w:pPr>
      <w:widowControl/>
    </w:pPr>
    <w:rPr>
      <w:kern w:val="0"/>
      <w:sz w:val="20"/>
      <w:lang w:val="en-GB" w:eastAsia="en-US"/>
    </w:rPr>
  </w:style>
  <w:style w:type="paragraph" w:styleId="Sumrio2">
    <w:name w:val="toc 2"/>
    <w:basedOn w:val="Normal"/>
    <w:next w:val="Normal"/>
    <w:autoRedefine/>
    <w:uiPriority w:val="39"/>
    <w:rsid w:val="00B72DA9"/>
    <w:pPr>
      <w:ind w:left="420"/>
    </w:pPr>
    <w:rPr>
      <w:sz w:val="24"/>
    </w:rPr>
  </w:style>
  <w:style w:type="character" w:customStyle="1" w:styleId="nava">
    <w:name w:val="nava"/>
    <w:basedOn w:val="Fontepargpadro"/>
    <w:rsid w:val="00B72DA9"/>
  </w:style>
  <w:style w:type="paragraph" w:styleId="TextosemFormatao">
    <w:name w:val="Plain Text"/>
    <w:basedOn w:val="Normal"/>
    <w:rsid w:val="00B72DA9"/>
    <w:rPr>
      <w:rFonts w:ascii="SimSun" w:hAnsi="Courier New" w:cs="Courier New"/>
      <w:szCs w:val="21"/>
    </w:rPr>
  </w:style>
  <w:style w:type="paragraph" w:customStyle="1" w:styleId="DefinitionList">
    <w:name w:val="Definition List"/>
    <w:basedOn w:val="Normal"/>
    <w:next w:val="Normal"/>
    <w:rsid w:val="00B72DA9"/>
    <w:pPr>
      <w:widowControl/>
      <w:ind w:left="360"/>
      <w:jc w:val="left"/>
    </w:pPr>
    <w:rPr>
      <w:snapToGrid w:val="0"/>
      <w:kern w:val="0"/>
      <w:sz w:val="24"/>
      <w:lang w:val="en-GB" w:eastAsia="en-US"/>
    </w:rPr>
  </w:style>
  <w:style w:type="character" w:customStyle="1" w:styleId="body">
    <w:name w:val="body"/>
    <w:basedOn w:val="Fontepargpadro"/>
    <w:rsid w:val="00B72DA9"/>
  </w:style>
  <w:style w:type="character" w:customStyle="1" w:styleId="a">
    <w:name w:val="a"/>
    <w:basedOn w:val="Fontepargpadro"/>
    <w:rsid w:val="00B72DA9"/>
  </w:style>
  <w:style w:type="paragraph" w:customStyle="1" w:styleId="style0">
    <w:name w:val="style0"/>
    <w:basedOn w:val="Normal"/>
    <w:rsid w:val="00B72DA9"/>
    <w:pPr>
      <w:widowControl/>
      <w:spacing w:before="100" w:beforeAutospacing="1" w:after="100" w:afterAutospacing="1"/>
      <w:jc w:val="left"/>
    </w:pPr>
    <w:rPr>
      <w:kern w:val="0"/>
      <w:sz w:val="24"/>
      <w:lang w:eastAsia="en-US"/>
    </w:rPr>
  </w:style>
  <w:style w:type="paragraph" w:styleId="Legenda">
    <w:name w:val="caption"/>
    <w:basedOn w:val="Normal"/>
    <w:next w:val="Normal"/>
    <w:rsid w:val="00B72DA9"/>
    <w:pPr>
      <w:tabs>
        <w:tab w:val="center" w:pos="4680"/>
      </w:tabs>
      <w:jc w:val="center"/>
    </w:pPr>
    <w:rPr>
      <w:b/>
      <w:sz w:val="24"/>
    </w:rPr>
  </w:style>
  <w:style w:type="character" w:customStyle="1" w:styleId="texttitle">
    <w:name w:val="texttitle"/>
    <w:basedOn w:val="Fontepargpadro"/>
    <w:rsid w:val="00B72DA9"/>
  </w:style>
  <w:style w:type="paragraph" w:customStyle="1" w:styleId="11">
    <w:name w:val="表—1"/>
    <w:basedOn w:val="Normal"/>
    <w:rsid w:val="00B72DA9"/>
    <w:pPr>
      <w:spacing w:beforeLines="20" w:afterLines="20"/>
      <w:jc w:val="center"/>
    </w:pPr>
    <w:rPr>
      <w:b/>
      <w:bCs/>
    </w:rPr>
  </w:style>
  <w:style w:type="character" w:customStyle="1" w:styleId="doc1">
    <w:name w:val="doc1"/>
    <w:rsid w:val="00B72DA9"/>
    <w:rPr>
      <w:color w:val="333333"/>
      <w:sz w:val="18"/>
      <w:szCs w:val="18"/>
    </w:rPr>
  </w:style>
  <w:style w:type="character" w:customStyle="1" w:styleId="medium-normal1">
    <w:name w:val="medium-normal1"/>
    <w:rsid w:val="00B72DA9"/>
    <w:rPr>
      <w:rFonts w:ascii="Arial" w:hAnsi="Arial" w:cs="Arial" w:hint="default"/>
      <w:b w:val="0"/>
      <w:bCs w:val="0"/>
      <w:i w:val="0"/>
      <w:iCs w:val="0"/>
      <w:sz w:val="20"/>
      <w:szCs w:val="20"/>
    </w:rPr>
  </w:style>
  <w:style w:type="paragraph" w:styleId="Sumrio1">
    <w:name w:val="toc 1"/>
    <w:basedOn w:val="Normal"/>
    <w:next w:val="Normal"/>
    <w:autoRedefine/>
    <w:uiPriority w:val="39"/>
    <w:rsid w:val="00B72DA9"/>
    <w:pPr>
      <w:adjustRightInd w:val="0"/>
      <w:snapToGrid w:val="0"/>
    </w:pPr>
    <w:rPr>
      <w:rFonts w:eastAsia="LiSu"/>
    </w:rPr>
  </w:style>
  <w:style w:type="character" w:customStyle="1" w:styleId="verdana121">
    <w:name w:val="verdana121"/>
    <w:rsid w:val="00B72DA9"/>
    <w:rPr>
      <w:rFonts w:ascii="Verdana" w:hAnsi="Verdana" w:hint="default"/>
      <w:sz w:val="24"/>
      <w:szCs w:val="24"/>
    </w:rPr>
  </w:style>
  <w:style w:type="paragraph" w:styleId="Textodebalo">
    <w:name w:val="Balloon Text"/>
    <w:basedOn w:val="Normal"/>
    <w:link w:val="TextodebaloChar"/>
    <w:uiPriority w:val="99"/>
    <w:semiHidden/>
    <w:rsid w:val="00B72DA9"/>
    <w:rPr>
      <w:sz w:val="18"/>
      <w:szCs w:val="18"/>
    </w:rPr>
  </w:style>
  <w:style w:type="character" w:customStyle="1" w:styleId="TextodebaloChar">
    <w:name w:val="Texto de balão Char"/>
    <w:link w:val="Textodebalo"/>
    <w:uiPriority w:val="99"/>
    <w:semiHidden/>
    <w:locked/>
    <w:rsid w:val="004B63D2"/>
    <w:rPr>
      <w:kern w:val="2"/>
      <w:sz w:val="18"/>
      <w:szCs w:val="18"/>
    </w:rPr>
  </w:style>
  <w:style w:type="paragraph" w:styleId="Subttulo">
    <w:name w:val="Subtitle"/>
    <w:basedOn w:val="Normal"/>
    <w:rsid w:val="00B72DA9"/>
    <w:pPr>
      <w:jc w:val="center"/>
    </w:pPr>
    <w:rPr>
      <w:b/>
      <w:bCs/>
      <w:szCs w:val="24"/>
    </w:rPr>
  </w:style>
  <w:style w:type="paragraph" w:customStyle="1" w:styleId="2">
    <w:name w:val="样式2"/>
    <w:basedOn w:val="Ttulo2"/>
    <w:next w:val="Normal"/>
    <w:rsid w:val="00B72DA9"/>
    <w:pPr>
      <w:keepLines/>
      <w:widowControl w:val="0"/>
      <w:autoSpaceDE/>
      <w:autoSpaceDN/>
      <w:adjustRightInd/>
      <w:spacing w:before="120" w:line="415" w:lineRule="auto"/>
      <w:jc w:val="both"/>
    </w:pPr>
    <w:rPr>
      <w:rFonts w:eastAsia="SimHei"/>
      <w:bCs/>
      <w:color w:val="auto"/>
      <w:kern w:val="2"/>
      <w:sz w:val="21"/>
      <w:szCs w:val="32"/>
    </w:rPr>
  </w:style>
  <w:style w:type="paragraph" w:customStyle="1" w:styleId="3">
    <w:name w:val="样式3"/>
    <w:basedOn w:val="Ttulo3"/>
    <w:next w:val="Normal"/>
    <w:rsid w:val="00B72DA9"/>
    <w:pPr>
      <w:keepLines/>
      <w:autoSpaceDE/>
      <w:autoSpaceDN/>
      <w:adjustRightInd/>
      <w:spacing w:before="60" w:after="60" w:line="240" w:lineRule="auto"/>
      <w:ind w:firstLineChars="200" w:firstLine="420"/>
      <w:jc w:val="both"/>
    </w:pPr>
    <w:rPr>
      <w:b w:val="0"/>
      <w:bCs/>
      <w:color w:val="auto"/>
      <w:kern w:val="2"/>
      <w:sz w:val="21"/>
      <w:szCs w:val="32"/>
    </w:rPr>
  </w:style>
  <w:style w:type="paragraph" w:customStyle="1" w:styleId="a0">
    <w:name w:val="图表"/>
    <w:basedOn w:val="Normal"/>
    <w:rsid w:val="00B72DA9"/>
    <w:pPr>
      <w:jc w:val="center"/>
    </w:pPr>
    <w:rPr>
      <w:szCs w:val="24"/>
    </w:rPr>
  </w:style>
  <w:style w:type="paragraph" w:customStyle="1" w:styleId="ParagraphNumbering">
    <w:name w:val="Paragraph Numbering"/>
    <w:basedOn w:val="Normal"/>
    <w:rsid w:val="00B72DA9"/>
    <w:pPr>
      <w:widowControl/>
      <w:tabs>
        <w:tab w:val="num" w:pos="720"/>
      </w:tabs>
      <w:spacing w:after="240"/>
      <w:jc w:val="left"/>
    </w:pPr>
    <w:rPr>
      <w:kern w:val="0"/>
      <w:sz w:val="24"/>
      <w:szCs w:val="24"/>
    </w:rPr>
  </w:style>
  <w:style w:type="paragraph" w:styleId="Commarcadores">
    <w:name w:val="List Bullet"/>
    <w:basedOn w:val="Normal"/>
    <w:autoRedefine/>
    <w:rsid w:val="00B72DA9"/>
    <w:pPr>
      <w:widowControl/>
      <w:tabs>
        <w:tab w:val="num" w:pos="720"/>
      </w:tabs>
      <w:spacing w:after="240"/>
      <w:ind w:left="720" w:hanging="720"/>
      <w:jc w:val="left"/>
    </w:pPr>
    <w:rPr>
      <w:kern w:val="0"/>
      <w:sz w:val="24"/>
      <w:szCs w:val="24"/>
    </w:rPr>
  </w:style>
  <w:style w:type="paragraph" w:styleId="Commarcadores2">
    <w:name w:val="List Bullet 2"/>
    <w:basedOn w:val="Normal"/>
    <w:autoRedefine/>
    <w:rsid w:val="00B72DA9"/>
    <w:pPr>
      <w:widowControl/>
      <w:tabs>
        <w:tab w:val="num" w:pos="720"/>
      </w:tabs>
      <w:ind w:left="720" w:hanging="360"/>
      <w:jc w:val="left"/>
    </w:pPr>
    <w:rPr>
      <w:kern w:val="0"/>
      <w:sz w:val="24"/>
      <w:szCs w:val="24"/>
    </w:rPr>
  </w:style>
  <w:style w:type="paragraph" w:styleId="Commarcadores3">
    <w:name w:val="List Bullet 3"/>
    <w:basedOn w:val="Normal"/>
    <w:autoRedefine/>
    <w:rsid w:val="00B72DA9"/>
    <w:pPr>
      <w:widowControl/>
      <w:tabs>
        <w:tab w:val="num" w:pos="1080"/>
      </w:tabs>
      <w:ind w:left="1080" w:hanging="360"/>
      <w:jc w:val="left"/>
    </w:pPr>
    <w:rPr>
      <w:kern w:val="0"/>
      <w:sz w:val="24"/>
      <w:szCs w:val="24"/>
    </w:rPr>
  </w:style>
  <w:style w:type="paragraph" w:styleId="Commarcadores4">
    <w:name w:val="List Bullet 4"/>
    <w:basedOn w:val="Normal"/>
    <w:autoRedefine/>
    <w:rsid w:val="00B72DA9"/>
    <w:pPr>
      <w:widowControl/>
      <w:tabs>
        <w:tab w:val="num" w:pos="1440"/>
      </w:tabs>
      <w:ind w:left="1440" w:hanging="360"/>
      <w:jc w:val="left"/>
    </w:pPr>
    <w:rPr>
      <w:kern w:val="0"/>
      <w:sz w:val="24"/>
      <w:szCs w:val="24"/>
    </w:rPr>
  </w:style>
  <w:style w:type="paragraph" w:styleId="Commarcadores5">
    <w:name w:val="List Bullet 5"/>
    <w:basedOn w:val="Normal"/>
    <w:autoRedefine/>
    <w:rsid w:val="00B72DA9"/>
    <w:pPr>
      <w:widowControl/>
      <w:tabs>
        <w:tab w:val="num" w:pos="1800"/>
      </w:tabs>
      <w:ind w:left="1800" w:hanging="360"/>
      <w:jc w:val="left"/>
    </w:pPr>
    <w:rPr>
      <w:kern w:val="0"/>
      <w:sz w:val="24"/>
      <w:szCs w:val="24"/>
    </w:rPr>
  </w:style>
  <w:style w:type="paragraph" w:customStyle="1" w:styleId="xl32">
    <w:name w:val="xl32"/>
    <w:basedOn w:val="Normal"/>
    <w:rsid w:val="00B72DA9"/>
    <w:pPr>
      <w:widowControl/>
      <w:spacing w:before="100" w:beforeAutospacing="1" w:after="100" w:afterAutospacing="1"/>
      <w:jc w:val="center"/>
    </w:pPr>
    <w:rPr>
      <w:rFonts w:ascii="Arial Unicode MS" w:eastAsia="Arial Unicode MS" w:hAnsi="Arial Unicode MS" w:cs="Arial Unicode MS"/>
      <w:kern w:val="0"/>
      <w:sz w:val="24"/>
      <w:szCs w:val="24"/>
    </w:rPr>
  </w:style>
  <w:style w:type="paragraph" w:customStyle="1" w:styleId="Char">
    <w:name w:val="纯文本 Char"/>
    <w:basedOn w:val="Normal"/>
    <w:next w:val="TextosemFormatao"/>
    <w:rsid w:val="00B72DA9"/>
    <w:rPr>
      <w:rFonts w:ascii="SimSun" w:hAnsi="Courier New" w:cs="Courier New"/>
      <w:szCs w:val="21"/>
    </w:rPr>
  </w:style>
  <w:style w:type="character" w:customStyle="1" w:styleId="p9">
    <w:name w:val="p9"/>
    <w:basedOn w:val="Fontepargpadro"/>
    <w:rsid w:val="00B72DA9"/>
  </w:style>
  <w:style w:type="paragraph" w:styleId="Sumrio4">
    <w:name w:val="toc 4"/>
    <w:basedOn w:val="Normal"/>
    <w:next w:val="Normal"/>
    <w:autoRedefine/>
    <w:uiPriority w:val="39"/>
    <w:rsid w:val="00B72DA9"/>
    <w:pPr>
      <w:ind w:left="630"/>
      <w:jc w:val="left"/>
    </w:pPr>
    <w:rPr>
      <w:rFonts w:eastAsia="KaiTi_GB2312"/>
      <w:sz w:val="24"/>
      <w:szCs w:val="21"/>
    </w:rPr>
  </w:style>
  <w:style w:type="paragraph" w:styleId="Assuntodocomentrio">
    <w:name w:val="annotation subject"/>
    <w:basedOn w:val="Textodecomentrio"/>
    <w:next w:val="Textodecomentrio"/>
    <w:link w:val="AssuntodocomentrioChar"/>
    <w:uiPriority w:val="99"/>
    <w:semiHidden/>
    <w:rsid w:val="00B72DA9"/>
    <w:pPr>
      <w:widowControl w:val="0"/>
      <w:overflowPunct/>
      <w:autoSpaceDE/>
      <w:autoSpaceDN/>
      <w:adjustRightInd/>
      <w:textAlignment w:val="auto"/>
    </w:pPr>
    <w:rPr>
      <w:b/>
      <w:bCs/>
      <w:kern w:val="2"/>
      <w:sz w:val="21"/>
      <w:szCs w:val="24"/>
    </w:rPr>
  </w:style>
  <w:style w:type="character" w:customStyle="1" w:styleId="AssuntodocomentrioChar">
    <w:name w:val="Assunto do comentário Char"/>
    <w:link w:val="Assuntodocomentrio"/>
    <w:uiPriority w:val="99"/>
    <w:semiHidden/>
    <w:rsid w:val="004B63D2"/>
    <w:rPr>
      <w:b/>
      <w:bCs/>
      <w:kern w:val="2"/>
      <w:sz w:val="21"/>
      <w:szCs w:val="24"/>
      <w:lang w:eastAsia="en-US"/>
    </w:rPr>
  </w:style>
  <w:style w:type="paragraph" w:customStyle="1" w:styleId="a1">
    <w:name w:val="表格"/>
    <w:basedOn w:val="Normal"/>
    <w:autoRedefine/>
    <w:rsid w:val="00B72DA9"/>
    <w:pPr>
      <w:jc w:val="center"/>
    </w:pPr>
    <w:rPr>
      <w:sz w:val="24"/>
      <w:szCs w:val="24"/>
    </w:rPr>
  </w:style>
  <w:style w:type="character" w:customStyle="1" w:styleId="unnamed21">
    <w:name w:val="unnamed21"/>
    <w:rsid w:val="00B72DA9"/>
    <w:rPr>
      <w:sz w:val="18"/>
      <w:szCs w:val="18"/>
    </w:rPr>
  </w:style>
  <w:style w:type="paragraph" w:customStyle="1" w:styleId="a2">
    <w:name w:val="图标题"/>
    <w:basedOn w:val="Normal"/>
    <w:autoRedefine/>
    <w:rsid w:val="00B72DA9"/>
    <w:pPr>
      <w:spacing w:before="120" w:after="120"/>
      <w:jc w:val="center"/>
      <w:outlineLvl w:val="5"/>
    </w:pPr>
    <w:rPr>
      <w:rFonts w:ascii="SimHei" w:eastAsia="SimHei" w:hAnsi="CG Times (W1)"/>
      <w:sz w:val="24"/>
    </w:rPr>
  </w:style>
  <w:style w:type="paragraph" w:customStyle="1" w:styleId="a3">
    <w:name w:val="作者单位英文名称"/>
    <w:basedOn w:val="Normal"/>
    <w:rsid w:val="00B72DA9"/>
    <w:pPr>
      <w:adjustRightInd w:val="0"/>
      <w:spacing w:after="240"/>
      <w:ind w:left="425" w:right="425"/>
      <w:jc w:val="center"/>
      <w:textAlignment w:val="baseline"/>
    </w:pPr>
    <w:rPr>
      <w:sz w:val="19"/>
    </w:rPr>
  </w:style>
  <w:style w:type="character" w:customStyle="1" w:styleId="ft1">
    <w:name w:val="ft1"/>
    <w:basedOn w:val="Fontepargpadro"/>
    <w:rsid w:val="00B72DA9"/>
  </w:style>
  <w:style w:type="paragraph" w:customStyle="1" w:styleId="content">
    <w:name w:val="content"/>
    <w:basedOn w:val="Normal"/>
    <w:rsid w:val="00B72DA9"/>
    <w:pPr>
      <w:widowControl/>
      <w:spacing w:before="100" w:beforeAutospacing="1" w:after="100" w:afterAutospacing="1" w:line="384" w:lineRule="auto"/>
      <w:jc w:val="left"/>
    </w:pPr>
    <w:rPr>
      <w:rFonts w:ascii="Verdana" w:hAnsi="Verdana" w:cs="SimSun"/>
      <w:color w:val="000000"/>
      <w:kern w:val="0"/>
      <w:sz w:val="17"/>
      <w:szCs w:val="17"/>
    </w:rPr>
  </w:style>
  <w:style w:type="character" w:customStyle="1" w:styleId="ft25">
    <w:name w:val="ft25"/>
    <w:basedOn w:val="Fontepargpadro"/>
    <w:rsid w:val="00B72DA9"/>
  </w:style>
  <w:style w:type="paragraph" w:customStyle="1" w:styleId="20">
    <w:name w:val="2"/>
    <w:basedOn w:val="Normal"/>
    <w:rsid w:val="00B72DA9"/>
    <w:pPr>
      <w:jc w:val="center"/>
    </w:pPr>
    <w:rPr>
      <w:sz w:val="36"/>
    </w:rPr>
  </w:style>
  <w:style w:type="paragraph" w:customStyle="1" w:styleId="reference1">
    <w:name w:val="reference—1"/>
    <w:basedOn w:val="Text1"/>
    <w:uiPriority w:val="99"/>
    <w:qFormat/>
    <w:rsid w:val="00FD2D29"/>
    <w:pPr>
      <w:adjustRightInd w:val="0"/>
      <w:snapToGrid w:val="0"/>
      <w:spacing w:line="288" w:lineRule="auto"/>
      <w:ind w:left="200" w:hangingChars="200" w:hanging="200"/>
    </w:pPr>
    <w:rPr>
      <w:rFonts w:eastAsia="方正书宋繁体"/>
      <w:sz w:val="18"/>
      <w:szCs w:val="18"/>
    </w:rPr>
  </w:style>
  <w:style w:type="character" w:customStyle="1" w:styleId="11pt1">
    <w:name w:val="11pt1"/>
    <w:rsid w:val="00B72DA9"/>
    <w:rPr>
      <w:rFonts w:ascii="Arial" w:hAnsi="Arial" w:cs="Arial" w:hint="default"/>
      <w:color w:val="000000"/>
      <w:sz w:val="21"/>
      <w:szCs w:val="21"/>
    </w:rPr>
  </w:style>
  <w:style w:type="paragraph" w:customStyle="1" w:styleId="Default">
    <w:name w:val="Default"/>
    <w:rsid w:val="00B72DA9"/>
    <w:pPr>
      <w:widowControl w:val="0"/>
      <w:autoSpaceDE w:val="0"/>
      <w:autoSpaceDN w:val="0"/>
      <w:adjustRightInd w:val="0"/>
    </w:pPr>
    <w:rPr>
      <w:color w:val="000000"/>
      <w:sz w:val="24"/>
      <w:szCs w:val="24"/>
      <w:lang w:val="en-US" w:eastAsia="en-US"/>
    </w:rPr>
  </w:style>
  <w:style w:type="paragraph" w:styleId="Partesuperior-zdoformulrio">
    <w:name w:val="HTML Top of Form"/>
    <w:basedOn w:val="Normal"/>
    <w:next w:val="Normal"/>
    <w:link w:val="Partesuperior-zdoformulrioChar"/>
    <w:hidden/>
    <w:rsid w:val="00B72DA9"/>
    <w:pPr>
      <w:widowControl/>
      <w:pBdr>
        <w:bottom w:val="single" w:sz="6" w:space="1" w:color="auto"/>
      </w:pBdr>
      <w:jc w:val="center"/>
    </w:pPr>
    <w:rPr>
      <w:rFonts w:ascii="Arial" w:hAnsi="Arial" w:cs="Arial"/>
      <w:vanish/>
      <w:color w:val="000000"/>
      <w:kern w:val="0"/>
      <w:sz w:val="16"/>
      <w:szCs w:val="16"/>
    </w:rPr>
  </w:style>
  <w:style w:type="character" w:customStyle="1" w:styleId="Partesuperior-zdoformulrioChar">
    <w:name w:val="Parte superior-z do formulário Char"/>
    <w:link w:val="Partesuperior-zdoformulrio"/>
    <w:semiHidden/>
    <w:locked/>
    <w:rsid w:val="00B977F5"/>
    <w:rPr>
      <w:rFonts w:ascii="Arial" w:eastAsia="SimSun" w:hAnsi="Arial" w:cs="Arial"/>
      <w:vanish/>
      <w:color w:val="000000"/>
      <w:sz w:val="16"/>
      <w:szCs w:val="16"/>
      <w:lang w:val="en-US" w:eastAsia="zh-CN" w:bidi="ar-SA"/>
    </w:rPr>
  </w:style>
  <w:style w:type="paragraph" w:styleId="Parteinferiordoformulrio">
    <w:name w:val="HTML Bottom of Form"/>
    <w:basedOn w:val="Normal"/>
    <w:next w:val="Normal"/>
    <w:link w:val="ParteinferiordoformulrioChar"/>
    <w:hidden/>
    <w:rsid w:val="00B72DA9"/>
    <w:pPr>
      <w:widowControl/>
      <w:pBdr>
        <w:top w:val="single" w:sz="6" w:space="1" w:color="auto"/>
      </w:pBdr>
      <w:jc w:val="center"/>
    </w:pPr>
    <w:rPr>
      <w:rFonts w:ascii="Arial" w:hAnsi="Arial" w:cs="Arial"/>
      <w:vanish/>
      <w:color w:val="000000"/>
      <w:kern w:val="0"/>
      <w:sz w:val="16"/>
      <w:szCs w:val="16"/>
    </w:rPr>
  </w:style>
  <w:style w:type="character" w:customStyle="1" w:styleId="ParteinferiordoformulrioChar">
    <w:name w:val="Parte inferior do formulário Char"/>
    <w:link w:val="Parteinferiordoformulrio"/>
    <w:locked/>
    <w:rsid w:val="00B977F5"/>
    <w:rPr>
      <w:rFonts w:ascii="Arial" w:eastAsia="SimSun" w:hAnsi="Arial" w:cs="Arial"/>
      <w:vanish/>
      <w:color w:val="000000"/>
      <w:sz w:val="16"/>
      <w:szCs w:val="16"/>
      <w:lang w:val="en-US" w:eastAsia="zh-CN" w:bidi="ar-SA"/>
    </w:rPr>
  </w:style>
  <w:style w:type="character" w:customStyle="1" w:styleId="vmedium1">
    <w:name w:val="v_medium1"/>
    <w:rsid w:val="00B72DA9"/>
    <w:rPr>
      <w:rFonts w:ascii="Verdana" w:hAnsi="Verdana" w:cs="Verdana"/>
      <w:sz w:val="27"/>
      <w:szCs w:val="27"/>
    </w:rPr>
  </w:style>
  <w:style w:type="paragraph" w:customStyle="1" w:styleId="MTDisplayEquation">
    <w:name w:val="MTDisplayEquation"/>
    <w:basedOn w:val="Normal"/>
    <w:next w:val="Normal"/>
    <w:rsid w:val="00B72DA9"/>
    <w:pPr>
      <w:tabs>
        <w:tab w:val="center" w:pos="4160"/>
        <w:tab w:val="right" w:pos="8300"/>
      </w:tabs>
      <w:ind w:firstLineChars="257" w:firstLine="540"/>
    </w:pPr>
    <w:rPr>
      <w:szCs w:val="21"/>
    </w:rPr>
  </w:style>
  <w:style w:type="character" w:customStyle="1" w:styleId="12">
    <w:name w:val="正文1"/>
    <w:basedOn w:val="Fontepargpadro"/>
    <w:rsid w:val="00B72DA9"/>
  </w:style>
  <w:style w:type="character" w:customStyle="1" w:styleId="p6">
    <w:name w:val="p6"/>
    <w:basedOn w:val="Fontepargpadro"/>
    <w:rsid w:val="00B72DA9"/>
  </w:style>
  <w:style w:type="table" w:styleId="Tabelacomgrade">
    <w:name w:val="Table Grid"/>
    <w:basedOn w:val="Tabelanormal"/>
    <w:uiPriority w:val="39"/>
    <w:rsid w:val="00A70A2C"/>
    <w:pPr>
      <w:widowControl w:val="0"/>
      <w:jc w:val="both"/>
    </w:pPr>
    <w:rPr>
      <w:rFonts w:ascii="Book Antiqua" w:hAnsi="Book Antiqua" w:cs="Book Antiq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1"/>
    <w:basedOn w:val="Normal"/>
    <w:rsid w:val="00B72DA9"/>
    <w:pPr>
      <w:autoSpaceDE w:val="0"/>
      <w:autoSpaceDN w:val="0"/>
      <w:adjustRightInd w:val="0"/>
    </w:pPr>
    <w:rPr>
      <w:rFonts w:ascii="SimSun"/>
      <w:color w:val="000000"/>
      <w:kern w:val="0"/>
      <w:szCs w:val="21"/>
    </w:rPr>
  </w:style>
  <w:style w:type="paragraph" w:customStyle="1" w:styleId="14">
    <w:name w:val="样式1"/>
    <w:basedOn w:val="Normal"/>
    <w:rsid w:val="00B72DA9"/>
    <w:rPr>
      <w:szCs w:val="24"/>
    </w:rPr>
  </w:style>
  <w:style w:type="character" w:customStyle="1" w:styleId="medium-bold1">
    <w:name w:val="medium-bold1"/>
    <w:rsid w:val="00B72DA9"/>
    <w:rPr>
      <w:rFonts w:ascii="Arial" w:hAnsi="Arial" w:cs="Arial" w:hint="default"/>
      <w:b/>
      <w:bCs/>
      <w:i w:val="0"/>
      <w:iCs w:val="0"/>
      <w:sz w:val="20"/>
      <w:szCs w:val="20"/>
    </w:rPr>
  </w:style>
  <w:style w:type="character" w:customStyle="1" w:styleId="medium-normal">
    <w:name w:val="medium-normal"/>
    <w:basedOn w:val="Fontepargpadro"/>
    <w:rsid w:val="00B72DA9"/>
  </w:style>
  <w:style w:type="character" w:customStyle="1" w:styleId="medium-bold">
    <w:name w:val="medium-bold"/>
    <w:basedOn w:val="Fontepargpadro"/>
    <w:rsid w:val="00B72DA9"/>
  </w:style>
  <w:style w:type="character" w:customStyle="1" w:styleId="Data1">
    <w:name w:val="Data1"/>
    <w:rsid w:val="00B72DA9"/>
    <w:rPr>
      <w:rFonts w:ascii="Arial" w:hAnsi="Arial" w:cs="Arial" w:hint="default"/>
      <w:color w:val="808080"/>
      <w:sz w:val="18"/>
      <w:szCs w:val="18"/>
    </w:rPr>
  </w:style>
  <w:style w:type="character" w:customStyle="1" w:styleId="Char0">
    <w:name w:val="正文文本 Char"/>
    <w:rsid w:val="00D86F71"/>
    <w:rPr>
      <w:rFonts w:eastAsia="SimSun"/>
      <w:kern w:val="2"/>
      <w:sz w:val="21"/>
      <w:szCs w:val="24"/>
      <w:lang w:val="en-US" w:eastAsia="zh-CN" w:bidi="ar-SA"/>
    </w:rPr>
  </w:style>
  <w:style w:type="paragraph" w:customStyle="1" w:styleId="a4">
    <w:name w:val="正文 + 宋体"/>
    <w:basedOn w:val="Normal"/>
    <w:link w:val="Char1"/>
    <w:rsid w:val="004F0826"/>
    <w:pPr>
      <w:autoSpaceDE w:val="0"/>
      <w:autoSpaceDN w:val="0"/>
      <w:adjustRightInd w:val="0"/>
      <w:jc w:val="left"/>
    </w:pPr>
    <w:rPr>
      <w:rFonts w:cs="AdobeSongStd-Light-Acro"/>
      <w:szCs w:val="18"/>
    </w:rPr>
  </w:style>
  <w:style w:type="character" w:customStyle="1" w:styleId="Char1">
    <w:name w:val="正文 + 宋体 Char"/>
    <w:link w:val="a4"/>
    <w:rsid w:val="004F0826"/>
    <w:rPr>
      <w:rFonts w:eastAsia="SimSun" w:cs="AdobeSongStd-Light-Acro"/>
      <w:kern w:val="2"/>
      <w:sz w:val="21"/>
      <w:szCs w:val="18"/>
      <w:lang w:val="en-US" w:eastAsia="zh-CN" w:bidi="ar-SA"/>
    </w:rPr>
  </w:style>
  <w:style w:type="paragraph" w:customStyle="1" w:styleId="sub-title">
    <w:name w:val="sub-title"/>
    <w:basedOn w:val="Normal"/>
    <w:semiHidden/>
    <w:rsid w:val="00FA0CA5"/>
    <w:pPr>
      <w:tabs>
        <w:tab w:val="num" w:pos="420"/>
      </w:tabs>
      <w:ind w:left="420" w:hanging="420"/>
    </w:pPr>
    <w:rPr>
      <w:b/>
      <w:sz w:val="24"/>
      <w:szCs w:val="24"/>
      <w:lang w:val="en-NZ"/>
    </w:rPr>
  </w:style>
  <w:style w:type="table" w:styleId="Tabelasimples1">
    <w:name w:val="Table Simple 1"/>
    <w:basedOn w:val="Tabelanormal"/>
    <w:semiHidden/>
    <w:rsid w:val="00FA0CA5"/>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comtema">
    <w:name w:val="Table Theme"/>
    <w:basedOn w:val="Tabelanormal"/>
    <w:rsid w:val="00BD3FC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Web1">
    <w:name w:val="Normal (Web)1"/>
    <w:basedOn w:val="Normal"/>
    <w:rsid w:val="00693747"/>
    <w:pPr>
      <w:widowControl/>
      <w:spacing w:before="100" w:beforeAutospacing="1" w:after="100" w:afterAutospacing="1"/>
      <w:jc w:val="left"/>
    </w:pPr>
    <w:rPr>
      <w:rFonts w:ascii="Verdana" w:eastAsia="Times New Roman" w:hAnsi="Verdana"/>
      <w:kern w:val="0"/>
      <w:sz w:val="20"/>
      <w:szCs w:val="24"/>
    </w:rPr>
  </w:style>
  <w:style w:type="character" w:customStyle="1" w:styleId="goohl1">
    <w:name w:val="goohl1"/>
    <w:basedOn w:val="Fontepargpadro"/>
    <w:rsid w:val="00693747"/>
  </w:style>
  <w:style w:type="character" w:customStyle="1" w:styleId="MTEquationSection">
    <w:name w:val="MTEquationSection"/>
    <w:rsid w:val="000954DE"/>
    <w:rPr>
      <w:vanish/>
      <w:color w:val="FF0000"/>
    </w:rPr>
  </w:style>
  <w:style w:type="paragraph" w:styleId="Lista2">
    <w:name w:val="List 2"/>
    <w:basedOn w:val="Normal"/>
    <w:rsid w:val="00D8373D"/>
    <w:pPr>
      <w:ind w:leftChars="200" w:left="100" w:hangingChars="200" w:hanging="200"/>
    </w:pPr>
    <w:rPr>
      <w:szCs w:val="24"/>
    </w:rPr>
  </w:style>
  <w:style w:type="paragraph" w:styleId="Lista3">
    <w:name w:val="List 3"/>
    <w:basedOn w:val="Normal"/>
    <w:rsid w:val="00D8373D"/>
    <w:pPr>
      <w:ind w:leftChars="400" w:left="100" w:hangingChars="200" w:hanging="200"/>
    </w:pPr>
    <w:rPr>
      <w:szCs w:val="24"/>
    </w:rPr>
  </w:style>
  <w:style w:type="paragraph" w:styleId="Primeirorecuodecorpodetexto2">
    <w:name w:val="Body Text First Indent 2"/>
    <w:basedOn w:val="Recuodecorpodetexto"/>
    <w:rsid w:val="00D8373D"/>
    <w:pPr>
      <w:adjustRightInd/>
      <w:snapToGrid/>
      <w:spacing w:after="120" w:line="240" w:lineRule="auto"/>
      <w:ind w:leftChars="200" w:left="420" w:firstLine="420"/>
    </w:pPr>
    <w:rPr>
      <w:sz w:val="21"/>
      <w:szCs w:val="24"/>
    </w:rPr>
  </w:style>
  <w:style w:type="character" w:customStyle="1" w:styleId="goohl3">
    <w:name w:val="goohl3"/>
    <w:basedOn w:val="Fontepargpadro"/>
    <w:rsid w:val="00317CF4"/>
  </w:style>
  <w:style w:type="character" w:customStyle="1" w:styleId="goohl0">
    <w:name w:val="goohl0"/>
    <w:basedOn w:val="Fontepargpadro"/>
    <w:rsid w:val="00317CF4"/>
  </w:style>
  <w:style w:type="paragraph" w:styleId="Data">
    <w:name w:val="Date"/>
    <w:basedOn w:val="Normal"/>
    <w:next w:val="Normal"/>
    <w:rsid w:val="00052E26"/>
    <w:pPr>
      <w:ind w:leftChars="2500" w:left="100"/>
    </w:pPr>
    <w:rPr>
      <w:szCs w:val="24"/>
    </w:rPr>
  </w:style>
  <w:style w:type="character" w:customStyle="1" w:styleId="defaultfont1">
    <w:name w:val="defaultfont1"/>
    <w:rsid w:val="00052E26"/>
    <w:rPr>
      <w:rFonts w:ascii="Arial" w:hAnsi="Arial" w:cs="Arial" w:hint="default"/>
      <w:sz w:val="21"/>
      <w:szCs w:val="21"/>
    </w:rPr>
  </w:style>
  <w:style w:type="paragraph" w:customStyle="1" w:styleId="Addresses">
    <w:name w:val="Addresses"/>
    <w:basedOn w:val="Normal"/>
    <w:rsid w:val="006E3918"/>
    <w:pPr>
      <w:autoSpaceDE w:val="0"/>
      <w:autoSpaceDN w:val="0"/>
      <w:adjustRightInd w:val="0"/>
      <w:jc w:val="center"/>
      <w:textAlignment w:val="baseline"/>
    </w:pPr>
    <w:rPr>
      <w:rFonts w:eastAsia="BatangChe"/>
      <w:i/>
      <w:kern w:val="0"/>
      <w:sz w:val="20"/>
      <w:lang w:eastAsia="ko-KR"/>
    </w:rPr>
  </w:style>
  <w:style w:type="paragraph" w:customStyle="1" w:styleId="-1">
    <w:name w:val="文献-1"/>
    <w:basedOn w:val="Text1"/>
    <w:rsid w:val="000C42DA"/>
    <w:pPr>
      <w:adjustRightInd w:val="0"/>
      <w:snapToGrid w:val="0"/>
    </w:pPr>
    <w:rPr>
      <w:rFonts w:eastAsia="方正书宋繁体"/>
      <w:sz w:val="18"/>
      <w:szCs w:val="18"/>
    </w:rPr>
  </w:style>
  <w:style w:type="paragraph" w:customStyle="1" w:styleId="First">
    <w:name w:val="First"/>
    <w:basedOn w:val="Normal"/>
    <w:rsid w:val="0065194E"/>
    <w:pPr>
      <w:spacing w:after="156" w:line="360" w:lineRule="exact"/>
    </w:pPr>
    <w:rPr>
      <w:sz w:val="24"/>
      <w:szCs w:val="24"/>
    </w:rPr>
  </w:style>
  <w:style w:type="paragraph" w:customStyle="1" w:styleId="Main">
    <w:name w:val="Main"/>
    <w:basedOn w:val="Normal"/>
    <w:rsid w:val="0065194E"/>
    <w:pPr>
      <w:ind w:firstLine="284"/>
    </w:pPr>
    <w:rPr>
      <w:sz w:val="20"/>
      <w:szCs w:val="24"/>
    </w:rPr>
  </w:style>
  <w:style w:type="paragraph" w:customStyle="1" w:styleId="Abstract">
    <w:name w:val="Abstract"/>
    <w:basedOn w:val="First"/>
    <w:rsid w:val="0065194E"/>
    <w:pPr>
      <w:pBdr>
        <w:left w:val="single" w:sz="4" w:space="4" w:color="auto"/>
        <w:right w:val="single" w:sz="4" w:space="4" w:color="auto"/>
      </w:pBdr>
      <w:spacing w:after="1000" w:line="240" w:lineRule="auto"/>
      <w:ind w:left="567" w:right="680"/>
    </w:pPr>
    <w:rPr>
      <w:sz w:val="18"/>
    </w:rPr>
  </w:style>
  <w:style w:type="character" w:customStyle="1" w:styleId="djen2">
    <w:name w:val="djen2"/>
    <w:rsid w:val="007376F1"/>
    <w:rPr>
      <w:color w:val="3476CD"/>
    </w:rPr>
  </w:style>
  <w:style w:type="paragraph" w:customStyle="1" w:styleId="15">
    <w:name w:val="样式 行距: 1 倍行距"/>
    <w:basedOn w:val="Normal"/>
    <w:rsid w:val="008A598D"/>
    <w:pPr>
      <w:spacing w:line="360" w:lineRule="auto"/>
    </w:pPr>
    <w:rPr>
      <w:rFonts w:cs="SimSun"/>
    </w:rPr>
  </w:style>
  <w:style w:type="paragraph" w:customStyle="1" w:styleId="heading1">
    <w:name w:val="heading1"/>
    <w:basedOn w:val="Normal"/>
    <w:next w:val="Normal"/>
    <w:rsid w:val="008A598D"/>
    <w:pPr>
      <w:keepNext/>
      <w:keepLines/>
      <w:widowControl/>
      <w:tabs>
        <w:tab w:val="left" w:pos="454"/>
      </w:tabs>
      <w:suppressAutoHyphens/>
      <w:spacing w:before="520" w:after="280"/>
    </w:pPr>
    <w:rPr>
      <w:rFonts w:ascii="Times" w:hAnsi="Times"/>
      <w:b/>
      <w:kern w:val="0"/>
      <w:sz w:val="24"/>
    </w:rPr>
  </w:style>
  <w:style w:type="paragraph" w:customStyle="1" w:styleId="Authors">
    <w:name w:val="Authors"/>
    <w:basedOn w:val="Normal"/>
    <w:rsid w:val="00C91C08"/>
    <w:pPr>
      <w:widowControl/>
      <w:jc w:val="center"/>
    </w:pPr>
    <w:rPr>
      <w:kern w:val="0"/>
      <w:sz w:val="22"/>
      <w:lang w:eastAsia="fr-FR"/>
    </w:rPr>
  </w:style>
  <w:style w:type="character" w:customStyle="1" w:styleId="highlight1">
    <w:name w:val="highlight1"/>
    <w:rsid w:val="00C91C08"/>
    <w:rPr>
      <w:sz w:val="18"/>
      <w:szCs w:val="18"/>
    </w:rPr>
  </w:style>
  <w:style w:type="character" w:customStyle="1" w:styleId="style95">
    <w:name w:val="style95"/>
    <w:basedOn w:val="Fontepargpadro"/>
    <w:rsid w:val="00C91C08"/>
  </w:style>
  <w:style w:type="paragraph" w:customStyle="1" w:styleId="References">
    <w:name w:val="References"/>
    <w:basedOn w:val="Default"/>
    <w:next w:val="Default"/>
    <w:rsid w:val="00C91C08"/>
    <w:rPr>
      <w:color w:val="auto"/>
      <w:sz w:val="20"/>
      <w:lang w:eastAsia="zh-CN"/>
    </w:rPr>
  </w:style>
  <w:style w:type="table" w:styleId="Tabelaclssica1">
    <w:name w:val="Table Classic 1"/>
    <w:basedOn w:val="Tabelanormal"/>
    <w:rsid w:val="006F7A4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wbr1">
    <w:name w:val="wbr1"/>
    <w:rsid w:val="003735E9"/>
    <w:rPr>
      <w:rFonts w:ascii="Lucida Sans Unicode" w:hAnsi="Lucida Sans Unicode" w:cs="Lucida Sans Unicode" w:hint="default"/>
      <w:color w:val="FFFFFF"/>
      <w:spacing w:val="0"/>
      <w:sz w:val="2"/>
      <w:szCs w:val="2"/>
    </w:rPr>
  </w:style>
  <w:style w:type="character" w:customStyle="1" w:styleId="xcontenttitle1">
    <w:name w:val="x_content_title1"/>
    <w:rsid w:val="00B775BF"/>
    <w:rPr>
      <w:strike w:val="0"/>
      <w:dstrike w:val="0"/>
      <w:sz w:val="21"/>
      <w:szCs w:val="21"/>
      <w:u w:val="none"/>
      <w:effect w:val="none"/>
    </w:rPr>
  </w:style>
  <w:style w:type="paragraph" w:styleId="PargrafodaLista">
    <w:name w:val="List Paragraph"/>
    <w:basedOn w:val="Normal"/>
    <w:uiPriority w:val="34"/>
    <w:qFormat/>
    <w:rsid w:val="00E735F4"/>
    <w:pPr>
      <w:ind w:firstLineChars="200" w:firstLine="420"/>
    </w:pPr>
    <w:rPr>
      <w:szCs w:val="24"/>
    </w:rPr>
  </w:style>
  <w:style w:type="paragraph" w:customStyle="1" w:styleId="p1a">
    <w:name w:val="p1a"/>
    <w:basedOn w:val="Normal"/>
    <w:next w:val="Normal"/>
    <w:rsid w:val="001E4716"/>
    <w:pPr>
      <w:widowControl/>
    </w:pPr>
    <w:rPr>
      <w:rFonts w:ascii="Times" w:hAnsi="Times"/>
      <w:kern w:val="0"/>
      <w:sz w:val="20"/>
    </w:rPr>
  </w:style>
  <w:style w:type="paragraph" w:customStyle="1" w:styleId="FunotentextFootnote">
    <w:name w:val="Fußnotentext.Footnote"/>
    <w:basedOn w:val="Normal"/>
    <w:rsid w:val="001E4716"/>
    <w:pPr>
      <w:widowControl/>
      <w:tabs>
        <w:tab w:val="left" w:pos="170"/>
      </w:tabs>
      <w:ind w:left="170" w:hanging="170"/>
    </w:pPr>
    <w:rPr>
      <w:rFonts w:ascii="Times" w:hAnsi="Times"/>
      <w:kern w:val="0"/>
      <w:sz w:val="18"/>
    </w:rPr>
  </w:style>
  <w:style w:type="paragraph" w:customStyle="1" w:styleId="heading2">
    <w:name w:val="heading2"/>
    <w:basedOn w:val="Normal"/>
    <w:next w:val="p1a"/>
    <w:rsid w:val="001E4716"/>
    <w:pPr>
      <w:keepNext/>
      <w:keepLines/>
      <w:widowControl/>
      <w:tabs>
        <w:tab w:val="left" w:pos="510"/>
      </w:tabs>
      <w:suppressAutoHyphens/>
      <w:spacing w:before="440" w:after="220"/>
    </w:pPr>
    <w:rPr>
      <w:rFonts w:ascii="Times" w:hAnsi="Times"/>
      <w:b/>
      <w:kern w:val="0"/>
      <w:sz w:val="20"/>
    </w:rPr>
  </w:style>
  <w:style w:type="paragraph" w:customStyle="1" w:styleId="equation">
    <w:name w:val="equation"/>
    <w:basedOn w:val="Normal"/>
    <w:next w:val="Normal"/>
    <w:rsid w:val="001E4716"/>
    <w:pPr>
      <w:widowControl/>
      <w:tabs>
        <w:tab w:val="left" w:pos="6237"/>
      </w:tabs>
      <w:spacing w:before="120" w:after="120"/>
      <w:ind w:left="227" w:firstLine="227"/>
      <w:jc w:val="center"/>
    </w:pPr>
    <w:rPr>
      <w:rFonts w:ascii="Times" w:hAnsi="Times"/>
      <w:kern w:val="0"/>
      <w:sz w:val="20"/>
    </w:rPr>
  </w:style>
  <w:style w:type="paragraph" w:customStyle="1" w:styleId="figurelegend">
    <w:name w:val="figure legend"/>
    <w:basedOn w:val="Normal"/>
    <w:next w:val="Normal"/>
    <w:rsid w:val="001E4716"/>
    <w:pPr>
      <w:keepNext/>
      <w:keepLines/>
      <w:widowControl/>
      <w:spacing w:before="120" w:after="240"/>
    </w:pPr>
    <w:rPr>
      <w:rFonts w:ascii="Times" w:hAnsi="Times"/>
      <w:kern w:val="0"/>
      <w:sz w:val="18"/>
    </w:rPr>
  </w:style>
  <w:style w:type="paragraph" w:customStyle="1" w:styleId="referenceitem">
    <w:name w:val="referenceitem"/>
    <w:basedOn w:val="Normal"/>
    <w:rsid w:val="001E4716"/>
    <w:pPr>
      <w:widowControl/>
      <w:ind w:left="227" w:hanging="227"/>
    </w:pPr>
    <w:rPr>
      <w:rFonts w:ascii="Times" w:hAnsi="Times"/>
      <w:kern w:val="0"/>
      <w:sz w:val="18"/>
    </w:rPr>
  </w:style>
  <w:style w:type="character" w:customStyle="1" w:styleId="bf">
    <w:name w:val="bf"/>
    <w:basedOn w:val="Fontepargpadro"/>
    <w:rsid w:val="001E4716"/>
  </w:style>
  <w:style w:type="character" w:customStyle="1" w:styleId="hit">
    <w:name w:val="hit"/>
    <w:basedOn w:val="Fontepargpadro"/>
    <w:rsid w:val="001E4716"/>
  </w:style>
  <w:style w:type="paragraph" w:customStyle="1" w:styleId="Ttulo20">
    <w:name w:val="Título2"/>
    <w:basedOn w:val="Normal"/>
    <w:next w:val="author"/>
    <w:rsid w:val="001E4716"/>
    <w:pPr>
      <w:keepNext/>
      <w:keepLines/>
      <w:pageBreakBefore/>
      <w:widowControl/>
      <w:tabs>
        <w:tab w:val="left" w:pos="284"/>
      </w:tabs>
      <w:suppressAutoHyphens/>
      <w:spacing w:after="460"/>
      <w:ind w:firstLine="227"/>
      <w:jc w:val="center"/>
    </w:pPr>
    <w:rPr>
      <w:rFonts w:ascii="Times" w:hAnsi="Times"/>
      <w:b/>
      <w:kern w:val="0"/>
      <w:sz w:val="28"/>
    </w:rPr>
  </w:style>
  <w:style w:type="paragraph" w:customStyle="1" w:styleId="author">
    <w:name w:val="author"/>
    <w:basedOn w:val="Normal"/>
    <w:next w:val="address"/>
    <w:rsid w:val="001E4716"/>
    <w:pPr>
      <w:widowControl/>
      <w:spacing w:after="220"/>
      <w:ind w:firstLine="227"/>
      <w:jc w:val="center"/>
    </w:pPr>
    <w:rPr>
      <w:rFonts w:ascii="Times" w:hAnsi="Times"/>
      <w:kern w:val="0"/>
      <w:sz w:val="20"/>
    </w:rPr>
  </w:style>
  <w:style w:type="paragraph" w:customStyle="1" w:styleId="address">
    <w:name w:val="address"/>
    <w:basedOn w:val="Normal"/>
    <w:next w:val="email"/>
    <w:rsid w:val="001E4716"/>
    <w:pPr>
      <w:widowControl/>
      <w:ind w:firstLine="227"/>
      <w:jc w:val="center"/>
    </w:pPr>
    <w:rPr>
      <w:rFonts w:ascii="Times" w:hAnsi="Times"/>
      <w:kern w:val="0"/>
      <w:sz w:val="18"/>
    </w:rPr>
  </w:style>
  <w:style w:type="paragraph" w:customStyle="1" w:styleId="email">
    <w:name w:val="email"/>
    <w:basedOn w:val="Normal"/>
    <w:next w:val="abstract0"/>
    <w:rsid w:val="001E4716"/>
    <w:pPr>
      <w:widowControl/>
      <w:ind w:firstLine="227"/>
      <w:jc w:val="center"/>
    </w:pPr>
    <w:rPr>
      <w:rFonts w:ascii="Courier" w:hAnsi="Courier"/>
      <w:kern w:val="0"/>
      <w:sz w:val="18"/>
    </w:rPr>
  </w:style>
  <w:style w:type="paragraph" w:customStyle="1" w:styleId="abstract0">
    <w:name w:val="abstract"/>
    <w:basedOn w:val="p1a"/>
    <w:next w:val="heading1"/>
    <w:rsid w:val="001E4716"/>
    <w:pPr>
      <w:spacing w:before="600" w:after="120"/>
      <w:ind w:left="567" w:right="567"/>
    </w:pPr>
    <w:rPr>
      <w:sz w:val="18"/>
    </w:rPr>
  </w:style>
  <w:style w:type="paragraph" w:customStyle="1" w:styleId="heading3">
    <w:name w:val="heading3"/>
    <w:basedOn w:val="Normal"/>
    <w:next w:val="p1a"/>
    <w:rsid w:val="001E4716"/>
    <w:pPr>
      <w:keepNext/>
      <w:keepLines/>
      <w:widowControl/>
      <w:tabs>
        <w:tab w:val="left" w:pos="284"/>
      </w:tabs>
      <w:suppressAutoHyphens/>
      <w:spacing w:before="320"/>
    </w:pPr>
    <w:rPr>
      <w:rFonts w:ascii="Times" w:hAnsi="Times"/>
      <w:b/>
      <w:kern w:val="0"/>
      <w:sz w:val="20"/>
    </w:rPr>
  </w:style>
  <w:style w:type="paragraph" w:customStyle="1" w:styleId="tabletitle">
    <w:name w:val="table title"/>
    <w:basedOn w:val="Normal"/>
    <w:next w:val="Normal"/>
    <w:rsid w:val="001E4716"/>
    <w:pPr>
      <w:keepNext/>
      <w:keepLines/>
      <w:widowControl/>
      <w:spacing w:before="240" w:after="120"/>
    </w:pPr>
    <w:rPr>
      <w:rFonts w:ascii="Times" w:hAnsi="Times"/>
      <w:kern w:val="0"/>
      <w:sz w:val="18"/>
      <w:lang w:val="de-DE"/>
    </w:rPr>
  </w:style>
  <w:style w:type="paragraph" w:customStyle="1" w:styleId="Runninghead-left">
    <w:name w:val="Running head - left"/>
    <w:basedOn w:val="Normal"/>
    <w:rsid w:val="001E4716"/>
    <w:pPr>
      <w:widowControl/>
      <w:tabs>
        <w:tab w:val="left" w:pos="680"/>
        <w:tab w:val="right" w:pos="6237"/>
        <w:tab w:val="right" w:pos="6917"/>
      </w:tabs>
      <w:spacing w:after="240"/>
      <w:jc w:val="left"/>
    </w:pPr>
    <w:rPr>
      <w:rFonts w:ascii="Times" w:hAnsi="Times"/>
      <w:kern w:val="0"/>
      <w:sz w:val="18"/>
    </w:rPr>
  </w:style>
  <w:style w:type="paragraph" w:customStyle="1" w:styleId="Runninghead-right">
    <w:name w:val="Running head - right"/>
    <w:basedOn w:val="Runninghead-left"/>
    <w:rsid w:val="001E4716"/>
    <w:pPr>
      <w:jc w:val="right"/>
    </w:pPr>
  </w:style>
  <w:style w:type="paragraph" w:customStyle="1" w:styleId="BulletItem">
    <w:name w:val="Bullet Item"/>
    <w:basedOn w:val="Item"/>
    <w:rsid w:val="001E4716"/>
  </w:style>
  <w:style w:type="paragraph" w:customStyle="1" w:styleId="Item">
    <w:name w:val="Item"/>
    <w:basedOn w:val="Normal"/>
    <w:next w:val="Normal"/>
    <w:rsid w:val="001E4716"/>
    <w:pPr>
      <w:widowControl/>
      <w:tabs>
        <w:tab w:val="left" w:pos="227"/>
        <w:tab w:val="left" w:pos="454"/>
      </w:tabs>
      <w:ind w:left="227" w:hanging="227"/>
    </w:pPr>
    <w:rPr>
      <w:rFonts w:ascii="Times" w:hAnsi="Times"/>
      <w:kern w:val="0"/>
      <w:sz w:val="20"/>
    </w:rPr>
  </w:style>
  <w:style w:type="paragraph" w:customStyle="1" w:styleId="NumberedItem">
    <w:name w:val="Numbered Item"/>
    <w:basedOn w:val="Item"/>
    <w:rsid w:val="001E4716"/>
  </w:style>
  <w:style w:type="paragraph" w:customStyle="1" w:styleId="programcode">
    <w:name w:val="programcode"/>
    <w:basedOn w:val="Normal"/>
    <w:rsid w:val="001E4716"/>
    <w:pPr>
      <w:widowControl/>
      <w:tabs>
        <w:tab w:val="left" w:pos="1361"/>
        <w:tab w:val="left" w:pos="1531"/>
        <w:tab w:val="left" w:pos="1701"/>
        <w:tab w:val="left" w:pos="1871"/>
        <w:tab w:val="left" w:pos="2041"/>
        <w:tab w:val="left" w:pos="2211"/>
        <w:tab w:val="left" w:pos="2381"/>
        <w:tab w:val="left" w:pos="2552"/>
      </w:tabs>
      <w:spacing w:before="120" w:after="120"/>
      <w:ind w:left="227"/>
      <w:jc w:val="left"/>
    </w:pPr>
    <w:rPr>
      <w:rFonts w:ascii="Courier" w:hAnsi="Courier"/>
      <w:kern w:val="0"/>
      <w:sz w:val="20"/>
    </w:rPr>
  </w:style>
  <w:style w:type="paragraph" w:customStyle="1" w:styleId="heading4">
    <w:name w:val="heading4"/>
    <w:basedOn w:val="Normal"/>
    <w:next w:val="p1a"/>
    <w:rsid w:val="001E4716"/>
    <w:pPr>
      <w:widowControl/>
      <w:spacing w:before="320"/>
    </w:pPr>
    <w:rPr>
      <w:rFonts w:ascii="Times" w:hAnsi="Times"/>
      <w:i/>
      <w:kern w:val="0"/>
      <w:sz w:val="20"/>
    </w:rPr>
  </w:style>
  <w:style w:type="paragraph" w:customStyle="1" w:styleId="BodyText21">
    <w:name w:val="Body Text 21"/>
    <w:basedOn w:val="Normal"/>
    <w:rsid w:val="001E4716"/>
    <w:pPr>
      <w:widowControl/>
      <w:ind w:firstLine="227"/>
    </w:pPr>
    <w:rPr>
      <w:rFonts w:ascii="Times" w:hAnsi="Times"/>
      <w:kern w:val="0"/>
      <w:sz w:val="20"/>
    </w:rPr>
  </w:style>
  <w:style w:type="character" w:customStyle="1" w:styleId="Heading11">
    <w:name w:val="Heading 11"/>
    <w:rsid w:val="004B63D2"/>
    <w:rPr>
      <w:rFonts w:cs="Times New Roman"/>
      <w:sz w:val="24"/>
    </w:rPr>
  </w:style>
  <w:style w:type="character" w:customStyle="1" w:styleId="footnoteref">
    <w:name w:val="footnote ref"/>
    <w:rsid w:val="004B63D2"/>
    <w:rPr>
      <w:rFonts w:cs="Times New Roman"/>
      <w:sz w:val="24"/>
      <w:vertAlign w:val="superscript"/>
    </w:rPr>
  </w:style>
  <w:style w:type="paragraph" w:styleId="Sumrio3">
    <w:name w:val="toc 3"/>
    <w:basedOn w:val="Normal"/>
    <w:next w:val="Normal"/>
    <w:autoRedefine/>
    <w:uiPriority w:val="39"/>
    <w:unhideWhenUsed/>
    <w:rsid w:val="004B63D2"/>
    <w:pPr>
      <w:widowControl/>
      <w:spacing w:after="100"/>
      <w:ind w:left="480"/>
      <w:jc w:val="left"/>
    </w:pPr>
    <w:rPr>
      <w:kern w:val="0"/>
      <w:sz w:val="24"/>
      <w:lang w:eastAsia="en-US"/>
    </w:rPr>
  </w:style>
  <w:style w:type="character" w:customStyle="1" w:styleId="resultsurl">
    <w:name w:val="results_url"/>
    <w:rsid w:val="004B63D2"/>
    <w:rPr>
      <w:rFonts w:cs="Times New Roman"/>
    </w:rPr>
  </w:style>
  <w:style w:type="paragraph" w:styleId="Sumrio5">
    <w:name w:val="toc 5"/>
    <w:basedOn w:val="Normal"/>
    <w:next w:val="Normal"/>
    <w:autoRedefine/>
    <w:uiPriority w:val="39"/>
    <w:unhideWhenUsed/>
    <w:rsid w:val="004B63D2"/>
    <w:pPr>
      <w:widowControl/>
      <w:spacing w:after="100" w:line="276" w:lineRule="auto"/>
      <w:ind w:left="880"/>
      <w:jc w:val="left"/>
    </w:pPr>
    <w:rPr>
      <w:rFonts w:ascii="Calibri" w:hAnsi="Calibri"/>
      <w:kern w:val="0"/>
      <w:sz w:val="22"/>
      <w:szCs w:val="22"/>
      <w:lang w:eastAsia="en-US"/>
    </w:rPr>
  </w:style>
  <w:style w:type="paragraph" w:styleId="Sumrio6">
    <w:name w:val="toc 6"/>
    <w:basedOn w:val="Normal"/>
    <w:next w:val="Normal"/>
    <w:autoRedefine/>
    <w:uiPriority w:val="39"/>
    <w:unhideWhenUsed/>
    <w:rsid w:val="004B63D2"/>
    <w:pPr>
      <w:widowControl/>
      <w:spacing w:after="100" w:line="276" w:lineRule="auto"/>
      <w:ind w:left="1100"/>
      <w:jc w:val="left"/>
    </w:pPr>
    <w:rPr>
      <w:rFonts w:ascii="Calibri" w:hAnsi="Calibri"/>
      <w:kern w:val="0"/>
      <w:sz w:val="22"/>
      <w:szCs w:val="22"/>
      <w:lang w:eastAsia="en-US"/>
    </w:rPr>
  </w:style>
  <w:style w:type="paragraph" w:styleId="Sumrio7">
    <w:name w:val="toc 7"/>
    <w:basedOn w:val="Normal"/>
    <w:next w:val="Normal"/>
    <w:autoRedefine/>
    <w:uiPriority w:val="39"/>
    <w:unhideWhenUsed/>
    <w:rsid w:val="004B63D2"/>
    <w:pPr>
      <w:widowControl/>
      <w:spacing w:after="100" w:line="276" w:lineRule="auto"/>
      <w:ind w:left="1320"/>
      <w:jc w:val="left"/>
    </w:pPr>
    <w:rPr>
      <w:rFonts w:ascii="Calibri" w:hAnsi="Calibri"/>
      <w:kern w:val="0"/>
      <w:sz w:val="22"/>
      <w:szCs w:val="22"/>
      <w:lang w:eastAsia="en-US"/>
    </w:rPr>
  </w:style>
  <w:style w:type="paragraph" w:styleId="Sumrio8">
    <w:name w:val="toc 8"/>
    <w:basedOn w:val="Normal"/>
    <w:next w:val="Normal"/>
    <w:autoRedefine/>
    <w:uiPriority w:val="39"/>
    <w:unhideWhenUsed/>
    <w:rsid w:val="004B63D2"/>
    <w:pPr>
      <w:widowControl/>
      <w:spacing w:after="100" w:line="276" w:lineRule="auto"/>
      <w:ind w:left="1540"/>
      <w:jc w:val="left"/>
    </w:pPr>
    <w:rPr>
      <w:rFonts w:ascii="Calibri" w:hAnsi="Calibri"/>
      <w:kern w:val="0"/>
      <w:sz w:val="22"/>
      <w:szCs w:val="22"/>
      <w:lang w:eastAsia="en-US"/>
    </w:rPr>
  </w:style>
  <w:style w:type="paragraph" w:styleId="Sumrio9">
    <w:name w:val="toc 9"/>
    <w:basedOn w:val="Normal"/>
    <w:next w:val="Normal"/>
    <w:autoRedefine/>
    <w:uiPriority w:val="39"/>
    <w:unhideWhenUsed/>
    <w:rsid w:val="004B63D2"/>
    <w:pPr>
      <w:widowControl/>
      <w:spacing w:after="100" w:line="276" w:lineRule="auto"/>
      <w:ind w:left="1760"/>
      <w:jc w:val="left"/>
    </w:pPr>
    <w:rPr>
      <w:rFonts w:ascii="Calibri" w:hAnsi="Calibri"/>
      <w:kern w:val="0"/>
      <w:sz w:val="22"/>
      <w:szCs w:val="22"/>
      <w:lang w:eastAsia="en-US"/>
    </w:rPr>
  </w:style>
  <w:style w:type="paragraph" w:customStyle="1" w:styleId="a5">
    <w:name w:val="آ"/>
    <w:basedOn w:val="Normal"/>
    <w:rsid w:val="004B63D2"/>
    <w:pPr>
      <w:jc w:val="left"/>
    </w:pPr>
    <w:rPr>
      <w:kern w:val="0"/>
      <w:sz w:val="24"/>
      <w:lang w:eastAsia="en-US"/>
    </w:rPr>
  </w:style>
  <w:style w:type="paragraph" w:styleId="CabealhodoSumrio">
    <w:name w:val="TOC Heading"/>
    <w:basedOn w:val="Ttulo1"/>
    <w:next w:val="Normal"/>
    <w:uiPriority w:val="39"/>
    <w:rsid w:val="004B63D2"/>
    <w:pPr>
      <w:widowControl/>
      <w:spacing w:before="480" w:after="0" w:line="276" w:lineRule="auto"/>
      <w:jc w:val="left"/>
      <w:outlineLvl w:val="9"/>
    </w:pPr>
    <w:rPr>
      <w:rFonts w:ascii="Cambria" w:hAnsi="Cambria"/>
      <w:bCs/>
      <w:color w:val="365F91"/>
      <w:kern w:val="0"/>
      <w:sz w:val="28"/>
      <w:szCs w:val="28"/>
      <w:lang w:eastAsia="en-US"/>
    </w:rPr>
  </w:style>
  <w:style w:type="paragraph" w:customStyle="1" w:styleId="Level2">
    <w:name w:val="Level 2"/>
    <w:basedOn w:val="Ttulo2"/>
    <w:rsid w:val="004B63D2"/>
    <w:pPr>
      <w:keepLines/>
      <w:autoSpaceDE/>
      <w:autoSpaceDN/>
      <w:adjustRightInd/>
      <w:spacing w:before="0" w:after="0" w:line="240" w:lineRule="auto"/>
    </w:pPr>
    <w:rPr>
      <w:bCs/>
      <w:sz w:val="26"/>
      <w:szCs w:val="24"/>
      <w:lang w:eastAsia="en-US"/>
    </w:rPr>
  </w:style>
  <w:style w:type="paragraph" w:customStyle="1" w:styleId="Level3">
    <w:name w:val="Level 3"/>
    <w:basedOn w:val="Normal"/>
    <w:rsid w:val="004B63D2"/>
    <w:pPr>
      <w:jc w:val="left"/>
    </w:pPr>
    <w:rPr>
      <w:kern w:val="0"/>
      <w:sz w:val="24"/>
      <w:lang w:eastAsia="en-US"/>
    </w:rPr>
  </w:style>
  <w:style w:type="paragraph" w:styleId="Reviso">
    <w:name w:val="Revision"/>
    <w:hidden/>
    <w:uiPriority w:val="99"/>
    <w:semiHidden/>
    <w:rsid w:val="004B63D2"/>
    <w:rPr>
      <w:sz w:val="24"/>
      <w:lang w:val="en-US" w:eastAsia="en-US"/>
    </w:rPr>
  </w:style>
  <w:style w:type="paragraph" w:customStyle="1" w:styleId="Listaszerbekezds">
    <w:name w:val="Listaszerű bekezdés"/>
    <w:basedOn w:val="Normal"/>
    <w:rsid w:val="000C6A42"/>
    <w:pPr>
      <w:widowControl/>
      <w:ind w:left="720"/>
      <w:contextualSpacing/>
      <w:jc w:val="left"/>
    </w:pPr>
    <w:rPr>
      <w:rFonts w:eastAsia="Times New Roman"/>
      <w:b/>
      <w:bCs/>
      <w:snapToGrid w:val="0"/>
      <w:kern w:val="0"/>
      <w:sz w:val="26"/>
      <w:szCs w:val="26"/>
      <w:lang w:val="hu-HU" w:eastAsia="hu-HU"/>
    </w:rPr>
  </w:style>
  <w:style w:type="paragraph" w:customStyle="1" w:styleId="braszm">
    <w:name w:val="Ábraszám"/>
    <w:basedOn w:val="Normal"/>
    <w:next w:val="Normal"/>
    <w:rsid w:val="000C6A42"/>
    <w:pPr>
      <w:keepNext/>
      <w:widowControl/>
      <w:spacing w:before="240"/>
      <w:ind w:left="360" w:hanging="360"/>
      <w:jc w:val="right"/>
    </w:pPr>
    <w:rPr>
      <w:rFonts w:eastAsia="Times New Roman"/>
      <w:kern w:val="0"/>
      <w:sz w:val="26"/>
      <w:lang w:val="hu-HU" w:eastAsia="hu-HU"/>
    </w:rPr>
  </w:style>
  <w:style w:type="paragraph" w:customStyle="1" w:styleId="Pa8">
    <w:name w:val="Pa8"/>
    <w:basedOn w:val="Default"/>
    <w:next w:val="Default"/>
    <w:rsid w:val="000C6A42"/>
    <w:pPr>
      <w:widowControl/>
      <w:spacing w:line="191" w:lineRule="atLeast"/>
    </w:pPr>
    <w:rPr>
      <w:rFonts w:ascii="VYXDMN+Caecilia-Roman" w:eastAsia="Calibri" w:hAnsi="VYXDMN+Caecilia-Roman"/>
      <w:color w:val="auto"/>
      <w:lang w:val="hu-HU" w:eastAsia="hu-HU"/>
    </w:rPr>
  </w:style>
  <w:style w:type="character" w:customStyle="1" w:styleId="hithighlite">
    <w:name w:val="hithighlite"/>
    <w:rsid w:val="000E4F30"/>
    <w:rPr>
      <w:b/>
      <w:bCs/>
      <w:color w:val="FF0000"/>
    </w:rPr>
  </w:style>
  <w:style w:type="paragraph" w:customStyle="1" w:styleId="ListeParagraf">
    <w:name w:val="Liste Paragraf"/>
    <w:basedOn w:val="Normal"/>
    <w:rsid w:val="000E4F30"/>
    <w:pPr>
      <w:widowControl/>
      <w:spacing w:line="276" w:lineRule="auto"/>
      <w:ind w:left="720"/>
      <w:contextualSpacing/>
      <w:jc w:val="left"/>
    </w:pPr>
    <w:rPr>
      <w:rFonts w:ascii="Arial" w:hAnsi="Arial"/>
      <w:kern w:val="0"/>
      <w:sz w:val="24"/>
      <w:szCs w:val="22"/>
      <w:lang w:val="tr-TR" w:eastAsia="en-US"/>
    </w:rPr>
  </w:style>
  <w:style w:type="paragraph" w:customStyle="1" w:styleId="ABodyText">
    <w:name w:val="A Body Text"/>
    <w:basedOn w:val="Normal"/>
    <w:rsid w:val="000E4F30"/>
    <w:pPr>
      <w:widowControl/>
      <w:spacing w:after="160" w:line="250" w:lineRule="atLeast"/>
      <w:ind w:firstLine="510"/>
    </w:pPr>
    <w:rPr>
      <w:rFonts w:ascii="Arial" w:eastAsia="Times New Roman" w:hAnsi="Arial" w:cs="Arial"/>
      <w:kern w:val="0"/>
      <w:szCs w:val="21"/>
      <w:lang w:val="en-GB" w:eastAsia="de-DE"/>
    </w:rPr>
  </w:style>
  <w:style w:type="paragraph" w:customStyle="1" w:styleId="AHeading11">
    <w:name w:val="A Heading 1 (1)"/>
    <w:basedOn w:val="Normal"/>
    <w:next w:val="ABodyText"/>
    <w:rsid w:val="000E4F30"/>
    <w:pPr>
      <w:keepNext/>
      <w:keepLines/>
      <w:widowControl/>
      <w:spacing w:after="310" w:line="400" w:lineRule="atLeast"/>
      <w:ind w:left="851" w:hanging="851"/>
      <w:jc w:val="left"/>
      <w:outlineLvl w:val="0"/>
    </w:pPr>
    <w:rPr>
      <w:rFonts w:ascii="Arial" w:eastAsia="Times New Roman" w:hAnsi="Arial" w:cs="Arial"/>
      <w:b/>
      <w:bCs/>
      <w:kern w:val="0"/>
      <w:sz w:val="28"/>
      <w:szCs w:val="28"/>
      <w:lang w:val="en-GB" w:eastAsia="de-DE"/>
    </w:rPr>
  </w:style>
  <w:style w:type="character" w:customStyle="1" w:styleId="CharChar5">
    <w:name w:val="Char Char5"/>
    <w:locked/>
    <w:rsid w:val="00CA2367"/>
    <w:rPr>
      <w:rFonts w:ascii="SimSun" w:eastAsia="SimSun" w:hAnsi="SimSun"/>
      <w:kern w:val="2"/>
      <w:sz w:val="18"/>
      <w:szCs w:val="18"/>
      <w:lang w:val="en-US" w:eastAsia="zh-CN" w:bidi="ar-SA"/>
    </w:rPr>
  </w:style>
  <w:style w:type="character" w:customStyle="1" w:styleId="bighead1">
    <w:name w:val="bighead1"/>
    <w:rsid w:val="00B977F5"/>
    <w:rPr>
      <w:rFonts w:ascii="Verdana" w:hAnsi="Verdana" w:cs="Times New Roman"/>
      <w:b/>
      <w:bCs/>
      <w:sz w:val="27"/>
      <w:szCs w:val="27"/>
    </w:rPr>
  </w:style>
  <w:style w:type="character" w:customStyle="1" w:styleId="text21">
    <w:name w:val="text21"/>
    <w:rsid w:val="00B977F5"/>
    <w:rPr>
      <w:rFonts w:ascii="Verdana" w:hAnsi="Verdana" w:cs="Times New Roman"/>
      <w:sz w:val="18"/>
      <w:szCs w:val="18"/>
    </w:rPr>
  </w:style>
  <w:style w:type="paragraph" w:customStyle="1" w:styleId="PargrafodaLista1">
    <w:name w:val="Parágrafo da Lista1"/>
    <w:basedOn w:val="Normal"/>
    <w:rsid w:val="00B977F5"/>
    <w:pPr>
      <w:widowControl/>
      <w:ind w:left="720"/>
      <w:contextualSpacing/>
      <w:jc w:val="left"/>
    </w:pPr>
    <w:rPr>
      <w:kern w:val="0"/>
      <w:sz w:val="24"/>
      <w:szCs w:val="24"/>
      <w:lang w:eastAsia="en-US"/>
    </w:rPr>
  </w:style>
  <w:style w:type="character" w:customStyle="1" w:styleId="FooterChar">
    <w:name w:val="Footer Char"/>
    <w:locked/>
    <w:rsid w:val="00B977F5"/>
    <w:rPr>
      <w:rFonts w:cs="Times New Roman"/>
    </w:rPr>
  </w:style>
  <w:style w:type="paragraph" w:customStyle="1" w:styleId="NormalWeb5">
    <w:name w:val="Normal (Web)5"/>
    <w:basedOn w:val="Normal"/>
    <w:rsid w:val="00720409"/>
    <w:pPr>
      <w:widowControl/>
      <w:spacing w:after="150" w:line="336" w:lineRule="auto"/>
      <w:jc w:val="left"/>
    </w:pPr>
    <w:rPr>
      <w:kern w:val="0"/>
      <w:sz w:val="24"/>
      <w:szCs w:val="24"/>
      <w:lang w:eastAsia="en-US"/>
    </w:rPr>
  </w:style>
  <w:style w:type="paragraph" w:customStyle="1" w:styleId="Listenabsatz">
    <w:name w:val="Listenabsatz"/>
    <w:basedOn w:val="Ttulo4"/>
    <w:rsid w:val="00720409"/>
    <w:pPr>
      <w:widowControl/>
      <w:adjustRightInd/>
      <w:snapToGrid/>
      <w:spacing w:before="240" w:after="200" w:line="276" w:lineRule="auto"/>
      <w:ind w:left="720" w:firstLineChars="0" w:firstLine="0"/>
      <w:contextualSpacing/>
      <w:jc w:val="left"/>
    </w:pPr>
    <w:rPr>
      <w:rFonts w:ascii="Calibri" w:hAnsi="Calibri"/>
      <w:bCs/>
      <w:kern w:val="0"/>
      <w:sz w:val="28"/>
      <w:szCs w:val="28"/>
      <w:lang w:eastAsia="en-US"/>
    </w:rPr>
  </w:style>
  <w:style w:type="character" w:customStyle="1" w:styleId="article-content1">
    <w:name w:val="article-content1"/>
    <w:rsid w:val="00720409"/>
    <w:rPr>
      <w:rFonts w:ascii="Tahoma" w:hAnsi="Tahoma" w:cs="Tahoma" w:hint="default"/>
      <w:b w:val="0"/>
      <w:bCs w:val="0"/>
      <w:color w:val="000000"/>
      <w:sz w:val="17"/>
      <w:szCs w:val="17"/>
    </w:rPr>
  </w:style>
  <w:style w:type="character" w:customStyle="1" w:styleId="Hypertext">
    <w:name w:val="Hypertext"/>
    <w:rsid w:val="00313F0B"/>
    <w:rPr>
      <w:color w:val="0000FF"/>
      <w:u w:val="single"/>
    </w:rPr>
  </w:style>
  <w:style w:type="character" w:customStyle="1" w:styleId="Heading2Char">
    <w:name w:val="Heading 2 Char"/>
    <w:locked/>
    <w:rsid w:val="00247981"/>
    <w:rPr>
      <w:rFonts w:ascii="Times New Roman" w:hAnsi="Times New Roman" w:cs="Times New Roman"/>
      <w:sz w:val="38"/>
      <w:szCs w:val="38"/>
    </w:rPr>
  </w:style>
  <w:style w:type="paragraph" w:customStyle="1" w:styleId="SemEspaamento1">
    <w:name w:val="Sem Espaçamento1"/>
    <w:rsid w:val="00247981"/>
    <w:rPr>
      <w:rFonts w:ascii="Calibri" w:hAnsi="Calibri"/>
      <w:sz w:val="22"/>
      <w:szCs w:val="22"/>
      <w:lang w:val="en-US" w:eastAsia="en-US"/>
    </w:rPr>
  </w:style>
  <w:style w:type="table" w:customStyle="1" w:styleId="SombreamentoClaro-nfase21">
    <w:name w:val="Sombreamento Claro - Ênfase 21"/>
    <w:rsid w:val="00247981"/>
    <w:rPr>
      <w:rFonts w:ascii="Calibri" w:hAnsi="Calibri"/>
      <w:color w:val="943634"/>
      <w:lang w:val="en-US" w:eastAsia="zh-CN"/>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paragraph" w:customStyle="1" w:styleId="Odlomakpopisa">
    <w:name w:val="Odlomak popisa"/>
    <w:basedOn w:val="Normal"/>
    <w:rsid w:val="00CC0C0D"/>
    <w:pPr>
      <w:widowControl/>
      <w:spacing w:after="200" w:line="276" w:lineRule="auto"/>
      <w:ind w:left="720"/>
      <w:contextualSpacing/>
      <w:jc w:val="left"/>
    </w:pPr>
    <w:rPr>
      <w:rFonts w:ascii="Calibri" w:hAnsi="Calibri"/>
      <w:kern w:val="0"/>
      <w:sz w:val="22"/>
      <w:szCs w:val="22"/>
      <w:lang w:val="hr-HR" w:eastAsia="en-US"/>
    </w:rPr>
  </w:style>
  <w:style w:type="paragraph" w:customStyle="1" w:styleId="yiv1853299310msonormal">
    <w:name w:val="yiv1853299310msonormal"/>
    <w:basedOn w:val="Normal"/>
    <w:rsid w:val="007F353E"/>
    <w:pPr>
      <w:widowControl/>
      <w:spacing w:before="100" w:beforeAutospacing="1" w:after="100" w:afterAutospacing="1"/>
      <w:jc w:val="left"/>
    </w:pPr>
    <w:rPr>
      <w:rFonts w:ascii="SimSun" w:hAnsi="SimSun" w:cs="SimSun"/>
      <w:kern w:val="0"/>
      <w:sz w:val="24"/>
      <w:szCs w:val="24"/>
    </w:rPr>
  </w:style>
  <w:style w:type="character" w:customStyle="1" w:styleId="yiv1853299310msohyperlink">
    <w:name w:val="yiv1853299310msohyperlink"/>
    <w:basedOn w:val="Fontepargpadro"/>
    <w:rsid w:val="00886B71"/>
  </w:style>
  <w:style w:type="character" w:customStyle="1" w:styleId="yiv1853299310nowrap">
    <w:name w:val="yiv1853299310nowrap"/>
    <w:basedOn w:val="Fontepargpadro"/>
    <w:rsid w:val="00886B71"/>
  </w:style>
  <w:style w:type="table" w:styleId="Tabelacomgrade1">
    <w:name w:val="Table Grid 1"/>
    <w:basedOn w:val="Tabelanormal"/>
    <w:rsid w:val="004E4B90"/>
    <w:rPr>
      <w:rFonts w:cs="Miriam"/>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1">
    <w:name w:val="Table1"/>
    <w:basedOn w:val="Tabelanormal"/>
    <w:rsid w:val="004E4B90"/>
    <w:rPr>
      <w:rFonts w:ascii="Garamond" w:hAnsi="Garamond" w:cs="Miriam"/>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paragraph" w:customStyle="1" w:styleId="Style1">
    <w:name w:val="Style1"/>
    <w:basedOn w:val="Normal"/>
    <w:rsid w:val="004E4B90"/>
    <w:pPr>
      <w:widowControl/>
      <w:spacing w:after="240" w:line="360" w:lineRule="auto"/>
    </w:pPr>
    <w:rPr>
      <w:kern w:val="0"/>
      <w:sz w:val="24"/>
      <w:szCs w:val="24"/>
      <w:lang w:eastAsia="en-US" w:bidi="he-IL"/>
    </w:rPr>
  </w:style>
  <w:style w:type="paragraph" w:customStyle="1" w:styleId="Style3">
    <w:name w:val="Style3"/>
    <w:basedOn w:val="Style1"/>
    <w:rsid w:val="004E4B90"/>
    <w:pPr>
      <w:numPr>
        <w:numId w:val="1"/>
      </w:numPr>
    </w:pPr>
  </w:style>
  <w:style w:type="character" w:customStyle="1" w:styleId="yiv1794222241046494515-21072011">
    <w:name w:val="yiv1794222241046494515-21072011"/>
    <w:basedOn w:val="Fontepargpadro"/>
    <w:rsid w:val="004E4B90"/>
  </w:style>
  <w:style w:type="paragraph" w:customStyle="1" w:styleId="yiv1926624697msonormal">
    <w:name w:val="yiv1926624697msonormal"/>
    <w:basedOn w:val="Normal"/>
    <w:rsid w:val="00807B8F"/>
    <w:pPr>
      <w:widowControl/>
      <w:spacing w:before="100" w:beforeAutospacing="1" w:after="100" w:afterAutospacing="1"/>
      <w:jc w:val="left"/>
    </w:pPr>
    <w:rPr>
      <w:rFonts w:ascii="SimSun" w:hAnsi="SimSun" w:cs="SimSun"/>
      <w:kern w:val="0"/>
      <w:sz w:val="24"/>
      <w:szCs w:val="24"/>
    </w:rPr>
  </w:style>
  <w:style w:type="paragraph" w:customStyle="1" w:styleId="corps">
    <w:name w:val="corps"/>
    <w:basedOn w:val="Normal"/>
    <w:rsid w:val="00542CFA"/>
    <w:pPr>
      <w:widowControl/>
      <w:spacing w:after="480" w:line="480" w:lineRule="auto"/>
      <w:ind w:firstLine="540"/>
      <w:jc w:val="left"/>
    </w:pPr>
    <w:rPr>
      <w:kern w:val="0"/>
      <w:sz w:val="24"/>
      <w:szCs w:val="24"/>
      <w:lang w:val="fr-CA" w:eastAsia="fr-FR"/>
    </w:rPr>
  </w:style>
  <w:style w:type="paragraph" w:customStyle="1" w:styleId="Headings2">
    <w:name w:val="Headings 2"/>
    <w:basedOn w:val="Text1"/>
    <w:qFormat/>
    <w:rsid w:val="009F7557"/>
    <w:pPr>
      <w:ind w:firstLine="422"/>
    </w:pPr>
    <w:rPr>
      <w:b/>
      <w:lang w:val="en-CA"/>
    </w:rPr>
  </w:style>
  <w:style w:type="character" w:customStyle="1" w:styleId="italic1">
    <w:name w:val="italic1"/>
    <w:rsid w:val="00542CFA"/>
    <w:rPr>
      <w:i/>
      <w:iCs/>
    </w:rPr>
  </w:style>
  <w:style w:type="paragraph" w:customStyle="1" w:styleId="spip">
    <w:name w:val="spip"/>
    <w:basedOn w:val="Normal"/>
    <w:rsid w:val="00542CFA"/>
    <w:pPr>
      <w:widowControl/>
      <w:spacing w:before="100" w:beforeAutospacing="1" w:after="100" w:afterAutospacing="1"/>
      <w:jc w:val="left"/>
    </w:pPr>
    <w:rPr>
      <w:kern w:val="0"/>
      <w:sz w:val="24"/>
      <w:szCs w:val="24"/>
      <w:lang w:val="fr-CA" w:eastAsia="fr-CA"/>
    </w:rPr>
  </w:style>
  <w:style w:type="character" w:customStyle="1" w:styleId="st1">
    <w:name w:val="st1"/>
    <w:basedOn w:val="Fontepargpadro"/>
    <w:rsid w:val="00A57BED"/>
  </w:style>
  <w:style w:type="paragraph" w:styleId="Primeirorecuodecorpodetexto">
    <w:name w:val="Body Text First Indent"/>
    <w:basedOn w:val="Normal"/>
    <w:link w:val="PrimeirorecuodecorpodetextoChar"/>
    <w:rsid w:val="001B46D8"/>
    <w:pPr>
      <w:widowControl/>
      <w:spacing w:after="120"/>
      <w:ind w:firstLine="720"/>
      <w:jc w:val="left"/>
    </w:pPr>
    <w:rPr>
      <w:rFonts w:ascii="Arial" w:hAnsi="Arial" w:cs="Arial"/>
      <w:kern w:val="0"/>
      <w:sz w:val="20"/>
      <w:lang w:eastAsia="en-US"/>
    </w:rPr>
  </w:style>
  <w:style w:type="character" w:customStyle="1" w:styleId="PrimeirorecuodecorpodetextoChar">
    <w:name w:val="Primeiro recuo de corpo de texto Char"/>
    <w:link w:val="Primeirorecuodecorpodetexto"/>
    <w:rsid w:val="001B46D8"/>
    <w:rPr>
      <w:rFonts w:ascii="Arial" w:eastAsia="SimSun" w:hAnsi="Arial" w:cs="Arial"/>
      <w:kern w:val="2"/>
      <w:sz w:val="36"/>
      <w:lang w:val="en-US" w:eastAsia="en-US" w:bidi="ar-SA"/>
    </w:rPr>
  </w:style>
  <w:style w:type="table" w:customStyle="1" w:styleId="TabelaSimples51">
    <w:name w:val="Tabela Simples 51"/>
    <w:basedOn w:val="Tabelanormal"/>
    <w:uiPriority w:val="45"/>
    <w:rsid w:val="009873C8"/>
    <w:pPr>
      <w:ind w:firstLine="567"/>
      <w:jc w:val="both"/>
    </w:pPr>
    <w:rPr>
      <w:rFonts w:ascii="Calibri" w:eastAsia="Calibri" w:hAnsi="Calibri"/>
      <w:sz w:val="22"/>
      <w:szCs w:val="22"/>
      <w:lang w:eastAsia="en-US"/>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pple-converted-space">
    <w:name w:val="apple-converted-space"/>
    <w:rsid w:val="009873C8"/>
  </w:style>
  <w:style w:type="paragraph" w:styleId="SemEspaamento">
    <w:name w:val="No Spacing"/>
    <w:uiPriority w:val="1"/>
    <w:qFormat/>
    <w:rsid w:val="009873C8"/>
    <w:pPr>
      <w:ind w:firstLine="567"/>
      <w:jc w:val="both"/>
    </w:pPr>
    <w:rPr>
      <w:rFonts w:eastAsia="Calibri"/>
      <w:sz w:val="24"/>
      <w:szCs w:val="22"/>
      <w:lang w:eastAsia="en-US"/>
    </w:rPr>
  </w:style>
  <w:style w:type="table" w:customStyle="1" w:styleId="TabelaSimples21">
    <w:name w:val="Tabela Simples 21"/>
    <w:basedOn w:val="Tabelanormal"/>
    <w:uiPriority w:val="42"/>
    <w:rsid w:val="00880387"/>
    <w:pPr>
      <w:ind w:firstLine="567"/>
    </w:pPr>
    <w:rPr>
      <w:rFonts w:ascii="Calibri" w:eastAsia="MS Mincho" w:hAnsi="Calibri"/>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customStyle="1" w:styleId="Pr-formataoHTMLChar">
    <w:name w:val="Pré-formatação HTML Char"/>
    <w:link w:val="Pr-formataoHTML"/>
    <w:uiPriority w:val="99"/>
    <w:rsid w:val="00880387"/>
    <w:rPr>
      <w:rFonts w:ascii="Courier New" w:eastAsia="SimHei" w:hAnsi="Courier New" w:cs="Courier New"/>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46556">
      <w:bodyDiv w:val="1"/>
      <w:marLeft w:val="0"/>
      <w:marRight w:val="0"/>
      <w:marTop w:val="0"/>
      <w:marBottom w:val="0"/>
      <w:divBdr>
        <w:top w:val="none" w:sz="0" w:space="0" w:color="auto"/>
        <w:left w:val="none" w:sz="0" w:space="0" w:color="auto"/>
        <w:bottom w:val="none" w:sz="0" w:space="0" w:color="auto"/>
        <w:right w:val="none" w:sz="0" w:space="0" w:color="auto"/>
      </w:divBdr>
    </w:div>
    <w:div w:id="311450717">
      <w:bodyDiv w:val="1"/>
      <w:marLeft w:val="0"/>
      <w:marRight w:val="0"/>
      <w:marTop w:val="0"/>
      <w:marBottom w:val="0"/>
      <w:divBdr>
        <w:top w:val="none" w:sz="0" w:space="0" w:color="auto"/>
        <w:left w:val="none" w:sz="0" w:space="0" w:color="auto"/>
        <w:bottom w:val="none" w:sz="0" w:space="0" w:color="auto"/>
        <w:right w:val="none" w:sz="0" w:space="0" w:color="auto"/>
      </w:divBdr>
      <w:divsChild>
        <w:div w:id="852185438">
          <w:marLeft w:val="0"/>
          <w:marRight w:val="0"/>
          <w:marTop w:val="0"/>
          <w:marBottom w:val="0"/>
          <w:divBdr>
            <w:top w:val="none" w:sz="0" w:space="0" w:color="auto"/>
            <w:left w:val="none" w:sz="0" w:space="0" w:color="auto"/>
            <w:bottom w:val="none" w:sz="0" w:space="0" w:color="auto"/>
            <w:right w:val="none" w:sz="0" w:space="0" w:color="auto"/>
          </w:divBdr>
          <w:divsChild>
            <w:div w:id="1027409011">
              <w:marLeft w:val="0"/>
              <w:marRight w:val="0"/>
              <w:marTop w:val="0"/>
              <w:marBottom w:val="0"/>
              <w:divBdr>
                <w:top w:val="none" w:sz="0" w:space="0" w:color="auto"/>
                <w:left w:val="none" w:sz="0" w:space="0" w:color="auto"/>
                <w:bottom w:val="none" w:sz="0" w:space="0" w:color="auto"/>
                <w:right w:val="none" w:sz="0" w:space="0" w:color="auto"/>
              </w:divBdr>
              <w:divsChild>
                <w:div w:id="870266702">
                  <w:marLeft w:val="0"/>
                  <w:marRight w:val="0"/>
                  <w:marTop w:val="0"/>
                  <w:marBottom w:val="0"/>
                  <w:divBdr>
                    <w:top w:val="none" w:sz="0" w:space="0" w:color="auto"/>
                    <w:left w:val="none" w:sz="0" w:space="0" w:color="auto"/>
                    <w:bottom w:val="none" w:sz="0" w:space="0" w:color="auto"/>
                    <w:right w:val="none" w:sz="0" w:space="0" w:color="auto"/>
                  </w:divBdr>
                  <w:divsChild>
                    <w:div w:id="1862938418">
                      <w:marLeft w:val="0"/>
                      <w:marRight w:val="0"/>
                      <w:marTop w:val="0"/>
                      <w:marBottom w:val="0"/>
                      <w:divBdr>
                        <w:top w:val="none" w:sz="0" w:space="0" w:color="auto"/>
                        <w:left w:val="none" w:sz="0" w:space="0" w:color="auto"/>
                        <w:bottom w:val="none" w:sz="0" w:space="0" w:color="auto"/>
                        <w:right w:val="none" w:sz="0" w:space="0" w:color="auto"/>
                      </w:divBdr>
                      <w:divsChild>
                        <w:div w:id="1694333476">
                          <w:marLeft w:val="0"/>
                          <w:marRight w:val="0"/>
                          <w:marTop w:val="0"/>
                          <w:marBottom w:val="0"/>
                          <w:divBdr>
                            <w:top w:val="none" w:sz="0" w:space="0" w:color="auto"/>
                            <w:left w:val="none" w:sz="0" w:space="0" w:color="auto"/>
                            <w:bottom w:val="none" w:sz="0" w:space="0" w:color="auto"/>
                            <w:right w:val="none" w:sz="0" w:space="0" w:color="auto"/>
                          </w:divBdr>
                          <w:divsChild>
                            <w:div w:id="114297866">
                              <w:marLeft w:val="0"/>
                              <w:marRight w:val="0"/>
                              <w:marTop w:val="0"/>
                              <w:marBottom w:val="0"/>
                              <w:divBdr>
                                <w:top w:val="none" w:sz="0" w:space="0" w:color="auto"/>
                                <w:left w:val="none" w:sz="0" w:space="0" w:color="auto"/>
                                <w:bottom w:val="none" w:sz="0" w:space="0" w:color="auto"/>
                                <w:right w:val="none" w:sz="0" w:space="0" w:color="auto"/>
                              </w:divBdr>
                              <w:divsChild>
                                <w:div w:id="1603414743">
                                  <w:marLeft w:val="0"/>
                                  <w:marRight w:val="0"/>
                                  <w:marTop w:val="0"/>
                                  <w:marBottom w:val="0"/>
                                  <w:divBdr>
                                    <w:top w:val="none" w:sz="0" w:space="0" w:color="auto"/>
                                    <w:left w:val="none" w:sz="0" w:space="0" w:color="auto"/>
                                    <w:bottom w:val="none" w:sz="0" w:space="0" w:color="auto"/>
                                    <w:right w:val="none" w:sz="0" w:space="0" w:color="auto"/>
                                  </w:divBdr>
                                  <w:divsChild>
                                    <w:div w:id="125202706">
                                      <w:marLeft w:val="0"/>
                                      <w:marRight w:val="0"/>
                                      <w:marTop w:val="0"/>
                                      <w:marBottom w:val="0"/>
                                      <w:divBdr>
                                        <w:top w:val="none" w:sz="0" w:space="0" w:color="auto"/>
                                        <w:left w:val="none" w:sz="0" w:space="0" w:color="auto"/>
                                        <w:bottom w:val="none" w:sz="0" w:space="0" w:color="auto"/>
                                        <w:right w:val="none" w:sz="0" w:space="0" w:color="auto"/>
                                      </w:divBdr>
                                      <w:divsChild>
                                        <w:div w:id="4649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7079336">
      <w:bodyDiv w:val="1"/>
      <w:marLeft w:val="0"/>
      <w:marRight w:val="0"/>
      <w:marTop w:val="0"/>
      <w:marBottom w:val="0"/>
      <w:divBdr>
        <w:top w:val="none" w:sz="0" w:space="0" w:color="auto"/>
        <w:left w:val="none" w:sz="0" w:space="0" w:color="auto"/>
        <w:bottom w:val="none" w:sz="0" w:space="0" w:color="auto"/>
        <w:right w:val="none" w:sz="0" w:space="0" w:color="auto"/>
      </w:divBdr>
    </w:div>
    <w:div w:id="360932847">
      <w:bodyDiv w:val="1"/>
      <w:marLeft w:val="0"/>
      <w:marRight w:val="0"/>
      <w:marTop w:val="0"/>
      <w:marBottom w:val="0"/>
      <w:divBdr>
        <w:top w:val="none" w:sz="0" w:space="0" w:color="auto"/>
        <w:left w:val="none" w:sz="0" w:space="0" w:color="auto"/>
        <w:bottom w:val="none" w:sz="0" w:space="0" w:color="auto"/>
        <w:right w:val="none" w:sz="0" w:space="0" w:color="auto"/>
      </w:divBdr>
    </w:div>
    <w:div w:id="451948807">
      <w:bodyDiv w:val="1"/>
      <w:marLeft w:val="0"/>
      <w:marRight w:val="0"/>
      <w:marTop w:val="0"/>
      <w:marBottom w:val="0"/>
      <w:divBdr>
        <w:top w:val="none" w:sz="0" w:space="0" w:color="auto"/>
        <w:left w:val="none" w:sz="0" w:space="0" w:color="auto"/>
        <w:bottom w:val="none" w:sz="0" w:space="0" w:color="auto"/>
        <w:right w:val="none" w:sz="0" w:space="0" w:color="auto"/>
      </w:divBdr>
    </w:div>
    <w:div w:id="460223310">
      <w:bodyDiv w:val="1"/>
      <w:marLeft w:val="0"/>
      <w:marRight w:val="0"/>
      <w:marTop w:val="0"/>
      <w:marBottom w:val="0"/>
      <w:divBdr>
        <w:top w:val="none" w:sz="0" w:space="0" w:color="auto"/>
        <w:left w:val="none" w:sz="0" w:space="0" w:color="auto"/>
        <w:bottom w:val="none" w:sz="0" w:space="0" w:color="auto"/>
        <w:right w:val="none" w:sz="0" w:space="0" w:color="auto"/>
      </w:divBdr>
    </w:div>
    <w:div w:id="586773860">
      <w:bodyDiv w:val="1"/>
      <w:marLeft w:val="0"/>
      <w:marRight w:val="0"/>
      <w:marTop w:val="0"/>
      <w:marBottom w:val="0"/>
      <w:divBdr>
        <w:top w:val="none" w:sz="0" w:space="0" w:color="auto"/>
        <w:left w:val="none" w:sz="0" w:space="0" w:color="auto"/>
        <w:bottom w:val="none" w:sz="0" w:space="0" w:color="auto"/>
        <w:right w:val="none" w:sz="0" w:space="0" w:color="auto"/>
      </w:divBdr>
    </w:div>
    <w:div w:id="598831409">
      <w:bodyDiv w:val="1"/>
      <w:marLeft w:val="150"/>
      <w:marRight w:val="150"/>
      <w:marTop w:val="150"/>
      <w:marBottom w:val="150"/>
      <w:divBdr>
        <w:top w:val="none" w:sz="0" w:space="0" w:color="auto"/>
        <w:left w:val="none" w:sz="0" w:space="0" w:color="auto"/>
        <w:bottom w:val="none" w:sz="0" w:space="0" w:color="auto"/>
        <w:right w:val="none" w:sz="0" w:space="0" w:color="auto"/>
      </w:divBdr>
    </w:div>
    <w:div w:id="782303484">
      <w:bodyDiv w:val="1"/>
      <w:marLeft w:val="120"/>
      <w:marRight w:val="0"/>
      <w:marTop w:val="80"/>
      <w:marBottom w:val="0"/>
      <w:divBdr>
        <w:top w:val="none" w:sz="0" w:space="0" w:color="auto"/>
        <w:left w:val="none" w:sz="0" w:space="0" w:color="auto"/>
        <w:bottom w:val="none" w:sz="0" w:space="0" w:color="auto"/>
        <w:right w:val="none" w:sz="0" w:space="0" w:color="auto"/>
      </w:divBdr>
      <w:divsChild>
        <w:div w:id="870917287">
          <w:marLeft w:val="0"/>
          <w:marRight w:val="0"/>
          <w:marTop w:val="0"/>
          <w:marBottom w:val="0"/>
          <w:divBdr>
            <w:top w:val="none" w:sz="0" w:space="0" w:color="auto"/>
            <w:left w:val="none" w:sz="0" w:space="0" w:color="auto"/>
            <w:bottom w:val="none" w:sz="0" w:space="0" w:color="auto"/>
            <w:right w:val="none" w:sz="0" w:space="0" w:color="auto"/>
          </w:divBdr>
          <w:divsChild>
            <w:div w:id="846096269">
              <w:marLeft w:val="0"/>
              <w:marRight w:val="0"/>
              <w:marTop w:val="0"/>
              <w:marBottom w:val="0"/>
              <w:divBdr>
                <w:top w:val="none" w:sz="0" w:space="0" w:color="auto"/>
                <w:left w:val="none" w:sz="0" w:space="0" w:color="auto"/>
                <w:bottom w:val="none" w:sz="0" w:space="0" w:color="auto"/>
                <w:right w:val="none" w:sz="0" w:space="0" w:color="auto"/>
              </w:divBdr>
              <w:divsChild>
                <w:div w:id="266693330">
                  <w:marLeft w:val="0"/>
                  <w:marRight w:val="0"/>
                  <w:marTop w:val="0"/>
                  <w:marBottom w:val="0"/>
                  <w:divBdr>
                    <w:top w:val="none" w:sz="0" w:space="0" w:color="auto"/>
                    <w:left w:val="none" w:sz="0" w:space="0" w:color="auto"/>
                    <w:bottom w:val="none" w:sz="0" w:space="0" w:color="auto"/>
                    <w:right w:val="none" w:sz="0" w:space="0" w:color="auto"/>
                  </w:divBdr>
                  <w:divsChild>
                    <w:div w:id="58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40746">
      <w:bodyDiv w:val="1"/>
      <w:marLeft w:val="0"/>
      <w:marRight w:val="0"/>
      <w:marTop w:val="0"/>
      <w:marBottom w:val="0"/>
      <w:divBdr>
        <w:top w:val="none" w:sz="0" w:space="0" w:color="auto"/>
        <w:left w:val="none" w:sz="0" w:space="0" w:color="auto"/>
        <w:bottom w:val="none" w:sz="0" w:space="0" w:color="auto"/>
        <w:right w:val="none" w:sz="0" w:space="0" w:color="auto"/>
      </w:divBdr>
    </w:div>
    <w:div w:id="884757497">
      <w:bodyDiv w:val="1"/>
      <w:marLeft w:val="0"/>
      <w:marRight w:val="0"/>
      <w:marTop w:val="0"/>
      <w:marBottom w:val="0"/>
      <w:divBdr>
        <w:top w:val="none" w:sz="0" w:space="0" w:color="auto"/>
        <w:left w:val="none" w:sz="0" w:space="0" w:color="auto"/>
        <w:bottom w:val="none" w:sz="0" w:space="0" w:color="auto"/>
        <w:right w:val="none" w:sz="0" w:space="0" w:color="auto"/>
      </w:divBdr>
    </w:div>
    <w:div w:id="957374213">
      <w:bodyDiv w:val="1"/>
      <w:marLeft w:val="0"/>
      <w:marRight w:val="0"/>
      <w:marTop w:val="0"/>
      <w:marBottom w:val="0"/>
      <w:divBdr>
        <w:top w:val="none" w:sz="0" w:space="0" w:color="auto"/>
        <w:left w:val="none" w:sz="0" w:space="0" w:color="auto"/>
        <w:bottom w:val="none" w:sz="0" w:space="0" w:color="auto"/>
        <w:right w:val="none" w:sz="0" w:space="0" w:color="auto"/>
      </w:divBdr>
    </w:div>
    <w:div w:id="986668333">
      <w:bodyDiv w:val="1"/>
      <w:marLeft w:val="0"/>
      <w:marRight w:val="0"/>
      <w:marTop w:val="0"/>
      <w:marBottom w:val="0"/>
      <w:divBdr>
        <w:top w:val="none" w:sz="0" w:space="0" w:color="auto"/>
        <w:left w:val="none" w:sz="0" w:space="0" w:color="auto"/>
        <w:bottom w:val="none" w:sz="0" w:space="0" w:color="auto"/>
        <w:right w:val="none" w:sz="0" w:space="0" w:color="auto"/>
      </w:divBdr>
    </w:div>
    <w:div w:id="1171945116">
      <w:bodyDiv w:val="1"/>
      <w:marLeft w:val="0"/>
      <w:marRight w:val="0"/>
      <w:marTop w:val="0"/>
      <w:marBottom w:val="0"/>
      <w:divBdr>
        <w:top w:val="none" w:sz="0" w:space="0" w:color="auto"/>
        <w:left w:val="none" w:sz="0" w:space="0" w:color="auto"/>
        <w:bottom w:val="none" w:sz="0" w:space="0" w:color="auto"/>
        <w:right w:val="none" w:sz="0" w:space="0" w:color="auto"/>
      </w:divBdr>
    </w:div>
    <w:div w:id="1261183548">
      <w:bodyDiv w:val="1"/>
      <w:marLeft w:val="0"/>
      <w:marRight w:val="0"/>
      <w:marTop w:val="0"/>
      <w:marBottom w:val="0"/>
      <w:divBdr>
        <w:top w:val="none" w:sz="0" w:space="0" w:color="auto"/>
        <w:left w:val="none" w:sz="0" w:space="0" w:color="auto"/>
        <w:bottom w:val="none" w:sz="0" w:space="0" w:color="auto"/>
        <w:right w:val="none" w:sz="0" w:space="0" w:color="auto"/>
      </w:divBdr>
    </w:div>
    <w:div w:id="1444886540">
      <w:bodyDiv w:val="1"/>
      <w:marLeft w:val="150"/>
      <w:marRight w:val="150"/>
      <w:marTop w:val="150"/>
      <w:marBottom w:val="150"/>
      <w:divBdr>
        <w:top w:val="none" w:sz="0" w:space="0" w:color="auto"/>
        <w:left w:val="none" w:sz="0" w:space="0" w:color="auto"/>
        <w:bottom w:val="none" w:sz="0" w:space="0" w:color="auto"/>
        <w:right w:val="none" w:sz="0" w:space="0" w:color="auto"/>
      </w:divBdr>
    </w:div>
    <w:div w:id="1460223739">
      <w:bodyDiv w:val="1"/>
      <w:marLeft w:val="0"/>
      <w:marRight w:val="0"/>
      <w:marTop w:val="0"/>
      <w:marBottom w:val="0"/>
      <w:divBdr>
        <w:top w:val="none" w:sz="0" w:space="0" w:color="auto"/>
        <w:left w:val="none" w:sz="0" w:space="0" w:color="auto"/>
        <w:bottom w:val="none" w:sz="0" w:space="0" w:color="auto"/>
        <w:right w:val="none" w:sz="0" w:space="0" w:color="auto"/>
      </w:divBdr>
    </w:div>
    <w:div w:id="1504935322">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397822738">
          <w:marLeft w:val="0"/>
          <w:marRight w:val="0"/>
          <w:marTop w:val="0"/>
          <w:marBottom w:val="0"/>
          <w:divBdr>
            <w:top w:val="none" w:sz="0" w:space="0" w:color="auto"/>
            <w:left w:val="none" w:sz="0" w:space="0" w:color="auto"/>
            <w:bottom w:val="none" w:sz="0" w:space="0" w:color="auto"/>
            <w:right w:val="none" w:sz="0" w:space="0" w:color="auto"/>
          </w:divBdr>
        </w:div>
      </w:divsChild>
    </w:div>
    <w:div w:id="1508981014">
      <w:bodyDiv w:val="1"/>
      <w:marLeft w:val="0"/>
      <w:marRight w:val="0"/>
      <w:marTop w:val="0"/>
      <w:marBottom w:val="0"/>
      <w:divBdr>
        <w:top w:val="none" w:sz="0" w:space="0" w:color="auto"/>
        <w:left w:val="none" w:sz="0" w:space="0" w:color="auto"/>
        <w:bottom w:val="none" w:sz="0" w:space="0" w:color="auto"/>
        <w:right w:val="none" w:sz="0" w:space="0" w:color="auto"/>
      </w:divBdr>
    </w:div>
    <w:div w:id="1512910974">
      <w:bodyDiv w:val="1"/>
      <w:marLeft w:val="0"/>
      <w:marRight w:val="0"/>
      <w:marTop w:val="0"/>
      <w:marBottom w:val="0"/>
      <w:divBdr>
        <w:top w:val="none" w:sz="0" w:space="0" w:color="auto"/>
        <w:left w:val="none" w:sz="0" w:space="0" w:color="auto"/>
        <w:bottom w:val="none" w:sz="0" w:space="0" w:color="auto"/>
        <w:right w:val="none" w:sz="0" w:space="0" w:color="auto"/>
      </w:divBdr>
      <w:divsChild>
        <w:div w:id="1895923012">
          <w:marLeft w:val="0"/>
          <w:marRight w:val="0"/>
          <w:marTop w:val="0"/>
          <w:marBottom w:val="0"/>
          <w:divBdr>
            <w:top w:val="none" w:sz="0" w:space="0" w:color="auto"/>
            <w:left w:val="none" w:sz="0" w:space="0" w:color="auto"/>
            <w:bottom w:val="none" w:sz="0" w:space="0" w:color="auto"/>
            <w:right w:val="none" w:sz="0" w:space="0" w:color="auto"/>
          </w:divBdr>
          <w:divsChild>
            <w:div w:id="223876063">
              <w:marLeft w:val="0"/>
              <w:marRight w:val="0"/>
              <w:marTop w:val="0"/>
              <w:marBottom w:val="0"/>
              <w:divBdr>
                <w:top w:val="none" w:sz="0" w:space="0" w:color="auto"/>
                <w:left w:val="none" w:sz="0" w:space="0" w:color="auto"/>
                <w:bottom w:val="none" w:sz="0" w:space="0" w:color="auto"/>
                <w:right w:val="none" w:sz="0" w:space="0" w:color="auto"/>
              </w:divBdr>
              <w:divsChild>
                <w:div w:id="631446383">
                  <w:marLeft w:val="0"/>
                  <w:marRight w:val="0"/>
                  <w:marTop w:val="0"/>
                  <w:marBottom w:val="0"/>
                  <w:divBdr>
                    <w:top w:val="none" w:sz="0" w:space="0" w:color="auto"/>
                    <w:left w:val="none" w:sz="0" w:space="0" w:color="auto"/>
                    <w:bottom w:val="none" w:sz="0" w:space="0" w:color="auto"/>
                    <w:right w:val="none" w:sz="0" w:space="0" w:color="auto"/>
                  </w:divBdr>
                  <w:divsChild>
                    <w:div w:id="249706247">
                      <w:marLeft w:val="0"/>
                      <w:marRight w:val="0"/>
                      <w:marTop w:val="0"/>
                      <w:marBottom w:val="0"/>
                      <w:divBdr>
                        <w:top w:val="none" w:sz="0" w:space="0" w:color="auto"/>
                        <w:left w:val="none" w:sz="0" w:space="0" w:color="auto"/>
                        <w:bottom w:val="none" w:sz="0" w:space="0" w:color="auto"/>
                        <w:right w:val="none" w:sz="0" w:space="0" w:color="auto"/>
                      </w:divBdr>
                      <w:divsChild>
                        <w:div w:id="236212003">
                          <w:marLeft w:val="0"/>
                          <w:marRight w:val="0"/>
                          <w:marTop w:val="0"/>
                          <w:marBottom w:val="0"/>
                          <w:divBdr>
                            <w:top w:val="none" w:sz="0" w:space="0" w:color="auto"/>
                            <w:left w:val="none" w:sz="0" w:space="0" w:color="auto"/>
                            <w:bottom w:val="none" w:sz="0" w:space="0" w:color="auto"/>
                            <w:right w:val="none" w:sz="0" w:space="0" w:color="auto"/>
                          </w:divBdr>
                          <w:divsChild>
                            <w:div w:id="220680898">
                              <w:marLeft w:val="0"/>
                              <w:marRight w:val="0"/>
                              <w:marTop w:val="0"/>
                              <w:marBottom w:val="0"/>
                              <w:divBdr>
                                <w:top w:val="none" w:sz="0" w:space="0" w:color="auto"/>
                                <w:left w:val="none" w:sz="0" w:space="0" w:color="auto"/>
                                <w:bottom w:val="none" w:sz="0" w:space="0" w:color="auto"/>
                                <w:right w:val="none" w:sz="0" w:space="0" w:color="auto"/>
                              </w:divBdr>
                              <w:divsChild>
                                <w:div w:id="2128039455">
                                  <w:marLeft w:val="0"/>
                                  <w:marRight w:val="0"/>
                                  <w:marTop w:val="0"/>
                                  <w:marBottom w:val="0"/>
                                  <w:divBdr>
                                    <w:top w:val="none" w:sz="0" w:space="0" w:color="auto"/>
                                    <w:left w:val="none" w:sz="0" w:space="0" w:color="auto"/>
                                    <w:bottom w:val="none" w:sz="0" w:space="0" w:color="auto"/>
                                    <w:right w:val="none" w:sz="0" w:space="0" w:color="auto"/>
                                  </w:divBdr>
                                  <w:divsChild>
                                    <w:div w:id="825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9050624">
      <w:bodyDiv w:val="1"/>
      <w:marLeft w:val="0"/>
      <w:marRight w:val="0"/>
      <w:marTop w:val="0"/>
      <w:marBottom w:val="0"/>
      <w:divBdr>
        <w:top w:val="none" w:sz="0" w:space="0" w:color="auto"/>
        <w:left w:val="none" w:sz="0" w:space="0" w:color="auto"/>
        <w:bottom w:val="none" w:sz="0" w:space="0" w:color="auto"/>
        <w:right w:val="none" w:sz="0" w:space="0" w:color="auto"/>
      </w:divBdr>
      <w:divsChild>
        <w:div w:id="1577403222">
          <w:marLeft w:val="0"/>
          <w:marRight w:val="0"/>
          <w:marTop w:val="0"/>
          <w:marBottom w:val="0"/>
          <w:divBdr>
            <w:top w:val="none" w:sz="0" w:space="0" w:color="auto"/>
            <w:left w:val="none" w:sz="0" w:space="0" w:color="auto"/>
            <w:bottom w:val="none" w:sz="0" w:space="0" w:color="auto"/>
            <w:right w:val="none" w:sz="0" w:space="0" w:color="auto"/>
          </w:divBdr>
          <w:divsChild>
            <w:div w:id="952058844">
              <w:marLeft w:val="0"/>
              <w:marRight w:val="0"/>
              <w:marTop w:val="0"/>
              <w:marBottom w:val="0"/>
              <w:divBdr>
                <w:top w:val="none" w:sz="0" w:space="0" w:color="auto"/>
                <w:left w:val="none" w:sz="0" w:space="0" w:color="auto"/>
                <w:bottom w:val="none" w:sz="0" w:space="0" w:color="auto"/>
                <w:right w:val="none" w:sz="0" w:space="0" w:color="auto"/>
              </w:divBdr>
              <w:divsChild>
                <w:div w:id="1144657966">
                  <w:marLeft w:val="0"/>
                  <w:marRight w:val="0"/>
                  <w:marTop w:val="0"/>
                  <w:marBottom w:val="0"/>
                  <w:divBdr>
                    <w:top w:val="none" w:sz="0" w:space="0" w:color="auto"/>
                    <w:left w:val="none" w:sz="0" w:space="0" w:color="auto"/>
                    <w:bottom w:val="none" w:sz="0" w:space="0" w:color="auto"/>
                    <w:right w:val="none" w:sz="0" w:space="0" w:color="auto"/>
                  </w:divBdr>
                  <w:divsChild>
                    <w:div w:id="85003890">
                      <w:marLeft w:val="0"/>
                      <w:marRight w:val="0"/>
                      <w:marTop w:val="0"/>
                      <w:marBottom w:val="0"/>
                      <w:divBdr>
                        <w:top w:val="none" w:sz="0" w:space="0" w:color="auto"/>
                        <w:left w:val="none" w:sz="0" w:space="0" w:color="auto"/>
                        <w:bottom w:val="none" w:sz="0" w:space="0" w:color="auto"/>
                        <w:right w:val="none" w:sz="0" w:space="0" w:color="auto"/>
                      </w:divBdr>
                      <w:divsChild>
                        <w:div w:id="49962074">
                          <w:marLeft w:val="0"/>
                          <w:marRight w:val="0"/>
                          <w:marTop w:val="0"/>
                          <w:marBottom w:val="0"/>
                          <w:divBdr>
                            <w:top w:val="none" w:sz="0" w:space="0" w:color="auto"/>
                            <w:left w:val="none" w:sz="0" w:space="0" w:color="auto"/>
                            <w:bottom w:val="none" w:sz="0" w:space="0" w:color="auto"/>
                            <w:right w:val="none" w:sz="0" w:space="0" w:color="auto"/>
                          </w:divBdr>
                          <w:divsChild>
                            <w:div w:id="991639559">
                              <w:marLeft w:val="0"/>
                              <w:marRight w:val="0"/>
                              <w:marTop w:val="0"/>
                              <w:marBottom w:val="0"/>
                              <w:divBdr>
                                <w:top w:val="none" w:sz="0" w:space="0" w:color="auto"/>
                                <w:left w:val="none" w:sz="0" w:space="0" w:color="auto"/>
                                <w:bottom w:val="none" w:sz="0" w:space="0" w:color="auto"/>
                                <w:right w:val="none" w:sz="0" w:space="0" w:color="auto"/>
                              </w:divBdr>
                              <w:divsChild>
                                <w:div w:id="1345741592">
                                  <w:marLeft w:val="0"/>
                                  <w:marRight w:val="0"/>
                                  <w:marTop w:val="0"/>
                                  <w:marBottom w:val="0"/>
                                  <w:divBdr>
                                    <w:top w:val="none" w:sz="0" w:space="0" w:color="auto"/>
                                    <w:left w:val="none" w:sz="0" w:space="0" w:color="auto"/>
                                    <w:bottom w:val="none" w:sz="0" w:space="0" w:color="auto"/>
                                    <w:right w:val="none" w:sz="0" w:space="0" w:color="auto"/>
                                  </w:divBdr>
                                  <w:divsChild>
                                    <w:div w:id="110684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856231">
      <w:bodyDiv w:val="1"/>
      <w:marLeft w:val="0"/>
      <w:marRight w:val="0"/>
      <w:marTop w:val="0"/>
      <w:marBottom w:val="0"/>
      <w:divBdr>
        <w:top w:val="none" w:sz="0" w:space="0" w:color="auto"/>
        <w:left w:val="none" w:sz="0" w:space="0" w:color="auto"/>
        <w:bottom w:val="none" w:sz="0" w:space="0" w:color="auto"/>
        <w:right w:val="none" w:sz="0" w:space="0" w:color="auto"/>
      </w:divBdr>
    </w:div>
    <w:div w:id="1715615717">
      <w:bodyDiv w:val="1"/>
      <w:marLeft w:val="0"/>
      <w:marRight w:val="0"/>
      <w:marTop w:val="0"/>
      <w:marBottom w:val="0"/>
      <w:divBdr>
        <w:top w:val="none" w:sz="0" w:space="0" w:color="auto"/>
        <w:left w:val="none" w:sz="0" w:space="0" w:color="auto"/>
        <w:bottom w:val="none" w:sz="0" w:space="0" w:color="auto"/>
        <w:right w:val="none" w:sz="0" w:space="0" w:color="auto"/>
      </w:divBdr>
    </w:div>
    <w:div w:id="1761297138">
      <w:bodyDiv w:val="1"/>
      <w:marLeft w:val="0"/>
      <w:marRight w:val="0"/>
      <w:marTop w:val="0"/>
      <w:marBottom w:val="0"/>
      <w:divBdr>
        <w:top w:val="none" w:sz="0" w:space="0" w:color="auto"/>
        <w:left w:val="none" w:sz="0" w:space="0" w:color="auto"/>
        <w:bottom w:val="none" w:sz="0" w:space="0" w:color="auto"/>
        <w:right w:val="none" w:sz="0" w:space="0" w:color="auto"/>
      </w:divBdr>
    </w:div>
    <w:div w:id="1911578737">
      <w:bodyDiv w:val="1"/>
      <w:marLeft w:val="0"/>
      <w:marRight w:val="0"/>
      <w:marTop w:val="0"/>
      <w:marBottom w:val="0"/>
      <w:divBdr>
        <w:top w:val="none" w:sz="0" w:space="0" w:color="auto"/>
        <w:left w:val="none" w:sz="0" w:space="0" w:color="auto"/>
        <w:bottom w:val="none" w:sz="0" w:space="0" w:color="auto"/>
        <w:right w:val="none" w:sz="0" w:space="0" w:color="auto"/>
      </w:divBdr>
    </w:div>
    <w:div w:id="1921406288">
      <w:bodyDiv w:val="1"/>
      <w:marLeft w:val="0"/>
      <w:marRight w:val="0"/>
      <w:marTop w:val="0"/>
      <w:marBottom w:val="0"/>
      <w:divBdr>
        <w:top w:val="none" w:sz="0" w:space="0" w:color="auto"/>
        <w:left w:val="none" w:sz="0" w:space="0" w:color="auto"/>
        <w:bottom w:val="none" w:sz="0" w:space="0" w:color="auto"/>
        <w:right w:val="none" w:sz="0" w:space="0" w:color="auto"/>
      </w:divBdr>
      <w:divsChild>
        <w:div w:id="1384672647">
          <w:marLeft w:val="0"/>
          <w:marRight w:val="0"/>
          <w:marTop w:val="0"/>
          <w:marBottom w:val="0"/>
          <w:divBdr>
            <w:top w:val="none" w:sz="0" w:space="0" w:color="auto"/>
            <w:left w:val="none" w:sz="0" w:space="0" w:color="auto"/>
            <w:bottom w:val="none" w:sz="0" w:space="0" w:color="auto"/>
            <w:right w:val="none" w:sz="0" w:space="0" w:color="auto"/>
          </w:divBdr>
          <w:divsChild>
            <w:div w:id="562714899">
              <w:marLeft w:val="0"/>
              <w:marRight w:val="0"/>
              <w:marTop w:val="0"/>
              <w:marBottom w:val="0"/>
              <w:divBdr>
                <w:top w:val="none" w:sz="0" w:space="0" w:color="auto"/>
                <w:left w:val="none" w:sz="0" w:space="0" w:color="auto"/>
                <w:bottom w:val="none" w:sz="0" w:space="0" w:color="auto"/>
                <w:right w:val="none" w:sz="0" w:space="0" w:color="auto"/>
              </w:divBdr>
              <w:divsChild>
                <w:div w:id="889803886">
                  <w:marLeft w:val="0"/>
                  <w:marRight w:val="0"/>
                  <w:marTop w:val="0"/>
                  <w:marBottom w:val="0"/>
                  <w:divBdr>
                    <w:top w:val="none" w:sz="0" w:space="0" w:color="auto"/>
                    <w:left w:val="none" w:sz="0" w:space="0" w:color="auto"/>
                    <w:bottom w:val="none" w:sz="0" w:space="0" w:color="auto"/>
                    <w:right w:val="none" w:sz="0" w:space="0" w:color="auto"/>
                  </w:divBdr>
                  <w:divsChild>
                    <w:div w:id="1108505282">
                      <w:marLeft w:val="0"/>
                      <w:marRight w:val="0"/>
                      <w:marTop w:val="0"/>
                      <w:marBottom w:val="0"/>
                      <w:divBdr>
                        <w:top w:val="none" w:sz="0" w:space="0" w:color="auto"/>
                        <w:left w:val="none" w:sz="0" w:space="0" w:color="auto"/>
                        <w:bottom w:val="none" w:sz="0" w:space="0" w:color="auto"/>
                        <w:right w:val="none" w:sz="0" w:space="0" w:color="auto"/>
                      </w:divBdr>
                      <w:divsChild>
                        <w:div w:id="899250837">
                          <w:marLeft w:val="0"/>
                          <w:marRight w:val="0"/>
                          <w:marTop w:val="0"/>
                          <w:marBottom w:val="0"/>
                          <w:divBdr>
                            <w:top w:val="none" w:sz="0" w:space="0" w:color="auto"/>
                            <w:left w:val="none" w:sz="0" w:space="0" w:color="auto"/>
                            <w:bottom w:val="none" w:sz="0" w:space="0" w:color="auto"/>
                            <w:right w:val="none" w:sz="0" w:space="0" w:color="auto"/>
                          </w:divBdr>
                          <w:divsChild>
                            <w:div w:id="650450270">
                              <w:marLeft w:val="0"/>
                              <w:marRight w:val="0"/>
                              <w:marTop w:val="0"/>
                              <w:marBottom w:val="0"/>
                              <w:divBdr>
                                <w:top w:val="none" w:sz="0" w:space="0" w:color="auto"/>
                                <w:left w:val="none" w:sz="0" w:space="0" w:color="auto"/>
                                <w:bottom w:val="none" w:sz="0" w:space="0" w:color="auto"/>
                                <w:right w:val="none" w:sz="0" w:space="0" w:color="auto"/>
                              </w:divBdr>
                              <w:divsChild>
                                <w:div w:id="883371913">
                                  <w:marLeft w:val="0"/>
                                  <w:marRight w:val="0"/>
                                  <w:marTop w:val="0"/>
                                  <w:marBottom w:val="0"/>
                                  <w:divBdr>
                                    <w:top w:val="none" w:sz="0" w:space="0" w:color="auto"/>
                                    <w:left w:val="none" w:sz="0" w:space="0" w:color="auto"/>
                                    <w:bottom w:val="none" w:sz="0" w:space="0" w:color="auto"/>
                                    <w:right w:val="none" w:sz="0" w:space="0" w:color="auto"/>
                                  </w:divBdr>
                                  <w:divsChild>
                                    <w:div w:id="6507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931458">
      <w:bodyDiv w:val="1"/>
      <w:marLeft w:val="0"/>
      <w:marRight w:val="0"/>
      <w:marTop w:val="0"/>
      <w:marBottom w:val="0"/>
      <w:divBdr>
        <w:top w:val="none" w:sz="0" w:space="0" w:color="auto"/>
        <w:left w:val="none" w:sz="0" w:space="0" w:color="auto"/>
        <w:bottom w:val="none" w:sz="0" w:space="0" w:color="auto"/>
        <w:right w:val="none" w:sz="0" w:space="0" w:color="auto"/>
      </w:divBdr>
    </w:div>
    <w:div w:id="2081440101">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mailto:eduardo.borba14@gmail.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2CF158-3216-4FAF-B0E6-BBE1F86D1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20</Pages>
  <Words>10469</Words>
  <Characters>56538</Characters>
  <Application>Microsoft Office Word</Application>
  <DocSecurity>0</DocSecurity>
  <Lines>471</Lines>
  <Paragraphs>133</Paragraphs>
  <ScaleCrop>false</ScaleCrop>
  <HeadingPairs>
    <vt:vector size="2" baseType="variant">
      <vt:variant>
        <vt:lpstr>Título</vt:lpstr>
      </vt:variant>
      <vt:variant>
        <vt:i4>1</vt:i4>
      </vt:variant>
    </vt:vector>
  </HeadingPairs>
  <TitlesOfParts>
    <vt:vector size="1" baseType="lpstr">
      <vt:lpstr>The Social Economic and Environmental Impacts of Trade Liberalization</vt:lpstr>
    </vt:vector>
  </TitlesOfParts>
  <Company>NAU</Company>
  <LinksUpToDate>false</LinksUpToDate>
  <CharactersWithSpaces>66874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Social Economic and Environmental Impacts of Trade Liberalization</dc:title>
  <dc:creator>Zhou Shudong</dc:creator>
  <cp:lastModifiedBy>ANA PAULA MENEZES PEREIRA</cp:lastModifiedBy>
  <cp:revision>4</cp:revision>
  <cp:lastPrinted>2010-10-13T01:10:00Z</cp:lastPrinted>
  <dcterms:created xsi:type="dcterms:W3CDTF">2019-07-18T13:49:00Z</dcterms:created>
  <dcterms:modified xsi:type="dcterms:W3CDTF">2019-07-21T02:23:00Z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