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EF1F1" w14:textId="78A9127E" w:rsidR="004C1142" w:rsidRPr="00476DF1" w:rsidRDefault="004C1142" w:rsidP="00A23232">
      <w:pPr>
        <w:spacing w:after="0" w:line="240" w:lineRule="auto"/>
        <w:jc w:val="center"/>
        <w:rPr>
          <w:rFonts w:ascii="Times New Roman" w:hAnsi="Times New Roman"/>
          <w:b/>
          <w:sz w:val="24"/>
          <w:szCs w:val="24"/>
        </w:rPr>
      </w:pPr>
      <w:r w:rsidRPr="00476DF1">
        <w:rPr>
          <w:rFonts w:ascii="Times New Roman" w:hAnsi="Times New Roman"/>
          <w:b/>
          <w:sz w:val="24"/>
          <w:szCs w:val="24"/>
        </w:rPr>
        <w:t xml:space="preserve">Technical and Skill Knowledge Incorporated by Big-Pharma in Acquisitions of Small </w:t>
      </w:r>
      <w:r w:rsidR="001A775D" w:rsidRPr="00476DF1">
        <w:rPr>
          <w:rFonts w:ascii="Times New Roman" w:hAnsi="Times New Roman"/>
          <w:b/>
          <w:sz w:val="24"/>
          <w:szCs w:val="24"/>
        </w:rPr>
        <w:t>Firms</w:t>
      </w:r>
    </w:p>
    <w:p w14:paraId="22845530" w14:textId="77777777" w:rsidR="004C1142" w:rsidRPr="00476DF1" w:rsidRDefault="004C1142" w:rsidP="004C1142">
      <w:pPr>
        <w:spacing w:after="0" w:line="240" w:lineRule="auto"/>
        <w:rPr>
          <w:rFonts w:ascii="Times New Roman" w:hAnsi="Times New Roman"/>
          <w:b/>
          <w:sz w:val="24"/>
          <w:szCs w:val="24"/>
        </w:rPr>
      </w:pPr>
    </w:p>
    <w:p w14:paraId="49C4D37A" w14:textId="09376B74" w:rsidR="004C1142" w:rsidRPr="00476DF1" w:rsidRDefault="004C1142" w:rsidP="00A23232">
      <w:pPr>
        <w:spacing w:after="0" w:line="240" w:lineRule="auto"/>
        <w:jc w:val="right"/>
        <w:rPr>
          <w:rFonts w:ascii="Times New Roman" w:hAnsi="Times New Roman"/>
          <w:b/>
          <w:sz w:val="24"/>
          <w:szCs w:val="24"/>
          <w:lang w:val="pt-BR"/>
        </w:rPr>
      </w:pPr>
      <w:r w:rsidRPr="00476DF1">
        <w:rPr>
          <w:rFonts w:ascii="Times New Roman" w:hAnsi="Times New Roman"/>
          <w:b/>
          <w:sz w:val="24"/>
          <w:szCs w:val="24"/>
          <w:lang w:val="pt-BR"/>
        </w:rPr>
        <w:t>Murilo Montanari de Matos</w:t>
      </w:r>
      <w:r w:rsidRPr="00476DF1">
        <w:rPr>
          <w:rStyle w:val="Refdenotaderodap"/>
          <w:rFonts w:ascii="Times New Roman" w:hAnsi="Times New Roman"/>
          <w:b/>
          <w:sz w:val="24"/>
          <w:szCs w:val="24"/>
        </w:rPr>
        <w:footnoteReference w:customMarkFollows="1" w:id="1"/>
        <w:sym w:font="Symbol" w:char="F02A"/>
      </w:r>
      <w:r w:rsidRPr="00476DF1">
        <w:rPr>
          <w:rFonts w:ascii="Times New Roman" w:hAnsi="Times New Roman"/>
          <w:b/>
          <w:sz w:val="24"/>
          <w:szCs w:val="24"/>
          <w:lang w:val="pt-BR"/>
        </w:rPr>
        <w:t>, Ana Paula Macedo de Avellar</w:t>
      </w:r>
      <w:r w:rsidRPr="00476DF1">
        <w:rPr>
          <w:rStyle w:val="Refdenotaderodap"/>
          <w:rFonts w:ascii="Times New Roman" w:hAnsi="Times New Roman"/>
          <w:b/>
          <w:sz w:val="24"/>
          <w:szCs w:val="24"/>
          <w:lang w:val="pt-BR"/>
        </w:rPr>
        <w:footnoteReference w:customMarkFollows="1" w:id="2"/>
        <w:t>a</w:t>
      </w:r>
    </w:p>
    <w:p w14:paraId="1EF1BC46" w14:textId="77777777" w:rsidR="004C1142" w:rsidRPr="00476DF1" w:rsidRDefault="004C1142" w:rsidP="004C1142">
      <w:pPr>
        <w:spacing w:after="0" w:line="240" w:lineRule="auto"/>
        <w:rPr>
          <w:rFonts w:ascii="inherit" w:eastAsia="Times New Roman" w:hAnsi="inherit"/>
          <w:color w:val="353C3F"/>
          <w:sz w:val="24"/>
          <w:szCs w:val="24"/>
          <w:lang w:val="pt-BR"/>
        </w:rPr>
      </w:pPr>
    </w:p>
    <w:p w14:paraId="6E769DDE" w14:textId="26BD5D3A" w:rsidR="004C1142" w:rsidRPr="00476DF1" w:rsidRDefault="004C1142" w:rsidP="00A23232">
      <w:pPr>
        <w:spacing w:after="0" w:line="240" w:lineRule="auto"/>
        <w:jc w:val="both"/>
        <w:rPr>
          <w:rFonts w:ascii="Times New Roman" w:hAnsi="Times New Roman"/>
          <w:b/>
          <w:sz w:val="24"/>
          <w:szCs w:val="24"/>
          <w:lang w:val="pt-BR"/>
        </w:rPr>
      </w:pPr>
      <w:r w:rsidRPr="00476DF1">
        <w:rPr>
          <w:rFonts w:ascii="Times New Roman" w:hAnsi="Times New Roman"/>
          <w:b/>
          <w:sz w:val="24"/>
          <w:szCs w:val="24"/>
          <w:lang w:val="pt-BR"/>
        </w:rPr>
        <w:t xml:space="preserve">Resumo: </w:t>
      </w:r>
      <w:r w:rsidRPr="00476DF1">
        <w:rPr>
          <w:rFonts w:ascii="Times New Roman" w:hAnsi="Times New Roman"/>
          <w:sz w:val="24"/>
          <w:szCs w:val="24"/>
          <w:lang w:val="pt-BR"/>
        </w:rPr>
        <w:t>A literatura acerca da indústria farmacêutica é extensa, porém</w:t>
      </w:r>
      <w:r w:rsidR="001A775D" w:rsidRPr="00476DF1">
        <w:rPr>
          <w:rFonts w:ascii="Times New Roman" w:hAnsi="Times New Roman"/>
          <w:sz w:val="24"/>
          <w:szCs w:val="24"/>
          <w:lang w:val="pt-BR"/>
        </w:rPr>
        <w:t>,</w:t>
      </w:r>
      <w:r w:rsidRPr="00476DF1">
        <w:rPr>
          <w:rFonts w:ascii="Times New Roman" w:hAnsi="Times New Roman"/>
          <w:sz w:val="24"/>
          <w:szCs w:val="24"/>
          <w:lang w:val="pt-BR"/>
        </w:rPr>
        <w:t xml:space="preserve"> poucos estudos se dedicaram a aquisição de pequenas empresas </w:t>
      </w:r>
      <w:r w:rsidR="001A775D" w:rsidRPr="00476DF1">
        <w:rPr>
          <w:rFonts w:ascii="Times New Roman" w:hAnsi="Times New Roman"/>
          <w:sz w:val="24"/>
          <w:szCs w:val="24"/>
          <w:lang w:val="pt-BR"/>
        </w:rPr>
        <w:t xml:space="preserve">orientada </w:t>
      </w:r>
      <w:r w:rsidRPr="00476DF1">
        <w:rPr>
          <w:rFonts w:ascii="Times New Roman" w:hAnsi="Times New Roman"/>
          <w:sz w:val="24"/>
          <w:szCs w:val="24"/>
          <w:lang w:val="pt-BR"/>
        </w:rPr>
        <w:t xml:space="preserve">pelas grandes empresas farmacêuticas. Este artigo foca detalhadamente nesta relação, a fim de responder: Que elementos a pequena empresa tem a oferecer a grande empresa, que possa melhorar suas competências? Qual a potencialidade desses elementos? Para responder estas questões este estudo conduz uma pesquisa qualitativa baseada numa amostra de 8 grandes empresas farmacêuticas relevantes, sendo elas: Pfizer, Johnson &amp; Johnson, Merck &amp; co, Roche, Abbott-Laboratories, Sanofi, Glaxo SmithKline (GSK), Astra-Zeneca. A partir da amostra serão compiladas informações das patentes destas empresas depositadas no USPTO acessíveis por meio da </w:t>
      </w:r>
      <w:r w:rsidRPr="00476DF1">
        <w:rPr>
          <w:rFonts w:ascii="Times New Roman" w:hAnsi="Times New Roman"/>
          <w:i/>
          <w:sz w:val="24"/>
          <w:szCs w:val="24"/>
          <w:lang w:val="pt-BR"/>
        </w:rPr>
        <w:t>Patent Full-Text and image database</w:t>
      </w:r>
      <w:r w:rsidR="001A775D" w:rsidRPr="00476DF1">
        <w:rPr>
          <w:rFonts w:ascii="Times New Roman" w:hAnsi="Times New Roman"/>
          <w:i/>
          <w:sz w:val="24"/>
          <w:szCs w:val="24"/>
          <w:lang w:val="pt-BR"/>
        </w:rPr>
        <w:t xml:space="preserve"> </w:t>
      </w:r>
      <w:r w:rsidRPr="00476DF1">
        <w:rPr>
          <w:rFonts w:ascii="Times New Roman" w:hAnsi="Times New Roman"/>
          <w:sz w:val="24"/>
          <w:szCs w:val="24"/>
          <w:lang w:val="pt-BR"/>
        </w:rPr>
        <w:t xml:space="preserve">(PatFT). As informações coletadas são fundamentais para construir dois conceitos essenciais: (i) contribuição técnica e (ii) contribuição em </w:t>
      </w:r>
      <w:r w:rsidRPr="00476DF1">
        <w:rPr>
          <w:rFonts w:ascii="Times New Roman" w:hAnsi="Times New Roman"/>
          <w:i/>
          <w:sz w:val="24"/>
          <w:szCs w:val="24"/>
          <w:lang w:val="pt-BR"/>
        </w:rPr>
        <w:t>skills</w:t>
      </w:r>
      <w:r w:rsidRPr="00476DF1">
        <w:rPr>
          <w:rFonts w:ascii="Times New Roman" w:hAnsi="Times New Roman"/>
          <w:sz w:val="24"/>
          <w:szCs w:val="24"/>
          <w:lang w:val="pt-BR"/>
        </w:rPr>
        <w:t xml:space="preserve">. As potencialidades destas contribuições serão observadas por meio das referências das patentes e dos </w:t>
      </w:r>
      <w:r w:rsidRPr="00476DF1">
        <w:rPr>
          <w:rFonts w:ascii="Times New Roman" w:hAnsi="Times New Roman"/>
          <w:i/>
          <w:sz w:val="24"/>
          <w:szCs w:val="24"/>
          <w:lang w:val="pt-BR"/>
        </w:rPr>
        <w:t xml:space="preserve">lags </w:t>
      </w:r>
      <w:r w:rsidRPr="00476DF1">
        <w:rPr>
          <w:rFonts w:ascii="Times New Roman" w:hAnsi="Times New Roman"/>
          <w:sz w:val="24"/>
          <w:szCs w:val="24"/>
          <w:lang w:val="pt-BR"/>
        </w:rPr>
        <w:t xml:space="preserve">de citação. Como conclusão observa-se a presença da contribuição em </w:t>
      </w:r>
      <w:r w:rsidRPr="00476DF1">
        <w:rPr>
          <w:rFonts w:ascii="Times New Roman" w:hAnsi="Times New Roman"/>
          <w:i/>
          <w:sz w:val="24"/>
          <w:szCs w:val="24"/>
          <w:lang w:val="pt-BR"/>
        </w:rPr>
        <w:t>skills</w:t>
      </w:r>
      <w:r w:rsidRPr="00476DF1">
        <w:rPr>
          <w:rFonts w:ascii="Times New Roman" w:hAnsi="Times New Roman"/>
          <w:sz w:val="24"/>
          <w:szCs w:val="24"/>
          <w:lang w:val="pt-BR"/>
        </w:rPr>
        <w:t xml:space="preserve"> por toda a amostra, contudo</w:t>
      </w:r>
      <w:r w:rsidR="001A775D" w:rsidRPr="00476DF1">
        <w:rPr>
          <w:rFonts w:ascii="Times New Roman" w:hAnsi="Times New Roman"/>
          <w:sz w:val="24"/>
          <w:szCs w:val="24"/>
          <w:lang w:val="pt-BR"/>
        </w:rPr>
        <w:t>,</w:t>
      </w:r>
      <w:r w:rsidRPr="00476DF1">
        <w:rPr>
          <w:rFonts w:ascii="Times New Roman" w:hAnsi="Times New Roman"/>
          <w:sz w:val="24"/>
          <w:szCs w:val="24"/>
          <w:lang w:val="pt-BR"/>
        </w:rPr>
        <w:t xml:space="preserve"> esta contribuição está associada a uma baixa potencialidade. A contribuição técnica se mostra associada ao melhoramento de competências existentes, mas não se pode concluir se este tipo de contribuição gera novas competências, em contrapartida, a contribuição técnica tem um alto potencial.  </w:t>
      </w:r>
    </w:p>
    <w:p w14:paraId="74DC6579" w14:textId="49AE50C3" w:rsidR="001A775D" w:rsidRPr="00476DF1" w:rsidRDefault="004C1142" w:rsidP="004C1142">
      <w:pPr>
        <w:spacing w:after="0" w:line="240" w:lineRule="auto"/>
        <w:rPr>
          <w:rFonts w:ascii="Times New Roman" w:hAnsi="Times New Roman"/>
          <w:sz w:val="24"/>
          <w:szCs w:val="24"/>
          <w:lang w:val="pt-BR"/>
        </w:rPr>
      </w:pPr>
      <w:r w:rsidRPr="00476DF1">
        <w:rPr>
          <w:rFonts w:ascii="Times New Roman" w:hAnsi="Times New Roman"/>
          <w:b/>
          <w:sz w:val="24"/>
          <w:szCs w:val="24"/>
          <w:lang w:val="pt-BR"/>
        </w:rPr>
        <w:t xml:space="preserve">Palavras-Chave: </w:t>
      </w:r>
      <w:r w:rsidRPr="00476DF1">
        <w:rPr>
          <w:rFonts w:ascii="Times New Roman" w:hAnsi="Times New Roman"/>
          <w:sz w:val="24"/>
          <w:szCs w:val="24"/>
          <w:lang w:val="pt-BR"/>
        </w:rPr>
        <w:t>Indústria Farmacêutica; Fusões e Aquisições; Patentes</w:t>
      </w:r>
      <w:r w:rsidR="001A775D" w:rsidRPr="00476DF1">
        <w:rPr>
          <w:rFonts w:ascii="Times New Roman" w:hAnsi="Times New Roman"/>
          <w:sz w:val="24"/>
          <w:szCs w:val="24"/>
          <w:lang w:val="pt-BR"/>
        </w:rPr>
        <w:t>.</w:t>
      </w:r>
      <w:r w:rsidRPr="00476DF1">
        <w:rPr>
          <w:rFonts w:ascii="Times New Roman" w:hAnsi="Times New Roman"/>
          <w:sz w:val="24"/>
          <w:szCs w:val="24"/>
          <w:lang w:val="pt-BR"/>
        </w:rPr>
        <w:t xml:space="preserve"> </w:t>
      </w:r>
    </w:p>
    <w:p w14:paraId="493854B4" w14:textId="77777777" w:rsidR="004C1142" w:rsidRPr="00476DF1" w:rsidRDefault="004C1142" w:rsidP="00A23232">
      <w:pPr>
        <w:spacing w:after="0" w:line="240" w:lineRule="auto"/>
        <w:rPr>
          <w:rFonts w:ascii="Times New Roman" w:hAnsi="Times New Roman"/>
          <w:sz w:val="24"/>
          <w:szCs w:val="24"/>
          <w:lang w:val="pt-BR"/>
        </w:rPr>
      </w:pPr>
    </w:p>
    <w:p w14:paraId="664166B1" w14:textId="3F5D28C0" w:rsidR="001A775D" w:rsidRPr="00476DF1" w:rsidRDefault="004C1142" w:rsidP="004C1142">
      <w:pPr>
        <w:spacing w:after="0" w:line="240" w:lineRule="auto"/>
        <w:jc w:val="both"/>
        <w:rPr>
          <w:rFonts w:ascii="Times New Roman" w:hAnsi="Times New Roman"/>
          <w:sz w:val="24"/>
          <w:szCs w:val="24"/>
          <w:lang w:val="pt-BR"/>
        </w:rPr>
      </w:pPr>
      <w:r w:rsidRPr="00476DF1">
        <w:rPr>
          <w:rFonts w:ascii="Times New Roman" w:hAnsi="Times New Roman"/>
          <w:b/>
          <w:sz w:val="24"/>
          <w:szCs w:val="24"/>
          <w:lang w:val="pt-BR"/>
        </w:rPr>
        <w:t>Área ANPEC</w:t>
      </w:r>
      <w:r w:rsidRPr="00476DF1">
        <w:rPr>
          <w:rFonts w:ascii="Times New Roman" w:hAnsi="Times New Roman"/>
          <w:sz w:val="24"/>
          <w:szCs w:val="24"/>
          <w:lang w:val="pt-BR"/>
        </w:rPr>
        <w:t>: Área 9- Economia Industrial e da Inovação</w:t>
      </w:r>
    </w:p>
    <w:p w14:paraId="213CE2AF" w14:textId="77777777" w:rsidR="004C1142" w:rsidRPr="00476DF1" w:rsidRDefault="004C1142" w:rsidP="004C1142">
      <w:pPr>
        <w:spacing w:after="0" w:line="240" w:lineRule="auto"/>
        <w:jc w:val="both"/>
        <w:rPr>
          <w:rFonts w:ascii="Times New Roman" w:hAnsi="Times New Roman"/>
          <w:sz w:val="24"/>
          <w:szCs w:val="24"/>
          <w:lang w:val="pt-BR"/>
        </w:rPr>
      </w:pPr>
    </w:p>
    <w:p w14:paraId="37D125FF" w14:textId="6A70576C" w:rsidR="004C1142" w:rsidRPr="00476DF1" w:rsidRDefault="004C1142" w:rsidP="004C1142">
      <w:pPr>
        <w:spacing w:after="0" w:line="240" w:lineRule="auto"/>
        <w:rPr>
          <w:rFonts w:ascii="inherit" w:eastAsia="Times New Roman" w:hAnsi="inherit"/>
          <w:sz w:val="24"/>
          <w:szCs w:val="24"/>
        </w:rPr>
      </w:pPr>
      <w:r w:rsidRPr="00476DF1">
        <w:rPr>
          <w:rFonts w:ascii="inherit" w:eastAsia="Times New Roman" w:hAnsi="inherit"/>
          <w:b/>
          <w:sz w:val="24"/>
          <w:szCs w:val="24"/>
        </w:rPr>
        <w:t>JEL</w:t>
      </w:r>
      <w:r w:rsidRPr="00476DF1">
        <w:rPr>
          <w:rFonts w:ascii="inherit" w:eastAsia="Times New Roman" w:hAnsi="inherit"/>
          <w:sz w:val="24"/>
          <w:szCs w:val="24"/>
        </w:rPr>
        <w:t>: O32 L22 L26</w:t>
      </w:r>
      <w:r w:rsidR="001A775D" w:rsidRPr="00476DF1">
        <w:rPr>
          <w:rFonts w:ascii="inherit" w:eastAsia="Times New Roman" w:hAnsi="inherit"/>
          <w:sz w:val="24"/>
          <w:szCs w:val="24"/>
        </w:rPr>
        <w:t>.</w:t>
      </w:r>
    </w:p>
    <w:p w14:paraId="6DAB79FB" w14:textId="77777777" w:rsidR="004C1142" w:rsidRPr="00476DF1" w:rsidRDefault="004C1142" w:rsidP="004C1142">
      <w:pPr>
        <w:spacing w:after="0" w:line="240" w:lineRule="auto"/>
        <w:jc w:val="both"/>
        <w:rPr>
          <w:rFonts w:ascii="Times New Roman" w:hAnsi="Times New Roman"/>
          <w:sz w:val="24"/>
          <w:szCs w:val="24"/>
        </w:rPr>
      </w:pPr>
    </w:p>
    <w:p w14:paraId="7898EABE" w14:textId="024D8D12" w:rsidR="004C1142" w:rsidRPr="00476DF1" w:rsidRDefault="004C1142" w:rsidP="00A23232">
      <w:pPr>
        <w:spacing w:after="0" w:line="240" w:lineRule="auto"/>
        <w:jc w:val="both"/>
        <w:rPr>
          <w:rFonts w:ascii="Times New Roman" w:hAnsi="Times New Roman"/>
          <w:sz w:val="24"/>
          <w:szCs w:val="24"/>
        </w:rPr>
      </w:pPr>
      <w:r w:rsidRPr="00476DF1">
        <w:rPr>
          <w:rFonts w:ascii="Times New Roman" w:hAnsi="Times New Roman"/>
          <w:b/>
          <w:sz w:val="24"/>
          <w:szCs w:val="24"/>
        </w:rPr>
        <w:t xml:space="preserve">Abstract: </w:t>
      </w:r>
      <w:r w:rsidRPr="00476DF1">
        <w:rPr>
          <w:rFonts w:ascii="Times New Roman" w:hAnsi="Times New Roman"/>
          <w:sz w:val="24"/>
          <w:szCs w:val="24"/>
        </w:rPr>
        <w:t xml:space="preserve">Many studies have focused on the Pharmaceutical Industry. But to few have paid attention to the acquisition of small enterprises conducted by the Big-Pharma. This article closely looks at this relation in order to answer: what elements a small enterprise has to offer in order to contribute to the large enterprises pool of capabilities? What are the potentiality of these elements in terms of new competences and technologies for the acquiring enterprise? To do this we will conduct a qualitative research based on sample of the most relevant large pharmaceutical enterprises being them: Pfizer, Johnson &amp; Johnson, Merck &amp; co, Roche, Abbott-Laboratories, Sanofi, Glaxo SmithKline (GSK), Astra-Zeneca. Through the sample, patent information available at USPTO in the PatFT (Patent Full-Text and image database) will be gathered. The patent information will encompass the Big-Pharma and the small enterprises. These information are fundamental for constructing the main concepts of contribution, being them: (i) technical contribution, derived from patents classes (ii) skill contribution encompassed by the patent inventors, finally its potentialities will be analyzed in the light of patent references and citation lags. Those concepts are fundamental for understanding what is held by the large enterprise when it acquire a small enterprise. This study main contribution was filling a literature gap by proposing new and simple measures of contribution that small enterprise may offer to large companies. We conclude that the skills contribution is observed in all the sample showing the relevance of inventors in the acquisition, nevertheless, based on the articles concepts and data, they have a low potentiality. The technical contribution enhance competences already developed by the large enterprises we were not able to attest their relevance on creating new competences, nevertheless, technical contribution have a great potentiality. Finally the two contributions are highly linked because part of the detected potentialities depends on the use and employment of skills. </w:t>
      </w:r>
    </w:p>
    <w:p w14:paraId="312B279F" w14:textId="1EA63993" w:rsidR="001A775D" w:rsidRPr="00476DF1" w:rsidRDefault="004C1142" w:rsidP="004C1142">
      <w:pPr>
        <w:spacing w:after="0" w:line="240" w:lineRule="auto"/>
        <w:jc w:val="both"/>
        <w:rPr>
          <w:rFonts w:ascii="Times New Roman" w:hAnsi="Times New Roman"/>
          <w:sz w:val="24"/>
          <w:szCs w:val="24"/>
        </w:rPr>
      </w:pPr>
      <w:r w:rsidRPr="00476DF1">
        <w:rPr>
          <w:rFonts w:ascii="Times New Roman" w:hAnsi="Times New Roman"/>
          <w:b/>
          <w:sz w:val="24"/>
          <w:szCs w:val="24"/>
        </w:rPr>
        <w:t>Keywords:</w:t>
      </w:r>
      <w:r w:rsidRPr="00476DF1">
        <w:rPr>
          <w:rFonts w:ascii="Times New Roman" w:hAnsi="Times New Roman"/>
          <w:sz w:val="24"/>
          <w:szCs w:val="24"/>
        </w:rPr>
        <w:t xml:space="preserve"> Pharmaceutical Industry; Mergers and Acquisitions, Patents</w:t>
      </w:r>
      <w:r w:rsidR="001A775D" w:rsidRPr="00476DF1">
        <w:rPr>
          <w:rFonts w:ascii="Times New Roman" w:hAnsi="Times New Roman"/>
          <w:sz w:val="20"/>
          <w:szCs w:val="20"/>
        </w:rPr>
        <w:t>.</w:t>
      </w:r>
    </w:p>
    <w:p w14:paraId="25A1E4EC" w14:textId="69FB8562" w:rsidR="004C1142" w:rsidRPr="00476DF1" w:rsidRDefault="004C1142">
      <w:pPr>
        <w:spacing w:after="0" w:line="240" w:lineRule="auto"/>
      </w:pPr>
    </w:p>
    <w:p w14:paraId="779156B7" w14:textId="77777777" w:rsidR="00677B30" w:rsidRPr="00476DF1" w:rsidRDefault="002A7D63" w:rsidP="00CE4BBE">
      <w:pPr>
        <w:pStyle w:val="Ttulo1"/>
        <w:numPr>
          <w:ilvl w:val="0"/>
          <w:numId w:val="0"/>
        </w:numPr>
        <w:spacing w:line="240" w:lineRule="auto"/>
      </w:pPr>
      <w:r w:rsidRPr="00476DF1">
        <w:t>Introduction</w:t>
      </w:r>
    </w:p>
    <w:p w14:paraId="498A5469" w14:textId="4FB9479F" w:rsidR="00EE67B3" w:rsidRPr="00476DF1" w:rsidRDefault="002D44BC"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Technological paradigms may suffer from diminishing returns as </w:t>
      </w:r>
      <w:r w:rsidR="00CE276A" w:rsidRPr="00476DF1">
        <w:rPr>
          <w:rFonts w:ascii="Times New Roman" w:hAnsi="Times New Roman"/>
          <w:sz w:val="24"/>
          <w:szCs w:val="24"/>
        </w:rPr>
        <w:t xml:space="preserve">the </w:t>
      </w:r>
      <w:r w:rsidRPr="00476DF1">
        <w:rPr>
          <w:rFonts w:ascii="Times New Roman" w:hAnsi="Times New Roman"/>
          <w:sz w:val="24"/>
          <w:szCs w:val="24"/>
        </w:rPr>
        <w:t>technological traj</w:t>
      </w:r>
      <w:r w:rsidR="00CE276A" w:rsidRPr="00476DF1">
        <w:rPr>
          <w:rFonts w:ascii="Times New Roman" w:hAnsi="Times New Roman"/>
          <w:sz w:val="24"/>
          <w:szCs w:val="24"/>
        </w:rPr>
        <w:t>e</w:t>
      </w:r>
      <w:r w:rsidRPr="00476DF1">
        <w:rPr>
          <w:rFonts w:ascii="Times New Roman" w:hAnsi="Times New Roman"/>
          <w:sz w:val="24"/>
          <w:szCs w:val="24"/>
        </w:rPr>
        <w:t xml:space="preserve">ctories </w:t>
      </w:r>
      <w:r w:rsidR="00CE276A" w:rsidRPr="00476DF1">
        <w:rPr>
          <w:rFonts w:ascii="Times New Roman" w:hAnsi="Times New Roman"/>
          <w:sz w:val="24"/>
          <w:szCs w:val="24"/>
        </w:rPr>
        <w:t>within</w:t>
      </w:r>
      <w:r w:rsidRPr="00476DF1">
        <w:rPr>
          <w:rFonts w:ascii="Times New Roman" w:hAnsi="Times New Roman"/>
          <w:sz w:val="24"/>
          <w:szCs w:val="24"/>
        </w:rPr>
        <w:t xml:space="preserve"> them are explored. This process </w:t>
      </w:r>
      <w:r w:rsidR="005E1136" w:rsidRPr="00476DF1">
        <w:rPr>
          <w:rFonts w:ascii="Times New Roman" w:hAnsi="Times New Roman"/>
          <w:sz w:val="24"/>
          <w:szCs w:val="24"/>
        </w:rPr>
        <w:t>is widely</w:t>
      </w:r>
      <w:r w:rsidRPr="00476DF1">
        <w:rPr>
          <w:rFonts w:ascii="Times New Roman" w:hAnsi="Times New Roman"/>
          <w:sz w:val="24"/>
          <w:szCs w:val="24"/>
        </w:rPr>
        <w:t xml:space="preserve"> discussed </w:t>
      </w:r>
      <w:r w:rsidR="005E1136" w:rsidRPr="00476DF1">
        <w:rPr>
          <w:rFonts w:ascii="Times New Roman" w:hAnsi="Times New Roman"/>
          <w:sz w:val="24"/>
          <w:szCs w:val="24"/>
        </w:rPr>
        <w:t xml:space="preserve">within </w:t>
      </w:r>
      <w:r w:rsidRPr="00476DF1">
        <w:rPr>
          <w:rFonts w:ascii="Times New Roman" w:hAnsi="Times New Roman"/>
          <w:sz w:val="24"/>
          <w:szCs w:val="24"/>
        </w:rPr>
        <w:t xml:space="preserve">the pharmaceutical </w:t>
      </w:r>
      <w:r w:rsidR="006631CE" w:rsidRPr="00476DF1">
        <w:rPr>
          <w:rFonts w:ascii="Times New Roman" w:hAnsi="Times New Roman"/>
          <w:sz w:val="24"/>
          <w:szCs w:val="24"/>
        </w:rPr>
        <w:t xml:space="preserve">industry </w:t>
      </w:r>
      <w:r w:rsidR="00CE276A" w:rsidRPr="00476DF1">
        <w:rPr>
          <w:rFonts w:ascii="Times New Roman" w:hAnsi="Times New Roman"/>
          <w:sz w:val="24"/>
          <w:szCs w:val="24"/>
        </w:rPr>
        <w:t>as t</w:t>
      </w:r>
      <w:r w:rsidRPr="00476DF1">
        <w:rPr>
          <w:rFonts w:ascii="Times New Roman" w:hAnsi="Times New Roman"/>
          <w:sz w:val="24"/>
          <w:szCs w:val="24"/>
        </w:rPr>
        <w:t xml:space="preserve">he </w:t>
      </w:r>
      <w:r w:rsidR="00CE276A" w:rsidRPr="00476DF1">
        <w:rPr>
          <w:rFonts w:ascii="Times New Roman" w:hAnsi="Times New Roman"/>
          <w:sz w:val="24"/>
          <w:szCs w:val="24"/>
        </w:rPr>
        <w:t>“</w:t>
      </w:r>
      <w:r w:rsidRPr="00476DF1">
        <w:rPr>
          <w:rFonts w:ascii="Times New Roman" w:hAnsi="Times New Roman"/>
          <w:sz w:val="24"/>
          <w:szCs w:val="24"/>
        </w:rPr>
        <w:t>famous</w:t>
      </w:r>
      <w:r w:rsidR="00CE276A" w:rsidRPr="00476DF1">
        <w:rPr>
          <w:rFonts w:ascii="Times New Roman" w:hAnsi="Times New Roman"/>
          <w:sz w:val="24"/>
          <w:szCs w:val="24"/>
        </w:rPr>
        <w:t>”</w:t>
      </w:r>
      <w:r w:rsidR="00F57A60" w:rsidRPr="00476DF1">
        <w:rPr>
          <w:rFonts w:ascii="Times New Roman" w:hAnsi="Times New Roman"/>
          <w:sz w:val="24"/>
          <w:szCs w:val="24"/>
        </w:rPr>
        <w:t xml:space="preserve"> R&amp;D</w:t>
      </w:r>
      <w:r w:rsidRPr="00476DF1">
        <w:rPr>
          <w:rFonts w:ascii="Times New Roman" w:hAnsi="Times New Roman"/>
          <w:sz w:val="24"/>
          <w:szCs w:val="24"/>
        </w:rPr>
        <w:t xml:space="preserve"> productivity crises.</w:t>
      </w:r>
      <w:r w:rsidR="00EE5B46" w:rsidRPr="00476DF1">
        <w:rPr>
          <w:rFonts w:ascii="Times New Roman" w:hAnsi="Times New Roman"/>
          <w:sz w:val="24"/>
          <w:szCs w:val="24"/>
        </w:rPr>
        <w:t xml:space="preserve"> Although</w:t>
      </w:r>
      <w:r w:rsidR="00AF105B" w:rsidRPr="00476DF1">
        <w:rPr>
          <w:rFonts w:ascii="Times New Roman" w:hAnsi="Times New Roman"/>
          <w:sz w:val="24"/>
          <w:szCs w:val="24"/>
        </w:rPr>
        <w:t xml:space="preserve"> addressed</w:t>
      </w:r>
      <w:r w:rsidR="006D729B" w:rsidRPr="00476DF1">
        <w:rPr>
          <w:rFonts w:ascii="Times New Roman" w:hAnsi="Times New Roman"/>
          <w:sz w:val="24"/>
          <w:szCs w:val="24"/>
        </w:rPr>
        <w:t xml:space="preserve"> extensively,</w:t>
      </w:r>
      <w:r w:rsidRPr="00476DF1">
        <w:rPr>
          <w:rFonts w:ascii="Times New Roman" w:hAnsi="Times New Roman"/>
          <w:sz w:val="24"/>
          <w:szCs w:val="24"/>
        </w:rPr>
        <w:t xml:space="preserve"> </w:t>
      </w:r>
      <w:r w:rsidR="00EE5B46" w:rsidRPr="00476DF1">
        <w:rPr>
          <w:rFonts w:ascii="Times New Roman" w:hAnsi="Times New Roman"/>
          <w:sz w:val="24"/>
          <w:szCs w:val="24"/>
        </w:rPr>
        <w:t>t</w:t>
      </w:r>
      <w:r w:rsidRPr="00476DF1">
        <w:rPr>
          <w:rFonts w:ascii="Times New Roman" w:hAnsi="Times New Roman"/>
          <w:sz w:val="24"/>
          <w:szCs w:val="24"/>
        </w:rPr>
        <w:t>he so-called crises</w:t>
      </w:r>
      <w:r w:rsidR="006D729B" w:rsidRPr="00476DF1">
        <w:rPr>
          <w:rFonts w:ascii="Times New Roman" w:hAnsi="Times New Roman"/>
          <w:sz w:val="24"/>
          <w:szCs w:val="24"/>
        </w:rPr>
        <w:t xml:space="preserve"> </w:t>
      </w:r>
      <w:r w:rsidR="00A467D8" w:rsidRPr="00476DF1">
        <w:rPr>
          <w:rFonts w:ascii="Times New Roman" w:hAnsi="Times New Roman"/>
          <w:sz w:val="24"/>
          <w:szCs w:val="24"/>
        </w:rPr>
        <w:t>lack a</w:t>
      </w:r>
      <w:r w:rsidR="004626CB" w:rsidRPr="00476DF1">
        <w:rPr>
          <w:rFonts w:ascii="Times New Roman" w:hAnsi="Times New Roman"/>
          <w:sz w:val="24"/>
          <w:szCs w:val="24"/>
        </w:rPr>
        <w:t xml:space="preserve"> unanimous cause</w:t>
      </w:r>
      <w:r w:rsidR="006D729B" w:rsidRPr="00476DF1">
        <w:rPr>
          <w:rFonts w:ascii="Times New Roman" w:hAnsi="Times New Roman"/>
          <w:sz w:val="24"/>
          <w:szCs w:val="24"/>
        </w:rPr>
        <w:t>.</w:t>
      </w:r>
      <w:r w:rsidR="006D6E68" w:rsidRPr="00476DF1">
        <w:rPr>
          <w:rFonts w:ascii="Times New Roman" w:hAnsi="Times New Roman"/>
          <w:sz w:val="24"/>
          <w:szCs w:val="24"/>
        </w:rPr>
        <w:t xml:space="preserve"> </w:t>
      </w:r>
      <w:r w:rsidR="006D729B" w:rsidRPr="00476DF1">
        <w:rPr>
          <w:rFonts w:ascii="Times New Roman" w:hAnsi="Times New Roman"/>
          <w:sz w:val="24"/>
          <w:szCs w:val="24"/>
        </w:rPr>
        <w:t>S</w:t>
      </w:r>
      <w:r w:rsidR="00F16CF1" w:rsidRPr="00476DF1">
        <w:rPr>
          <w:rFonts w:ascii="Times New Roman" w:hAnsi="Times New Roman"/>
          <w:sz w:val="24"/>
          <w:szCs w:val="24"/>
        </w:rPr>
        <w:t>ome stress the rising costs of developing new drugs</w:t>
      </w:r>
      <w:r w:rsidR="001856D4" w:rsidRPr="00476DF1">
        <w:rPr>
          <w:rFonts w:ascii="Times New Roman" w:hAnsi="Times New Roman"/>
          <w:sz w:val="24"/>
          <w:szCs w:val="24"/>
        </w:rPr>
        <w:t xml:space="preserve"> </w:t>
      </w:r>
      <w:r w:rsidR="001856D4" w:rsidRPr="00476DF1">
        <w:rPr>
          <w:rFonts w:ascii="Times New Roman" w:hAnsi="Times New Roman"/>
          <w:sz w:val="24"/>
          <w:szCs w:val="24"/>
        </w:rPr>
        <w:fldChar w:fldCharType="begin" w:fldLock="1"/>
      </w:r>
      <w:r w:rsidR="00A17C42" w:rsidRPr="00476DF1">
        <w:rPr>
          <w:rFonts w:ascii="Times New Roman" w:hAnsi="Times New Roman"/>
          <w:sz w:val="24"/>
          <w:szCs w:val="24"/>
        </w:rPr>
        <w:instrText>ADDIN CSL_CITATION { "citationItems" : [ { "id" : "ITEM-1", "itemData" : { "DOI" : "10.1177/009286150003400425", "ISBN" : "0092861500034", "ISSN" : "0092-8615", "abstract" : "This study examines what is generally regarded to be the most important measure of innovation in the pharmaceutical industry- the extent to which new drugs are developed and marketed by pharmaceutical firms. Pharmaceutical industry output, as measured by new chemical entity (NCE) approvals in the United States since the 1962 Amendments to the Federal Food, Drug, and Cosmetic Act of 1938, is examined at the firm level. This long- term historical perspective permits us to observe the extent to which this industry has been concentrated with respect to innovative output and how stable company leadership positions have been over time. Databases containing detailed information on all NCEs approved in the United States from 1963 to 1999 and on a large sample of investigational NCEs taken into clinical testing since 1963 were utilized to examine productivity in developing new products at the firm level according to the following stratifications: period of approval, therapeutic class, whether the compounds were self-originated (ie, developed by one firm) or acquired (eg, licensed), and Food and Drug Administration ratings of therapeutic significance. The data indicate that innovation in the pharmaceutical industry is fairly widely dispersed and has become less concentrated over time. Turnover in company rankings based on the number of new drug introductions is substantial. Nonetheless, firms have differed in the productivity of their development programs and some firms have consistently maintained high ranks for their level of innovative output over a lengthy period.", "author" : [ { "dropping-particle" : "", "family" : "DiMasi", "given" : "J. A.", "non-dropping-particle" : "", "parse-names" : false, "suffix" : "" } ], "container-title" : "Drug Information Journal", "id" : "ITEM-1", "issue" : "4", "issued" : { "date-parts" : [ [ "2000" ] ] }, "page" : "1169-1194", "title" : "New Drug Innovation and Pharmaceutical Industry Structure: Trends in the Output of Pharmaceutical Firms", "type" : "article-journal", "volume" : "34" }, "uris" : [ "http://www.mendeley.com/documents/?uuid=eeadba50-32a5-4cc6-9c5a-11289612c5dd" ] }, { "id" : "ITEM-2", "itemData" : { "DOI" : "10.1038/nrd.2016.104", "ISSN" : "1474-1776", "author" : [ { "dropping-particle" : "", "family" : "Carter", "given" : "Percy H.", "non-dropping-particle" : "", "parse-names" : false, "suffix" : "" }, { "dropping-particle" : "", "family" : "Berndt", "given" : "Ernst R.", "non-dropping-particle" : "", "parse-names" : false, "suffix" : "" }, { "dropping-particle" : "", "family" : "DiMasi", "given" : "Joseph A.", "non-dropping-particle" : "", "parse-names" : false, "suffix" : "" }, { "dropping-particle" : "", "family" : "Trusheim", "given" : "Mark", "non-dropping-particle" : "", "parse-names" : false, "suffix" : "" } ], "container-title" : "Nature Reviews Drug Discovery", "id" : "ITEM-2", "issue" : "10", "issued" : { "date-parts" : [ [ "2016" ] ] }, "page" : "673-674", "publisher" : "Nature Publishing Group", "title" : "Investigating investment in biopharmaceutical R&amp;D", "type" : "article-journal", "volume" : "15" }, "uris" : [ "http://www.mendeley.com/documents/?uuid=6849cbc4-352b-4023-a925-b533eda038ea" ] }, { "id" : "ITEM-3", "itemData" : { "DOI" : "10.1016/j.jhealeco.2012.09.006", "ISBN" : "1879-1646 (Electronic)\\r0167-6296 (Linking)", "ISSN" : "01676296", "PMID" : "23220457", "abstract" : "Conflicting trends confound the pharmaceutical industry. The productivity of pharmaceutical innovation has declined in recent years. At the same time, the cohort of large companies who are the leading engines of pharmaceutical R&amp;D has become increasingly concentrated. The concurrent presence of these trends is not sufficient to determine causation. In response to lagging innovation prospects, some companies have sought refuge in mergers and acquisitions to disguise their dwindling prospects or gain R&amp;D synergies. On the other hand, the increased concentration brought on by recent mergers may have contributed to the declining rate of innovation. In this paper, we consider the second of these causal relationships: the likely impact of the recent merger wave among the largest pharmaceutical companies on the rate of innovation. In other words, have recent mergers, which may have been taken in response to lagging innovation, represented a self-defeating strategy that only made industry outcomes worse? ?? 2012 Elsevier B.V..", "author" : [ { "dropping-particle" : "", "family" : "Comanor", "given" : "William S.", "non-dropping-particle" : "", "parse-names" : false, "suffix" : "" }, { "dropping-particle" : "", "family" : "Scherer", "given" : "F. M.", "non-dropping-particle" : "", "parse-names" : false, "suffix" : "" } ], "container-title" : "Journal of Health Economics", "id" : "ITEM-3", "issue" : "1", "issued" : { "date-parts" : [ [ "2013" ] ] }, "page" : "106-113", "publisher" : "Elsevier B.V.", "title" : "Mergers and innovation in the pharmaceutical industry", "type" : "article-journal", "volume" : "32" }, "uris" : [ "http://www.mendeley.com/documents/?uuid=3f1d97c2-c763-4bd5-8193-ea95553f2967" ] } ], "mendeley" : { "formattedCitation" : "(CARTER et al., 2016; COMANOR; SCHERER, 2013; DIMASI, 2000)", "manualFormatting" : "( COMANOR; SCHERER, 2013", "plainTextFormattedCitation" : "(CARTER et al., 2016; COMANOR; SCHERER, 2013; DIMASI, 2000)", "previouslyFormattedCitation" : "(CARTER et al., 2016; COMANOR; SCHERER, 2013; DIMASI, 2000)" }, "properties" : {  }, "schema" : "https://github.com/citation-style-language/schema/raw/master/csl-citation.json" }</w:instrText>
      </w:r>
      <w:r w:rsidR="001856D4" w:rsidRPr="00476DF1">
        <w:rPr>
          <w:rFonts w:ascii="Times New Roman" w:hAnsi="Times New Roman"/>
          <w:sz w:val="24"/>
          <w:szCs w:val="24"/>
        </w:rPr>
        <w:fldChar w:fldCharType="separate"/>
      </w:r>
      <w:r w:rsidR="001856D4" w:rsidRPr="00476DF1">
        <w:rPr>
          <w:rFonts w:ascii="Times New Roman" w:hAnsi="Times New Roman"/>
          <w:noProof/>
          <w:sz w:val="24"/>
          <w:szCs w:val="24"/>
        </w:rPr>
        <w:t>(COMANOR</w:t>
      </w:r>
      <w:r w:rsidR="00312ADF" w:rsidRPr="00476DF1">
        <w:rPr>
          <w:rFonts w:ascii="Times New Roman" w:hAnsi="Times New Roman"/>
          <w:noProof/>
          <w:sz w:val="24"/>
          <w:szCs w:val="24"/>
        </w:rPr>
        <w:t xml:space="preserve"> AND</w:t>
      </w:r>
      <w:r w:rsidR="001856D4" w:rsidRPr="00476DF1">
        <w:rPr>
          <w:rFonts w:ascii="Times New Roman" w:hAnsi="Times New Roman"/>
          <w:noProof/>
          <w:sz w:val="24"/>
          <w:szCs w:val="24"/>
        </w:rPr>
        <w:t xml:space="preserve"> SCHERER, 2013</w:t>
      </w:r>
      <w:r w:rsidR="001856D4" w:rsidRPr="00476DF1">
        <w:rPr>
          <w:rFonts w:ascii="Times New Roman" w:hAnsi="Times New Roman"/>
          <w:sz w:val="24"/>
          <w:szCs w:val="24"/>
        </w:rPr>
        <w:fldChar w:fldCharType="end"/>
      </w:r>
      <w:r w:rsidR="001856D4" w:rsidRPr="00476DF1">
        <w:rPr>
          <w:rFonts w:ascii="Times New Roman" w:hAnsi="Times New Roman"/>
          <w:sz w:val="24"/>
          <w:szCs w:val="24"/>
        </w:rPr>
        <w:fldChar w:fldCharType="begin" w:fldLock="1"/>
      </w:r>
      <w:r w:rsidR="00A17C42" w:rsidRPr="00476DF1">
        <w:rPr>
          <w:rFonts w:ascii="Times New Roman" w:hAnsi="Times New Roman"/>
          <w:sz w:val="24"/>
          <w:szCs w:val="24"/>
        </w:rPr>
        <w:instrText>ADDIN CSL_CITATION { "citationItems" : [ { "id" : "ITEM-1", "itemData" : { "DOI" : "10.1038/nrd2961", "ISBN" : "1474-1784 (Electronic)\\r1474-1776 (Linking)", "ISSN" : "1474-1776", "PMID" : "19949401", "abstract" : "Despite unprecedented investment in pharmaceutical research and development (R&amp;D), the number of new drugs approved by the US Food and Drug Administration (FDA) remains low. To help understand this conundrum, this article investigates the record of pharmaceutical innovation by analysing data on the companies that introduced the approximately 1,200 new drugs that have been approved by the FDA since 1950. This analysis shows that the new-drug output from pharmaceutical companies in this period has essentially been constant, and remains so despite the attempts to increase it. This suggests that, contrary to common perception, the new-drug output is not depressed, but may simply reflect the limitations of the current R&amp;D model. The implications of these findings and options to achieve sustainability for the pharmaceutical industry are discussed.", "author" : [ { "dropping-particle" : "", "family" : "Munos", "given" : "Bernard", "non-dropping-particle" : "", "parse-names" : false, "suffix" : "" } ], "container-title" : "Nature reviews. Drug discovery", "id" : "ITEM-1", "issue" : "12", "issued" : { "date-parts" : [ [ "2009" ] ] }, "page" : "959-968", "publisher" : "Nature Publishing Group", "title" : "Lessons from 60 years of pharmaceutical innovation.", "type" : "article-journal", "volume" : "8" }, "uris" : [ "http://www.mendeley.com/documents/?uuid=a6b9ddea-c97d-43e1-99dd-5c184f134e3b" ] } ], "mendeley" : { "formattedCitation" : "(MUNOS, 2009)", "manualFormatting" : ")", "plainTextFormattedCitation" : "(MUNOS, 2009)", "previouslyFormattedCitation" : "(MUNOS, 2009)" }, "properties" : {  }, "schema" : "https://github.com/citation-style-language/schema/raw/master/csl-citation.json" }</w:instrText>
      </w:r>
      <w:r w:rsidR="001856D4" w:rsidRPr="00476DF1">
        <w:rPr>
          <w:rFonts w:ascii="Times New Roman" w:hAnsi="Times New Roman"/>
          <w:sz w:val="24"/>
          <w:szCs w:val="24"/>
        </w:rPr>
        <w:fldChar w:fldCharType="separate"/>
      </w:r>
      <w:r w:rsidR="001856D4" w:rsidRPr="00476DF1">
        <w:rPr>
          <w:rFonts w:ascii="Times New Roman" w:hAnsi="Times New Roman"/>
          <w:noProof/>
          <w:sz w:val="24"/>
          <w:szCs w:val="24"/>
        </w:rPr>
        <w:t>)</w:t>
      </w:r>
      <w:r w:rsidR="001856D4" w:rsidRPr="00476DF1">
        <w:rPr>
          <w:rFonts w:ascii="Times New Roman" w:hAnsi="Times New Roman"/>
          <w:sz w:val="24"/>
          <w:szCs w:val="24"/>
        </w:rPr>
        <w:fldChar w:fldCharType="end"/>
      </w:r>
      <w:r w:rsidR="005D33BD" w:rsidRPr="00476DF1">
        <w:rPr>
          <w:rFonts w:ascii="Times New Roman" w:hAnsi="Times New Roman"/>
          <w:sz w:val="24"/>
          <w:szCs w:val="24"/>
        </w:rPr>
        <w:t>,</w:t>
      </w:r>
      <w:r w:rsidR="00F16CF1" w:rsidRPr="00476DF1">
        <w:rPr>
          <w:rFonts w:ascii="Times New Roman" w:hAnsi="Times New Roman"/>
          <w:sz w:val="24"/>
          <w:szCs w:val="24"/>
        </w:rPr>
        <w:t xml:space="preserve"> </w:t>
      </w:r>
      <w:r w:rsidR="00A467D8" w:rsidRPr="00476DF1">
        <w:rPr>
          <w:rFonts w:ascii="Times New Roman" w:hAnsi="Times New Roman"/>
          <w:sz w:val="24"/>
          <w:szCs w:val="24"/>
        </w:rPr>
        <w:t xml:space="preserve">while </w:t>
      </w:r>
      <w:r w:rsidR="00F16CF1" w:rsidRPr="00476DF1">
        <w:rPr>
          <w:rFonts w:ascii="Times New Roman" w:hAnsi="Times New Roman"/>
          <w:sz w:val="24"/>
          <w:szCs w:val="24"/>
        </w:rPr>
        <w:t xml:space="preserve">others </w:t>
      </w:r>
      <w:r w:rsidR="006D729B" w:rsidRPr="00476DF1">
        <w:rPr>
          <w:rFonts w:ascii="Times New Roman" w:hAnsi="Times New Roman"/>
          <w:sz w:val="24"/>
          <w:szCs w:val="24"/>
        </w:rPr>
        <w:t xml:space="preserve">point to </w:t>
      </w:r>
      <w:r w:rsidR="00A467D8" w:rsidRPr="00476DF1">
        <w:rPr>
          <w:rFonts w:ascii="Times New Roman" w:hAnsi="Times New Roman"/>
          <w:sz w:val="24"/>
          <w:szCs w:val="24"/>
        </w:rPr>
        <w:t xml:space="preserve">the exhaustion of </w:t>
      </w:r>
      <w:r w:rsidR="00F16CF1" w:rsidRPr="00476DF1">
        <w:rPr>
          <w:rFonts w:ascii="Times New Roman" w:hAnsi="Times New Roman"/>
          <w:sz w:val="24"/>
          <w:szCs w:val="24"/>
        </w:rPr>
        <w:t>technological trajectories</w:t>
      </w:r>
      <w:r w:rsidR="006D729B" w:rsidRPr="00476DF1">
        <w:rPr>
          <w:rFonts w:ascii="Times New Roman" w:hAnsi="Times New Roman"/>
          <w:sz w:val="24"/>
          <w:szCs w:val="24"/>
        </w:rPr>
        <w:t xml:space="preserve"> </w:t>
      </w:r>
      <w:r w:rsidR="003F7FEA" w:rsidRPr="00476DF1">
        <w:rPr>
          <w:rFonts w:ascii="Times New Roman" w:hAnsi="Times New Roman"/>
          <w:sz w:val="24"/>
          <w:szCs w:val="24"/>
        </w:rPr>
        <w:fldChar w:fldCharType="begin" w:fldLock="1"/>
      </w:r>
      <w:r w:rsidR="00A17C42" w:rsidRPr="00476DF1">
        <w:rPr>
          <w:rFonts w:ascii="Times New Roman" w:hAnsi="Times New Roman"/>
          <w:sz w:val="24"/>
          <w:szCs w:val="24"/>
        </w:rPr>
        <w:instrText>ADDIN CSL_CITATION { "citationItems" : [ { "id" : "ITEM-1", "itemData" : { "author" : [ { "dropping-particle" : "", "family" : "Achilladelis", "given" : "Basil", "non-dropping-particle" : "", "parse-names" : false, "suffix" : "" }, { "dropping-particle" : "", "family" : "Antonakis", "given" : "Nicholas", "non-dropping-particle" : "", "parse-names" : false, "suffix" : "" } ], "id" : "ITEM-1", "issued" : { "date-parts" : [ [ "2001" ] ] }, "title" : "The dynamics of technological innovation : the case of the pharmaceutical industry", "type" : "article-journal" }, "uris" : [ "http://www.mendeley.com/documents/?uuid=3d43799c-d0c6-4e6e-bf0d-f8a477872aed" ] }, { "id" : "ITEM-2", "itemData" : { "DOI" : "10.1093/icc/dtt022", "ISBN" : "0960-6491", "ISSN" : "09606491", "abstract" : "This article explores how the UK\u2019s biotech firms have evolved in response to their financial environment. As investors\u2019 expectations about the potential of biotech have changed, funding options have opened up and closed down, leading firms to develop new business models and routes of technology development. After a fa- vorable period, new constraints on stock market funding have forced UK biotech firms to compress their life cycles, constraining their ability to generate the late- stage drug candidates sought by large pharmaceutical firms. These changes are analyzed within a neo-Chandlerian framework in the context of a selection envir- onment where rather than firms of varying inefficiencies being selected by an efficient market, we find entrepreneurs submitting themselves to an inefficient investment-selection process at the intersection of industries attempting to achieve their own scale economies. The article highlights the importance of the scale of investment at the firm and industry level, and suggests that decline in the size of the industry can have adverse consequences for investment and firm per- formance in this setting. JEL", "author" : [ { "dropping-particle" : "", "family" : "Hopkins", "given" : "Michael M.", "non-dropping-particle" : "", "parse-names" : false, "suffix" : "" }, { "dropping-particle" : "", "family" : "Crane", "given" : "Philippa A.", "non-dropping-particle" : "", "parse-names" : false, "suffix" : "" }, { "dropping-particle" : "", "family" : "Nightingaley", "given" : "Paul", "non-dropping-particle" : "", "parse-names" : false, "suffix" : "" }, { "dropping-particle" : "", "family" : "Baden-Fullerz", "given" : "Charles", "non-dropping-particle" : "", "parse-names" : false, "suffix" : "" } ], "container-title" : "Industrial and Corporate Change", "id" : "ITEM-2", "issue" : "4", "issued" : { "date-parts" : [ [ "2013" ] ] }, "page" : "903-952", "title" : "Buying big into biotech: Scale, financing, and the industrial dynamics of UK biotech, 1980-2009", "type" : "article-journal", "volume" : "22" }, "uris" : [ "http://www.mendeley.com/documents/?uuid=3b6ad570-484c-4e2c-b10b-9ffb3d642972" ] }, { "id" : "ITEM-3", "itemData" : { "DOI" : "Article", "ISBN" : "0960-6491", "ISSN" : "09606491", "PMID" : "540618", "abstract" : "Explores how changes in genetics, high-throughput screening and bioinformatics\\ntechnologies have allowed pharmaceutical firms to exploit economies\\nof scale in experimentation. Ways of complementing traditional craft-based,\\nsequential experimentation in chemistry and biology; Analysis of\\nthe changes within a Chandlerian framework.", "author" : [ { "dropping-particle" : "", "family" : "Nightingale", "given" : "P", "non-dropping-particle" : "", "parse-names" : false, "suffix" : "" } ], "container-title" : "Industrial &amp; Corporate Change", "id" : "ITEM-3", "issue" : "2", "issued" : { "date-parts" : [ [ "2000" ] ] }, "page" : "315", "title" : "Economies of scale in experimentation: knowledge and technology in pharmaceutical R&amp;D.", "type" : "article-journal", "volume" : "9" }, "uris" : [ "http://www.mendeley.com/documents/?uuid=f4b3ca45-0d58-4898-9940-f04dee279e16" ] } ], "mendeley" : { "formattedCitation" : "(ACHILLADELIS; ANTONAKIS, 2001; HOPKINS et al., 2013; NIGHTINGALE, 2000)", "manualFormatting" : "(NIGHTINGALE, 2000; HOPKINS et al., 2013)", "plainTextFormattedCitation" : "(ACHILLADELIS; ANTONAKIS, 2001; HOPKINS et al., 2013; NIGHTINGALE, 2000)", "previouslyFormattedCitation" : "(ACHILLADELIS; ANTONAKIS, 2001; HOPKINS et al., 2013; NIGHTINGALE, 2000)" }, "properties" : {  }, "schema" : "https://github.com/citation-style-language/schema/raw/master/csl-citation.json" }</w:instrText>
      </w:r>
      <w:r w:rsidR="003F7FEA" w:rsidRPr="00476DF1">
        <w:rPr>
          <w:rFonts w:ascii="Times New Roman" w:hAnsi="Times New Roman"/>
          <w:sz w:val="24"/>
          <w:szCs w:val="24"/>
        </w:rPr>
        <w:fldChar w:fldCharType="separate"/>
      </w:r>
      <w:r w:rsidR="003F7FEA" w:rsidRPr="00476DF1">
        <w:rPr>
          <w:rFonts w:ascii="Times New Roman" w:hAnsi="Times New Roman"/>
          <w:noProof/>
          <w:sz w:val="24"/>
          <w:szCs w:val="24"/>
        </w:rPr>
        <w:t>(NIGHTINGALE, 2000</w:t>
      </w:r>
      <w:r w:rsidR="00E36425" w:rsidRPr="00476DF1">
        <w:rPr>
          <w:rFonts w:ascii="Times New Roman" w:hAnsi="Times New Roman"/>
          <w:noProof/>
          <w:sz w:val="24"/>
          <w:szCs w:val="24"/>
        </w:rPr>
        <w:t xml:space="preserve">; HOPKINS </w:t>
      </w:r>
      <w:r w:rsidR="00E36425" w:rsidRPr="00476DF1">
        <w:rPr>
          <w:rFonts w:ascii="Times New Roman" w:hAnsi="Times New Roman"/>
          <w:i/>
          <w:noProof/>
          <w:sz w:val="24"/>
          <w:szCs w:val="24"/>
        </w:rPr>
        <w:t>et al</w:t>
      </w:r>
      <w:r w:rsidR="00E36425" w:rsidRPr="00476DF1">
        <w:rPr>
          <w:rFonts w:ascii="Times New Roman" w:hAnsi="Times New Roman"/>
          <w:noProof/>
          <w:sz w:val="24"/>
          <w:szCs w:val="24"/>
        </w:rPr>
        <w:t>., 2013</w:t>
      </w:r>
      <w:r w:rsidR="003F7FEA" w:rsidRPr="00476DF1">
        <w:rPr>
          <w:rFonts w:ascii="Times New Roman" w:hAnsi="Times New Roman"/>
          <w:noProof/>
          <w:sz w:val="24"/>
          <w:szCs w:val="24"/>
        </w:rPr>
        <w:t>)</w:t>
      </w:r>
      <w:r w:rsidR="003F7FEA" w:rsidRPr="00476DF1">
        <w:rPr>
          <w:rFonts w:ascii="Times New Roman" w:hAnsi="Times New Roman"/>
          <w:sz w:val="24"/>
          <w:szCs w:val="24"/>
        </w:rPr>
        <w:fldChar w:fldCharType="end"/>
      </w:r>
      <w:r w:rsidR="00F16CF1" w:rsidRPr="00476DF1">
        <w:rPr>
          <w:rFonts w:ascii="Times New Roman" w:hAnsi="Times New Roman"/>
          <w:sz w:val="24"/>
          <w:szCs w:val="24"/>
        </w:rPr>
        <w:t xml:space="preserve">. </w:t>
      </w:r>
    </w:p>
    <w:p w14:paraId="1B0B9F41" w14:textId="647F9649" w:rsidR="004626CB" w:rsidRPr="00476DF1" w:rsidRDefault="0092571F"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However, t</w:t>
      </w:r>
      <w:r w:rsidR="006631CE" w:rsidRPr="00476DF1">
        <w:rPr>
          <w:rFonts w:ascii="Times New Roman" w:hAnsi="Times New Roman"/>
          <w:sz w:val="24"/>
          <w:szCs w:val="24"/>
        </w:rPr>
        <w:t>his cris</w:t>
      </w:r>
      <w:r w:rsidR="00EE67B3" w:rsidRPr="00476DF1">
        <w:rPr>
          <w:rFonts w:ascii="Times New Roman" w:hAnsi="Times New Roman"/>
          <w:sz w:val="24"/>
          <w:szCs w:val="24"/>
        </w:rPr>
        <w:t>i</w:t>
      </w:r>
      <w:r w:rsidR="006631CE" w:rsidRPr="00476DF1">
        <w:rPr>
          <w:rFonts w:ascii="Times New Roman" w:hAnsi="Times New Roman"/>
          <w:sz w:val="24"/>
          <w:szCs w:val="24"/>
        </w:rPr>
        <w:t xml:space="preserve">s </w:t>
      </w:r>
      <w:r w:rsidR="00EE67B3" w:rsidRPr="00476DF1">
        <w:rPr>
          <w:rFonts w:ascii="Times New Roman" w:hAnsi="Times New Roman"/>
          <w:sz w:val="24"/>
          <w:szCs w:val="24"/>
        </w:rPr>
        <w:t xml:space="preserve">has </w:t>
      </w:r>
      <w:r w:rsidR="006631CE" w:rsidRPr="00476DF1">
        <w:rPr>
          <w:rFonts w:ascii="Times New Roman" w:hAnsi="Times New Roman"/>
          <w:sz w:val="24"/>
          <w:szCs w:val="24"/>
        </w:rPr>
        <w:t xml:space="preserve">one </w:t>
      </w:r>
      <w:r w:rsidR="00EE67B3" w:rsidRPr="00476DF1">
        <w:rPr>
          <w:rFonts w:ascii="Times New Roman" w:hAnsi="Times New Roman"/>
          <w:sz w:val="24"/>
          <w:szCs w:val="24"/>
        </w:rPr>
        <w:t xml:space="preserve">solid </w:t>
      </w:r>
      <w:r w:rsidR="006631CE" w:rsidRPr="00476DF1">
        <w:rPr>
          <w:rFonts w:ascii="Times New Roman" w:hAnsi="Times New Roman"/>
          <w:sz w:val="24"/>
          <w:szCs w:val="24"/>
        </w:rPr>
        <w:t xml:space="preserve">fact: the </w:t>
      </w:r>
      <w:r w:rsidR="0066290B" w:rsidRPr="00476DF1">
        <w:rPr>
          <w:rFonts w:ascii="Times New Roman" w:hAnsi="Times New Roman"/>
          <w:sz w:val="24"/>
          <w:szCs w:val="24"/>
        </w:rPr>
        <w:t>industry</w:t>
      </w:r>
      <w:r w:rsidR="00F16CF1" w:rsidRPr="00476DF1">
        <w:rPr>
          <w:rFonts w:ascii="Times New Roman" w:hAnsi="Times New Roman"/>
          <w:sz w:val="24"/>
          <w:szCs w:val="24"/>
        </w:rPr>
        <w:t xml:space="preserve"> </w:t>
      </w:r>
      <w:r w:rsidR="004445DA" w:rsidRPr="00476DF1">
        <w:rPr>
          <w:rFonts w:ascii="Times New Roman" w:hAnsi="Times New Roman"/>
          <w:sz w:val="24"/>
          <w:szCs w:val="24"/>
        </w:rPr>
        <w:t xml:space="preserve">is </w:t>
      </w:r>
      <w:r w:rsidR="0066290B" w:rsidRPr="00476DF1">
        <w:rPr>
          <w:rFonts w:ascii="Times New Roman" w:hAnsi="Times New Roman"/>
          <w:sz w:val="24"/>
          <w:szCs w:val="24"/>
        </w:rPr>
        <w:t>overcom</w:t>
      </w:r>
      <w:r w:rsidR="006D729B" w:rsidRPr="00476DF1">
        <w:rPr>
          <w:rFonts w:ascii="Times New Roman" w:hAnsi="Times New Roman"/>
          <w:sz w:val="24"/>
          <w:szCs w:val="24"/>
        </w:rPr>
        <w:t xml:space="preserve">ing </w:t>
      </w:r>
      <w:r w:rsidR="00F16CF1" w:rsidRPr="00476DF1">
        <w:rPr>
          <w:rFonts w:ascii="Times New Roman" w:hAnsi="Times New Roman"/>
          <w:sz w:val="24"/>
          <w:szCs w:val="24"/>
        </w:rPr>
        <w:t>this</w:t>
      </w:r>
      <w:r w:rsidR="0066290B" w:rsidRPr="00476DF1">
        <w:rPr>
          <w:rFonts w:ascii="Times New Roman" w:hAnsi="Times New Roman"/>
          <w:sz w:val="24"/>
          <w:szCs w:val="24"/>
        </w:rPr>
        <w:t xml:space="preserve"> problem</w:t>
      </w:r>
      <w:r w:rsidR="00EE67B3" w:rsidRPr="00476DF1">
        <w:rPr>
          <w:rFonts w:ascii="Times New Roman" w:hAnsi="Times New Roman"/>
          <w:sz w:val="24"/>
          <w:szCs w:val="24"/>
        </w:rPr>
        <w:t xml:space="preserve"> </w:t>
      </w:r>
      <w:r w:rsidRPr="00476DF1">
        <w:rPr>
          <w:rFonts w:ascii="Times New Roman" w:hAnsi="Times New Roman"/>
          <w:sz w:val="24"/>
          <w:szCs w:val="24"/>
        </w:rPr>
        <w:t>by diversifying</w:t>
      </w:r>
      <w:r w:rsidR="00F16CF1" w:rsidRPr="00476DF1">
        <w:rPr>
          <w:rFonts w:ascii="Times New Roman" w:hAnsi="Times New Roman"/>
          <w:sz w:val="24"/>
          <w:szCs w:val="24"/>
        </w:rPr>
        <w:t xml:space="preserve"> </w:t>
      </w:r>
      <w:r w:rsidR="004445DA" w:rsidRPr="00476DF1">
        <w:rPr>
          <w:rFonts w:ascii="Times New Roman" w:hAnsi="Times New Roman"/>
          <w:sz w:val="24"/>
          <w:szCs w:val="24"/>
        </w:rPr>
        <w:t xml:space="preserve">its </w:t>
      </w:r>
      <w:r w:rsidR="00F16CF1" w:rsidRPr="00476DF1">
        <w:rPr>
          <w:rFonts w:ascii="Times New Roman" w:hAnsi="Times New Roman"/>
          <w:sz w:val="24"/>
          <w:szCs w:val="24"/>
        </w:rPr>
        <w:t>capabilities</w:t>
      </w:r>
      <w:r w:rsidR="00EE67B3" w:rsidRPr="00476DF1">
        <w:rPr>
          <w:rFonts w:ascii="Times New Roman" w:hAnsi="Times New Roman"/>
          <w:sz w:val="24"/>
          <w:szCs w:val="24"/>
        </w:rPr>
        <w:t>,</w:t>
      </w:r>
      <w:r w:rsidR="006631CE" w:rsidRPr="00476DF1">
        <w:rPr>
          <w:rFonts w:ascii="Times New Roman" w:hAnsi="Times New Roman"/>
          <w:sz w:val="24"/>
          <w:szCs w:val="24"/>
        </w:rPr>
        <w:t xml:space="preserve"> as </w:t>
      </w:r>
      <w:r w:rsidR="00726537" w:rsidRPr="00476DF1">
        <w:rPr>
          <w:rFonts w:ascii="Times New Roman" w:hAnsi="Times New Roman"/>
          <w:sz w:val="24"/>
          <w:szCs w:val="24"/>
        </w:rPr>
        <w:t>Big Pharma</w:t>
      </w:r>
      <w:r w:rsidR="004445DA" w:rsidRPr="00476DF1">
        <w:rPr>
          <w:rFonts w:ascii="Times New Roman" w:hAnsi="Times New Roman"/>
          <w:sz w:val="24"/>
          <w:szCs w:val="24"/>
        </w:rPr>
        <w:t xml:space="preserve"> </w:t>
      </w:r>
      <w:r w:rsidR="006631CE" w:rsidRPr="00476DF1">
        <w:rPr>
          <w:rFonts w:ascii="Times New Roman" w:hAnsi="Times New Roman"/>
          <w:sz w:val="24"/>
          <w:szCs w:val="24"/>
        </w:rPr>
        <w:t>incorporate</w:t>
      </w:r>
      <w:r w:rsidRPr="00476DF1">
        <w:rPr>
          <w:rFonts w:ascii="Times New Roman" w:hAnsi="Times New Roman"/>
          <w:sz w:val="24"/>
          <w:szCs w:val="24"/>
        </w:rPr>
        <w:t>s</w:t>
      </w:r>
      <w:r w:rsidR="006631CE" w:rsidRPr="00476DF1">
        <w:rPr>
          <w:rFonts w:ascii="Times New Roman" w:hAnsi="Times New Roman"/>
          <w:sz w:val="24"/>
          <w:szCs w:val="24"/>
        </w:rPr>
        <w:t xml:space="preserve"> </w:t>
      </w:r>
      <w:r w:rsidR="00F16CF1" w:rsidRPr="00476DF1">
        <w:rPr>
          <w:rFonts w:ascii="Times New Roman" w:hAnsi="Times New Roman"/>
          <w:sz w:val="24"/>
          <w:szCs w:val="24"/>
        </w:rPr>
        <w:t xml:space="preserve">biotechnologies in </w:t>
      </w:r>
      <w:r w:rsidRPr="00476DF1">
        <w:rPr>
          <w:rFonts w:ascii="Times New Roman" w:hAnsi="Times New Roman"/>
          <w:sz w:val="24"/>
          <w:szCs w:val="24"/>
        </w:rPr>
        <w:t xml:space="preserve">its </w:t>
      </w:r>
      <w:r w:rsidR="00F16CF1" w:rsidRPr="00476DF1">
        <w:rPr>
          <w:rFonts w:ascii="Times New Roman" w:hAnsi="Times New Roman"/>
          <w:sz w:val="24"/>
          <w:szCs w:val="24"/>
        </w:rPr>
        <w:t>drug discovery activities</w:t>
      </w:r>
      <w:r w:rsidR="005D2A5F" w:rsidRPr="00476DF1">
        <w:rPr>
          <w:rFonts w:ascii="Times New Roman" w:hAnsi="Times New Roman"/>
          <w:sz w:val="24"/>
          <w:szCs w:val="24"/>
        </w:rPr>
        <w:t xml:space="preserve"> </w:t>
      </w:r>
      <w:r w:rsidR="00F16CF1" w:rsidRPr="00476DF1">
        <w:rPr>
          <w:rFonts w:ascii="Times New Roman" w:hAnsi="Times New Roman"/>
          <w:sz w:val="24"/>
          <w:szCs w:val="24"/>
        </w:rPr>
        <w:t>(</w:t>
      </w:r>
      <w:r w:rsidR="005D2A5F" w:rsidRPr="00476DF1">
        <w:rPr>
          <w:rFonts w:ascii="Times New Roman" w:hAnsi="Times New Roman"/>
          <w:sz w:val="24"/>
          <w:szCs w:val="24"/>
        </w:rPr>
        <w:t xml:space="preserve">NIGHTINGALE, 2000; </w:t>
      </w:r>
      <w:r w:rsidR="00376ED3" w:rsidRPr="00476DF1">
        <w:rPr>
          <w:rFonts w:ascii="Times New Roman" w:hAnsi="Times New Roman"/>
          <w:sz w:val="24"/>
          <w:szCs w:val="24"/>
        </w:rPr>
        <w:t>QUÉ</w:t>
      </w:r>
      <w:r w:rsidR="005D2A5F" w:rsidRPr="00476DF1">
        <w:rPr>
          <w:rFonts w:ascii="Times New Roman" w:hAnsi="Times New Roman"/>
          <w:sz w:val="24"/>
          <w:szCs w:val="24"/>
        </w:rPr>
        <w:t>R</w:t>
      </w:r>
      <w:r w:rsidR="00376ED3" w:rsidRPr="00476DF1">
        <w:rPr>
          <w:rFonts w:ascii="Times New Roman" w:hAnsi="Times New Roman"/>
          <w:sz w:val="24"/>
          <w:szCs w:val="24"/>
        </w:rPr>
        <w:t>É</w:t>
      </w:r>
      <w:r w:rsidR="005D2A5F" w:rsidRPr="00476DF1">
        <w:rPr>
          <w:rFonts w:ascii="Times New Roman" w:hAnsi="Times New Roman"/>
          <w:sz w:val="24"/>
          <w:szCs w:val="24"/>
        </w:rPr>
        <w:t>, 2004</w:t>
      </w:r>
      <w:r w:rsidR="00FB0E5C" w:rsidRPr="00476DF1">
        <w:rPr>
          <w:rFonts w:ascii="Times New Roman" w:hAnsi="Times New Roman"/>
          <w:sz w:val="24"/>
          <w:szCs w:val="24"/>
        </w:rPr>
        <w:t xml:space="preserve">). </w:t>
      </w:r>
      <w:r w:rsidR="003F7FEA" w:rsidRPr="00476DF1">
        <w:rPr>
          <w:rFonts w:ascii="Times New Roman" w:hAnsi="Times New Roman"/>
          <w:sz w:val="24"/>
          <w:szCs w:val="24"/>
        </w:rPr>
        <w:t>T</w:t>
      </w:r>
      <w:r w:rsidR="00671FCB" w:rsidRPr="00476DF1">
        <w:rPr>
          <w:rFonts w:ascii="Times New Roman" w:hAnsi="Times New Roman"/>
          <w:sz w:val="24"/>
          <w:szCs w:val="24"/>
        </w:rPr>
        <w:t xml:space="preserve">his process </w:t>
      </w:r>
      <w:r w:rsidR="005D2A5F" w:rsidRPr="00476DF1">
        <w:rPr>
          <w:rFonts w:ascii="Times New Roman" w:hAnsi="Times New Roman"/>
          <w:sz w:val="24"/>
          <w:szCs w:val="24"/>
        </w:rPr>
        <w:t>beg</w:t>
      </w:r>
      <w:r w:rsidRPr="00476DF1">
        <w:rPr>
          <w:rFonts w:ascii="Times New Roman" w:hAnsi="Times New Roman"/>
          <w:sz w:val="24"/>
          <w:szCs w:val="24"/>
        </w:rPr>
        <w:t>a</w:t>
      </w:r>
      <w:r w:rsidR="005D2A5F" w:rsidRPr="00476DF1">
        <w:rPr>
          <w:rFonts w:ascii="Times New Roman" w:hAnsi="Times New Roman"/>
          <w:sz w:val="24"/>
          <w:szCs w:val="24"/>
        </w:rPr>
        <w:t>n</w:t>
      </w:r>
      <w:r w:rsidR="00671FCB" w:rsidRPr="00476DF1">
        <w:rPr>
          <w:rFonts w:ascii="Times New Roman" w:hAnsi="Times New Roman"/>
          <w:sz w:val="24"/>
          <w:szCs w:val="24"/>
        </w:rPr>
        <w:t xml:space="preserve"> </w:t>
      </w:r>
      <w:r w:rsidR="00271FF8" w:rsidRPr="00476DF1">
        <w:rPr>
          <w:rFonts w:ascii="Times New Roman" w:hAnsi="Times New Roman"/>
          <w:sz w:val="24"/>
          <w:szCs w:val="24"/>
        </w:rPr>
        <w:t xml:space="preserve">in the late </w:t>
      </w:r>
      <w:r w:rsidRPr="00476DF1">
        <w:rPr>
          <w:rFonts w:ascii="Times New Roman" w:hAnsi="Times New Roman"/>
          <w:sz w:val="24"/>
          <w:szCs w:val="24"/>
        </w:rPr>
        <w:t>1970s and</w:t>
      </w:r>
      <w:r w:rsidR="00271FF8" w:rsidRPr="00476DF1">
        <w:rPr>
          <w:rFonts w:ascii="Times New Roman" w:hAnsi="Times New Roman"/>
          <w:sz w:val="24"/>
          <w:szCs w:val="24"/>
        </w:rPr>
        <w:t xml:space="preserve"> early </w:t>
      </w:r>
      <w:r w:rsidRPr="00476DF1">
        <w:rPr>
          <w:rFonts w:ascii="Times New Roman" w:hAnsi="Times New Roman"/>
          <w:sz w:val="24"/>
          <w:szCs w:val="24"/>
        </w:rPr>
        <w:t xml:space="preserve">1980s </w:t>
      </w:r>
      <w:r w:rsidR="00271FF8" w:rsidRPr="00476DF1">
        <w:rPr>
          <w:rFonts w:ascii="Times New Roman" w:hAnsi="Times New Roman"/>
          <w:sz w:val="24"/>
          <w:szCs w:val="24"/>
        </w:rPr>
        <w:t>(SHARP, 1996)</w:t>
      </w:r>
      <w:r w:rsidR="00F16CF1" w:rsidRPr="00476DF1">
        <w:rPr>
          <w:rFonts w:ascii="Times New Roman" w:eastAsia="Times New Roman" w:hAnsi="Times New Roman"/>
          <w:sz w:val="24"/>
          <w:szCs w:val="24"/>
          <w:shd w:val="clear" w:color="auto" w:fill="FFFFFF"/>
        </w:rPr>
        <w:t xml:space="preserve">. </w:t>
      </w:r>
      <w:r w:rsidRPr="00476DF1">
        <w:rPr>
          <w:rFonts w:ascii="Times New Roman" w:eastAsia="Times New Roman" w:hAnsi="Times New Roman"/>
          <w:sz w:val="24"/>
          <w:szCs w:val="24"/>
          <w:shd w:val="clear" w:color="auto" w:fill="FFFFFF"/>
        </w:rPr>
        <w:t>Presently</w:t>
      </w:r>
      <w:r w:rsidR="004445DA" w:rsidRPr="00476DF1">
        <w:rPr>
          <w:rFonts w:ascii="Times New Roman" w:eastAsia="Times New Roman" w:hAnsi="Times New Roman"/>
          <w:sz w:val="24"/>
          <w:szCs w:val="24"/>
          <w:shd w:val="clear" w:color="auto" w:fill="FFFFFF"/>
        </w:rPr>
        <w:t>,</w:t>
      </w:r>
      <w:r w:rsidR="008E732B" w:rsidRPr="00476DF1">
        <w:rPr>
          <w:rFonts w:ascii="Times New Roman" w:eastAsia="Times New Roman" w:hAnsi="Times New Roman"/>
          <w:sz w:val="24"/>
          <w:szCs w:val="24"/>
          <w:shd w:val="clear" w:color="auto" w:fill="FFFFFF"/>
        </w:rPr>
        <w:t xml:space="preserve"> </w:t>
      </w:r>
      <w:r w:rsidR="00F16CF1" w:rsidRPr="00476DF1">
        <w:rPr>
          <w:rFonts w:ascii="Times New Roman" w:eastAsia="Times New Roman" w:hAnsi="Times New Roman"/>
          <w:sz w:val="24"/>
          <w:szCs w:val="24"/>
          <w:shd w:val="clear" w:color="auto" w:fill="FFFFFF"/>
        </w:rPr>
        <w:t xml:space="preserve">all </w:t>
      </w:r>
      <w:r w:rsidR="00726537" w:rsidRPr="00476DF1">
        <w:rPr>
          <w:rFonts w:ascii="Times New Roman" w:eastAsia="Times New Roman" w:hAnsi="Times New Roman"/>
          <w:sz w:val="24"/>
          <w:szCs w:val="24"/>
          <w:shd w:val="clear" w:color="auto" w:fill="FFFFFF"/>
        </w:rPr>
        <w:t>Big Pharma</w:t>
      </w:r>
      <w:r w:rsidR="00F16CF1" w:rsidRPr="00476DF1">
        <w:rPr>
          <w:rFonts w:ascii="Times New Roman" w:eastAsia="Times New Roman" w:hAnsi="Times New Roman"/>
          <w:sz w:val="24"/>
          <w:szCs w:val="24"/>
          <w:shd w:val="clear" w:color="auto" w:fill="FFFFFF"/>
        </w:rPr>
        <w:t xml:space="preserve"> have some </w:t>
      </w:r>
      <w:r w:rsidR="00CF15B9" w:rsidRPr="00476DF1">
        <w:rPr>
          <w:rFonts w:ascii="Times New Roman" w:eastAsia="Times New Roman" w:hAnsi="Times New Roman"/>
          <w:sz w:val="24"/>
          <w:szCs w:val="24"/>
          <w:shd w:val="clear" w:color="auto" w:fill="FFFFFF"/>
        </w:rPr>
        <w:t xml:space="preserve">kind of </w:t>
      </w:r>
      <w:r w:rsidR="00F16CF1" w:rsidRPr="00476DF1">
        <w:rPr>
          <w:rFonts w:ascii="Times New Roman" w:eastAsia="Times New Roman" w:hAnsi="Times New Roman"/>
          <w:sz w:val="24"/>
          <w:szCs w:val="24"/>
          <w:shd w:val="clear" w:color="auto" w:fill="FFFFFF"/>
        </w:rPr>
        <w:t>scouting team that looks for promising new technologies developed by small biotech companies</w:t>
      </w:r>
      <w:r w:rsidR="00CF15B9" w:rsidRPr="00476DF1">
        <w:rPr>
          <w:rFonts w:ascii="Times New Roman" w:eastAsia="Times New Roman" w:hAnsi="Times New Roman"/>
          <w:sz w:val="24"/>
          <w:szCs w:val="24"/>
          <w:shd w:val="clear" w:color="auto" w:fill="FFFFFF"/>
        </w:rPr>
        <w:t xml:space="preserve">. This strategy led </w:t>
      </w:r>
      <w:r w:rsidR="0072697B" w:rsidRPr="00476DF1">
        <w:rPr>
          <w:rFonts w:ascii="Times New Roman" w:eastAsia="Times New Roman" w:hAnsi="Times New Roman"/>
          <w:sz w:val="24"/>
          <w:szCs w:val="24"/>
          <w:shd w:val="clear" w:color="auto" w:fill="FFFFFF"/>
        </w:rPr>
        <w:t xml:space="preserve">to </w:t>
      </w:r>
      <w:r w:rsidRPr="00476DF1">
        <w:rPr>
          <w:rFonts w:ascii="Times New Roman" w:eastAsia="Times New Roman" w:hAnsi="Times New Roman"/>
          <w:sz w:val="24"/>
          <w:szCs w:val="24"/>
          <w:shd w:val="clear" w:color="auto" w:fill="FFFFFF"/>
        </w:rPr>
        <w:t xml:space="preserve">the </w:t>
      </w:r>
      <w:r w:rsidR="00F16CF1" w:rsidRPr="00476DF1">
        <w:rPr>
          <w:rFonts w:ascii="Times New Roman" w:eastAsia="Times New Roman" w:hAnsi="Times New Roman"/>
          <w:sz w:val="24"/>
          <w:szCs w:val="24"/>
          <w:shd w:val="clear" w:color="auto" w:fill="FFFFFF"/>
        </w:rPr>
        <w:t>well-established behavior</w:t>
      </w:r>
      <w:r w:rsidR="0072697B" w:rsidRPr="00476DF1">
        <w:rPr>
          <w:rFonts w:ascii="Times New Roman" w:eastAsia="Times New Roman" w:hAnsi="Times New Roman"/>
          <w:sz w:val="24"/>
          <w:szCs w:val="24"/>
          <w:shd w:val="clear" w:color="auto" w:fill="FFFFFF"/>
        </w:rPr>
        <w:t xml:space="preserve"> of incorporating biotechnologies through </w:t>
      </w:r>
      <w:r w:rsidR="001B36D0" w:rsidRPr="00476DF1">
        <w:rPr>
          <w:rFonts w:ascii="Times New Roman" w:eastAsia="Times New Roman" w:hAnsi="Times New Roman"/>
          <w:sz w:val="24"/>
          <w:szCs w:val="24"/>
          <w:shd w:val="clear" w:color="auto" w:fill="FFFFFF"/>
        </w:rPr>
        <w:t>acquisition (AUTHOR, 2016)</w:t>
      </w:r>
      <w:r w:rsidR="00CF15B9" w:rsidRPr="00476DF1">
        <w:rPr>
          <w:rStyle w:val="Refdenotaderodap"/>
          <w:rFonts w:ascii="Times New Roman" w:eastAsia="Times New Roman" w:hAnsi="Times New Roman"/>
          <w:sz w:val="24"/>
          <w:szCs w:val="24"/>
          <w:shd w:val="clear" w:color="auto" w:fill="FFFFFF"/>
        </w:rPr>
        <w:footnoteReference w:id="3"/>
      </w:r>
      <w:r w:rsidR="001B36D0" w:rsidRPr="00476DF1">
        <w:rPr>
          <w:rFonts w:ascii="Times New Roman" w:eastAsia="Times New Roman" w:hAnsi="Times New Roman"/>
          <w:sz w:val="24"/>
          <w:szCs w:val="24"/>
          <w:shd w:val="clear" w:color="auto" w:fill="FFFFFF"/>
        </w:rPr>
        <w:t>. U</w:t>
      </w:r>
      <w:r w:rsidR="00F16CF1" w:rsidRPr="00476DF1">
        <w:rPr>
          <w:rFonts w:ascii="Times New Roman" w:eastAsia="Times New Roman" w:hAnsi="Times New Roman"/>
          <w:sz w:val="24"/>
          <w:szCs w:val="24"/>
          <w:shd w:val="clear" w:color="auto" w:fill="FFFFFF"/>
        </w:rPr>
        <w:t xml:space="preserve">p to 50% of the large pharmaceutical enterprises’ new technologies were projects that </w:t>
      </w:r>
      <w:r w:rsidRPr="00476DF1">
        <w:rPr>
          <w:rFonts w:ascii="Times New Roman" w:eastAsia="Times New Roman" w:hAnsi="Times New Roman"/>
          <w:sz w:val="24"/>
          <w:szCs w:val="24"/>
          <w:shd w:val="clear" w:color="auto" w:fill="FFFFFF"/>
        </w:rPr>
        <w:t>began within</w:t>
      </w:r>
      <w:r w:rsidR="00F16CF1" w:rsidRPr="00476DF1">
        <w:rPr>
          <w:rFonts w:ascii="Times New Roman" w:eastAsia="Times New Roman" w:hAnsi="Times New Roman"/>
          <w:sz w:val="24"/>
          <w:szCs w:val="24"/>
          <w:shd w:val="clear" w:color="auto" w:fill="FFFFFF"/>
        </w:rPr>
        <w:t xml:space="preserve"> biotech enterprises (</w:t>
      </w:r>
      <w:r w:rsidR="00503E9C" w:rsidRPr="00476DF1">
        <w:rPr>
          <w:rFonts w:ascii="Times New Roman" w:eastAsia="Times New Roman" w:hAnsi="Times New Roman"/>
          <w:sz w:val="24"/>
          <w:szCs w:val="24"/>
          <w:shd w:val="clear" w:color="auto" w:fill="FFFFFF"/>
        </w:rPr>
        <w:t>AUTHOR,</w:t>
      </w:r>
      <w:r w:rsidR="00F16CF1" w:rsidRPr="00476DF1">
        <w:rPr>
          <w:rFonts w:ascii="Times New Roman" w:eastAsia="Times New Roman" w:hAnsi="Times New Roman"/>
          <w:sz w:val="24"/>
          <w:szCs w:val="24"/>
          <w:shd w:val="clear" w:color="auto" w:fill="FFFFFF"/>
        </w:rPr>
        <w:t xml:space="preserve"> 2016).</w:t>
      </w:r>
      <w:r w:rsidR="000A60C6" w:rsidRPr="00476DF1">
        <w:rPr>
          <w:rFonts w:ascii="Times New Roman" w:hAnsi="Times New Roman"/>
          <w:sz w:val="24"/>
          <w:szCs w:val="24"/>
        </w:rPr>
        <w:t xml:space="preserve"> </w:t>
      </w:r>
    </w:p>
    <w:p w14:paraId="308D3E4C" w14:textId="1FD3D3D3" w:rsidR="00EE67B3" w:rsidRPr="00476DF1" w:rsidRDefault="004626CB"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The literature </w:t>
      </w:r>
      <w:r w:rsidR="0092571F" w:rsidRPr="00476DF1">
        <w:rPr>
          <w:rFonts w:ascii="Times New Roman" w:hAnsi="Times New Roman"/>
          <w:sz w:val="24"/>
          <w:szCs w:val="24"/>
        </w:rPr>
        <w:t>does not yet</w:t>
      </w:r>
      <w:r w:rsidRPr="00476DF1">
        <w:rPr>
          <w:rFonts w:ascii="Times New Roman" w:hAnsi="Times New Roman"/>
          <w:sz w:val="24"/>
          <w:szCs w:val="24"/>
        </w:rPr>
        <w:t xml:space="preserve"> address this subject in a substantial way</w:t>
      </w:r>
      <w:r w:rsidR="0092571F" w:rsidRPr="00476DF1">
        <w:rPr>
          <w:rFonts w:ascii="Times New Roman" w:hAnsi="Times New Roman"/>
          <w:sz w:val="24"/>
          <w:szCs w:val="24"/>
        </w:rPr>
        <w:t>. Some</w:t>
      </w:r>
      <w:r w:rsidR="00BF3501" w:rsidRPr="00476DF1">
        <w:rPr>
          <w:rFonts w:ascii="Times New Roman" w:hAnsi="Times New Roman"/>
          <w:sz w:val="24"/>
          <w:szCs w:val="24"/>
        </w:rPr>
        <w:t xml:space="preserve"> studies </w:t>
      </w:r>
      <w:r w:rsidR="000A60C6" w:rsidRPr="00476DF1">
        <w:rPr>
          <w:rFonts w:ascii="Times New Roman" w:hAnsi="Times New Roman"/>
          <w:sz w:val="24"/>
          <w:szCs w:val="24"/>
        </w:rPr>
        <w:t xml:space="preserve">deal with </w:t>
      </w:r>
      <w:r w:rsidR="0092571F" w:rsidRPr="00476DF1">
        <w:rPr>
          <w:rFonts w:ascii="Times New Roman" w:hAnsi="Times New Roman"/>
          <w:sz w:val="24"/>
          <w:szCs w:val="24"/>
        </w:rPr>
        <w:t xml:space="preserve">mergers </w:t>
      </w:r>
      <w:r w:rsidR="007E067E" w:rsidRPr="00476DF1">
        <w:rPr>
          <w:rFonts w:ascii="Times New Roman" w:hAnsi="Times New Roman"/>
          <w:sz w:val="24"/>
          <w:szCs w:val="24"/>
        </w:rPr>
        <w:t xml:space="preserve">and </w:t>
      </w:r>
      <w:r w:rsidR="0092571F" w:rsidRPr="00476DF1">
        <w:rPr>
          <w:rFonts w:ascii="Times New Roman" w:hAnsi="Times New Roman"/>
          <w:sz w:val="24"/>
          <w:szCs w:val="24"/>
        </w:rPr>
        <w:t xml:space="preserve">acquisitions </w:t>
      </w:r>
      <w:r w:rsidR="00B23003" w:rsidRPr="00476DF1">
        <w:rPr>
          <w:rFonts w:ascii="Times New Roman" w:hAnsi="Times New Roman"/>
          <w:sz w:val="24"/>
          <w:szCs w:val="24"/>
        </w:rPr>
        <w:t>(M&amp;A)</w:t>
      </w:r>
      <w:r w:rsidR="007E067E" w:rsidRPr="00476DF1">
        <w:rPr>
          <w:rFonts w:ascii="Times New Roman" w:hAnsi="Times New Roman"/>
          <w:sz w:val="24"/>
          <w:szCs w:val="24"/>
        </w:rPr>
        <w:t xml:space="preserve"> driven by technological aspects, ignoring the enterprise size</w:t>
      </w:r>
      <w:r w:rsidR="0092571F" w:rsidRPr="00476DF1">
        <w:rPr>
          <w:rFonts w:ascii="Times New Roman" w:hAnsi="Times New Roman"/>
          <w:sz w:val="24"/>
          <w:szCs w:val="24"/>
        </w:rPr>
        <w:t xml:space="preserve"> </w:t>
      </w:r>
      <w:r w:rsidR="00503E9C" w:rsidRPr="00476DF1">
        <w:rPr>
          <w:rFonts w:ascii="Times New Roman" w:hAnsi="Times New Roman"/>
          <w:sz w:val="24"/>
          <w:szCs w:val="24"/>
        </w:rPr>
        <w:t>(e.g</w:t>
      </w:r>
      <w:r w:rsidR="00AF105B" w:rsidRPr="00476DF1">
        <w:rPr>
          <w:rFonts w:ascii="Times New Roman" w:hAnsi="Times New Roman"/>
          <w:sz w:val="24"/>
          <w:szCs w:val="24"/>
        </w:rPr>
        <w:t>.,</w:t>
      </w:r>
      <w:r w:rsidR="00503E9C" w:rsidRPr="00476DF1">
        <w:rPr>
          <w:rFonts w:ascii="Times New Roman" w:hAnsi="Times New Roman"/>
          <w:sz w:val="24"/>
          <w:szCs w:val="24"/>
        </w:rPr>
        <w:t xml:space="preserve"> </w:t>
      </w:r>
      <w:r w:rsidR="00503E9C" w:rsidRPr="00476DF1">
        <w:rPr>
          <w:rFonts w:ascii="Times New Roman" w:hAnsi="Times New Roman"/>
          <w:noProof/>
          <w:sz w:val="24"/>
          <w:szCs w:val="24"/>
        </w:rPr>
        <w:t xml:space="preserve">GERPOTT, 1995; </w:t>
      </w:r>
      <w:r w:rsidR="00503E9C" w:rsidRPr="00476DF1">
        <w:rPr>
          <w:rFonts w:ascii="Times New Roman" w:hAnsi="Times New Roman"/>
          <w:sz w:val="24"/>
          <w:szCs w:val="24"/>
        </w:rPr>
        <w:fldChar w:fldCharType="begin" w:fldLock="1"/>
      </w:r>
      <w:r w:rsidR="00503E9C" w:rsidRPr="00476DF1">
        <w:rPr>
          <w:rFonts w:ascii="Times New Roman" w:hAnsi="Times New Roman"/>
          <w:sz w:val="24"/>
          <w:szCs w:val="24"/>
        </w:rPr>
        <w:instrText>ADDIN CSL_CITATION { "citationItems" : [ { "id" : "ITEM-1", "itemData" : { "DOI" : "Article", "ISBN" : "1467-6486", "ISSN" : "00222380", "PMID" : "25246403", "abstract" : "This paper explores the preferences that companies have as they use alternative (quasi) external sources of innovative competencies such as strategic technology alliances, mergers and acquisitions, or a mix of these. These alternatives are studied in the context of distinct industrial, technological and international settings during the first half of the 1990s. Different strategies followed by companies and the role played by routinized sets of preferences are also taken into consideration. The analysis demonstrates that these options are influenced by both different environmental conditions and firm specific circumstances, such as those related to protecting core businesses. ABSTRACT FROM AUTHOR", "author" : [ { "dropping-particle" : "", "family" : "Hagedoorn", "given" : "John", "non-dropping-particle" : "", "parse-names" : false, "suffix" : "" }, { "dropping-particle" : "", "family" : "Duysters", "given" : "Geert", "non-dropping-particle" : "", "parse-names" : false, "suffix" : "" } ], "container-title" : "Journal of Management Studies", "id" : "ITEM-1", "issue" : "2", "issued" : { "date-parts" : [ [ "2002" ] ] }, "page" : "167-188", "title" : "External sources of innovative capabilities: The preference for strategic alliances or mergers and acquisitions.", "type" : "article-journal", "volume" : "39" }, "uris" : [ "http://www.mendeley.com/documents/?uuid=bb9975dd-c90d-4896-badd-ba0ed3778552" ] }, { "id" : "ITEM-2", "itemData" : { "DOI" : "10.1016/j.respol.2006.02.007", "ISBN" : "0048-7333", "ISSN" : "00487333", "PMID" : "69982674", "abstract" : "This study examines the post-M&amp;A innovative performance of acquiring firms in four major high-tech sectors. Non-technological M&amp;As appear to have a negative impact on the acquiring firm's post-M&amp;A innovative performance. With respect to technological M&amp;As, a large relative size of the acquired knowledge base reduces the innovative performance of the acquiring firm. The absolute size of the acquired knowledge base only has a positive effect during the first couple of years after which the effect turns around and we see a negative effect on the innovative performance of the acquiring firm. The relatedness between the acquired and acquiring firms' knowledge bases has a curvilinear impact on the acquiring firm's innovative performance. This indicates that companies should target M&amp;A 'partners' that are neither too unrelated nor too similar in terms of their knowledge base. ?? 2006 Elsevier B.V. All rights reserved.", "author" : [ { "dropping-particle" : "", "family" : "Cloodt", "given" : "Myriam", "non-dropping-particle" : "", "parse-names" : false, "suffix" : "" }, { "dropping-particle" : "", "family" : "Hagedoorn", "given" : "John", "non-dropping-particle" : "", "parse-names" : false, "suffix" : "" }, { "dropping-particle" : "", "family" : "Kranenburg", "given" : "Hans", "non-dropping-particle" : "Van", "parse-names" : false, "suffix" : "" } ], "container-title" : "Research Policy", "id" : "ITEM-2", "issue" : "5", "issued" : { "date-parts" : [ [ "2006" ] ] }, "page" : "642-654", "title" : "Mergers and acquisitions: Their effect on the innovative performance of companies in high-tech industries", "type" : "article-journal", "volume" : "35" }, "uris" : [ "http://www.mendeley.com/documents/?uuid=805dabc8-6ccd-4458-9609-2442a7346ac4" ] }, { "id" : "ITEM-3", "itemData" : { "DOI" : "10.1111/j.1467-9310.1995.tb00909.x", "ISBN" : "0033-6807", "ISSN" : "14679310", "abstract" : "Do the 'grand' strategic context characteristics of an acquisition (e.g., business relatedness of buyer and target) determine the integration success of R&amp;D functions after a takeover? Are acquisition management interventions (i.e., the way in which the integration process is managed) the key levers shaping integration success of R&amp;D functions after a change in corporate ownership? Little non-anecdotal empirical data are available to answer these questions. Therefore, they were addressed with a sample of 92 acquisitions between German firms in 1988. Overall, use of management interventions which were designed to promote learning opportunities and reduce uncertainty for acquired employees (e.g., small group meetings to exchange information) but also degree of centralization of strategic R&amp;D decisions in the hands of the acquirer were significantly positively related to integration level of R&amp;D functions of both firms after an acquisition. With the exception of relative size of acquiree, strategic acquisition context characteristics were not directly related to R&amp;D integration success. These characteristics may not be as important in shaping R&amp;D integration success as management practitioners and scholars have thought.", "author" : [ { "dropping-particle" : "", "family" : "Gerpott", "given" : "Torsten J.", "non-dropping-particle" : "", "parse-names" : false, "suffix" : "" } ], "container-title" : "R&amp;D Management", "id" : "ITEM-3", "issue" : "2", "issued" : { "date-parts" : [ [ "1995" ] ] }, "page" : "161-178", "title" : "Successful integration of R&amp;D functions after acquisitions: An exploratory empirical study", "type" : "article-journal", "volume" : "25" }, "uris" : [ "http://www.mendeley.com/documents/?uuid=f0905391-6a1d-4d3a-855a-d0f1ee458739" ] }, { "id" : "ITEM-4", "itemData" : { "DOI" : "10.1002/smj.157", "ISBN" : "0143-2095", "ISSN" : "1097-0266", "PMID" : "4446656", "abstract" : "This paper examines the impact of acquisitions on the subsequent innovation performance of acquiring firms in the chemicals industry. We distinguish between technological acquisitions, acquisitions in which technology is a component of the acquiredfirm's assets, and nontechnologi- cal acquisitions: acquisitions that do not involve a technological component. We develop a framework relating acquisitions to jirm innovation performance and develop a set of measures for quantihing the technological inputs ajirm obtains through acquisitions. WeJind that within technological acquisitions absolute size of the acquired knowledge base enhances innovation performance, while relative size of the acquired knowledge base reduces innovation output. The relatedness of acquired and acquiring knowledge bases has a nonlinear impact on innovation output. Nontechnological acquisitions do not have a signijcant effect on subsequent innovation output.", "author" : [ { "dropping-particle" : "", "family" : "Ahuja", "given" : "Gautam", "non-dropping-particle" : "", "parse-names" : false, "suffix" : "" }, { "dropping-particle" : "", "family" : "Katila", "given" : "Riitta", "non-dropping-particle" : "", "parse-names" : false, "suffix" : "" } ], "container-title" : "Strategic Management Journal", "id" : "ITEM-4", "issue" : "3", "issued" : { "date-parts" : [ [ "2001" ] ] }, "page" : "197-220", "title" : "Technological Acquisition and the Innovation Performance of Acquiring Firms: A Longitudinal Study", "type" : "article-journal", "volume" : "22" }, "uris" : [ "http://www.mendeley.com/documents/?uuid=9b0d52ab-dc60-40b9-b237-2383d62b12a3" ] }, { "id" : "ITEM-5", "itemData" : { "DOI" : "10.1002/smj.176", "ISBN" : "0143-2095", "ISSN" : "01432095", "abstract" : "We present a model that explains how established firms create breakthrough inventions. We identify three organizational pathologies that inhibit breakthrough inventions: the familiarity trap \u2013 favoring the familiar; the maturity trap \u2013 favoring the mature; and the propinquity trap \u2013 favoring search for solutions near to existing solutions. We argue that by experimenting with novel (i.e., technologies in which the firm lacks prior experience), emerging (technologies that are recent or newly developed in the industry), and pioneering (technologies that do not build on any existing technologies) technologies firms can overcome these traps and create breakthrough inventions. Empirical evidence from the chemicals industry supports our model. Copyright \uf6d9 2001 John Wiley &amp; Sons, Ltd.", "author" : [ { "dropping-particle" : "", "family" : "Ahuja", "given" : "Gautam", "non-dropping-particle" : "", "parse-names" : false, "suffix" : "" }, { "dropping-particle" : "", "family" : "Lampert", "given" : "Curba Morris", "non-dropping-particle" : "", "parse-names" : false, "suffix" : "" } ], "container-title" : "Strategic Management Journal", "id" : "ITEM-5", "issue" : "6-7", "issued" : { "date-parts" : [ [ "2001" ] ] }, "page" : "521-543", "title" : "Entrepreneurship in the large corporation: A longitudinal study of how established firms create breakthrough inventions", "type" : "article-journal", "volume" : "22" }, "uris" : [ "http://www.mendeley.com/documents/?uuid=bb4fbc5d-eb15-44ee-be12-7eb118c868ae" ] } ], "mendeley" : { "formattedCitation" : "(AHUJA; KATILA, 2001; AHUJA; LAMPERT, 2001; CLOODT; HAGEDOORN; VAN KRANENBURG, 2006; GERPOTT, 1995; HAGEDOORN; DUYSTERS, 2002b)", "plainTextFormattedCitation" : "(AHUJA; KATILA, 2001; AHUJA; LAMPERT, 2001; CLOODT; HAGEDOORN; VAN KRANENBURG, 2006; GERPOTT, 1995; HAGEDOORN; DUYSTERS, 2002b)", "previouslyFormattedCitation" : "(AHUJA; KATILA, 2001; AHUJA; LAMPERT, 2001; CLOODT; HAGEDOORN; VAN KRANENBURG, 2006; GERPOTT, 1995; HAGEDOORN; DUYSTERS, 2002b)" }, "properties" : {  }, "schema" : "https://github.com/citation-style-language/schema/raw/master/csl-citation.json" }</w:instrText>
      </w:r>
      <w:r w:rsidR="00503E9C" w:rsidRPr="00476DF1">
        <w:rPr>
          <w:rFonts w:ascii="Times New Roman" w:hAnsi="Times New Roman"/>
          <w:sz w:val="24"/>
          <w:szCs w:val="24"/>
        </w:rPr>
        <w:fldChar w:fldCharType="separate"/>
      </w:r>
      <w:r w:rsidR="00503E9C" w:rsidRPr="00476DF1">
        <w:rPr>
          <w:rFonts w:ascii="Times New Roman" w:hAnsi="Times New Roman"/>
          <w:noProof/>
          <w:sz w:val="24"/>
          <w:szCs w:val="24"/>
        </w:rPr>
        <w:t>AHUJA</w:t>
      </w:r>
      <w:r w:rsidR="00312ADF" w:rsidRPr="00476DF1">
        <w:rPr>
          <w:rFonts w:ascii="Times New Roman" w:hAnsi="Times New Roman"/>
          <w:noProof/>
          <w:sz w:val="24"/>
          <w:szCs w:val="24"/>
        </w:rPr>
        <w:t xml:space="preserve"> AND</w:t>
      </w:r>
      <w:r w:rsidR="00503E9C" w:rsidRPr="00476DF1">
        <w:rPr>
          <w:rFonts w:ascii="Times New Roman" w:hAnsi="Times New Roman"/>
          <w:noProof/>
          <w:sz w:val="24"/>
          <w:szCs w:val="24"/>
        </w:rPr>
        <w:t xml:space="preserve"> KATILA, 2001; AHUJA</w:t>
      </w:r>
      <w:r w:rsidR="00312ADF" w:rsidRPr="00476DF1">
        <w:rPr>
          <w:rFonts w:ascii="Times New Roman" w:hAnsi="Times New Roman"/>
          <w:noProof/>
          <w:sz w:val="24"/>
          <w:szCs w:val="24"/>
        </w:rPr>
        <w:t xml:space="preserve"> AND</w:t>
      </w:r>
      <w:r w:rsidR="00503E9C" w:rsidRPr="00476DF1">
        <w:rPr>
          <w:rFonts w:ascii="Times New Roman" w:hAnsi="Times New Roman"/>
          <w:noProof/>
          <w:sz w:val="24"/>
          <w:szCs w:val="24"/>
        </w:rPr>
        <w:t>LAMPERT, 2001; HAGEDOORN; DUYSTERS, 2002; CLOODT; HAGEDOORN</w:t>
      </w:r>
      <w:r w:rsidR="00312ADF" w:rsidRPr="00476DF1">
        <w:rPr>
          <w:rFonts w:ascii="Times New Roman" w:hAnsi="Times New Roman"/>
          <w:noProof/>
          <w:sz w:val="24"/>
          <w:szCs w:val="24"/>
        </w:rPr>
        <w:t xml:space="preserve"> AND</w:t>
      </w:r>
      <w:r w:rsidR="00503E9C" w:rsidRPr="00476DF1">
        <w:rPr>
          <w:rFonts w:ascii="Times New Roman" w:hAnsi="Times New Roman"/>
          <w:noProof/>
          <w:sz w:val="24"/>
          <w:szCs w:val="24"/>
        </w:rPr>
        <w:t xml:space="preserve"> VAN KRANENBURG, 2006</w:t>
      </w:r>
      <w:r w:rsidR="00503E9C" w:rsidRPr="00476DF1">
        <w:rPr>
          <w:rFonts w:ascii="Times New Roman" w:hAnsi="Times New Roman"/>
          <w:sz w:val="24"/>
          <w:szCs w:val="24"/>
        </w:rPr>
        <w:fldChar w:fldCharType="end"/>
      </w:r>
      <w:r w:rsidR="00503E9C" w:rsidRPr="00476DF1">
        <w:rPr>
          <w:rFonts w:ascii="Times New Roman" w:hAnsi="Times New Roman"/>
          <w:sz w:val="24"/>
          <w:szCs w:val="24"/>
        </w:rPr>
        <w:t>)</w:t>
      </w:r>
      <w:r w:rsidR="0092571F" w:rsidRPr="00476DF1">
        <w:rPr>
          <w:rFonts w:ascii="Times New Roman" w:hAnsi="Times New Roman"/>
          <w:sz w:val="24"/>
          <w:szCs w:val="24"/>
        </w:rPr>
        <w:t>, while e</w:t>
      </w:r>
      <w:r w:rsidR="009C0D1C" w:rsidRPr="00476DF1">
        <w:rPr>
          <w:rFonts w:ascii="Times New Roman" w:hAnsi="Times New Roman"/>
          <w:sz w:val="24"/>
          <w:szCs w:val="24"/>
        </w:rPr>
        <w:t xml:space="preserve">ven fewer </w:t>
      </w:r>
      <w:r w:rsidR="0092571F" w:rsidRPr="00476DF1">
        <w:rPr>
          <w:rFonts w:ascii="Times New Roman" w:hAnsi="Times New Roman"/>
          <w:sz w:val="24"/>
          <w:szCs w:val="24"/>
        </w:rPr>
        <w:t>concentrate on the</w:t>
      </w:r>
      <w:r w:rsidR="00BF3501" w:rsidRPr="00476DF1">
        <w:rPr>
          <w:rFonts w:ascii="Times New Roman" w:hAnsi="Times New Roman"/>
          <w:sz w:val="24"/>
          <w:szCs w:val="24"/>
        </w:rPr>
        <w:t xml:space="preserve"> </w:t>
      </w:r>
      <w:r w:rsidR="006D729B" w:rsidRPr="00476DF1">
        <w:rPr>
          <w:rFonts w:ascii="Times New Roman" w:hAnsi="Times New Roman"/>
          <w:sz w:val="24"/>
          <w:szCs w:val="24"/>
        </w:rPr>
        <w:t>interactions between</w:t>
      </w:r>
      <w:r w:rsidR="007E067E" w:rsidRPr="00476DF1">
        <w:rPr>
          <w:rFonts w:ascii="Times New Roman" w:hAnsi="Times New Roman"/>
          <w:sz w:val="24"/>
          <w:szCs w:val="24"/>
        </w:rPr>
        <w:t xml:space="preserve"> small and large</w:t>
      </w:r>
      <w:r w:rsidR="00503E9C" w:rsidRPr="00476DF1">
        <w:rPr>
          <w:rFonts w:ascii="Times New Roman" w:hAnsi="Times New Roman"/>
          <w:sz w:val="24"/>
          <w:szCs w:val="24"/>
        </w:rPr>
        <w:t xml:space="preserve"> </w:t>
      </w:r>
      <w:r w:rsidR="0092571F" w:rsidRPr="00476DF1">
        <w:rPr>
          <w:rFonts w:ascii="Times New Roman" w:hAnsi="Times New Roman"/>
          <w:sz w:val="24"/>
          <w:szCs w:val="24"/>
        </w:rPr>
        <w:t xml:space="preserve">firms </w:t>
      </w:r>
      <w:r w:rsidR="00503E9C" w:rsidRPr="00476DF1">
        <w:rPr>
          <w:rFonts w:ascii="Times New Roman" w:hAnsi="Times New Roman"/>
          <w:sz w:val="24"/>
          <w:szCs w:val="24"/>
        </w:rPr>
        <w:t>(e.g</w:t>
      </w:r>
      <w:r w:rsidR="0092571F" w:rsidRPr="00476DF1">
        <w:rPr>
          <w:rFonts w:ascii="Times New Roman" w:hAnsi="Times New Roman"/>
          <w:sz w:val="24"/>
          <w:szCs w:val="24"/>
        </w:rPr>
        <w:t>.,</w:t>
      </w:r>
      <w:r w:rsidR="00503E9C" w:rsidRPr="00476DF1">
        <w:rPr>
          <w:rFonts w:ascii="Times New Roman" w:hAnsi="Times New Roman"/>
          <w:sz w:val="24"/>
          <w:szCs w:val="24"/>
        </w:rPr>
        <w:t xml:space="preserve"> </w:t>
      </w:r>
      <w:r w:rsidR="00503E9C" w:rsidRPr="00476DF1">
        <w:rPr>
          <w:rFonts w:ascii="Times New Roman" w:hAnsi="Times New Roman"/>
          <w:noProof/>
          <w:sz w:val="24"/>
          <w:szCs w:val="24"/>
        </w:rPr>
        <w:t>DESYLLAS; HUGHES, 2010; NORBÄCK; PERSSON, 2013; XIAO, 2014; ANDERSSON; XIAO, 2016)</w:t>
      </w:r>
      <w:r w:rsidR="006631CE" w:rsidRPr="00476DF1">
        <w:rPr>
          <w:rFonts w:ascii="Times New Roman" w:hAnsi="Times New Roman"/>
          <w:sz w:val="24"/>
          <w:szCs w:val="24"/>
        </w:rPr>
        <w:t>.</w:t>
      </w:r>
      <w:r w:rsidR="000A60C6" w:rsidRPr="00476DF1">
        <w:rPr>
          <w:rFonts w:ascii="Times New Roman" w:hAnsi="Times New Roman"/>
          <w:sz w:val="24"/>
          <w:szCs w:val="24"/>
        </w:rPr>
        <w:t xml:space="preserve"> </w:t>
      </w:r>
      <w:r w:rsidR="006631CE" w:rsidRPr="00476DF1">
        <w:rPr>
          <w:rFonts w:ascii="Times New Roman" w:hAnsi="Times New Roman"/>
          <w:sz w:val="24"/>
          <w:szCs w:val="24"/>
        </w:rPr>
        <w:t>U</w:t>
      </w:r>
      <w:r w:rsidR="007E067E" w:rsidRPr="00476DF1">
        <w:rPr>
          <w:rFonts w:ascii="Times New Roman" w:hAnsi="Times New Roman"/>
          <w:sz w:val="24"/>
          <w:szCs w:val="24"/>
        </w:rPr>
        <w:t xml:space="preserve">nfortunately, </w:t>
      </w:r>
      <w:r w:rsidR="00BF3501" w:rsidRPr="00476DF1">
        <w:rPr>
          <w:rFonts w:ascii="Times New Roman" w:hAnsi="Times New Roman"/>
          <w:sz w:val="24"/>
          <w:szCs w:val="24"/>
        </w:rPr>
        <w:t xml:space="preserve">all of </w:t>
      </w:r>
      <w:r w:rsidR="0092571F" w:rsidRPr="00476DF1">
        <w:rPr>
          <w:rFonts w:ascii="Times New Roman" w:hAnsi="Times New Roman"/>
          <w:sz w:val="24"/>
          <w:szCs w:val="24"/>
        </w:rPr>
        <w:t xml:space="preserve">these studies </w:t>
      </w:r>
      <w:r w:rsidR="000A60C6" w:rsidRPr="00476DF1">
        <w:rPr>
          <w:rFonts w:ascii="Times New Roman" w:hAnsi="Times New Roman"/>
          <w:sz w:val="24"/>
          <w:szCs w:val="24"/>
        </w:rPr>
        <w:t>are highly focused on post-acquisition performance measured th</w:t>
      </w:r>
      <w:r w:rsidR="007E067E" w:rsidRPr="00476DF1">
        <w:rPr>
          <w:rFonts w:ascii="Times New Roman" w:hAnsi="Times New Roman"/>
          <w:sz w:val="24"/>
          <w:szCs w:val="24"/>
        </w:rPr>
        <w:t>rough</w:t>
      </w:r>
      <w:r w:rsidR="000A60C6" w:rsidRPr="00476DF1">
        <w:rPr>
          <w:rFonts w:ascii="Times New Roman" w:hAnsi="Times New Roman"/>
          <w:sz w:val="24"/>
          <w:szCs w:val="24"/>
        </w:rPr>
        <w:t xml:space="preserve"> patents. </w:t>
      </w:r>
    </w:p>
    <w:p w14:paraId="27E93FA1" w14:textId="0C403E5F" w:rsidR="000A60C6" w:rsidRPr="00476DF1" w:rsidRDefault="0092571F"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The approach in these </w:t>
      </w:r>
      <w:r w:rsidR="00BF3501" w:rsidRPr="00476DF1">
        <w:rPr>
          <w:rFonts w:ascii="Times New Roman" w:hAnsi="Times New Roman"/>
          <w:sz w:val="24"/>
          <w:szCs w:val="24"/>
        </w:rPr>
        <w:t xml:space="preserve">studies </w:t>
      </w:r>
      <w:r w:rsidRPr="00476DF1">
        <w:rPr>
          <w:rFonts w:ascii="Times New Roman" w:hAnsi="Times New Roman"/>
          <w:sz w:val="24"/>
          <w:szCs w:val="24"/>
        </w:rPr>
        <w:t>has</w:t>
      </w:r>
      <w:r w:rsidR="000A60C6" w:rsidRPr="00476DF1">
        <w:rPr>
          <w:rFonts w:ascii="Times New Roman" w:hAnsi="Times New Roman"/>
          <w:sz w:val="24"/>
          <w:szCs w:val="24"/>
        </w:rPr>
        <w:t xml:space="preserve"> two </w:t>
      </w:r>
      <w:r w:rsidR="003650ED" w:rsidRPr="00476DF1">
        <w:rPr>
          <w:rFonts w:ascii="Times New Roman" w:hAnsi="Times New Roman"/>
          <w:sz w:val="24"/>
          <w:szCs w:val="24"/>
        </w:rPr>
        <w:t>limitations</w:t>
      </w:r>
      <w:r w:rsidR="007E067E" w:rsidRPr="00476DF1">
        <w:rPr>
          <w:rFonts w:ascii="Times New Roman" w:hAnsi="Times New Roman"/>
          <w:sz w:val="24"/>
          <w:szCs w:val="24"/>
        </w:rPr>
        <w:t>.</w:t>
      </w:r>
      <w:r w:rsidR="00B23003" w:rsidRPr="00476DF1">
        <w:rPr>
          <w:rFonts w:ascii="Times New Roman" w:hAnsi="Times New Roman"/>
          <w:sz w:val="24"/>
          <w:szCs w:val="24"/>
        </w:rPr>
        <w:t xml:space="preserve"> </w:t>
      </w:r>
      <w:r w:rsidR="007E067E" w:rsidRPr="00476DF1">
        <w:rPr>
          <w:rFonts w:ascii="Times New Roman" w:hAnsi="Times New Roman"/>
          <w:sz w:val="24"/>
          <w:szCs w:val="24"/>
        </w:rPr>
        <w:t>F</w:t>
      </w:r>
      <w:r w:rsidR="000A60C6" w:rsidRPr="00476DF1">
        <w:rPr>
          <w:rFonts w:ascii="Times New Roman" w:hAnsi="Times New Roman"/>
          <w:sz w:val="24"/>
          <w:szCs w:val="24"/>
        </w:rPr>
        <w:t>irst</w:t>
      </w:r>
      <w:r w:rsidR="007E067E" w:rsidRPr="00476DF1">
        <w:rPr>
          <w:rFonts w:ascii="Times New Roman" w:hAnsi="Times New Roman"/>
          <w:sz w:val="24"/>
          <w:szCs w:val="24"/>
        </w:rPr>
        <w:t>,</w:t>
      </w:r>
      <w:r w:rsidR="00B23003" w:rsidRPr="00476DF1">
        <w:rPr>
          <w:rFonts w:ascii="Times New Roman" w:hAnsi="Times New Roman"/>
          <w:sz w:val="24"/>
          <w:szCs w:val="24"/>
        </w:rPr>
        <w:t xml:space="preserve"> </w:t>
      </w:r>
      <w:r w:rsidR="007E067E" w:rsidRPr="00476DF1">
        <w:rPr>
          <w:rFonts w:ascii="Times New Roman" w:hAnsi="Times New Roman"/>
          <w:sz w:val="24"/>
          <w:szCs w:val="24"/>
        </w:rPr>
        <w:t>th</w:t>
      </w:r>
      <w:r w:rsidR="000A60C6" w:rsidRPr="00476DF1">
        <w:rPr>
          <w:rFonts w:ascii="Times New Roman" w:hAnsi="Times New Roman"/>
          <w:sz w:val="24"/>
          <w:szCs w:val="24"/>
        </w:rPr>
        <w:t>e productivity problem is not a patenting activity problem</w:t>
      </w:r>
      <w:r w:rsidR="007E067E" w:rsidRPr="00476DF1">
        <w:rPr>
          <w:rFonts w:ascii="Times New Roman" w:hAnsi="Times New Roman"/>
          <w:sz w:val="24"/>
          <w:szCs w:val="24"/>
        </w:rPr>
        <w:t>,</w:t>
      </w:r>
      <w:r w:rsidR="000232BD" w:rsidRPr="00476DF1">
        <w:rPr>
          <w:rFonts w:ascii="Times New Roman" w:hAnsi="Times New Roman"/>
          <w:sz w:val="24"/>
          <w:szCs w:val="24"/>
        </w:rPr>
        <w:t xml:space="preserve"> </w:t>
      </w:r>
      <w:r w:rsidR="008E732B" w:rsidRPr="00476DF1">
        <w:rPr>
          <w:rFonts w:ascii="Times New Roman" w:hAnsi="Times New Roman"/>
          <w:sz w:val="24"/>
          <w:szCs w:val="24"/>
        </w:rPr>
        <w:t>although this specific point is</w:t>
      </w:r>
      <w:r w:rsidRPr="00476DF1">
        <w:rPr>
          <w:rFonts w:ascii="Times New Roman" w:hAnsi="Times New Roman"/>
          <w:sz w:val="24"/>
          <w:szCs w:val="24"/>
        </w:rPr>
        <w:t xml:space="preserve"> beyond the scope of this particular study</w:t>
      </w:r>
      <w:r w:rsidR="000A60C6" w:rsidRPr="00476DF1">
        <w:rPr>
          <w:rFonts w:ascii="Times New Roman" w:hAnsi="Times New Roman"/>
          <w:sz w:val="24"/>
          <w:szCs w:val="24"/>
        </w:rPr>
        <w:t xml:space="preserve">. </w:t>
      </w:r>
      <w:r w:rsidRPr="00476DF1">
        <w:rPr>
          <w:rFonts w:ascii="Times New Roman" w:hAnsi="Times New Roman"/>
          <w:sz w:val="24"/>
          <w:szCs w:val="24"/>
        </w:rPr>
        <w:t>Second</w:t>
      </w:r>
      <w:r w:rsidR="000A60C6" w:rsidRPr="00476DF1">
        <w:rPr>
          <w:rFonts w:ascii="Times New Roman" w:hAnsi="Times New Roman"/>
          <w:sz w:val="24"/>
          <w:szCs w:val="24"/>
        </w:rPr>
        <w:t>,</w:t>
      </w:r>
      <w:r w:rsidR="008E732B" w:rsidRPr="00476DF1">
        <w:rPr>
          <w:rFonts w:ascii="Times New Roman" w:hAnsi="Times New Roman"/>
          <w:sz w:val="24"/>
          <w:szCs w:val="24"/>
        </w:rPr>
        <w:t xml:space="preserve"> and the main concern of this </w:t>
      </w:r>
      <w:r w:rsidRPr="00476DF1">
        <w:rPr>
          <w:rFonts w:ascii="Times New Roman" w:hAnsi="Times New Roman"/>
          <w:sz w:val="24"/>
          <w:szCs w:val="24"/>
        </w:rPr>
        <w:t>study</w:t>
      </w:r>
      <w:r w:rsidR="008E732B" w:rsidRPr="00476DF1">
        <w:rPr>
          <w:rFonts w:ascii="Times New Roman" w:hAnsi="Times New Roman"/>
          <w:sz w:val="24"/>
          <w:szCs w:val="24"/>
        </w:rPr>
        <w:t>,</w:t>
      </w:r>
      <w:r w:rsidR="000A60C6" w:rsidRPr="00476DF1">
        <w:rPr>
          <w:rFonts w:ascii="Times New Roman" w:hAnsi="Times New Roman"/>
          <w:sz w:val="24"/>
          <w:szCs w:val="24"/>
        </w:rPr>
        <w:t xml:space="preserve"> </w:t>
      </w:r>
      <w:r w:rsidRPr="00476DF1">
        <w:rPr>
          <w:rFonts w:ascii="Times New Roman" w:hAnsi="Times New Roman"/>
          <w:sz w:val="24"/>
          <w:szCs w:val="24"/>
        </w:rPr>
        <w:t xml:space="preserve">the </w:t>
      </w:r>
      <w:r w:rsidR="000A60C6" w:rsidRPr="00476DF1">
        <w:rPr>
          <w:rFonts w:ascii="Times New Roman" w:hAnsi="Times New Roman"/>
          <w:sz w:val="24"/>
          <w:szCs w:val="24"/>
        </w:rPr>
        <w:t>post</w:t>
      </w:r>
      <w:r w:rsidR="007E067E" w:rsidRPr="00476DF1">
        <w:rPr>
          <w:rFonts w:ascii="Times New Roman" w:hAnsi="Times New Roman"/>
          <w:sz w:val="24"/>
          <w:szCs w:val="24"/>
        </w:rPr>
        <w:t>-</w:t>
      </w:r>
      <w:r w:rsidR="000A60C6" w:rsidRPr="00476DF1">
        <w:rPr>
          <w:rFonts w:ascii="Times New Roman" w:hAnsi="Times New Roman"/>
          <w:sz w:val="24"/>
          <w:szCs w:val="24"/>
        </w:rPr>
        <w:t>acquis</w:t>
      </w:r>
      <w:r w:rsidR="007E067E" w:rsidRPr="00476DF1">
        <w:rPr>
          <w:rFonts w:ascii="Times New Roman" w:hAnsi="Times New Roman"/>
          <w:sz w:val="24"/>
          <w:szCs w:val="24"/>
        </w:rPr>
        <w:t>i</w:t>
      </w:r>
      <w:r w:rsidR="000A60C6" w:rsidRPr="00476DF1">
        <w:rPr>
          <w:rFonts w:ascii="Times New Roman" w:hAnsi="Times New Roman"/>
          <w:sz w:val="24"/>
          <w:szCs w:val="24"/>
        </w:rPr>
        <w:t>ti</w:t>
      </w:r>
      <w:r w:rsidR="007E067E" w:rsidRPr="00476DF1">
        <w:rPr>
          <w:rFonts w:ascii="Times New Roman" w:hAnsi="Times New Roman"/>
          <w:sz w:val="24"/>
          <w:szCs w:val="24"/>
        </w:rPr>
        <w:t>o</w:t>
      </w:r>
      <w:r w:rsidR="000A60C6" w:rsidRPr="00476DF1">
        <w:rPr>
          <w:rFonts w:ascii="Times New Roman" w:hAnsi="Times New Roman"/>
          <w:sz w:val="24"/>
          <w:szCs w:val="24"/>
        </w:rPr>
        <w:t xml:space="preserve">n performance </w:t>
      </w:r>
      <w:r w:rsidR="00725922" w:rsidRPr="00476DF1">
        <w:rPr>
          <w:rFonts w:ascii="Times New Roman" w:hAnsi="Times New Roman"/>
          <w:sz w:val="24"/>
          <w:szCs w:val="24"/>
        </w:rPr>
        <w:t>approach ignores</w:t>
      </w:r>
      <w:r w:rsidR="00CF15B9" w:rsidRPr="00476DF1">
        <w:rPr>
          <w:rFonts w:ascii="Times New Roman" w:hAnsi="Times New Roman"/>
          <w:sz w:val="24"/>
          <w:szCs w:val="24"/>
        </w:rPr>
        <w:t xml:space="preserve"> </w:t>
      </w:r>
      <w:r w:rsidR="00725922" w:rsidRPr="00476DF1">
        <w:rPr>
          <w:rFonts w:ascii="Times New Roman" w:hAnsi="Times New Roman"/>
          <w:sz w:val="24"/>
          <w:szCs w:val="24"/>
        </w:rPr>
        <w:t>(i) the transference of elements from the small to the large ente</w:t>
      </w:r>
      <w:r w:rsidR="003650ED" w:rsidRPr="00476DF1">
        <w:rPr>
          <w:rFonts w:ascii="Times New Roman" w:hAnsi="Times New Roman"/>
          <w:sz w:val="24"/>
          <w:szCs w:val="24"/>
        </w:rPr>
        <w:t>r</w:t>
      </w:r>
      <w:r w:rsidR="00725922" w:rsidRPr="00476DF1">
        <w:rPr>
          <w:rFonts w:ascii="Times New Roman" w:hAnsi="Times New Roman"/>
          <w:sz w:val="24"/>
          <w:szCs w:val="24"/>
        </w:rPr>
        <w:t xml:space="preserve">prise and (ii) </w:t>
      </w:r>
      <w:r w:rsidRPr="00476DF1">
        <w:rPr>
          <w:rFonts w:ascii="Times New Roman" w:hAnsi="Times New Roman"/>
          <w:sz w:val="24"/>
          <w:szCs w:val="24"/>
        </w:rPr>
        <w:t>the elements that are transferred between these firms</w:t>
      </w:r>
      <w:r w:rsidR="00725922" w:rsidRPr="00476DF1">
        <w:rPr>
          <w:rFonts w:ascii="Times New Roman" w:hAnsi="Times New Roman"/>
          <w:sz w:val="24"/>
          <w:szCs w:val="24"/>
        </w:rPr>
        <w:t>. In the end</w:t>
      </w:r>
      <w:r w:rsidR="00C83B36" w:rsidRPr="00476DF1">
        <w:rPr>
          <w:rFonts w:ascii="Times New Roman" w:hAnsi="Times New Roman"/>
          <w:sz w:val="24"/>
          <w:szCs w:val="24"/>
        </w:rPr>
        <w:t>,</w:t>
      </w:r>
      <w:r w:rsidR="00725922" w:rsidRPr="00476DF1">
        <w:rPr>
          <w:rFonts w:ascii="Times New Roman" w:hAnsi="Times New Roman"/>
          <w:sz w:val="24"/>
          <w:szCs w:val="24"/>
        </w:rPr>
        <w:t xml:space="preserve"> </w:t>
      </w:r>
      <w:r w:rsidR="00C83B36" w:rsidRPr="00476DF1">
        <w:rPr>
          <w:rFonts w:ascii="Times New Roman" w:hAnsi="Times New Roman"/>
          <w:sz w:val="24"/>
          <w:szCs w:val="24"/>
        </w:rPr>
        <w:t>the</w:t>
      </w:r>
      <w:r w:rsidRPr="00476DF1">
        <w:rPr>
          <w:rFonts w:ascii="Times New Roman" w:hAnsi="Times New Roman"/>
          <w:sz w:val="24"/>
          <w:szCs w:val="24"/>
        </w:rPr>
        <w:t>se</w:t>
      </w:r>
      <w:r w:rsidR="00BF3501" w:rsidRPr="00476DF1">
        <w:rPr>
          <w:rFonts w:ascii="Times New Roman" w:hAnsi="Times New Roman"/>
          <w:sz w:val="24"/>
          <w:szCs w:val="24"/>
        </w:rPr>
        <w:t xml:space="preserve"> </w:t>
      </w:r>
      <w:r w:rsidR="00C83B36" w:rsidRPr="00476DF1">
        <w:rPr>
          <w:rFonts w:ascii="Times New Roman" w:hAnsi="Times New Roman"/>
          <w:sz w:val="24"/>
          <w:szCs w:val="24"/>
        </w:rPr>
        <w:t xml:space="preserve">studies </w:t>
      </w:r>
      <w:r w:rsidRPr="00476DF1">
        <w:rPr>
          <w:rFonts w:ascii="Times New Roman" w:hAnsi="Times New Roman"/>
          <w:sz w:val="24"/>
          <w:szCs w:val="24"/>
        </w:rPr>
        <w:t>treat</w:t>
      </w:r>
      <w:r w:rsidR="00C83B36" w:rsidRPr="00476DF1">
        <w:rPr>
          <w:rFonts w:ascii="Times New Roman" w:hAnsi="Times New Roman"/>
          <w:sz w:val="24"/>
          <w:szCs w:val="24"/>
        </w:rPr>
        <w:t xml:space="preserve"> </w:t>
      </w:r>
      <w:r w:rsidR="00725922" w:rsidRPr="00476DF1">
        <w:rPr>
          <w:rFonts w:ascii="Times New Roman" w:hAnsi="Times New Roman"/>
          <w:sz w:val="24"/>
          <w:szCs w:val="24"/>
        </w:rPr>
        <w:t xml:space="preserve">enterprises </w:t>
      </w:r>
      <w:r w:rsidR="00C83B36" w:rsidRPr="00476DF1">
        <w:rPr>
          <w:rFonts w:ascii="Times New Roman" w:hAnsi="Times New Roman"/>
          <w:sz w:val="24"/>
          <w:szCs w:val="24"/>
        </w:rPr>
        <w:t xml:space="preserve">as </w:t>
      </w:r>
      <w:r w:rsidR="000A60C6" w:rsidRPr="00476DF1">
        <w:rPr>
          <w:rFonts w:ascii="Times New Roman" w:hAnsi="Times New Roman"/>
          <w:sz w:val="24"/>
          <w:szCs w:val="24"/>
        </w:rPr>
        <w:t>black boxes</w:t>
      </w:r>
      <w:r w:rsidRPr="00476DF1">
        <w:rPr>
          <w:rFonts w:ascii="Times New Roman" w:hAnsi="Times New Roman"/>
          <w:sz w:val="24"/>
          <w:szCs w:val="24"/>
        </w:rPr>
        <w:t>, in which</w:t>
      </w:r>
      <w:r w:rsidR="00725922" w:rsidRPr="00476DF1">
        <w:rPr>
          <w:rFonts w:ascii="Times New Roman" w:hAnsi="Times New Roman"/>
          <w:sz w:val="24"/>
          <w:szCs w:val="24"/>
        </w:rPr>
        <w:t xml:space="preserve"> acquisitions are inputs and patents are outputs</w:t>
      </w:r>
      <w:r w:rsidR="007E067E" w:rsidRPr="00476DF1">
        <w:rPr>
          <w:rFonts w:ascii="Times New Roman" w:hAnsi="Times New Roman"/>
          <w:sz w:val="24"/>
          <w:szCs w:val="24"/>
        </w:rPr>
        <w:t>,</w:t>
      </w:r>
      <w:r w:rsidR="00EE67B3" w:rsidRPr="00476DF1">
        <w:rPr>
          <w:rFonts w:ascii="Times New Roman" w:hAnsi="Times New Roman"/>
          <w:sz w:val="24"/>
          <w:szCs w:val="24"/>
        </w:rPr>
        <w:t xml:space="preserve"> thus</w:t>
      </w:r>
      <w:r w:rsidR="00725922" w:rsidRPr="00476DF1">
        <w:rPr>
          <w:rFonts w:ascii="Times New Roman" w:hAnsi="Times New Roman"/>
          <w:sz w:val="24"/>
          <w:szCs w:val="24"/>
        </w:rPr>
        <w:t xml:space="preserve"> leading to a simple matter of</w:t>
      </w:r>
      <w:r w:rsidR="00FB0E5C" w:rsidRPr="00476DF1">
        <w:rPr>
          <w:rFonts w:ascii="Times New Roman" w:hAnsi="Times New Roman"/>
          <w:sz w:val="24"/>
          <w:szCs w:val="24"/>
        </w:rPr>
        <w:t xml:space="preserve"> correlating </w:t>
      </w:r>
      <w:r w:rsidR="000A60C6" w:rsidRPr="00476DF1">
        <w:rPr>
          <w:rFonts w:ascii="Times New Roman" w:hAnsi="Times New Roman"/>
          <w:sz w:val="24"/>
          <w:szCs w:val="24"/>
        </w:rPr>
        <w:t>acquisit</w:t>
      </w:r>
      <w:r w:rsidR="007E067E" w:rsidRPr="00476DF1">
        <w:rPr>
          <w:rFonts w:ascii="Times New Roman" w:hAnsi="Times New Roman"/>
          <w:sz w:val="24"/>
          <w:szCs w:val="24"/>
        </w:rPr>
        <w:t>io</w:t>
      </w:r>
      <w:r w:rsidR="000A60C6" w:rsidRPr="00476DF1">
        <w:rPr>
          <w:rFonts w:ascii="Times New Roman" w:hAnsi="Times New Roman"/>
          <w:sz w:val="24"/>
          <w:szCs w:val="24"/>
        </w:rPr>
        <w:t>n</w:t>
      </w:r>
      <w:r w:rsidR="00725922" w:rsidRPr="00476DF1">
        <w:rPr>
          <w:rFonts w:ascii="Times New Roman" w:hAnsi="Times New Roman"/>
          <w:sz w:val="24"/>
          <w:szCs w:val="24"/>
        </w:rPr>
        <w:t>s</w:t>
      </w:r>
      <w:r w:rsidR="000A60C6" w:rsidRPr="00476DF1">
        <w:rPr>
          <w:rFonts w:ascii="Times New Roman" w:hAnsi="Times New Roman"/>
          <w:sz w:val="24"/>
          <w:szCs w:val="24"/>
        </w:rPr>
        <w:t xml:space="preserve"> </w:t>
      </w:r>
      <w:r w:rsidR="00FB0E5C" w:rsidRPr="00476DF1">
        <w:rPr>
          <w:rFonts w:ascii="Times New Roman" w:hAnsi="Times New Roman"/>
          <w:sz w:val="24"/>
          <w:szCs w:val="24"/>
        </w:rPr>
        <w:t xml:space="preserve">with </w:t>
      </w:r>
      <w:r w:rsidR="000A60C6" w:rsidRPr="00476DF1">
        <w:rPr>
          <w:rFonts w:ascii="Times New Roman" w:hAnsi="Times New Roman"/>
          <w:sz w:val="24"/>
          <w:szCs w:val="24"/>
        </w:rPr>
        <w:t>increas</w:t>
      </w:r>
      <w:r w:rsidR="00FB0E5C" w:rsidRPr="00476DF1">
        <w:rPr>
          <w:rFonts w:ascii="Times New Roman" w:hAnsi="Times New Roman"/>
          <w:sz w:val="24"/>
          <w:szCs w:val="24"/>
        </w:rPr>
        <w:t xml:space="preserve">ing or decreasing </w:t>
      </w:r>
      <w:r w:rsidR="000A60C6" w:rsidRPr="00476DF1">
        <w:rPr>
          <w:rFonts w:ascii="Times New Roman" w:hAnsi="Times New Roman"/>
          <w:sz w:val="24"/>
          <w:szCs w:val="24"/>
        </w:rPr>
        <w:t>patenting activity</w:t>
      </w:r>
      <w:r w:rsidR="00FB0E5C" w:rsidRPr="00476DF1">
        <w:rPr>
          <w:rFonts w:ascii="Times New Roman" w:hAnsi="Times New Roman"/>
          <w:sz w:val="24"/>
          <w:szCs w:val="24"/>
        </w:rPr>
        <w:t>.</w:t>
      </w:r>
    </w:p>
    <w:p w14:paraId="093C803C" w14:textId="22AD402E" w:rsidR="00705C56" w:rsidRPr="00476DF1" w:rsidRDefault="0092571F"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In this study, we </w:t>
      </w:r>
      <w:r w:rsidR="000A60C6" w:rsidRPr="00476DF1">
        <w:rPr>
          <w:rFonts w:ascii="Times New Roman" w:hAnsi="Times New Roman"/>
          <w:sz w:val="24"/>
          <w:szCs w:val="24"/>
        </w:rPr>
        <w:t xml:space="preserve">overcome this black box problem </w:t>
      </w:r>
      <w:r w:rsidRPr="00476DF1">
        <w:rPr>
          <w:rFonts w:ascii="Times New Roman" w:hAnsi="Times New Roman"/>
          <w:sz w:val="24"/>
          <w:szCs w:val="24"/>
        </w:rPr>
        <w:t>by posing</w:t>
      </w:r>
      <w:r w:rsidR="000A60C6" w:rsidRPr="00476DF1">
        <w:rPr>
          <w:rFonts w:ascii="Times New Roman" w:hAnsi="Times New Roman"/>
          <w:sz w:val="24"/>
          <w:szCs w:val="24"/>
        </w:rPr>
        <w:t xml:space="preserve"> some important </w:t>
      </w:r>
      <w:r w:rsidR="007E067E" w:rsidRPr="00476DF1">
        <w:rPr>
          <w:rFonts w:ascii="Times New Roman" w:hAnsi="Times New Roman"/>
          <w:sz w:val="24"/>
          <w:szCs w:val="24"/>
        </w:rPr>
        <w:t>guiding questions</w:t>
      </w:r>
      <w:r w:rsidR="000232BD" w:rsidRPr="00476DF1">
        <w:rPr>
          <w:rFonts w:ascii="Times New Roman" w:hAnsi="Times New Roman"/>
          <w:sz w:val="24"/>
          <w:szCs w:val="24"/>
        </w:rPr>
        <w:t>:</w:t>
      </w:r>
      <w:r w:rsidR="000A60C6" w:rsidRPr="00476DF1">
        <w:rPr>
          <w:rFonts w:ascii="Times New Roman" w:hAnsi="Times New Roman"/>
          <w:sz w:val="24"/>
          <w:szCs w:val="24"/>
        </w:rPr>
        <w:t xml:space="preserve"> </w:t>
      </w:r>
      <w:r w:rsidR="000232BD" w:rsidRPr="00476DF1">
        <w:rPr>
          <w:rFonts w:ascii="Times New Roman" w:hAnsi="Times New Roman"/>
          <w:sz w:val="24"/>
          <w:szCs w:val="24"/>
        </w:rPr>
        <w:t>w</w:t>
      </w:r>
      <w:r w:rsidR="000A60C6" w:rsidRPr="00476DF1">
        <w:rPr>
          <w:rFonts w:ascii="Times New Roman" w:hAnsi="Times New Roman"/>
          <w:sz w:val="24"/>
          <w:szCs w:val="24"/>
        </w:rPr>
        <w:t>hat</w:t>
      </w:r>
      <w:r w:rsidR="00EE5B46" w:rsidRPr="00476DF1">
        <w:rPr>
          <w:rFonts w:ascii="Times New Roman" w:hAnsi="Times New Roman"/>
          <w:sz w:val="24"/>
          <w:szCs w:val="24"/>
        </w:rPr>
        <w:t xml:space="preserve"> element</w:t>
      </w:r>
      <w:r w:rsidR="00330B31" w:rsidRPr="00476DF1">
        <w:rPr>
          <w:rFonts w:ascii="Times New Roman" w:hAnsi="Times New Roman"/>
          <w:sz w:val="24"/>
          <w:szCs w:val="24"/>
        </w:rPr>
        <w:t>s</w:t>
      </w:r>
      <w:r w:rsidR="00EE5B46" w:rsidRPr="00476DF1">
        <w:rPr>
          <w:rFonts w:ascii="Times New Roman" w:hAnsi="Times New Roman"/>
          <w:sz w:val="24"/>
          <w:szCs w:val="24"/>
        </w:rPr>
        <w:t xml:space="preserve"> </w:t>
      </w:r>
      <w:r w:rsidR="0085779F" w:rsidRPr="00476DF1">
        <w:rPr>
          <w:rFonts w:ascii="Times New Roman" w:hAnsi="Times New Roman"/>
          <w:sz w:val="24"/>
          <w:szCs w:val="24"/>
        </w:rPr>
        <w:t xml:space="preserve">does </w:t>
      </w:r>
      <w:r w:rsidR="00EE5B46" w:rsidRPr="00476DF1">
        <w:rPr>
          <w:rFonts w:ascii="Times New Roman" w:hAnsi="Times New Roman"/>
          <w:sz w:val="24"/>
          <w:szCs w:val="24"/>
        </w:rPr>
        <w:t xml:space="preserve">a small enterprise </w:t>
      </w:r>
      <w:r w:rsidR="0085779F" w:rsidRPr="00476DF1">
        <w:rPr>
          <w:rFonts w:ascii="Times New Roman" w:hAnsi="Times New Roman"/>
          <w:sz w:val="24"/>
          <w:szCs w:val="24"/>
        </w:rPr>
        <w:t xml:space="preserve">have </w:t>
      </w:r>
      <w:r w:rsidR="00EE5B46" w:rsidRPr="00476DF1">
        <w:rPr>
          <w:rFonts w:ascii="Times New Roman" w:hAnsi="Times New Roman"/>
          <w:sz w:val="24"/>
          <w:szCs w:val="24"/>
        </w:rPr>
        <w:t xml:space="preserve">to offer </w:t>
      </w:r>
      <w:r w:rsidR="00EE67B3" w:rsidRPr="00476DF1">
        <w:rPr>
          <w:rFonts w:ascii="Times New Roman" w:hAnsi="Times New Roman"/>
          <w:sz w:val="24"/>
          <w:szCs w:val="24"/>
        </w:rPr>
        <w:t xml:space="preserve">in order to </w:t>
      </w:r>
      <w:r w:rsidR="00330B31" w:rsidRPr="00476DF1">
        <w:rPr>
          <w:rFonts w:ascii="Times New Roman" w:hAnsi="Times New Roman"/>
          <w:sz w:val="24"/>
          <w:szCs w:val="24"/>
        </w:rPr>
        <w:t xml:space="preserve">improve the </w:t>
      </w:r>
      <w:r w:rsidR="00EE5B46" w:rsidRPr="00476DF1">
        <w:rPr>
          <w:rFonts w:ascii="Times New Roman" w:hAnsi="Times New Roman"/>
          <w:sz w:val="24"/>
          <w:szCs w:val="24"/>
        </w:rPr>
        <w:t>large enterprise</w:t>
      </w:r>
      <w:r w:rsidR="00330B31" w:rsidRPr="00476DF1">
        <w:rPr>
          <w:rFonts w:ascii="Times New Roman" w:hAnsi="Times New Roman"/>
          <w:sz w:val="24"/>
          <w:szCs w:val="24"/>
        </w:rPr>
        <w:t>s pool of capabilities</w:t>
      </w:r>
      <w:r w:rsidR="00587C15" w:rsidRPr="00476DF1">
        <w:rPr>
          <w:rFonts w:ascii="Times New Roman" w:hAnsi="Times New Roman"/>
          <w:sz w:val="24"/>
          <w:szCs w:val="24"/>
        </w:rPr>
        <w:t xml:space="preserve">? What </w:t>
      </w:r>
      <w:r w:rsidR="0085779F" w:rsidRPr="00476DF1">
        <w:rPr>
          <w:rFonts w:ascii="Times New Roman" w:hAnsi="Times New Roman"/>
          <w:sz w:val="24"/>
          <w:szCs w:val="24"/>
        </w:rPr>
        <w:t>is the potential of</w:t>
      </w:r>
      <w:r w:rsidR="00587C15" w:rsidRPr="00476DF1">
        <w:rPr>
          <w:rFonts w:ascii="Times New Roman" w:hAnsi="Times New Roman"/>
          <w:sz w:val="24"/>
          <w:szCs w:val="24"/>
        </w:rPr>
        <w:t xml:space="preserve"> t</w:t>
      </w:r>
      <w:r w:rsidR="00705C56" w:rsidRPr="00476DF1">
        <w:rPr>
          <w:rFonts w:ascii="Times New Roman" w:hAnsi="Times New Roman"/>
          <w:sz w:val="24"/>
          <w:szCs w:val="24"/>
        </w:rPr>
        <w:t>he</w:t>
      </w:r>
      <w:r w:rsidR="00FB0E5C" w:rsidRPr="00476DF1">
        <w:rPr>
          <w:rFonts w:ascii="Times New Roman" w:hAnsi="Times New Roman"/>
          <w:sz w:val="24"/>
          <w:szCs w:val="24"/>
        </w:rPr>
        <w:t>se</w:t>
      </w:r>
      <w:r w:rsidR="00705C56" w:rsidRPr="00476DF1">
        <w:rPr>
          <w:rFonts w:ascii="Times New Roman" w:hAnsi="Times New Roman"/>
          <w:sz w:val="24"/>
          <w:szCs w:val="24"/>
        </w:rPr>
        <w:t xml:space="preserve"> elements</w:t>
      </w:r>
      <w:r w:rsidR="00587C15" w:rsidRPr="00476DF1">
        <w:rPr>
          <w:rFonts w:ascii="Times New Roman" w:hAnsi="Times New Roman"/>
          <w:sz w:val="24"/>
          <w:szCs w:val="24"/>
        </w:rPr>
        <w:t xml:space="preserve"> in terms of new competences and technologies for the acquiring ente</w:t>
      </w:r>
      <w:r w:rsidR="002F3EAA" w:rsidRPr="00476DF1">
        <w:rPr>
          <w:rFonts w:ascii="Times New Roman" w:hAnsi="Times New Roman"/>
          <w:sz w:val="24"/>
          <w:szCs w:val="24"/>
        </w:rPr>
        <w:t>r</w:t>
      </w:r>
      <w:r w:rsidR="00587C15" w:rsidRPr="00476DF1">
        <w:rPr>
          <w:rFonts w:ascii="Times New Roman" w:hAnsi="Times New Roman"/>
          <w:sz w:val="24"/>
          <w:szCs w:val="24"/>
        </w:rPr>
        <w:t>prise?</w:t>
      </w:r>
      <w:r w:rsidR="00705C56" w:rsidRPr="00476DF1">
        <w:rPr>
          <w:rFonts w:ascii="Times New Roman" w:hAnsi="Times New Roman"/>
          <w:sz w:val="24"/>
          <w:szCs w:val="24"/>
        </w:rPr>
        <w:t xml:space="preserve"> </w:t>
      </w:r>
    </w:p>
    <w:p w14:paraId="7DE82117" w14:textId="49242215" w:rsidR="000A60C6" w:rsidRPr="00476DF1" w:rsidRDefault="003A3CB7"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The main objective of this </w:t>
      </w:r>
      <w:r w:rsidR="0085779F" w:rsidRPr="00476DF1">
        <w:rPr>
          <w:rFonts w:ascii="Times New Roman" w:hAnsi="Times New Roman"/>
          <w:sz w:val="24"/>
          <w:szCs w:val="24"/>
        </w:rPr>
        <w:t>study</w:t>
      </w:r>
      <w:r w:rsidRPr="00476DF1">
        <w:rPr>
          <w:rFonts w:ascii="Times New Roman" w:hAnsi="Times New Roman"/>
          <w:sz w:val="24"/>
          <w:szCs w:val="24"/>
        </w:rPr>
        <w:t xml:space="preserve"> </w:t>
      </w:r>
      <w:r w:rsidR="002C42B1" w:rsidRPr="00476DF1">
        <w:rPr>
          <w:rFonts w:ascii="Times New Roman" w:hAnsi="Times New Roman"/>
          <w:sz w:val="24"/>
          <w:szCs w:val="24"/>
        </w:rPr>
        <w:t xml:space="preserve">is </w:t>
      </w:r>
      <w:r w:rsidR="00A32FD9" w:rsidRPr="00476DF1">
        <w:rPr>
          <w:rFonts w:ascii="Times New Roman" w:hAnsi="Times New Roman"/>
          <w:sz w:val="24"/>
          <w:szCs w:val="24"/>
        </w:rPr>
        <w:t xml:space="preserve">to </w:t>
      </w:r>
      <w:r w:rsidR="005668FD" w:rsidRPr="00476DF1">
        <w:rPr>
          <w:rFonts w:ascii="Times New Roman" w:hAnsi="Times New Roman"/>
          <w:sz w:val="24"/>
          <w:szCs w:val="24"/>
        </w:rPr>
        <w:t xml:space="preserve">answer </w:t>
      </w:r>
      <w:r w:rsidRPr="00476DF1">
        <w:rPr>
          <w:rFonts w:ascii="Times New Roman" w:hAnsi="Times New Roman"/>
          <w:sz w:val="24"/>
          <w:szCs w:val="24"/>
        </w:rPr>
        <w:t>th</w:t>
      </w:r>
      <w:r w:rsidR="005668FD" w:rsidRPr="00476DF1">
        <w:rPr>
          <w:rFonts w:ascii="Times New Roman" w:hAnsi="Times New Roman"/>
          <w:sz w:val="24"/>
          <w:szCs w:val="24"/>
        </w:rPr>
        <w:t>ese</w:t>
      </w:r>
      <w:r w:rsidRPr="00476DF1">
        <w:rPr>
          <w:rFonts w:ascii="Times New Roman" w:hAnsi="Times New Roman"/>
          <w:sz w:val="24"/>
          <w:szCs w:val="24"/>
        </w:rPr>
        <w:t xml:space="preserve"> guiding question</w:t>
      </w:r>
      <w:r w:rsidR="005668FD" w:rsidRPr="00476DF1">
        <w:rPr>
          <w:rFonts w:ascii="Times New Roman" w:hAnsi="Times New Roman"/>
          <w:sz w:val="24"/>
          <w:szCs w:val="24"/>
        </w:rPr>
        <w:t>s</w:t>
      </w:r>
      <w:r w:rsidRPr="00476DF1">
        <w:rPr>
          <w:rFonts w:ascii="Times New Roman" w:hAnsi="Times New Roman"/>
          <w:sz w:val="24"/>
          <w:szCs w:val="24"/>
        </w:rPr>
        <w:t xml:space="preserve">. </w:t>
      </w:r>
      <w:r w:rsidR="00BC1808" w:rsidRPr="00476DF1">
        <w:rPr>
          <w:rFonts w:ascii="Times New Roman" w:hAnsi="Times New Roman"/>
          <w:sz w:val="24"/>
          <w:szCs w:val="24"/>
        </w:rPr>
        <w:t>We meet this objective</w:t>
      </w:r>
      <w:r w:rsidR="0061516E" w:rsidRPr="00476DF1">
        <w:rPr>
          <w:rFonts w:ascii="Times New Roman" w:hAnsi="Times New Roman"/>
          <w:sz w:val="24"/>
          <w:szCs w:val="24"/>
        </w:rPr>
        <w:t xml:space="preserve"> qualitatively,</w:t>
      </w:r>
      <w:r w:rsidR="00BC1808" w:rsidRPr="00476DF1">
        <w:rPr>
          <w:rFonts w:ascii="Times New Roman" w:hAnsi="Times New Roman"/>
          <w:sz w:val="24"/>
          <w:szCs w:val="24"/>
        </w:rPr>
        <w:t xml:space="preserve"> by setting</w:t>
      </w:r>
      <w:r w:rsidR="00E82B69" w:rsidRPr="00476DF1">
        <w:rPr>
          <w:rFonts w:ascii="Times New Roman" w:hAnsi="Times New Roman"/>
          <w:sz w:val="24"/>
          <w:szCs w:val="24"/>
        </w:rPr>
        <w:t xml:space="preserve"> the </w:t>
      </w:r>
      <w:r w:rsidR="00BC1808" w:rsidRPr="00476DF1">
        <w:rPr>
          <w:rFonts w:ascii="Times New Roman" w:hAnsi="Times New Roman"/>
          <w:sz w:val="24"/>
          <w:szCs w:val="24"/>
        </w:rPr>
        <w:t xml:space="preserve">analyzed </w:t>
      </w:r>
      <w:r w:rsidR="00E82B69" w:rsidRPr="00476DF1">
        <w:rPr>
          <w:rFonts w:ascii="Times New Roman" w:hAnsi="Times New Roman"/>
          <w:sz w:val="24"/>
          <w:szCs w:val="24"/>
        </w:rPr>
        <w:t xml:space="preserve">phenomenon </w:t>
      </w:r>
      <w:r w:rsidR="002F3EAA" w:rsidRPr="00476DF1">
        <w:rPr>
          <w:rFonts w:ascii="Times New Roman" w:hAnsi="Times New Roman"/>
          <w:sz w:val="24"/>
          <w:szCs w:val="24"/>
        </w:rPr>
        <w:t>as</w:t>
      </w:r>
      <w:r w:rsidR="00E82B69" w:rsidRPr="00476DF1">
        <w:rPr>
          <w:rFonts w:ascii="Times New Roman" w:hAnsi="Times New Roman"/>
          <w:sz w:val="24"/>
          <w:szCs w:val="24"/>
        </w:rPr>
        <w:t xml:space="preserve"> </w:t>
      </w:r>
      <w:r w:rsidR="00726537" w:rsidRPr="00476DF1">
        <w:rPr>
          <w:rFonts w:ascii="Times New Roman" w:hAnsi="Times New Roman"/>
          <w:sz w:val="24"/>
          <w:szCs w:val="24"/>
        </w:rPr>
        <w:t>Big Pharma</w:t>
      </w:r>
      <w:r w:rsidR="00A32FD9" w:rsidRPr="00476DF1">
        <w:rPr>
          <w:rFonts w:ascii="Times New Roman" w:hAnsi="Times New Roman"/>
          <w:sz w:val="24"/>
          <w:szCs w:val="24"/>
        </w:rPr>
        <w:t>’</w:t>
      </w:r>
      <w:r w:rsidR="00986E5C" w:rsidRPr="00476DF1">
        <w:rPr>
          <w:rFonts w:ascii="Times New Roman" w:hAnsi="Times New Roman"/>
          <w:sz w:val="24"/>
          <w:szCs w:val="24"/>
        </w:rPr>
        <w:t xml:space="preserve">s incorporation of biotechnologies </w:t>
      </w:r>
      <w:r w:rsidR="00BC1808" w:rsidRPr="00476DF1">
        <w:rPr>
          <w:rFonts w:ascii="Times New Roman" w:hAnsi="Times New Roman"/>
          <w:sz w:val="24"/>
          <w:szCs w:val="24"/>
        </w:rPr>
        <w:t>by acquiring</w:t>
      </w:r>
      <w:r w:rsidR="00E82B69" w:rsidRPr="00476DF1">
        <w:rPr>
          <w:rFonts w:ascii="Times New Roman" w:hAnsi="Times New Roman"/>
          <w:sz w:val="24"/>
          <w:szCs w:val="24"/>
        </w:rPr>
        <w:t xml:space="preserve"> small enterprises. Second, </w:t>
      </w:r>
      <w:r w:rsidR="00BC1808" w:rsidRPr="00476DF1">
        <w:rPr>
          <w:rFonts w:ascii="Times New Roman" w:hAnsi="Times New Roman"/>
          <w:sz w:val="24"/>
          <w:szCs w:val="24"/>
        </w:rPr>
        <w:t>we identify and</w:t>
      </w:r>
      <w:r w:rsidR="00CF15B9" w:rsidRPr="00476DF1">
        <w:rPr>
          <w:rFonts w:ascii="Times New Roman" w:hAnsi="Times New Roman"/>
          <w:sz w:val="24"/>
          <w:szCs w:val="24"/>
        </w:rPr>
        <w:t xml:space="preserve"> extensively discuss </w:t>
      </w:r>
      <w:r w:rsidR="00E82B69" w:rsidRPr="00476DF1">
        <w:rPr>
          <w:rFonts w:ascii="Times New Roman" w:hAnsi="Times New Roman"/>
          <w:sz w:val="24"/>
          <w:szCs w:val="24"/>
        </w:rPr>
        <w:t xml:space="preserve">the elements </w:t>
      </w:r>
      <w:r w:rsidR="00330B31" w:rsidRPr="00476DF1">
        <w:rPr>
          <w:rFonts w:ascii="Times New Roman" w:hAnsi="Times New Roman"/>
          <w:sz w:val="24"/>
          <w:szCs w:val="24"/>
        </w:rPr>
        <w:t xml:space="preserve">that </w:t>
      </w:r>
      <w:r w:rsidR="00BC1808" w:rsidRPr="00476DF1">
        <w:rPr>
          <w:rFonts w:ascii="Times New Roman" w:hAnsi="Times New Roman"/>
          <w:sz w:val="24"/>
          <w:szCs w:val="24"/>
        </w:rPr>
        <w:t>a small firm can transfer</w:t>
      </w:r>
      <w:r w:rsidR="00330B31" w:rsidRPr="00476DF1">
        <w:rPr>
          <w:rFonts w:ascii="Times New Roman" w:hAnsi="Times New Roman"/>
          <w:sz w:val="24"/>
          <w:szCs w:val="24"/>
        </w:rPr>
        <w:t xml:space="preserve"> in an acquisition</w:t>
      </w:r>
      <w:r w:rsidR="00BC1808" w:rsidRPr="00476DF1">
        <w:rPr>
          <w:rFonts w:ascii="Times New Roman" w:hAnsi="Times New Roman"/>
          <w:sz w:val="24"/>
          <w:szCs w:val="24"/>
        </w:rPr>
        <w:t xml:space="preserve"> and that affect</w:t>
      </w:r>
      <w:r w:rsidR="00330B31" w:rsidRPr="00476DF1">
        <w:rPr>
          <w:rFonts w:ascii="Times New Roman" w:hAnsi="Times New Roman"/>
          <w:sz w:val="24"/>
          <w:szCs w:val="24"/>
        </w:rPr>
        <w:t xml:space="preserve"> the </w:t>
      </w:r>
      <w:r w:rsidR="00986E5C" w:rsidRPr="00476DF1">
        <w:rPr>
          <w:rFonts w:ascii="Times New Roman" w:hAnsi="Times New Roman"/>
          <w:sz w:val="24"/>
          <w:szCs w:val="24"/>
        </w:rPr>
        <w:t xml:space="preserve">acquiring </w:t>
      </w:r>
      <w:r w:rsidR="00330B31" w:rsidRPr="00476DF1">
        <w:rPr>
          <w:rFonts w:ascii="Times New Roman" w:hAnsi="Times New Roman"/>
          <w:sz w:val="24"/>
          <w:szCs w:val="24"/>
        </w:rPr>
        <w:t>enterprises</w:t>
      </w:r>
      <w:r w:rsidR="00BC1808" w:rsidRPr="00476DF1">
        <w:rPr>
          <w:rFonts w:ascii="Times New Roman" w:hAnsi="Times New Roman"/>
          <w:sz w:val="24"/>
          <w:szCs w:val="24"/>
        </w:rPr>
        <w:t>’</w:t>
      </w:r>
      <w:r w:rsidR="00330B31" w:rsidRPr="00476DF1">
        <w:rPr>
          <w:rFonts w:ascii="Times New Roman" w:hAnsi="Times New Roman"/>
          <w:sz w:val="24"/>
          <w:szCs w:val="24"/>
        </w:rPr>
        <w:t xml:space="preserve"> capabilities</w:t>
      </w:r>
      <w:r w:rsidR="00E82B69" w:rsidRPr="00476DF1">
        <w:rPr>
          <w:rFonts w:ascii="Times New Roman" w:hAnsi="Times New Roman"/>
          <w:sz w:val="24"/>
          <w:szCs w:val="24"/>
        </w:rPr>
        <w:t xml:space="preserve">, </w:t>
      </w:r>
      <w:r w:rsidR="00BC1808" w:rsidRPr="00476DF1">
        <w:rPr>
          <w:rFonts w:ascii="Times New Roman" w:hAnsi="Times New Roman"/>
          <w:sz w:val="24"/>
          <w:szCs w:val="24"/>
        </w:rPr>
        <w:t>whether</w:t>
      </w:r>
      <w:r w:rsidR="00E82B69" w:rsidRPr="00476DF1">
        <w:rPr>
          <w:rFonts w:ascii="Times New Roman" w:hAnsi="Times New Roman"/>
          <w:sz w:val="24"/>
          <w:szCs w:val="24"/>
        </w:rPr>
        <w:t xml:space="preserve"> technical </w:t>
      </w:r>
      <w:r w:rsidR="00BC1808" w:rsidRPr="00476DF1">
        <w:rPr>
          <w:rFonts w:ascii="Times New Roman" w:hAnsi="Times New Roman"/>
          <w:sz w:val="24"/>
          <w:szCs w:val="24"/>
        </w:rPr>
        <w:t xml:space="preserve">and/or </w:t>
      </w:r>
      <w:r w:rsidR="00E82B69" w:rsidRPr="00476DF1">
        <w:rPr>
          <w:rFonts w:ascii="Times New Roman" w:hAnsi="Times New Roman"/>
          <w:sz w:val="24"/>
          <w:szCs w:val="24"/>
        </w:rPr>
        <w:t>skill</w:t>
      </w:r>
      <w:r w:rsidR="00BC1808" w:rsidRPr="00476DF1">
        <w:rPr>
          <w:rFonts w:ascii="Times New Roman" w:hAnsi="Times New Roman"/>
          <w:sz w:val="24"/>
          <w:szCs w:val="24"/>
        </w:rPr>
        <w:t>s</w:t>
      </w:r>
      <w:r w:rsidR="00E82B69" w:rsidRPr="00476DF1">
        <w:rPr>
          <w:rFonts w:ascii="Times New Roman" w:hAnsi="Times New Roman"/>
          <w:sz w:val="24"/>
          <w:szCs w:val="24"/>
        </w:rPr>
        <w:t xml:space="preserve">. </w:t>
      </w:r>
      <w:r w:rsidR="00BC1808" w:rsidRPr="00476DF1">
        <w:rPr>
          <w:rFonts w:ascii="Times New Roman" w:hAnsi="Times New Roman"/>
          <w:sz w:val="24"/>
          <w:szCs w:val="24"/>
        </w:rPr>
        <w:t xml:space="preserve">We use a </w:t>
      </w:r>
      <w:r w:rsidRPr="00476DF1">
        <w:rPr>
          <w:rFonts w:ascii="Times New Roman" w:hAnsi="Times New Roman"/>
          <w:sz w:val="24"/>
          <w:szCs w:val="24"/>
        </w:rPr>
        <w:t>sa</w:t>
      </w:r>
      <w:r w:rsidR="002C42B1" w:rsidRPr="00476DF1">
        <w:rPr>
          <w:rFonts w:ascii="Times New Roman" w:hAnsi="Times New Roman"/>
          <w:sz w:val="24"/>
          <w:szCs w:val="24"/>
        </w:rPr>
        <w:t>m</w:t>
      </w:r>
      <w:r w:rsidRPr="00476DF1">
        <w:rPr>
          <w:rFonts w:ascii="Times New Roman" w:hAnsi="Times New Roman"/>
          <w:sz w:val="24"/>
          <w:szCs w:val="24"/>
        </w:rPr>
        <w:t>ple of the most relev</w:t>
      </w:r>
      <w:r w:rsidR="002C42B1" w:rsidRPr="00476DF1">
        <w:rPr>
          <w:rFonts w:ascii="Times New Roman" w:hAnsi="Times New Roman"/>
          <w:sz w:val="24"/>
          <w:szCs w:val="24"/>
        </w:rPr>
        <w:t>a</w:t>
      </w:r>
      <w:r w:rsidRPr="00476DF1">
        <w:rPr>
          <w:rFonts w:ascii="Times New Roman" w:hAnsi="Times New Roman"/>
          <w:sz w:val="24"/>
          <w:szCs w:val="24"/>
        </w:rPr>
        <w:t>nt large pharmaceutical ent</w:t>
      </w:r>
      <w:r w:rsidR="002C42B1" w:rsidRPr="00476DF1">
        <w:rPr>
          <w:rFonts w:ascii="Times New Roman" w:hAnsi="Times New Roman"/>
          <w:sz w:val="24"/>
          <w:szCs w:val="24"/>
        </w:rPr>
        <w:t>er</w:t>
      </w:r>
      <w:r w:rsidRPr="00476DF1">
        <w:rPr>
          <w:rFonts w:ascii="Times New Roman" w:hAnsi="Times New Roman"/>
          <w:sz w:val="24"/>
          <w:szCs w:val="24"/>
        </w:rPr>
        <w:t>prise</w:t>
      </w:r>
      <w:r w:rsidR="002C42B1" w:rsidRPr="00476DF1">
        <w:rPr>
          <w:rFonts w:ascii="Times New Roman" w:hAnsi="Times New Roman"/>
          <w:sz w:val="24"/>
          <w:szCs w:val="24"/>
        </w:rPr>
        <w:t>s</w:t>
      </w:r>
      <w:r w:rsidR="00BC1808" w:rsidRPr="00476DF1">
        <w:rPr>
          <w:rFonts w:ascii="Times New Roman" w:hAnsi="Times New Roman"/>
          <w:sz w:val="24"/>
          <w:szCs w:val="24"/>
        </w:rPr>
        <w:t xml:space="preserve"> and analyze the</w:t>
      </w:r>
      <w:r w:rsidR="009F3951" w:rsidRPr="00476DF1">
        <w:rPr>
          <w:rFonts w:ascii="Times New Roman" w:hAnsi="Times New Roman"/>
          <w:sz w:val="24"/>
          <w:szCs w:val="24"/>
        </w:rPr>
        <w:t xml:space="preserve"> pat</w:t>
      </w:r>
      <w:r w:rsidR="002C42B1" w:rsidRPr="00476DF1">
        <w:rPr>
          <w:rFonts w:ascii="Times New Roman" w:hAnsi="Times New Roman"/>
          <w:sz w:val="24"/>
          <w:szCs w:val="24"/>
        </w:rPr>
        <w:t>e</w:t>
      </w:r>
      <w:r w:rsidR="009F3951" w:rsidRPr="00476DF1">
        <w:rPr>
          <w:rFonts w:ascii="Times New Roman" w:hAnsi="Times New Roman"/>
          <w:sz w:val="24"/>
          <w:szCs w:val="24"/>
        </w:rPr>
        <w:t xml:space="preserve">nt information </w:t>
      </w:r>
      <w:r w:rsidR="00BC1808" w:rsidRPr="00476DF1">
        <w:rPr>
          <w:rFonts w:ascii="Times New Roman" w:hAnsi="Times New Roman"/>
          <w:sz w:val="24"/>
          <w:szCs w:val="24"/>
        </w:rPr>
        <w:t xml:space="preserve">of </w:t>
      </w:r>
      <w:r w:rsidR="009F3951" w:rsidRPr="00476DF1">
        <w:rPr>
          <w:rFonts w:ascii="Times New Roman" w:hAnsi="Times New Roman"/>
          <w:sz w:val="24"/>
          <w:szCs w:val="24"/>
        </w:rPr>
        <w:t xml:space="preserve">the </w:t>
      </w:r>
      <w:r w:rsidR="002C42B1" w:rsidRPr="00476DF1">
        <w:rPr>
          <w:rFonts w:ascii="Times New Roman" w:hAnsi="Times New Roman"/>
          <w:sz w:val="24"/>
          <w:szCs w:val="24"/>
        </w:rPr>
        <w:t>l</w:t>
      </w:r>
      <w:r w:rsidR="009F3951" w:rsidRPr="00476DF1">
        <w:rPr>
          <w:rFonts w:ascii="Times New Roman" w:hAnsi="Times New Roman"/>
          <w:sz w:val="24"/>
          <w:szCs w:val="24"/>
        </w:rPr>
        <w:t>arge and small acquired ente</w:t>
      </w:r>
      <w:r w:rsidR="002C42B1" w:rsidRPr="00476DF1">
        <w:rPr>
          <w:rFonts w:ascii="Times New Roman" w:hAnsi="Times New Roman"/>
          <w:sz w:val="24"/>
          <w:szCs w:val="24"/>
        </w:rPr>
        <w:t>rp</w:t>
      </w:r>
      <w:r w:rsidR="009F3951" w:rsidRPr="00476DF1">
        <w:rPr>
          <w:rFonts w:ascii="Times New Roman" w:hAnsi="Times New Roman"/>
          <w:sz w:val="24"/>
          <w:szCs w:val="24"/>
        </w:rPr>
        <w:t xml:space="preserve">rises according </w:t>
      </w:r>
      <w:r w:rsidR="00BC1808" w:rsidRPr="00476DF1">
        <w:rPr>
          <w:rFonts w:ascii="Times New Roman" w:hAnsi="Times New Roman"/>
          <w:sz w:val="24"/>
          <w:szCs w:val="24"/>
        </w:rPr>
        <w:t xml:space="preserve">in terms of their </w:t>
      </w:r>
      <w:r w:rsidR="009F3951" w:rsidRPr="00476DF1">
        <w:rPr>
          <w:rFonts w:ascii="Times New Roman" w:hAnsi="Times New Roman"/>
          <w:sz w:val="24"/>
          <w:szCs w:val="24"/>
        </w:rPr>
        <w:t xml:space="preserve">technical contribution </w:t>
      </w:r>
      <w:r w:rsidR="005668FD" w:rsidRPr="00476DF1">
        <w:rPr>
          <w:rFonts w:ascii="Times New Roman" w:hAnsi="Times New Roman"/>
          <w:sz w:val="24"/>
          <w:szCs w:val="24"/>
        </w:rPr>
        <w:t xml:space="preserve">and </w:t>
      </w:r>
      <w:r w:rsidR="009F3951" w:rsidRPr="00476DF1">
        <w:rPr>
          <w:rFonts w:ascii="Times New Roman" w:hAnsi="Times New Roman"/>
          <w:sz w:val="24"/>
          <w:szCs w:val="24"/>
        </w:rPr>
        <w:t>skill contribution</w:t>
      </w:r>
      <w:r w:rsidR="00BC1808" w:rsidRPr="00476DF1">
        <w:rPr>
          <w:rFonts w:ascii="Times New Roman" w:hAnsi="Times New Roman"/>
          <w:sz w:val="24"/>
          <w:szCs w:val="24"/>
        </w:rPr>
        <w:t>,</w:t>
      </w:r>
      <w:r w:rsidR="00861F4C" w:rsidRPr="00476DF1">
        <w:rPr>
          <w:rFonts w:ascii="Times New Roman" w:hAnsi="Times New Roman"/>
          <w:sz w:val="24"/>
          <w:szCs w:val="24"/>
        </w:rPr>
        <w:t xml:space="preserve"> and </w:t>
      </w:r>
      <w:r w:rsidR="00BC1808" w:rsidRPr="00476DF1">
        <w:rPr>
          <w:rFonts w:ascii="Times New Roman" w:hAnsi="Times New Roman"/>
          <w:sz w:val="24"/>
          <w:szCs w:val="24"/>
        </w:rPr>
        <w:t>their potential</w:t>
      </w:r>
      <w:r w:rsidR="009F3951" w:rsidRPr="00476DF1">
        <w:rPr>
          <w:rFonts w:ascii="Times New Roman" w:hAnsi="Times New Roman"/>
          <w:sz w:val="24"/>
          <w:szCs w:val="24"/>
        </w:rPr>
        <w:t xml:space="preserve">. </w:t>
      </w:r>
      <w:r w:rsidR="00BC1808" w:rsidRPr="00476DF1">
        <w:rPr>
          <w:rFonts w:ascii="Times New Roman" w:hAnsi="Times New Roman"/>
          <w:sz w:val="24"/>
          <w:szCs w:val="24"/>
        </w:rPr>
        <w:t xml:space="preserve">These </w:t>
      </w:r>
      <w:r w:rsidR="009F3951" w:rsidRPr="00476DF1">
        <w:rPr>
          <w:rFonts w:ascii="Times New Roman" w:hAnsi="Times New Roman"/>
          <w:sz w:val="24"/>
          <w:szCs w:val="24"/>
        </w:rPr>
        <w:t>concep</w:t>
      </w:r>
      <w:r w:rsidR="002C42B1" w:rsidRPr="00476DF1">
        <w:rPr>
          <w:rFonts w:ascii="Times New Roman" w:hAnsi="Times New Roman"/>
          <w:sz w:val="24"/>
          <w:szCs w:val="24"/>
        </w:rPr>
        <w:t>t</w:t>
      </w:r>
      <w:r w:rsidR="009F3951" w:rsidRPr="00476DF1">
        <w:rPr>
          <w:rFonts w:ascii="Times New Roman" w:hAnsi="Times New Roman"/>
          <w:sz w:val="24"/>
          <w:szCs w:val="24"/>
        </w:rPr>
        <w:t xml:space="preserve">s are </w:t>
      </w:r>
      <w:r w:rsidR="002C42B1" w:rsidRPr="00476DF1">
        <w:rPr>
          <w:rFonts w:ascii="Times New Roman" w:hAnsi="Times New Roman"/>
          <w:sz w:val="24"/>
          <w:szCs w:val="24"/>
        </w:rPr>
        <w:t>f</w:t>
      </w:r>
      <w:r w:rsidR="009F3951" w:rsidRPr="00476DF1">
        <w:rPr>
          <w:rFonts w:ascii="Times New Roman" w:hAnsi="Times New Roman"/>
          <w:sz w:val="24"/>
          <w:szCs w:val="24"/>
        </w:rPr>
        <w:t xml:space="preserve">undamental </w:t>
      </w:r>
      <w:r w:rsidR="008E732B" w:rsidRPr="00476DF1">
        <w:rPr>
          <w:rFonts w:ascii="Times New Roman" w:hAnsi="Times New Roman"/>
          <w:sz w:val="24"/>
          <w:szCs w:val="24"/>
        </w:rPr>
        <w:t xml:space="preserve">for </w:t>
      </w:r>
      <w:r w:rsidR="009F3951" w:rsidRPr="00476DF1">
        <w:rPr>
          <w:rFonts w:ascii="Times New Roman" w:hAnsi="Times New Roman"/>
          <w:sz w:val="24"/>
          <w:szCs w:val="24"/>
        </w:rPr>
        <w:t>understand</w:t>
      </w:r>
      <w:r w:rsidR="008E732B" w:rsidRPr="00476DF1">
        <w:rPr>
          <w:rFonts w:ascii="Times New Roman" w:hAnsi="Times New Roman"/>
          <w:sz w:val="24"/>
          <w:szCs w:val="24"/>
        </w:rPr>
        <w:t>ing</w:t>
      </w:r>
      <w:r w:rsidR="009F3951" w:rsidRPr="00476DF1">
        <w:rPr>
          <w:rFonts w:ascii="Times New Roman" w:hAnsi="Times New Roman"/>
          <w:sz w:val="24"/>
          <w:szCs w:val="24"/>
        </w:rPr>
        <w:t xml:space="preserve"> what large enterprise</w:t>
      </w:r>
      <w:r w:rsidR="00BC1808" w:rsidRPr="00476DF1">
        <w:rPr>
          <w:rFonts w:ascii="Times New Roman" w:hAnsi="Times New Roman"/>
          <w:sz w:val="24"/>
          <w:szCs w:val="24"/>
        </w:rPr>
        <w:t xml:space="preserve">s hold when they </w:t>
      </w:r>
      <w:r w:rsidR="009F3951" w:rsidRPr="00476DF1">
        <w:rPr>
          <w:rFonts w:ascii="Times New Roman" w:hAnsi="Times New Roman"/>
          <w:sz w:val="24"/>
          <w:szCs w:val="24"/>
        </w:rPr>
        <w:t xml:space="preserve">acquire a small enterprise. </w:t>
      </w:r>
    </w:p>
    <w:p w14:paraId="1A4EBAD7" w14:textId="7138EE4B" w:rsidR="002F3EAA" w:rsidRPr="00476DF1" w:rsidRDefault="00EE67B3"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This </w:t>
      </w:r>
      <w:r w:rsidR="00BC1808" w:rsidRPr="00476DF1">
        <w:rPr>
          <w:rFonts w:ascii="Times New Roman" w:hAnsi="Times New Roman"/>
          <w:sz w:val="24"/>
          <w:szCs w:val="24"/>
        </w:rPr>
        <w:t>study does not analyze the</w:t>
      </w:r>
      <w:r w:rsidRPr="00476DF1">
        <w:rPr>
          <w:rFonts w:ascii="Times New Roman" w:hAnsi="Times New Roman"/>
          <w:sz w:val="24"/>
          <w:szCs w:val="24"/>
        </w:rPr>
        <w:t xml:space="preserve"> outcomes</w:t>
      </w:r>
      <w:r w:rsidR="00AE7364" w:rsidRPr="00476DF1">
        <w:rPr>
          <w:rFonts w:ascii="Times New Roman" w:hAnsi="Times New Roman"/>
          <w:sz w:val="24"/>
          <w:szCs w:val="24"/>
        </w:rPr>
        <w:t xml:space="preserve"> of acquisitions</w:t>
      </w:r>
      <w:r w:rsidR="00BC1808" w:rsidRPr="00476DF1">
        <w:rPr>
          <w:rFonts w:ascii="Times New Roman" w:hAnsi="Times New Roman"/>
          <w:sz w:val="24"/>
          <w:szCs w:val="24"/>
        </w:rPr>
        <w:t>, which is</w:t>
      </w:r>
      <w:r w:rsidR="00962EA3" w:rsidRPr="00476DF1">
        <w:rPr>
          <w:rFonts w:ascii="Times New Roman" w:hAnsi="Times New Roman"/>
          <w:sz w:val="24"/>
          <w:szCs w:val="24"/>
        </w:rPr>
        <w:t xml:space="preserve"> </w:t>
      </w:r>
      <w:r w:rsidR="00FA7514" w:rsidRPr="00476DF1">
        <w:rPr>
          <w:rFonts w:ascii="Times New Roman" w:hAnsi="Times New Roman"/>
          <w:sz w:val="24"/>
          <w:szCs w:val="24"/>
        </w:rPr>
        <w:t xml:space="preserve">discussed </w:t>
      </w:r>
      <w:r w:rsidR="00BC1808" w:rsidRPr="00476DF1">
        <w:rPr>
          <w:rFonts w:ascii="Times New Roman" w:hAnsi="Times New Roman"/>
          <w:sz w:val="24"/>
          <w:szCs w:val="24"/>
        </w:rPr>
        <w:t xml:space="preserve">in </w:t>
      </w:r>
      <w:r w:rsidR="00962EA3" w:rsidRPr="00476DF1">
        <w:rPr>
          <w:rFonts w:ascii="Times New Roman" w:hAnsi="Times New Roman"/>
          <w:sz w:val="24"/>
          <w:szCs w:val="24"/>
        </w:rPr>
        <w:t xml:space="preserve">other </w:t>
      </w:r>
      <w:r w:rsidR="001A775D" w:rsidRPr="00476DF1">
        <w:rPr>
          <w:rFonts w:ascii="Times New Roman" w:hAnsi="Times New Roman"/>
          <w:sz w:val="24"/>
          <w:szCs w:val="24"/>
        </w:rPr>
        <w:t>studies</w:t>
      </w:r>
      <w:r w:rsidR="00962EA3" w:rsidRPr="00476DF1">
        <w:rPr>
          <w:rFonts w:ascii="Times New Roman" w:hAnsi="Times New Roman"/>
          <w:sz w:val="24"/>
          <w:szCs w:val="24"/>
        </w:rPr>
        <w:t>, many of</w:t>
      </w:r>
      <w:r w:rsidR="00BC1808" w:rsidRPr="00476DF1">
        <w:rPr>
          <w:rFonts w:ascii="Times New Roman" w:hAnsi="Times New Roman"/>
          <w:sz w:val="24"/>
          <w:szCs w:val="24"/>
        </w:rPr>
        <w:t xml:space="preserve"> which we cite here</w:t>
      </w:r>
      <w:r w:rsidR="00FA7514" w:rsidRPr="00476DF1">
        <w:rPr>
          <w:rFonts w:ascii="Times New Roman" w:hAnsi="Times New Roman"/>
          <w:sz w:val="24"/>
          <w:szCs w:val="24"/>
        </w:rPr>
        <w:t xml:space="preserve">. </w:t>
      </w:r>
      <w:r w:rsidR="00A32FD9" w:rsidRPr="00476DF1">
        <w:rPr>
          <w:rFonts w:ascii="Times New Roman" w:hAnsi="Times New Roman"/>
          <w:sz w:val="24"/>
          <w:szCs w:val="24"/>
        </w:rPr>
        <w:t xml:space="preserve">The main outcome of the proposed objective is to understand through what elements </w:t>
      </w:r>
      <w:r w:rsidR="00C0512B" w:rsidRPr="00476DF1">
        <w:rPr>
          <w:rFonts w:ascii="Times New Roman" w:hAnsi="Times New Roman"/>
          <w:sz w:val="24"/>
          <w:szCs w:val="24"/>
        </w:rPr>
        <w:t>can</w:t>
      </w:r>
      <w:r w:rsidR="00A32FD9" w:rsidRPr="00476DF1">
        <w:rPr>
          <w:rFonts w:ascii="Times New Roman" w:hAnsi="Times New Roman"/>
          <w:sz w:val="24"/>
          <w:szCs w:val="24"/>
        </w:rPr>
        <w:t xml:space="preserve"> </w:t>
      </w:r>
      <w:r w:rsidR="00726537" w:rsidRPr="00476DF1">
        <w:rPr>
          <w:rFonts w:ascii="Times New Roman" w:hAnsi="Times New Roman"/>
          <w:sz w:val="24"/>
          <w:szCs w:val="24"/>
        </w:rPr>
        <w:t>Big Pharma</w:t>
      </w:r>
      <w:r w:rsidR="00C0512B" w:rsidRPr="00476DF1">
        <w:rPr>
          <w:rFonts w:ascii="Times New Roman" w:hAnsi="Times New Roman"/>
          <w:sz w:val="24"/>
          <w:szCs w:val="24"/>
        </w:rPr>
        <w:t xml:space="preserve"> incorporate </w:t>
      </w:r>
      <w:r w:rsidR="00AE7364" w:rsidRPr="00476DF1">
        <w:rPr>
          <w:rFonts w:ascii="Times New Roman" w:hAnsi="Times New Roman"/>
          <w:sz w:val="24"/>
          <w:szCs w:val="24"/>
        </w:rPr>
        <w:t>external sources in</w:t>
      </w:r>
      <w:r w:rsidR="00C0512B" w:rsidRPr="00476DF1">
        <w:rPr>
          <w:rFonts w:ascii="Times New Roman" w:hAnsi="Times New Roman"/>
          <w:sz w:val="24"/>
          <w:szCs w:val="24"/>
        </w:rPr>
        <w:t>to</w:t>
      </w:r>
      <w:r w:rsidR="00AE7364" w:rsidRPr="00476DF1">
        <w:rPr>
          <w:rFonts w:ascii="Times New Roman" w:hAnsi="Times New Roman"/>
          <w:sz w:val="24"/>
          <w:szCs w:val="24"/>
        </w:rPr>
        <w:t xml:space="preserve"> </w:t>
      </w:r>
      <w:r w:rsidR="00A32FD9" w:rsidRPr="00476DF1">
        <w:rPr>
          <w:rFonts w:ascii="Times New Roman" w:hAnsi="Times New Roman"/>
          <w:sz w:val="24"/>
          <w:szCs w:val="24"/>
        </w:rPr>
        <w:t xml:space="preserve">its </w:t>
      </w:r>
      <w:r w:rsidR="00726537" w:rsidRPr="00476DF1">
        <w:rPr>
          <w:rFonts w:ascii="Times New Roman" w:hAnsi="Times New Roman"/>
          <w:sz w:val="24"/>
          <w:szCs w:val="24"/>
        </w:rPr>
        <w:t xml:space="preserve">innovation </w:t>
      </w:r>
      <w:r w:rsidR="00AE7364" w:rsidRPr="00476DF1">
        <w:rPr>
          <w:rFonts w:ascii="Times New Roman" w:hAnsi="Times New Roman"/>
          <w:sz w:val="24"/>
          <w:szCs w:val="24"/>
        </w:rPr>
        <w:t>activities.</w:t>
      </w:r>
    </w:p>
    <w:p w14:paraId="2DC91A5B" w14:textId="28FF3EBE" w:rsidR="00593C10" w:rsidRPr="00476DF1" w:rsidRDefault="00593C10"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In this work</w:t>
      </w:r>
      <w:r w:rsidR="00C0512B" w:rsidRPr="00476DF1">
        <w:rPr>
          <w:rFonts w:ascii="Times New Roman" w:hAnsi="Times New Roman"/>
          <w:sz w:val="24"/>
          <w:szCs w:val="24"/>
        </w:rPr>
        <w:t>,</w:t>
      </w:r>
      <w:r w:rsidRPr="00476DF1">
        <w:rPr>
          <w:rFonts w:ascii="Times New Roman" w:hAnsi="Times New Roman"/>
          <w:sz w:val="24"/>
          <w:szCs w:val="24"/>
        </w:rPr>
        <w:t xml:space="preserve"> we mainly contribute </w:t>
      </w:r>
      <w:r w:rsidR="00C0512B" w:rsidRPr="00476DF1">
        <w:rPr>
          <w:rFonts w:ascii="Times New Roman" w:hAnsi="Times New Roman"/>
          <w:sz w:val="24"/>
          <w:szCs w:val="24"/>
        </w:rPr>
        <w:t xml:space="preserve">to the literature </w:t>
      </w:r>
      <w:r w:rsidRPr="00476DF1">
        <w:rPr>
          <w:rFonts w:ascii="Times New Roman" w:hAnsi="Times New Roman"/>
          <w:sz w:val="24"/>
          <w:szCs w:val="24"/>
        </w:rPr>
        <w:t xml:space="preserve">by </w:t>
      </w:r>
      <w:r w:rsidR="002F3EAA" w:rsidRPr="00476DF1">
        <w:rPr>
          <w:rFonts w:ascii="Times New Roman" w:hAnsi="Times New Roman"/>
          <w:sz w:val="24"/>
          <w:szCs w:val="24"/>
        </w:rPr>
        <w:t>propos</w:t>
      </w:r>
      <w:r w:rsidRPr="00476DF1">
        <w:rPr>
          <w:rFonts w:ascii="Times New Roman" w:hAnsi="Times New Roman"/>
          <w:sz w:val="24"/>
          <w:szCs w:val="24"/>
        </w:rPr>
        <w:t>ing</w:t>
      </w:r>
      <w:r w:rsidR="002F3EAA" w:rsidRPr="00476DF1">
        <w:rPr>
          <w:rFonts w:ascii="Times New Roman" w:hAnsi="Times New Roman"/>
          <w:sz w:val="24"/>
          <w:szCs w:val="24"/>
        </w:rPr>
        <w:t xml:space="preserve"> measures of how small enterprises can enhance and </w:t>
      </w:r>
      <w:r w:rsidR="00C0512B" w:rsidRPr="00476DF1">
        <w:rPr>
          <w:rFonts w:ascii="Times New Roman" w:hAnsi="Times New Roman"/>
          <w:sz w:val="24"/>
          <w:szCs w:val="24"/>
        </w:rPr>
        <w:t>increase</w:t>
      </w:r>
      <w:r w:rsidR="002F3EAA" w:rsidRPr="00476DF1">
        <w:rPr>
          <w:rFonts w:ascii="Times New Roman" w:hAnsi="Times New Roman"/>
          <w:sz w:val="24"/>
          <w:szCs w:val="24"/>
        </w:rPr>
        <w:t xml:space="preserve"> </w:t>
      </w:r>
      <w:r w:rsidR="00726537" w:rsidRPr="00476DF1">
        <w:rPr>
          <w:rFonts w:ascii="Times New Roman" w:hAnsi="Times New Roman"/>
          <w:sz w:val="24"/>
          <w:szCs w:val="24"/>
        </w:rPr>
        <w:t>Big Pharma</w:t>
      </w:r>
      <w:r w:rsidR="002F3EAA" w:rsidRPr="00476DF1">
        <w:rPr>
          <w:rFonts w:ascii="Times New Roman" w:hAnsi="Times New Roman"/>
          <w:sz w:val="24"/>
          <w:szCs w:val="24"/>
        </w:rPr>
        <w:t>’s pool of competences</w:t>
      </w:r>
      <w:r w:rsidR="00C0512B" w:rsidRPr="00476DF1">
        <w:rPr>
          <w:rFonts w:ascii="Times New Roman" w:hAnsi="Times New Roman"/>
          <w:sz w:val="24"/>
          <w:szCs w:val="24"/>
        </w:rPr>
        <w:t>. We call these</w:t>
      </w:r>
      <w:r w:rsidRPr="00476DF1">
        <w:rPr>
          <w:rFonts w:ascii="Times New Roman" w:hAnsi="Times New Roman"/>
          <w:sz w:val="24"/>
          <w:szCs w:val="24"/>
        </w:rPr>
        <w:t xml:space="preserve"> measures technical and skills contribution,</w:t>
      </w:r>
      <w:r w:rsidR="002F3EAA" w:rsidRPr="00476DF1">
        <w:rPr>
          <w:rFonts w:ascii="Times New Roman" w:hAnsi="Times New Roman"/>
          <w:sz w:val="24"/>
          <w:szCs w:val="24"/>
        </w:rPr>
        <w:t xml:space="preserve"> </w:t>
      </w:r>
      <w:r w:rsidR="00C0512B" w:rsidRPr="00476DF1">
        <w:rPr>
          <w:rFonts w:ascii="Times New Roman" w:hAnsi="Times New Roman"/>
          <w:sz w:val="24"/>
          <w:szCs w:val="24"/>
        </w:rPr>
        <w:t>and also analyze the potential of these</w:t>
      </w:r>
      <w:r w:rsidR="002F3EAA" w:rsidRPr="00476DF1">
        <w:rPr>
          <w:rFonts w:ascii="Times New Roman" w:hAnsi="Times New Roman"/>
          <w:sz w:val="24"/>
          <w:szCs w:val="24"/>
        </w:rPr>
        <w:t xml:space="preserve"> contributions. </w:t>
      </w:r>
    </w:p>
    <w:p w14:paraId="6B948C8A" w14:textId="0BD5828A" w:rsidR="00A32FD9" w:rsidRPr="00476DF1" w:rsidRDefault="00593C10"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The main findings</w:t>
      </w:r>
      <w:r w:rsidR="00C0512B" w:rsidRPr="00476DF1">
        <w:rPr>
          <w:rFonts w:ascii="Times New Roman" w:hAnsi="Times New Roman"/>
          <w:sz w:val="24"/>
          <w:szCs w:val="24"/>
        </w:rPr>
        <w:t xml:space="preserve"> from this study</w:t>
      </w:r>
      <w:r w:rsidRPr="00476DF1">
        <w:rPr>
          <w:rFonts w:ascii="Times New Roman" w:hAnsi="Times New Roman"/>
          <w:sz w:val="24"/>
          <w:szCs w:val="24"/>
        </w:rPr>
        <w:t xml:space="preserve"> are that technical and skill co</w:t>
      </w:r>
      <w:r w:rsidR="00861F4C" w:rsidRPr="00476DF1">
        <w:rPr>
          <w:rFonts w:ascii="Times New Roman" w:hAnsi="Times New Roman"/>
          <w:sz w:val="24"/>
          <w:szCs w:val="24"/>
        </w:rPr>
        <w:t>n</w:t>
      </w:r>
      <w:r w:rsidRPr="00476DF1">
        <w:rPr>
          <w:rFonts w:ascii="Times New Roman" w:hAnsi="Times New Roman"/>
          <w:sz w:val="24"/>
          <w:szCs w:val="24"/>
        </w:rPr>
        <w:t>trib</w:t>
      </w:r>
      <w:r w:rsidR="00861F4C" w:rsidRPr="00476DF1">
        <w:rPr>
          <w:rFonts w:ascii="Times New Roman" w:hAnsi="Times New Roman"/>
          <w:sz w:val="24"/>
          <w:szCs w:val="24"/>
        </w:rPr>
        <w:t>u</w:t>
      </w:r>
      <w:r w:rsidRPr="00476DF1">
        <w:rPr>
          <w:rFonts w:ascii="Times New Roman" w:hAnsi="Times New Roman"/>
          <w:sz w:val="24"/>
          <w:szCs w:val="24"/>
        </w:rPr>
        <w:t>tion</w:t>
      </w:r>
      <w:r w:rsidR="00C0512B" w:rsidRPr="00476DF1">
        <w:rPr>
          <w:rFonts w:ascii="Times New Roman" w:hAnsi="Times New Roman"/>
          <w:sz w:val="24"/>
          <w:szCs w:val="24"/>
        </w:rPr>
        <w:t>s</w:t>
      </w:r>
      <w:r w:rsidRPr="00476DF1">
        <w:rPr>
          <w:rFonts w:ascii="Times New Roman" w:hAnsi="Times New Roman"/>
          <w:sz w:val="24"/>
          <w:szCs w:val="24"/>
        </w:rPr>
        <w:t xml:space="preserve"> have distin</w:t>
      </w:r>
      <w:r w:rsidR="00C0512B" w:rsidRPr="00476DF1">
        <w:rPr>
          <w:rFonts w:ascii="Times New Roman" w:hAnsi="Times New Roman"/>
          <w:sz w:val="24"/>
          <w:szCs w:val="24"/>
        </w:rPr>
        <w:t>ct</w:t>
      </w:r>
      <w:r w:rsidRPr="00476DF1">
        <w:rPr>
          <w:rFonts w:ascii="Times New Roman" w:hAnsi="Times New Roman"/>
          <w:sz w:val="24"/>
          <w:szCs w:val="24"/>
        </w:rPr>
        <w:t xml:space="preserve"> effects on the large enterprises </w:t>
      </w:r>
      <w:r w:rsidR="00782F0D" w:rsidRPr="00476DF1">
        <w:rPr>
          <w:rFonts w:ascii="Times New Roman" w:hAnsi="Times New Roman"/>
          <w:sz w:val="24"/>
          <w:szCs w:val="24"/>
        </w:rPr>
        <w:t xml:space="preserve">pool </w:t>
      </w:r>
      <w:r w:rsidRPr="00476DF1">
        <w:rPr>
          <w:rFonts w:ascii="Times New Roman" w:hAnsi="Times New Roman"/>
          <w:sz w:val="24"/>
          <w:szCs w:val="24"/>
        </w:rPr>
        <w:t>of competences. Skill contribution intensifies technical contribution</w:t>
      </w:r>
      <w:r w:rsidR="00861F4C" w:rsidRPr="00476DF1">
        <w:rPr>
          <w:rFonts w:ascii="Times New Roman" w:hAnsi="Times New Roman"/>
          <w:sz w:val="24"/>
          <w:szCs w:val="24"/>
        </w:rPr>
        <w:t>,</w:t>
      </w:r>
      <w:r w:rsidRPr="00476DF1">
        <w:rPr>
          <w:rFonts w:ascii="Times New Roman" w:hAnsi="Times New Roman"/>
          <w:sz w:val="24"/>
          <w:szCs w:val="24"/>
        </w:rPr>
        <w:t xml:space="preserve"> because as </w:t>
      </w:r>
      <w:r w:rsidRPr="00476DF1">
        <w:rPr>
          <w:rFonts w:ascii="Times New Roman" w:hAnsi="Times New Roman"/>
          <w:sz w:val="24"/>
          <w:szCs w:val="24"/>
        </w:rPr>
        <w:lastRenderedPageBreak/>
        <w:t xml:space="preserve">inventors </w:t>
      </w:r>
      <w:r w:rsidR="00B70B40" w:rsidRPr="00476DF1">
        <w:rPr>
          <w:rFonts w:ascii="Times New Roman" w:hAnsi="Times New Roman"/>
          <w:sz w:val="24"/>
          <w:szCs w:val="24"/>
        </w:rPr>
        <w:t xml:space="preserve">move </w:t>
      </w:r>
      <w:r w:rsidRPr="00476DF1">
        <w:rPr>
          <w:rFonts w:ascii="Times New Roman" w:hAnsi="Times New Roman"/>
          <w:sz w:val="24"/>
          <w:szCs w:val="24"/>
        </w:rPr>
        <w:t>from small to large ente</w:t>
      </w:r>
      <w:r w:rsidR="00861F4C" w:rsidRPr="00476DF1">
        <w:rPr>
          <w:rFonts w:ascii="Times New Roman" w:hAnsi="Times New Roman"/>
          <w:sz w:val="24"/>
          <w:szCs w:val="24"/>
        </w:rPr>
        <w:t>r</w:t>
      </w:r>
      <w:r w:rsidRPr="00476DF1">
        <w:rPr>
          <w:rFonts w:ascii="Times New Roman" w:hAnsi="Times New Roman"/>
          <w:sz w:val="24"/>
          <w:szCs w:val="24"/>
        </w:rPr>
        <w:t>prises</w:t>
      </w:r>
      <w:r w:rsidR="00B70B40" w:rsidRPr="00476DF1">
        <w:rPr>
          <w:rFonts w:ascii="Times New Roman" w:hAnsi="Times New Roman"/>
          <w:sz w:val="24"/>
          <w:szCs w:val="24"/>
        </w:rPr>
        <w:t>,</w:t>
      </w:r>
      <w:r w:rsidRPr="00476DF1">
        <w:rPr>
          <w:rFonts w:ascii="Times New Roman" w:hAnsi="Times New Roman"/>
          <w:sz w:val="24"/>
          <w:szCs w:val="24"/>
        </w:rPr>
        <w:t xml:space="preserve"> the</w:t>
      </w:r>
      <w:r w:rsidR="00861F4C" w:rsidRPr="00476DF1">
        <w:rPr>
          <w:rFonts w:ascii="Times New Roman" w:hAnsi="Times New Roman"/>
          <w:sz w:val="24"/>
          <w:szCs w:val="24"/>
        </w:rPr>
        <w:t xml:space="preserve">y </w:t>
      </w:r>
      <w:r w:rsidRPr="00476DF1">
        <w:rPr>
          <w:rFonts w:ascii="Times New Roman" w:hAnsi="Times New Roman"/>
          <w:sz w:val="24"/>
          <w:szCs w:val="24"/>
        </w:rPr>
        <w:t xml:space="preserve">bring their research with them. There is no clear evidence that </w:t>
      </w:r>
      <w:r w:rsidR="00B70B40" w:rsidRPr="00476DF1">
        <w:rPr>
          <w:rFonts w:ascii="Times New Roman" w:hAnsi="Times New Roman"/>
          <w:sz w:val="24"/>
          <w:szCs w:val="24"/>
        </w:rPr>
        <w:t xml:space="preserve">the main </w:t>
      </w:r>
      <w:r w:rsidR="006C07BE" w:rsidRPr="00476DF1">
        <w:rPr>
          <w:rFonts w:ascii="Times New Roman" w:hAnsi="Times New Roman"/>
          <w:sz w:val="24"/>
          <w:szCs w:val="24"/>
        </w:rPr>
        <w:t xml:space="preserve">outcome </w:t>
      </w:r>
      <w:r w:rsidR="00B70B40" w:rsidRPr="00476DF1">
        <w:rPr>
          <w:rFonts w:ascii="Times New Roman" w:hAnsi="Times New Roman"/>
          <w:sz w:val="24"/>
          <w:szCs w:val="24"/>
        </w:rPr>
        <w:t xml:space="preserve">of the </w:t>
      </w:r>
      <w:r w:rsidRPr="00476DF1">
        <w:rPr>
          <w:rFonts w:ascii="Times New Roman" w:hAnsi="Times New Roman"/>
          <w:sz w:val="24"/>
          <w:szCs w:val="24"/>
        </w:rPr>
        <w:t>technical contrib</w:t>
      </w:r>
      <w:r w:rsidR="00861F4C" w:rsidRPr="00476DF1">
        <w:rPr>
          <w:rFonts w:ascii="Times New Roman" w:hAnsi="Times New Roman"/>
          <w:sz w:val="24"/>
          <w:szCs w:val="24"/>
        </w:rPr>
        <w:t>u</w:t>
      </w:r>
      <w:r w:rsidRPr="00476DF1">
        <w:rPr>
          <w:rFonts w:ascii="Times New Roman" w:hAnsi="Times New Roman"/>
          <w:sz w:val="24"/>
          <w:szCs w:val="24"/>
        </w:rPr>
        <w:t>tion is to create new co</w:t>
      </w:r>
      <w:r w:rsidR="00861F4C" w:rsidRPr="00476DF1">
        <w:rPr>
          <w:rFonts w:ascii="Times New Roman" w:hAnsi="Times New Roman"/>
          <w:sz w:val="24"/>
          <w:szCs w:val="24"/>
        </w:rPr>
        <w:t>m</w:t>
      </w:r>
      <w:r w:rsidRPr="00476DF1">
        <w:rPr>
          <w:rFonts w:ascii="Times New Roman" w:hAnsi="Times New Roman"/>
          <w:sz w:val="24"/>
          <w:szCs w:val="24"/>
        </w:rPr>
        <w:t>petences</w:t>
      </w:r>
      <w:r w:rsidR="00B70B40" w:rsidRPr="00476DF1">
        <w:rPr>
          <w:rFonts w:ascii="Times New Roman" w:hAnsi="Times New Roman"/>
          <w:sz w:val="24"/>
          <w:szCs w:val="24"/>
        </w:rPr>
        <w:t>;</w:t>
      </w:r>
      <w:r w:rsidRPr="00476DF1">
        <w:rPr>
          <w:rFonts w:ascii="Times New Roman" w:hAnsi="Times New Roman"/>
          <w:sz w:val="24"/>
          <w:szCs w:val="24"/>
        </w:rPr>
        <w:t xml:space="preserve"> however, technical contribution is an important element in enhancing </w:t>
      </w:r>
      <w:r w:rsidR="00B70B40" w:rsidRPr="00476DF1">
        <w:rPr>
          <w:rFonts w:ascii="Times New Roman" w:hAnsi="Times New Roman"/>
          <w:sz w:val="24"/>
          <w:szCs w:val="24"/>
        </w:rPr>
        <w:t>existing</w:t>
      </w:r>
      <w:r w:rsidRPr="00476DF1">
        <w:rPr>
          <w:rFonts w:ascii="Times New Roman" w:hAnsi="Times New Roman"/>
          <w:sz w:val="24"/>
          <w:szCs w:val="24"/>
        </w:rPr>
        <w:t xml:space="preserve"> competences. </w:t>
      </w:r>
    </w:p>
    <w:p w14:paraId="4D4A7746" w14:textId="2562D31B" w:rsidR="009F3951" w:rsidRPr="00476DF1" w:rsidRDefault="009F3951"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This article </w:t>
      </w:r>
      <w:r w:rsidR="00B70B40" w:rsidRPr="00476DF1">
        <w:rPr>
          <w:rFonts w:ascii="Times New Roman" w:hAnsi="Times New Roman"/>
          <w:sz w:val="24"/>
          <w:szCs w:val="24"/>
        </w:rPr>
        <w:t>proceeds as follows</w:t>
      </w:r>
      <w:r w:rsidRPr="00476DF1">
        <w:rPr>
          <w:rFonts w:ascii="Times New Roman" w:hAnsi="Times New Roman"/>
          <w:sz w:val="24"/>
          <w:szCs w:val="24"/>
        </w:rPr>
        <w:t xml:space="preserve">. </w:t>
      </w:r>
      <w:r w:rsidR="00B70B40" w:rsidRPr="00476DF1">
        <w:rPr>
          <w:rFonts w:ascii="Times New Roman" w:hAnsi="Times New Roman"/>
          <w:sz w:val="24"/>
          <w:szCs w:val="24"/>
        </w:rPr>
        <w:t>The next</w:t>
      </w:r>
      <w:r w:rsidRPr="00476DF1">
        <w:rPr>
          <w:rFonts w:ascii="Times New Roman" w:hAnsi="Times New Roman"/>
          <w:sz w:val="24"/>
          <w:szCs w:val="24"/>
        </w:rPr>
        <w:t xml:space="preserve"> </w:t>
      </w:r>
      <w:r w:rsidR="00B4194E" w:rsidRPr="00476DF1">
        <w:rPr>
          <w:rFonts w:ascii="Times New Roman" w:hAnsi="Times New Roman"/>
          <w:sz w:val="24"/>
          <w:szCs w:val="24"/>
        </w:rPr>
        <w:t>sub</w:t>
      </w:r>
      <w:r w:rsidRPr="00476DF1">
        <w:rPr>
          <w:rFonts w:ascii="Times New Roman" w:hAnsi="Times New Roman"/>
          <w:sz w:val="24"/>
          <w:szCs w:val="24"/>
        </w:rPr>
        <w:t>section</w:t>
      </w:r>
      <w:r w:rsidR="00B4194E" w:rsidRPr="00476DF1">
        <w:rPr>
          <w:rFonts w:ascii="Times New Roman" w:hAnsi="Times New Roman"/>
          <w:sz w:val="24"/>
          <w:szCs w:val="24"/>
        </w:rPr>
        <w:t>s</w:t>
      </w:r>
      <w:r w:rsidRPr="00476DF1">
        <w:rPr>
          <w:rFonts w:ascii="Times New Roman" w:hAnsi="Times New Roman"/>
          <w:sz w:val="24"/>
          <w:szCs w:val="24"/>
        </w:rPr>
        <w:t xml:space="preserve"> will </w:t>
      </w:r>
      <w:r w:rsidR="00B70B40" w:rsidRPr="00476DF1">
        <w:rPr>
          <w:rFonts w:ascii="Times New Roman" w:hAnsi="Times New Roman"/>
          <w:sz w:val="24"/>
          <w:szCs w:val="24"/>
        </w:rPr>
        <w:t>e</w:t>
      </w:r>
      <w:r w:rsidR="000E4431" w:rsidRPr="00476DF1">
        <w:rPr>
          <w:rFonts w:ascii="Times New Roman" w:hAnsi="Times New Roman"/>
          <w:sz w:val="24"/>
          <w:szCs w:val="24"/>
        </w:rPr>
        <w:t>stablish th</w:t>
      </w:r>
      <w:r w:rsidRPr="00476DF1">
        <w:rPr>
          <w:rFonts w:ascii="Times New Roman" w:hAnsi="Times New Roman"/>
          <w:sz w:val="24"/>
          <w:szCs w:val="24"/>
        </w:rPr>
        <w:t>e acquisitions driven by technological aspects</w:t>
      </w:r>
      <w:r w:rsidR="000E4431" w:rsidRPr="00476DF1">
        <w:rPr>
          <w:rFonts w:ascii="Times New Roman" w:hAnsi="Times New Roman"/>
          <w:sz w:val="24"/>
          <w:szCs w:val="24"/>
        </w:rPr>
        <w:t xml:space="preserve"> as the main phenomenon to analyze, among </w:t>
      </w:r>
      <w:r w:rsidR="00B70B40" w:rsidRPr="00476DF1">
        <w:rPr>
          <w:rFonts w:ascii="Times New Roman" w:hAnsi="Times New Roman"/>
          <w:sz w:val="24"/>
          <w:szCs w:val="24"/>
        </w:rPr>
        <w:t>which</w:t>
      </w:r>
      <w:r w:rsidR="000E4431" w:rsidRPr="00476DF1">
        <w:rPr>
          <w:rFonts w:ascii="Times New Roman" w:hAnsi="Times New Roman"/>
          <w:sz w:val="24"/>
          <w:szCs w:val="24"/>
        </w:rPr>
        <w:t xml:space="preserve"> this section will discuss </w:t>
      </w:r>
      <w:r w:rsidR="00B70B40" w:rsidRPr="00476DF1">
        <w:rPr>
          <w:rFonts w:ascii="Times New Roman" w:hAnsi="Times New Roman"/>
          <w:sz w:val="24"/>
          <w:szCs w:val="24"/>
        </w:rPr>
        <w:t xml:space="preserve">the </w:t>
      </w:r>
      <w:r w:rsidR="000E4431" w:rsidRPr="00476DF1">
        <w:rPr>
          <w:rFonts w:ascii="Times New Roman" w:hAnsi="Times New Roman"/>
          <w:sz w:val="24"/>
          <w:szCs w:val="24"/>
        </w:rPr>
        <w:t xml:space="preserve">elements in the enterprises </w:t>
      </w:r>
      <w:r w:rsidR="00B70B40" w:rsidRPr="00476DF1">
        <w:rPr>
          <w:rFonts w:ascii="Times New Roman" w:hAnsi="Times New Roman"/>
          <w:sz w:val="24"/>
          <w:szCs w:val="24"/>
        </w:rPr>
        <w:t xml:space="preserve">that </w:t>
      </w:r>
      <w:r w:rsidR="000E4431" w:rsidRPr="00476DF1">
        <w:rPr>
          <w:rFonts w:ascii="Times New Roman" w:hAnsi="Times New Roman"/>
          <w:sz w:val="24"/>
          <w:szCs w:val="24"/>
        </w:rPr>
        <w:t xml:space="preserve">may </w:t>
      </w:r>
      <w:r w:rsidR="00B70B40" w:rsidRPr="00476DF1">
        <w:rPr>
          <w:rFonts w:ascii="Times New Roman" w:hAnsi="Times New Roman"/>
          <w:sz w:val="24"/>
          <w:szCs w:val="24"/>
        </w:rPr>
        <w:t>affect</w:t>
      </w:r>
      <w:r w:rsidR="000E4431" w:rsidRPr="00476DF1">
        <w:rPr>
          <w:rFonts w:ascii="Times New Roman" w:hAnsi="Times New Roman"/>
          <w:sz w:val="24"/>
          <w:szCs w:val="24"/>
        </w:rPr>
        <w:t xml:space="preserve"> their innovative activates</w:t>
      </w:r>
      <w:r w:rsidR="002C42B1" w:rsidRPr="00476DF1">
        <w:rPr>
          <w:rFonts w:ascii="Times New Roman" w:hAnsi="Times New Roman"/>
          <w:sz w:val="24"/>
          <w:szCs w:val="24"/>
        </w:rPr>
        <w:t>.</w:t>
      </w:r>
      <w:r w:rsidR="000232BD" w:rsidRPr="00476DF1">
        <w:rPr>
          <w:rFonts w:ascii="Times New Roman" w:hAnsi="Times New Roman"/>
          <w:sz w:val="24"/>
          <w:szCs w:val="24"/>
        </w:rPr>
        <w:t xml:space="preserve"> </w:t>
      </w:r>
      <w:r w:rsidR="002C42B1" w:rsidRPr="00476DF1">
        <w:rPr>
          <w:rFonts w:ascii="Times New Roman" w:hAnsi="Times New Roman"/>
          <w:sz w:val="24"/>
          <w:szCs w:val="24"/>
        </w:rPr>
        <w:t>T</w:t>
      </w:r>
      <w:r w:rsidRPr="00476DF1">
        <w:rPr>
          <w:rFonts w:ascii="Times New Roman" w:hAnsi="Times New Roman"/>
          <w:sz w:val="24"/>
          <w:szCs w:val="24"/>
        </w:rPr>
        <w:t xml:space="preserve">his discussion </w:t>
      </w:r>
      <w:r w:rsidR="00B70B40" w:rsidRPr="00476DF1">
        <w:rPr>
          <w:rFonts w:ascii="Times New Roman" w:hAnsi="Times New Roman"/>
          <w:sz w:val="24"/>
          <w:szCs w:val="24"/>
        </w:rPr>
        <w:t>forms</w:t>
      </w:r>
      <w:r w:rsidRPr="00476DF1">
        <w:rPr>
          <w:rFonts w:ascii="Times New Roman" w:hAnsi="Times New Roman"/>
          <w:sz w:val="24"/>
          <w:szCs w:val="24"/>
        </w:rPr>
        <w:t xml:space="preserve"> the theoretical </w:t>
      </w:r>
      <w:r w:rsidR="00B70B40" w:rsidRPr="00476DF1">
        <w:rPr>
          <w:rFonts w:ascii="Times New Roman" w:hAnsi="Times New Roman"/>
          <w:sz w:val="24"/>
          <w:szCs w:val="24"/>
        </w:rPr>
        <w:t xml:space="preserve">basis </w:t>
      </w:r>
      <w:r w:rsidRPr="00476DF1">
        <w:rPr>
          <w:rFonts w:ascii="Times New Roman" w:hAnsi="Times New Roman"/>
          <w:sz w:val="24"/>
          <w:szCs w:val="24"/>
        </w:rPr>
        <w:t xml:space="preserve">for </w:t>
      </w:r>
      <w:r w:rsidR="002C42B1" w:rsidRPr="00476DF1">
        <w:rPr>
          <w:rFonts w:ascii="Times New Roman" w:hAnsi="Times New Roman"/>
          <w:sz w:val="24"/>
          <w:szCs w:val="24"/>
        </w:rPr>
        <w:t xml:space="preserve">defining </w:t>
      </w:r>
      <w:r w:rsidRPr="00476DF1">
        <w:rPr>
          <w:rFonts w:ascii="Times New Roman" w:hAnsi="Times New Roman"/>
          <w:sz w:val="24"/>
          <w:szCs w:val="24"/>
        </w:rPr>
        <w:t xml:space="preserve">the </w:t>
      </w:r>
      <w:r w:rsidR="005668FD" w:rsidRPr="00476DF1">
        <w:rPr>
          <w:rFonts w:ascii="Times New Roman" w:hAnsi="Times New Roman"/>
          <w:sz w:val="24"/>
          <w:szCs w:val="24"/>
        </w:rPr>
        <w:t xml:space="preserve">main </w:t>
      </w:r>
      <w:r w:rsidRPr="00476DF1">
        <w:rPr>
          <w:rFonts w:ascii="Times New Roman" w:hAnsi="Times New Roman"/>
          <w:sz w:val="24"/>
          <w:szCs w:val="24"/>
        </w:rPr>
        <w:t>concepts</w:t>
      </w:r>
      <w:r w:rsidR="001A7103" w:rsidRPr="00476DF1">
        <w:rPr>
          <w:rFonts w:ascii="Times New Roman" w:hAnsi="Times New Roman"/>
          <w:sz w:val="24"/>
          <w:szCs w:val="24"/>
        </w:rPr>
        <w:t xml:space="preserve">. The </w:t>
      </w:r>
      <w:r w:rsidR="00B70B40" w:rsidRPr="00476DF1">
        <w:rPr>
          <w:rFonts w:ascii="Times New Roman" w:hAnsi="Times New Roman"/>
          <w:sz w:val="24"/>
          <w:szCs w:val="24"/>
        </w:rPr>
        <w:t>following</w:t>
      </w:r>
      <w:r w:rsidR="001A7103" w:rsidRPr="00476DF1">
        <w:rPr>
          <w:rFonts w:ascii="Times New Roman" w:hAnsi="Times New Roman"/>
          <w:sz w:val="24"/>
          <w:szCs w:val="24"/>
        </w:rPr>
        <w:t xml:space="preserve"> section will </w:t>
      </w:r>
      <w:r w:rsidR="00B70B40" w:rsidRPr="00476DF1">
        <w:rPr>
          <w:rFonts w:ascii="Times New Roman" w:hAnsi="Times New Roman"/>
          <w:sz w:val="24"/>
          <w:szCs w:val="24"/>
        </w:rPr>
        <w:t>discuss the</w:t>
      </w:r>
      <w:r w:rsidR="001A7103" w:rsidRPr="00476DF1">
        <w:rPr>
          <w:rFonts w:ascii="Times New Roman" w:hAnsi="Times New Roman"/>
          <w:sz w:val="24"/>
          <w:szCs w:val="24"/>
        </w:rPr>
        <w:t xml:space="preserve"> </w:t>
      </w:r>
      <w:r w:rsidR="002C42B1" w:rsidRPr="00476DF1">
        <w:rPr>
          <w:rFonts w:ascii="Times New Roman" w:hAnsi="Times New Roman"/>
          <w:sz w:val="24"/>
          <w:szCs w:val="24"/>
        </w:rPr>
        <w:t>methodolog</w:t>
      </w:r>
      <w:r w:rsidR="00B70B40" w:rsidRPr="00476DF1">
        <w:rPr>
          <w:rFonts w:ascii="Times New Roman" w:hAnsi="Times New Roman"/>
          <w:sz w:val="24"/>
          <w:szCs w:val="24"/>
        </w:rPr>
        <w:t>y, define the</w:t>
      </w:r>
      <w:r w:rsidR="001A7103" w:rsidRPr="00476DF1">
        <w:rPr>
          <w:rFonts w:ascii="Times New Roman" w:hAnsi="Times New Roman"/>
          <w:sz w:val="24"/>
          <w:szCs w:val="24"/>
        </w:rPr>
        <w:t xml:space="preserve"> sample, </w:t>
      </w:r>
      <w:r w:rsidR="00B70B40" w:rsidRPr="00476DF1">
        <w:rPr>
          <w:rFonts w:ascii="Times New Roman" w:hAnsi="Times New Roman"/>
          <w:sz w:val="24"/>
          <w:szCs w:val="24"/>
        </w:rPr>
        <w:t>describe the data collection and</w:t>
      </w:r>
      <w:r w:rsidR="001A7103" w:rsidRPr="00476DF1">
        <w:rPr>
          <w:rFonts w:ascii="Times New Roman" w:hAnsi="Times New Roman"/>
          <w:sz w:val="24"/>
          <w:szCs w:val="24"/>
        </w:rPr>
        <w:t xml:space="preserve"> </w:t>
      </w:r>
      <w:r w:rsidR="00B70B40" w:rsidRPr="00476DF1">
        <w:rPr>
          <w:rFonts w:ascii="Times New Roman" w:hAnsi="Times New Roman"/>
          <w:sz w:val="24"/>
          <w:szCs w:val="24"/>
        </w:rPr>
        <w:t>analysis processes, and present the</w:t>
      </w:r>
      <w:r w:rsidR="000E4431" w:rsidRPr="00476DF1">
        <w:rPr>
          <w:rFonts w:ascii="Times New Roman" w:hAnsi="Times New Roman"/>
          <w:sz w:val="24"/>
          <w:szCs w:val="24"/>
        </w:rPr>
        <w:t xml:space="preserve"> proxies of technical and skill contribution</w:t>
      </w:r>
      <w:r w:rsidR="001A7103" w:rsidRPr="00476DF1">
        <w:rPr>
          <w:rFonts w:ascii="Times New Roman" w:hAnsi="Times New Roman"/>
          <w:sz w:val="24"/>
          <w:szCs w:val="24"/>
        </w:rPr>
        <w:t xml:space="preserve">. Section </w:t>
      </w:r>
      <w:r w:rsidR="00B4194E" w:rsidRPr="00476DF1">
        <w:rPr>
          <w:rFonts w:ascii="Times New Roman" w:hAnsi="Times New Roman"/>
          <w:sz w:val="24"/>
          <w:szCs w:val="24"/>
        </w:rPr>
        <w:t xml:space="preserve">3 </w:t>
      </w:r>
      <w:r w:rsidR="001A7103" w:rsidRPr="00476DF1">
        <w:rPr>
          <w:rFonts w:ascii="Times New Roman" w:hAnsi="Times New Roman"/>
          <w:sz w:val="24"/>
          <w:szCs w:val="24"/>
        </w:rPr>
        <w:t>will present and discuss the results</w:t>
      </w:r>
      <w:r w:rsidR="00B4194E" w:rsidRPr="00476DF1">
        <w:rPr>
          <w:rFonts w:ascii="Times New Roman" w:hAnsi="Times New Roman"/>
          <w:sz w:val="24"/>
          <w:szCs w:val="24"/>
        </w:rPr>
        <w:t>, and the final section concludes</w:t>
      </w:r>
      <w:r w:rsidR="001A7103" w:rsidRPr="00476DF1">
        <w:rPr>
          <w:rFonts w:ascii="Times New Roman" w:hAnsi="Times New Roman"/>
          <w:sz w:val="24"/>
          <w:szCs w:val="24"/>
        </w:rPr>
        <w:t>.</w:t>
      </w:r>
    </w:p>
    <w:p w14:paraId="5EAE11A1" w14:textId="1D0C0669" w:rsidR="00A06442" w:rsidRPr="00476DF1" w:rsidRDefault="006C07BE" w:rsidP="00CE4BBE">
      <w:pPr>
        <w:pStyle w:val="Ttulo2"/>
        <w:numPr>
          <w:ilvl w:val="0"/>
          <w:numId w:val="0"/>
        </w:numPr>
        <w:spacing w:line="240" w:lineRule="auto"/>
      </w:pPr>
      <w:bookmarkStart w:id="0" w:name="_Toc465158045"/>
      <w:bookmarkStart w:id="1" w:name="_Toc465849068"/>
      <w:r w:rsidRPr="00476DF1">
        <w:t xml:space="preserve">1 </w:t>
      </w:r>
      <w:r w:rsidRPr="00476DF1">
        <w:tab/>
      </w:r>
      <w:r w:rsidR="00B4194E" w:rsidRPr="00476DF1">
        <w:t>I</w:t>
      </w:r>
      <w:r w:rsidR="00A06442" w:rsidRPr="00476DF1">
        <w:t>m</w:t>
      </w:r>
      <w:r w:rsidR="002A7D63" w:rsidRPr="00476DF1">
        <w:t>p</w:t>
      </w:r>
      <w:r w:rsidR="00A06442" w:rsidRPr="00476DF1">
        <w:t>act of M&amp;A</w:t>
      </w:r>
      <w:r w:rsidR="00B4194E" w:rsidRPr="00476DF1">
        <w:t>s</w:t>
      </w:r>
      <w:r w:rsidR="00A06442" w:rsidRPr="00476DF1">
        <w:t xml:space="preserve"> </w:t>
      </w:r>
      <w:r w:rsidR="00B23003" w:rsidRPr="00476DF1">
        <w:t xml:space="preserve">on enterprises’ </w:t>
      </w:r>
      <w:r w:rsidR="00726537" w:rsidRPr="00476DF1">
        <w:t xml:space="preserve">innovation </w:t>
      </w:r>
      <w:r w:rsidR="00A06442" w:rsidRPr="00476DF1">
        <w:t>activities</w:t>
      </w:r>
    </w:p>
    <w:bookmarkEnd w:id="0"/>
    <w:bookmarkEnd w:id="1"/>
    <w:p w14:paraId="7871779D" w14:textId="7CAE645C" w:rsidR="0028775E" w:rsidRPr="00476DF1" w:rsidRDefault="00C365DD" w:rsidP="00CE4BBE">
      <w:pPr>
        <w:spacing w:after="0" w:line="240" w:lineRule="auto"/>
        <w:ind w:firstLine="720"/>
        <w:jc w:val="both"/>
        <w:rPr>
          <w:rFonts w:ascii="Times New Roman" w:eastAsia="Times New Roman" w:hAnsi="Times New Roman"/>
          <w:sz w:val="24"/>
          <w:szCs w:val="24"/>
          <w:shd w:val="clear" w:color="auto" w:fill="FFFFFF"/>
        </w:rPr>
      </w:pPr>
      <w:r w:rsidRPr="00476DF1">
        <w:rPr>
          <w:rFonts w:ascii="Times New Roman" w:eastAsia="Times New Roman" w:hAnsi="Times New Roman"/>
          <w:sz w:val="24"/>
          <w:szCs w:val="24"/>
          <w:shd w:val="clear" w:color="auto" w:fill="FFFFFF"/>
        </w:rPr>
        <w:t xml:space="preserve">In the </w:t>
      </w:r>
      <w:r w:rsidR="00A73788" w:rsidRPr="00476DF1">
        <w:rPr>
          <w:rFonts w:ascii="Times New Roman" w:eastAsia="Times New Roman" w:hAnsi="Times New Roman"/>
          <w:sz w:val="24"/>
          <w:szCs w:val="24"/>
          <w:shd w:val="clear" w:color="auto" w:fill="FFFFFF"/>
        </w:rPr>
        <w:t>M&amp;A</w:t>
      </w:r>
      <w:r w:rsidR="00227486" w:rsidRPr="00476DF1">
        <w:rPr>
          <w:rFonts w:ascii="Times New Roman" w:eastAsia="Times New Roman" w:hAnsi="Times New Roman"/>
          <w:sz w:val="24"/>
          <w:szCs w:val="24"/>
          <w:shd w:val="clear" w:color="auto" w:fill="FFFFFF"/>
        </w:rPr>
        <w:t>s</w:t>
      </w:r>
      <w:r w:rsidR="00A73788" w:rsidRPr="00476DF1">
        <w:rPr>
          <w:rFonts w:ascii="Times New Roman" w:eastAsia="Times New Roman" w:hAnsi="Times New Roman"/>
          <w:sz w:val="24"/>
          <w:szCs w:val="24"/>
          <w:shd w:val="clear" w:color="auto" w:fill="FFFFFF"/>
        </w:rPr>
        <w:t xml:space="preserve"> </w:t>
      </w:r>
      <w:r w:rsidR="00422788" w:rsidRPr="00476DF1">
        <w:rPr>
          <w:rFonts w:ascii="Times New Roman" w:eastAsia="Times New Roman" w:hAnsi="Times New Roman"/>
          <w:sz w:val="24"/>
          <w:szCs w:val="24"/>
          <w:shd w:val="clear" w:color="auto" w:fill="FFFFFF"/>
        </w:rPr>
        <w:t xml:space="preserve">driven by </w:t>
      </w:r>
      <w:r w:rsidR="00CB52F4" w:rsidRPr="00476DF1">
        <w:rPr>
          <w:rFonts w:ascii="Times New Roman" w:eastAsia="Times New Roman" w:hAnsi="Times New Roman"/>
          <w:sz w:val="24"/>
          <w:szCs w:val="24"/>
          <w:shd w:val="clear" w:color="auto" w:fill="FFFFFF"/>
        </w:rPr>
        <w:t>technological aspects</w:t>
      </w:r>
      <w:r w:rsidR="00B23003" w:rsidRPr="00476DF1">
        <w:rPr>
          <w:rFonts w:ascii="Times New Roman" w:eastAsia="Times New Roman" w:hAnsi="Times New Roman"/>
          <w:sz w:val="24"/>
          <w:szCs w:val="24"/>
          <w:shd w:val="clear" w:color="auto" w:fill="FFFFFF"/>
        </w:rPr>
        <w:t>,</w:t>
      </w:r>
      <w:r w:rsidRPr="00476DF1">
        <w:rPr>
          <w:rFonts w:ascii="Times New Roman" w:eastAsia="Times New Roman" w:hAnsi="Times New Roman"/>
          <w:sz w:val="24"/>
          <w:szCs w:val="24"/>
          <w:shd w:val="clear" w:color="auto" w:fill="FFFFFF"/>
        </w:rPr>
        <w:t xml:space="preserve"> several studies </w:t>
      </w:r>
      <w:r w:rsidR="00227486" w:rsidRPr="00476DF1">
        <w:rPr>
          <w:rFonts w:ascii="Times New Roman" w:eastAsia="Times New Roman" w:hAnsi="Times New Roman"/>
          <w:sz w:val="24"/>
          <w:szCs w:val="24"/>
          <w:shd w:val="clear" w:color="auto" w:fill="FFFFFF"/>
        </w:rPr>
        <w:t>show</w:t>
      </w:r>
      <w:r w:rsidRPr="00476DF1">
        <w:rPr>
          <w:rFonts w:ascii="Times New Roman" w:eastAsia="Times New Roman" w:hAnsi="Times New Roman"/>
          <w:sz w:val="24"/>
          <w:szCs w:val="24"/>
          <w:shd w:val="clear" w:color="auto" w:fill="FFFFFF"/>
        </w:rPr>
        <w:t xml:space="preserve"> that </w:t>
      </w:r>
      <w:r w:rsidR="00706E25" w:rsidRPr="00476DF1">
        <w:rPr>
          <w:rFonts w:ascii="Times New Roman" w:eastAsia="Times New Roman" w:hAnsi="Times New Roman"/>
          <w:sz w:val="24"/>
          <w:szCs w:val="24"/>
          <w:shd w:val="clear" w:color="auto" w:fill="FFFFFF"/>
        </w:rPr>
        <w:t>the new resources in</w:t>
      </w:r>
      <w:r w:rsidR="00B23003" w:rsidRPr="00476DF1">
        <w:rPr>
          <w:rFonts w:ascii="Times New Roman" w:eastAsia="Times New Roman" w:hAnsi="Times New Roman"/>
          <w:sz w:val="24"/>
          <w:szCs w:val="24"/>
          <w:shd w:val="clear" w:color="auto" w:fill="FFFFFF"/>
        </w:rPr>
        <w:t>corporated</w:t>
      </w:r>
      <w:r w:rsidR="00227486" w:rsidRPr="00476DF1">
        <w:rPr>
          <w:rFonts w:ascii="Times New Roman" w:eastAsia="Times New Roman" w:hAnsi="Times New Roman"/>
          <w:sz w:val="24"/>
          <w:szCs w:val="24"/>
          <w:shd w:val="clear" w:color="auto" w:fill="FFFFFF"/>
        </w:rPr>
        <w:t xml:space="preserve"> into the firm</w:t>
      </w:r>
      <w:r w:rsidR="00706E25" w:rsidRPr="00476DF1">
        <w:rPr>
          <w:rFonts w:ascii="Times New Roman" w:eastAsia="Times New Roman" w:hAnsi="Times New Roman"/>
          <w:sz w:val="24"/>
          <w:szCs w:val="24"/>
          <w:shd w:val="clear" w:color="auto" w:fill="FFFFFF"/>
        </w:rPr>
        <w:t xml:space="preserve"> will </w:t>
      </w:r>
      <w:r w:rsidR="00422788" w:rsidRPr="00476DF1">
        <w:rPr>
          <w:rFonts w:ascii="Times New Roman" w:eastAsia="Times New Roman" w:hAnsi="Times New Roman"/>
          <w:sz w:val="24"/>
          <w:szCs w:val="24"/>
          <w:shd w:val="clear" w:color="auto" w:fill="FFFFFF"/>
        </w:rPr>
        <w:t xml:space="preserve">increase </w:t>
      </w:r>
      <w:r w:rsidR="00227486" w:rsidRPr="00476DF1">
        <w:rPr>
          <w:rFonts w:ascii="Times New Roman" w:eastAsia="Times New Roman" w:hAnsi="Times New Roman"/>
          <w:sz w:val="24"/>
          <w:szCs w:val="24"/>
          <w:shd w:val="clear" w:color="auto" w:fill="FFFFFF"/>
        </w:rPr>
        <w:t>its</w:t>
      </w:r>
      <w:r w:rsidR="00CB52F4" w:rsidRPr="00476DF1">
        <w:rPr>
          <w:rFonts w:ascii="Times New Roman" w:eastAsia="Times New Roman" w:hAnsi="Times New Roman"/>
          <w:sz w:val="24"/>
          <w:szCs w:val="24"/>
          <w:shd w:val="clear" w:color="auto" w:fill="FFFFFF"/>
        </w:rPr>
        <w:t xml:space="preserve"> </w:t>
      </w:r>
      <w:r w:rsidR="00706E25" w:rsidRPr="00476DF1">
        <w:rPr>
          <w:rFonts w:ascii="Times New Roman" w:eastAsia="Times New Roman" w:hAnsi="Times New Roman"/>
          <w:sz w:val="24"/>
          <w:szCs w:val="24"/>
          <w:shd w:val="clear" w:color="auto" w:fill="FFFFFF"/>
        </w:rPr>
        <w:t>innovativeness</w:t>
      </w:r>
      <w:r w:rsidR="00B23003" w:rsidRPr="00476DF1">
        <w:rPr>
          <w:rFonts w:ascii="Times New Roman" w:eastAsia="Times New Roman" w:hAnsi="Times New Roman"/>
          <w:sz w:val="24"/>
          <w:szCs w:val="24"/>
          <w:shd w:val="clear" w:color="auto" w:fill="FFFFFF"/>
        </w:rPr>
        <w:t>.</w:t>
      </w:r>
      <w:r w:rsidR="001A7103" w:rsidRPr="00476DF1">
        <w:rPr>
          <w:rFonts w:ascii="Times New Roman" w:eastAsia="Times New Roman" w:hAnsi="Times New Roman"/>
          <w:sz w:val="24"/>
          <w:szCs w:val="24"/>
          <w:shd w:val="clear" w:color="auto" w:fill="FFFFFF"/>
        </w:rPr>
        <w:t xml:space="preserve"> </w:t>
      </w:r>
      <w:r w:rsidR="00FB2FFA" w:rsidRPr="00476DF1">
        <w:rPr>
          <w:rFonts w:ascii="Times New Roman" w:eastAsia="Times New Roman" w:hAnsi="Times New Roman"/>
          <w:sz w:val="24"/>
          <w:szCs w:val="24"/>
          <w:shd w:val="clear" w:color="auto" w:fill="FFFFFF"/>
        </w:rPr>
        <w:fldChar w:fldCharType="begin" w:fldLock="1"/>
      </w:r>
      <w:r w:rsidR="003030E5" w:rsidRPr="00476DF1">
        <w:rPr>
          <w:rFonts w:ascii="Times New Roman" w:eastAsia="Times New Roman" w:hAnsi="Times New Roman"/>
          <w:sz w:val="24"/>
          <w:szCs w:val="24"/>
          <w:shd w:val="clear" w:color="auto" w:fill="FFFFFF"/>
        </w:rPr>
        <w:instrText>ADDIN CSL_CITATION { "citationItems" : [ { "id" : "ITEM-1", "itemData" : { "DOI" : "10.1016/j.respol.2015.10.002", "ISBN" : "0048-7333", "ISSN" : "00487333", "abstract" : "We analyze the frequency and nature by which new firms are acquired by established businesses. Acquisitions are often considered to reflect a technology transfer process and to also constitute one way in which a \"symbiosis\" between new technology-based firms (NTBFs) and established businesses is realized. Using a micro-level dataset for Sweden in which we follow new entrants up to 18 years after entry, we show that acquisitions of recent start-ups are rare and restricted to a small group of entrants with defining characteristics. Estimates from competing risks models show that acquired start-ups, in particular by multinational enterprises (MNEs), stand out from entrants that either remain independent or exit by being much more likely to be spin-offs operating in high-tech sectors, having strong technological competence, and having weak internal financial resources. Our overall findings support the argument that acquisitions primarily concern NTBFs in market contexts where entry costs are large, access to finance is important and incumbents have valuable complementary capabilities and resources.", "author" : [ { "dropping-particle" : "", "family" : "Andersson", "given" : "Martin", "non-dropping-particle" : "", "parse-names" : false, "suffix" : "" }, { "dropping-particle" : "", "family" : "Xiao", "given" : "Jing", "non-dropping-particle" : "", "parse-names" : false, "suffix" : "" } ], "container-title" : "Research Policy", "id" : "ITEM-1", "issue" : "1", "issued" : { "date-parts" : [ [ "2016" ] ] }, "page" : "272-290", "publisher" : "Elsevier B.V.", "title" : "Acquisitions of start-ups by incumbent businesses: A market selection process of \"high-quality\" entrants?", "type" : "article-journal", "volume" : "45" }, "uris" : [ "http://www.mendeley.com/documents/?uuid=f19c254c-7521-4b64-b966-1993964fea35" ] }, { "id" : "ITEM-2", "itemData" : { "DOI" : "10.1007/s11187-015-9656-y", "ISSN" : "0921-898X", "author" : [ { "dropping-particle" : "", "family" : "Xiao", "given" : "Jing", "non-dropping-particle" : "", "parse-names" : false, "suffix" : "" } ], "container-title" : "Small Business Economics", "id" : "ITEM-2", "issued" : { "date-parts" : [ [ "2015" ] ] }, "page" : "487-504", "publisher" : "Springer US", "title" : "The effects of acquisition on the growth of new technology- based firms : Do different types of acquirers matter ?", "type" : "article-journal" }, "uris" : [ "http://www.mendeley.com/documents/?uuid=14906161-7ecc-46e4-98c2-912acfcbce68" ] }, { "id" : "ITEM-3", "itemData" : { "DOI" : "Article", "ISBN" : "1467-6486", "ISSN" : "00222380", "PMID" : "25246403", "abstract" : "This paper explores the preferences that companies have as they use alternative (quasi) external sources of innovative competencies such as strategic technology alliances, mergers and acquisitions, or a mix of these. These alternatives are studied in the context of distinct industrial, technological and international settings during the first half of the 1990s. Different strategies followed by companies and the role played by routinized sets of preferences are also taken into consideration. The analysis demonstrates that these options are influenced by both different environmental conditions and firm specific circumstances, such as those related to protecting core businesses. ABSTRACT FROM AUTHOR", "author" : [ { "dropping-particle" : "", "family" : "Hagedoorn", "given" : "John", "non-dropping-particle" : "", "parse-names" : false, "suffix" : "" }, { "dropping-particle" : "", "family" : "Duysters", "given" : "Geert", "non-dropping-particle" : "", "parse-names" : false, "suffix" : "" } ], "container-title" : "Journal of Management Studies", "id" : "ITEM-3", "issue" : "2", "issued" : { "date-parts" : [ [ "2002" ] ] }, "page" : "167-188", "title" : "External sources of innovative capabilities: The preference for strategic alliances or mergers and acquisitions.", "type" : "article-journal", "volume" : "39" }, "uris" : [ "http://www.mendeley.com/documents/?uuid=bb9975dd-c90d-4896-badd-ba0ed3778552" ] }, { "id" : "ITEM-4", "itemData" : { "DOI" : "10.1016/j.respol.2006.02.007", "ISBN" : "0048-7333", "ISSN" : "00487333", "PMID" : "69982674", "abstract" : "This study examines the post-M&amp;A innovative performance of acquiring firms in four major high-tech sectors. Non-technological M&amp;As appear to have a negative impact on the acquiring firm's post-M&amp;A innovative performance. With respect to technological M&amp;As, a large relative size of the acquired knowledge base reduces the innovative performance of the acquiring firm. The absolute size of the acquired knowledge base only has a positive effect during the first couple of years after which the effect turns around and we see a negative effect on the innovative performance of the acquiring firm. The relatedness between the acquired and acquiring firms' knowledge bases has a curvilinear impact on the acquiring firm's innovative performance. This indicates that companies should target M&amp;A 'partners' that are neither too unrelated nor too similar in terms of their knowledge base. ?? 2006 Elsevier B.V. All rights reserved.", "author" : [ { "dropping-particle" : "", "family" : "Cloodt", "given" : "Myriam", "non-dropping-particle" : "", "parse-names" : false, "suffix" : "" }, { "dropping-particle" : "", "family" : "Hagedoorn", "given" : "John", "non-dropping-particle" : "", "parse-names" : false, "suffix" : "" }, { "dropping-particle" : "", "family" : "Kranenburg", "given" : "Hans", "non-dropping-particle" : "Van", "parse-names" : false, "suffix" : "" } ], "container-title" : "Research Policy", "id" : "ITEM-4", "issue" : "5", "issued" : { "date-parts" : [ [ "2006" ] ] }, "page" : "642-654", "title" : "Mergers and acquisitions: Their effect on the innovative performance of companies in high-tech industries", "type" : "article-journal", "volume" : "35" }, "uris" : [ "http://www.mendeley.com/documents/?uuid=805dabc8-6ccd-4458-9609-2442a7346ac4" ] }, { "id" : "ITEM-5", "itemData" : { "DOI" : "10.1016/j.respol.2010.05.005", "ISBN" : "0048-7333", "ISSN" : "00487333", "PMID" : "15374672", "abstract" : "Drawing on organizational, managerial and financial theories, we explore whether acquirers become more innovative and the factors that can enhance their absorptive and financial capacity to benefit from acquisition. Over a 3-year post-acquisition window, our sample of 2624 high technology US acquisitions records early reverses followed by positive R&amp;D-intensity changes and insignificant R&amp;D productivity changes. Controlling for acquisition endogeneity and deal-specific effects, significant acquirer characteristic effects emerge. In related acquisitions, a large knowledge base tends to increase R&amp;D productivity, consistent with an enhanced capacity to select and absorb targets. In unrelated acquisitions, however, this relationship becomes increasingly negative as knowledge base concentration increases, consistent with arguments for an impaired peripheral vision and core rigidities. High leverage levels raise R&amp;D productivity gains, consistent with enhanced monitoring induced efficiency. However, high leverage growth reduces R&amp;D-intensity, consistent with increased financial constraints and short-termism. ?? 2010 Elsevier B.V. All rights reserved.", "author" : [ { "dropping-particle" : "", "family" : "Desyllas", "given" : "Panos", "non-dropping-particle" : "", "parse-names" : false, "suffix" : "" }, { "dropping-particle" : "", "family" : "Hughes", "given" : "Alan", "non-dropping-particle" : "", "parse-names" : false, "suffix" : "" } ], "container-title" : "Research Policy", "id" : "ITEM-5", "issue" : "8", "issued" : { "date-parts" : [ [ "2010" ] ] }, "page" : "1105-1121", "publisher" : "Elsevier B.V.", "title" : "Do high technology acquirers become more innovative?", "type" : "article-journal", "volume" : "39" }, "uris" : [ "http://www.mendeley.com/documents/?uuid=c425c43c-ae2f-47ed-b83b-6e2acc843449" ] }, { "id" : "ITEM-6", "itemData" : { "DOI" : "10.1016/j.hitech.2007.12.003", "ISBN" : "1047-8310", "ISSN" : "10478310", "abstract" : "We investigate the prevalence of the motive to source technological knowledge externally through corporate acquisition. Drawing on make-or-buy and organizational learning theories, we infer the implications of this explanation for the acquirers' pre-acquisition innovative characteristics. Using an international sample of 6106 high technology acquisitions during 1984-2000, we assess the contribution of innovative characteristics to the acquisition likelihood. For firms acquiring small private firms and former subsidiaries-but not public targets-the evidence is consistent with three propositions: (1) A firm's commitment to internal R&amp;D is negatively affected by the decision to acquire; (2) Low R&amp;D productivity increases the likelihood of acquisition; (3) A large knowledge stock predisposes firms to acquire because they perceive they are capable of selecting and absorbing targets. We conclude that acquisitions of small private firms and former subsidiaries are a viable R&amp;D strategy to explore a range of potential future innovation trajectories for large public firms. ?? 2008 Elsevier Inc. All rights reserved.", "author" : [ { "dropping-particle" : "", "family" : "Desyllas", "given" : "Panos", "non-dropping-particle" : "", "parse-names" : false, "suffix" : "" }, { "dropping-particle" : "", "family" : "Hughes", "given" : "Alan", "non-dropping-particle" : "", "parse-names" : false, "suffix" : "" } ], "container-title" : "Journal of High Technology Management Research", "id" : "ITEM-6", "issue" : "2", "issued" : { "date-parts" : [ [ "2007" ] ] }, "page" : "157-172", "title" : "Sourcing technological knowledge through corporate acquisition: Evidence from an international sample of high technology firms", "type" : "article-journal", "volume" : "18" }, "uris" : [ "http://www.mendeley.com/documents/?uuid=ced2eb8d-cfd7-4b0b-a861-3e0bc51dbd69" ] }, { "id" : "ITEM-7", "itemData" : { "DOI" : "10.1002/smj.157", "ISBN" : "0143-2095", "ISSN" : "1097-0266", "PMID" : "4446656", "abstract" : "This paper examines the impact of acquisitions on the subsequent innovation performance of acquiring firms in the chemicals industry. We distinguish between technological acquisitions, acquisitions in which technology is a component of the acquiredfirm's assets, and nontechnologi- cal acquisitions: acquisitions that do not involve a technological component. We develop a framework relating acquisitions to jirm innovation performance and develop a set of measures for quantihing the technological inputs ajirm obtains through acquisitions. WeJind that within technological acquisitions absolute size of the acquired knowledge base enhances innovation performance, while relative size of the acquired knowledge base reduces innovation output. The relatedness of acquired and acquiring knowledge bases has a nonlinear impact on innovation output. Nontechnological acquisitions do not have a signijcant effect on subsequent innovation output.", "author" : [ { "dropping-particle" : "", "family" : "Ahuja", "given" : "Gautam", "non-dropping-particle" : "", "parse-names" : false, "suffix" : "" }, { "dropping-particle" : "", "family" : "Katila", "given" : "Riitta", "non-dropping-particle" : "", "parse-names" : false, "suffix" : "" } ], "container-title" : "Strategic Management Journal", "id" : "ITEM-7", "issue" : "3", "issued" : { "date-parts" : [ [ "2001" ] ] }, "page" : "197-220", "title" : "Technological Acquisition and the Innovation Performance of Acquiring Firms: A Longitudinal Study", "type" : "article-journal", "volume" : "22" }, "uris" : [ "http://www.mendeley.com/documents/?uuid=9b0d52ab-dc60-40b9-b237-2383d62b12a3" ] } ], "mendeley" : { "formattedCitation" : "(AHUJA; KATILA, 2001; ANDERSSON; XIAO, 2016; CLOODT; HAGEDOORN; VAN KRANENBURG, 2006; DESYLLAS; HUGHES, 2007, 2010; HAGEDOORN; DUYSTERS, 2002; XIAO, 2015)", "manualFormatting" : "(AHUJA; KATILA, 2001; ANDERSSON; XIAO, 2016; CLOODT; HAGEDOORN; VAN KRANENBURG, 2006; DESYLLAS; HUGHES, 2010, 2010; HAGEDOORN; DUYSTERS, 2002b; MAKRI et al., 2010; XIAO, 2015)", "plainTextFormattedCitation" : "(AHUJA; KATILA, 2001; ANDERSSON; XIAO, 2016; CLOODT; HAGEDOORN; VAN KRANENBURG, 2006; DESYLLAS; HUGHES, 2007, 2010; HAGEDOORN; DUYSTERS, 2002; XIAO, 2015)", "previouslyFormattedCitation" : "(AHUJA; KATILA, 2001; ANDERSSON; XIAO, 2016; CLOODT; HAGEDOORN; VAN KRANENBURG, 2006; DESYLLAS; HUGHES, 2007, 2010; HAGEDOORN; DUYSTERS, 2002; XIAO, 2015)" }, "properties" : {  }, "schema" : "https://github.com/citation-style-language/schema/raw/master/csl-citation.json" }</w:instrText>
      </w:r>
      <w:r w:rsidR="00FB2FFA" w:rsidRPr="00476DF1">
        <w:rPr>
          <w:rFonts w:ascii="Times New Roman" w:eastAsia="Times New Roman" w:hAnsi="Times New Roman"/>
          <w:sz w:val="24"/>
          <w:szCs w:val="24"/>
          <w:shd w:val="clear" w:color="auto" w:fill="FFFFFF"/>
        </w:rPr>
        <w:fldChar w:fldCharType="separate"/>
      </w:r>
      <w:r w:rsidR="00FB2FFA" w:rsidRPr="00476DF1">
        <w:rPr>
          <w:rFonts w:ascii="Times New Roman" w:eastAsia="Times New Roman" w:hAnsi="Times New Roman"/>
          <w:noProof/>
          <w:sz w:val="24"/>
          <w:szCs w:val="24"/>
          <w:shd w:val="clear" w:color="auto" w:fill="FFFFFF"/>
        </w:rPr>
        <w:t>(AHUJA; KATILA, 2001; ANDERSSON; XIAO, 2016; CLOODT; HAGEDOORN; VAN KRANENBURG, 2006; DESYLLAS; HUGHES, 20</w:t>
      </w:r>
      <w:r w:rsidR="00803BC1" w:rsidRPr="00476DF1">
        <w:rPr>
          <w:rFonts w:ascii="Times New Roman" w:eastAsia="Times New Roman" w:hAnsi="Times New Roman"/>
          <w:noProof/>
          <w:sz w:val="24"/>
          <w:szCs w:val="24"/>
          <w:shd w:val="clear" w:color="auto" w:fill="FFFFFF"/>
        </w:rPr>
        <w:t>10</w:t>
      </w:r>
      <w:r w:rsidR="00FB2FFA" w:rsidRPr="00476DF1">
        <w:rPr>
          <w:rFonts w:ascii="Times New Roman" w:eastAsia="Times New Roman" w:hAnsi="Times New Roman"/>
          <w:noProof/>
          <w:sz w:val="24"/>
          <w:szCs w:val="24"/>
          <w:shd w:val="clear" w:color="auto" w:fill="FFFFFF"/>
        </w:rPr>
        <w:t>, 2010; HAGEDOORN; DUYSTERS, 2002b;</w:t>
      </w:r>
      <w:r w:rsidR="00B23003" w:rsidRPr="00476DF1">
        <w:rPr>
          <w:rFonts w:ascii="Times New Roman" w:eastAsia="Times New Roman" w:hAnsi="Times New Roman"/>
          <w:noProof/>
          <w:sz w:val="24"/>
          <w:szCs w:val="24"/>
          <w:shd w:val="clear" w:color="auto" w:fill="FFFFFF"/>
        </w:rPr>
        <w:t xml:space="preserve"> MAKRI </w:t>
      </w:r>
      <w:r w:rsidR="00B23003" w:rsidRPr="00476DF1">
        <w:rPr>
          <w:rFonts w:ascii="Times New Roman" w:eastAsia="Times New Roman" w:hAnsi="Times New Roman"/>
          <w:i/>
          <w:noProof/>
          <w:sz w:val="24"/>
          <w:szCs w:val="24"/>
          <w:shd w:val="clear" w:color="auto" w:fill="FFFFFF"/>
        </w:rPr>
        <w:t>et al.</w:t>
      </w:r>
      <w:r w:rsidR="00B23003" w:rsidRPr="00476DF1">
        <w:rPr>
          <w:rFonts w:ascii="Times New Roman" w:eastAsia="Times New Roman" w:hAnsi="Times New Roman"/>
          <w:noProof/>
          <w:sz w:val="24"/>
          <w:szCs w:val="24"/>
          <w:shd w:val="clear" w:color="auto" w:fill="FFFFFF"/>
        </w:rPr>
        <w:t>, 2010;</w:t>
      </w:r>
      <w:r w:rsidR="00FB2FFA" w:rsidRPr="00476DF1">
        <w:rPr>
          <w:rFonts w:ascii="Times New Roman" w:eastAsia="Times New Roman" w:hAnsi="Times New Roman"/>
          <w:noProof/>
          <w:sz w:val="24"/>
          <w:szCs w:val="24"/>
          <w:shd w:val="clear" w:color="auto" w:fill="FFFFFF"/>
        </w:rPr>
        <w:t xml:space="preserve"> XIAO, 2015)</w:t>
      </w:r>
      <w:r w:rsidR="00FB2FFA" w:rsidRPr="00476DF1">
        <w:rPr>
          <w:rFonts w:ascii="Times New Roman" w:eastAsia="Times New Roman" w:hAnsi="Times New Roman"/>
          <w:sz w:val="24"/>
          <w:szCs w:val="24"/>
          <w:shd w:val="clear" w:color="auto" w:fill="FFFFFF"/>
        </w:rPr>
        <w:fldChar w:fldCharType="end"/>
      </w:r>
      <w:r w:rsidR="00B23003" w:rsidRPr="00476DF1">
        <w:rPr>
          <w:rFonts w:ascii="Times New Roman" w:eastAsia="Times New Roman" w:hAnsi="Times New Roman"/>
          <w:sz w:val="24"/>
          <w:szCs w:val="24"/>
          <w:shd w:val="clear" w:color="auto" w:fill="FFFFFF"/>
        </w:rPr>
        <w:t>.</w:t>
      </w:r>
      <w:r w:rsidR="001A7103" w:rsidRPr="00476DF1">
        <w:rPr>
          <w:rFonts w:ascii="Times New Roman" w:eastAsia="Times New Roman" w:hAnsi="Times New Roman"/>
          <w:sz w:val="24"/>
          <w:szCs w:val="24"/>
          <w:shd w:val="clear" w:color="auto" w:fill="FFFFFF"/>
        </w:rPr>
        <w:t xml:space="preserve"> </w:t>
      </w:r>
      <w:r w:rsidR="00227486" w:rsidRPr="00476DF1">
        <w:rPr>
          <w:rFonts w:ascii="Times New Roman" w:eastAsia="Times New Roman" w:hAnsi="Times New Roman"/>
          <w:sz w:val="24"/>
          <w:szCs w:val="24"/>
          <w:shd w:val="clear" w:color="auto" w:fill="FFFFFF"/>
        </w:rPr>
        <w:t>Technological aspects could also drive a</w:t>
      </w:r>
      <w:r w:rsidR="00A50421" w:rsidRPr="00476DF1">
        <w:rPr>
          <w:rFonts w:ascii="Times New Roman" w:eastAsia="Times New Roman" w:hAnsi="Times New Roman"/>
          <w:sz w:val="24"/>
          <w:szCs w:val="24"/>
          <w:shd w:val="clear" w:color="auto" w:fill="FFFFFF"/>
        </w:rPr>
        <w:t xml:space="preserve">cquisitions between </w:t>
      </w:r>
      <w:r w:rsidR="00227486" w:rsidRPr="00476DF1">
        <w:rPr>
          <w:rFonts w:ascii="Times New Roman" w:eastAsia="Times New Roman" w:hAnsi="Times New Roman"/>
          <w:sz w:val="24"/>
          <w:szCs w:val="24"/>
          <w:shd w:val="clear" w:color="auto" w:fill="FFFFFF"/>
        </w:rPr>
        <w:t xml:space="preserve">large and </w:t>
      </w:r>
      <w:r w:rsidR="002D573A" w:rsidRPr="00476DF1">
        <w:rPr>
          <w:rFonts w:ascii="Times New Roman" w:eastAsia="Times New Roman" w:hAnsi="Times New Roman"/>
          <w:sz w:val="24"/>
          <w:szCs w:val="24"/>
          <w:shd w:val="clear" w:color="auto" w:fill="FFFFFF"/>
        </w:rPr>
        <w:t xml:space="preserve">small </w:t>
      </w:r>
      <w:r w:rsidR="00CB52F4" w:rsidRPr="00476DF1">
        <w:rPr>
          <w:rFonts w:ascii="Times New Roman" w:eastAsia="Times New Roman" w:hAnsi="Times New Roman"/>
          <w:sz w:val="24"/>
          <w:szCs w:val="24"/>
          <w:shd w:val="clear" w:color="auto" w:fill="FFFFFF"/>
        </w:rPr>
        <w:t>ente</w:t>
      </w:r>
      <w:r w:rsidR="00E86B60" w:rsidRPr="00476DF1">
        <w:rPr>
          <w:rFonts w:ascii="Times New Roman" w:eastAsia="Times New Roman" w:hAnsi="Times New Roman"/>
          <w:sz w:val="24"/>
          <w:szCs w:val="24"/>
          <w:shd w:val="clear" w:color="auto" w:fill="FFFFFF"/>
        </w:rPr>
        <w:t>r</w:t>
      </w:r>
      <w:r w:rsidR="00CB52F4" w:rsidRPr="00476DF1">
        <w:rPr>
          <w:rFonts w:ascii="Times New Roman" w:eastAsia="Times New Roman" w:hAnsi="Times New Roman"/>
          <w:sz w:val="24"/>
          <w:szCs w:val="24"/>
          <w:shd w:val="clear" w:color="auto" w:fill="FFFFFF"/>
        </w:rPr>
        <w:t>prises</w:t>
      </w:r>
      <w:r w:rsidR="00E86B60" w:rsidRPr="00476DF1">
        <w:rPr>
          <w:rFonts w:ascii="Times New Roman" w:eastAsia="Times New Roman" w:hAnsi="Times New Roman"/>
          <w:sz w:val="24"/>
          <w:szCs w:val="24"/>
          <w:shd w:val="clear" w:color="auto" w:fill="FFFFFF"/>
        </w:rPr>
        <w:t>.</w:t>
      </w:r>
      <w:r w:rsidR="002D573A" w:rsidRPr="00476DF1">
        <w:rPr>
          <w:rFonts w:ascii="Times New Roman" w:eastAsia="Times New Roman" w:hAnsi="Times New Roman"/>
          <w:sz w:val="24"/>
          <w:szCs w:val="24"/>
          <w:shd w:val="clear" w:color="auto" w:fill="FFFFFF"/>
        </w:rPr>
        <w:t xml:space="preserve"> </w:t>
      </w:r>
      <w:r w:rsidR="0028775E" w:rsidRPr="00476DF1">
        <w:rPr>
          <w:rFonts w:ascii="Times New Roman" w:eastAsia="Times New Roman" w:hAnsi="Times New Roman"/>
          <w:sz w:val="24"/>
          <w:szCs w:val="24"/>
          <w:shd w:val="clear" w:color="auto" w:fill="FFFFFF"/>
        </w:rPr>
        <w:t xml:space="preserve">The </w:t>
      </w:r>
      <w:r w:rsidR="00E86B60" w:rsidRPr="00476DF1">
        <w:rPr>
          <w:rFonts w:ascii="Times New Roman" w:eastAsia="Times New Roman" w:hAnsi="Times New Roman"/>
          <w:sz w:val="24"/>
          <w:szCs w:val="24"/>
          <w:shd w:val="clear" w:color="auto" w:fill="FFFFFF"/>
        </w:rPr>
        <w:t>f</w:t>
      </w:r>
      <w:r w:rsidR="00CB52F4" w:rsidRPr="00476DF1">
        <w:rPr>
          <w:rFonts w:ascii="Times New Roman" w:eastAsia="Times New Roman" w:hAnsi="Times New Roman"/>
          <w:sz w:val="24"/>
          <w:szCs w:val="24"/>
          <w:shd w:val="clear" w:color="auto" w:fill="FFFFFF"/>
        </w:rPr>
        <w:t>ew studies</w:t>
      </w:r>
      <w:r w:rsidR="00E86B60" w:rsidRPr="00476DF1">
        <w:rPr>
          <w:rFonts w:ascii="Times New Roman" w:eastAsia="Times New Roman" w:hAnsi="Times New Roman"/>
          <w:sz w:val="24"/>
          <w:szCs w:val="24"/>
          <w:shd w:val="clear" w:color="auto" w:fill="FFFFFF"/>
        </w:rPr>
        <w:t xml:space="preserve"> on this subject</w:t>
      </w:r>
      <w:r w:rsidR="00A50421" w:rsidRPr="00476DF1">
        <w:rPr>
          <w:rFonts w:ascii="Times New Roman" w:eastAsia="Times New Roman" w:hAnsi="Times New Roman"/>
          <w:sz w:val="24"/>
          <w:szCs w:val="24"/>
          <w:shd w:val="clear" w:color="auto" w:fill="FFFFFF"/>
        </w:rPr>
        <w:t xml:space="preserve"> point </w:t>
      </w:r>
      <w:r w:rsidR="00227486" w:rsidRPr="00476DF1">
        <w:rPr>
          <w:rFonts w:ascii="Times New Roman" w:eastAsia="Times New Roman" w:hAnsi="Times New Roman"/>
          <w:sz w:val="24"/>
          <w:szCs w:val="24"/>
          <w:shd w:val="clear" w:color="auto" w:fill="FFFFFF"/>
        </w:rPr>
        <w:t xml:space="preserve">to </w:t>
      </w:r>
      <w:r w:rsidR="00A50421" w:rsidRPr="00476DF1">
        <w:rPr>
          <w:rFonts w:ascii="Times New Roman" w:eastAsia="Times New Roman" w:hAnsi="Times New Roman"/>
          <w:sz w:val="24"/>
          <w:szCs w:val="24"/>
          <w:shd w:val="clear" w:color="auto" w:fill="FFFFFF"/>
        </w:rPr>
        <w:t>th</w:t>
      </w:r>
      <w:r w:rsidR="002A47BE" w:rsidRPr="00476DF1">
        <w:rPr>
          <w:rFonts w:ascii="Times New Roman" w:eastAsia="Times New Roman" w:hAnsi="Times New Roman"/>
          <w:sz w:val="24"/>
          <w:szCs w:val="24"/>
          <w:shd w:val="clear" w:color="auto" w:fill="FFFFFF"/>
        </w:rPr>
        <w:t>ese</w:t>
      </w:r>
      <w:r w:rsidR="00A50421" w:rsidRPr="00476DF1">
        <w:rPr>
          <w:rFonts w:ascii="Times New Roman" w:eastAsia="Times New Roman" w:hAnsi="Times New Roman"/>
          <w:sz w:val="24"/>
          <w:szCs w:val="24"/>
          <w:shd w:val="clear" w:color="auto" w:fill="FFFFFF"/>
        </w:rPr>
        <w:t xml:space="preserve"> acquisitions </w:t>
      </w:r>
      <w:r w:rsidRPr="00476DF1">
        <w:rPr>
          <w:rFonts w:ascii="Times New Roman" w:eastAsia="Times New Roman" w:hAnsi="Times New Roman"/>
          <w:sz w:val="24"/>
          <w:szCs w:val="24"/>
          <w:shd w:val="clear" w:color="auto" w:fill="FFFFFF"/>
        </w:rPr>
        <w:t xml:space="preserve">as </w:t>
      </w:r>
      <w:r w:rsidR="00A50421" w:rsidRPr="00476DF1">
        <w:rPr>
          <w:rFonts w:ascii="Times New Roman" w:eastAsia="Times New Roman" w:hAnsi="Times New Roman"/>
          <w:sz w:val="24"/>
          <w:szCs w:val="24"/>
          <w:shd w:val="clear" w:color="auto" w:fill="FFFFFF"/>
        </w:rPr>
        <w:t>a high</w:t>
      </w:r>
      <w:r w:rsidRPr="00476DF1">
        <w:rPr>
          <w:rFonts w:ascii="Times New Roman" w:eastAsia="Times New Roman" w:hAnsi="Times New Roman"/>
          <w:sz w:val="24"/>
          <w:szCs w:val="24"/>
          <w:shd w:val="clear" w:color="auto" w:fill="FFFFFF"/>
        </w:rPr>
        <w:t>-</w:t>
      </w:r>
      <w:r w:rsidR="00A50421" w:rsidRPr="00476DF1">
        <w:rPr>
          <w:rFonts w:ascii="Times New Roman" w:eastAsia="Times New Roman" w:hAnsi="Times New Roman"/>
          <w:sz w:val="24"/>
          <w:szCs w:val="24"/>
          <w:shd w:val="clear" w:color="auto" w:fill="FFFFFF"/>
        </w:rPr>
        <w:t>tech sector phenomenon</w:t>
      </w:r>
      <w:r w:rsidRPr="00476DF1">
        <w:rPr>
          <w:rFonts w:ascii="Times New Roman" w:eastAsia="Times New Roman" w:hAnsi="Times New Roman"/>
          <w:sz w:val="24"/>
          <w:szCs w:val="24"/>
          <w:shd w:val="clear" w:color="auto" w:fill="FFFFFF"/>
        </w:rPr>
        <w:t>,</w:t>
      </w:r>
      <w:r w:rsidR="0028775E" w:rsidRPr="00476DF1">
        <w:rPr>
          <w:rFonts w:ascii="Times New Roman" w:eastAsia="Times New Roman" w:hAnsi="Times New Roman"/>
          <w:sz w:val="24"/>
          <w:szCs w:val="24"/>
          <w:shd w:val="clear" w:color="auto" w:fill="FFFFFF"/>
        </w:rPr>
        <w:t xml:space="preserve"> whose outcome is the increase </w:t>
      </w:r>
      <w:r w:rsidR="00227486" w:rsidRPr="00476DF1">
        <w:rPr>
          <w:rFonts w:ascii="Times New Roman" w:eastAsia="Times New Roman" w:hAnsi="Times New Roman"/>
          <w:sz w:val="24"/>
          <w:szCs w:val="24"/>
          <w:shd w:val="clear" w:color="auto" w:fill="FFFFFF"/>
        </w:rPr>
        <w:t xml:space="preserve">in the </w:t>
      </w:r>
      <w:r w:rsidR="0028775E" w:rsidRPr="00476DF1">
        <w:rPr>
          <w:rFonts w:ascii="Times New Roman" w:eastAsia="Times New Roman" w:hAnsi="Times New Roman"/>
          <w:sz w:val="24"/>
          <w:szCs w:val="24"/>
          <w:shd w:val="clear" w:color="auto" w:fill="FFFFFF"/>
        </w:rPr>
        <w:t>innovative output</w:t>
      </w:r>
      <w:r w:rsidR="00227486" w:rsidRPr="00476DF1">
        <w:rPr>
          <w:rFonts w:ascii="Times New Roman" w:eastAsia="Times New Roman" w:hAnsi="Times New Roman"/>
          <w:sz w:val="24"/>
          <w:szCs w:val="24"/>
          <w:shd w:val="clear" w:color="auto" w:fill="FFFFFF"/>
        </w:rPr>
        <w:t xml:space="preserve"> of the large enterprise</w:t>
      </w:r>
      <w:r w:rsidR="0028775E" w:rsidRPr="00476DF1">
        <w:rPr>
          <w:rFonts w:ascii="Times New Roman" w:eastAsia="Times New Roman" w:hAnsi="Times New Roman"/>
          <w:sz w:val="24"/>
          <w:szCs w:val="24"/>
          <w:shd w:val="clear" w:color="auto" w:fill="FFFFFF"/>
        </w:rPr>
        <w:t xml:space="preserve"> </w:t>
      </w:r>
      <w:r w:rsidR="00FB2FFA" w:rsidRPr="00476DF1">
        <w:rPr>
          <w:rFonts w:ascii="Times New Roman" w:eastAsia="Times New Roman" w:hAnsi="Times New Roman"/>
          <w:sz w:val="24"/>
          <w:szCs w:val="24"/>
          <w:shd w:val="clear" w:color="auto" w:fill="FFFFFF"/>
        </w:rPr>
        <w:fldChar w:fldCharType="begin" w:fldLock="1"/>
      </w:r>
      <w:r w:rsidR="00A17C42" w:rsidRPr="00476DF1">
        <w:rPr>
          <w:rFonts w:ascii="Times New Roman" w:eastAsia="Times New Roman" w:hAnsi="Times New Roman"/>
          <w:sz w:val="24"/>
          <w:szCs w:val="24"/>
          <w:shd w:val="clear" w:color="auto" w:fill="FFFFFF"/>
        </w:rPr>
        <w:instrText>ADDIN CSL_CITATION { "citationItems" : [ { "id" : "ITEM-1", "itemData" : { "DOI" : "10.1016/j.respol.2015.10.002", "ISBN" : "0048-7333", "ISSN" : "00487333", "abstract" : "We analyze the frequency and nature by which new firms are acquired by established businesses. Acquisitions are often considered to reflect a technology transfer process and to also constitute one way in which a \"symbiosis\" between new technology-based firms (NTBFs) and established businesses is realized. Using a micro-level dataset for Sweden in which we follow new entrants up to 18 years after entry, we show that acquisitions of recent start-ups are rare and restricted to a small group of entrants with defining characteristics. Estimates from competing risks models show that acquired start-ups, in particular by multinational enterprises (MNEs), stand out from entrants that either remain independent or exit by being much more likely to be spin-offs operating in high-tech sectors, having strong technological competence, and having weak internal financial resources. Our overall findings support the argument that acquisitions primarily concern NTBFs in market contexts where entry costs are large, access to finance is important and incumbents have valuable complementary capabilities and resources.", "author" : [ { "dropping-particle" : "", "family" : "Andersson", "given" : "Martin", "non-dropping-particle" : "", "parse-names" : false, "suffix" : "" }, { "dropping-particle" : "", "family" : "Xiao", "given" : "Jing", "non-dropping-particle" : "", "parse-names" : false, "suffix" : "" } ], "container-title" : "Research Policy", "id" : "ITEM-1", "issue" : "1", "issued" : { "date-parts" : [ [ "2016" ] ] }, "page" : "272-290", "publisher" : "Elsevier B.V.", "title" : "Acquisitions of start-ups by incumbent businesses: A market selection process of \"high-quality\" entrants?", "type" : "article-journal", "volume" : "45" }, "uris" : [ "http://www.mendeley.com/documents/?uuid=f19c254c-7521-4b64-b966-1993964fea35" ] }, { "id" : "ITEM-2", "itemData" : { "DOI" : "10.1007/s11187-014-9543-y", "ISSN" : "15730913", "abstract" : "We investigate the survival performance of new technology-based firms (NTBFs) over the business cycle and compare them against other entrepreneurial firms. Our data comprise the entire population of entrepreneurial firms entering the Swedish economy from 1991 to 2002, which we follow until 2007. Discrete-time duration models are employed to investigate whether the business cycle impacts differently on the survival likelihood of NTBFs vis-{\u00e0}-vis other entrepreneurial firms. Our main findings are three. First, NTBFs generally experience a lower hazard rate compared to other entrepreneurial firms, which is interpreted as a sign of their high `quality.' Second, all entrepreneurial firms are sensitive to and follow a pro-cyclical pattern of survival likelihood over the business cycle. Three, when comparing NTBFs with the broader group of other entrepreneurial firms, we find that NTBFs are more sensitive to business cycle fluctuations. The above results come with a qualification, though. The sensitivity during the business cycle mainly pertains to self-employed NTBFs. Also, NTBFs' higher survivability is only linked to not being characterized as self-employed.", "author" : [ { "dropping-particle" : "", "family" : "Ejermo", "given" : "Olof", "non-dropping-particle" : "", "parse-names" : false, "suffix" : "" }, { "dropping-particle" : "", "family" : "Xiao", "given" : "Jing", "non-dropping-particle" : "", "parse-names" : false, "suffix" : "" } ], "container-title" : "Small Business Economics", "id" : "ITEM-2", "issue" : "2", "issued" : { "date-parts" : [ [ "2014" ] ] }, "page" : "411-426", "title" : "Entrepreneurship and survival over the business cycle: How do new technology-based firms differ?", "type" : "article-journal", "volume" : "43" }, "uris" : [ "http://www.mendeley.com/documents/?uuid=646154d4-c660-46eb-81e1-768932bcd098" ] }, { "id" : "ITEM-3", "itemData" : { "author" : [ { "dropping-particle" : "", "family" : "Xiao", "given" : "Jing", "non-dropping-particle" : "", "parse-names" : false, "suffix" : "" } ], "id" : "ITEM-3", "issue" : "20", "issued" : { "date-parts" : [ [ "2014" ] ] }, "number-of-pages" : "487-504", "title" : "Ownership Change , Multinationals , and Growth of New Technology - Based Firms Ownership Change , Multinationals , and Growth of New Technology - Based Firms", "type" : "report", "volume" : "45" }, "uris" : [ "http://www.mendeley.com/documents/?uuid=93be6947-0077-4876-90fa-be4fef451f4f" ] }, { "id" : "ITEM-4", "itemData" : { "DOI" : "10.1016/j.respol.2010.05.005", "ISBN" : "0048-7333", "ISSN" : "00487333", "PMID" : "15374672", "abstract" : "Drawing on organizational, managerial and financial theories, we explore whether acquirers become more innovative and the factors that can enhance their absorptive and financial capacity to benefit from acquisition. Over a 3-year post-acquisition window, our sample of 2624 high technology US acquisitions records early reverses followed by positive R&amp;D-intensity changes and insignificant R&amp;D productivity changes. Controlling for acquisition endogeneity and deal-specific effects, significant acquirer characteristic effects emerge. In related acquisitions, a large knowledge base tends to increase R&amp;D productivity, consistent with an enhanced capacity to select and absorb targets. In unrelated acquisitions, however, this relationship becomes increasingly negative as knowledge base concentration increases, consistent with arguments for an impaired peripheral vision and core rigidities. High leverage levels raise R&amp;D productivity gains, consistent with enhanced monitoring induced efficiency. However, high leverage growth reduces R&amp;D-intensity, consistent with increased financial constraints and short-termism. ?? 2010 Elsevier B.V. All rights reserved.", "author" : [ { "dropping-particle" : "", "family" : "Desyllas", "given" : "Panos", "non-dropping-particle" : "", "parse-names" : false, "suffix" : "" }, { "dropping-particle" : "", "family" : "Hughes", "given" : "Alan", "non-dropping-particle" : "", "parse-names" : false, "suffix" : "" } ], "container-title" : "Research Policy", "id" : "ITEM-4", "issue" : "8", "issued" : { "date-parts" : [ [ "2010" ] ] }, "page" : "1105-1121", "publisher" : "Elsevier B.V.", "title" : "Do high technology acquirers become more innovative?", "type" : "article-journal", "volume" : "39" }, "uris" : [ "http://www.mendeley.com/documents/?uuid=c425c43c-ae2f-47ed-b83b-6e2acc843449" ] }, { "id" : "ITEM-5", "itemData" : { "DOI" : "10.1016/j.hitech.2007.12.003", "ISBN" : "1047-8310", "ISSN" : "10478310", "abstract" : "We investigate the prevalence of the motive to source technological knowledge externally through corporate acquisition. Drawing on make-or-buy and organizational learning theories, we infer the implications of this explanation for the acquirers' pre-acquisition innovative characteristics. Using an international sample of 6106 high technology acquisitions during 1984-2000, we assess the contribution of innovative characteristics to the acquisition likelihood. For firms acquiring small private firms and former subsidiaries-but not public targets-the evidence is consistent with three propositions: (1) A firm's commitment to internal R&amp;D is negatively affected by the decision to acquire; (2) Low R&amp;D productivity increases the likelihood of acquisition; (3) A large knowledge stock predisposes firms to acquire because they perceive they are capable of selecting and absorbing targets. We conclude that acquisitions of small private firms and former subsidiaries are a viable R&amp;D strategy to explore a range of potential future innovation trajectories for large public firms. ?? 2008 Elsevier Inc. All rights reserved.", "author" : [ { "dropping-particle" : "", "family" : "Desyllas", "given" : "Panos", "non-dropping-particle" : "", "parse-names" : false, "suffix" : "" }, { "dropping-particle" : "", "family" : "Hughes", "given" : "Alan", "non-dropping-particle" : "", "parse-names" : false, "suffix" : "" } ], "container-title" : "Journal of High Technology Management Research", "id" : "ITEM-5", "issue" : "2", "issued" : { "date-parts" : [ [ "2007" ] ] }, "page" : "157-172", "title" : "Sourcing technological knowledge through corporate acquisition: Evidence from an international sample of high technology firms", "type" : "article-journal", "volume" : "18" }, "uris" : [ "http://www.mendeley.com/documents/?uuid=ced2eb8d-cfd7-4b0b-a861-3e0bc51dbd69" ] }, { "id" : "ITEM-6", "itemData" : { "DOI" : "10.1016/j.respol.2013.10.004", "ISBN" : "0048-7333", "ISSN" : "00487333", "abstract" : "To innovate, firms often need to draw from, and collaborate with, a large number of actors from outside their organization. At the same time, firms need also to be focused on capturing the returns from their innovative ideas. This gives rise to a paradox of openness - the creation of innovations often requires openness, but the commercialization of innovations requires protection. Based on econometric analysis of data from a UK innovation survey, we find a concave relationship between firms' breadth of external search and formal collaboration for innovation, and the strength of the firms' appropriability strategies. We show that this concave relationship is stronger for breadth of formal collaboration than for external search. There is also partial evidence suggesting that the relationship is less pronounced for both external search and formal collaboration if firms do not draw ideas from or collaborate with competitors. We explore the implications of these findings for the literature on open innovation and innovation strategy. ?? 2013 Klaus Wittmaack The Authors.", "author" : [ { "dropping-particle" : "", "family" : "Laursen", "given" : "Keld", "non-dropping-particle" : "", "parse-names" : false, "suffix" : "" }, { "dropping-particle" : "", "family" : "Salter", "given" : "Ammon J.", "non-dropping-particle" : "", "parse-names" : false, "suffix" : "" } ], "container-title" : "Research Policy", "id" : "ITEM-6", "issue" : "5", "issued" : { "date-parts" : [ [ "2014" ] ] }, "page" : "867-878", "publisher" : "Elsevier B.V.", "title" : "The paradox of openness: Appropriability, external search and collaboration", "type" : "article-journal", "volume" : "43" }, "uris" : [ "http://www.mendeley.com/documents/?uuid=547682df-8210-4ba4-8ec2-51bf1dd1cb1e" ] }, { "id" : "ITEM-7", "itemData" : { "abstract" : "This paper analyzes the choice between different external technology sourcing activities of a firm. On one hand, the firm can acquire new technology which is embodied in personnel. On the other hand, the firm can obtain new technology disembodied through a licensing agreement or by outsourcing the technology development from an R&amp;D contractor. Building on Cassiman and Veugelers (2006), we test whether embodied and disembodied technology acquisitions are complementary activities or rather behave as substitute technology acquisition alternatives. We find that while internal and external technology acquisition are complementary innovation activities, the actual choice of external technology sourcing between embodied or disembodied modes is substitutive for smaller firms. The evidence for larger firms suggests that different external technology sourcing activities are complementary, but in this case the results are suggestive although not strongly significant.", "author" : [ { "dropping-particle" : "", "family" : "Cassiman", "given" : "Bruno", "non-dropping-particle" : "", "parse-names" : false, "suffix" : "" }, { "dropping-particle" : "", "family" : "Veugelers", "given" : "Reinhilde", "non-dropping-particle" : "", "parse-names" : false, "suffix" : "" } ], "id" : "ITEM-7", "issue" : "672", "issued" : { "date-parts" : [ [ "2007" ] ] }, "page" : "1-22", "title" : "Are external technology sourcing strategies substitutes or complements: The case of embodied versus disembodied technology acquisition", "type" : "article-journal", "volume" : "3" }, "uris" : [ "http://www.mendeley.com/documents/?uuid=b180eb83-7cb8-4e12-a81d-e2c1b27e247d" ] } ], "mendeley" : { "formattedCitation" : "(ANDERSSON; XIAO, 2016; CASSIMAN; VEUGELERS, 2007; DESYLLAS; HUGHES, 2007, 2010; EJERMO; XIAO, 2014; LAURSEN; SALTER, 2014; XIAO, 2014)", "manualFormatting" : "( CASSIMAN; VEUGELERS, 2007; DESYLLAS; HUGHES, 2008; HUSSINGER, 2010; EJERMO; XIAO, 2014; LAURSEN; SALTER, 2014; XIAO, 2014;", "plainTextFormattedCitation" : "(ANDERSSON; XIAO, 2016; CASSIMAN; VEUGELERS, 2007; DESYLLAS; HUGHES, 2007, 2010; EJERMO; XIAO, 2014; LAURSEN; SALTER, 2014; XIAO, 2014)", "previouslyFormattedCitation" : "(ANDERSSON; XIAO, 2016; CASSIMAN; VEUGELERS, 2007; DESYLLAS; HUGHES, 2007, 2010; EJERMO; XIAO, 2014; LAURSEN; SALTER, 2014; XIAO, 2014)" }, "properties" : {  }, "schema" : "https://github.com/citation-style-language/schema/raw/master/csl-citation.json" }</w:instrText>
      </w:r>
      <w:r w:rsidR="00FB2FFA" w:rsidRPr="00476DF1">
        <w:rPr>
          <w:rFonts w:ascii="Times New Roman" w:eastAsia="Times New Roman" w:hAnsi="Times New Roman"/>
          <w:sz w:val="24"/>
          <w:szCs w:val="24"/>
          <w:shd w:val="clear" w:color="auto" w:fill="FFFFFF"/>
        </w:rPr>
        <w:fldChar w:fldCharType="separate"/>
      </w:r>
      <w:r w:rsidR="00FB2FFA" w:rsidRPr="00476DF1">
        <w:rPr>
          <w:rFonts w:ascii="Times New Roman" w:eastAsia="Times New Roman" w:hAnsi="Times New Roman"/>
          <w:noProof/>
          <w:sz w:val="24"/>
          <w:szCs w:val="24"/>
          <w:shd w:val="clear" w:color="auto" w:fill="FFFFFF"/>
        </w:rPr>
        <w:t>(CASSIMAN; VEUGELERS, 2007; DESYLLAS; HUGHES, 200</w:t>
      </w:r>
      <w:r w:rsidR="00803BC1" w:rsidRPr="00476DF1">
        <w:rPr>
          <w:rFonts w:ascii="Times New Roman" w:eastAsia="Times New Roman" w:hAnsi="Times New Roman"/>
          <w:noProof/>
          <w:sz w:val="24"/>
          <w:szCs w:val="24"/>
          <w:shd w:val="clear" w:color="auto" w:fill="FFFFFF"/>
        </w:rPr>
        <w:t>8</w:t>
      </w:r>
      <w:r w:rsidR="00FB2FFA" w:rsidRPr="00476DF1">
        <w:rPr>
          <w:rFonts w:ascii="Times New Roman" w:eastAsia="Times New Roman" w:hAnsi="Times New Roman"/>
          <w:noProof/>
          <w:sz w:val="24"/>
          <w:szCs w:val="24"/>
          <w:shd w:val="clear" w:color="auto" w:fill="FFFFFF"/>
        </w:rPr>
        <w:t>;</w:t>
      </w:r>
      <w:r w:rsidR="00803BC1" w:rsidRPr="00476DF1">
        <w:rPr>
          <w:rFonts w:ascii="Times New Roman" w:eastAsia="Times New Roman" w:hAnsi="Times New Roman"/>
          <w:noProof/>
          <w:sz w:val="24"/>
          <w:szCs w:val="24"/>
          <w:shd w:val="clear" w:color="auto" w:fill="FFFFFF"/>
        </w:rPr>
        <w:t xml:space="preserve"> HUSSINGER, 2010;</w:t>
      </w:r>
      <w:r w:rsidR="00FB2FFA" w:rsidRPr="00476DF1">
        <w:rPr>
          <w:rFonts w:ascii="Times New Roman" w:eastAsia="Times New Roman" w:hAnsi="Times New Roman"/>
          <w:noProof/>
          <w:sz w:val="24"/>
          <w:szCs w:val="24"/>
          <w:shd w:val="clear" w:color="auto" w:fill="FFFFFF"/>
        </w:rPr>
        <w:t xml:space="preserve"> EJERMO; XIAO, 2014; LAURSEN; SALTER, 2014; XIAO, 2014</w:t>
      </w:r>
      <w:r w:rsidR="00803BC1" w:rsidRPr="00476DF1">
        <w:rPr>
          <w:rFonts w:ascii="Times New Roman" w:eastAsia="Times New Roman" w:hAnsi="Times New Roman"/>
          <w:noProof/>
          <w:sz w:val="24"/>
          <w:szCs w:val="24"/>
          <w:shd w:val="clear" w:color="auto" w:fill="FFFFFF"/>
        </w:rPr>
        <w:t>;</w:t>
      </w:r>
      <w:r w:rsidR="00FB2FFA" w:rsidRPr="00476DF1">
        <w:rPr>
          <w:rFonts w:ascii="Times New Roman" w:eastAsia="Times New Roman" w:hAnsi="Times New Roman"/>
          <w:sz w:val="24"/>
          <w:szCs w:val="24"/>
          <w:shd w:val="clear" w:color="auto" w:fill="FFFFFF"/>
        </w:rPr>
        <w:fldChar w:fldCharType="end"/>
      </w:r>
      <w:r w:rsidR="001B7D93" w:rsidRPr="00476DF1">
        <w:rPr>
          <w:rFonts w:ascii="Times New Roman" w:eastAsia="Times New Roman" w:hAnsi="Times New Roman"/>
          <w:sz w:val="24"/>
          <w:szCs w:val="24"/>
          <w:shd w:val="clear" w:color="auto" w:fill="FFFFFF"/>
        </w:rPr>
        <w:fldChar w:fldCharType="begin" w:fldLock="1"/>
      </w:r>
      <w:r w:rsidR="00A17C42" w:rsidRPr="00476DF1">
        <w:rPr>
          <w:rFonts w:ascii="Times New Roman" w:eastAsia="Times New Roman" w:hAnsi="Times New Roman"/>
          <w:sz w:val="24"/>
          <w:szCs w:val="24"/>
          <w:shd w:val="clear" w:color="auto" w:fill="FFFFFF"/>
        </w:rPr>
        <w:instrText>ADDIN CSL_CITATION { "citationItems" : [ { "id" : "ITEM-1", "itemData" : { "DOI" : "10.1016/j.respol.2015.10.002", "ISBN" : "0048-7333", "ISSN" : "00487333", "abstract" : "We analyze the frequency and nature by which new firms are acquired by established businesses. Acquisitions are often considered to reflect a technology transfer process and to also constitute one way in which a \"symbiosis\" between new technology-based firms (NTBFs) and established businesses is realized. Using a micro-level dataset for Sweden in which we follow new entrants up to 18 years after entry, we show that acquisitions of recent start-ups are rare and restricted to a small group of entrants with defining characteristics. Estimates from competing risks models show that acquired start-ups, in particular by multinational enterprises (MNEs), stand out from entrants that either remain independent or exit by being much more likely to be spin-offs operating in high-tech sectors, having strong technological competence, and having weak internal financial resources. Our overall findings support the argument that acquisitions primarily concern NTBFs in market contexts where entry costs are large, access to finance is important and incumbents have valuable complementary capabilities and resources.", "author" : [ { "dropping-particle" : "", "family" : "Andersson", "given" : "Martin", "non-dropping-particle" : "", "parse-names" : false, "suffix" : "" }, { "dropping-particle" : "", "family" : "Xiao", "given" : "Jing", "non-dropping-particle" : "", "parse-names" : false, "suffix" : "" } ], "container-title" : "Research Policy", "id" : "ITEM-1", "issue" : "1", "issued" : { "date-parts" : [ [ "2016" ] ] }, "page" : "272-290", "publisher" : "Elsevier B.V.", "title" : "Acquisitions of start-ups by incumbent businesses: A market selection process of \"high-quality\" entrants?", "type" : "article-journal", "volume" : "45" }, "uris" : [ "http://www.mendeley.com/documents/?uuid=f19c254c-7521-4b64-b966-1993964fea35" ] }, { "id" : "ITEM-2", "itemData" : { "DOI" : "10.1002/smj.157", "ISBN" : "0143-2095", "ISSN" : "1097-0266", "PMID" : "4446656", "abstract" : "This paper examines the impact of acquisitions on the subsequent innovation performance of acquiring firms in the chemicals industry. We distinguish between technological acquisitions, acquisitions in which technology is a component of the acquiredfirm's assets, and nontechnologi- cal acquisitions: acquisitions that do not involve a technological component. We develop a framework relating acquisitions to jirm innovation performance and develop a set of measures for quantihing the technological inputs ajirm obtains through acquisitions. WeJind that within technological acquisitions absolute size of the acquired knowledge base enhances innovation performance, while relative size of the acquired knowledge base reduces innovation output. The relatedness of acquired and acquiring knowledge bases has a nonlinear impact on innovation output. Nontechnological acquisitions do not have a signijcant effect on subsequent innovation output.", "author" : [ { "dropping-particle" : "", "family" : "Ahuja", "given" : "Gautam", "non-dropping-particle" : "", "parse-names" : false, "suffix" : "" }, { "dropping-particle" : "", "family" : "Katila", "given" : "Riitta", "non-dropping-particle" : "", "parse-names" : false, "suffix" : "" } ], "container-title" : "Strategic Management Journal", "id" : "ITEM-2", "issue" : "3", "issued" : { "date-parts" : [ [ "2001" ] ] }, "page" : "197-220", "title" : "Technological Acquisition and the Innovation Performance of Acquiring Firms: A Longitudinal Study", "type" : "article-journal", "volume" : "22" }, "uris" : [ "http://www.mendeley.com/documents/?uuid=9b0d52ab-dc60-40b9-b237-2383d62b12a3" ] }, { "id" : "ITEM-3", "itemData" : { "DOI" : "10.1016/j.technovation.2009.07.006", "ISBN" : "0166-4972", "ISSN" : "01664972", "abstract" : "This paper empirically investigates a sample of German domestic merger and acquisitions (M&amp;As) in the 1990s to analyze the importance of a related technology portfolio in the decision to acquire a particular firm. The novelty of this analysis lies in the fact that the sample does not contain exclusively large firms, but also a large share of small and medium-sized enterprises (SMEs). The empirical results suggest that firms engage in M&amp;As to strengthen their technological competencies. A related technology portfolio is, in particular, important for the decision to acquire SMEs. This suggests an information advantage of acquirers with related technologies. ?? 2009 Elsevier Ltd. All rights reserved.", "author" : [ { "dropping-particle" : "", "family" : "Hussinger", "given" : "Katrin", "non-dropping-particle" : "", "parse-names" : false, "suffix" : "" } ], "container-title" : "Technovation", "id" : "ITEM-3", "issue" : "1", "issued" : { "date-parts" : [ [ "2010" ] ] }, "page" : "57-64", "publisher" : "Elsevier", "title" : "On the importance of technological relatedness: SMEs versus large acquisition targets", "type" : "article-journal", "volume" : "30" }, "uris" : [ "http://www.mendeley.com/documents/?uuid=f7c80081-63e7-4269-ae2b-fa092137f5ad" ] }, { "id" : "ITEM-4", "itemData" : { "DOI" : "10.1016/j.respol.2010.05.005", "ISBN" : "0048-7333", "ISSN" : "00487333", "PMID" : "15374672", "abstract" : "Drawing on organizational, managerial and financial theories, we explore whether acquirers become more innovative and the factors that can enhance their absorptive and financial capacity to benefit from acquisition. Over a 3-year post-acquisition window, our sample of 2624 high technology US acquisitions records early reverses followed by positive R&amp;D-intensity changes and insignificant R&amp;D productivity changes. Controlling for acquisition endogeneity and deal-specific effects, significant acquirer characteristic effects emerge. In related acquisitions, a large knowledge base tends to increase R&amp;D productivity, consistent with an enhanced capacity to select and absorb targets. In unrelated acquisitions, however, this relationship becomes increasingly negative as knowledge base concentration increases, consistent with arguments for an impaired peripheral vision and core rigidities. High leverage levels raise R&amp;D productivity gains, consistent with enhanced monitoring induced efficiency. However, high leverage growth reduces R&amp;D-intensity, consistent with increased financial constraints and short-termism. ?? 2010 Elsevier B.V. All rights reserved.", "author" : [ { "dropping-particle" : "", "family" : "Desyllas", "given" : "Panos", "non-dropping-particle" : "", "parse-names" : false, "suffix" : "" }, { "dropping-particle" : "", "family" : "Hughes", "given" : "Alan", "non-dropping-particle" : "", "parse-names" : false, "suffix" : "" } ], "container-title" : "Research Policy", "id" : "ITEM-4", "issue" : "8", "issued" : { "date-parts" : [ [ "2010" ] ] }, "page" : "1105-1121", "publisher" : "Elsevier B.V.", "title" : "Do high technology acquirers become more innovative?", "type" : "article-journal", "volume" : "39" }, "uris" : [ "http://www.mendeley.com/documents/?uuid=c425c43c-ae2f-47ed-b83b-6e2acc843449" ] }, { "id" : "ITEM-5", "itemData" : { "DOI" : "10.1016/j.hitech.2007.12.003", "ISBN" : "1047-8310", "ISSN" : "10478310", "abstract" : "We investigate the prevalence of the motive to source technological knowledge externally through corporate acquisition. Drawing on make-or-buy and organizational learning theories, we infer the implications of this explanation for the acquirers' pre-acquisition innovative characteristics. Using an international sample of 6106 high technology acquisitions during 1984-2000, we assess the contribution of innovative characteristics to the acquisition likelihood. For firms acquiring small private firms and former subsidiaries-but not public targets-the evidence is consistent with three propositions: (1) A firm's commitment to internal R&amp;D is negatively affected by the decision to acquire; (2) Low R&amp;D productivity increases the likelihood of acquisition; (3) A large knowledge stock predisposes firms to acquire because they perceive they are capable of selecting and absorbing targets. We conclude that acquisitions of small private firms and former subsidiaries are a viable R&amp;D strategy to explore a range of potential future innovation trajectories for large public firms. ?? 2008 Elsevier Inc. All rights reserved.", "author" : [ { "dropping-particle" : "", "family" : "Desyllas", "given" : "Panos", "non-dropping-particle" : "", "parse-names" : false, "suffix" : "" }, { "dropping-particle" : "", "family" : "Hughes", "given" : "Alan", "non-dropping-particle" : "", "parse-names" : false, "suffix" : "" } ], "container-title" : "Journal of High Technology Management Research", "id" : "ITEM-5", "issue" : "2", "issued" : { "date-parts" : [ [ "2007" ] ] }, "page" : "157-172", "title" : "Sourcing technological knowledge through corporate acquisition: Evidence from an international sample of high technology firms", "type" : "article-journal", "volume" : "18" }, "uris" : [ "http://www.mendeley.com/documents/?uuid=ced2eb8d-cfd7-4b0b-a861-3e0bc51dbd69" ] }, { "id" : "ITEM-6", "itemData" : { "DOI" : "10.1016/j.respol.2014.03.007", "ISBN" : "0048-7333", "ISSN" : "00487333", "abstract" : "We evaluate the impact of M&amp;A activity on the growth of R&amp;D spending and R&amp;D intensity of 265 acquiring firms and 133 merger targets between 1990 and 2009. We use different matching techniques to construct separate control groups for acquirers and targets and use appropriate difference-in-difference estimation methods to single out the causal effect of mergers on R&amp;D growth and intensity. We find that target firms substantially decrease their R&amp;D efforts after a merger, while the R&amp;D intensity of acquirers drops due to a sharp increase in sales. \u00a9 2014 Elsevier B.V.", "author" : [ { "dropping-particle" : "", "family" : "Sz\u00fccs", "given" : "Florian", "non-dropping-particle" : "", "parse-names" : false, "suffix" : "" } ], "container-title" : "Research Policy", "id" : "ITEM-6", "issue" : "7", "issued" : { "date-parts" : [ [ "2014" ] ] }, "page" : "1264-1273", "publisher" : "Elsevier B.V.", "title" : "M&amp;A and R&amp;D: Asymmetric Effects on acquirers and targets?", "type" : "article-journal", "volume" : "43" }, "uris" : [ "http://www.mendeley.com/documents/?uuid=5e68f49f-5a1e-4bda-b20a-960548e57659" ] } ], "mendeley" : { "formattedCitation" : "(AHUJA; KATILA, 2001; ANDERSSON; XIAO, 2016; DESYLLAS; HUGHES, 2007, 2010; HUSSINGER, 2010; SZ\u00dcCS, 2014)", "manualFormatting" : "SZ\u00dcCS, 2014; ANDERSSON; XIAO, 2016)", "plainTextFormattedCitation" : "(AHUJA; KATILA, 2001; ANDERSSON; XIAO, 2016; DESYLLAS; HUGHES, 2007, 2010; HUSSINGER, 2010; SZ\u00dcCS, 2014)", "previouslyFormattedCitation" : "(AHUJA; KATILA, 2001; ANDERSSON; XIAO, 2016; DESYLLAS; HUGHES, 2007, 2010; HUSSINGER, 2010; SZ\u00dcCS, 2014)" }, "properties" : {  }, "schema" : "https://github.com/citation-style-language/schema/raw/master/csl-citation.json" }</w:instrText>
      </w:r>
      <w:r w:rsidR="001B7D93" w:rsidRPr="00476DF1">
        <w:rPr>
          <w:rFonts w:ascii="Times New Roman" w:eastAsia="Times New Roman" w:hAnsi="Times New Roman"/>
          <w:sz w:val="24"/>
          <w:szCs w:val="24"/>
          <w:shd w:val="clear" w:color="auto" w:fill="FFFFFF"/>
        </w:rPr>
        <w:fldChar w:fldCharType="separate"/>
      </w:r>
      <w:r w:rsidR="001B7D93" w:rsidRPr="00476DF1">
        <w:rPr>
          <w:rFonts w:ascii="Times New Roman" w:eastAsia="Times New Roman" w:hAnsi="Times New Roman"/>
          <w:noProof/>
          <w:sz w:val="24"/>
          <w:szCs w:val="24"/>
          <w:shd w:val="clear" w:color="auto" w:fill="FFFFFF"/>
        </w:rPr>
        <w:t>SZÜCS, 2014</w:t>
      </w:r>
      <w:r w:rsidR="00803BC1" w:rsidRPr="00476DF1">
        <w:rPr>
          <w:rFonts w:ascii="Times New Roman" w:eastAsia="Times New Roman" w:hAnsi="Times New Roman"/>
          <w:noProof/>
          <w:sz w:val="24"/>
          <w:szCs w:val="24"/>
          <w:shd w:val="clear" w:color="auto" w:fill="FFFFFF"/>
        </w:rPr>
        <w:t>; ANDERSSON; XIAO, 2016</w:t>
      </w:r>
      <w:r w:rsidR="001B7D93" w:rsidRPr="00476DF1">
        <w:rPr>
          <w:rFonts w:ascii="Times New Roman" w:eastAsia="Times New Roman" w:hAnsi="Times New Roman"/>
          <w:noProof/>
          <w:sz w:val="24"/>
          <w:szCs w:val="24"/>
          <w:shd w:val="clear" w:color="auto" w:fill="FFFFFF"/>
        </w:rPr>
        <w:t>)</w:t>
      </w:r>
      <w:r w:rsidR="001B7D93" w:rsidRPr="00476DF1">
        <w:rPr>
          <w:rFonts w:ascii="Times New Roman" w:eastAsia="Times New Roman" w:hAnsi="Times New Roman"/>
          <w:sz w:val="24"/>
          <w:szCs w:val="24"/>
          <w:shd w:val="clear" w:color="auto" w:fill="FFFFFF"/>
        </w:rPr>
        <w:fldChar w:fldCharType="end"/>
      </w:r>
      <w:r w:rsidR="001A7103" w:rsidRPr="00476DF1">
        <w:rPr>
          <w:rFonts w:ascii="Times New Roman" w:eastAsia="Times New Roman" w:hAnsi="Times New Roman"/>
          <w:sz w:val="24"/>
          <w:szCs w:val="24"/>
          <w:shd w:val="clear" w:color="auto" w:fill="FFFFFF"/>
        </w:rPr>
        <w:t>.</w:t>
      </w:r>
      <w:r w:rsidR="001B7D93" w:rsidRPr="00476DF1">
        <w:rPr>
          <w:rFonts w:ascii="Times New Roman" w:eastAsia="Times New Roman" w:hAnsi="Times New Roman"/>
          <w:sz w:val="24"/>
          <w:szCs w:val="24"/>
          <w:shd w:val="clear" w:color="auto" w:fill="FFFFFF"/>
        </w:rPr>
        <w:t xml:space="preserve"> </w:t>
      </w:r>
    </w:p>
    <w:p w14:paraId="01736866" w14:textId="42AA382C" w:rsidR="00A726F4" w:rsidRPr="00476DF1" w:rsidRDefault="00A726F4" w:rsidP="00CE4BBE">
      <w:pPr>
        <w:spacing w:after="0" w:line="240" w:lineRule="auto"/>
        <w:ind w:firstLine="720"/>
        <w:jc w:val="both"/>
        <w:rPr>
          <w:rFonts w:ascii="Times New Roman" w:eastAsia="Times New Roman" w:hAnsi="Times New Roman"/>
          <w:sz w:val="24"/>
          <w:szCs w:val="24"/>
          <w:shd w:val="clear" w:color="auto" w:fill="FFFFFF"/>
        </w:rPr>
      </w:pPr>
      <w:r w:rsidRPr="00476DF1">
        <w:rPr>
          <w:rFonts w:ascii="Times New Roman" w:eastAsia="Times New Roman" w:hAnsi="Times New Roman"/>
          <w:sz w:val="24"/>
          <w:szCs w:val="24"/>
          <w:shd w:val="clear" w:color="auto" w:fill="FFFFFF"/>
        </w:rPr>
        <w:t xml:space="preserve">Arguably, </w:t>
      </w:r>
      <w:r w:rsidR="00F807C3" w:rsidRPr="00476DF1">
        <w:rPr>
          <w:rFonts w:ascii="Times New Roman" w:eastAsia="Times New Roman" w:hAnsi="Times New Roman"/>
          <w:sz w:val="24"/>
          <w:szCs w:val="24"/>
          <w:shd w:val="clear" w:color="auto" w:fill="FFFFFF"/>
        </w:rPr>
        <w:t>t</w:t>
      </w:r>
      <w:r w:rsidR="001A7103" w:rsidRPr="00476DF1">
        <w:rPr>
          <w:rFonts w:ascii="Times New Roman" w:eastAsia="Times New Roman" w:hAnsi="Times New Roman"/>
          <w:sz w:val="24"/>
          <w:szCs w:val="24"/>
          <w:shd w:val="clear" w:color="auto" w:fill="FFFFFF"/>
        </w:rPr>
        <w:t xml:space="preserve">he acquisition is a way of uniting different pieces of knowledge </w:t>
      </w:r>
      <w:r w:rsidR="00227486" w:rsidRPr="00476DF1">
        <w:rPr>
          <w:rFonts w:ascii="Times New Roman" w:eastAsia="Times New Roman" w:hAnsi="Times New Roman"/>
          <w:sz w:val="24"/>
          <w:szCs w:val="24"/>
          <w:shd w:val="clear" w:color="auto" w:fill="FFFFFF"/>
        </w:rPr>
        <w:t xml:space="preserve">within </w:t>
      </w:r>
      <w:r w:rsidR="001A7103" w:rsidRPr="00476DF1">
        <w:rPr>
          <w:rFonts w:ascii="Times New Roman" w:eastAsia="Times New Roman" w:hAnsi="Times New Roman"/>
          <w:sz w:val="24"/>
          <w:szCs w:val="24"/>
          <w:shd w:val="clear" w:color="auto" w:fill="FFFFFF"/>
        </w:rPr>
        <w:t>one enterprise</w:t>
      </w:r>
      <w:r w:rsidR="001B7D93" w:rsidRPr="00476DF1">
        <w:rPr>
          <w:rFonts w:ascii="Times New Roman" w:eastAsia="Times New Roman" w:hAnsi="Times New Roman"/>
          <w:sz w:val="24"/>
          <w:szCs w:val="24"/>
          <w:shd w:val="clear" w:color="auto" w:fill="FFFFFF"/>
        </w:rPr>
        <w:t>.</w:t>
      </w:r>
      <w:r w:rsidR="001A7103" w:rsidRPr="00476DF1">
        <w:rPr>
          <w:rFonts w:ascii="Times New Roman" w:eastAsia="Times New Roman" w:hAnsi="Times New Roman"/>
          <w:sz w:val="24"/>
          <w:szCs w:val="24"/>
          <w:shd w:val="clear" w:color="auto" w:fill="FFFFFF"/>
        </w:rPr>
        <w:t xml:space="preserve"> </w:t>
      </w:r>
      <w:r w:rsidR="001B7D93" w:rsidRPr="00476DF1">
        <w:rPr>
          <w:rFonts w:ascii="Times New Roman" w:eastAsia="Times New Roman" w:hAnsi="Times New Roman"/>
          <w:sz w:val="24"/>
          <w:szCs w:val="24"/>
          <w:shd w:val="clear" w:color="auto" w:fill="FFFFFF"/>
        </w:rPr>
        <w:t>B</w:t>
      </w:r>
      <w:r w:rsidR="001A7103" w:rsidRPr="00476DF1">
        <w:rPr>
          <w:rFonts w:ascii="Times New Roman" w:eastAsia="Times New Roman" w:hAnsi="Times New Roman"/>
          <w:sz w:val="24"/>
          <w:szCs w:val="24"/>
          <w:shd w:val="clear" w:color="auto" w:fill="FFFFFF"/>
        </w:rPr>
        <w:t xml:space="preserve">y gathering </w:t>
      </w:r>
      <w:r w:rsidR="00227486" w:rsidRPr="00476DF1">
        <w:rPr>
          <w:rFonts w:ascii="Times New Roman" w:eastAsia="Times New Roman" w:hAnsi="Times New Roman"/>
          <w:sz w:val="24"/>
          <w:szCs w:val="24"/>
          <w:shd w:val="clear" w:color="auto" w:fill="FFFFFF"/>
        </w:rPr>
        <w:t xml:space="preserve">these </w:t>
      </w:r>
      <w:r w:rsidR="001A7103" w:rsidRPr="00476DF1">
        <w:rPr>
          <w:rFonts w:ascii="Times New Roman" w:eastAsia="Times New Roman" w:hAnsi="Times New Roman"/>
          <w:sz w:val="24"/>
          <w:szCs w:val="24"/>
          <w:shd w:val="clear" w:color="auto" w:fill="FFFFFF"/>
        </w:rPr>
        <w:t>pieces of knowledge</w:t>
      </w:r>
      <w:r w:rsidR="00996847" w:rsidRPr="00476DF1">
        <w:rPr>
          <w:rFonts w:ascii="Times New Roman" w:eastAsia="Times New Roman" w:hAnsi="Times New Roman"/>
          <w:sz w:val="24"/>
          <w:szCs w:val="24"/>
          <w:shd w:val="clear" w:color="auto" w:fill="FFFFFF"/>
        </w:rPr>
        <w:t>,</w:t>
      </w:r>
      <w:r w:rsidR="001A7103" w:rsidRPr="00476DF1">
        <w:rPr>
          <w:rFonts w:ascii="Times New Roman" w:eastAsia="Times New Roman" w:hAnsi="Times New Roman"/>
          <w:sz w:val="24"/>
          <w:szCs w:val="24"/>
          <w:shd w:val="clear" w:color="auto" w:fill="FFFFFF"/>
        </w:rPr>
        <w:t xml:space="preserve"> </w:t>
      </w:r>
      <w:r w:rsidR="00227486" w:rsidRPr="00476DF1">
        <w:rPr>
          <w:rFonts w:ascii="Times New Roman" w:eastAsia="Times New Roman" w:hAnsi="Times New Roman"/>
          <w:sz w:val="24"/>
          <w:szCs w:val="24"/>
          <w:shd w:val="clear" w:color="auto" w:fill="FFFFFF"/>
        </w:rPr>
        <w:t xml:space="preserve">firms can increase </w:t>
      </w:r>
      <w:r w:rsidR="001A7103" w:rsidRPr="00476DF1">
        <w:rPr>
          <w:rFonts w:ascii="Times New Roman" w:eastAsia="Times New Roman" w:hAnsi="Times New Roman"/>
          <w:sz w:val="24"/>
          <w:szCs w:val="24"/>
          <w:shd w:val="clear" w:color="auto" w:fill="FFFFFF"/>
        </w:rPr>
        <w:t>the number of knowledge combinations</w:t>
      </w:r>
      <w:r w:rsidR="00227486" w:rsidRPr="00476DF1">
        <w:rPr>
          <w:rFonts w:ascii="Times New Roman" w:eastAsia="Times New Roman" w:hAnsi="Times New Roman"/>
          <w:sz w:val="24"/>
          <w:szCs w:val="24"/>
          <w:shd w:val="clear" w:color="auto" w:fill="FFFFFF"/>
        </w:rPr>
        <w:t xml:space="preserve">, and </w:t>
      </w:r>
      <w:r w:rsidR="001A7103" w:rsidRPr="00476DF1">
        <w:rPr>
          <w:rFonts w:ascii="Times New Roman" w:eastAsia="Times New Roman" w:hAnsi="Times New Roman"/>
          <w:sz w:val="24"/>
          <w:szCs w:val="24"/>
          <w:shd w:val="clear" w:color="auto" w:fill="FFFFFF"/>
        </w:rPr>
        <w:t>these novel combinations can</w:t>
      </w:r>
      <w:r w:rsidR="00227486" w:rsidRPr="00476DF1">
        <w:rPr>
          <w:rFonts w:ascii="Times New Roman" w:eastAsia="Times New Roman" w:hAnsi="Times New Roman"/>
          <w:sz w:val="24"/>
          <w:szCs w:val="24"/>
          <w:shd w:val="clear" w:color="auto" w:fill="FFFFFF"/>
        </w:rPr>
        <w:t xml:space="preserve"> potentially lead to</w:t>
      </w:r>
      <w:r w:rsidR="001A7103" w:rsidRPr="00476DF1">
        <w:rPr>
          <w:rFonts w:ascii="Times New Roman" w:eastAsia="Times New Roman" w:hAnsi="Times New Roman"/>
          <w:sz w:val="24"/>
          <w:szCs w:val="24"/>
          <w:shd w:val="clear" w:color="auto" w:fill="FFFFFF"/>
        </w:rPr>
        <w:t xml:space="preserve"> more innovations </w:t>
      </w:r>
      <w:r w:rsidR="00483BE2" w:rsidRPr="00476DF1">
        <w:rPr>
          <w:rFonts w:ascii="Times New Roman" w:eastAsia="Times New Roman" w:hAnsi="Times New Roman"/>
          <w:sz w:val="24"/>
          <w:szCs w:val="24"/>
          <w:shd w:val="clear" w:color="auto" w:fill="FFFFFF"/>
        </w:rPr>
        <w:t>(AHUJA;</w:t>
      </w:r>
      <w:r w:rsidR="00747F1E" w:rsidRPr="00476DF1">
        <w:rPr>
          <w:rFonts w:ascii="Times New Roman" w:eastAsia="Times New Roman" w:hAnsi="Times New Roman"/>
          <w:sz w:val="24"/>
          <w:szCs w:val="24"/>
          <w:shd w:val="clear" w:color="auto" w:fill="FFFFFF"/>
        </w:rPr>
        <w:t xml:space="preserve"> KATILA, 2001</w:t>
      </w:r>
      <w:r w:rsidR="0086596A" w:rsidRPr="00476DF1">
        <w:rPr>
          <w:rFonts w:ascii="Times New Roman" w:eastAsia="Times New Roman" w:hAnsi="Times New Roman"/>
          <w:sz w:val="24"/>
          <w:szCs w:val="24"/>
          <w:shd w:val="clear" w:color="auto" w:fill="FFFFFF"/>
        </w:rPr>
        <w:t>)</w:t>
      </w:r>
      <w:r w:rsidR="00A17C42" w:rsidRPr="00476DF1">
        <w:rPr>
          <w:rFonts w:ascii="Times New Roman" w:eastAsia="Times New Roman" w:hAnsi="Times New Roman"/>
          <w:sz w:val="24"/>
          <w:szCs w:val="24"/>
          <w:shd w:val="clear" w:color="auto" w:fill="FFFFFF"/>
        </w:rPr>
        <w:t>. Surprisingly, some degree of difference between enterprises’ knowledge is even beneficial for novel knowledge creation (</w:t>
      </w:r>
      <w:r w:rsidR="00747F1E" w:rsidRPr="00476DF1">
        <w:rPr>
          <w:rFonts w:ascii="Times New Roman" w:eastAsia="Times New Roman" w:hAnsi="Times New Roman"/>
          <w:sz w:val="24"/>
          <w:szCs w:val="24"/>
          <w:shd w:val="clear" w:color="auto" w:fill="FFFFFF"/>
        </w:rPr>
        <w:t xml:space="preserve">MAKRI </w:t>
      </w:r>
      <w:r w:rsidR="00747F1E" w:rsidRPr="00476DF1">
        <w:rPr>
          <w:rFonts w:ascii="Times New Roman" w:eastAsia="Times New Roman" w:hAnsi="Times New Roman"/>
          <w:i/>
          <w:sz w:val="24"/>
          <w:szCs w:val="24"/>
          <w:shd w:val="clear" w:color="auto" w:fill="FFFFFF"/>
        </w:rPr>
        <w:t>et al.</w:t>
      </w:r>
      <w:r w:rsidR="00747F1E" w:rsidRPr="00476DF1">
        <w:rPr>
          <w:rFonts w:ascii="Times New Roman" w:eastAsia="Times New Roman" w:hAnsi="Times New Roman"/>
          <w:sz w:val="24"/>
          <w:szCs w:val="24"/>
          <w:shd w:val="clear" w:color="auto" w:fill="FFFFFF"/>
        </w:rPr>
        <w:t>, 2010)</w:t>
      </w:r>
      <w:r w:rsidR="001A7103" w:rsidRPr="00476DF1">
        <w:rPr>
          <w:rFonts w:ascii="Times New Roman" w:eastAsia="Times New Roman" w:hAnsi="Times New Roman"/>
          <w:sz w:val="24"/>
          <w:szCs w:val="24"/>
          <w:shd w:val="clear" w:color="auto" w:fill="FFFFFF"/>
        </w:rPr>
        <w:t>.</w:t>
      </w:r>
      <w:r w:rsidR="001B7D93" w:rsidRPr="00476DF1">
        <w:rPr>
          <w:rFonts w:ascii="Times New Roman" w:eastAsia="Times New Roman" w:hAnsi="Times New Roman"/>
          <w:sz w:val="24"/>
          <w:szCs w:val="24"/>
          <w:shd w:val="clear" w:color="auto" w:fill="FFFFFF"/>
        </w:rPr>
        <w:t xml:space="preserve"> </w:t>
      </w:r>
      <w:r w:rsidRPr="00476DF1">
        <w:rPr>
          <w:rFonts w:ascii="Times New Roman" w:eastAsia="Times New Roman" w:hAnsi="Times New Roman"/>
          <w:sz w:val="24"/>
          <w:szCs w:val="24"/>
          <w:shd w:val="clear" w:color="auto" w:fill="FFFFFF"/>
        </w:rPr>
        <w:t>The</w:t>
      </w:r>
      <w:r w:rsidR="00F807C3" w:rsidRPr="00476DF1">
        <w:rPr>
          <w:rFonts w:ascii="Times New Roman" w:eastAsia="Times New Roman" w:hAnsi="Times New Roman"/>
          <w:sz w:val="24"/>
          <w:szCs w:val="24"/>
          <w:shd w:val="clear" w:color="auto" w:fill="FFFFFF"/>
        </w:rPr>
        <w:t xml:space="preserve">refore, </w:t>
      </w:r>
      <w:r w:rsidR="00227486" w:rsidRPr="00476DF1">
        <w:rPr>
          <w:rFonts w:ascii="Times New Roman" w:eastAsia="Times New Roman" w:hAnsi="Times New Roman"/>
          <w:sz w:val="24"/>
          <w:szCs w:val="24"/>
          <w:shd w:val="clear" w:color="auto" w:fill="FFFFFF"/>
        </w:rPr>
        <w:t>all</w:t>
      </w:r>
      <w:r w:rsidR="00F807C3" w:rsidRPr="00476DF1">
        <w:rPr>
          <w:rFonts w:ascii="Times New Roman" w:eastAsia="Times New Roman" w:hAnsi="Times New Roman"/>
          <w:sz w:val="24"/>
          <w:szCs w:val="24"/>
          <w:shd w:val="clear" w:color="auto" w:fill="FFFFFF"/>
        </w:rPr>
        <w:t xml:space="preserve"> </w:t>
      </w:r>
      <w:r w:rsidRPr="00476DF1">
        <w:rPr>
          <w:rFonts w:ascii="Times New Roman" w:eastAsia="Times New Roman" w:hAnsi="Times New Roman"/>
          <w:sz w:val="24"/>
          <w:szCs w:val="24"/>
          <w:shd w:val="clear" w:color="auto" w:fill="FFFFFF"/>
        </w:rPr>
        <w:t>knowledge incorporated through acquisitions enable the company to create new products</w:t>
      </w:r>
      <w:r w:rsidR="00227486" w:rsidRPr="00476DF1">
        <w:rPr>
          <w:rFonts w:ascii="Times New Roman" w:eastAsia="Times New Roman" w:hAnsi="Times New Roman"/>
          <w:sz w:val="24"/>
          <w:szCs w:val="24"/>
          <w:shd w:val="clear" w:color="auto" w:fill="FFFFFF"/>
        </w:rPr>
        <w:t>,</w:t>
      </w:r>
      <w:r w:rsidRPr="00476DF1">
        <w:rPr>
          <w:rFonts w:ascii="Times New Roman" w:eastAsia="Times New Roman" w:hAnsi="Times New Roman"/>
          <w:sz w:val="24"/>
          <w:szCs w:val="24"/>
          <w:shd w:val="clear" w:color="auto" w:fill="FFFFFF"/>
        </w:rPr>
        <w:t xml:space="preserve"> and in some cases</w:t>
      </w:r>
      <w:r w:rsidR="00227486" w:rsidRPr="00476DF1">
        <w:rPr>
          <w:rFonts w:ascii="Times New Roman" w:eastAsia="Times New Roman" w:hAnsi="Times New Roman"/>
          <w:sz w:val="24"/>
          <w:szCs w:val="24"/>
          <w:shd w:val="clear" w:color="auto" w:fill="FFFFFF"/>
        </w:rPr>
        <w:t>,</w:t>
      </w:r>
      <w:r w:rsidRPr="00476DF1">
        <w:rPr>
          <w:rFonts w:ascii="Times New Roman" w:eastAsia="Times New Roman" w:hAnsi="Times New Roman"/>
          <w:sz w:val="24"/>
          <w:szCs w:val="24"/>
          <w:shd w:val="clear" w:color="auto" w:fill="FFFFFF"/>
        </w:rPr>
        <w:t xml:space="preserve"> create new technological trajectories </w:t>
      </w:r>
      <w:r w:rsidR="00747F1E" w:rsidRPr="00476DF1">
        <w:rPr>
          <w:rFonts w:ascii="Times New Roman" w:eastAsia="Times New Roman" w:hAnsi="Times New Roman"/>
          <w:sz w:val="24"/>
          <w:szCs w:val="24"/>
          <w:shd w:val="clear" w:color="auto" w:fill="FFFFFF"/>
        </w:rPr>
        <w:t xml:space="preserve">(HAGEDOORN </w:t>
      </w:r>
      <w:r w:rsidR="00747F1E" w:rsidRPr="00476DF1">
        <w:rPr>
          <w:rFonts w:ascii="Times New Roman" w:eastAsia="Times New Roman" w:hAnsi="Times New Roman"/>
          <w:i/>
          <w:sz w:val="24"/>
          <w:szCs w:val="24"/>
          <w:shd w:val="clear" w:color="auto" w:fill="FFFFFF"/>
        </w:rPr>
        <w:t>et al.</w:t>
      </w:r>
      <w:r w:rsidR="00747F1E" w:rsidRPr="00476DF1">
        <w:rPr>
          <w:rFonts w:ascii="Times New Roman" w:eastAsia="Times New Roman" w:hAnsi="Times New Roman"/>
          <w:sz w:val="24"/>
          <w:szCs w:val="24"/>
          <w:shd w:val="clear" w:color="auto" w:fill="FFFFFF"/>
        </w:rPr>
        <w:t>, 2002)</w:t>
      </w:r>
      <w:r w:rsidRPr="00476DF1">
        <w:rPr>
          <w:rFonts w:ascii="Times New Roman" w:eastAsia="Times New Roman" w:hAnsi="Times New Roman"/>
          <w:sz w:val="24"/>
          <w:szCs w:val="24"/>
          <w:shd w:val="clear" w:color="auto" w:fill="FFFFFF"/>
        </w:rPr>
        <w:t>.</w:t>
      </w:r>
    </w:p>
    <w:p w14:paraId="4378CE45" w14:textId="150A4C5B" w:rsidR="001A7103" w:rsidRPr="00476DF1" w:rsidRDefault="00F807C3" w:rsidP="00CE4BBE">
      <w:pPr>
        <w:spacing w:after="0" w:line="240" w:lineRule="auto"/>
        <w:ind w:firstLine="720"/>
        <w:jc w:val="both"/>
        <w:rPr>
          <w:rFonts w:ascii="Times New Roman" w:eastAsia="Times New Roman" w:hAnsi="Times New Roman"/>
          <w:sz w:val="24"/>
          <w:szCs w:val="24"/>
          <w:shd w:val="clear" w:color="auto" w:fill="FFFFFF"/>
        </w:rPr>
      </w:pPr>
      <w:r w:rsidRPr="00476DF1">
        <w:rPr>
          <w:rFonts w:ascii="Times New Roman" w:eastAsia="Times New Roman" w:hAnsi="Times New Roman"/>
          <w:sz w:val="24"/>
          <w:szCs w:val="24"/>
          <w:shd w:val="clear" w:color="auto" w:fill="FFFFFF"/>
        </w:rPr>
        <w:t xml:space="preserve">In order to </w:t>
      </w:r>
      <w:r w:rsidR="00E86B60" w:rsidRPr="00476DF1">
        <w:rPr>
          <w:rFonts w:ascii="Times New Roman" w:eastAsia="Times New Roman" w:hAnsi="Times New Roman"/>
          <w:sz w:val="24"/>
          <w:szCs w:val="24"/>
          <w:shd w:val="clear" w:color="auto" w:fill="FFFFFF"/>
        </w:rPr>
        <w:t>analyze</w:t>
      </w:r>
      <w:r w:rsidRPr="00476DF1">
        <w:rPr>
          <w:rFonts w:ascii="Times New Roman" w:eastAsia="Times New Roman" w:hAnsi="Times New Roman"/>
          <w:sz w:val="24"/>
          <w:szCs w:val="24"/>
          <w:shd w:val="clear" w:color="auto" w:fill="FFFFFF"/>
        </w:rPr>
        <w:t xml:space="preserve"> </w:t>
      </w:r>
      <w:r w:rsidR="00227486" w:rsidRPr="00476DF1">
        <w:rPr>
          <w:rFonts w:ascii="Times New Roman" w:eastAsia="Times New Roman" w:hAnsi="Times New Roman"/>
          <w:sz w:val="24"/>
          <w:szCs w:val="24"/>
          <w:shd w:val="clear" w:color="auto" w:fill="FFFFFF"/>
        </w:rPr>
        <w:t>technology-</w:t>
      </w:r>
      <w:r w:rsidRPr="00476DF1">
        <w:rPr>
          <w:rFonts w:ascii="Times New Roman" w:eastAsia="Times New Roman" w:hAnsi="Times New Roman"/>
          <w:sz w:val="24"/>
          <w:szCs w:val="24"/>
          <w:shd w:val="clear" w:color="auto" w:fill="FFFFFF"/>
        </w:rPr>
        <w:t>driven acquisition</w:t>
      </w:r>
      <w:r w:rsidR="00227486" w:rsidRPr="00476DF1">
        <w:rPr>
          <w:rFonts w:ascii="Times New Roman" w:eastAsia="Times New Roman" w:hAnsi="Times New Roman"/>
          <w:sz w:val="24"/>
          <w:szCs w:val="24"/>
          <w:shd w:val="clear" w:color="auto" w:fill="FFFFFF"/>
        </w:rPr>
        <w:t>s</w:t>
      </w:r>
      <w:r w:rsidR="00735895" w:rsidRPr="00476DF1">
        <w:rPr>
          <w:rFonts w:ascii="Times New Roman" w:eastAsia="Times New Roman" w:hAnsi="Times New Roman"/>
          <w:sz w:val="24"/>
          <w:szCs w:val="24"/>
          <w:shd w:val="clear" w:color="auto" w:fill="FFFFFF"/>
        </w:rPr>
        <w:t xml:space="preserve"> between large and small enterprises, </w:t>
      </w:r>
      <w:r w:rsidR="00227486" w:rsidRPr="00476DF1">
        <w:rPr>
          <w:rFonts w:ascii="Times New Roman" w:eastAsia="Times New Roman" w:hAnsi="Times New Roman"/>
          <w:sz w:val="24"/>
          <w:szCs w:val="24"/>
          <w:shd w:val="clear" w:color="auto" w:fill="FFFFFF"/>
        </w:rPr>
        <w:t xml:space="preserve">we </w:t>
      </w:r>
      <w:r w:rsidR="00735895" w:rsidRPr="00476DF1">
        <w:rPr>
          <w:rFonts w:ascii="Times New Roman" w:eastAsia="Times New Roman" w:hAnsi="Times New Roman"/>
          <w:sz w:val="24"/>
          <w:szCs w:val="24"/>
          <w:shd w:val="clear" w:color="auto" w:fill="FFFFFF"/>
        </w:rPr>
        <w:t xml:space="preserve">must </w:t>
      </w:r>
      <w:r w:rsidRPr="00476DF1">
        <w:rPr>
          <w:rFonts w:ascii="Times New Roman" w:eastAsia="Times New Roman" w:hAnsi="Times New Roman"/>
          <w:sz w:val="24"/>
          <w:szCs w:val="24"/>
          <w:shd w:val="clear" w:color="auto" w:fill="FFFFFF"/>
        </w:rPr>
        <w:t xml:space="preserve">consider the </w:t>
      </w:r>
      <w:r w:rsidR="001A7103" w:rsidRPr="00476DF1">
        <w:rPr>
          <w:rFonts w:ascii="Times New Roman" w:eastAsia="Times New Roman" w:hAnsi="Times New Roman"/>
          <w:sz w:val="24"/>
          <w:szCs w:val="24"/>
          <w:shd w:val="clear" w:color="auto" w:fill="FFFFFF"/>
        </w:rPr>
        <w:t xml:space="preserve">incorporation of </w:t>
      </w:r>
      <w:r w:rsidR="00747F1E" w:rsidRPr="00476DF1">
        <w:rPr>
          <w:rFonts w:ascii="Times New Roman" w:eastAsia="Times New Roman" w:hAnsi="Times New Roman"/>
          <w:sz w:val="24"/>
          <w:szCs w:val="24"/>
          <w:shd w:val="clear" w:color="auto" w:fill="FFFFFF"/>
        </w:rPr>
        <w:t xml:space="preserve">capabilities </w:t>
      </w:r>
      <w:r w:rsidR="001A7103" w:rsidRPr="00476DF1">
        <w:rPr>
          <w:rFonts w:ascii="Times New Roman" w:eastAsia="Times New Roman" w:hAnsi="Times New Roman"/>
          <w:sz w:val="24"/>
          <w:szCs w:val="24"/>
          <w:shd w:val="clear" w:color="auto" w:fill="FFFFFF"/>
        </w:rPr>
        <w:t xml:space="preserve">of </w:t>
      </w:r>
      <w:r w:rsidR="00227486" w:rsidRPr="00476DF1">
        <w:rPr>
          <w:rFonts w:ascii="Times New Roman" w:eastAsia="Times New Roman" w:hAnsi="Times New Roman"/>
          <w:sz w:val="24"/>
          <w:szCs w:val="24"/>
          <w:shd w:val="clear" w:color="auto" w:fill="FFFFFF"/>
        </w:rPr>
        <w:t xml:space="preserve">the </w:t>
      </w:r>
      <w:r w:rsidR="001A7103" w:rsidRPr="00476DF1">
        <w:rPr>
          <w:rFonts w:ascii="Times New Roman" w:eastAsia="Times New Roman" w:hAnsi="Times New Roman"/>
          <w:sz w:val="24"/>
          <w:szCs w:val="24"/>
          <w:shd w:val="clear" w:color="auto" w:fill="FFFFFF"/>
        </w:rPr>
        <w:t xml:space="preserve">one company </w:t>
      </w:r>
      <w:r w:rsidR="00227486" w:rsidRPr="00476DF1">
        <w:rPr>
          <w:rFonts w:ascii="Times New Roman" w:eastAsia="Times New Roman" w:hAnsi="Times New Roman"/>
          <w:sz w:val="24"/>
          <w:szCs w:val="24"/>
          <w:shd w:val="clear" w:color="auto" w:fill="FFFFFF"/>
        </w:rPr>
        <w:t>into those of the other as</w:t>
      </w:r>
      <w:r w:rsidR="00735895" w:rsidRPr="00476DF1">
        <w:rPr>
          <w:rFonts w:ascii="Times New Roman" w:eastAsia="Times New Roman" w:hAnsi="Times New Roman"/>
          <w:sz w:val="24"/>
          <w:szCs w:val="24"/>
          <w:shd w:val="clear" w:color="auto" w:fill="FFFFFF"/>
        </w:rPr>
        <w:t xml:space="preserve"> a </w:t>
      </w:r>
      <w:r w:rsidR="00227486" w:rsidRPr="00476DF1">
        <w:rPr>
          <w:rFonts w:ascii="Times New Roman" w:eastAsia="Times New Roman" w:hAnsi="Times New Roman"/>
          <w:sz w:val="24"/>
          <w:szCs w:val="24"/>
          <w:shd w:val="clear" w:color="auto" w:fill="FFFFFF"/>
        </w:rPr>
        <w:t>time-</w:t>
      </w:r>
      <w:r w:rsidR="00735895" w:rsidRPr="00476DF1">
        <w:rPr>
          <w:rFonts w:ascii="Times New Roman" w:eastAsia="Times New Roman" w:hAnsi="Times New Roman"/>
          <w:sz w:val="24"/>
          <w:szCs w:val="24"/>
          <w:shd w:val="clear" w:color="auto" w:fill="FFFFFF"/>
        </w:rPr>
        <w:t>consuming process without short</w:t>
      </w:r>
      <w:r w:rsidR="009617CB" w:rsidRPr="00476DF1">
        <w:rPr>
          <w:rFonts w:ascii="Times New Roman" w:eastAsia="Times New Roman" w:hAnsi="Times New Roman"/>
          <w:sz w:val="24"/>
          <w:szCs w:val="24"/>
          <w:shd w:val="clear" w:color="auto" w:fill="FFFFFF"/>
        </w:rPr>
        <w:t>-</w:t>
      </w:r>
      <w:r w:rsidR="00735895" w:rsidRPr="00476DF1">
        <w:rPr>
          <w:rFonts w:ascii="Times New Roman" w:eastAsia="Times New Roman" w:hAnsi="Times New Roman"/>
          <w:sz w:val="24"/>
          <w:szCs w:val="24"/>
          <w:shd w:val="clear" w:color="auto" w:fill="FFFFFF"/>
        </w:rPr>
        <w:t xml:space="preserve">term effects </w:t>
      </w:r>
      <w:r w:rsidR="00227486" w:rsidRPr="00476DF1">
        <w:rPr>
          <w:rFonts w:ascii="Times New Roman" w:eastAsia="Times New Roman" w:hAnsi="Times New Roman"/>
          <w:sz w:val="24"/>
          <w:szCs w:val="24"/>
          <w:shd w:val="clear" w:color="auto" w:fill="FFFFFF"/>
        </w:rPr>
        <w:t xml:space="preserve">on </w:t>
      </w:r>
      <w:r w:rsidR="00735895" w:rsidRPr="00476DF1">
        <w:rPr>
          <w:rFonts w:ascii="Times New Roman" w:eastAsia="Times New Roman" w:hAnsi="Times New Roman"/>
          <w:sz w:val="24"/>
          <w:szCs w:val="24"/>
          <w:shd w:val="clear" w:color="auto" w:fill="FFFFFF"/>
        </w:rPr>
        <w:t>technology</w:t>
      </w:r>
      <w:r w:rsidR="001A7103" w:rsidRPr="00476DF1">
        <w:rPr>
          <w:rFonts w:ascii="Times New Roman" w:eastAsia="Times New Roman" w:hAnsi="Times New Roman"/>
          <w:sz w:val="24"/>
          <w:szCs w:val="24"/>
          <w:shd w:val="clear" w:color="auto" w:fill="FFFFFF"/>
        </w:rPr>
        <w:t xml:space="preserve">, which, in many cases, can disguise the </w:t>
      </w:r>
      <w:r w:rsidR="009617CB" w:rsidRPr="00476DF1">
        <w:rPr>
          <w:rFonts w:ascii="Times New Roman" w:eastAsia="Times New Roman" w:hAnsi="Times New Roman"/>
          <w:sz w:val="24"/>
          <w:szCs w:val="24"/>
          <w:shd w:val="clear" w:color="auto" w:fill="FFFFFF"/>
        </w:rPr>
        <w:t>real</w:t>
      </w:r>
      <w:r w:rsidR="001A7103" w:rsidRPr="00476DF1">
        <w:rPr>
          <w:rFonts w:ascii="Times New Roman" w:eastAsia="Times New Roman" w:hAnsi="Times New Roman"/>
          <w:sz w:val="24"/>
          <w:szCs w:val="24"/>
          <w:shd w:val="clear" w:color="auto" w:fill="FFFFFF"/>
        </w:rPr>
        <w:t xml:space="preserve"> effect of </w:t>
      </w:r>
      <w:r w:rsidR="00227486" w:rsidRPr="00476DF1">
        <w:rPr>
          <w:rFonts w:ascii="Times New Roman" w:eastAsia="Times New Roman" w:hAnsi="Times New Roman"/>
          <w:sz w:val="24"/>
          <w:szCs w:val="24"/>
          <w:shd w:val="clear" w:color="auto" w:fill="FFFFFF"/>
        </w:rPr>
        <w:t xml:space="preserve">the </w:t>
      </w:r>
      <w:r w:rsidR="001A7103" w:rsidRPr="00476DF1">
        <w:rPr>
          <w:rFonts w:ascii="Times New Roman" w:eastAsia="Times New Roman" w:hAnsi="Times New Roman"/>
          <w:sz w:val="24"/>
          <w:szCs w:val="24"/>
          <w:shd w:val="clear" w:color="auto" w:fill="FFFFFF"/>
        </w:rPr>
        <w:t>acquisition (G</w:t>
      </w:r>
      <w:r w:rsidR="00996847" w:rsidRPr="00476DF1">
        <w:rPr>
          <w:rFonts w:ascii="Times New Roman" w:eastAsia="Times New Roman" w:hAnsi="Times New Roman"/>
          <w:sz w:val="24"/>
          <w:szCs w:val="24"/>
          <w:shd w:val="clear" w:color="auto" w:fill="FFFFFF"/>
        </w:rPr>
        <w:t>ERPOTT</w:t>
      </w:r>
      <w:r w:rsidR="001A7103" w:rsidRPr="00476DF1">
        <w:rPr>
          <w:rFonts w:ascii="Times New Roman" w:eastAsia="Times New Roman" w:hAnsi="Times New Roman"/>
          <w:sz w:val="24"/>
          <w:szCs w:val="24"/>
          <w:shd w:val="clear" w:color="auto" w:fill="FFFFFF"/>
        </w:rPr>
        <w:t>, 1995</w:t>
      </w:r>
      <w:r w:rsidR="003030E5" w:rsidRPr="00476DF1">
        <w:rPr>
          <w:rFonts w:ascii="Times New Roman" w:eastAsia="Times New Roman" w:hAnsi="Times New Roman"/>
          <w:sz w:val="24"/>
          <w:szCs w:val="24"/>
          <w:shd w:val="clear" w:color="auto" w:fill="FFFFFF"/>
        </w:rPr>
        <w:t xml:space="preserve">; </w:t>
      </w:r>
      <w:r w:rsidR="003030E5" w:rsidRPr="00476DF1">
        <w:rPr>
          <w:rFonts w:ascii="Times New Roman" w:eastAsia="Times New Roman" w:hAnsi="Times New Roman"/>
          <w:sz w:val="24"/>
          <w:szCs w:val="24"/>
          <w:shd w:val="clear" w:color="auto" w:fill="FFFFFF"/>
        </w:rPr>
        <w:fldChar w:fldCharType="begin" w:fldLock="1"/>
      </w:r>
      <w:r w:rsidR="003030E5" w:rsidRPr="00476DF1">
        <w:rPr>
          <w:rFonts w:ascii="Times New Roman" w:eastAsia="Times New Roman" w:hAnsi="Times New Roman"/>
          <w:sz w:val="24"/>
          <w:szCs w:val="24"/>
          <w:shd w:val="clear" w:color="auto" w:fill="FFFFFF"/>
        </w:rPr>
        <w:instrText>ADDIN CSL_CITATION { "citationItems" : [ { "id" : "ITEM-1", "itemData" : { "DOI" : "10.1016/j.hitech.2007.12.003", "ISBN" : "1047-8310", "ISSN" : "10478310", "abstract" : "We investigate the prevalence of the motive to source technological knowledge externally through corporate acquisition. Drawing on make-or-buy and organizational learning theories, we infer the implications of this explanation for the acquirers' pre-acquisition innovative characteristics. Using an international sample of 6106 high technology acquisitions during 1984-2000, we assess the contribution of innovative characteristics to the acquisition likelihood. For firms acquiring small private firms and former subsidiaries-but not public targets-the evidence is consistent with three propositions: (1) A firm's commitment to internal R&amp;D is negatively affected by the decision to acquire; (2) Low R&amp;D productivity increases the likelihood of acquisition; (3) A large knowledge stock predisposes firms to acquire because they perceive they are capable of selecting and absorbing targets. We conclude that acquisitions of small private firms and former subsidiaries are a viable R&amp;D strategy to explore a range of potential future innovation trajectories for large public firms. ?? 2008 Elsevier Inc. All rights reserved.", "author" : [ { "dropping-particle" : "", "family" : "Desyllas", "given" : "Panos", "non-dropping-particle" : "", "parse-names" : false, "suffix" : "" }, { "dropping-particle" : "", "family" : "Hughes", "given" : "Alan", "non-dropping-particle" : "", "parse-names" : false, "suffix" : "" } ], "container-title" : "Journal of High Technology Management Research", "id" : "ITEM-1", "issue" : "2", "issued" : { "date-parts" : [ [ "2007" ] ] }, "page" : "157-172", "title" : "Sourcing technological knowledge through corporate acquisition: Evidence from an international sample of high technology firms", "type" : "article-journal", "volume" : "18" }, "uris" : [ "http://www.mendeley.com/documents/?uuid=ced2eb8d-cfd7-4b0b-a861-3e0bc51dbd69" ] } ], "mendeley" : { "formattedCitation" : "(DESYLLAS; HUGHES, 2007)", "manualFormatting" : "DESYLLAS; HUGHES, 2007)", "plainTextFormattedCitation" : "(DESYLLAS; HUGHES, 2007)", "previouslyFormattedCitation" : "(DESYLLAS; HUGHES, 2007)" }, "properties" : {  }, "schema" : "https://github.com/citation-style-language/schema/raw/master/csl-citation.json" }</w:instrText>
      </w:r>
      <w:r w:rsidR="003030E5" w:rsidRPr="00476DF1">
        <w:rPr>
          <w:rFonts w:ascii="Times New Roman" w:eastAsia="Times New Roman" w:hAnsi="Times New Roman"/>
          <w:sz w:val="24"/>
          <w:szCs w:val="24"/>
          <w:shd w:val="clear" w:color="auto" w:fill="FFFFFF"/>
        </w:rPr>
        <w:fldChar w:fldCharType="separate"/>
      </w:r>
      <w:r w:rsidR="003030E5" w:rsidRPr="00476DF1">
        <w:rPr>
          <w:rFonts w:ascii="Times New Roman" w:eastAsia="Times New Roman" w:hAnsi="Times New Roman"/>
          <w:noProof/>
          <w:sz w:val="24"/>
          <w:szCs w:val="24"/>
          <w:shd w:val="clear" w:color="auto" w:fill="FFFFFF"/>
        </w:rPr>
        <w:t>DESYLLAS; HUGHES, 2007)</w:t>
      </w:r>
      <w:r w:rsidR="003030E5" w:rsidRPr="00476DF1">
        <w:rPr>
          <w:rFonts w:ascii="Times New Roman" w:eastAsia="Times New Roman" w:hAnsi="Times New Roman"/>
          <w:sz w:val="24"/>
          <w:szCs w:val="24"/>
          <w:shd w:val="clear" w:color="auto" w:fill="FFFFFF"/>
        </w:rPr>
        <w:fldChar w:fldCharType="end"/>
      </w:r>
      <w:r w:rsidR="001A7103" w:rsidRPr="00476DF1">
        <w:rPr>
          <w:rFonts w:ascii="Times New Roman" w:eastAsia="Times New Roman" w:hAnsi="Times New Roman"/>
          <w:sz w:val="24"/>
          <w:szCs w:val="24"/>
          <w:shd w:val="clear" w:color="auto" w:fill="FFFFFF"/>
        </w:rPr>
        <w:t>. Indeed, M&amp;A</w:t>
      </w:r>
      <w:r w:rsidR="00227486" w:rsidRPr="00476DF1">
        <w:rPr>
          <w:rFonts w:ascii="Times New Roman" w:eastAsia="Times New Roman" w:hAnsi="Times New Roman"/>
          <w:sz w:val="24"/>
          <w:szCs w:val="24"/>
          <w:shd w:val="clear" w:color="auto" w:fill="FFFFFF"/>
        </w:rPr>
        <w:t>s</w:t>
      </w:r>
      <w:r w:rsidR="001A7103" w:rsidRPr="00476DF1">
        <w:rPr>
          <w:rFonts w:ascii="Times New Roman" w:eastAsia="Times New Roman" w:hAnsi="Times New Roman"/>
          <w:sz w:val="24"/>
          <w:szCs w:val="24"/>
          <w:shd w:val="clear" w:color="auto" w:fill="FFFFFF"/>
        </w:rPr>
        <w:t xml:space="preserve"> driven by technological factors can only be analyzed through technological variables.</w:t>
      </w:r>
      <w:r w:rsidRPr="00476DF1">
        <w:rPr>
          <w:rFonts w:ascii="Times New Roman" w:eastAsia="Times New Roman" w:hAnsi="Times New Roman"/>
          <w:sz w:val="24"/>
          <w:szCs w:val="24"/>
          <w:shd w:val="clear" w:color="auto" w:fill="FFFFFF"/>
        </w:rPr>
        <w:t xml:space="preserve"> Therefore, </w:t>
      </w:r>
      <w:r w:rsidR="00227486" w:rsidRPr="00476DF1">
        <w:rPr>
          <w:rFonts w:ascii="Times New Roman" w:eastAsia="Times New Roman" w:hAnsi="Times New Roman"/>
          <w:sz w:val="24"/>
          <w:szCs w:val="24"/>
          <w:shd w:val="clear" w:color="auto" w:fill="FFFFFF"/>
        </w:rPr>
        <w:t xml:space="preserve">it is necessary to use or develop </w:t>
      </w:r>
      <w:r w:rsidRPr="00476DF1">
        <w:rPr>
          <w:rFonts w:ascii="Times New Roman" w:eastAsia="Times New Roman" w:hAnsi="Times New Roman"/>
          <w:sz w:val="24"/>
          <w:szCs w:val="24"/>
          <w:shd w:val="clear" w:color="auto" w:fill="FFFFFF"/>
        </w:rPr>
        <w:t>measures based on knowledge features (</w:t>
      </w:r>
      <w:r w:rsidR="00460118" w:rsidRPr="00476DF1">
        <w:rPr>
          <w:rFonts w:ascii="Times New Roman" w:eastAsia="Times New Roman" w:hAnsi="Times New Roman"/>
          <w:sz w:val="24"/>
          <w:szCs w:val="24"/>
          <w:shd w:val="clear" w:color="auto" w:fill="FFFFFF"/>
        </w:rPr>
        <w:t>AUTHOR</w:t>
      </w:r>
      <w:r w:rsidRPr="00476DF1">
        <w:rPr>
          <w:rFonts w:ascii="Times New Roman" w:eastAsia="Times New Roman" w:hAnsi="Times New Roman"/>
          <w:sz w:val="24"/>
          <w:szCs w:val="24"/>
          <w:shd w:val="clear" w:color="auto" w:fill="FFFFFF"/>
        </w:rPr>
        <w:t>, 2016).</w:t>
      </w:r>
    </w:p>
    <w:p w14:paraId="41F914E8" w14:textId="1A5F37D7" w:rsidR="001A7103" w:rsidRPr="00476DF1" w:rsidRDefault="00F33633" w:rsidP="00CE4BBE">
      <w:pPr>
        <w:pStyle w:val="Ttulo2"/>
        <w:spacing w:line="240" w:lineRule="auto"/>
        <w:ind w:left="578" w:hanging="578"/>
        <w:rPr>
          <w:b w:val="0"/>
        </w:rPr>
      </w:pPr>
      <w:bookmarkStart w:id="2" w:name="_Toc465158046"/>
      <w:bookmarkStart w:id="3" w:name="_Toc465849069"/>
      <w:r w:rsidRPr="00476DF1">
        <w:t xml:space="preserve">Knowledgebase </w:t>
      </w:r>
      <w:r w:rsidR="001A7103" w:rsidRPr="00476DF1">
        <w:t>relatedness</w:t>
      </w:r>
      <w:bookmarkEnd w:id="2"/>
      <w:bookmarkEnd w:id="3"/>
      <w:r w:rsidR="00C16780" w:rsidRPr="00476DF1">
        <w:t xml:space="preserve"> in </w:t>
      </w:r>
      <w:r w:rsidR="00E1158B" w:rsidRPr="00476DF1">
        <w:t>M&amp;A</w:t>
      </w:r>
      <w:r w:rsidR="00227486" w:rsidRPr="00476DF1">
        <w:t>s</w:t>
      </w:r>
    </w:p>
    <w:p w14:paraId="5D77AFC5" w14:textId="78172BA9" w:rsidR="00C11B3E" w:rsidRPr="00476DF1" w:rsidRDefault="00C11B3E" w:rsidP="00CE4BBE">
      <w:pPr>
        <w:spacing w:after="0" w:line="240" w:lineRule="auto"/>
        <w:ind w:firstLine="720"/>
        <w:jc w:val="both"/>
        <w:rPr>
          <w:rFonts w:ascii="Times New Roman" w:hAnsi="Times New Roman"/>
          <w:sz w:val="24"/>
          <w:szCs w:val="24"/>
        </w:rPr>
      </w:pPr>
      <w:r w:rsidRPr="00476DF1">
        <w:rPr>
          <w:rFonts w:ascii="Times New Roman" w:eastAsia="Times New Roman" w:hAnsi="Times New Roman"/>
          <w:sz w:val="24"/>
          <w:szCs w:val="24"/>
          <w:shd w:val="clear" w:color="auto" w:fill="FFFFFF"/>
        </w:rPr>
        <w:t xml:space="preserve">In order to </w:t>
      </w:r>
      <w:r w:rsidR="009617CB" w:rsidRPr="00476DF1">
        <w:rPr>
          <w:rFonts w:ascii="Times New Roman" w:eastAsia="Times New Roman" w:hAnsi="Times New Roman"/>
          <w:sz w:val="24"/>
          <w:szCs w:val="24"/>
          <w:shd w:val="clear" w:color="auto" w:fill="FFFFFF"/>
        </w:rPr>
        <w:t xml:space="preserve">use external knowledge </w:t>
      </w:r>
      <w:r w:rsidR="008D63C6" w:rsidRPr="00476DF1">
        <w:rPr>
          <w:rFonts w:ascii="Times New Roman" w:eastAsia="Times New Roman" w:hAnsi="Times New Roman"/>
          <w:sz w:val="24"/>
          <w:szCs w:val="24"/>
          <w:shd w:val="clear" w:color="auto" w:fill="FFFFFF"/>
        </w:rPr>
        <w:t>to create and enhance</w:t>
      </w:r>
      <w:r w:rsidR="009617CB" w:rsidRPr="00476DF1">
        <w:rPr>
          <w:rFonts w:ascii="Times New Roman" w:eastAsia="Times New Roman" w:hAnsi="Times New Roman"/>
          <w:sz w:val="24"/>
          <w:szCs w:val="24"/>
          <w:shd w:val="clear" w:color="auto" w:fill="FFFFFF"/>
        </w:rPr>
        <w:t xml:space="preserve"> </w:t>
      </w:r>
      <w:r w:rsidR="008D63C6" w:rsidRPr="00476DF1">
        <w:rPr>
          <w:rFonts w:ascii="Times New Roman" w:eastAsia="Times New Roman" w:hAnsi="Times New Roman"/>
          <w:sz w:val="24"/>
          <w:szCs w:val="24"/>
          <w:shd w:val="clear" w:color="auto" w:fill="FFFFFF"/>
        </w:rPr>
        <w:t xml:space="preserve">a firm’s </w:t>
      </w:r>
      <w:r w:rsidR="009617CB" w:rsidRPr="00476DF1">
        <w:rPr>
          <w:rFonts w:ascii="Times New Roman" w:eastAsia="Times New Roman" w:hAnsi="Times New Roman"/>
          <w:sz w:val="24"/>
          <w:szCs w:val="24"/>
          <w:shd w:val="clear" w:color="auto" w:fill="FFFFFF"/>
        </w:rPr>
        <w:t xml:space="preserve">capabilities, the </w:t>
      </w:r>
      <w:r w:rsidR="008D63C6" w:rsidRPr="00476DF1">
        <w:rPr>
          <w:rFonts w:ascii="Times New Roman" w:eastAsia="Times New Roman" w:hAnsi="Times New Roman"/>
          <w:sz w:val="24"/>
          <w:szCs w:val="24"/>
          <w:shd w:val="clear" w:color="auto" w:fill="FFFFFF"/>
        </w:rPr>
        <w:t>acquirer</w:t>
      </w:r>
      <w:r w:rsidRPr="00476DF1">
        <w:rPr>
          <w:rFonts w:ascii="Times New Roman" w:eastAsia="Times New Roman" w:hAnsi="Times New Roman"/>
          <w:sz w:val="24"/>
          <w:szCs w:val="24"/>
          <w:shd w:val="clear" w:color="auto" w:fill="FFFFFF"/>
        </w:rPr>
        <w:t xml:space="preserve"> must understand the general </w:t>
      </w:r>
      <w:r w:rsidR="00996847" w:rsidRPr="00476DF1">
        <w:rPr>
          <w:rFonts w:ascii="Times New Roman" w:eastAsia="Times New Roman" w:hAnsi="Times New Roman"/>
          <w:sz w:val="24"/>
          <w:szCs w:val="24"/>
          <w:shd w:val="clear" w:color="auto" w:fill="FFFFFF"/>
        </w:rPr>
        <w:t>principles</w:t>
      </w:r>
      <w:r w:rsidRPr="00476DF1">
        <w:rPr>
          <w:rFonts w:ascii="Times New Roman" w:eastAsia="Times New Roman" w:hAnsi="Times New Roman"/>
          <w:sz w:val="24"/>
          <w:szCs w:val="24"/>
          <w:shd w:val="clear" w:color="auto" w:fill="FFFFFF"/>
        </w:rPr>
        <w:t xml:space="preserve"> </w:t>
      </w:r>
      <w:r w:rsidR="008D63C6" w:rsidRPr="00476DF1">
        <w:rPr>
          <w:rFonts w:ascii="Times New Roman" w:eastAsia="Times New Roman" w:hAnsi="Times New Roman"/>
          <w:sz w:val="24"/>
          <w:szCs w:val="24"/>
          <w:shd w:val="clear" w:color="auto" w:fill="FFFFFF"/>
        </w:rPr>
        <w:t>of the</w:t>
      </w:r>
      <w:r w:rsidRPr="00476DF1">
        <w:rPr>
          <w:rFonts w:ascii="Times New Roman" w:eastAsia="Times New Roman" w:hAnsi="Times New Roman"/>
          <w:sz w:val="24"/>
          <w:szCs w:val="24"/>
          <w:shd w:val="clear" w:color="auto" w:fill="FFFFFF"/>
        </w:rPr>
        <w:t xml:space="preserve"> other enterprise</w:t>
      </w:r>
      <w:r w:rsidR="008D63C6" w:rsidRPr="00476DF1">
        <w:rPr>
          <w:rFonts w:ascii="Times New Roman" w:eastAsia="Times New Roman" w:hAnsi="Times New Roman"/>
          <w:sz w:val="24"/>
          <w:szCs w:val="24"/>
          <w:shd w:val="clear" w:color="auto" w:fill="FFFFFF"/>
        </w:rPr>
        <w:t>’</w:t>
      </w:r>
      <w:r w:rsidRPr="00476DF1">
        <w:rPr>
          <w:rFonts w:ascii="Times New Roman" w:eastAsia="Times New Roman" w:hAnsi="Times New Roman"/>
          <w:sz w:val="24"/>
          <w:szCs w:val="24"/>
          <w:shd w:val="clear" w:color="auto" w:fill="FFFFFF"/>
        </w:rPr>
        <w:t>s knowledge base (</w:t>
      </w:r>
      <w:r w:rsidR="004D2ADD" w:rsidRPr="00476DF1">
        <w:rPr>
          <w:rFonts w:ascii="Times New Roman" w:eastAsia="Times New Roman" w:hAnsi="Times New Roman"/>
          <w:sz w:val="24"/>
          <w:szCs w:val="24"/>
          <w:shd w:val="clear" w:color="auto" w:fill="FFFFFF"/>
        </w:rPr>
        <w:fldChar w:fldCharType="begin" w:fldLock="1"/>
      </w:r>
      <w:r w:rsidR="004D2ADD" w:rsidRPr="00476DF1">
        <w:rPr>
          <w:rFonts w:ascii="Times New Roman" w:eastAsia="Times New Roman" w:hAnsi="Times New Roman"/>
          <w:sz w:val="24"/>
          <w:szCs w:val="24"/>
          <w:shd w:val="clear" w:color="auto" w:fill="FFFFFF"/>
        </w:rPr>
        <w:instrText>ADDIN CSL_CITATION { "citationItems" : [ { "id" : "ITEM-1", "itemData" : { "author" : [ { "dropping-particle" : "", "family" : "Cohen", "given" : "Wesley M", "non-dropping-particle" : "", "parse-names" : false, "suffix" : "" }, { "dropping-particle" : "", "family" : "Levinthal", "given" : "Daniel A", "non-dropping-particle" : "", "parse-names" : false, "suffix" : "" } ], "container-title" : "Administrative Science Quarterly - Special Issue: Technology", "id" : "ITEM-1", "issue" : "1", "issued" : { "date-parts" : [ [ "1990" ] ] }, "page" : "128-152", "title" : "Absorptive Capacity : A New Perspective on and Innovation Learning", "type" : "article-journal", "volume" : "35" }, "uris" : [ "http://www.mendeley.com/documents/?uuid=ac7f837b-40f2-43c3-b305-aa3a684a26ec" ] } ], "mendeley" : { "formattedCitation" : "(COHEN; LEVINTHAL, 1990)", "manualFormatting" : "COHEN; LEVINTHAL, 1989, 1990", "plainTextFormattedCitation" : "(COHEN; LEVINTHAL, 1990)", "previouslyFormattedCitation" : "(COHEN; LEVINTHAL, 1990)" }, "properties" : {  }, "schema" : "https://github.com/citation-style-language/schema/raw/master/csl-citation.json" }</w:instrText>
      </w:r>
      <w:r w:rsidR="004D2ADD" w:rsidRPr="00476DF1">
        <w:rPr>
          <w:rFonts w:ascii="Times New Roman" w:eastAsia="Times New Roman" w:hAnsi="Times New Roman"/>
          <w:sz w:val="24"/>
          <w:szCs w:val="24"/>
          <w:shd w:val="clear" w:color="auto" w:fill="FFFFFF"/>
        </w:rPr>
        <w:fldChar w:fldCharType="separate"/>
      </w:r>
      <w:r w:rsidR="004D2ADD" w:rsidRPr="00476DF1">
        <w:rPr>
          <w:rFonts w:ascii="Times New Roman" w:eastAsia="Times New Roman" w:hAnsi="Times New Roman"/>
          <w:noProof/>
          <w:sz w:val="24"/>
          <w:szCs w:val="24"/>
          <w:shd w:val="clear" w:color="auto" w:fill="FFFFFF"/>
        </w:rPr>
        <w:t>COHEN; LEVINTHAL, 1989, 1990</w:t>
      </w:r>
      <w:r w:rsidR="004D2ADD" w:rsidRPr="00476DF1">
        <w:rPr>
          <w:rFonts w:ascii="Times New Roman" w:eastAsia="Times New Roman" w:hAnsi="Times New Roman"/>
          <w:sz w:val="24"/>
          <w:szCs w:val="24"/>
          <w:shd w:val="clear" w:color="auto" w:fill="FFFFFF"/>
        </w:rPr>
        <w:fldChar w:fldCharType="end"/>
      </w:r>
      <w:r w:rsidR="004D2ADD" w:rsidRPr="00476DF1">
        <w:rPr>
          <w:rFonts w:ascii="Times New Roman" w:eastAsia="Times New Roman" w:hAnsi="Times New Roman"/>
          <w:sz w:val="24"/>
          <w:szCs w:val="24"/>
          <w:shd w:val="clear" w:color="auto" w:fill="FFFFFF"/>
        </w:rPr>
        <w:t xml:space="preserve">; </w:t>
      </w:r>
      <w:r w:rsidR="00747F1E" w:rsidRPr="00476DF1">
        <w:rPr>
          <w:rFonts w:ascii="Times New Roman" w:eastAsia="Times New Roman" w:hAnsi="Times New Roman"/>
          <w:sz w:val="24"/>
          <w:szCs w:val="24"/>
          <w:shd w:val="clear" w:color="auto" w:fill="FFFFFF"/>
        </w:rPr>
        <w:t>AHUJA AND KATILA, 2001; HAGEDOORN</w:t>
      </w:r>
      <w:r w:rsidR="003030E5" w:rsidRPr="00476DF1">
        <w:rPr>
          <w:rFonts w:ascii="Times New Roman" w:eastAsia="Times New Roman" w:hAnsi="Times New Roman"/>
          <w:sz w:val="24"/>
          <w:szCs w:val="24"/>
          <w:shd w:val="clear" w:color="auto" w:fill="FFFFFF"/>
        </w:rPr>
        <w:t>;</w:t>
      </w:r>
      <w:r w:rsidR="00747F1E" w:rsidRPr="00476DF1">
        <w:rPr>
          <w:rFonts w:ascii="Times New Roman" w:eastAsia="Times New Roman" w:hAnsi="Times New Roman"/>
          <w:sz w:val="24"/>
          <w:szCs w:val="24"/>
          <w:shd w:val="clear" w:color="auto" w:fill="FFFFFF"/>
        </w:rPr>
        <w:t xml:space="preserve"> DUYSTERS, 2002; MAKRI </w:t>
      </w:r>
      <w:r w:rsidRPr="00476DF1">
        <w:rPr>
          <w:rFonts w:ascii="Times New Roman" w:eastAsia="Times New Roman" w:hAnsi="Times New Roman"/>
          <w:i/>
          <w:sz w:val="24"/>
          <w:szCs w:val="24"/>
          <w:shd w:val="clear" w:color="auto" w:fill="FFFFFF"/>
        </w:rPr>
        <w:t>et al.</w:t>
      </w:r>
      <w:r w:rsidRPr="00476DF1">
        <w:rPr>
          <w:rFonts w:ascii="Times New Roman" w:eastAsia="Times New Roman" w:hAnsi="Times New Roman"/>
          <w:sz w:val="24"/>
          <w:szCs w:val="24"/>
          <w:shd w:val="clear" w:color="auto" w:fill="FFFFFF"/>
        </w:rPr>
        <w:t>, 2010). Therefore, enterprises</w:t>
      </w:r>
      <w:r w:rsidR="004804C4" w:rsidRPr="00476DF1">
        <w:rPr>
          <w:rFonts w:ascii="Times New Roman" w:eastAsia="Times New Roman" w:hAnsi="Times New Roman"/>
          <w:sz w:val="24"/>
          <w:szCs w:val="24"/>
          <w:shd w:val="clear" w:color="auto" w:fill="FFFFFF"/>
        </w:rPr>
        <w:t xml:space="preserve"> </w:t>
      </w:r>
      <w:r w:rsidRPr="00476DF1">
        <w:rPr>
          <w:rFonts w:ascii="Times New Roman" w:eastAsia="Times New Roman" w:hAnsi="Times New Roman"/>
          <w:sz w:val="24"/>
          <w:szCs w:val="24"/>
          <w:shd w:val="clear" w:color="auto" w:fill="FFFFFF"/>
        </w:rPr>
        <w:t>engaging</w:t>
      </w:r>
      <w:r w:rsidR="004804C4" w:rsidRPr="00476DF1">
        <w:rPr>
          <w:rFonts w:ascii="Times New Roman" w:eastAsia="Times New Roman" w:hAnsi="Times New Roman"/>
          <w:sz w:val="24"/>
          <w:szCs w:val="24"/>
          <w:shd w:val="clear" w:color="auto" w:fill="FFFFFF"/>
        </w:rPr>
        <w:t xml:space="preserve"> in</w:t>
      </w:r>
      <w:r w:rsidRPr="00476DF1">
        <w:rPr>
          <w:rFonts w:ascii="Times New Roman" w:eastAsia="Times New Roman" w:hAnsi="Times New Roman"/>
          <w:sz w:val="24"/>
          <w:szCs w:val="24"/>
          <w:shd w:val="clear" w:color="auto" w:fill="FFFFFF"/>
        </w:rPr>
        <w:t xml:space="preserve"> horizontal and vertical acquisitions </w:t>
      </w:r>
      <w:r w:rsidR="004804C4" w:rsidRPr="00476DF1">
        <w:rPr>
          <w:rFonts w:ascii="Times New Roman" w:eastAsia="Times New Roman" w:hAnsi="Times New Roman"/>
          <w:sz w:val="24"/>
          <w:szCs w:val="24"/>
          <w:shd w:val="clear" w:color="auto" w:fill="FFFFFF"/>
        </w:rPr>
        <w:t xml:space="preserve">should </w:t>
      </w:r>
      <w:r w:rsidR="008D63C6" w:rsidRPr="00476DF1">
        <w:rPr>
          <w:rFonts w:ascii="Times New Roman" w:eastAsia="Times New Roman" w:hAnsi="Times New Roman"/>
          <w:sz w:val="24"/>
          <w:szCs w:val="24"/>
          <w:shd w:val="clear" w:color="auto" w:fill="FFFFFF"/>
        </w:rPr>
        <w:t xml:space="preserve">have </w:t>
      </w:r>
      <w:r w:rsidRPr="00476DF1">
        <w:rPr>
          <w:rFonts w:ascii="Times New Roman" w:eastAsia="Times New Roman" w:hAnsi="Times New Roman"/>
          <w:sz w:val="24"/>
          <w:szCs w:val="24"/>
          <w:shd w:val="clear" w:color="auto" w:fill="FFFFFF"/>
        </w:rPr>
        <w:t xml:space="preserve">some technological relatedness with </w:t>
      </w:r>
      <w:r w:rsidR="00BE63EA" w:rsidRPr="00476DF1">
        <w:rPr>
          <w:rFonts w:ascii="Times New Roman" w:eastAsia="Times New Roman" w:hAnsi="Times New Roman"/>
          <w:sz w:val="24"/>
          <w:szCs w:val="24"/>
          <w:shd w:val="clear" w:color="auto" w:fill="FFFFFF"/>
        </w:rPr>
        <w:t>their</w:t>
      </w:r>
      <w:r w:rsidRPr="00476DF1">
        <w:rPr>
          <w:rFonts w:ascii="Times New Roman" w:eastAsia="Times New Roman" w:hAnsi="Times New Roman"/>
          <w:sz w:val="24"/>
          <w:szCs w:val="24"/>
          <w:shd w:val="clear" w:color="auto" w:fill="FFFFFF"/>
        </w:rPr>
        <w:t xml:space="preserve"> target (</w:t>
      </w:r>
      <w:r w:rsidR="003030E5" w:rsidRPr="00476DF1">
        <w:rPr>
          <w:rFonts w:ascii="Times New Roman" w:eastAsia="Times New Roman" w:hAnsi="Times New Roman"/>
          <w:sz w:val="24"/>
          <w:szCs w:val="24"/>
          <w:shd w:val="clear" w:color="auto" w:fill="FFFFFF"/>
        </w:rPr>
        <w:t>HAGEDOORN;</w:t>
      </w:r>
      <w:r w:rsidR="00747F1E" w:rsidRPr="00476DF1">
        <w:rPr>
          <w:rFonts w:ascii="Times New Roman" w:eastAsia="Times New Roman" w:hAnsi="Times New Roman"/>
          <w:sz w:val="24"/>
          <w:szCs w:val="24"/>
          <w:shd w:val="clear" w:color="auto" w:fill="FFFFFF"/>
        </w:rPr>
        <w:t xml:space="preserve"> DUYSTERS, 2002</w:t>
      </w:r>
      <w:r w:rsidRPr="00476DF1">
        <w:rPr>
          <w:rFonts w:ascii="Times New Roman" w:eastAsia="Times New Roman" w:hAnsi="Times New Roman"/>
          <w:sz w:val="24"/>
          <w:szCs w:val="24"/>
          <w:shd w:val="clear" w:color="auto" w:fill="FFFFFF"/>
        </w:rPr>
        <w:t>).</w:t>
      </w:r>
    </w:p>
    <w:p w14:paraId="539F0510" w14:textId="598AC3F3" w:rsidR="00C11B3E" w:rsidRPr="00476DF1" w:rsidRDefault="00C11B3E" w:rsidP="00CE4BBE">
      <w:pPr>
        <w:spacing w:after="0" w:line="240" w:lineRule="auto"/>
        <w:ind w:firstLine="720"/>
        <w:jc w:val="both"/>
        <w:rPr>
          <w:rFonts w:ascii="Times New Roman" w:eastAsia="Times New Roman" w:hAnsi="Times New Roman"/>
          <w:sz w:val="24"/>
          <w:szCs w:val="24"/>
        </w:rPr>
      </w:pPr>
      <w:r w:rsidRPr="00476DF1">
        <w:rPr>
          <w:rFonts w:ascii="Times New Roman" w:eastAsia="Times New Roman" w:hAnsi="Times New Roman"/>
          <w:sz w:val="24"/>
          <w:szCs w:val="24"/>
          <w:shd w:val="clear" w:color="auto" w:fill="FFFFFF"/>
        </w:rPr>
        <w:t>Several studies</w:t>
      </w:r>
      <w:r w:rsidR="00B00A86" w:rsidRPr="00476DF1">
        <w:rPr>
          <w:rFonts w:ascii="Times New Roman" w:eastAsia="Times New Roman" w:hAnsi="Times New Roman"/>
          <w:sz w:val="24"/>
          <w:szCs w:val="24"/>
          <w:shd w:val="clear" w:color="auto" w:fill="FFFFFF"/>
        </w:rPr>
        <w:t xml:space="preserve"> </w:t>
      </w:r>
      <w:r w:rsidRPr="00476DF1">
        <w:rPr>
          <w:rFonts w:ascii="Times New Roman" w:eastAsia="Times New Roman" w:hAnsi="Times New Roman"/>
          <w:sz w:val="24"/>
          <w:szCs w:val="24"/>
          <w:shd w:val="clear" w:color="auto" w:fill="FFFFFF"/>
        </w:rPr>
        <w:t xml:space="preserve">attempt to create concepts and measures </w:t>
      </w:r>
      <w:r w:rsidR="008D63C6" w:rsidRPr="00476DF1">
        <w:rPr>
          <w:rFonts w:ascii="Times New Roman" w:eastAsia="Times New Roman" w:hAnsi="Times New Roman"/>
          <w:sz w:val="24"/>
          <w:szCs w:val="24"/>
          <w:shd w:val="clear" w:color="auto" w:fill="FFFFFF"/>
        </w:rPr>
        <w:t>of</w:t>
      </w:r>
      <w:r w:rsidRPr="00476DF1">
        <w:rPr>
          <w:rFonts w:ascii="Times New Roman" w:eastAsia="Times New Roman" w:hAnsi="Times New Roman"/>
          <w:sz w:val="24"/>
          <w:szCs w:val="24"/>
          <w:shd w:val="clear" w:color="auto" w:fill="FFFFFF"/>
        </w:rPr>
        <w:t xml:space="preserve"> knowledgebase relatedness</w:t>
      </w:r>
      <w:r w:rsidR="00996847" w:rsidRPr="00476DF1">
        <w:rPr>
          <w:rFonts w:ascii="Times New Roman" w:eastAsia="Times New Roman" w:hAnsi="Times New Roman"/>
          <w:sz w:val="24"/>
          <w:szCs w:val="24"/>
          <w:shd w:val="clear" w:color="auto" w:fill="FFFFFF"/>
        </w:rPr>
        <w:t xml:space="preserve">. </w:t>
      </w:r>
      <w:r w:rsidR="0068621C" w:rsidRPr="00476DF1">
        <w:rPr>
          <w:rFonts w:ascii="Times New Roman" w:eastAsia="Times New Roman" w:hAnsi="Times New Roman"/>
          <w:sz w:val="24"/>
          <w:szCs w:val="24"/>
          <w:shd w:val="clear" w:color="auto" w:fill="FFFFFF"/>
        </w:rPr>
        <w:t>T</w:t>
      </w:r>
      <w:r w:rsidR="00996847" w:rsidRPr="00476DF1">
        <w:rPr>
          <w:rFonts w:ascii="Times New Roman" w:eastAsia="Times New Roman" w:hAnsi="Times New Roman"/>
          <w:sz w:val="24"/>
          <w:szCs w:val="24"/>
          <w:shd w:val="clear" w:color="auto" w:fill="FFFFFF"/>
        </w:rPr>
        <w:t>hese concepts</w:t>
      </w:r>
      <w:r w:rsidR="0068621C" w:rsidRPr="00476DF1">
        <w:rPr>
          <w:rFonts w:ascii="Times New Roman" w:eastAsia="Times New Roman" w:hAnsi="Times New Roman"/>
          <w:sz w:val="24"/>
          <w:szCs w:val="24"/>
          <w:shd w:val="clear" w:color="auto" w:fill="FFFFFF"/>
        </w:rPr>
        <w:t xml:space="preserve"> help </w:t>
      </w:r>
      <w:r w:rsidR="008D63C6" w:rsidRPr="00476DF1">
        <w:rPr>
          <w:rFonts w:ascii="Times New Roman" w:eastAsia="Times New Roman" w:hAnsi="Times New Roman"/>
          <w:sz w:val="24"/>
          <w:szCs w:val="24"/>
          <w:shd w:val="clear" w:color="auto" w:fill="FFFFFF"/>
        </w:rPr>
        <w:t>clarify</w:t>
      </w:r>
      <w:r w:rsidR="0068621C" w:rsidRPr="00476DF1">
        <w:rPr>
          <w:rFonts w:ascii="Times New Roman" w:eastAsia="Times New Roman" w:hAnsi="Times New Roman"/>
          <w:sz w:val="24"/>
          <w:szCs w:val="24"/>
          <w:shd w:val="clear" w:color="auto" w:fill="FFFFFF"/>
        </w:rPr>
        <w:t xml:space="preserve"> </w:t>
      </w:r>
      <w:r w:rsidRPr="00476DF1">
        <w:rPr>
          <w:rFonts w:ascii="Times New Roman" w:eastAsia="Times New Roman" w:hAnsi="Times New Roman"/>
          <w:sz w:val="24"/>
          <w:szCs w:val="24"/>
          <w:shd w:val="clear" w:color="auto" w:fill="FFFFFF"/>
        </w:rPr>
        <w:t xml:space="preserve">how </w:t>
      </w:r>
      <w:r w:rsidR="0068621C" w:rsidRPr="00476DF1">
        <w:rPr>
          <w:rFonts w:ascii="Times New Roman" w:eastAsia="Times New Roman" w:hAnsi="Times New Roman"/>
          <w:sz w:val="24"/>
          <w:szCs w:val="24"/>
          <w:shd w:val="clear" w:color="auto" w:fill="FFFFFF"/>
        </w:rPr>
        <w:t xml:space="preserve">relatedness </w:t>
      </w:r>
      <w:r w:rsidRPr="00476DF1">
        <w:rPr>
          <w:rFonts w:ascii="Times New Roman" w:eastAsia="Times New Roman" w:hAnsi="Times New Roman"/>
          <w:sz w:val="24"/>
          <w:szCs w:val="24"/>
          <w:shd w:val="clear" w:color="auto" w:fill="FFFFFF"/>
        </w:rPr>
        <w:t>affect</w:t>
      </w:r>
      <w:r w:rsidR="008D63C6" w:rsidRPr="00476DF1">
        <w:rPr>
          <w:rFonts w:ascii="Times New Roman" w:eastAsia="Times New Roman" w:hAnsi="Times New Roman"/>
          <w:sz w:val="24"/>
          <w:szCs w:val="24"/>
          <w:shd w:val="clear" w:color="auto" w:fill="FFFFFF"/>
        </w:rPr>
        <w:t>s</w:t>
      </w:r>
      <w:r w:rsidRPr="00476DF1">
        <w:rPr>
          <w:rFonts w:ascii="Times New Roman" w:eastAsia="Times New Roman" w:hAnsi="Times New Roman"/>
          <w:sz w:val="24"/>
          <w:szCs w:val="24"/>
          <w:shd w:val="clear" w:color="auto" w:fill="FFFFFF"/>
        </w:rPr>
        <w:t xml:space="preserve"> the enterprises’ technological outputs. Nevertheless, all </w:t>
      </w:r>
      <w:r w:rsidR="008D63C6" w:rsidRPr="00476DF1">
        <w:rPr>
          <w:rFonts w:ascii="Times New Roman" w:eastAsia="Times New Roman" w:hAnsi="Times New Roman"/>
          <w:sz w:val="24"/>
          <w:szCs w:val="24"/>
          <w:shd w:val="clear" w:color="auto" w:fill="FFFFFF"/>
        </w:rPr>
        <w:t xml:space="preserve">these </w:t>
      </w:r>
      <w:r w:rsidRPr="00476DF1">
        <w:rPr>
          <w:rFonts w:ascii="Times New Roman" w:eastAsia="Times New Roman" w:hAnsi="Times New Roman"/>
          <w:sz w:val="24"/>
          <w:szCs w:val="24"/>
          <w:shd w:val="clear" w:color="auto" w:fill="FFFFFF"/>
        </w:rPr>
        <w:t xml:space="preserve">ideas are based on the concept of absorptive capacity. </w:t>
      </w:r>
      <w:r w:rsidR="00747F1E" w:rsidRPr="00476DF1">
        <w:rPr>
          <w:rFonts w:ascii="Times New Roman" w:eastAsia="Times New Roman" w:hAnsi="Times New Roman"/>
          <w:sz w:val="24"/>
          <w:szCs w:val="24"/>
          <w:shd w:val="clear" w:color="auto" w:fill="FFFFFF"/>
        </w:rPr>
        <w:t>In essence, t</w:t>
      </w:r>
      <w:r w:rsidRPr="00476DF1">
        <w:rPr>
          <w:rFonts w:ascii="Times New Roman" w:eastAsia="Times New Roman" w:hAnsi="Times New Roman"/>
          <w:sz w:val="24"/>
          <w:szCs w:val="24"/>
          <w:shd w:val="clear" w:color="auto" w:fill="FFFFFF"/>
        </w:rPr>
        <w:t xml:space="preserve">he difference and relatedness between each knowledgebase will lead to different degrees </w:t>
      </w:r>
      <w:r w:rsidR="008D63C6" w:rsidRPr="00476DF1">
        <w:rPr>
          <w:rFonts w:ascii="Times New Roman" w:eastAsia="Times New Roman" w:hAnsi="Times New Roman"/>
          <w:sz w:val="24"/>
          <w:szCs w:val="24"/>
          <w:shd w:val="clear" w:color="auto" w:fill="FFFFFF"/>
        </w:rPr>
        <w:t xml:space="preserve">in </w:t>
      </w:r>
      <w:r w:rsidRPr="00476DF1">
        <w:rPr>
          <w:rFonts w:ascii="Times New Roman" w:eastAsia="Times New Roman" w:hAnsi="Times New Roman"/>
          <w:sz w:val="24"/>
          <w:szCs w:val="24"/>
          <w:shd w:val="clear" w:color="auto" w:fill="FFFFFF"/>
        </w:rPr>
        <w:t>assimilation</w:t>
      </w:r>
      <w:r w:rsidR="008D63C6" w:rsidRPr="00476DF1">
        <w:rPr>
          <w:rFonts w:ascii="Times New Roman" w:eastAsia="Times New Roman" w:hAnsi="Times New Roman"/>
          <w:sz w:val="24"/>
          <w:szCs w:val="24"/>
          <w:shd w:val="clear" w:color="auto" w:fill="FFFFFF"/>
        </w:rPr>
        <w:t xml:space="preserve"> </w:t>
      </w:r>
      <w:r w:rsidR="003030E5" w:rsidRPr="00476DF1">
        <w:rPr>
          <w:rFonts w:ascii="Times New Roman" w:eastAsia="Times New Roman" w:hAnsi="Times New Roman"/>
          <w:sz w:val="24"/>
          <w:szCs w:val="24"/>
          <w:shd w:val="clear" w:color="auto" w:fill="FFFFFF"/>
        </w:rPr>
        <w:fldChar w:fldCharType="begin" w:fldLock="1"/>
      </w:r>
      <w:r w:rsidR="003030E5" w:rsidRPr="00476DF1">
        <w:rPr>
          <w:rFonts w:ascii="Times New Roman" w:eastAsia="Times New Roman" w:hAnsi="Times New Roman"/>
          <w:sz w:val="24"/>
          <w:szCs w:val="24"/>
          <w:shd w:val="clear" w:color="auto" w:fill="FFFFFF"/>
        </w:rPr>
        <w:instrText>ADDIN CSL_CITATION { "citationItems" : [ { "id" : "ITEM-1", "itemData" : { "DOI" : "10.1002/smj.157", "ISBN" : "0143-2095", "ISSN" : "1097-0266", "PMID" : "4446656", "abstract" : "This paper examines the impact of acquisitions on the subsequent innovation performance of acquiring firms in the chemicals industry. We distinguish between technological acquisitions, acquisitions in which technology is a component of the acquiredfirm's assets, and nontechnologi- cal acquisitions: acquisitions that do not involve a technological component. We develop a framework relating acquisitions to jirm innovation performance and develop a set of measures for quantihing the technological inputs ajirm obtains through acquisitions. WeJind that within technological acquisitions absolute size of the acquired knowledge base enhances innovation performance, while relative size of the acquired knowledge base reduces innovation output. The relatedness of acquired and acquiring knowledge bases has a nonlinear impact on innovation output. Nontechnological acquisitions do not have a signijcant effect on subsequent innovation output.", "author" : [ { "dropping-particle" : "", "family" : "Ahuja", "given" : "Gautam", "non-dropping-particle" : "", "parse-names" : false, "suffix" : "" }, { "dropping-particle" : "", "family" : "Katila", "given" : "Riitta", "non-dropping-particle" : "", "parse-names" : false, "suffix" : "" } ], "container-title" : "Strategic Management Journal", "id" : "ITEM-1", "issue" : "3", "issued" : { "date-parts" : [ [ "2001" ] ] }, "page" : "197-220", "title" : "Technological Acquisition and the Innovation Performance of Acquiring Firms: A Longitudinal Study", "type" : "article-journal", "volume" : "22" }, "uris" : [ "http://www.mendeley.com/documents/?uuid=9b0d52ab-dc60-40b9-b237-2383d62b12a3" ] } ], "mendeley" : { "formattedCitation" : "(AHUJA; KATILA, 2001)", "manualFormatting" : "(AHUJA; KATILA, 2001", "plainTextFormattedCitation" : "(AHUJA; KATILA, 2001)", "previouslyFormattedCitation" : "(AHUJA; KATILA, 2001)" }, "properties" : {  }, "schema" : "https://github.com/citation-style-language/schema/raw/master/csl-citation.json" }</w:instrText>
      </w:r>
      <w:r w:rsidR="003030E5" w:rsidRPr="00476DF1">
        <w:rPr>
          <w:rFonts w:ascii="Times New Roman" w:eastAsia="Times New Roman" w:hAnsi="Times New Roman"/>
          <w:sz w:val="24"/>
          <w:szCs w:val="24"/>
          <w:shd w:val="clear" w:color="auto" w:fill="FFFFFF"/>
        </w:rPr>
        <w:fldChar w:fldCharType="separate"/>
      </w:r>
      <w:r w:rsidR="003030E5" w:rsidRPr="00476DF1">
        <w:rPr>
          <w:rFonts w:ascii="Times New Roman" w:eastAsia="Times New Roman" w:hAnsi="Times New Roman"/>
          <w:noProof/>
          <w:sz w:val="24"/>
          <w:szCs w:val="24"/>
          <w:shd w:val="clear" w:color="auto" w:fill="FFFFFF"/>
        </w:rPr>
        <w:t>(AHUJA; KATILA, 2001</w:t>
      </w:r>
      <w:r w:rsidR="003030E5" w:rsidRPr="00476DF1">
        <w:rPr>
          <w:rFonts w:ascii="Times New Roman" w:eastAsia="Times New Roman" w:hAnsi="Times New Roman"/>
          <w:sz w:val="24"/>
          <w:szCs w:val="24"/>
          <w:shd w:val="clear" w:color="auto" w:fill="FFFFFF"/>
        </w:rPr>
        <w:fldChar w:fldCharType="end"/>
      </w:r>
      <w:r w:rsidR="003030E5" w:rsidRPr="00476DF1">
        <w:rPr>
          <w:rFonts w:ascii="Times New Roman" w:eastAsia="Times New Roman" w:hAnsi="Times New Roman"/>
          <w:sz w:val="24"/>
          <w:szCs w:val="24"/>
          <w:shd w:val="clear" w:color="auto" w:fill="FFFFFF"/>
        </w:rPr>
        <w:t xml:space="preserve">; </w:t>
      </w:r>
      <w:r w:rsidR="00747F1E" w:rsidRPr="00476DF1">
        <w:rPr>
          <w:rFonts w:ascii="Times New Roman" w:eastAsia="Times New Roman" w:hAnsi="Times New Roman"/>
          <w:sz w:val="24"/>
          <w:szCs w:val="24"/>
          <w:shd w:val="clear" w:color="auto" w:fill="FFFFFF"/>
        </w:rPr>
        <w:t>CLOODT</w:t>
      </w:r>
      <w:r w:rsidR="003030E5" w:rsidRPr="00476DF1">
        <w:rPr>
          <w:rFonts w:ascii="Times New Roman" w:eastAsia="Times New Roman" w:hAnsi="Times New Roman"/>
          <w:sz w:val="24"/>
          <w:szCs w:val="24"/>
          <w:shd w:val="clear" w:color="auto" w:fill="FFFFFF"/>
        </w:rPr>
        <w:t>;</w:t>
      </w:r>
      <w:r w:rsidR="00747F1E" w:rsidRPr="00476DF1">
        <w:rPr>
          <w:rFonts w:ascii="Times New Roman" w:eastAsia="Times New Roman" w:hAnsi="Times New Roman"/>
          <w:sz w:val="24"/>
          <w:szCs w:val="24"/>
          <w:shd w:val="clear" w:color="auto" w:fill="FFFFFF"/>
        </w:rPr>
        <w:t xml:space="preserve"> HAGEDOORN, 2006; MAKRI </w:t>
      </w:r>
      <w:r w:rsidR="00747F1E" w:rsidRPr="00476DF1">
        <w:rPr>
          <w:rFonts w:ascii="Times New Roman" w:eastAsia="Times New Roman" w:hAnsi="Times New Roman"/>
          <w:i/>
          <w:sz w:val="24"/>
          <w:szCs w:val="24"/>
          <w:shd w:val="clear" w:color="auto" w:fill="FFFFFF"/>
        </w:rPr>
        <w:t>et al.</w:t>
      </w:r>
      <w:r w:rsidR="00747F1E" w:rsidRPr="00476DF1">
        <w:rPr>
          <w:rFonts w:ascii="Times New Roman" w:eastAsia="Times New Roman" w:hAnsi="Times New Roman"/>
          <w:sz w:val="24"/>
          <w:szCs w:val="24"/>
          <w:shd w:val="clear" w:color="auto" w:fill="FFFFFF"/>
        </w:rPr>
        <w:t>, 2010)</w:t>
      </w:r>
      <w:r w:rsidRPr="00476DF1">
        <w:rPr>
          <w:rFonts w:ascii="Times New Roman" w:eastAsia="Times New Roman" w:hAnsi="Times New Roman"/>
          <w:sz w:val="24"/>
          <w:szCs w:val="24"/>
          <w:shd w:val="clear" w:color="auto" w:fill="FFFFFF"/>
        </w:rPr>
        <w:t xml:space="preserve">. </w:t>
      </w:r>
    </w:p>
    <w:p w14:paraId="16921141" w14:textId="71D31DF6" w:rsidR="0069761C" w:rsidRPr="00476DF1" w:rsidRDefault="004D2ADD" w:rsidP="00CE4BBE">
      <w:pPr>
        <w:spacing w:after="0" w:line="240" w:lineRule="auto"/>
        <w:ind w:firstLine="720"/>
        <w:jc w:val="both"/>
        <w:rPr>
          <w:rFonts w:ascii="Times New Roman" w:eastAsia="Times New Roman" w:hAnsi="Times New Roman"/>
          <w:sz w:val="24"/>
          <w:szCs w:val="24"/>
        </w:rPr>
      </w:pPr>
      <w:r w:rsidRPr="00476DF1">
        <w:rPr>
          <w:rFonts w:ascii="Times New Roman" w:eastAsia="Times New Roman" w:hAnsi="Times New Roman"/>
          <w:sz w:val="24"/>
          <w:szCs w:val="24"/>
          <w:shd w:val="clear" w:color="auto" w:fill="FFFFFF"/>
        </w:rPr>
        <w:t xml:space="preserve">Enterprises with larger and less specialized </w:t>
      </w:r>
      <w:r w:rsidR="008D63C6" w:rsidRPr="00476DF1">
        <w:rPr>
          <w:rFonts w:ascii="Times New Roman" w:eastAsia="Times New Roman" w:hAnsi="Times New Roman"/>
          <w:sz w:val="24"/>
          <w:szCs w:val="24"/>
          <w:shd w:val="clear" w:color="auto" w:fill="FFFFFF"/>
        </w:rPr>
        <w:t>knowledge</w:t>
      </w:r>
      <w:r w:rsidR="00DB082D" w:rsidRPr="00476DF1">
        <w:rPr>
          <w:rFonts w:ascii="Times New Roman" w:eastAsia="Times New Roman" w:hAnsi="Times New Roman"/>
          <w:sz w:val="24"/>
          <w:szCs w:val="24"/>
          <w:shd w:val="clear" w:color="auto" w:fill="FFFFFF"/>
        </w:rPr>
        <w:t xml:space="preserve"> </w:t>
      </w:r>
      <w:r w:rsidR="008D63C6" w:rsidRPr="00476DF1">
        <w:rPr>
          <w:rFonts w:ascii="Times New Roman" w:eastAsia="Times New Roman" w:hAnsi="Times New Roman"/>
          <w:sz w:val="24"/>
          <w:szCs w:val="24"/>
          <w:shd w:val="clear" w:color="auto" w:fill="FFFFFF"/>
        </w:rPr>
        <w:t>bases</w:t>
      </w:r>
      <w:r w:rsidRPr="00476DF1">
        <w:rPr>
          <w:rFonts w:ascii="Times New Roman" w:eastAsia="Times New Roman" w:hAnsi="Times New Roman"/>
          <w:sz w:val="24"/>
          <w:szCs w:val="24"/>
          <w:shd w:val="clear" w:color="auto" w:fill="FFFFFF"/>
        </w:rPr>
        <w:t xml:space="preserve"> have a greater probability of enhancing its R&amp;D productivity (DESYLLAS AND HUGHES, 2008). Furthermore, </w:t>
      </w:r>
      <w:r w:rsidR="00C11B3E" w:rsidRPr="00476DF1">
        <w:rPr>
          <w:rFonts w:ascii="Times New Roman" w:eastAsia="Times New Roman" w:hAnsi="Times New Roman"/>
          <w:sz w:val="24"/>
          <w:szCs w:val="24"/>
          <w:shd w:val="clear" w:color="auto" w:fill="FFFFFF"/>
        </w:rPr>
        <w:t>the difference in the technological and scientific knowledge between companies is an important factor in the process of technical change</w:t>
      </w:r>
      <w:r w:rsidRPr="00476DF1">
        <w:rPr>
          <w:rFonts w:ascii="Times New Roman" w:eastAsia="Times New Roman" w:hAnsi="Times New Roman"/>
          <w:sz w:val="24"/>
          <w:szCs w:val="24"/>
          <w:shd w:val="clear" w:color="auto" w:fill="FFFFFF"/>
        </w:rPr>
        <w:t xml:space="preserve"> and </w:t>
      </w:r>
      <w:r w:rsidR="008D63C6" w:rsidRPr="00476DF1">
        <w:rPr>
          <w:rFonts w:ascii="Times New Roman" w:eastAsia="Times New Roman" w:hAnsi="Times New Roman"/>
          <w:sz w:val="24"/>
          <w:szCs w:val="24"/>
          <w:shd w:val="clear" w:color="auto" w:fill="FFFFFF"/>
        </w:rPr>
        <w:t xml:space="preserve">constructing </w:t>
      </w:r>
      <w:r w:rsidRPr="00476DF1">
        <w:rPr>
          <w:rFonts w:ascii="Times New Roman" w:eastAsia="Times New Roman" w:hAnsi="Times New Roman"/>
          <w:sz w:val="24"/>
          <w:szCs w:val="24"/>
          <w:shd w:val="clear" w:color="auto" w:fill="FFFFFF"/>
        </w:rPr>
        <w:t>R&amp;D capability (HAGEDOORN AND DUYSTER</w:t>
      </w:r>
      <w:r w:rsidR="003030E5" w:rsidRPr="00476DF1">
        <w:rPr>
          <w:rFonts w:ascii="Times New Roman" w:eastAsia="Times New Roman" w:hAnsi="Times New Roman"/>
          <w:sz w:val="24"/>
          <w:szCs w:val="24"/>
          <w:shd w:val="clear" w:color="auto" w:fill="FFFFFF"/>
        </w:rPr>
        <w:t>,</w:t>
      </w:r>
      <w:r w:rsidRPr="00476DF1">
        <w:rPr>
          <w:rFonts w:ascii="Times New Roman" w:eastAsia="Times New Roman" w:hAnsi="Times New Roman"/>
          <w:sz w:val="24"/>
          <w:szCs w:val="24"/>
          <w:shd w:val="clear" w:color="auto" w:fill="FFFFFF"/>
        </w:rPr>
        <w:t xml:space="preserve"> 2002</w:t>
      </w:r>
      <w:r w:rsidR="003030E5" w:rsidRPr="00476DF1">
        <w:rPr>
          <w:rFonts w:ascii="Times New Roman" w:eastAsia="Times New Roman" w:hAnsi="Times New Roman"/>
          <w:sz w:val="24"/>
          <w:szCs w:val="24"/>
          <w:shd w:val="clear" w:color="auto" w:fill="FFFFFF"/>
        </w:rPr>
        <w:t xml:space="preserve">; MAKRI </w:t>
      </w:r>
      <w:r w:rsidR="003030E5" w:rsidRPr="00476DF1">
        <w:rPr>
          <w:rFonts w:ascii="Times New Roman" w:eastAsia="Times New Roman" w:hAnsi="Times New Roman"/>
          <w:i/>
          <w:sz w:val="24"/>
          <w:szCs w:val="24"/>
          <w:shd w:val="clear" w:color="auto" w:fill="FFFFFF"/>
        </w:rPr>
        <w:t>et al.</w:t>
      </w:r>
      <w:r w:rsidR="003030E5" w:rsidRPr="00476DF1">
        <w:rPr>
          <w:rFonts w:ascii="Times New Roman" w:eastAsia="Times New Roman" w:hAnsi="Times New Roman"/>
          <w:sz w:val="24"/>
          <w:szCs w:val="24"/>
          <w:shd w:val="clear" w:color="auto" w:fill="FFFFFF"/>
        </w:rPr>
        <w:t>, 2010</w:t>
      </w:r>
      <w:r w:rsidRPr="00476DF1">
        <w:rPr>
          <w:rFonts w:ascii="Times New Roman" w:eastAsia="Times New Roman" w:hAnsi="Times New Roman"/>
          <w:sz w:val="24"/>
          <w:szCs w:val="24"/>
          <w:shd w:val="clear" w:color="auto" w:fill="FFFFFF"/>
        </w:rPr>
        <w:t>)</w:t>
      </w:r>
      <w:r w:rsidR="00C11B3E" w:rsidRPr="00476DF1">
        <w:rPr>
          <w:rFonts w:ascii="Times New Roman" w:eastAsia="Times New Roman" w:hAnsi="Times New Roman"/>
          <w:sz w:val="24"/>
          <w:szCs w:val="24"/>
          <w:shd w:val="clear" w:color="auto" w:fill="FFFFFF"/>
        </w:rPr>
        <w:t xml:space="preserve">. </w:t>
      </w:r>
      <w:r w:rsidRPr="00476DF1">
        <w:rPr>
          <w:rFonts w:ascii="Times New Roman" w:eastAsia="Times New Roman" w:hAnsi="Times New Roman"/>
          <w:sz w:val="24"/>
          <w:szCs w:val="24"/>
          <w:shd w:val="clear" w:color="auto" w:fill="FFFFFF"/>
        </w:rPr>
        <w:t>For instance, t</w:t>
      </w:r>
      <w:r w:rsidR="00C11B3E" w:rsidRPr="00476DF1">
        <w:rPr>
          <w:rFonts w:ascii="Times New Roman" w:eastAsia="Times New Roman" w:hAnsi="Times New Roman"/>
          <w:sz w:val="24"/>
          <w:szCs w:val="24"/>
          <w:shd w:val="clear" w:color="auto" w:fill="FFFFFF"/>
        </w:rPr>
        <w:t xml:space="preserve">he </w:t>
      </w:r>
      <w:r w:rsidR="0068621C" w:rsidRPr="00476DF1">
        <w:rPr>
          <w:rFonts w:ascii="Times New Roman" w:eastAsia="Times New Roman" w:hAnsi="Times New Roman"/>
          <w:sz w:val="24"/>
          <w:szCs w:val="24"/>
          <w:shd w:val="clear" w:color="auto" w:fill="FFFFFF"/>
        </w:rPr>
        <w:t>merge</w:t>
      </w:r>
      <w:r w:rsidR="00056257" w:rsidRPr="00476DF1">
        <w:rPr>
          <w:rFonts w:ascii="Times New Roman" w:eastAsia="Times New Roman" w:hAnsi="Times New Roman"/>
          <w:sz w:val="24"/>
          <w:szCs w:val="24"/>
          <w:shd w:val="clear" w:color="auto" w:fill="FFFFFF"/>
        </w:rPr>
        <w:t>r</w:t>
      </w:r>
      <w:r w:rsidR="0068621C" w:rsidRPr="00476DF1">
        <w:rPr>
          <w:rFonts w:ascii="Times New Roman" w:eastAsia="Times New Roman" w:hAnsi="Times New Roman"/>
          <w:sz w:val="24"/>
          <w:szCs w:val="24"/>
          <w:shd w:val="clear" w:color="auto" w:fill="FFFFFF"/>
        </w:rPr>
        <w:t xml:space="preserve"> </w:t>
      </w:r>
      <w:r w:rsidR="00C11B3E" w:rsidRPr="00476DF1">
        <w:rPr>
          <w:rFonts w:ascii="Times New Roman" w:eastAsia="Times New Roman" w:hAnsi="Times New Roman"/>
          <w:sz w:val="24"/>
          <w:szCs w:val="24"/>
          <w:shd w:val="clear" w:color="auto" w:fill="FFFFFF"/>
        </w:rPr>
        <w:t xml:space="preserve">of </w:t>
      </w:r>
      <w:r w:rsidR="00E1158B" w:rsidRPr="00476DF1">
        <w:rPr>
          <w:rFonts w:ascii="Times New Roman" w:eastAsia="Times New Roman" w:hAnsi="Times New Roman"/>
          <w:sz w:val="24"/>
          <w:szCs w:val="24"/>
          <w:shd w:val="clear" w:color="auto" w:fill="FFFFFF"/>
        </w:rPr>
        <w:t>extremely similar</w:t>
      </w:r>
      <w:r w:rsidR="0068621C" w:rsidRPr="00476DF1">
        <w:rPr>
          <w:rFonts w:ascii="Times New Roman" w:eastAsia="Times New Roman" w:hAnsi="Times New Roman"/>
          <w:sz w:val="24"/>
          <w:szCs w:val="24"/>
          <w:shd w:val="clear" w:color="auto" w:fill="FFFFFF"/>
        </w:rPr>
        <w:t xml:space="preserve"> </w:t>
      </w:r>
      <w:r w:rsidR="00C11B3E" w:rsidRPr="00476DF1">
        <w:rPr>
          <w:rFonts w:ascii="Times New Roman" w:eastAsia="Times New Roman" w:hAnsi="Times New Roman"/>
          <w:sz w:val="24"/>
          <w:szCs w:val="24"/>
          <w:shd w:val="clear" w:color="auto" w:fill="FFFFFF"/>
        </w:rPr>
        <w:t>compan</w:t>
      </w:r>
      <w:r w:rsidR="0068621C" w:rsidRPr="00476DF1">
        <w:rPr>
          <w:rFonts w:ascii="Times New Roman" w:eastAsia="Times New Roman" w:hAnsi="Times New Roman"/>
          <w:sz w:val="24"/>
          <w:szCs w:val="24"/>
          <w:shd w:val="clear" w:color="auto" w:fill="FFFFFF"/>
        </w:rPr>
        <w:t xml:space="preserve">ies </w:t>
      </w:r>
      <w:r w:rsidR="00C11B3E" w:rsidRPr="00476DF1">
        <w:rPr>
          <w:rFonts w:ascii="Times New Roman" w:eastAsia="Times New Roman" w:hAnsi="Times New Roman"/>
          <w:sz w:val="24"/>
          <w:szCs w:val="24"/>
          <w:shd w:val="clear" w:color="auto" w:fill="FFFFFF"/>
        </w:rPr>
        <w:t xml:space="preserve">would only </w:t>
      </w:r>
      <w:r w:rsidR="00AA3D13" w:rsidRPr="00476DF1">
        <w:rPr>
          <w:rFonts w:ascii="Times New Roman" w:eastAsia="Times New Roman" w:hAnsi="Times New Roman"/>
          <w:sz w:val="24"/>
          <w:szCs w:val="24"/>
          <w:shd w:val="clear" w:color="auto" w:fill="FFFFFF"/>
        </w:rPr>
        <w:t xml:space="preserve">lead to </w:t>
      </w:r>
      <w:r w:rsidR="00C11B3E" w:rsidRPr="00476DF1">
        <w:rPr>
          <w:rFonts w:ascii="Times New Roman" w:eastAsia="Times New Roman" w:hAnsi="Times New Roman"/>
          <w:sz w:val="24"/>
          <w:szCs w:val="24"/>
          <w:shd w:val="clear" w:color="auto" w:fill="FFFFFF"/>
        </w:rPr>
        <w:t xml:space="preserve">duplication. Therefore, </w:t>
      </w:r>
      <w:r w:rsidR="00056257" w:rsidRPr="00476DF1">
        <w:rPr>
          <w:rFonts w:ascii="Times New Roman" w:eastAsia="Times New Roman" w:hAnsi="Times New Roman"/>
          <w:sz w:val="24"/>
          <w:szCs w:val="24"/>
          <w:shd w:val="clear" w:color="auto" w:fill="FFFFFF"/>
        </w:rPr>
        <w:t>the firms must have some</w:t>
      </w:r>
      <w:r w:rsidR="00C11B3E" w:rsidRPr="00476DF1">
        <w:rPr>
          <w:rFonts w:ascii="Times New Roman" w:eastAsia="Times New Roman" w:hAnsi="Times New Roman"/>
          <w:sz w:val="24"/>
          <w:szCs w:val="24"/>
          <w:shd w:val="clear" w:color="auto" w:fill="FFFFFF"/>
        </w:rPr>
        <w:t xml:space="preserve"> difference</w:t>
      </w:r>
      <w:r w:rsidR="00056257" w:rsidRPr="00476DF1">
        <w:rPr>
          <w:rFonts w:ascii="Times New Roman" w:eastAsia="Times New Roman" w:hAnsi="Times New Roman"/>
          <w:sz w:val="24"/>
          <w:szCs w:val="24"/>
          <w:shd w:val="clear" w:color="auto" w:fill="FFFFFF"/>
        </w:rPr>
        <w:t>s in their</w:t>
      </w:r>
      <w:r w:rsidR="00C11B3E" w:rsidRPr="00476DF1">
        <w:rPr>
          <w:rFonts w:ascii="Times New Roman" w:eastAsia="Times New Roman" w:hAnsi="Times New Roman"/>
          <w:sz w:val="24"/>
          <w:szCs w:val="24"/>
          <w:shd w:val="clear" w:color="auto" w:fill="FFFFFF"/>
        </w:rPr>
        <w:t xml:space="preserve"> knowledge</w:t>
      </w:r>
      <w:r w:rsidR="00694B61" w:rsidRPr="00476DF1">
        <w:rPr>
          <w:rFonts w:ascii="Times New Roman" w:eastAsia="Times New Roman" w:hAnsi="Times New Roman"/>
          <w:sz w:val="24"/>
          <w:szCs w:val="24"/>
          <w:shd w:val="clear" w:color="auto" w:fill="FFFFFF"/>
        </w:rPr>
        <w:t>base</w:t>
      </w:r>
      <w:r w:rsidR="00056257" w:rsidRPr="00476DF1">
        <w:rPr>
          <w:rFonts w:ascii="Times New Roman" w:eastAsia="Times New Roman" w:hAnsi="Times New Roman"/>
          <w:sz w:val="24"/>
          <w:szCs w:val="24"/>
          <w:shd w:val="clear" w:color="auto" w:fill="FFFFFF"/>
        </w:rPr>
        <w:t>s</w:t>
      </w:r>
      <w:r w:rsidR="00694B61" w:rsidRPr="00476DF1">
        <w:rPr>
          <w:rFonts w:ascii="Times New Roman" w:eastAsia="Times New Roman" w:hAnsi="Times New Roman"/>
          <w:sz w:val="24"/>
          <w:szCs w:val="24"/>
          <w:shd w:val="clear" w:color="auto" w:fill="FFFFFF"/>
        </w:rPr>
        <w:t xml:space="preserve"> </w:t>
      </w:r>
      <w:r w:rsidR="00C11B3E" w:rsidRPr="00476DF1">
        <w:rPr>
          <w:rFonts w:ascii="Times New Roman" w:eastAsia="Times New Roman" w:hAnsi="Times New Roman"/>
          <w:sz w:val="24"/>
          <w:szCs w:val="24"/>
          <w:shd w:val="clear" w:color="auto" w:fill="FFFFFF"/>
        </w:rPr>
        <w:t>to provide opportunities for learning</w:t>
      </w:r>
      <w:r w:rsidR="00056257" w:rsidRPr="00476DF1">
        <w:rPr>
          <w:rFonts w:ascii="Times New Roman" w:eastAsia="Times New Roman" w:hAnsi="Times New Roman"/>
          <w:sz w:val="24"/>
          <w:szCs w:val="24"/>
          <w:shd w:val="clear" w:color="auto" w:fill="FFFFFF"/>
        </w:rPr>
        <w:t xml:space="preserve"> and</w:t>
      </w:r>
      <w:r w:rsidR="00C11B3E" w:rsidRPr="00476DF1">
        <w:rPr>
          <w:rFonts w:ascii="Times New Roman" w:eastAsia="Times New Roman" w:hAnsi="Times New Roman"/>
          <w:sz w:val="24"/>
          <w:szCs w:val="24"/>
          <w:shd w:val="clear" w:color="auto" w:fill="FFFFFF"/>
        </w:rPr>
        <w:t xml:space="preserve"> building and developing absorptive capacities (M</w:t>
      </w:r>
      <w:r w:rsidR="0068621C" w:rsidRPr="00476DF1">
        <w:rPr>
          <w:rFonts w:ascii="Times New Roman" w:eastAsia="Times New Roman" w:hAnsi="Times New Roman"/>
          <w:sz w:val="24"/>
          <w:szCs w:val="24"/>
          <w:shd w:val="clear" w:color="auto" w:fill="FFFFFF"/>
        </w:rPr>
        <w:t>AKRI</w:t>
      </w:r>
      <w:r w:rsidR="00C11B3E" w:rsidRPr="00476DF1">
        <w:rPr>
          <w:rFonts w:ascii="Times New Roman" w:eastAsia="Times New Roman" w:hAnsi="Times New Roman"/>
          <w:sz w:val="24"/>
          <w:szCs w:val="24"/>
          <w:shd w:val="clear" w:color="auto" w:fill="FFFFFF"/>
        </w:rPr>
        <w:t xml:space="preserve"> </w:t>
      </w:r>
      <w:r w:rsidR="00C11B3E" w:rsidRPr="00476DF1">
        <w:rPr>
          <w:rFonts w:ascii="Times New Roman" w:eastAsia="Times New Roman" w:hAnsi="Times New Roman"/>
          <w:i/>
          <w:sz w:val="24"/>
          <w:szCs w:val="24"/>
          <w:shd w:val="clear" w:color="auto" w:fill="FFFFFF"/>
        </w:rPr>
        <w:t>et al</w:t>
      </w:r>
      <w:r w:rsidR="0068621C" w:rsidRPr="00476DF1">
        <w:rPr>
          <w:rFonts w:ascii="Times New Roman" w:eastAsia="Times New Roman" w:hAnsi="Times New Roman"/>
          <w:sz w:val="24"/>
          <w:szCs w:val="24"/>
          <w:shd w:val="clear" w:color="auto" w:fill="FFFFFF"/>
        </w:rPr>
        <w:t>.</w:t>
      </w:r>
      <w:r w:rsidR="00C11B3E" w:rsidRPr="00476DF1">
        <w:rPr>
          <w:rFonts w:ascii="Times New Roman" w:eastAsia="Times New Roman" w:hAnsi="Times New Roman"/>
          <w:sz w:val="24"/>
          <w:szCs w:val="24"/>
          <w:shd w:val="clear" w:color="auto" w:fill="FFFFFF"/>
        </w:rPr>
        <w:t xml:space="preserve">, 2010). On the other hand, when companies are extremely different from </w:t>
      </w:r>
      <w:r w:rsidR="00C11B3E" w:rsidRPr="00476DF1">
        <w:rPr>
          <w:rFonts w:ascii="Times New Roman" w:eastAsia="Times New Roman" w:hAnsi="Times New Roman"/>
          <w:sz w:val="24"/>
          <w:szCs w:val="24"/>
          <w:shd w:val="clear" w:color="auto" w:fill="FFFFFF"/>
        </w:rPr>
        <w:lastRenderedPageBreak/>
        <w:t>each other</w:t>
      </w:r>
      <w:r w:rsidR="0070359E" w:rsidRPr="00476DF1">
        <w:rPr>
          <w:rFonts w:ascii="Times New Roman" w:eastAsia="Times New Roman" w:hAnsi="Times New Roman"/>
          <w:sz w:val="24"/>
          <w:szCs w:val="24"/>
          <w:shd w:val="clear" w:color="auto" w:fill="FFFFFF"/>
        </w:rPr>
        <w:t xml:space="preserve"> in terms of</w:t>
      </w:r>
      <w:r w:rsidR="00C11B3E" w:rsidRPr="00476DF1">
        <w:rPr>
          <w:rFonts w:ascii="Times New Roman" w:eastAsia="Times New Roman" w:hAnsi="Times New Roman"/>
          <w:sz w:val="24"/>
          <w:szCs w:val="24"/>
          <w:shd w:val="clear" w:color="auto" w:fill="FFFFFF"/>
        </w:rPr>
        <w:t xml:space="preserve"> technical knowledge, the M&amp;A </w:t>
      </w:r>
      <w:r w:rsidR="0070359E" w:rsidRPr="00476DF1">
        <w:rPr>
          <w:rFonts w:ascii="Times New Roman" w:eastAsia="Times New Roman" w:hAnsi="Times New Roman"/>
          <w:sz w:val="24"/>
          <w:szCs w:val="24"/>
          <w:shd w:val="clear" w:color="auto" w:fill="FFFFFF"/>
        </w:rPr>
        <w:t xml:space="preserve">process </w:t>
      </w:r>
      <w:r w:rsidR="00C11B3E" w:rsidRPr="00476DF1">
        <w:rPr>
          <w:rFonts w:ascii="Times New Roman" w:eastAsia="Times New Roman" w:hAnsi="Times New Roman"/>
          <w:sz w:val="24"/>
          <w:szCs w:val="24"/>
          <w:shd w:val="clear" w:color="auto" w:fill="FFFFFF"/>
        </w:rPr>
        <w:t xml:space="preserve">becomes highly complex and </w:t>
      </w:r>
      <w:r w:rsidR="0070359E" w:rsidRPr="00476DF1">
        <w:rPr>
          <w:rFonts w:ascii="Times New Roman" w:eastAsia="Times New Roman" w:hAnsi="Times New Roman"/>
          <w:sz w:val="24"/>
          <w:szCs w:val="24"/>
          <w:shd w:val="clear" w:color="auto" w:fill="FFFFFF"/>
        </w:rPr>
        <w:t>incorporating one</w:t>
      </w:r>
      <w:r w:rsidR="00C11B3E" w:rsidRPr="00476DF1">
        <w:rPr>
          <w:rFonts w:ascii="Times New Roman" w:eastAsia="Times New Roman" w:hAnsi="Times New Roman"/>
          <w:sz w:val="24"/>
          <w:szCs w:val="24"/>
          <w:shd w:val="clear" w:color="auto" w:fill="FFFFFF"/>
        </w:rPr>
        <w:t xml:space="preserve"> company into another cannot generate any effect on the innovation rate. </w:t>
      </w:r>
      <w:r w:rsidR="0069761C" w:rsidRPr="00476DF1">
        <w:rPr>
          <w:rFonts w:ascii="Times New Roman" w:eastAsia="Times New Roman" w:hAnsi="Times New Roman"/>
          <w:sz w:val="24"/>
          <w:szCs w:val="24"/>
          <w:shd w:val="clear" w:color="auto" w:fill="FFFFFF"/>
        </w:rPr>
        <w:t>In other words, the acquisition targets must have a difference between their knowledgebase</w:t>
      </w:r>
      <w:r w:rsidR="0070359E" w:rsidRPr="00476DF1">
        <w:rPr>
          <w:rFonts w:ascii="Times New Roman" w:eastAsia="Times New Roman" w:hAnsi="Times New Roman"/>
          <w:sz w:val="24"/>
          <w:szCs w:val="24"/>
          <w:shd w:val="clear" w:color="auto" w:fill="FFFFFF"/>
        </w:rPr>
        <w:t>s that provide</w:t>
      </w:r>
      <w:r w:rsidR="00E1158B" w:rsidRPr="00476DF1">
        <w:rPr>
          <w:rFonts w:ascii="Times New Roman" w:eastAsia="Times New Roman" w:hAnsi="Times New Roman"/>
          <w:sz w:val="24"/>
          <w:szCs w:val="24"/>
          <w:shd w:val="clear" w:color="auto" w:fill="FFFFFF"/>
        </w:rPr>
        <w:t xml:space="preserve"> </w:t>
      </w:r>
      <w:r w:rsidR="0069761C" w:rsidRPr="00476DF1">
        <w:rPr>
          <w:rFonts w:ascii="Times New Roman" w:eastAsia="Times New Roman" w:hAnsi="Times New Roman"/>
          <w:sz w:val="24"/>
          <w:szCs w:val="24"/>
          <w:shd w:val="clear" w:color="auto" w:fill="FFFFFF"/>
        </w:rPr>
        <w:t>learning opportunities</w:t>
      </w:r>
      <w:r w:rsidR="0070359E" w:rsidRPr="00476DF1">
        <w:rPr>
          <w:rFonts w:ascii="Times New Roman" w:eastAsia="Times New Roman" w:hAnsi="Times New Roman"/>
          <w:sz w:val="24"/>
          <w:szCs w:val="24"/>
          <w:shd w:val="clear" w:color="auto" w:fill="FFFFFF"/>
        </w:rPr>
        <w:t xml:space="preserve"> that the acquirer can translate</w:t>
      </w:r>
      <w:r w:rsidR="0069761C" w:rsidRPr="00476DF1">
        <w:rPr>
          <w:rFonts w:ascii="Times New Roman" w:eastAsia="Times New Roman" w:hAnsi="Times New Roman"/>
          <w:sz w:val="24"/>
          <w:szCs w:val="24"/>
          <w:shd w:val="clear" w:color="auto" w:fill="FFFFFF"/>
        </w:rPr>
        <w:t xml:space="preserve"> into new products and may even generate new technological trajectories (</w:t>
      </w:r>
      <w:r w:rsidR="00396DE3" w:rsidRPr="00476DF1">
        <w:rPr>
          <w:rFonts w:ascii="Times New Roman" w:eastAsia="Times New Roman" w:hAnsi="Times New Roman"/>
          <w:sz w:val="24"/>
          <w:szCs w:val="24"/>
          <w:shd w:val="clear" w:color="auto" w:fill="FFFFFF"/>
        </w:rPr>
        <w:t>ClOODT</w:t>
      </w:r>
      <w:r w:rsidR="003030E5" w:rsidRPr="00476DF1">
        <w:rPr>
          <w:rFonts w:ascii="Times New Roman" w:eastAsia="Times New Roman" w:hAnsi="Times New Roman"/>
          <w:sz w:val="24"/>
          <w:szCs w:val="24"/>
          <w:shd w:val="clear" w:color="auto" w:fill="FFFFFF"/>
        </w:rPr>
        <w:t>;</w:t>
      </w:r>
      <w:r w:rsidR="00396DE3" w:rsidRPr="00476DF1">
        <w:rPr>
          <w:rFonts w:ascii="Times New Roman" w:eastAsia="Times New Roman" w:hAnsi="Times New Roman"/>
          <w:sz w:val="24"/>
          <w:szCs w:val="24"/>
          <w:shd w:val="clear" w:color="auto" w:fill="FFFFFF"/>
        </w:rPr>
        <w:t xml:space="preserve"> HAGEDOORN, 2006; </w:t>
      </w:r>
      <w:r w:rsidR="0069761C" w:rsidRPr="00476DF1">
        <w:rPr>
          <w:rFonts w:ascii="Times New Roman" w:eastAsia="Times New Roman" w:hAnsi="Times New Roman"/>
          <w:sz w:val="24"/>
          <w:szCs w:val="24"/>
          <w:shd w:val="clear" w:color="auto" w:fill="FFFFFF"/>
        </w:rPr>
        <w:t>M</w:t>
      </w:r>
      <w:r w:rsidR="00396DE3" w:rsidRPr="00476DF1">
        <w:rPr>
          <w:rFonts w:ascii="Times New Roman" w:eastAsia="Times New Roman" w:hAnsi="Times New Roman"/>
          <w:sz w:val="24"/>
          <w:szCs w:val="24"/>
          <w:shd w:val="clear" w:color="auto" w:fill="FFFFFF"/>
        </w:rPr>
        <w:t xml:space="preserve">AKRI </w:t>
      </w:r>
      <w:r w:rsidR="0069761C" w:rsidRPr="00476DF1">
        <w:rPr>
          <w:rFonts w:ascii="Times New Roman" w:eastAsia="Times New Roman" w:hAnsi="Times New Roman"/>
          <w:i/>
          <w:sz w:val="24"/>
          <w:szCs w:val="24"/>
          <w:shd w:val="clear" w:color="auto" w:fill="FFFFFF"/>
        </w:rPr>
        <w:t>et al.</w:t>
      </w:r>
      <w:r w:rsidR="0069761C" w:rsidRPr="00476DF1">
        <w:rPr>
          <w:rFonts w:ascii="Times New Roman" w:eastAsia="Times New Roman" w:hAnsi="Times New Roman"/>
          <w:sz w:val="24"/>
          <w:szCs w:val="24"/>
          <w:shd w:val="clear" w:color="auto" w:fill="FFFFFF"/>
        </w:rPr>
        <w:t xml:space="preserve">, 2010). </w:t>
      </w:r>
      <w:r w:rsidR="0070359E" w:rsidRPr="00476DF1">
        <w:rPr>
          <w:rFonts w:ascii="Times New Roman" w:eastAsia="Times New Roman" w:hAnsi="Times New Roman"/>
          <w:sz w:val="24"/>
          <w:szCs w:val="24"/>
          <w:shd w:val="clear" w:color="auto" w:fill="FFFFFF"/>
        </w:rPr>
        <w:t>In</w:t>
      </w:r>
      <w:r w:rsidR="0069761C" w:rsidRPr="00476DF1">
        <w:rPr>
          <w:rFonts w:ascii="Times New Roman" w:eastAsia="Times New Roman" w:hAnsi="Times New Roman"/>
          <w:sz w:val="24"/>
          <w:szCs w:val="24"/>
          <w:shd w:val="clear" w:color="auto" w:fill="FFFFFF"/>
        </w:rPr>
        <w:t xml:space="preserve"> conclusion, in</w:t>
      </w:r>
      <w:r w:rsidR="00396DE3" w:rsidRPr="00476DF1">
        <w:rPr>
          <w:rFonts w:ascii="Times New Roman" w:eastAsia="Times New Roman" w:hAnsi="Times New Roman"/>
          <w:sz w:val="24"/>
          <w:szCs w:val="24"/>
          <w:shd w:val="clear" w:color="auto" w:fill="FFFFFF"/>
        </w:rPr>
        <w:t xml:space="preserve"> an</w:t>
      </w:r>
      <w:r w:rsidR="0069761C" w:rsidRPr="00476DF1">
        <w:rPr>
          <w:rFonts w:ascii="Times New Roman" w:eastAsia="Times New Roman" w:hAnsi="Times New Roman"/>
          <w:sz w:val="24"/>
          <w:szCs w:val="24"/>
          <w:shd w:val="clear" w:color="auto" w:fill="FFFFFF"/>
        </w:rPr>
        <w:t xml:space="preserve"> M&amp;A, the relatedness of </w:t>
      </w:r>
      <w:r w:rsidR="0070359E" w:rsidRPr="00476DF1">
        <w:rPr>
          <w:rFonts w:ascii="Times New Roman" w:eastAsia="Times New Roman" w:hAnsi="Times New Roman"/>
          <w:sz w:val="24"/>
          <w:szCs w:val="24"/>
          <w:shd w:val="clear" w:color="auto" w:fill="FFFFFF"/>
        </w:rPr>
        <w:t xml:space="preserve">the </w:t>
      </w:r>
      <w:r w:rsidR="0069761C" w:rsidRPr="00476DF1">
        <w:rPr>
          <w:rFonts w:ascii="Times New Roman" w:eastAsia="Times New Roman" w:hAnsi="Times New Roman"/>
          <w:sz w:val="24"/>
          <w:szCs w:val="24"/>
          <w:shd w:val="clear" w:color="auto" w:fill="FFFFFF"/>
        </w:rPr>
        <w:t>enterprises</w:t>
      </w:r>
      <w:r w:rsidR="0070359E" w:rsidRPr="00476DF1">
        <w:rPr>
          <w:rFonts w:ascii="Times New Roman" w:eastAsia="Times New Roman" w:hAnsi="Times New Roman"/>
          <w:sz w:val="24"/>
          <w:szCs w:val="24"/>
          <w:shd w:val="clear" w:color="auto" w:fill="FFFFFF"/>
        </w:rPr>
        <w:t>’</w:t>
      </w:r>
      <w:r w:rsidR="0069761C" w:rsidRPr="00476DF1">
        <w:rPr>
          <w:rFonts w:ascii="Times New Roman" w:eastAsia="Times New Roman" w:hAnsi="Times New Roman"/>
          <w:sz w:val="24"/>
          <w:szCs w:val="24"/>
          <w:shd w:val="clear" w:color="auto" w:fill="FFFFFF"/>
        </w:rPr>
        <w:t xml:space="preserve"> knowledgebase</w:t>
      </w:r>
      <w:r w:rsidR="0070359E" w:rsidRPr="00476DF1">
        <w:rPr>
          <w:rFonts w:ascii="Times New Roman" w:eastAsia="Times New Roman" w:hAnsi="Times New Roman"/>
          <w:sz w:val="24"/>
          <w:szCs w:val="24"/>
          <w:shd w:val="clear" w:color="auto" w:fill="FFFFFF"/>
        </w:rPr>
        <w:t>s</w:t>
      </w:r>
      <w:r w:rsidR="0069761C" w:rsidRPr="00476DF1">
        <w:rPr>
          <w:rFonts w:ascii="Times New Roman" w:eastAsia="Times New Roman" w:hAnsi="Times New Roman"/>
          <w:sz w:val="24"/>
          <w:szCs w:val="24"/>
          <w:shd w:val="clear" w:color="auto" w:fill="FFFFFF"/>
        </w:rPr>
        <w:t xml:space="preserve"> and the innovative output </w:t>
      </w:r>
      <w:r w:rsidR="0070359E" w:rsidRPr="00476DF1">
        <w:rPr>
          <w:rFonts w:ascii="Times New Roman" w:eastAsia="Times New Roman" w:hAnsi="Times New Roman"/>
          <w:sz w:val="24"/>
          <w:szCs w:val="24"/>
          <w:shd w:val="clear" w:color="auto" w:fill="FFFFFF"/>
        </w:rPr>
        <w:t xml:space="preserve">have </w:t>
      </w:r>
      <w:r w:rsidR="0069761C" w:rsidRPr="00476DF1">
        <w:rPr>
          <w:rFonts w:ascii="Times New Roman" w:eastAsia="Times New Roman" w:hAnsi="Times New Roman"/>
          <w:sz w:val="24"/>
          <w:szCs w:val="24"/>
          <w:shd w:val="clear" w:color="auto" w:fill="FFFFFF"/>
        </w:rPr>
        <w:t xml:space="preserve">an inverted U-shaped </w:t>
      </w:r>
      <w:r w:rsidR="0070359E" w:rsidRPr="00476DF1">
        <w:rPr>
          <w:rFonts w:ascii="Times New Roman" w:eastAsia="Times New Roman" w:hAnsi="Times New Roman"/>
          <w:sz w:val="24"/>
          <w:szCs w:val="24"/>
          <w:shd w:val="clear" w:color="auto" w:fill="FFFFFF"/>
        </w:rPr>
        <w:t xml:space="preserve">relationship </w:t>
      </w:r>
      <w:r w:rsidRPr="00476DF1">
        <w:rPr>
          <w:rFonts w:ascii="Times New Roman" w:eastAsia="Times New Roman" w:hAnsi="Times New Roman"/>
          <w:sz w:val="24"/>
          <w:szCs w:val="24"/>
          <w:shd w:val="clear" w:color="auto" w:fill="FFFFFF"/>
        </w:rPr>
        <w:fldChar w:fldCharType="begin" w:fldLock="1"/>
      </w:r>
      <w:r w:rsidRPr="00476DF1">
        <w:rPr>
          <w:rFonts w:ascii="Times New Roman" w:eastAsia="Times New Roman" w:hAnsi="Times New Roman"/>
          <w:sz w:val="24"/>
          <w:szCs w:val="24"/>
          <w:shd w:val="clear" w:color="auto" w:fill="FFFFFF"/>
        </w:rPr>
        <w:instrText>ADDIN CSL_CITATION { "citationItems" : [ { "id" : "ITEM-1", "itemData" : { "DOI" : "10.1002/smj.157", "ISBN" : "0143-2095", "ISSN" : "1097-0266", "PMID" : "4446656", "abstract" : "This paper examines the impact of acquisitions on the subsequent innovation performance of acquiring firms in the chemicals industry. We distinguish between technological acquisitions, acquisitions in which technology is a component of the acquiredfirm's assets, and nontechnologi- cal acquisitions: acquisitions that do not involve a technological component. We develop a framework relating acquisitions to jirm innovation performance and develop a set of measures for quantihing the technological inputs ajirm obtains through acquisitions. WeJind that within technological acquisitions absolute size of the acquired knowledge base enhances innovation performance, while relative size of the acquired knowledge base reduces innovation output. The relatedness of acquired and acquiring knowledge bases has a nonlinear impact on innovation output. Nontechnological acquisitions do not have a signijcant effect on subsequent innovation output.", "author" : [ { "dropping-particle" : "", "family" : "Ahuja", "given" : "Gautam", "non-dropping-particle" : "", "parse-names" : false, "suffix" : "" }, { "dropping-particle" : "", "family" : "Katila", "given" : "Riitta", "non-dropping-particle" : "", "parse-names" : false, "suffix" : "" } ], "container-title" : "Strategic Management Journal", "id" : "ITEM-1", "issue" : "3", "issued" : { "date-parts" : [ [ "2001" ] ] }, "page" : "197-220", "title" : "Technological Acquisition and the Innovation Performance of Acquiring Firms: A Longitudinal Study", "type" : "article-journal", "volume" : "22" }, "uris" : [ "http://www.mendeley.com/documents/?uuid=9b0d52ab-dc60-40b9-b237-2383d62b12a3" ] } ], "mendeley" : { "formattedCitation" : "(AHUJA; KATILA, 2001)", "plainTextFormattedCitation" : "(AHUJA; KATILA, 2001)", "previouslyFormattedCitation" : "(AHUJA; KATILA, 2001)" }, "properties" : {  }, "schema" : "https://github.com/citation-style-language/schema/raw/master/csl-citation.json" }</w:instrText>
      </w:r>
      <w:r w:rsidRPr="00476DF1">
        <w:rPr>
          <w:rFonts w:ascii="Times New Roman" w:eastAsia="Times New Roman" w:hAnsi="Times New Roman"/>
          <w:sz w:val="24"/>
          <w:szCs w:val="24"/>
          <w:shd w:val="clear" w:color="auto" w:fill="FFFFFF"/>
        </w:rPr>
        <w:fldChar w:fldCharType="separate"/>
      </w:r>
      <w:r w:rsidRPr="00476DF1">
        <w:rPr>
          <w:rFonts w:ascii="Times New Roman" w:eastAsia="Times New Roman" w:hAnsi="Times New Roman"/>
          <w:noProof/>
          <w:sz w:val="24"/>
          <w:szCs w:val="24"/>
          <w:shd w:val="clear" w:color="auto" w:fill="FFFFFF"/>
        </w:rPr>
        <w:t>(AHUJA; KATILA, 2001)</w:t>
      </w:r>
      <w:r w:rsidRPr="00476DF1">
        <w:rPr>
          <w:rFonts w:ascii="Times New Roman" w:eastAsia="Times New Roman" w:hAnsi="Times New Roman"/>
          <w:sz w:val="24"/>
          <w:szCs w:val="24"/>
          <w:shd w:val="clear" w:color="auto" w:fill="FFFFFF"/>
        </w:rPr>
        <w:fldChar w:fldCharType="end"/>
      </w:r>
      <w:r w:rsidR="00F33633" w:rsidRPr="00476DF1">
        <w:rPr>
          <w:rFonts w:ascii="Times New Roman" w:eastAsia="Times New Roman" w:hAnsi="Times New Roman"/>
          <w:sz w:val="24"/>
          <w:szCs w:val="24"/>
          <w:shd w:val="clear" w:color="auto" w:fill="FFFFFF"/>
        </w:rPr>
        <w:t>.</w:t>
      </w:r>
      <w:r w:rsidR="0069761C" w:rsidRPr="00476DF1">
        <w:rPr>
          <w:rFonts w:ascii="Times New Roman" w:eastAsia="Times New Roman" w:hAnsi="Times New Roman"/>
          <w:sz w:val="24"/>
          <w:szCs w:val="24"/>
          <w:shd w:val="clear" w:color="auto" w:fill="FFFFFF"/>
        </w:rPr>
        <w:t xml:space="preserve"> </w:t>
      </w:r>
    </w:p>
    <w:p w14:paraId="0D23EE0F" w14:textId="301AB074" w:rsidR="0069761C" w:rsidRPr="00476DF1" w:rsidRDefault="0069761C" w:rsidP="00CE4BBE">
      <w:pPr>
        <w:spacing w:after="0" w:line="240" w:lineRule="auto"/>
        <w:ind w:firstLine="720"/>
        <w:jc w:val="both"/>
        <w:rPr>
          <w:rFonts w:ascii="Times New Roman" w:eastAsia="Times New Roman" w:hAnsi="Times New Roman"/>
          <w:sz w:val="24"/>
          <w:szCs w:val="24"/>
          <w:shd w:val="clear" w:color="auto" w:fill="FFFFFF"/>
        </w:rPr>
      </w:pPr>
      <w:r w:rsidRPr="00476DF1">
        <w:rPr>
          <w:rFonts w:ascii="Times New Roman" w:eastAsia="Times New Roman" w:hAnsi="Times New Roman"/>
          <w:sz w:val="24"/>
          <w:szCs w:val="24"/>
          <w:shd w:val="clear" w:color="auto" w:fill="FFFFFF"/>
        </w:rPr>
        <w:t xml:space="preserve">All </w:t>
      </w:r>
      <w:r w:rsidR="00D62DD2" w:rsidRPr="00476DF1">
        <w:rPr>
          <w:rFonts w:ascii="Times New Roman" w:eastAsia="Times New Roman" w:hAnsi="Times New Roman"/>
          <w:sz w:val="24"/>
          <w:szCs w:val="24"/>
          <w:shd w:val="clear" w:color="auto" w:fill="FFFFFF"/>
        </w:rPr>
        <w:t xml:space="preserve">of </w:t>
      </w:r>
      <w:r w:rsidRPr="00476DF1">
        <w:rPr>
          <w:rFonts w:ascii="Times New Roman" w:eastAsia="Times New Roman" w:hAnsi="Times New Roman"/>
          <w:sz w:val="24"/>
          <w:szCs w:val="24"/>
          <w:shd w:val="clear" w:color="auto" w:fill="FFFFFF"/>
        </w:rPr>
        <w:t xml:space="preserve">those studies </w:t>
      </w:r>
      <w:r w:rsidR="00D62DD2" w:rsidRPr="00476DF1">
        <w:rPr>
          <w:rFonts w:ascii="Times New Roman" w:eastAsia="Times New Roman" w:hAnsi="Times New Roman"/>
          <w:sz w:val="24"/>
          <w:szCs w:val="24"/>
          <w:shd w:val="clear" w:color="auto" w:fill="FFFFFF"/>
        </w:rPr>
        <w:t xml:space="preserve">show </w:t>
      </w:r>
      <w:r w:rsidRPr="00476DF1">
        <w:rPr>
          <w:rFonts w:ascii="Times New Roman" w:eastAsia="Times New Roman" w:hAnsi="Times New Roman"/>
          <w:sz w:val="24"/>
          <w:szCs w:val="24"/>
          <w:shd w:val="clear" w:color="auto" w:fill="FFFFFF"/>
        </w:rPr>
        <w:t xml:space="preserve">that a certain amount of technological relatedness can generate opportunities for learning in areas </w:t>
      </w:r>
      <w:r w:rsidR="00F60854" w:rsidRPr="00476DF1">
        <w:rPr>
          <w:rFonts w:ascii="Times New Roman" w:eastAsia="Times New Roman" w:hAnsi="Times New Roman"/>
          <w:sz w:val="24"/>
          <w:szCs w:val="24"/>
          <w:shd w:val="clear" w:color="auto" w:fill="FFFFFF"/>
        </w:rPr>
        <w:t xml:space="preserve">in which </w:t>
      </w:r>
      <w:r w:rsidRPr="00476DF1">
        <w:rPr>
          <w:rFonts w:ascii="Times New Roman" w:eastAsia="Times New Roman" w:hAnsi="Times New Roman"/>
          <w:sz w:val="24"/>
          <w:szCs w:val="24"/>
          <w:shd w:val="clear" w:color="auto" w:fill="FFFFFF"/>
        </w:rPr>
        <w:t xml:space="preserve">science plays a significant role in sustaining the innovation process. </w:t>
      </w:r>
      <w:r w:rsidR="00F60854" w:rsidRPr="00476DF1">
        <w:rPr>
          <w:rFonts w:ascii="Times New Roman" w:eastAsia="Times New Roman" w:hAnsi="Times New Roman"/>
          <w:sz w:val="24"/>
          <w:szCs w:val="24"/>
          <w:shd w:val="clear" w:color="auto" w:fill="FFFFFF"/>
        </w:rPr>
        <w:t>Acquiring firms will expand the</w:t>
      </w:r>
      <w:r w:rsidR="008A34CB" w:rsidRPr="00476DF1">
        <w:rPr>
          <w:rFonts w:ascii="Times New Roman" w:eastAsia="Times New Roman" w:hAnsi="Times New Roman"/>
          <w:sz w:val="24"/>
          <w:szCs w:val="24"/>
          <w:shd w:val="clear" w:color="auto" w:fill="FFFFFF"/>
        </w:rPr>
        <w:t xml:space="preserve">ir </w:t>
      </w:r>
      <w:r w:rsidRPr="00476DF1">
        <w:rPr>
          <w:rFonts w:ascii="Times New Roman" w:eastAsia="Times New Roman" w:hAnsi="Times New Roman"/>
          <w:sz w:val="24"/>
          <w:szCs w:val="24"/>
          <w:shd w:val="clear" w:color="auto" w:fill="FFFFFF"/>
        </w:rPr>
        <w:t>knowledge</w:t>
      </w:r>
      <w:r w:rsidR="0014444B" w:rsidRPr="00476DF1">
        <w:rPr>
          <w:rFonts w:ascii="Times New Roman" w:eastAsia="Times New Roman" w:hAnsi="Times New Roman"/>
          <w:sz w:val="24"/>
          <w:szCs w:val="24"/>
          <w:shd w:val="clear" w:color="auto" w:fill="FFFFFF"/>
        </w:rPr>
        <w:t xml:space="preserve"> </w:t>
      </w:r>
      <w:r w:rsidRPr="00476DF1">
        <w:rPr>
          <w:rFonts w:ascii="Times New Roman" w:eastAsia="Times New Roman" w:hAnsi="Times New Roman"/>
          <w:sz w:val="24"/>
          <w:szCs w:val="24"/>
          <w:shd w:val="clear" w:color="auto" w:fill="FFFFFF"/>
        </w:rPr>
        <w:t>base</w:t>
      </w:r>
      <w:r w:rsidR="00F60854" w:rsidRPr="00476DF1">
        <w:rPr>
          <w:rFonts w:ascii="Times New Roman" w:eastAsia="Times New Roman" w:hAnsi="Times New Roman"/>
          <w:sz w:val="24"/>
          <w:szCs w:val="24"/>
          <w:shd w:val="clear" w:color="auto" w:fill="FFFFFF"/>
        </w:rPr>
        <w:t xml:space="preserve"> </w:t>
      </w:r>
      <w:r w:rsidRPr="00476DF1">
        <w:rPr>
          <w:rFonts w:ascii="Times New Roman" w:eastAsia="Times New Roman" w:hAnsi="Times New Roman"/>
          <w:sz w:val="24"/>
          <w:szCs w:val="24"/>
          <w:shd w:val="clear" w:color="auto" w:fill="FFFFFF"/>
        </w:rPr>
        <w:t>(</w:t>
      </w:r>
      <w:r w:rsidR="00682171" w:rsidRPr="00476DF1">
        <w:rPr>
          <w:rFonts w:ascii="Times New Roman" w:eastAsia="Times New Roman" w:hAnsi="Times New Roman"/>
          <w:sz w:val="24"/>
          <w:szCs w:val="24"/>
          <w:shd w:val="clear" w:color="auto" w:fill="FFFFFF"/>
        </w:rPr>
        <w:t>CLOODT AND HAGEDORN, 2006</w:t>
      </w:r>
      <w:r w:rsidRPr="00476DF1">
        <w:rPr>
          <w:rFonts w:ascii="Times New Roman" w:eastAsia="Times New Roman" w:hAnsi="Times New Roman"/>
          <w:sz w:val="24"/>
          <w:szCs w:val="24"/>
          <w:shd w:val="clear" w:color="auto" w:fill="FFFFFF"/>
        </w:rPr>
        <w:t xml:space="preserve">), and </w:t>
      </w:r>
      <w:r w:rsidR="00F60854" w:rsidRPr="00476DF1">
        <w:rPr>
          <w:rFonts w:ascii="Times New Roman" w:eastAsia="Times New Roman" w:hAnsi="Times New Roman"/>
          <w:sz w:val="24"/>
          <w:szCs w:val="24"/>
          <w:shd w:val="clear" w:color="auto" w:fill="FFFFFF"/>
        </w:rPr>
        <w:t>by doing so,</w:t>
      </w:r>
      <w:r w:rsidRPr="00476DF1">
        <w:rPr>
          <w:rFonts w:ascii="Times New Roman" w:eastAsia="Times New Roman" w:hAnsi="Times New Roman"/>
          <w:sz w:val="24"/>
          <w:szCs w:val="24"/>
          <w:shd w:val="clear" w:color="auto" w:fill="FFFFFF"/>
        </w:rPr>
        <w:t xml:space="preserve"> companies create new routes </w:t>
      </w:r>
      <w:r w:rsidR="00F60854" w:rsidRPr="00476DF1">
        <w:rPr>
          <w:rFonts w:ascii="Times New Roman" w:eastAsia="Times New Roman" w:hAnsi="Times New Roman"/>
          <w:sz w:val="24"/>
          <w:szCs w:val="24"/>
          <w:shd w:val="clear" w:color="auto" w:fill="FFFFFF"/>
        </w:rPr>
        <w:t xml:space="preserve">to conduct </w:t>
      </w:r>
      <w:r w:rsidRPr="00476DF1">
        <w:rPr>
          <w:rFonts w:ascii="Times New Roman" w:eastAsia="Times New Roman" w:hAnsi="Times New Roman"/>
          <w:sz w:val="24"/>
          <w:szCs w:val="24"/>
          <w:shd w:val="clear" w:color="auto" w:fill="FFFFFF"/>
        </w:rPr>
        <w:t>research (</w:t>
      </w:r>
      <w:r w:rsidR="00682171" w:rsidRPr="00476DF1">
        <w:rPr>
          <w:rFonts w:ascii="Times New Roman" w:eastAsia="Times New Roman" w:hAnsi="Times New Roman"/>
          <w:sz w:val="24"/>
          <w:szCs w:val="24"/>
          <w:shd w:val="clear" w:color="auto" w:fill="FFFFFF"/>
        </w:rPr>
        <w:t>MAKRI</w:t>
      </w:r>
      <w:r w:rsidRPr="00476DF1">
        <w:rPr>
          <w:rFonts w:ascii="Times New Roman" w:eastAsia="Times New Roman" w:hAnsi="Times New Roman"/>
          <w:sz w:val="24"/>
          <w:szCs w:val="24"/>
          <w:shd w:val="clear" w:color="auto" w:fill="FFFFFF"/>
        </w:rPr>
        <w:t xml:space="preserve"> </w:t>
      </w:r>
      <w:r w:rsidRPr="00476DF1">
        <w:rPr>
          <w:rFonts w:ascii="Times New Roman" w:eastAsia="Times New Roman" w:hAnsi="Times New Roman"/>
          <w:i/>
          <w:sz w:val="24"/>
          <w:szCs w:val="24"/>
          <w:shd w:val="clear" w:color="auto" w:fill="FFFFFF"/>
        </w:rPr>
        <w:t>et al</w:t>
      </w:r>
      <w:r w:rsidR="00682171" w:rsidRPr="00476DF1">
        <w:rPr>
          <w:rFonts w:ascii="Times New Roman" w:eastAsia="Times New Roman" w:hAnsi="Times New Roman"/>
          <w:sz w:val="24"/>
          <w:szCs w:val="24"/>
          <w:shd w:val="clear" w:color="auto" w:fill="FFFFFF"/>
        </w:rPr>
        <w:t>.,</w:t>
      </w:r>
      <w:r w:rsidRPr="00476DF1">
        <w:rPr>
          <w:rFonts w:ascii="Times New Roman" w:eastAsia="Times New Roman" w:hAnsi="Times New Roman"/>
          <w:sz w:val="24"/>
          <w:szCs w:val="24"/>
          <w:shd w:val="clear" w:color="auto" w:fill="FFFFFF"/>
        </w:rPr>
        <w:t xml:space="preserve"> 2010). In addition, multinational corporations increase their technological outputs by acquiring small enterprises with complementary capabilities (</w:t>
      </w:r>
      <w:r w:rsidR="00E1158B" w:rsidRPr="00476DF1">
        <w:rPr>
          <w:rFonts w:ascii="Times New Roman" w:eastAsia="Times New Roman" w:hAnsi="Times New Roman"/>
          <w:sz w:val="24"/>
          <w:szCs w:val="24"/>
          <w:shd w:val="clear" w:color="auto" w:fill="FFFFFF"/>
        </w:rPr>
        <w:t>ANDERSEN AND XIAO</w:t>
      </w:r>
      <w:r w:rsidRPr="00476DF1">
        <w:rPr>
          <w:rFonts w:ascii="Times New Roman" w:eastAsia="Times New Roman" w:hAnsi="Times New Roman"/>
          <w:sz w:val="24"/>
          <w:szCs w:val="24"/>
          <w:shd w:val="clear" w:color="auto" w:fill="FFFFFF"/>
        </w:rPr>
        <w:t>, 201</w:t>
      </w:r>
      <w:r w:rsidR="004E0F42" w:rsidRPr="00476DF1">
        <w:rPr>
          <w:rFonts w:ascii="Times New Roman" w:eastAsia="Times New Roman" w:hAnsi="Times New Roman"/>
          <w:sz w:val="24"/>
          <w:szCs w:val="24"/>
          <w:shd w:val="clear" w:color="auto" w:fill="FFFFFF"/>
        </w:rPr>
        <w:t>6</w:t>
      </w:r>
      <w:r w:rsidRPr="00476DF1">
        <w:rPr>
          <w:rFonts w:ascii="Times New Roman" w:eastAsia="Times New Roman" w:hAnsi="Times New Roman"/>
          <w:sz w:val="24"/>
          <w:szCs w:val="24"/>
          <w:shd w:val="clear" w:color="auto" w:fill="FFFFFF"/>
        </w:rPr>
        <w:t xml:space="preserve">). </w:t>
      </w:r>
    </w:p>
    <w:p w14:paraId="367076B6" w14:textId="587C56FB" w:rsidR="00A812B6" w:rsidRPr="00476DF1" w:rsidRDefault="00FA2AC3" w:rsidP="00CE4BBE">
      <w:pPr>
        <w:spacing w:after="0" w:line="240" w:lineRule="auto"/>
        <w:ind w:firstLine="720"/>
        <w:jc w:val="both"/>
        <w:rPr>
          <w:rFonts w:ascii="Times New Roman" w:eastAsia="Times New Roman" w:hAnsi="Times New Roman"/>
          <w:sz w:val="24"/>
          <w:szCs w:val="24"/>
          <w:shd w:val="clear" w:color="auto" w:fill="FFFFFF"/>
        </w:rPr>
      </w:pPr>
      <w:r w:rsidRPr="00476DF1">
        <w:rPr>
          <w:rFonts w:ascii="Times New Roman" w:eastAsia="Times New Roman" w:hAnsi="Times New Roman"/>
          <w:sz w:val="24"/>
          <w:szCs w:val="24"/>
          <w:shd w:val="clear" w:color="auto" w:fill="FFFFFF"/>
        </w:rPr>
        <w:t xml:space="preserve">Arguably, </w:t>
      </w:r>
      <w:r w:rsidR="00F60854" w:rsidRPr="00476DF1">
        <w:rPr>
          <w:rFonts w:ascii="Times New Roman" w:eastAsia="Times New Roman" w:hAnsi="Times New Roman"/>
          <w:sz w:val="24"/>
          <w:szCs w:val="24"/>
          <w:shd w:val="clear" w:color="auto" w:fill="FFFFFF"/>
        </w:rPr>
        <w:t xml:space="preserve">the contribution of </w:t>
      </w:r>
      <w:r w:rsidR="00694B61" w:rsidRPr="00476DF1">
        <w:rPr>
          <w:rFonts w:ascii="Times New Roman" w:eastAsia="Times New Roman" w:hAnsi="Times New Roman"/>
          <w:sz w:val="24"/>
          <w:szCs w:val="24"/>
          <w:shd w:val="clear" w:color="auto" w:fill="FFFFFF"/>
        </w:rPr>
        <w:t>small enterprises</w:t>
      </w:r>
      <w:r w:rsidRPr="00476DF1">
        <w:rPr>
          <w:rFonts w:ascii="Times New Roman" w:eastAsia="Times New Roman" w:hAnsi="Times New Roman"/>
          <w:sz w:val="24"/>
          <w:szCs w:val="24"/>
          <w:shd w:val="clear" w:color="auto" w:fill="FFFFFF"/>
        </w:rPr>
        <w:t xml:space="preserve"> </w:t>
      </w:r>
      <w:r w:rsidR="00694B61" w:rsidRPr="00476DF1">
        <w:rPr>
          <w:rFonts w:ascii="Times New Roman" w:eastAsia="Times New Roman" w:hAnsi="Times New Roman"/>
          <w:sz w:val="24"/>
          <w:szCs w:val="24"/>
          <w:shd w:val="clear" w:color="auto" w:fill="FFFFFF"/>
        </w:rPr>
        <w:t>to large enterprises</w:t>
      </w:r>
      <w:r w:rsidRPr="00476DF1">
        <w:rPr>
          <w:rFonts w:ascii="Times New Roman" w:eastAsia="Times New Roman" w:hAnsi="Times New Roman"/>
          <w:sz w:val="24"/>
          <w:szCs w:val="24"/>
          <w:shd w:val="clear" w:color="auto" w:fill="FFFFFF"/>
        </w:rPr>
        <w:t xml:space="preserve">’ innovative output depends on </w:t>
      </w:r>
      <w:r w:rsidR="00694B61" w:rsidRPr="00476DF1">
        <w:rPr>
          <w:rFonts w:ascii="Times New Roman" w:eastAsia="Times New Roman" w:hAnsi="Times New Roman"/>
          <w:sz w:val="24"/>
          <w:szCs w:val="24"/>
          <w:shd w:val="clear" w:color="auto" w:fill="FFFFFF"/>
        </w:rPr>
        <w:t>the</w:t>
      </w:r>
      <w:r w:rsidRPr="00476DF1">
        <w:rPr>
          <w:rFonts w:ascii="Times New Roman" w:eastAsia="Times New Roman" w:hAnsi="Times New Roman"/>
          <w:sz w:val="24"/>
          <w:szCs w:val="24"/>
          <w:shd w:val="clear" w:color="auto" w:fill="FFFFFF"/>
        </w:rPr>
        <w:t xml:space="preserve"> degree of their </w:t>
      </w:r>
      <w:r w:rsidR="00694B61" w:rsidRPr="00476DF1">
        <w:rPr>
          <w:rFonts w:ascii="Times New Roman" w:eastAsia="Times New Roman" w:hAnsi="Times New Roman"/>
          <w:sz w:val="24"/>
          <w:szCs w:val="24"/>
          <w:shd w:val="clear" w:color="auto" w:fill="FFFFFF"/>
        </w:rPr>
        <w:t>knowledgebase</w:t>
      </w:r>
      <w:r w:rsidRPr="00476DF1">
        <w:rPr>
          <w:rFonts w:ascii="Times New Roman" w:eastAsia="Times New Roman" w:hAnsi="Times New Roman"/>
          <w:sz w:val="24"/>
          <w:szCs w:val="24"/>
          <w:shd w:val="clear" w:color="auto" w:fill="FFFFFF"/>
        </w:rPr>
        <w:t xml:space="preserve"> relatedness</w:t>
      </w:r>
      <w:r w:rsidR="00694B61" w:rsidRPr="00476DF1">
        <w:rPr>
          <w:rFonts w:ascii="Times New Roman" w:eastAsia="Times New Roman" w:hAnsi="Times New Roman"/>
          <w:sz w:val="24"/>
          <w:szCs w:val="24"/>
          <w:shd w:val="clear" w:color="auto" w:fill="FFFFFF"/>
        </w:rPr>
        <w:t xml:space="preserve">. </w:t>
      </w:r>
      <w:r w:rsidR="0069761C" w:rsidRPr="00476DF1">
        <w:rPr>
          <w:rFonts w:ascii="Times New Roman" w:eastAsia="Times New Roman" w:hAnsi="Times New Roman"/>
          <w:sz w:val="24"/>
          <w:szCs w:val="24"/>
          <w:shd w:val="clear" w:color="auto" w:fill="FFFFFF"/>
        </w:rPr>
        <w:t xml:space="preserve">Therefore, </w:t>
      </w:r>
      <w:r w:rsidRPr="00476DF1">
        <w:rPr>
          <w:rFonts w:ascii="Times New Roman" w:eastAsia="Times New Roman" w:hAnsi="Times New Roman"/>
          <w:sz w:val="24"/>
          <w:szCs w:val="24"/>
          <w:shd w:val="clear" w:color="auto" w:fill="FFFFFF"/>
        </w:rPr>
        <w:t xml:space="preserve">methods that </w:t>
      </w:r>
      <w:r w:rsidR="0069761C" w:rsidRPr="00476DF1">
        <w:rPr>
          <w:rFonts w:ascii="Times New Roman" w:eastAsia="Times New Roman" w:hAnsi="Times New Roman"/>
          <w:sz w:val="24"/>
          <w:szCs w:val="24"/>
          <w:shd w:val="clear" w:color="auto" w:fill="FFFFFF"/>
        </w:rPr>
        <w:t>tr</w:t>
      </w:r>
      <w:r w:rsidRPr="00476DF1">
        <w:rPr>
          <w:rFonts w:ascii="Times New Roman" w:eastAsia="Times New Roman" w:hAnsi="Times New Roman"/>
          <w:sz w:val="24"/>
          <w:szCs w:val="24"/>
          <w:shd w:val="clear" w:color="auto" w:fill="FFFFFF"/>
        </w:rPr>
        <w:t xml:space="preserve">y </w:t>
      </w:r>
      <w:r w:rsidR="0069761C" w:rsidRPr="00476DF1">
        <w:rPr>
          <w:rFonts w:ascii="Times New Roman" w:eastAsia="Times New Roman" w:hAnsi="Times New Roman"/>
          <w:sz w:val="24"/>
          <w:szCs w:val="24"/>
          <w:shd w:val="clear" w:color="auto" w:fill="FFFFFF"/>
        </w:rPr>
        <w:t xml:space="preserve">to measure </w:t>
      </w:r>
      <w:r w:rsidR="00F60854" w:rsidRPr="00476DF1">
        <w:rPr>
          <w:rFonts w:ascii="Times New Roman" w:eastAsia="Times New Roman" w:hAnsi="Times New Roman"/>
          <w:sz w:val="24"/>
          <w:szCs w:val="24"/>
          <w:shd w:val="clear" w:color="auto" w:fill="FFFFFF"/>
        </w:rPr>
        <w:t>the</w:t>
      </w:r>
      <w:r w:rsidRPr="00476DF1">
        <w:rPr>
          <w:rFonts w:ascii="Times New Roman" w:eastAsia="Times New Roman" w:hAnsi="Times New Roman"/>
          <w:sz w:val="24"/>
          <w:szCs w:val="24"/>
          <w:shd w:val="clear" w:color="auto" w:fill="FFFFFF"/>
        </w:rPr>
        <w:t xml:space="preserve"> similarities between </w:t>
      </w:r>
      <w:r w:rsidR="00F60854" w:rsidRPr="00476DF1">
        <w:rPr>
          <w:rFonts w:ascii="Times New Roman" w:eastAsia="Times New Roman" w:hAnsi="Times New Roman"/>
          <w:sz w:val="24"/>
          <w:szCs w:val="24"/>
          <w:shd w:val="clear" w:color="auto" w:fill="FFFFFF"/>
        </w:rPr>
        <w:t xml:space="preserve">the </w:t>
      </w:r>
      <w:r w:rsidR="0069761C" w:rsidRPr="00476DF1">
        <w:rPr>
          <w:rFonts w:ascii="Times New Roman" w:eastAsia="Times New Roman" w:hAnsi="Times New Roman"/>
          <w:sz w:val="24"/>
          <w:szCs w:val="24"/>
          <w:shd w:val="clear" w:color="auto" w:fill="FFFFFF"/>
        </w:rPr>
        <w:t>enterprise</w:t>
      </w:r>
      <w:r w:rsidR="00F60854" w:rsidRPr="00476DF1">
        <w:rPr>
          <w:rFonts w:ascii="Times New Roman" w:eastAsia="Times New Roman" w:hAnsi="Times New Roman"/>
          <w:sz w:val="24"/>
          <w:szCs w:val="24"/>
          <w:shd w:val="clear" w:color="auto" w:fill="FFFFFF"/>
        </w:rPr>
        <w:t>s</w:t>
      </w:r>
      <w:r w:rsidR="0069761C" w:rsidRPr="00476DF1">
        <w:rPr>
          <w:rFonts w:ascii="Times New Roman" w:eastAsia="Times New Roman" w:hAnsi="Times New Roman"/>
          <w:sz w:val="24"/>
          <w:szCs w:val="24"/>
          <w:shd w:val="clear" w:color="auto" w:fill="FFFFFF"/>
        </w:rPr>
        <w:t>’ knowledgebase is of extreme importance</w:t>
      </w:r>
      <w:r w:rsidR="00682171" w:rsidRPr="00476DF1">
        <w:rPr>
          <w:rFonts w:ascii="Times New Roman" w:eastAsia="Times New Roman" w:hAnsi="Times New Roman"/>
          <w:sz w:val="24"/>
          <w:szCs w:val="24"/>
          <w:shd w:val="clear" w:color="auto" w:fill="FFFFFF"/>
        </w:rPr>
        <w:t xml:space="preserve"> </w:t>
      </w:r>
      <w:r w:rsidR="001A7103" w:rsidRPr="00476DF1">
        <w:rPr>
          <w:rFonts w:ascii="Times New Roman" w:eastAsia="Times New Roman" w:hAnsi="Times New Roman"/>
          <w:sz w:val="24"/>
          <w:szCs w:val="24"/>
          <w:shd w:val="clear" w:color="auto" w:fill="FFFFFF"/>
        </w:rPr>
        <w:t>(</w:t>
      </w:r>
      <w:r w:rsidR="00682171" w:rsidRPr="00476DF1">
        <w:rPr>
          <w:rFonts w:ascii="Times New Roman" w:eastAsia="Times New Roman" w:hAnsi="Times New Roman"/>
          <w:sz w:val="24"/>
          <w:szCs w:val="24"/>
          <w:shd w:val="clear" w:color="auto" w:fill="FFFFFF"/>
        </w:rPr>
        <w:t>AHUJA AND KATILA, 2001; HAGEDOORN AND DUYSTERS, 2002; DESYLLAS AND HUGHES, 2008</w:t>
      </w:r>
      <w:r w:rsidR="001A7103" w:rsidRPr="00476DF1">
        <w:rPr>
          <w:rFonts w:ascii="Times New Roman" w:eastAsia="Times New Roman" w:hAnsi="Times New Roman"/>
          <w:sz w:val="24"/>
          <w:szCs w:val="24"/>
          <w:shd w:val="clear" w:color="auto" w:fill="FFFFFF"/>
        </w:rPr>
        <w:t>).</w:t>
      </w:r>
      <w:r w:rsidRPr="00476DF1">
        <w:rPr>
          <w:rFonts w:ascii="Times New Roman" w:eastAsia="Times New Roman" w:hAnsi="Times New Roman"/>
          <w:sz w:val="24"/>
          <w:szCs w:val="24"/>
          <w:shd w:val="clear" w:color="auto" w:fill="FFFFFF"/>
        </w:rPr>
        <w:t xml:space="preserve"> An important step now is to identify the sources of knowledge within the small enterprise and if it is transferred to </w:t>
      </w:r>
      <w:r w:rsidR="00F60854" w:rsidRPr="00476DF1">
        <w:rPr>
          <w:rFonts w:ascii="Times New Roman" w:eastAsia="Times New Roman" w:hAnsi="Times New Roman"/>
          <w:sz w:val="24"/>
          <w:szCs w:val="24"/>
          <w:shd w:val="clear" w:color="auto" w:fill="FFFFFF"/>
        </w:rPr>
        <w:t xml:space="preserve">the acquiring firm </w:t>
      </w:r>
      <w:r w:rsidRPr="00476DF1">
        <w:rPr>
          <w:rFonts w:ascii="Times New Roman" w:eastAsia="Times New Roman" w:hAnsi="Times New Roman"/>
          <w:sz w:val="24"/>
          <w:szCs w:val="24"/>
          <w:shd w:val="clear" w:color="auto" w:fill="FFFFFF"/>
        </w:rPr>
        <w:t>after an acquisition.</w:t>
      </w:r>
      <w:r w:rsidR="001A7103" w:rsidRPr="00476DF1">
        <w:rPr>
          <w:rFonts w:ascii="Times New Roman" w:eastAsia="Times New Roman" w:hAnsi="Times New Roman"/>
          <w:sz w:val="24"/>
          <w:szCs w:val="24"/>
          <w:shd w:val="clear" w:color="auto" w:fill="FFFFFF"/>
        </w:rPr>
        <w:t xml:space="preserve"> </w:t>
      </w:r>
    </w:p>
    <w:p w14:paraId="4972C537" w14:textId="77777777" w:rsidR="0014444B" w:rsidRPr="00476DF1" w:rsidRDefault="0014444B" w:rsidP="00A23232">
      <w:pPr>
        <w:spacing w:after="0" w:line="240" w:lineRule="auto"/>
        <w:jc w:val="both"/>
        <w:rPr>
          <w:rFonts w:ascii="Times New Roman" w:eastAsia="Times New Roman" w:hAnsi="Times New Roman"/>
          <w:sz w:val="24"/>
          <w:szCs w:val="24"/>
          <w:shd w:val="clear" w:color="auto" w:fill="FFFFFF"/>
        </w:rPr>
      </w:pPr>
    </w:p>
    <w:p w14:paraId="3DFD03D7" w14:textId="3599829F" w:rsidR="00A812B6" w:rsidRPr="00476DF1" w:rsidRDefault="00682171" w:rsidP="00CE4BBE">
      <w:pPr>
        <w:pStyle w:val="Ttulo3"/>
        <w:spacing w:line="240" w:lineRule="auto"/>
      </w:pPr>
      <w:bookmarkStart w:id="4" w:name="_Toc465849075"/>
      <w:r w:rsidRPr="00476DF1">
        <w:t xml:space="preserve">Patents and patents classes </w:t>
      </w:r>
      <w:r w:rsidR="00806F6C" w:rsidRPr="00476DF1">
        <w:t>a</w:t>
      </w:r>
      <w:r w:rsidRPr="00476DF1">
        <w:t xml:space="preserve">s </w:t>
      </w:r>
      <w:r w:rsidR="00FA2AC3" w:rsidRPr="00476DF1">
        <w:t xml:space="preserve">knowledge and measures of </w:t>
      </w:r>
      <w:r w:rsidR="00134F55" w:rsidRPr="00476DF1">
        <w:t xml:space="preserve">competences </w:t>
      </w:r>
      <w:bookmarkEnd w:id="4"/>
    </w:p>
    <w:p w14:paraId="2818F3D0" w14:textId="392A5225" w:rsidR="004861DD" w:rsidRPr="00476DF1" w:rsidRDefault="00367E17" w:rsidP="00F87E77">
      <w:pPr>
        <w:spacing w:after="0" w:line="240" w:lineRule="auto"/>
        <w:ind w:firstLine="720"/>
        <w:jc w:val="both"/>
        <w:rPr>
          <w:rFonts w:ascii="Times New Roman" w:hAnsi="Times New Roman"/>
          <w:sz w:val="24"/>
          <w:szCs w:val="24"/>
        </w:rPr>
      </w:pPr>
      <w:r w:rsidRPr="00476DF1">
        <w:rPr>
          <w:rFonts w:ascii="Times New Roman" w:eastAsia="Times New Roman" w:hAnsi="Times New Roman"/>
          <w:sz w:val="24"/>
          <w:szCs w:val="24"/>
          <w:shd w:val="clear" w:color="auto" w:fill="FFFFFF"/>
        </w:rPr>
        <w:t xml:space="preserve">One way </w:t>
      </w:r>
      <w:r w:rsidR="00F60854" w:rsidRPr="00476DF1">
        <w:rPr>
          <w:rFonts w:ascii="Times New Roman" w:eastAsia="Times New Roman" w:hAnsi="Times New Roman"/>
          <w:sz w:val="24"/>
          <w:szCs w:val="24"/>
          <w:shd w:val="clear" w:color="auto" w:fill="FFFFFF"/>
        </w:rPr>
        <w:t>to capture</w:t>
      </w:r>
      <w:r w:rsidR="003E3174" w:rsidRPr="00476DF1">
        <w:rPr>
          <w:rFonts w:ascii="Times New Roman" w:eastAsia="Times New Roman" w:hAnsi="Times New Roman"/>
          <w:sz w:val="24"/>
          <w:szCs w:val="24"/>
          <w:shd w:val="clear" w:color="auto" w:fill="FFFFFF"/>
        </w:rPr>
        <w:t xml:space="preserve"> part of the ente</w:t>
      </w:r>
      <w:r w:rsidR="003E2B50" w:rsidRPr="00476DF1">
        <w:rPr>
          <w:rFonts w:ascii="Times New Roman" w:eastAsia="Times New Roman" w:hAnsi="Times New Roman"/>
          <w:sz w:val="24"/>
          <w:szCs w:val="24"/>
          <w:shd w:val="clear" w:color="auto" w:fill="FFFFFF"/>
        </w:rPr>
        <w:t>r</w:t>
      </w:r>
      <w:r w:rsidR="003E3174" w:rsidRPr="00476DF1">
        <w:rPr>
          <w:rFonts w:ascii="Times New Roman" w:eastAsia="Times New Roman" w:hAnsi="Times New Roman"/>
          <w:sz w:val="24"/>
          <w:szCs w:val="24"/>
          <w:shd w:val="clear" w:color="auto" w:fill="FFFFFF"/>
        </w:rPr>
        <w:t>prises</w:t>
      </w:r>
      <w:r w:rsidR="003E2B50" w:rsidRPr="00476DF1">
        <w:rPr>
          <w:rFonts w:ascii="Times New Roman" w:eastAsia="Times New Roman" w:hAnsi="Times New Roman"/>
          <w:sz w:val="24"/>
          <w:szCs w:val="24"/>
          <w:shd w:val="clear" w:color="auto" w:fill="FFFFFF"/>
        </w:rPr>
        <w:t>’</w:t>
      </w:r>
      <w:r w:rsidR="003E3174" w:rsidRPr="00476DF1">
        <w:rPr>
          <w:rFonts w:ascii="Times New Roman" w:eastAsia="Times New Roman" w:hAnsi="Times New Roman"/>
          <w:sz w:val="24"/>
          <w:szCs w:val="24"/>
          <w:shd w:val="clear" w:color="auto" w:fill="FFFFFF"/>
        </w:rPr>
        <w:t xml:space="preserve"> kn</w:t>
      </w:r>
      <w:r w:rsidR="003E2B50" w:rsidRPr="00476DF1">
        <w:rPr>
          <w:rFonts w:ascii="Times New Roman" w:eastAsia="Times New Roman" w:hAnsi="Times New Roman"/>
          <w:sz w:val="24"/>
          <w:szCs w:val="24"/>
          <w:shd w:val="clear" w:color="auto" w:fill="FFFFFF"/>
        </w:rPr>
        <w:t>owledge</w:t>
      </w:r>
      <w:r w:rsidR="00294763" w:rsidRPr="00476DF1">
        <w:rPr>
          <w:rFonts w:ascii="Times New Roman" w:eastAsia="Times New Roman" w:hAnsi="Times New Roman"/>
          <w:sz w:val="24"/>
          <w:szCs w:val="24"/>
          <w:shd w:val="clear" w:color="auto" w:fill="FFFFFF"/>
        </w:rPr>
        <w:t xml:space="preserve"> is through patents</w:t>
      </w:r>
      <w:r w:rsidR="00F60854" w:rsidRPr="00476DF1">
        <w:rPr>
          <w:rFonts w:ascii="Times New Roman" w:eastAsia="Times New Roman" w:hAnsi="Times New Roman"/>
          <w:sz w:val="24"/>
          <w:szCs w:val="24"/>
          <w:shd w:val="clear" w:color="auto" w:fill="FFFFFF"/>
        </w:rPr>
        <w:t>. Almost</w:t>
      </w:r>
      <w:r w:rsidR="00017509" w:rsidRPr="00476DF1">
        <w:rPr>
          <w:rFonts w:ascii="Times New Roman" w:eastAsia="Times New Roman" w:hAnsi="Times New Roman"/>
          <w:sz w:val="24"/>
          <w:szCs w:val="24"/>
          <w:shd w:val="clear" w:color="auto" w:fill="FFFFFF"/>
        </w:rPr>
        <w:t xml:space="preserve"> all studies cited </w:t>
      </w:r>
      <w:r w:rsidR="00F60854" w:rsidRPr="00476DF1">
        <w:rPr>
          <w:rFonts w:ascii="Times New Roman" w:eastAsia="Times New Roman" w:hAnsi="Times New Roman"/>
          <w:sz w:val="24"/>
          <w:szCs w:val="24"/>
          <w:shd w:val="clear" w:color="auto" w:fill="FFFFFF"/>
        </w:rPr>
        <w:t>here</w:t>
      </w:r>
      <w:r w:rsidR="00017509" w:rsidRPr="00476DF1">
        <w:rPr>
          <w:rFonts w:ascii="Times New Roman" w:eastAsia="Times New Roman" w:hAnsi="Times New Roman"/>
          <w:sz w:val="24"/>
          <w:szCs w:val="24"/>
          <w:shd w:val="clear" w:color="auto" w:fill="FFFFFF"/>
        </w:rPr>
        <w:t xml:space="preserve"> have a patent base methodology </w:t>
      </w:r>
      <w:r w:rsidR="00F60854" w:rsidRPr="00476DF1">
        <w:rPr>
          <w:rFonts w:ascii="Times New Roman" w:eastAsia="Times New Roman" w:hAnsi="Times New Roman"/>
          <w:sz w:val="24"/>
          <w:szCs w:val="24"/>
          <w:shd w:val="clear" w:color="auto" w:fill="FFFFFF"/>
        </w:rPr>
        <w:t>to measure</w:t>
      </w:r>
      <w:r w:rsidR="00017509" w:rsidRPr="00476DF1">
        <w:rPr>
          <w:rFonts w:ascii="Times New Roman" w:eastAsia="Times New Roman" w:hAnsi="Times New Roman"/>
          <w:sz w:val="24"/>
          <w:szCs w:val="24"/>
          <w:shd w:val="clear" w:color="auto" w:fill="FFFFFF"/>
        </w:rPr>
        <w:t xml:space="preserve"> knowledge.</w:t>
      </w:r>
      <w:r w:rsidRPr="00476DF1">
        <w:rPr>
          <w:rFonts w:ascii="Times New Roman" w:eastAsia="Times New Roman" w:hAnsi="Times New Roman"/>
          <w:sz w:val="24"/>
          <w:szCs w:val="24"/>
          <w:shd w:val="clear" w:color="auto" w:fill="FFFFFF"/>
        </w:rPr>
        <w:t xml:space="preserve"> </w:t>
      </w:r>
      <w:r w:rsidR="004861DD" w:rsidRPr="00476DF1">
        <w:rPr>
          <w:rFonts w:ascii="Times New Roman" w:hAnsi="Times New Roman"/>
          <w:sz w:val="24"/>
          <w:szCs w:val="24"/>
        </w:rPr>
        <w:t>Each patent is a piece of knowledge</w:t>
      </w:r>
      <w:r w:rsidR="00134F55" w:rsidRPr="00476DF1">
        <w:rPr>
          <w:rFonts w:ascii="Times New Roman" w:hAnsi="Times New Roman"/>
          <w:sz w:val="24"/>
          <w:szCs w:val="24"/>
        </w:rPr>
        <w:t xml:space="preserve">, a single </w:t>
      </w:r>
      <w:r w:rsidR="004861DD" w:rsidRPr="00476DF1">
        <w:rPr>
          <w:rFonts w:ascii="Times New Roman" w:hAnsi="Times New Roman"/>
          <w:sz w:val="24"/>
          <w:szCs w:val="24"/>
        </w:rPr>
        <w:t>invention</w:t>
      </w:r>
      <w:r w:rsidR="006812CB" w:rsidRPr="00476DF1">
        <w:rPr>
          <w:rFonts w:ascii="Times New Roman" w:hAnsi="Times New Roman"/>
          <w:sz w:val="24"/>
          <w:szCs w:val="24"/>
        </w:rPr>
        <w:t xml:space="preserve"> that</w:t>
      </w:r>
      <w:r w:rsidR="00F60854" w:rsidRPr="00476DF1">
        <w:rPr>
          <w:rFonts w:ascii="Times New Roman" w:hAnsi="Times New Roman"/>
          <w:sz w:val="24"/>
          <w:szCs w:val="24"/>
        </w:rPr>
        <w:t xml:space="preserve"> contains</w:t>
      </w:r>
      <w:r w:rsidR="004861DD" w:rsidRPr="00476DF1">
        <w:rPr>
          <w:rFonts w:ascii="Times New Roman" w:hAnsi="Times New Roman"/>
          <w:sz w:val="24"/>
          <w:szCs w:val="24"/>
        </w:rPr>
        <w:t xml:space="preserve"> </w:t>
      </w:r>
      <w:r w:rsidR="007A29BA" w:rsidRPr="00476DF1">
        <w:rPr>
          <w:rFonts w:ascii="Times New Roman" w:hAnsi="Times New Roman"/>
          <w:sz w:val="24"/>
          <w:szCs w:val="24"/>
        </w:rPr>
        <w:t>“</w:t>
      </w:r>
      <w:r w:rsidR="004861DD" w:rsidRPr="00476DF1">
        <w:rPr>
          <w:rFonts w:ascii="Times New Roman" w:hAnsi="Times New Roman"/>
          <w:sz w:val="24"/>
          <w:szCs w:val="24"/>
        </w:rPr>
        <w:t>only</w:t>
      </w:r>
      <w:r w:rsidR="007A29BA" w:rsidRPr="00476DF1">
        <w:rPr>
          <w:rFonts w:ascii="Times New Roman" w:hAnsi="Times New Roman"/>
          <w:sz w:val="24"/>
          <w:szCs w:val="24"/>
        </w:rPr>
        <w:t>”</w:t>
      </w:r>
      <w:r w:rsidR="004861DD" w:rsidRPr="00476DF1">
        <w:rPr>
          <w:rFonts w:ascii="Times New Roman" w:hAnsi="Times New Roman"/>
          <w:sz w:val="24"/>
          <w:szCs w:val="24"/>
        </w:rPr>
        <w:t xml:space="preserve"> </w:t>
      </w:r>
      <w:r w:rsidR="00F60854" w:rsidRPr="00476DF1">
        <w:rPr>
          <w:rFonts w:ascii="Times New Roman" w:hAnsi="Times New Roman"/>
          <w:sz w:val="24"/>
          <w:szCs w:val="24"/>
        </w:rPr>
        <w:t xml:space="preserve">descriptions of </w:t>
      </w:r>
      <w:r w:rsidR="004861DD" w:rsidRPr="00476DF1">
        <w:rPr>
          <w:rFonts w:ascii="Times New Roman" w:hAnsi="Times New Roman"/>
          <w:sz w:val="24"/>
          <w:szCs w:val="24"/>
        </w:rPr>
        <w:t>(instructions</w:t>
      </w:r>
      <w:r w:rsidR="00F60854" w:rsidRPr="00476DF1">
        <w:rPr>
          <w:rFonts w:ascii="Times New Roman" w:hAnsi="Times New Roman"/>
          <w:sz w:val="24"/>
          <w:szCs w:val="24"/>
        </w:rPr>
        <w:t xml:space="preserve"> for</w:t>
      </w:r>
      <w:r w:rsidR="004861DD" w:rsidRPr="00476DF1">
        <w:rPr>
          <w:rFonts w:ascii="Times New Roman" w:hAnsi="Times New Roman"/>
          <w:sz w:val="24"/>
          <w:szCs w:val="24"/>
        </w:rPr>
        <w:t>)</w:t>
      </w:r>
      <w:r w:rsidR="00F60854" w:rsidRPr="00476DF1">
        <w:rPr>
          <w:rFonts w:ascii="Times New Roman" w:hAnsi="Times New Roman"/>
          <w:sz w:val="24"/>
          <w:szCs w:val="24"/>
        </w:rPr>
        <w:t xml:space="preserve"> processes</w:t>
      </w:r>
      <w:r w:rsidR="00134F55" w:rsidRPr="00476DF1">
        <w:rPr>
          <w:rFonts w:ascii="Times New Roman" w:hAnsi="Times New Roman"/>
          <w:sz w:val="24"/>
          <w:szCs w:val="24"/>
        </w:rPr>
        <w:t>.</w:t>
      </w:r>
      <w:r w:rsidR="004861DD" w:rsidRPr="00476DF1">
        <w:rPr>
          <w:rFonts w:ascii="Times New Roman" w:hAnsi="Times New Roman"/>
          <w:sz w:val="24"/>
          <w:szCs w:val="24"/>
        </w:rPr>
        <w:t xml:space="preserve"> </w:t>
      </w:r>
      <w:r w:rsidR="00134F55" w:rsidRPr="00476DF1">
        <w:rPr>
          <w:rFonts w:ascii="Times New Roman" w:hAnsi="Times New Roman"/>
          <w:sz w:val="24"/>
          <w:szCs w:val="24"/>
        </w:rPr>
        <w:t>I</w:t>
      </w:r>
      <w:r w:rsidR="004861DD" w:rsidRPr="00476DF1">
        <w:rPr>
          <w:rFonts w:ascii="Times New Roman" w:hAnsi="Times New Roman"/>
          <w:sz w:val="24"/>
          <w:szCs w:val="24"/>
        </w:rPr>
        <w:t xml:space="preserve">n theory, </w:t>
      </w:r>
      <w:r w:rsidR="00134F55" w:rsidRPr="00476DF1">
        <w:rPr>
          <w:rFonts w:ascii="Times New Roman" w:hAnsi="Times New Roman"/>
          <w:sz w:val="24"/>
          <w:szCs w:val="24"/>
        </w:rPr>
        <w:t>patents can be replicated</w:t>
      </w:r>
      <w:r w:rsidR="00492E2D" w:rsidRPr="00476DF1">
        <w:rPr>
          <w:rFonts w:ascii="Times New Roman" w:hAnsi="Times New Roman"/>
          <w:sz w:val="24"/>
          <w:szCs w:val="24"/>
        </w:rPr>
        <w:t xml:space="preserve"> </w:t>
      </w:r>
      <w:r w:rsidR="00134F55" w:rsidRPr="00476DF1">
        <w:rPr>
          <w:rFonts w:ascii="Times New Roman" w:hAnsi="Times New Roman"/>
          <w:sz w:val="24"/>
          <w:szCs w:val="24"/>
        </w:rPr>
        <w:t xml:space="preserve">as </w:t>
      </w:r>
      <w:r w:rsidR="00483BE2" w:rsidRPr="00476DF1">
        <w:rPr>
          <w:rFonts w:ascii="Times New Roman" w:hAnsi="Times New Roman"/>
          <w:sz w:val="24"/>
          <w:szCs w:val="24"/>
        </w:rPr>
        <w:t xml:space="preserve">long as </w:t>
      </w:r>
      <w:r w:rsidR="00134F55" w:rsidRPr="00476DF1">
        <w:rPr>
          <w:rFonts w:ascii="Times New Roman" w:hAnsi="Times New Roman"/>
          <w:sz w:val="24"/>
          <w:szCs w:val="24"/>
        </w:rPr>
        <w:t xml:space="preserve">the </w:t>
      </w:r>
      <w:r w:rsidR="00F60854" w:rsidRPr="00476DF1">
        <w:rPr>
          <w:rFonts w:ascii="Times New Roman" w:hAnsi="Times New Roman"/>
          <w:sz w:val="24"/>
          <w:szCs w:val="24"/>
        </w:rPr>
        <w:t xml:space="preserve">reader understands and follows the </w:t>
      </w:r>
      <w:r w:rsidR="00134F55" w:rsidRPr="00476DF1">
        <w:rPr>
          <w:rFonts w:ascii="Times New Roman" w:hAnsi="Times New Roman"/>
          <w:sz w:val="24"/>
          <w:szCs w:val="24"/>
        </w:rPr>
        <w:t>instructions</w:t>
      </w:r>
      <w:r w:rsidR="00483BE2" w:rsidRPr="00476DF1">
        <w:rPr>
          <w:rFonts w:ascii="Times New Roman" w:hAnsi="Times New Roman"/>
          <w:sz w:val="24"/>
          <w:szCs w:val="24"/>
        </w:rPr>
        <w:t xml:space="preserve"> </w:t>
      </w:r>
      <w:r w:rsidR="006812CB" w:rsidRPr="00476DF1">
        <w:rPr>
          <w:rFonts w:ascii="Times New Roman" w:hAnsi="Times New Roman"/>
          <w:sz w:val="24"/>
          <w:szCs w:val="24"/>
        </w:rPr>
        <w:t>(</w:t>
      </w:r>
      <w:r w:rsidR="00483BE2" w:rsidRPr="00476DF1">
        <w:rPr>
          <w:rFonts w:ascii="Times New Roman" w:hAnsi="Times New Roman"/>
          <w:sz w:val="24"/>
          <w:szCs w:val="24"/>
        </w:rPr>
        <w:t>NELSON; WINTER, 1982)</w:t>
      </w:r>
      <w:r w:rsidR="004861DD" w:rsidRPr="00476DF1">
        <w:rPr>
          <w:rFonts w:ascii="Times New Roman" w:hAnsi="Times New Roman"/>
          <w:sz w:val="24"/>
          <w:szCs w:val="24"/>
        </w:rPr>
        <w:t xml:space="preserve">. For example, U.S. Patent 8,426,363, issued </w:t>
      </w:r>
      <w:r w:rsidR="00F60854" w:rsidRPr="00476DF1">
        <w:rPr>
          <w:rFonts w:ascii="Times New Roman" w:hAnsi="Times New Roman"/>
          <w:sz w:val="24"/>
          <w:szCs w:val="24"/>
        </w:rPr>
        <w:t xml:space="preserve">to </w:t>
      </w:r>
      <w:r w:rsidR="004861DD" w:rsidRPr="00476DF1">
        <w:rPr>
          <w:rFonts w:ascii="Times New Roman" w:hAnsi="Times New Roman"/>
          <w:sz w:val="24"/>
          <w:szCs w:val="24"/>
        </w:rPr>
        <w:t xml:space="preserve">Rinat Neuroscience, </w:t>
      </w:r>
      <w:r w:rsidR="00134F55" w:rsidRPr="00476DF1">
        <w:rPr>
          <w:rFonts w:ascii="Times New Roman" w:hAnsi="Times New Roman"/>
          <w:sz w:val="24"/>
          <w:szCs w:val="24"/>
        </w:rPr>
        <w:t xml:space="preserve">describes </w:t>
      </w:r>
      <w:r w:rsidR="004861DD" w:rsidRPr="00476DF1">
        <w:rPr>
          <w:rFonts w:ascii="Times New Roman" w:hAnsi="Times New Roman"/>
          <w:sz w:val="24"/>
          <w:szCs w:val="24"/>
        </w:rPr>
        <w:t>a method based on molecular biology to reduce cholesterol. The full text of this patent describes the cell receptors, the DNA sequences of antibodies</w:t>
      </w:r>
      <w:r w:rsidR="00F60854" w:rsidRPr="00476DF1">
        <w:rPr>
          <w:rFonts w:ascii="Times New Roman" w:hAnsi="Times New Roman"/>
          <w:sz w:val="24"/>
          <w:szCs w:val="24"/>
        </w:rPr>
        <w:t>,</w:t>
      </w:r>
      <w:r w:rsidR="004861DD" w:rsidRPr="00476DF1">
        <w:rPr>
          <w:rFonts w:ascii="Times New Roman" w:hAnsi="Times New Roman"/>
          <w:sz w:val="24"/>
          <w:szCs w:val="24"/>
        </w:rPr>
        <w:t xml:space="preserve"> and how these two elements bind. Based on this patent, companies</w:t>
      </w:r>
      <w:r w:rsidR="00F60854" w:rsidRPr="00476DF1">
        <w:rPr>
          <w:rFonts w:ascii="Times New Roman" w:hAnsi="Times New Roman"/>
          <w:sz w:val="24"/>
          <w:szCs w:val="24"/>
        </w:rPr>
        <w:t xml:space="preserve"> that are</w:t>
      </w:r>
      <w:r w:rsidR="004861DD" w:rsidRPr="00476DF1">
        <w:rPr>
          <w:rFonts w:ascii="Times New Roman" w:hAnsi="Times New Roman"/>
          <w:sz w:val="24"/>
          <w:szCs w:val="24"/>
        </w:rPr>
        <w:t xml:space="preserve"> technologically similar to Rinat Neuroscience could replicate </w:t>
      </w:r>
      <w:r w:rsidR="00F60854" w:rsidRPr="00476DF1">
        <w:rPr>
          <w:rFonts w:ascii="Times New Roman" w:hAnsi="Times New Roman"/>
          <w:sz w:val="24"/>
          <w:szCs w:val="24"/>
        </w:rPr>
        <w:t>this</w:t>
      </w:r>
      <w:r w:rsidR="004861DD" w:rsidRPr="00476DF1">
        <w:rPr>
          <w:rFonts w:ascii="Times New Roman" w:hAnsi="Times New Roman"/>
          <w:sz w:val="24"/>
          <w:szCs w:val="24"/>
        </w:rPr>
        <w:t xml:space="preserve"> process.</w:t>
      </w:r>
    </w:p>
    <w:p w14:paraId="014A6007" w14:textId="3A45C615" w:rsidR="005C003E" w:rsidRPr="00476DF1" w:rsidRDefault="00F60854"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As described in the literature, p</w:t>
      </w:r>
      <w:r w:rsidR="008B1BB2" w:rsidRPr="00476DF1">
        <w:rPr>
          <w:rFonts w:ascii="Times New Roman" w:hAnsi="Times New Roman"/>
          <w:sz w:val="24"/>
          <w:szCs w:val="24"/>
        </w:rPr>
        <w:t>atents</w:t>
      </w:r>
      <w:r w:rsidR="008D09A1" w:rsidRPr="00476DF1">
        <w:rPr>
          <w:rFonts w:ascii="Times New Roman" w:hAnsi="Times New Roman"/>
          <w:sz w:val="24"/>
          <w:szCs w:val="24"/>
        </w:rPr>
        <w:t xml:space="preserve"> </w:t>
      </w:r>
      <w:r w:rsidR="002A47BE" w:rsidRPr="00476DF1">
        <w:rPr>
          <w:rFonts w:ascii="Times New Roman" w:hAnsi="Times New Roman"/>
          <w:sz w:val="24"/>
          <w:szCs w:val="24"/>
        </w:rPr>
        <w:t>are</w:t>
      </w:r>
      <w:r w:rsidR="008D09A1" w:rsidRPr="00476DF1">
        <w:rPr>
          <w:rFonts w:ascii="Times New Roman" w:hAnsi="Times New Roman"/>
          <w:sz w:val="24"/>
          <w:szCs w:val="24"/>
        </w:rPr>
        <w:t xml:space="preserve"> specific</w:t>
      </w:r>
      <w:r w:rsidR="002A47BE" w:rsidRPr="00476DF1">
        <w:rPr>
          <w:rFonts w:ascii="Times New Roman" w:hAnsi="Times New Roman"/>
          <w:sz w:val="24"/>
          <w:szCs w:val="24"/>
        </w:rPr>
        <w:t>,</w:t>
      </w:r>
      <w:r w:rsidR="008D09A1" w:rsidRPr="00476DF1">
        <w:rPr>
          <w:rFonts w:ascii="Times New Roman" w:hAnsi="Times New Roman"/>
          <w:sz w:val="24"/>
          <w:szCs w:val="24"/>
        </w:rPr>
        <w:t xml:space="preserve"> but</w:t>
      </w:r>
      <w:r w:rsidR="002A47BE" w:rsidRPr="00476DF1">
        <w:rPr>
          <w:rFonts w:ascii="Times New Roman" w:hAnsi="Times New Roman"/>
          <w:sz w:val="24"/>
          <w:szCs w:val="24"/>
        </w:rPr>
        <w:t xml:space="preserve"> </w:t>
      </w:r>
      <w:r w:rsidR="008D09A1" w:rsidRPr="00476DF1">
        <w:rPr>
          <w:rFonts w:ascii="Times New Roman" w:hAnsi="Times New Roman"/>
          <w:sz w:val="24"/>
          <w:szCs w:val="24"/>
        </w:rPr>
        <w:t>classified</w:t>
      </w:r>
      <w:r w:rsidR="00B027A0" w:rsidRPr="00476DF1">
        <w:rPr>
          <w:rFonts w:ascii="Times New Roman" w:hAnsi="Times New Roman"/>
          <w:sz w:val="24"/>
          <w:szCs w:val="24"/>
        </w:rPr>
        <w:t xml:space="preserve">, </w:t>
      </w:r>
      <w:r w:rsidRPr="00476DF1">
        <w:rPr>
          <w:rFonts w:ascii="Times New Roman" w:hAnsi="Times New Roman"/>
          <w:sz w:val="24"/>
          <w:szCs w:val="24"/>
        </w:rPr>
        <w:t xml:space="preserve">by the </w:t>
      </w:r>
      <w:r w:rsidR="008A34CB" w:rsidRPr="00476DF1">
        <w:rPr>
          <w:rFonts w:ascii="Times New Roman" w:hAnsi="Times New Roman"/>
          <w:sz w:val="24"/>
          <w:szCs w:val="24"/>
        </w:rPr>
        <w:t>Unite States Patent Office</w:t>
      </w:r>
      <w:r w:rsidR="0018395B" w:rsidRPr="00476DF1">
        <w:rPr>
          <w:rFonts w:ascii="Times New Roman" w:hAnsi="Times New Roman"/>
          <w:sz w:val="24"/>
          <w:szCs w:val="24"/>
        </w:rPr>
        <w:t>(USPTO</w:t>
      </w:r>
      <w:r w:rsidR="008A34CB" w:rsidRPr="00476DF1">
        <w:rPr>
          <w:rFonts w:ascii="Times New Roman" w:hAnsi="Times New Roman"/>
          <w:sz w:val="24"/>
          <w:szCs w:val="24"/>
        </w:rPr>
        <w:t>)</w:t>
      </w:r>
      <w:r w:rsidR="00B027A0" w:rsidRPr="00476DF1">
        <w:rPr>
          <w:rFonts w:ascii="Times New Roman" w:hAnsi="Times New Roman"/>
          <w:sz w:val="24"/>
          <w:szCs w:val="24"/>
        </w:rPr>
        <w:t xml:space="preserve">, </w:t>
      </w:r>
      <w:r w:rsidR="008A34CB" w:rsidRPr="00476DF1">
        <w:rPr>
          <w:rFonts w:ascii="Times New Roman" w:hAnsi="Times New Roman"/>
          <w:sz w:val="24"/>
          <w:szCs w:val="24"/>
        </w:rPr>
        <w:t>European Patent Office</w:t>
      </w:r>
      <w:r w:rsidR="0018395B" w:rsidRPr="00476DF1">
        <w:rPr>
          <w:rFonts w:ascii="Times New Roman" w:hAnsi="Times New Roman"/>
          <w:sz w:val="24"/>
          <w:szCs w:val="24"/>
        </w:rPr>
        <w:t xml:space="preserve"> (EPO</w:t>
      </w:r>
      <w:r w:rsidR="008A34CB" w:rsidRPr="00476DF1">
        <w:rPr>
          <w:rFonts w:ascii="Times New Roman" w:hAnsi="Times New Roman"/>
          <w:sz w:val="24"/>
          <w:szCs w:val="24"/>
        </w:rPr>
        <w:t>)</w:t>
      </w:r>
      <w:r w:rsidRPr="00476DF1">
        <w:rPr>
          <w:rFonts w:ascii="Times New Roman" w:hAnsi="Times New Roman"/>
          <w:sz w:val="24"/>
          <w:szCs w:val="24"/>
        </w:rPr>
        <w:t>,</w:t>
      </w:r>
      <w:r w:rsidR="00B027A0" w:rsidRPr="00476DF1">
        <w:rPr>
          <w:rFonts w:ascii="Times New Roman" w:hAnsi="Times New Roman"/>
          <w:sz w:val="24"/>
          <w:szCs w:val="24"/>
        </w:rPr>
        <w:t xml:space="preserve"> and others</w:t>
      </w:r>
      <w:r w:rsidR="008A34CB" w:rsidRPr="00476DF1">
        <w:rPr>
          <w:rFonts w:ascii="Times New Roman" w:hAnsi="Times New Roman"/>
          <w:sz w:val="24"/>
          <w:szCs w:val="24"/>
        </w:rPr>
        <w:t xml:space="preserve"> patent offices</w:t>
      </w:r>
      <w:r w:rsidR="005C003E" w:rsidRPr="00476DF1">
        <w:rPr>
          <w:rFonts w:ascii="Times New Roman" w:hAnsi="Times New Roman"/>
          <w:sz w:val="24"/>
          <w:szCs w:val="24"/>
        </w:rPr>
        <w:t>,</w:t>
      </w:r>
      <w:r w:rsidR="008D09A1" w:rsidRPr="00476DF1">
        <w:rPr>
          <w:rFonts w:ascii="Times New Roman" w:hAnsi="Times New Roman"/>
          <w:sz w:val="24"/>
          <w:szCs w:val="24"/>
        </w:rPr>
        <w:t xml:space="preserve"> according to a much broader view</w:t>
      </w:r>
      <w:r w:rsidR="002A47BE" w:rsidRPr="00476DF1">
        <w:rPr>
          <w:rFonts w:ascii="Times New Roman" w:hAnsi="Times New Roman"/>
          <w:sz w:val="24"/>
          <w:szCs w:val="24"/>
        </w:rPr>
        <w:t xml:space="preserve"> that considers the </w:t>
      </w:r>
      <w:r w:rsidR="008B1BB2" w:rsidRPr="00476DF1">
        <w:rPr>
          <w:rFonts w:ascii="Times New Roman" w:hAnsi="Times New Roman"/>
          <w:sz w:val="24"/>
          <w:szCs w:val="24"/>
        </w:rPr>
        <w:t>whole set of knowledge</w:t>
      </w:r>
      <w:r w:rsidR="002A47BE" w:rsidRPr="00476DF1">
        <w:rPr>
          <w:rFonts w:ascii="Times New Roman" w:hAnsi="Times New Roman"/>
          <w:sz w:val="24"/>
          <w:szCs w:val="24"/>
        </w:rPr>
        <w:t xml:space="preserve"> and competences</w:t>
      </w:r>
      <w:r w:rsidR="008B1BB2" w:rsidRPr="00476DF1">
        <w:rPr>
          <w:rFonts w:ascii="Times New Roman" w:hAnsi="Times New Roman"/>
          <w:sz w:val="24"/>
          <w:szCs w:val="24"/>
        </w:rPr>
        <w:t xml:space="preserve"> </w:t>
      </w:r>
      <w:r w:rsidR="002A47BE" w:rsidRPr="00476DF1">
        <w:rPr>
          <w:rFonts w:ascii="Times New Roman" w:hAnsi="Times New Roman"/>
          <w:sz w:val="24"/>
          <w:szCs w:val="24"/>
        </w:rPr>
        <w:t>employed in the</w:t>
      </w:r>
      <w:r w:rsidR="005429A2" w:rsidRPr="00476DF1">
        <w:rPr>
          <w:rFonts w:ascii="Times New Roman" w:hAnsi="Times New Roman"/>
          <w:sz w:val="24"/>
          <w:szCs w:val="24"/>
        </w:rPr>
        <w:t>ir</w:t>
      </w:r>
      <w:r w:rsidR="002A47BE" w:rsidRPr="00476DF1">
        <w:rPr>
          <w:rFonts w:ascii="Times New Roman" w:hAnsi="Times New Roman"/>
          <w:sz w:val="24"/>
          <w:szCs w:val="24"/>
        </w:rPr>
        <w:t xml:space="preserve"> </w:t>
      </w:r>
      <w:r w:rsidR="008B1BB2" w:rsidRPr="00476DF1">
        <w:rPr>
          <w:rFonts w:ascii="Times New Roman" w:hAnsi="Times New Roman"/>
          <w:sz w:val="24"/>
          <w:szCs w:val="24"/>
        </w:rPr>
        <w:t>creation</w:t>
      </w:r>
      <w:r w:rsidR="002A47BE" w:rsidRPr="00476DF1">
        <w:rPr>
          <w:rFonts w:ascii="Times New Roman" w:hAnsi="Times New Roman"/>
          <w:sz w:val="24"/>
          <w:szCs w:val="24"/>
        </w:rPr>
        <w:t>.</w:t>
      </w:r>
      <w:r w:rsidR="005429A2" w:rsidRPr="00476DF1">
        <w:rPr>
          <w:rFonts w:ascii="Times New Roman" w:hAnsi="Times New Roman"/>
          <w:sz w:val="24"/>
          <w:szCs w:val="24"/>
        </w:rPr>
        <w:t xml:space="preserve"> The</w:t>
      </w:r>
      <w:r w:rsidR="00B027A0" w:rsidRPr="00476DF1">
        <w:rPr>
          <w:rFonts w:ascii="Times New Roman" w:hAnsi="Times New Roman"/>
          <w:sz w:val="24"/>
          <w:szCs w:val="24"/>
        </w:rPr>
        <w:t xml:space="preserve">se are </w:t>
      </w:r>
      <w:r w:rsidR="005C003E" w:rsidRPr="00476DF1">
        <w:rPr>
          <w:rFonts w:ascii="Times New Roman" w:hAnsi="Times New Roman"/>
          <w:sz w:val="24"/>
          <w:szCs w:val="24"/>
        </w:rPr>
        <w:t>known as</w:t>
      </w:r>
      <w:r w:rsidR="00B027A0" w:rsidRPr="00476DF1">
        <w:rPr>
          <w:rFonts w:ascii="Times New Roman" w:hAnsi="Times New Roman"/>
          <w:sz w:val="24"/>
          <w:szCs w:val="24"/>
        </w:rPr>
        <w:t xml:space="preserve"> </w:t>
      </w:r>
      <w:r w:rsidR="005429A2" w:rsidRPr="00476DF1">
        <w:rPr>
          <w:rFonts w:ascii="Times New Roman" w:hAnsi="Times New Roman"/>
          <w:sz w:val="24"/>
          <w:szCs w:val="24"/>
        </w:rPr>
        <w:t>patent classes</w:t>
      </w:r>
      <w:r w:rsidR="005C003E" w:rsidRPr="00476DF1">
        <w:rPr>
          <w:rFonts w:ascii="Times New Roman" w:hAnsi="Times New Roman"/>
          <w:sz w:val="24"/>
          <w:szCs w:val="24"/>
        </w:rPr>
        <w:t>, which</w:t>
      </w:r>
      <w:r w:rsidR="00B027A0" w:rsidRPr="00476DF1">
        <w:rPr>
          <w:rFonts w:ascii="Times New Roman" w:hAnsi="Times New Roman"/>
          <w:sz w:val="24"/>
          <w:szCs w:val="24"/>
        </w:rPr>
        <w:t xml:space="preserve"> </w:t>
      </w:r>
      <w:r w:rsidR="005C003E" w:rsidRPr="00476DF1">
        <w:rPr>
          <w:rFonts w:ascii="Times New Roman" w:hAnsi="Times New Roman"/>
          <w:sz w:val="24"/>
          <w:szCs w:val="24"/>
        </w:rPr>
        <w:t>address</w:t>
      </w:r>
      <w:r w:rsidR="00B027A0" w:rsidRPr="00476DF1">
        <w:rPr>
          <w:rFonts w:ascii="Times New Roman" w:hAnsi="Times New Roman"/>
          <w:sz w:val="24"/>
          <w:szCs w:val="24"/>
        </w:rPr>
        <w:t xml:space="preserve"> </w:t>
      </w:r>
      <w:r w:rsidR="001F7FF3" w:rsidRPr="00476DF1">
        <w:rPr>
          <w:rFonts w:ascii="Times New Roman" w:hAnsi="Times New Roman"/>
          <w:sz w:val="24"/>
          <w:szCs w:val="24"/>
        </w:rPr>
        <w:t xml:space="preserve">the </w:t>
      </w:r>
      <w:r w:rsidR="009D4E3C" w:rsidRPr="00476DF1">
        <w:rPr>
          <w:rFonts w:ascii="Times New Roman" w:hAnsi="Times New Roman"/>
          <w:sz w:val="24"/>
          <w:szCs w:val="24"/>
        </w:rPr>
        <w:t>patent</w:t>
      </w:r>
      <w:r w:rsidR="001F7FF3" w:rsidRPr="00476DF1">
        <w:rPr>
          <w:rFonts w:ascii="Times New Roman" w:hAnsi="Times New Roman"/>
          <w:sz w:val="24"/>
          <w:szCs w:val="24"/>
        </w:rPr>
        <w:t>’</w:t>
      </w:r>
      <w:r w:rsidR="009D4E3C" w:rsidRPr="00476DF1">
        <w:rPr>
          <w:rFonts w:ascii="Times New Roman" w:hAnsi="Times New Roman"/>
          <w:sz w:val="24"/>
          <w:szCs w:val="24"/>
        </w:rPr>
        <w:t>s technological field</w:t>
      </w:r>
      <w:r w:rsidR="005C003E" w:rsidRPr="00476DF1">
        <w:rPr>
          <w:rFonts w:ascii="Times New Roman" w:hAnsi="Times New Roman"/>
          <w:sz w:val="24"/>
          <w:szCs w:val="24"/>
        </w:rPr>
        <w:t xml:space="preserve"> and</w:t>
      </w:r>
      <w:r w:rsidR="009D4E3C" w:rsidRPr="00476DF1">
        <w:rPr>
          <w:rFonts w:ascii="Times New Roman" w:hAnsi="Times New Roman"/>
          <w:sz w:val="24"/>
          <w:szCs w:val="24"/>
        </w:rPr>
        <w:t xml:space="preserve"> patent brea</w:t>
      </w:r>
      <w:r w:rsidR="001F7FF3" w:rsidRPr="00476DF1">
        <w:rPr>
          <w:rFonts w:ascii="Times New Roman" w:hAnsi="Times New Roman"/>
          <w:sz w:val="24"/>
          <w:szCs w:val="24"/>
        </w:rPr>
        <w:t>d</w:t>
      </w:r>
      <w:r w:rsidR="009D4E3C" w:rsidRPr="00476DF1">
        <w:rPr>
          <w:rFonts w:ascii="Times New Roman" w:hAnsi="Times New Roman"/>
          <w:sz w:val="24"/>
          <w:szCs w:val="24"/>
        </w:rPr>
        <w:t>th (</w:t>
      </w:r>
      <w:r w:rsidR="00682171" w:rsidRPr="00476DF1">
        <w:rPr>
          <w:rFonts w:ascii="Times New Roman" w:hAnsi="Times New Roman"/>
          <w:sz w:val="24"/>
          <w:szCs w:val="24"/>
        </w:rPr>
        <w:t xml:space="preserve">HALL </w:t>
      </w:r>
      <w:r w:rsidR="00682171" w:rsidRPr="00476DF1">
        <w:rPr>
          <w:rFonts w:ascii="Times New Roman" w:hAnsi="Times New Roman"/>
          <w:i/>
          <w:sz w:val="24"/>
          <w:szCs w:val="24"/>
        </w:rPr>
        <w:t>et al</w:t>
      </w:r>
      <w:r w:rsidR="00682171" w:rsidRPr="00476DF1">
        <w:rPr>
          <w:rFonts w:ascii="Times New Roman" w:hAnsi="Times New Roman"/>
          <w:sz w:val="24"/>
          <w:szCs w:val="24"/>
        </w:rPr>
        <w:t>., 2001</w:t>
      </w:r>
      <w:r w:rsidR="004A7C87" w:rsidRPr="00476DF1">
        <w:rPr>
          <w:rFonts w:ascii="Times New Roman" w:hAnsi="Times New Roman"/>
          <w:sz w:val="24"/>
          <w:szCs w:val="24"/>
        </w:rPr>
        <w:t xml:space="preserve">; </w:t>
      </w:r>
      <w:r w:rsidR="00682171" w:rsidRPr="00476DF1">
        <w:rPr>
          <w:rFonts w:ascii="Times New Roman" w:hAnsi="Times New Roman"/>
          <w:sz w:val="24"/>
          <w:szCs w:val="24"/>
        </w:rPr>
        <w:t>LERNER</w:t>
      </w:r>
      <w:r w:rsidR="009D4E3C" w:rsidRPr="00476DF1">
        <w:rPr>
          <w:rFonts w:ascii="Times New Roman" w:hAnsi="Times New Roman"/>
          <w:sz w:val="24"/>
          <w:szCs w:val="24"/>
        </w:rPr>
        <w:t>, 1994</w:t>
      </w:r>
      <w:r w:rsidR="00682171" w:rsidRPr="00476DF1">
        <w:rPr>
          <w:rFonts w:ascii="Times New Roman" w:hAnsi="Times New Roman"/>
          <w:sz w:val="24"/>
          <w:szCs w:val="24"/>
        </w:rPr>
        <w:t>;</w:t>
      </w:r>
      <w:r w:rsidR="000A644D" w:rsidRPr="00476DF1">
        <w:rPr>
          <w:rFonts w:ascii="Times New Roman" w:hAnsi="Times New Roman"/>
          <w:sz w:val="24"/>
          <w:szCs w:val="24"/>
        </w:rPr>
        <w:fldChar w:fldCharType="begin" w:fldLock="1"/>
      </w:r>
      <w:r w:rsidR="009068B2" w:rsidRPr="00476DF1">
        <w:rPr>
          <w:rFonts w:ascii="Times New Roman" w:hAnsi="Times New Roman"/>
          <w:sz w:val="24"/>
          <w:szCs w:val="24"/>
        </w:rPr>
        <w:instrText>ADDIN CSL_CITATION { "citationItems" : [ { "id" : "ITEM-1", "itemData" : { "DOI" : "10.1016/j.respol.2014.09.005", "ISSN" : "0048-7333", "author" : [ { "dropping-particle" : "", "family" : "Novelli", "given" : "Elena", "non-dropping-particle" : "", "parse-names" : false, "suffix" : "" } ], "container-title" : "Research Policy", "id" : "ITEM-1", "issue" : "2", "issued" : { "date-parts" : [ [ "2015" ] ] }, "page" : "493-507", "publisher" : "Elsevier B.V.", "title" : "An examination of the antecedents and implications of patent scope", "type" : "article-journal", "volume" : "44" }, "uris" : [ "http://www.mendeley.com/documents/?uuid=a70a868b-475d-44cb-aab4-21ac1e6e922b" ] } ], "mendeley" : { "formattedCitation" : "(NOVELLI, 2015)", "manualFormatting" : " NOVELLI, 2015", "plainTextFormattedCitation" : "(NOVELLI, 2015)", "previouslyFormattedCitation" : "(NOVELLI, 2015)" }, "properties" : {  }, "schema" : "https://github.com/citation-style-language/schema/raw/master/csl-citation.json" }</w:instrText>
      </w:r>
      <w:r w:rsidR="000A644D" w:rsidRPr="00476DF1">
        <w:rPr>
          <w:rFonts w:ascii="Times New Roman" w:hAnsi="Times New Roman"/>
          <w:sz w:val="24"/>
          <w:szCs w:val="24"/>
        </w:rPr>
        <w:fldChar w:fldCharType="separate"/>
      </w:r>
      <w:r w:rsidR="00682171" w:rsidRPr="00476DF1">
        <w:rPr>
          <w:rFonts w:ascii="Times New Roman" w:hAnsi="Times New Roman"/>
          <w:noProof/>
          <w:sz w:val="24"/>
          <w:szCs w:val="24"/>
        </w:rPr>
        <w:t xml:space="preserve"> </w:t>
      </w:r>
      <w:r w:rsidR="000A644D" w:rsidRPr="00476DF1">
        <w:rPr>
          <w:rFonts w:ascii="Times New Roman" w:hAnsi="Times New Roman"/>
          <w:noProof/>
          <w:sz w:val="24"/>
          <w:szCs w:val="24"/>
        </w:rPr>
        <w:t>NOVELLI, 2015</w:t>
      </w:r>
      <w:r w:rsidR="000A644D" w:rsidRPr="00476DF1">
        <w:rPr>
          <w:rFonts w:ascii="Times New Roman" w:hAnsi="Times New Roman"/>
          <w:sz w:val="24"/>
          <w:szCs w:val="24"/>
        </w:rPr>
        <w:fldChar w:fldCharType="end"/>
      </w:r>
      <w:r w:rsidR="00682171" w:rsidRPr="00476DF1">
        <w:rPr>
          <w:rFonts w:ascii="Times New Roman" w:hAnsi="Times New Roman"/>
          <w:sz w:val="24"/>
          <w:szCs w:val="24"/>
        </w:rPr>
        <w:t>)</w:t>
      </w:r>
      <w:r w:rsidR="00AF75C4" w:rsidRPr="00476DF1">
        <w:rPr>
          <w:rFonts w:ascii="Times New Roman" w:hAnsi="Times New Roman"/>
          <w:sz w:val="24"/>
          <w:szCs w:val="24"/>
        </w:rPr>
        <w:t>. As</w:t>
      </w:r>
      <w:r w:rsidR="005C003E" w:rsidRPr="00476DF1">
        <w:rPr>
          <w:rFonts w:ascii="Times New Roman" w:hAnsi="Times New Roman"/>
          <w:sz w:val="24"/>
          <w:szCs w:val="24"/>
        </w:rPr>
        <w:t xml:space="preserve"> an outcome, the more classes </w:t>
      </w:r>
      <w:r w:rsidR="00AF75C4" w:rsidRPr="00476DF1">
        <w:rPr>
          <w:rFonts w:ascii="Times New Roman" w:hAnsi="Times New Roman"/>
          <w:sz w:val="24"/>
          <w:szCs w:val="24"/>
        </w:rPr>
        <w:t xml:space="preserve">that a patent </w:t>
      </w:r>
      <w:r w:rsidR="005C003E" w:rsidRPr="00476DF1">
        <w:rPr>
          <w:rFonts w:ascii="Times New Roman" w:hAnsi="Times New Roman"/>
          <w:sz w:val="24"/>
          <w:szCs w:val="24"/>
        </w:rPr>
        <w:t>addresse</w:t>
      </w:r>
      <w:r w:rsidR="00AF75C4" w:rsidRPr="00476DF1">
        <w:rPr>
          <w:rFonts w:ascii="Times New Roman" w:hAnsi="Times New Roman"/>
          <w:sz w:val="24"/>
          <w:szCs w:val="24"/>
        </w:rPr>
        <w:t>s</w:t>
      </w:r>
      <w:r w:rsidR="005C003E" w:rsidRPr="00476DF1">
        <w:rPr>
          <w:rFonts w:ascii="Times New Roman" w:hAnsi="Times New Roman"/>
          <w:sz w:val="24"/>
          <w:szCs w:val="24"/>
        </w:rPr>
        <w:t>, the larger is its brea</w:t>
      </w:r>
      <w:r w:rsidR="00AF75C4" w:rsidRPr="00476DF1">
        <w:rPr>
          <w:rFonts w:ascii="Times New Roman" w:hAnsi="Times New Roman"/>
          <w:sz w:val="24"/>
          <w:szCs w:val="24"/>
        </w:rPr>
        <w:t>d</w:t>
      </w:r>
      <w:r w:rsidR="005C003E" w:rsidRPr="00476DF1">
        <w:rPr>
          <w:rFonts w:ascii="Times New Roman" w:hAnsi="Times New Roman"/>
          <w:sz w:val="24"/>
          <w:szCs w:val="24"/>
        </w:rPr>
        <w:t>th, thus indicating a wider knowledge scope (LERNER, 1994; NOVELLI, 2015).</w:t>
      </w:r>
    </w:p>
    <w:p w14:paraId="69132774" w14:textId="66042217" w:rsidR="00B027A0" w:rsidRPr="00476DF1" w:rsidRDefault="005C003E"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M</w:t>
      </w:r>
      <w:r w:rsidR="00B027A0" w:rsidRPr="00476DF1">
        <w:rPr>
          <w:rFonts w:ascii="Times New Roman" w:hAnsi="Times New Roman"/>
          <w:sz w:val="24"/>
          <w:szCs w:val="24"/>
        </w:rPr>
        <w:t>ostly important,</w:t>
      </w:r>
      <w:r w:rsidR="005429A2" w:rsidRPr="00476DF1">
        <w:rPr>
          <w:rFonts w:ascii="Times New Roman" w:hAnsi="Times New Roman"/>
          <w:sz w:val="24"/>
          <w:szCs w:val="24"/>
        </w:rPr>
        <w:t xml:space="preserve"> </w:t>
      </w:r>
      <w:r w:rsidR="00350615" w:rsidRPr="00476DF1">
        <w:rPr>
          <w:rFonts w:ascii="Times New Roman" w:hAnsi="Times New Roman"/>
          <w:sz w:val="24"/>
          <w:szCs w:val="24"/>
        </w:rPr>
        <w:t xml:space="preserve">these </w:t>
      </w:r>
      <w:r w:rsidRPr="00476DF1">
        <w:rPr>
          <w:rFonts w:ascii="Times New Roman" w:hAnsi="Times New Roman"/>
          <w:sz w:val="24"/>
          <w:szCs w:val="24"/>
        </w:rPr>
        <w:t xml:space="preserve">classes </w:t>
      </w:r>
      <w:r w:rsidR="005429A2" w:rsidRPr="00476DF1">
        <w:rPr>
          <w:rFonts w:ascii="Times New Roman" w:hAnsi="Times New Roman"/>
          <w:sz w:val="24"/>
          <w:szCs w:val="24"/>
        </w:rPr>
        <w:t xml:space="preserve">can summarize the technological capabilities </w:t>
      </w:r>
      <w:r w:rsidR="00B027A0" w:rsidRPr="00476DF1">
        <w:rPr>
          <w:rFonts w:ascii="Times New Roman" w:hAnsi="Times New Roman"/>
          <w:sz w:val="24"/>
          <w:szCs w:val="24"/>
        </w:rPr>
        <w:t xml:space="preserve">necessary </w:t>
      </w:r>
      <w:r w:rsidR="00350615" w:rsidRPr="00476DF1">
        <w:rPr>
          <w:rFonts w:ascii="Times New Roman" w:hAnsi="Times New Roman"/>
          <w:sz w:val="24"/>
          <w:szCs w:val="24"/>
        </w:rPr>
        <w:t>for a patent in a specific</w:t>
      </w:r>
      <w:r w:rsidR="00B027A0" w:rsidRPr="00476DF1">
        <w:rPr>
          <w:rFonts w:ascii="Times New Roman" w:hAnsi="Times New Roman"/>
          <w:sz w:val="24"/>
          <w:szCs w:val="24"/>
        </w:rPr>
        <w:t xml:space="preserve"> class </w:t>
      </w:r>
      <w:r w:rsidR="005429A2" w:rsidRPr="00476DF1">
        <w:rPr>
          <w:rFonts w:ascii="Times New Roman" w:hAnsi="Times New Roman"/>
          <w:sz w:val="24"/>
          <w:szCs w:val="24"/>
        </w:rPr>
        <w:t>(STRUMSKY</w:t>
      </w:r>
      <w:r w:rsidR="008E3EFA" w:rsidRPr="00476DF1">
        <w:rPr>
          <w:rFonts w:ascii="Times New Roman" w:hAnsi="Times New Roman"/>
          <w:sz w:val="24"/>
          <w:szCs w:val="24"/>
        </w:rPr>
        <w:t>,</w:t>
      </w:r>
      <w:r w:rsidR="005429A2" w:rsidRPr="00476DF1">
        <w:rPr>
          <w:rFonts w:ascii="Times New Roman" w:hAnsi="Times New Roman"/>
          <w:sz w:val="24"/>
          <w:szCs w:val="24"/>
        </w:rPr>
        <w:t xml:space="preserve"> LOBO, 2015</w:t>
      </w:r>
      <w:r w:rsidR="008E3EFA" w:rsidRPr="00476DF1">
        <w:rPr>
          <w:rFonts w:ascii="Times New Roman" w:hAnsi="Times New Roman"/>
          <w:sz w:val="24"/>
          <w:szCs w:val="24"/>
        </w:rPr>
        <w:t xml:space="preserve">; </w:t>
      </w:r>
      <w:r w:rsidR="008E3EFA" w:rsidRPr="00476DF1">
        <w:rPr>
          <w:rFonts w:ascii="Times New Roman" w:hAnsi="Times New Roman"/>
          <w:sz w:val="24"/>
          <w:szCs w:val="24"/>
        </w:rPr>
        <w:fldChar w:fldCharType="begin" w:fldLock="1"/>
      </w:r>
      <w:r w:rsidR="008E3EFA" w:rsidRPr="00476DF1">
        <w:rPr>
          <w:rFonts w:ascii="Times New Roman" w:hAnsi="Times New Roman"/>
          <w:sz w:val="24"/>
          <w:szCs w:val="24"/>
        </w:rPr>
        <w:instrText>ADDIN CSL_CITATION { "citationItems" : [ { "id" : "ITEM-1", "itemData" : { "DOI" : "10.1016/j.respol.2015.11.010", "ISSN" : "00487333", "abstract" : "This study provides a new, more comprehensive measurement of technological novelty. Integrating insights from the existing economics and management literature, we characterize inventions ex ante along two dimensions of technological novelty: Novelty in Recombination and Novelty in Knowledge Origins. For the latter dimension we distinguish between Novel Technological and Novel Scientific Origins. For each dimension we propose an operationalization using patent classification and citation information. Results indicate that the proposed measures for the different dimensions of technological novelty are correlated, but each conveys different information. We perform a series of analyses to assess the validity of the proposed measures and compare them with other indicators used in the literature. Moreover, an analysis of the technological impact of inventions identified as novel shows that technological novelty increases the variance of technological impact and the likelihood of being among the positive outliers with respect to impact. This holds particularly for those inventions that combine Novelty in Recombination with Novelty in Technological and Scientific Origins. Overall, the results support our indicator as ex ante measure of technological novelty with the potential to drive radical technological change.", "author" : [ { "dropping-particle" : "", "family" : "Verhoeven", "given" : "Dennis", "non-dropping-particle" : "", "parse-names" : false, "suffix" : "" }, { "dropping-particle" : "", "family" : "Bakker", "given" : "Jurri??n", "non-dropping-particle" : "", "parse-names" : false, "suffix" : "" }, { "dropping-particle" : "", "family" : "Veugelers", "given" : "Reinhilde", "non-dropping-particle" : "", "parse-names" : false, "suffix" : "" } ], "container-title" : "Research Policy", "id" : "ITEM-1", "issue" : "3", "issued" : { "date-parts" : [ [ "2016" ] ] }, "page" : "707-723", "publisher" : "Elsevier B.V.", "title" : "Measuring technological novelty with patent-based indicators", "type" : "article-journal", "volume" : "45" }, "uris" : [ "http://www.mendeley.com/documents/?uuid=af29bceb-2634-4ab9-8bbc-99120f670b5c" ] } ], "mendeley" : { "formattedCitation" : "(VERHOEVEN; BAKKER; VEUGELERS, 2016)", "manualFormatting" : "VERHOEVEN; BAKKER; VEUGELERS, 2016)", "plainTextFormattedCitation" : "(VERHOEVEN; BAKKER; VEUGELERS, 2016)", "previouslyFormattedCitation" : "(VERHOEVEN; BAKKER; VEUGELERS, 2016)" }, "properties" : {  }, "schema" : "https://github.com/citation-style-language/schema/raw/master/csl-citation.json" }</w:instrText>
      </w:r>
      <w:r w:rsidR="008E3EFA" w:rsidRPr="00476DF1">
        <w:rPr>
          <w:rFonts w:ascii="Times New Roman" w:hAnsi="Times New Roman"/>
          <w:sz w:val="24"/>
          <w:szCs w:val="24"/>
        </w:rPr>
        <w:fldChar w:fldCharType="separate"/>
      </w:r>
      <w:r w:rsidR="008E3EFA" w:rsidRPr="00476DF1">
        <w:rPr>
          <w:rFonts w:ascii="Times New Roman" w:hAnsi="Times New Roman"/>
          <w:noProof/>
          <w:sz w:val="24"/>
          <w:szCs w:val="24"/>
        </w:rPr>
        <w:t>VERHOEVEN; BAKKER; VEUGELERS, 2016)</w:t>
      </w:r>
      <w:r w:rsidR="008E3EFA" w:rsidRPr="00476DF1">
        <w:rPr>
          <w:rFonts w:ascii="Times New Roman" w:hAnsi="Times New Roman"/>
          <w:sz w:val="24"/>
          <w:szCs w:val="24"/>
        </w:rPr>
        <w:fldChar w:fldCharType="end"/>
      </w:r>
      <w:r w:rsidR="009D4E3C" w:rsidRPr="00476DF1">
        <w:rPr>
          <w:rFonts w:ascii="Times New Roman" w:hAnsi="Times New Roman"/>
          <w:sz w:val="24"/>
          <w:szCs w:val="24"/>
        </w:rPr>
        <w:t xml:space="preserve">. </w:t>
      </w:r>
      <w:r w:rsidR="00B027A0" w:rsidRPr="00476DF1">
        <w:rPr>
          <w:rFonts w:ascii="Times New Roman" w:hAnsi="Times New Roman"/>
          <w:sz w:val="24"/>
          <w:szCs w:val="24"/>
        </w:rPr>
        <w:t>Theoretically,</w:t>
      </w:r>
      <w:r w:rsidR="00350615" w:rsidRPr="00476DF1">
        <w:rPr>
          <w:rFonts w:ascii="Times New Roman" w:hAnsi="Times New Roman"/>
          <w:sz w:val="24"/>
          <w:szCs w:val="24"/>
        </w:rPr>
        <w:t xml:space="preserve"> from the point of view of</w:t>
      </w:r>
      <w:r w:rsidR="000A644D" w:rsidRPr="00476DF1">
        <w:rPr>
          <w:rFonts w:ascii="Times New Roman" w:hAnsi="Times New Roman"/>
          <w:sz w:val="24"/>
          <w:szCs w:val="24"/>
        </w:rPr>
        <w:t xml:space="preserve"> N</w:t>
      </w:r>
      <w:r w:rsidR="004A7C87" w:rsidRPr="00476DF1">
        <w:rPr>
          <w:rFonts w:ascii="Times New Roman" w:hAnsi="Times New Roman"/>
          <w:sz w:val="24"/>
          <w:szCs w:val="24"/>
        </w:rPr>
        <w:t>ELSON</w:t>
      </w:r>
      <w:r w:rsidR="008E3EFA" w:rsidRPr="00476DF1">
        <w:rPr>
          <w:rFonts w:ascii="Times New Roman" w:hAnsi="Times New Roman"/>
          <w:sz w:val="24"/>
          <w:szCs w:val="24"/>
        </w:rPr>
        <w:t>;</w:t>
      </w:r>
      <w:r w:rsidR="004A7C87" w:rsidRPr="00476DF1">
        <w:rPr>
          <w:rFonts w:ascii="Times New Roman" w:hAnsi="Times New Roman"/>
          <w:sz w:val="24"/>
          <w:szCs w:val="24"/>
        </w:rPr>
        <w:t xml:space="preserve"> WINTER </w:t>
      </w:r>
      <w:r w:rsidR="000A644D" w:rsidRPr="00476DF1">
        <w:rPr>
          <w:rFonts w:ascii="Times New Roman" w:hAnsi="Times New Roman"/>
          <w:sz w:val="24"/>
          <w:szCs w:val="24"/>
        </w:rPr>
        <w:t xml:space="preserve">(1982), </w:t>
      </w:r>
      <w:r w:rsidR="007050AC" w:rsidRPr="00476DF1">
        <w:rPr>
          <w:rFonts w:ascii="Times New Roman" w:hAnsi="Times New Roman"/>
          <w:sz w:val="24"/>
          <w:szCs w:val="24"/>
        </w:rPr>
        <w:t xml:space="preserve">a patent class and its subclass encompass </w:t>
      </w:r>
      <w:r w:rsidR="000A644D" w:rsidRPr="00476DF1">
        <w:rPr>
          <w:rFonts w:ascii="Times New Roman" w:hAnsi="Times New Roman"/>
          <w:sz w:val="24"/>
          <w:szCs w:val="24"/>
        </w:rPr>
        <w:t xml:space="preserve">a knowledge neighborhood, </w:t>
      </w:r>
      <w:r w:rsidR="003076B9" w:rsidRPr="00476DF1">
        <w:rPr>
          <w:rFonts w:ascii="Times New Roman" w:hAnsi="Times New Roman"/>
          <w:sz w:val="24"/>
          <w:szCs w:val="24"/>
        </w:rPr>
        <w:t xml:space="preserve">which is </w:t>
      </w:r>
      <w:r w:rsidR="005A4D1D" w:rsidRPr="00476DF1">
        <w:rPr>
          <w:rFonts w:ascii="Times New Roman" w:hAnsi="Times New Roman"/>
          <w:sz w:val="24"/>
          <w:szCs w:val="24"/>
        </w:rPr>
        <w:t xml:space="preserve">much closer to the results of search activities than the patent </w:t>
      </w:r>
      <w:r w:rsidR="00033B1A" w:rsidRPr="00476DF1">
        <w:rPr>
          <w:rFonts w:ascii="Times New Roman" w:hAnsi="Times New Roman"/>
          <w:sz w:val="24"/>
          <w:szCs w:val="24"/>
        </w:rPr>
        <w:t>alone</w:t>
      </w:r>
      <w:r w:rsidR="005A4D1D" w:rsidRPr="00476DF1">
        <w:rPr>
          <w:rFonts w:ascii="Times New Roman" w:hAnsi="Times New Roman"/>
          <w:sz w:val="24"/>
          <w:szCs w:val="24"/>
        </w:rPr>
        <w:t xml:space="preserve">. </w:t>
      </w:r>
    </w:p>
    <w:p w14:paraId="48F7442C" w14:textId="0F385078" w:rsidR="009D4E3C" w:rsidRPr="00476DF1" w:rsidRDefault="00A44070"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In essence, </w:t>
      </w:r>
      <w:r w:rsidR="00726537" w:rsidRPr="00476DF1">
        <w:rPr>
          <w:rFonts w:ascii="Times New Roman" w:hAnsi="Times New Roman"/>
          <w:sz w:val="24"/>
          <w:szCs w:val="24"/>
        </w:rPr>
        <w:t>Big Pharma</w:t>
      </w:r>
      <w:r w:rsidR="009D4E3C" w:rsidRPr="00476DF1">
        <w:rPr>
          <w:rFonts w:ascii="Times New Roman" w:hAnsi="Times New Roman"/>
          <w:sz w:val="24"/>
          <w:szCs w:val="24"/>
        </w:rPr>
        <w:t xml:space="preserve"> acquire</w:t>
      </w:r>
      <w:r w:rsidR="003076B9" w:rsidRPr="00476DF1">
        <w:rPr>
          <w:rFonts w:ascii="Times New Roman" w:hAnsi="Times New Roman"/>
          <w:sz w:val="24"/>
          <w:szCs w:val="24"/>
        </w:rPr>
        <w:t>s</w:t>
      </w:r>
      <w:r w:rsidR="009D4E3C" w:rsidRPr="00476DF1">
        <w:rPr>
          <w:rFonts w:ascii="Times New Roman" w:hAnsi="Times New Roman"/>
          <w:sz w:val="24"/>
          <w:szCs w:val="24"/>
        </w:rPr>
        <w:t xml:space="preserve"> a small firm</w:t>
      </w:r>
      <w:r w:rsidR="003076B9" w:rsidRPr="00476DF1">
        <w:rPr>
          <w:rFonts w:ascii="Times New Roman" w:hAnsi="Times New Roman"/>
          <w:sz w:val="24"/>
          <w:szCs w:val="24"/>
        </w:rPr>
        <w:t xml:space="preserve"> and can</w:t>
      </w:r>
      <w:r w:rsidR="009D4E3C" w:rsidRPr="00476DF1">
        <w:rPr>
          <w:rFonts w:ascii="Times New Roman" w:hAnsi="Times New Roman"/>
          <w:sz w:val="24"/>
          <w:szCs w:val="24"/>
        </w:rPr>
        <w:t xml:space="preserve"> access the technical knowledge </w:t>
      </w:r>
      <w:r w:rsidR="003076B9" w:rsidRPr="00476DF1">
        <w:rPr>
          <w:rFonts w:ascii="Times New Roman" w:hAnsi="Times New Roman"/>
          <w:sz w:val="24"/>
          <w:szCs w:val="24"/>
        </w:rPr>
        <w:t>the firm possesses in</w:t>
      </w:r>
      <w:r w:rsidR="009D4E3C" w:rsidRPr="00476DF1">
        <w:rPr>
          <w:rFonts w:ascii="Times New Roman" w:hAnsi="Times New Roman"/>
          <w:sz w:val="24"/>
          <w:szCs w:val="24"/>
        </w:rPr>
        <w:t xml:space="preserve"> the form of </w:t>
      </w:r>
      <w:r w:rsidR="003076B9" w:rsidRPr="00476DF1">
        <w:rPr>
          <w:rFonts w:ascii="Times New Roman" w:hAnsi="Times New Roman"/>
          <w:sz w:val="24"/>
          <w:szCs w:val="24"/>
        </w:rPr>
        <w:t xml:space="preserve">its </w:t>
      </w:r>
      <w:r w:rsidR="009D4E3C" w:rsidRPr="00476DF1">
        <w:rPr>
          <w:rFonts w:ascii="Times New Roman" w:hAnsi="Times New Roman"/>
          <w:sz w:val="24"/>
          <w:szCs w:val="24"/>
        </w:rPr>
        <w:t>patents</w:t>
      </w:r>
      <w:r w:rsidR="00B6565B" w:rsidRPr="00476DF1">
        <w:rPr>
          <w:rFonts w:ascii="Times New Roman" w:hAnsi="Times New Roman"/>
          <w:sz w:val="24"/>
          <w:szCs w:val="24"/>
        </w:rPr>
        <w:t xml:space="preserve"> (</w:t>
      </w:r>
      <w:r w:rsidR="00460118" w:rsidRPr="00476DF1">
        <w:rPr>
          <w:rFonts w:ascii="Times New Roman" w:hAnsi="Times New Roman"/>
          <w:sz w:val="24"/>
          <w:szCs w:val="24"/>
        </w:rPr>
        <w:t>AUTHOR</w:t>
      </w:r>
      <w:r w:rsidR="00B6565B" w:rsidRPr="00476DF1">
        <w:rPr>
          <w:rFonts w:ascii="Times New Roman" w:hAnsi="Times New Roman"/>
          <w:sz w:val="24"/>
          <w:szCs w:val="24"/>
        </w:rPr>
        <w:t>, 2016)</w:t>
      </w:r>
      <w:r w:rsidR="009D4E3C" w:rsidRPr="00476DF1">
        <w:rPr>
          <w:rFonts w:ascii="Times New Roman" w:hAnsi="Times New Roman"/>
          <w:sz w:val="24"/>
          <w:szCs w:val="24"/>
        </w:rPr>
        <w:t>.</w:t>
      </w:r>
      <w:r w:rsidR="004A7C87" w:rsidRPr="00476DF1">
        <w:rPr>
          <w:rFonts w:ascii="Times New Roman" w:hAnsi="Times New Roman"/>
          <w:sz w:val="24"/>
          <w:szCs w:val="24"/>
        </w:rPr>
        <w:t xml:space="preserve"> </w:t>
      </w:r>
      <w:r w:rsidR="00B6565B" w:rsidRPr="00476DF1">
        <w:rPr>
          <w:rFonts w:ascii="Times New Roman" w:hAnsi="Times New Roman"/>
          <w:sz w:val="24"/>
          <w:szCs w:val="24"/>
        </w:rPr>
        <w:t>Nevertheless, i</w:t>
      </w:r>
      <w:r w:rsidR="009D4E3C" w:rsidRPr="00476DF1">
        <w:rPr>
          <w:rFonts w:ascii="Times New Roman" w:hAnsi="Times New Roman"/>
          <w:sz w:val="24"/>
          <w:szCs w:val="24"/>
        </w:rPr>
        <w:t>ncorporating this kind of knowledge</w:t>
      </w:r>
      <w:r w:rsidR="003076B9" w:rsidRPr="00476DF1">
        <w:rPr>
          <w:rFonts w:ascii="Times New Roman" w:hAnsi="Times New Roman"/>
          <w:sz w:val="24"/>
          <w:szCs w:val="24"/>
        </w:rPr>
        <w:t xml:space="preserve"> and</w:t>
      </w:r>
      <w:r w:rsidR="009D4E3C" w:rsidRPr="00476DF1">
        <w:rPr>
          <w:rFonts w:ascii="Times New Roman" w:hAnsi="Times New Roman"/>
          <w:sz w:val="24"/>
          <w:szCs w:val="24"/>
        </w:rPr>
        <w:t xml:space="preserve"> turning it </w:t>
      </w:r>
      <w:r w:rsidR="003076B9" w:rsidRPr="00476DF1">
        <w:rPr>
          <w:rFonts w:ascii="Times New Roman" w:hAnsi="Times New Roman"/>
          <w:sz w:val="24"/>
          <w:szCs w:val="24"/>
        </w:rPr>
        <w:t xml:space="preserve">into </w:t>
      </w:r>
      <w:r w:rsidR="009D4E3C" w:rsidRPr="00476DF1">
        <w:rPr>
          <w:rFonts w:ascii="Times New Roman" w:hAnsi="Times New Roman"/>
          <w:sz w:val="24"/>
          <w:szCs w:val="24"/>
        </w:rPr>
        <w:t>competences and routines demands learning efforts from the acquir</w:t>
      </w:r>
      <w:r w:rsidR="003076B9" w:rsidRPr="00476DF1">
        <w:rPr>
          <w:rFonts w:ascii="Times New Roman" w:hAnsi="Times New Roman"/>
          <w:sz w:val="24"/>
          <w:szCs w:val="24"/>
        </w:rPr>
        <w:t>er</w:t>
      </w:r>
      <w:r w:rsidR="009D4E3C" w:rsidRPr="00476DF1">
        <w:rPr>
          <w:rFonts w:ascii="Times New Roman" w:hAnsi="Times New Roman"/>
          <w:sz w:val="24"/>
          <w:szCs w:val="24"/>
        </w:rPr>
        <w:t xml:space="preserve">. Arguably, a small company can offer a </w:t>
      </w:r>
      <w:r w:rsidR="00726537" w:rsidRPr="00476DF1">
        <w:rPr>
          <w:rFonts w:ascii="Times New Roman" w:hAnsi="Times New Roman"/>
          <w:sz w:val="24"/>
          <w:szCs w:val="24"/>
        </w:rPr>
        <w:t>Big Pharma</w:t>
      </w:r>
      <w:r w:rsidR="009D4E3C" w:rsidRPr="00476DF1">
        <w:rPr>
          <w:rFonts w:ascii="Times New Roman" w:hAnsi="Times New Roman"/>
          <w:sz w:val="24"/>
          <w:szCs w:val="24"/>
        </w:rPr>
        <w:t xml:space="preserve"> enterprise only a potential technical contribution that </w:t>
      </w:r>
      <w:r w:rsidR="003076B9" w:rsidRPr="00476DF1">
        <w:rPr>
          <w:rFonts w:ascii="Times New Roman" w:hAnsi="Times New Roman"/>
          <w:sz w:val="24"/>
          <w:szCs w:val="24"/>
        </w:rPr>
        <w:t xml:space="preserve">also </w:t>
      </w:r>
      <w:r w:rsidR="009D4E3C" w:rsidRPr="00476DF1">
        <w:rPr>
          <w:rFonts w:ascii="Times New Roman" w:hAnsi="Times New Roman"/>
          <w:sz w:val="24"/>
          <w:szCs w:val="24"/>
        </w:rPr>
        <w:t xml:space="preserve">depends on knowledgebase relatedness. </w:t>
      </w:r>
      <w:r w:rsidR="0050783A" w:rsidRPr="00476DF1">
        <w:rPr>
          <w:rFonts w:ascii="Times New Roman" w:hAnsi="Times New Roman"/>
          <w:sz w:val="24"/>
          <w:szCs w:val="24"/>
        </w:rPr>
        <w:t>Thus</w:t>
      </w:r>
      <w:r w:rsidR="009D4E3C" w:rsidRPr="00476DF1">
        <w:rPr>
          <w:rFonts w:ascii="Times New Roman" w:hAnsi="Times New Roman"/>
          <w:sz w:val="24"/>
          <w:szCs w:val="24"/>
        </w:rPr>
        <w:t xml:space="preserve">, patents </w:t>
      </w:r>
      <w:r w:rsidR="003076B9" w:rsidRPr="00476DF1">
        <w:rPr>
          <w:rFonts w:ascii="Times New Roman" w:hAnsi="Times New Roman"/>
          <w:sz w:val="24"/>
          <w:szCs w:val="24"/>
        </w:rPr>
        <w:t xml:space="preserve">indicate </w:t>
      </w:r>
      <w:r w:rsidR="009D4E3C" w:rsidRPr="00476DF1">
        <w:rPr>
          <w:rFonts w:ascii="Times New Roman" w:hAnsi="Times New Roman"/>
          <w:sz w:val="24"/>
          <w:szCs w:val="24"/>
        </w:rPr>
        <w:t xml:space="preserve">a potential contribution. </w:t>
      </w:r>
    </w:p>
    <w:p w14:paraId="3788E8A7" w14:textId="53D29326" w:rsidR="003076B9" w:rsidRPr="00476DF1" w:rsidRDefault="00FB5391"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Besides </w:t>
      </w:r>
      <w:r w:rsidR="003076B9" w:rsidRPr="00476DF1">
        <w:rPr>
          <w:rFonts w:ascii="Times New Roman" w:hAnsi="Times New Roman"/>
          <w:sz w:val="24"/>
          <w:szCs w:val="24"/>
        </w:rPr>
        <w:t xml:space="preserve">as </w:t>
      </w:r>
      <w:r w:rsidRPr="00476DF1">
        <w:rPr>
          <w:rFonts w:ascii="Times New Roman" w:hAnsi="Times New Roman"/>
          <w:sz w:val="24"/>
          <w:szCs w:val="24"/>
        </w:rPr>
        <w:t>potential inputs</w:t>
      </w:r>
      <w:r w:rsidR="001D350A" w:rsidRPr="00476DF1">
        <w:rPr>
          <w:rFonts w:ascii="Times New Roman" w:hAnsi="Times New Roman"/>
          <w:sz w:val="24"/>
          <w:szCs w:val="24"/>
        </w:rPr>
        <w:t xml:space="preserve"> for building new technol</w:t>
      </w:r>
      <w:r w:rsidRPr="00476DF1">
        <w:rPr>
          <w:rFonts w:ascii="Times New Roman" w:hAnsi="Times New Roman"/>
          <w:sz w:val="24"/>
          <w:szCs w:val="24"/>
        </w:rPr>
        <w:t>o</w:t>
      </w:r>
      <w:r w:rsidR="001D350A" w:rsidRPr="00476DF1">
        <w:rPr>
          <w:rFonts w:ascii="Times New Roman" w:hAnsi="Times New Roman"/>
          <w:sz w:val="24"/>
          <w:szCs w:val="24"/>
        </w:rPr>
        <w:t>g</w:t>
      </w:r>
      <w:r w:rsidRPr="00476DF1">
        <w:rPr>
          <w:rFonts w:ascii="Times New Roman" w:hAnsi="Times New Roman"/>
          <w:sz w:val="24"/>
          <w:szCs w:val="24"/>
        </w:rPr>
        <w:t>ies</w:t>
      </w:r>
      <w:r w:rsidR="001D350A" w:rsidRPr="00476DF1">
        <w:rPr>
          <w:rFonts w:ascii="Times New Roman" w:hAnsi="Times New Roman"/>
          <w:sz w:val="24"/>
          <w:szCs w:val="24"/>
        </w:rPr>
        <w:t xml:space="preserve">, </w:t>
      </w:r>
      <w:r w:rsidRPr="00476DF1">
        <w:rPr>
          <w:rFonts w:ascii="Times New Roman" w:hAnsi="Times New Roman"/>
          <w:sz w:val="24"/>
          <w:szCs w:val="24"/>
        </w:rPr>
        <w:t xml:space="preserve">patents </w:t>
      </w:r>
      <w:r w:rsidR="001D350A" w:rsidRPr="00476DF1">
        <w:rPr>
          <w:rFonts w:ascii="Times New Roman" w:hAnsi="Times New Roman"/>
          <w:sz w:val="24"/>
          <w:szCs w:val="24"/>
        </w:rPr>
        <w:t>represent a small part</w:t>
      </w:r>
      <w:r w:rsidRPr="00476DF1">
        <w:rPr>
          <w:rFonts w:ascii="Times New Roman" w:hAnsi="Times New Roman"/>
          <w:sz w:val="24"/>
          <w:szCs w:val="24"/>
        </w:rPr>
        <w:t xml:space="preserve"> of these inputs</w:t>
      </w:r>
      <w:r w:rsidR="001D350A" w:rsidRPr="00476DF1">
        <w:rPr>
          <w:rFonts w:ascii="Times New Roman" w:hAnsi="Times New Roman"/>
          <w:sz w:val="24"/>
          <w:szCs w:val="24"/>
        </w:rPr>
        <w:t xml:space="preserve">. </w:t>
      </w:r>
      <w:r w:rsidR="003076B9" w:rsidRPr="00476DF1">
        <w:rPr>
          <w:rFonts w:ascii="Times New Roman" w:hAnsi="Times New Roman"/>
          <w:sz w:val="24"/>
          <w:szCs w:val="24"/>
        </w:rPr>
        <w:t>R&amp;D-related employees are a</w:t>
      </w:r>
      <w:r w:rsidR="001D350A" w:rsidRPr="00476DF1">
        <w:rPr>
          <w:rFonts w:ascii="Times New Roman" w:hAnsi="Times New Roman"/>
          <w:sz w:val="24"/>
          <w:szCs w:val="24"/>
        </w:rPr>
        <w:t>nother relevant element</w:t>
      </w:r>
      <w:r w:rsidR="003076B9" w:rsidRPr="00476DF1">
        <w:rPr>
          <w:rFonts w:ascii="Times New Roman" w:hAnsi="Times New Roman"/>
          <w:sz w:val="24"/>
          <w:szCs w:val="24"/>
        </w:rPr>
        <w:t xml:space="preserve"> that acquirers use to improve and create</w:t>
      </w:r>
      <w:r w:rsidR="001D350A" w:rsidRPr="00476DF1">
        <w:rPr>
          <w:rFonts w:ascii="Times New Roman" w:hAnsi="Times New Roman"/>
          <w:sz w:val="24"/>
          <w:szCs w:val="24"/>
        </w:rPr>
        <w:t xml:space="preserve"> new </w:t>
      </w:r>
      <w:r w:rsidRPr="00476DF1">
        <w:rPr>
          <w:rFonts w:ascii="Times New Roman" w:hAnsi="Times New Roman"/>
          <w:sz w:val="24"/>
          <w:szCs w:val="24"/>
        </w:rPr>
        <w:t xml:space="preserve">technologies and </w:t>
      </w:r>
      <w:r w:rsidR="001D350A" w:rsidRPr="00476DF1">
        <w:rPr>
          <w:rFonts w:ascii="Times New Roman" w:hAnsi="Times New Roman"/>
          <w:sz w:val="24"/>
          <w:szCs w:val="24"/>
        </w:rPr>
        <w:t>competences</w:t>
      </w:r>
      <w:r w:rsidRPr="00476DF1">
        <w:rPr>
          <w:rFonts w:ascii="Times New Roman" w:hAnsi="Times New Roman"/>
          <w:sz w:val="24"/>
          <w:szCs w:val="24"/>
        </w:rPr>
        <w:t>.</w:t>
      </w:r>
      <w:r w:rsidR="001D350A" w:rsidRPr="00476DF1">
        <w:rPr>
          <w:rFonts w:ascii="Times New Roman" w:hAnsi="Times New Roman"/>
          <w:sz w:val="24"/>
          <w:szCs w:val="24"/>
        </w:rPr>
        <w:t xml:space="preserve"> </w:t>
      </w:r>
      <w:r w:rsidR="003076B9" w:rsidRPr="00476DF1">
        <w:rPr>
          <w:rFonts w:ascii="Times New Roman" w:hAnsi="Times New Roman"/>
          <w:sz w:val="24"/>
          <w:szCs w:val="24"/>
        </w:rPr>
        <w:t>We discuss this subject in</w:t>
      </w:r>
      <w:r w:rsidR="001D350A" w:rsidRPr="00476DF1">
        <w:rPr>
          <w:rFonts w:ascii="Times New Roman" w:hAnsi="Times New Roman"/>
          <w:sz w:val="24"/>
          <w:szCs w:val="24"/>
        </w:rPr>
        <w:t xml:space="preserve"> the next section</w:t>
      </w:r>
      <w:r w:rsidR="0050783A" w:rsidRPr="00476DF1">
        <w:rPr>
          <w:rFonts w:ascii="Times New Roman" w:hAnsi="Times New Roman"/>
          <w:sz w:val="24"/>
          <w:szCs w:val="24"/>
        </w:rPr>
        <w:t>.</w:t>
      </w:r>
    </w:p>
    <w:p w14:paraId="04869BC7" w14:textId="10C5CE6A" w:rsidR="0052774D" w:rsidRPr="00476DF1" w:rsidRDefault="001A7103" w:rsidP="00CE4BBE">
      <w:pPr>
        <w:pStyle w:val="Ttulo2"/>
        <w:spacing w:line="240" w:lineRule="auto"/>
        <w:ind w:left="1429" w:hanging="578"/>
      </w:pPr>
      <w:bookmarkStart w:id="5" w:name="_Toc465158047"/>
      <w:bookmarkStart w:id="6" w:name="_Toc465849070"/>
      <w:r w:rsidRPr="00476DF1">
        <w:t xml:space="preserve">The role of </w:t>
      </w:r>
      <w:r w:rsidR="002A7D63" w:rsidRPr="00476DF1">
        <w:t xml:space="preserve">scientists </w:t>
      </w:r>
      <w:r w:rsidRPr="00476DF1">
        <w:t xml:space="preserve">in </w:t>
      </w:r>
      <w:r w:rsidR="003076B9" w:rsidRPr="00476DF1">
        <w:t xml:space="preserve">an </w:t>
      </w:r>
      <w:r w:rsidRPr="00476DF1">
        <w:t>enterprise</w:t>
      </w:r>
      <w:r w:rsidR="003076B9" w:rsidRPr="00476DF1">
        <w:t>’</w:t>
      </w:r>
      <w:r w:rsidRPr="00476DF1">
        <w:t>s</w:t>
      </w:r>
      <w:r w:rsidR="002A7D63" w:rsidRPr="00476DF1">
        <w:t xml:space="preserve"> </w:t>
      </w:r>
      <w:r w:rsidR="003076B9" w:rsidRPr="00476DF1">
        <w:t xml:space="preserve">innovation </w:t>
      </w:r>
      <w:r w:rsidR="002A7D63" w:rsidRPr="00476DF1">
        <w:t>activities</w:t>
      </w:r>
      <w:bookmarkEnd w:id="5"/>
      <w:bookmarkEnd w:id="6"/>
    </w:p>
    <w:p w14:paraId="44E28F28" w14:textId="126E1B23" w:rsidR="006B145A" w:rsidRPr="00476DF1" w:rsidRDefault="003076B9" w:rsidP="00CE4BBE">
      <w:pPr>
        <w:spacing w:after="0" w:line="240" w:lineRule="auto"/>
        <w:ind w:firstLine="720"/>
        <w:jc w:val="both"/>
        <w:rPr>
          <w:rFonts w:ascii="Times New Roman" w:eastAsia="Times New Roman" w:hAnsi="Times New Roman"/>
          <w:sz w:val="24"/>
          <w:szCs w:val="24"/>
          <w:shd w:val="clear" w:color="auto" w:fill="FFFFFF"/>
        </w:rPr>
      </w:pPr>
      <w:r w:rsidRPr="00476DF1">
        <w:rPr>
          <w:rFonts w:ascii="Times New Roman" w:eastAsia="Times New Roman" w:hAnsi="Times New Roman"/>
          <w:sz w:val="24"/>
          <w:szCs w:val="24"/>
          <w:shd w:val="clear" w:color="auto" w:fill="FFFFFF"/>
        </w:rPr>
        <w:t xml:space="preserve">Within </w:t>
      </w:r>
      <w:r w:rsidR="00213AF6" w:rsidRPr="00476DF1">
        <w:rPr>
          <w:rFonts w:ascii="Times New Roman" w:eastAsia="Times New Roman" w:hAnsi="Times New Roman"/>
          <w:sz w:val="24"/>
          <w:szCs w:val="24"/>
          <w:shd w:val="clear" w:color="auto" w:fill="FFFFFF"/>
        </w:rPr>
        <w:t>enterprises, activities may more or less depend</w:t>
      </w:r>
      <w:r w:rsidR="00A44070" w:rsidRPr="00476DF1">
        <w:rPr>
          <w:rFonts w:ascii="Times New Roman" w:eastAsia="Times New Roman" w:hAnsi="Times New Roman"/>
          <w:sz w:val="24"/>
          <w:szCs w:val="24"/>
          <w:shd w:val="clear" w:color="auto" w:fill="FFFFFF"/>
        </w:rPr>
        <w:t xml:space="preserve"> on </w:t>
      </w:r>
      <w:r w:rsidR="00994668" w:rsidRPr="00476DF1">
        <w:rPr>
          <w:rFonts w:ascii="Times New Roman" w:eastAsia="Times New Roman" w:hAnsi="Times New Roman"/>
          <w:sz w:val="24"/>
          <w:szCs w:val="24"/>
          <w:shd w:val="clear" w:color="auto" w:fill="FFFFFF"/>
        </w:rPr>
        <w:t>an employee’s</w:t>
      </w:r>
      <w:r w:rsidR="00213AF6" w:rsidRPr="00476DF1">
        <w:rPr>
          <w:rFonts w:ascii="Times New Roman" w:eastAsia="Times New Roman" w:hAnsi="Times New Roman"/>
          <w:sz w:val="24"/>
          <w:szCs w:val="24"/>
          <w:shd w:val="clear" w:color="auto" w:fill="FFFFFF"/>
        </w:rPr>
        <w:t xml:space="preserve"> skills. R&amp;D is a typical activity that demands much from knowledge.</w:t>
      </w:r>
      <w:r w:rsidR="00D36048" w:rsidRPr="00476DF1">
        <w:rPr>
          <w:rFonts w:ascii="Times New Roman" w:eastAsia="Times New Roman" w:hAnsi="Times New Roman"/>
          <w:sz w:val="24"/>
          <w:szCs w:val="24"/>
          <w:shd w:val="clear" w:color="auto" w:fill="FFFFFF"/>
        </w:rPr>
        <w:t xml:space="preserve"> For instance, in the pharmaceutical industry</w:t>
      </w:r>
      <w:r w:rsidR="006B145A" w:rsidRPr="00476DF1">
        <w:rPr>
          <w:rFonts w:ascii="Times New Roman" w:eastAsia="Times New Roman" w:hAnsi="Times New Roman"/>
          <w:sz w:val="24"/>
          <w:szCs w:val="24"/>
          <w:shd w:val="clear" w:color="auto" w:fill="FFFFFF"/>
        </w:rPr>
        <w:t>,</w:t>
      </w:r>
      <w:r w:rsidR="00D36048" w:rsidRPr="00476DF1">
        <w:rPr>
          <w:rFonts w:ascii="Times New Roman" w:eastAsia="Times New Roman" w:hAnsi="Times New Roman"/>
          <w:sz w:val="24"/>
          <w:szCs w:val="24"/>
          <w:shd w:val="clear" w:color="auto" w:fill="FFFFFF"/>
        </w:rPr>
        <w:t xml:space="preserve"> r</w:t>
      </w:r>
      <w:r w:rsidR="00213AF6" w:rsidRPr="00476DF1">
        <w:rPr>
          <w:rFonts w:ascii="Times New Roman" w:eastAsia="Times New Roman" w:hAnsi="Times New Roman"/>
          <w:sz w:val="24"/>
          <w:szCs w:val="24"/>
          <w:shd w:val="clear" w:color="auto" w:fill="FFFFFF"/>
        </w:rPr>
        <w:t xml:space="preserve">andom screening technologies </w:t>
      </w:r>
      <w:r w:rsidR="00A44070" w:rsidRPr="00476DF1">
        <w:rPr>
          <w:rFonts w:ascii="Times New Roman" w:eastAsia="Times New Roman" w:hAnsi="Times New Roman"/>
          <w:sz w:val="24"/>
          <w:szCs w:val="24"/>
          <w:shd w:val="clear" w:color="auto" w:fill="FFFFFF"/>
        </w:rPr>
        <w:t>cannot build molecules by themselves</w:t>
      </w:r>
      <w:r w:rsidR="00213AF6" w:rsidRPr="00476DF1">
        <w:rPr>
          <w:rFonts w:ascii="Times New Roman" w:eastAsia="Times New Roman" w:hAnsi="Times New Roman"/>
          <w:sz w:val="24"/>
          <w:szCs w:val="24"/>
          <w:shd w:val="clear" w:color="auto" w:fill="FFFFFF"/>
        </w:rPr>
        <w:t>; they need a trained scientist able to recognize a</w:t>
      </w:r>
      <w:r w:rsidR="00B118AF" w:rsidRPr="00476DF1">
        <w:rPr>
          <w:rFonts w:ascii="Times New Roman" w:eastAsia="Times New Roman" w:hAnsi="Times New Roman"/>
          <w:sz w:val="24"/>
          <w:szCs w:val="24"/>
          <w:shd w:val="clear" w:color="auto" w:fill="FFFFFF"/>
        </w:rPr>
        <w:t>ny</w:t>
      </w:r>
      <w:r w:rsidR="00213AF6" w:rsidRPr="00476DF1">
        <w:rPr>
          <w:rFonts w:ascii="Times New Roman" w:eastAsia="Times New Roman" w:hAnsi="Times New Roman"/>
          <w:sz w:val="24"/>
          <w:szCs w:val="24"/>
          <w:shd w:val="clear" w:color="auto" w:fill="FFFFFF"/>
        </w:rPr>
        <w:t xml:space="preserve"> possible </w:t>
      </w:r>
      <w:r w:rsidR="00213AF6" w:rsidRPr="00476DF1">
        <w:rPr>
          <w:rFonts w:ascii="Times New Roman" w:eastAsia="Times New Roman" w:hAnsi="Times New Roman"/>
          <w:sz w:val="24"/>
          <w:szCs w:val="24"/>
          <w:shd w:val="clear" w:color="auto" w:fill="FFFFFF"/>
        </w:rPr>
        <w:lastRenderedPageBreak/>
        <w:t>molecule</w:t>
      </w:r>
      <w:r w:rsidR="00D36048" w:rsidRPr="00476DF1">
        <w:rPr>
          <w:rFonts w:ascii="Times New Roman" w:eastAsia="Times New Roman" w:hAnsi="Times New Roman"/>
          <w:sz w:val="24"/>
          <w:szCs w:val="24"/>
          <w:shd w:val="clear" w:color="auto" w:fill="FFFFFF"/>
        </w:rPr>
        <w:t xml:space="preserve"> (</w:t>
      </w:r>
      <w:r w:rsidR="00626704" w:rsidRPr="00476DF1">
        <w:rPr>
          <w:rFonts w:ascii="Times New Roman" w:eastAsia="Times New Roman" w:hAnsi="Times New Roman"/>
          <w:sz w:val="24"/>
          <w:szCs w:val="24"/>
          <w:shd w:val="clear" w:color="auto" w:fill="FFFFFF"/>
        </w:rPr>
        <w:t>SCHWARTZMAN, 1976</w:t>
      </w:r>
      <w:r w:rsidR="00D36048" w:rsidRPr="00476DF1">
        <w:rPr>
          <w:rFonts w:ascii="Times New Roman" w:eastAsia="Times New Roman" w:hAnsi="Times New Roman"/>
          <w:sz w:val="24"/>
          <w:szCs w:val="24"/>
          <w:shd w:val="clear" w:color="auto" w:fill="FFFFFF"/>
        </w:rPr>
        <w:t>)</w:t>
      </w:r>
      <w:r w:rsidR="008E3EFA" w:rsidRPr="00476DF1">
        <w:rPr>
          <w:rFonts w:ascii="Times New Roman" w:eastAsia="Times New Roman" w:hAnsi="Times New Roman"/>
          <w:sz w:val="24"/>
          <w:szCs w:val="24"/>
          <w:shd w:val="clear" w:color="auto" w:fill="FFFFFF"/>
        </w:rPr>
        <w:t>.</w:t>
      </w:r>
      <w:r w:rsidR="00B118AF" w:rsidRPr="00476DF1">
        <w:rPr>
          <w:rFonts w:ascii="Times New Roman" w:eastAsia="Times New Roman" w:hAnsi="Times New Roman"/>
          <w:sz w:val="24"/>
          <w:szCs w:val="24"/>
          <w:shd w:val="clear" w:color="auto" w:fill="FFFFFF"/>
        </w:rPr>
        <w:t xml:space="preserve"> Even the creation of new</w:t>
      </w:r>
      <w:r w:rsidR="00213AF6" w:rsidRPr="00476DF1">
        <w:rPr>
          <w:rFonts w:ascii="Times New Roman" w:eastAsia="Times New Roman" w:hAnsi="Times New Roman"/>
          <w:sz w:val="24"/>
          <w:szCs w:val="24"/>
          <w:shd w:val="clear" w:color="auto" w:fill="FFFFFF"/>
        </w:rPr>
        <w:t xml:space="preserve"> </w:t>
      </w:r>
      <w:r w:rsidR="00B118AF" w:rsidRPr="00476DF1">
        <w:rPr>
          <w:rFonts w:ascii="Times New Roman" w:eastAsia="Times New Roman" w:hAnsi="Times New Roman"/>
          <w:sz w:val="24"/>
          <w:szCs w:val="24"/>
          <w:shd w:val="clear" w:color="auto" w:fill="FFFFFF"/>
        </w:rPr>
        <w:t>and more “automatized” d</w:t>
      </w:r>
      <w:r w:rsidR="00213AF6" w:rsidRPr="00476DF1">
        <w:rPr>
          <w:rFonts w:ascii="Times New Roman" w:eastAsia="Times New Roman" w:hAnsi="Times New Roman"/>
          <w:sz w:val="24"/>
          <w:szCs w:val="24"/>
          <w:shd w:val="clear" w:color="auto" w:fill="FFFFFF"/>
        </w:rPr>
        <w:t>rug discovery</w:t>
      </w:r>
      <w:r w:rsidR="00490904" w:rsidRPr="00476DF1">
        <w:rPr>
          <w:rStyle w:val="Refdenotaderodap"/>
          <w:rFonts w:ascii="Times New Roman" w:eastAsia="Times New Roman" w:hAnsi="Times New Roman"/>
          <w:sz w:val="24"/>
          <w:szCs w:val="24"/>
          <w:shd w:val="clear" w:color="auto" w:fill="FFFFFF"/>
        </w:rPr>
        <w:footnoteReference w:id="4"/>
      </w:r>
      <w:r w:rsidR="00B118AF" w:rsidRPr="00476DF1">
        <w:rPr>
          <w:rFonts w:ascii="Times New Roman" w:eastAsia="Times New Roman" w:hAnsi="Times New Roman"/>
          <w:sz w:val="24"/>
          <w:szCs w:val="24"/>
          <w:shd w:val="clear" w:color="auto" w:fill="FFFFFF"/>
        </w:rPr>
        <w:t xml:space="preserve"> techniques, like HTS</w:t>
      </w:r>
      <w:r w:rsidR="00E70799" w:rsidRPr="00476DF1">
        <w:rPr>
          <w:rFonts w:ascii="Times New Roman" w:eastAsia="Times New Roman" w:hAnsi="Times New Roman"/>
          <w:sz w:val="24"/>
          <w:szCs w:val="24"/>
          <w:shd w:val="clear" w:color="auto" w:fill="FFFFFF"/>
        </w:rPr>
        <w:t xml:space="preserve"> (high throughput screening)</w:t>
      </w:r>
      <w:r w:rsidR="00E95EEE" w:rsidRPr="00476DF1">
        <w:rPr>
          <w:rFonts w:ascii="Times New Roman" w:eastAsia="Times New Roman" w:hAnsi="Times New Roman"/>
          <w:sz w:val="24"/>
          <w:szCs w:val="24"/>
          <w:shd w:val="clear" w:color="auto" w:fill="FFFFFF"/>
        </w:rPr>
        <w:t xml:space="preserve"> and</w:t>
      </w:r>
      <w:r w:rsidR="00B118AF" w:rsidRPr="00476DF1">
        <w:rPr>
          <w:rFonts w:ascii="Times New Roman" w:eastAsia="Times New Roman" w:hAnsi="Times New Roman"/>
          <w:sz w:val="24"/>
          <w:szCs w:val="24"/>
          <w:shd w:val="clear" w:color="auto" w:fill="FFFFFF"/>
        </w:rPr>
        <w:t xml:space="preserve"> combinatorial chemistry,</w:t>
      </w:r>
      <w:r w:rsidR="00E95EEE" w:rsidRPr="00476DF1">
        <w:rPr>
          <w:rFonts w:ascii="Times New Roman" w:eastAsia="Times New Roman" w:hAnsi="Times New Roman"/>
          <w:sz w:val="24"/>
          <w:szCs w:val="24"/>
          <w:shd w:val="clear" w:color="auto" w:fill="FFFFFF"/>
        </w:rPr>
        <w:t xml:space="preserve"> do not mitigate</w:t>
      </w:r>
      <w:r w:rsidR="00B118AF" w:rsidRPr="00476DF1">
        <w:rPr>
          <w:rFonts w:ascii="Times New Roman" w:eastAsia="Times New Roman" w:hAnsi="Times New Roman"/>
          <w:sz w:val="24"/>
          <w:szCs w:val="24"/>
          <w:shd w:val="clear" w:color="auto" w:fill="FFFFFF"/>
        </w:rPr>
        <w:t xml:space="preserve"> the scientist</w:t>
      </w:r>
      <w:r w:rsidR="00994668" w:rsidRPr="00476DF1">
        <w:rPr>
          <w:rFonts w:ascii="Times New Roman" w:eastAsia="Times New Roman" w:hAnsi="Times New Roman"/>
          <w:sz w:val="24"/>
          <w:szCs w:val="24"/>
          <w:shd w:val="clear" w:color="auto" w:fill="FFFFFF"/>
        </w:rPr>
        <w:t>’s</w:t>
      </w:r>
      <w:r w:rsidR="00B118AF" w:rsidRPr="00476DF1">
        <w:rPr>
          <w:rFonts w:ascii="Times New Roman" w:eastAsia="Times New Roman" w:hAnsi="Times New Roman"/>
          <w:sz w:val="24"/>
          <w:szCs w:val="24"/>
          <w:shd w:val="clear" w:color="auto" w:fill="FFFFFF"/>
        </w:rPr>
        <w:t xml:space="preserve"> skills </w:t>
      </w:r>
      <w:r w:rsidR="00994668" w:rsidRPr="00476DF1">
        <w:rPr>
          <w:rFonts w:ascii="Times New Roman" w:eastAsia="Times New Roman" w:hAnsi="Times New Roman"/>
          <w:sz w:val="24"/>
          <w:szCs w:val="24"/>
          <w:shd w:val="clear" w:color="auto" w:fill="FFFFFF"/>
        </w:rPr>
        <w:t xml:space="preserve">in </w:t>
      </w:r>
      <w:r w:rsidR="00B118AF" w:rsidRPr="00476DF1">
        <w:rPr>
          <w:rFonts w:ascii="Times New Roman" w:eastAsia="Times New Roman" w:hAnsi="Times New Roman"/>
          <w:sz w:val="24"/>
          <w:szCs w:val="24"/>
          <w:shd w:val="clear" w:color="auto" w:fill="FFFFFF"/>
        </w:rPr>
        <w:t>the complete success of R&amp;D</w:t>
      </w:r>
      <w:r w:rsidR="00AA2957" w:rsidRPr="00476DF1">
        <w:rPr>
          <w:rFonts w:ascii="Times New Roman" w:eastAsia="Times New Roman" w:hAnsi="Times New Roman"/>
          <w:sz w:val="24"/>
          <w:szCs w:val="24"/>
          <w:shd w:val="clear" w:color="auto" w:fill="FFFFFF"/>
        </w:rPr>
        <w:t xml:space="preserve"> </w:t>
      </w:r>
      <w:r w:rsidR="00213AF6" w:rsidRPr="00476DF1">
        <w:rPr>
          <w:rFonts w:ascii="Times New Roman" w:eastAsia="Times New Roman" w:hAnsi="Times New Roman"/>
          <w:sz w:val="24"/>
          <w:szCs w:val="24"/>
          <w:shd w:val="clear" w:color="auto" w:fill="FFFFFF"/>
        </w:rPr>
        <w:t>(</w:t>
      </w:r>
      <w:r w:rsidR="00626704" w:rsidRPr="00476DF1">
        <w:rPr>
          <w:rFonts w:ascii="Times New Roman" w:eastAsia="Times New Roman" w:hAnsi="Times New Roman"/>
          <w:sz w:val="24"/>
          <w:szCs w:val="24"/>
          <w:shd w:val="clear" w:color="auto" w:fill="FFFFFF"/>
        </w:rPr>
        <w:t>NIGHTINGALE, 2000; NIGHTINGALE AND MADHI, 2006</w:t>
      </w:r>
      <w:r w:rsidR="00213AF6" w:rsidRPr="00476DF1">
        <w:rPr>
          <w:rFonts w:ascii="Times New Roman" w:eastAsia="Times New Roman" w:hAnsi="Times New Roman"/>
          <w:sz w:val="24"/>
          <w:szCs w:val="24"/>
          <w:shd w:val="clear" w:color="auto" w:fill="FFFFFF"/>
        </w:rPr>
        <w:t xml:space="preserve">). </w:t>
      </w:r>
      <w:r w:rsidR="009B0357" w:rsidRPr="00476DF1">
        <w:rPr>
          <w:rFonts w:ascii="Times New Roman" w:eastAsia="Times New Roman" w:hAnsi="Times New Roman"/>
          <w:sz w:val="24"/>
          <w:szCs w:val="24"/>
          <w:shd w:val="clear" w:color="auto" w:fill="FFFFFF"/>
        </w:rPr>
        <w:t xml:space="preserve">Thus, </w:t>
      </w:r>
      <w:r w:rsidR="00F23CEC" w:rsidRPr="00476DF1">
        <w:rPr>
          <w:rFonts w:ascii="Times New Roman" w:eastAsia="Times New Roman" w:hAnsi="Times New Roman"/>
          <w:sz w:val="24"/>
          <w:szCs w:val="24"/>
          <w:shd w:val="clear" w:color="auto" w:fill="FFFFFF"/>
        </w:rPr>
        <w:t xml:space="preserve">the effect of </w:t>
      </w:r>
      <w:r w:rsidR="00EB0287" w:rsidRPr="00476DF1">
        <w:rPr>
          <w:rFonts w:ascii="Times New Roman" w:eastAsia="Times New Roman" w:hAnsi="Times New Roman"/>
          <w:sz w:val="24"/>
          <w:szCs w:val="24"/>
          <w:shd w:val="clear" w:color="auto" w:fill="FFFFFF"/>
        </w:rPr>
        <w:t xml:space="preserve">scientists </w:t>
      </w:r>
      <w:r w:rsidR="00994668" w:rsidRPr="00476DF1">
        <w:rPr>
          <w:rFonts w:ascii="Times New Roman" w:eastAsia="Times New Roman" w:hAnsi="Times New Roman"/>
          <w:sz w:val="24"/>
          <w:szCs w:val="24"/>
          <w:shd w:val="clear" w:color="auto" w:fill="FFFFFF"/>
        </w:rPr>
        <w:t>on the</w:t>
      </w:r>
      <w:r w:rsidR="00F23CEC" w:rsidRPr="00476DF1">
        <w:rPr>
          <w:rFonts w:ascii="Times New Roman" w:eastAsia="Times New Roman" w:hAnsi="Times New Roman"/>
          <w:sz w:val="24"/>
          <w:szCs w:val="24"/>
          <w:shd w:val="clear" w:color="auto" w:fill="FFFFFF"/>
        </w:rPr>
        <w:t xml:space="preserve"> </w:t>
      </w:r>
      <w:r w:rsidR="00213AF6" w:rsidRPr="00476DF1">
        <w:rPr>
          <w:rFonts w:ascii="Times New Roman" w:eastAsia="Times New Roman" w:hAnsi="Times New Roman"/>
          <w:sz w:val="24"/>
          <w:szCs w:val="24"/>
          <w:shd w:val="clear" w:color="auto" w:fill="FFFFFF"/>
        </w:rPr>
        <w:t>technological outputs</w:t>
      </w:r>
      <w:r w:rsidR="00994668" w:rsidRPr="00476DF1">
        <w:rPr>
          <w:rFonts w:ascii="Times New Roman" w:eastAsia="Times New Roman" w:hAnsi="Times New Roman"/>
          <w:sz w:val="24"/>
          <w:szCs w:val="24"/>
          <w:shd w:val="clear" w:color="auto" w:fill="FFFFFF"/>
        </w:rPr>
        <w:t xml:space="preserve"> of the firms is</w:t>
      </w:r>
      <w:r w:rsidR="00F23CEC" w:rsidRPr="00476DF1">
        <w:rPr>
          <w:rFonts w:ascii="Times New Roman" w:eastAsia="Times New Roman" w:hAnsi="Times New Roman"/>
          <w:sz w:val="24"/>
          <w:szCs w:val="24"/>
          <w:shd w:val="clear" w:color="auto" w:fill="FFFFFF"/>
        </w:rPr>
        <w:t xml:space="preserve"> a result of their </w:t>
      </w:r>
      <w:r w:rsidR="00AE773E" w:rsidRPr="00476DF1">
        <w:rPr>
          <w:rFonts w:ascii="Times New Roman" w:eastAsia="Times New Roman" w:hAnsi="Times New Roman"/>
          <w:sz w:val="24"/>
          <w:szCs w:val="24"/>
          <w:shd w:val="clear" w:color="auto" w:fill="FFFFFF"/>
        </w:rPr>
        <w:t xml:space="preserve">social interaction (OETTL, 2012), </w:t>
      </w:r>
      <w:r w:rsidR="00994668" w:rsidRPr="00476DF1">
        <w:rPr>
          <w:rFonts w:ascii="Times New Roman" w:eastAsia="Times New Roman" w:hAnsi="Times New Roman"/>
          <w:sz w:val="24"/>
          <w:szCs w:val="24"/>
          <w:shd w:val="clear" w:color="auto" w:fill="FFFFFF"/>
        </w:rPr>
        <w:t>such as</w:t>
      </w:r>
      <w:r w:rsidR="00AE773E" w:rsidRPr="00476DF1">
        <w:rPr>
          <w:rFonts w:ascii="Times New Roman" w:eastAsia="Times New Roman" w:hAnsi="Times New Roman"/>
          <w:sz w:val="24"/>
          <w:szCs w:val="24"/>
          <w:shd w:val="clear" w:color="auto" w:fill="FFFFFF"/>
        </w:rPr>
        <w:t xml:space="preserve"> </w:t>
      </w:r>
      <w:r w:rsidR="00F23CEC" w:rsidRPr="00476DF1">
        <w:rPr>
          <w:rFonts w:ascii="Times New Roman" w:eastAsia="Times New Roman" w:hAnsi="Times New Roman"/>
          <w:sz w:val="24"/>
          <w:szCs w:val="24"/>
          <w:shd w:val="clear" w:color="auto" w:fill="FFFFFF"/>
        </w:rPr>
        <w:t>collaboration</w:t>
      </w:r>
      <w:r w:rsidR="00AE773E" w:rsidRPr="00476DF1">
        <w:rPr>
          <w:rFonts w:ascii="Times New Roman" w:eastAsia="Times New Roman" w:hAnsi="Times New Roman"/>
          <w:sz w:val="24"/>
          <w:szCs w:val="24"/>
          <w:shd w:val="clear" w:color="auto" w:fill="FFFFFF"/>
        </w:rPr>
        <w:t>s</w:t>
      </w:r>
      <w:r w:rsidR="00F23CEC" w:rsidRPr="00476DF1">
        <w:rPr>
          <w:rFonts w:ascii="Times New Roman" w:eastAsia="Times New Roman" w:hAnsi="Times New Roman"/>
          <w:sz w:val="24"/>
          <w:szCs w:val="24"/>
          <w:shd w:val="clear" w:color="auto" w:fill="FFFFFF"/>
        </w:rPr>
        <w:t xml:space="preserve"> inside the ente</w:t>
      </w:r>
      <w:r w:rsidR="00994668" w:rsidRPr="00476DF1">
        <w:rPr>
          <w:rFonts w:ascii="Times New Roman" w:eastAsia="Times New Roman" w:hAnsi="Times New Roman"/>
          <w:sz w:val="24"/>
          <w:szCs w:val="24"/>
          <w:shd w:val="clear" w:color="auto" w:fill="FFFFFF"/>
        </w:rPr>
        <w:t>r</w:t>
      </w:r>
      <w:r w:rsidR="00F23CEC" w:rsidRPr="00476DF1">
        <w:rPr>
          <w:rFonts w:ascii="Times New Roman" w:eastAsia="Times New Roman" w:hAnsi="Times New Roman"/>
          <w:sz w:val="24"/>
          <w:szCs w:val="24"/>
          <w:shd w:val="clear" w:color="auto" w:fill="FFFFFF"/>
        </w:rPr>
        <w:t xml:space="preserve">prise </w:t>
      </w:r>
      <w:r w:rsidR="00033EF7" w:rsidRPr="00476DF1">
        <w:rPr>
          <w:rFonts w:ascii="Times New Roman" w:eastAsia="Times New Roman" w:hAnsi="Times New Roman"/>
          <w:sz w:val="24"/>
          <w:szCs w:val="24"/>
          <w:shd w:val="clear" w:color="auto" w:fill="FFFFFF"/>
        </w:rPr>
        <w:t>(</w:t>
      </w:r>
      <w:r w:rsidR="00F23CEC" w:rsidRPr="00476DF1">
        <w:rPr>
          <w:rFonts w:ascii="Times New Roman" w:eastAsia="Times New Roman" w:hAnsi="Times New Roman"/>
          <w:noProof/>
          <w:sz w:val="24"/>
          <w:szCs w:val="24"/>
          <w:shd w:val="clear" w:color="auto" w:fill="FFFFFF"/>
        </w:rPr>
        <w:t>GRIGORIOU; ROTHAERMEL, 2014)</w:t>
      </w:r>
      <w:r w:rsidR="00994668" w:rsidRPr="00476DF1">
        <w:rPr>
          <w:rFonts w:ascii="Times New Roman" w:eastAsia="Times New Roman" w:hAnsi="Times New Roman"/>
          <w:noProof/>
          <w:sz w:val="24"/>
          <w:szCs w:val="24"/>
          <w:shd w:val="clear" w:color="auto" w:fill="FFFFFF"/>
        </w:rPr>
        <w:t>,</w:t>
      </w:r>
      <w:r w:rsidR="00F23CEC" w:rsidRPr="00476DF1">
        <w:rPr>
          <w:rFonts w:ascii="Times New Roman" w:eastAsia="Times New Roman" w:hAnsi="Times New Roman"/>
          <w:noProof/>
          <w:sz w:val="24"/>
          <w:szCs w:val="24"/>
          <w:shd w:val="clear" w:color="auto" w:fill="FFFFFF"/>
        </w:rPr>
        <w:t xml:space="preserve"> </w:t>
      </w:r>
      <w:r w:rsidR="00994668" w:rsidRPr="00476DF1">
        <w:rPr>
          <w:rFonts w:ascii="Times New Roman" w:eastAsia="Times New Roman" w:hAnsi="Times New Roman"/>
          <w:sz w:val="24"/>
          <w:szCs w:val="24"/>
          <w:shd w:val="clear" w:color="auto" w:fill="FFFFFF"/>
        </w:rPr>
        <w:t xml:space="preserve">collaborations </w:t>
      </w:r>
      <w:r w:rsidR="00F23CEC" w:rsidRPr="00476DF1">
        <w:rPr>
          <w:rFonts w:ascii="Times New Roman" w:eastAsia="Times New Roman" w:hAnsi="Times New Roman"/>
          <w:sz w:val="24"/>
          <w:szCs w:val="24"/>
          <w:shd w:val="clear" w:color="auto" w:fill="FFFFFF"/>
        </w:rPr>
        <w:t xml:space="preserve">outside </w:t>
      </w:r>
      <w:r w:rsidR="00994668" w:rsidRPr="00476DF1">
        <w:rPr>
          <w:rFonts w:ascii="Times New Roman" w:eastAsia="Times New Roman" w:hAnsi="Times New Roman"/>
          <w:sz w:val="24"/>
          <w:szCs w:val="24"/>
          <w:shd w:val="clear" w:color="auto" w:fill="FFFFFF"/>
        </w:rPr>
        <w:t>the enterpris</w:t>
      </w:r>
      <w:r w:rsidR="00447AFA" w:rsidRPr="00476DF1">
        <w:rPr>
          <w:rFonts w:ascii="Times New Roman" w:eastAsia="Times New Roman" w:hAnsi="Times New Roman"/>
          <w:sz w:val="24"/>
          <w:szCs w:val="24"/>
          <w:shd w:val="clear" w:color="auto" w:fill="FFFFFF"/>
        </w:rPr>
        <w:t>e</w:t>
      </w:r>
      <w:r w:rsidR="00213AF6" w:rsidRPr="00476DF1">
        <w:rPr>
          <w:rFonts w:ascii="Times New Roman" w:eastAsia="Times New Roman" w:hAnsi="Times New Roman"/>
          <w:sz w:val="24"/>
          <w:szCs w:val="24"/>
          <w:shd w:val="clear" w:color="auto" w:fill="FFFFFF"/>
        </w:rPr>
        <w:t xml:space="preserve"> </w:t>
      </w:r>
      <w:r w:rsidR="00AC294D" w:rsidRPr="00476DF1">
        <w:rPr>
          <w:rFonts w:ascii="Times New Roman" w:eastAsia="Times New Roman" w:hAnsi="Times New Roman"/>
          <w:sz w:val="24"/>
          <w:szCs w:val="24"/>
          <w:shd w:val="clear" w:color="auto" w:fill="FFFFFF"/>
        </w:rPr>
        <w:fldChar w:fldCharType="begin" w:fldLock="1"/>
      </w:r>
      <w:r w:rsidR="00E95EEE" w:rsidRPr="00476DF1">
        <w:rPr>
          <w:rFonts w:ascii="Times New Roman" w:eastAsia="Times New Roman" w:hAnsi="Times New Roman"/>
          <w:sz w:val="24"/>
          <w:szCs w:val="24"/>
          <w:shd w:val="clear" w:color="auto" w:fill="FFFFFF"/>
        </w:rPr>
        <w:instrText>ADDIN CSL_CITATION { "citationItems" : [ { "id" : "ITEM-1", "itemData" : { "DOI" : "10.1093/icc/dtr030", "ISBN" : "0960-6491", "ISSN" : "09606491", "abstract" : "Our article focuses on the role of interorganizational collaborations by biotechnology scientists (as captured by co-authorship of research papers) and their impact on the patented innovations of firms. Our results show that even after controlling for factors that have been previously suggested to impact the patent output of a firm, including the firm's strategic alliances, star and nonstar scientists, individual-level scientific ability, and R&amp;D investment, the extent to which a firm's scientists collaborate externally on scientific articles positively influences the firm's innovation. We also find that individual collaborations between firm and university researchers are particularly useful and that regional spillovers enhance the impact of individual collaborations. Our research thus isolates and highlights the role of individual-level (and often informal) collaborative activity in enhancing firm innovation.", "author" : [ { "dropping-particle" : "", "family" : "Almeida", "given" : "Paul", "non-dropping-particle" : "", "parse-names" : false, "suffix" : "" }, { "dropping-particle" : "", "family" : "Hohberger", "given" : "Jan", "non-dropping-particle" : "", "parse-names" : false, "suffix" : "" }, { "dropping-particle" : "", "family" : "Parada", "given" : "Pedro", "non-dropping-particle" : "", "parse-names" : false, "suffix" : "" } ], "container-title" : "Industrial and Corporate Change", "id" : "ITEM-1", "issue" : "6", "issued" : { "date-parts" : [ [ "2011" ] ] }, "page" : "1571-1599", "title" : "Individual scientific collaborations and firm-level innovation", "type" : "article-journal", "volume" : "20" }, "uris" : [ "http://www.mendeley.com/documents/?uuid=930e4285-7f4d-4b42-aba7-bfd796808064" ] }, { "id" : "ITEM-2", "itemData" : { "DOI" : "10.1177/0149206313513612", "ISBN" : "0149-2063", "ISSN" : "0149-2063", "abstract" : "Conceptualizing new knowledge development as a process of search and recombination, we suggest that a focus on individual productivity alone presents an undersocialized view of human capital. Rather, we emphasize the importance of embedded relationships by individuals to effectively perform knowledge-generating activities. We rely on intraorganizational knowledge networks emerging through individual collaboration to identify actors who can positively influence their organization's knowledge outcomes. We study two types of such relational stars: integrators (outliers in centrality) and connectors (outliers in bridging behavior). We test our ideas using the patenting portfolios of 106 pharmaceutical firms from 1974 to 1998 predicting the effect of relational stars on their firm's quantity and quality of inventive output-proxies for the firm's capacity to develop more and better new knowledge stocks. We find that the presence of relational stars results in firm-level knowledge advantages not only through their own superior recombinant efforts, but also through their capacity to make others around them more effective at knowledge recombination. Relational stars are firm-specific, and their advantages are socially complex and causally ambiguous because they rely on a network of within-firm interactions. Relational stars, therefore, are prime candidates to be a source of sustainable firm-level knowledge advantage.", "author" : [ { "dropping-particle" : "", "family" : "Grigoriou", "given" : "K", "non-dropping-particle" : "", "parse-names" : false, "suffix" : "" }, { "dropping-particle" : "", "family" : "Rothaermel", "given" : "F T", "non-dropping-particle" : "", "parse-names" : false, "suffix" : "" } ], "container-title" : "Journal of Management", "id" : "ITEM-2", "issue" : "2", "issued" : { "date-parts" : [ [ "2014" ] ] }, "page" : "586-615", "title" : "Structural Microfoundations of Innovation: The Role of Relational Stars", "type" : "article-journal", "volume" : "40" }, "uris" : [ "http://www.mendeley.com/documents/?uuid=2fed0ba5-c78d-48f5-bd74-0823cff4c90e" ] }, { "id" : "ITEM-3", "itemData" : { "DOI" : "10.1016/j.respol.2015.12.003", "ISSN" : "00487333", "abstract" : "Previous research has highlighted the importance of star inventors for invention success and firm performance. However, we have limited knowledge regarding the indirect influence of star inventors on knowledge generation and how the ideas of star inventors influence subsequent invention performance. Therefore, this study uses biotechnology patents to investigate the extent to which star inventors influence the value of subsequent inventions. It explores whether non-star inventors can build, just as successfully, on the ideas of star inventors as star inventors. The results show that having a star directly involved in the generation of an invention, and building upon other star invention/s, is positively related to invention performance. However, stars are not better than non-stars at building upon earlier star inventions, and in fact, stars building upon their own, previous, inventions negatively affects the outcome/s of their future inventions. Furthermore, these results hold true for both general and high-value inventions. Overall, this study highlights the importance of stars in cumulative knowledge generation, but also shows the limits of self-referencing and individual path-dependency.", "author" : [ { "dropping-particle" : "", "family" : "Hohberger", "given" : "Jan", "non-dropping-particle" : "", "parse-names" : false, "suffix" : "" } ], "container-title" : "Research Policy", "id" : "ITEM-3", "issue" : "3", "issued" : { "date-parts" : [ [ "2016" ] ] }, "page" : "682-698", "publisher" : "Elsevier B.V.", "title" : "Does it pay to stand on the shoulders of giants? An analysis of the inventions of star inventors in the biotechnology sector", "type" : "article-journal", "volume" : "45" }, "uris" : [ "http://www.mendeley.com/documents/?uuid=32c24e1e-302f-479e-8fc2-ceb736462521" ] }, { "id" : "ITEM-4", "itemData" : { "author" : [ { "dropping-particle" : "", "family" : "Zucker", "given" : "Lynne G", "non-dropping-particle" : "", "parse-names" : false, "suffix" : "" }, { "dropping-particle" : "", "family" : "Darby", "given" : "Michael R", "non-dropping-particle" : "", "parse-names" : false, "suffix" : "" }, { "dropping-particle" : "", "family" : "Armstrong", "given" : "Jeff S", "non-dropping-particle" : "", "parse-names" : false, "suffix" : "" } ], "container-title" : "NBER Working Paper Series", "id" : "ITEM-4", "issue" : "Working Paper 8499", "issued" : { "date-parts" : [ [ "2001" ] ] }, "title" : "COMMERCIALIZING KNOWLEDGE: UNIVERSITY SCIENCE, KNOWLEDGE CAPTURE, AND FIRM PERFORMANCE IN BIOTECHNOLOGY", "type" : "article-journal" }, "uris" : [ "http://www.mendeley.com/documents/?uuid=13e1a141-644a-4670-999f-0c92f24d5f67" ] }, { "id" : "ITEM-5", "itemData" : { "DOI" : "10.2139/ssrn.1001112", "ISBN" : "1847207790", "ISSN" : "1556-5068", "abstract" : "1. Labor and Demographic Economics - Mobility, Unemployment, and Vacancies - Geographic Labor Mobility; Immigrant Workers 2. Industrial Organization - Firm Objectives, Organization, and Behavior - Entrepreneurship 3. Economic Development, Technological Change, and Growth - Economic Development - Industrialization; Manufacturing and Service Industries; 4. Economic Development, Technological Change, and Growth - Technological Change; Research and Development - Innovation and Invention: Processes and Incentives", "author" : [ { "dropping-particle" : "", "family" : "Zucker", "given" : "Lynne G", "non-dropping-particle" : "", "parse-names" : false, "suffix" : "" }, { "dropping-particle" : "", "family" : "Darby", "given" : "Michael R", "non-dropping-particle" : "", "parse-names" : false, "suffix" : "" } ], "container-title" : "Entrepreneurship and Openness Entrepreneurship and Openness Theory and Evidence", "id" : "ITEM-5", "issued" : { "date-parts" : [ [ "2009" ] ] }, "title" : "Star Scientists, Innovation and Regional and National Immigration", "type" : "article-journal" }, "uris" : [ "http://www.mendeley.com/documents/?uuid=79dbb517-db3a-4832-a92e-08df38cb6f39" ] } ], "mendeley" : { "formattedCitation" : "(ALMEIDA; HOHBERGER; PARADA, 2011; GRIGORIOU; ROTHAERMEL, 2014; HOHBERGER, 2016; ZUCKER; DARBY, 2009; ZUCKER; DARBY; ARMSTRONG, 2001)", "manualFormatting" : "(ALMEIDA; HOHBERGER; PARADA, 2011); as an outcome of their research (HOHBERGER, 2016) and due to their productivity as researchers (ZUCKER; DARBY, 2009;)", "plainTextFormattedCitation" : "(ALMEIDA; HOHBERGER; PARADA, 2011; GRIGORIOU; ROTHAERMEL, 2014; HOHBERGER, 2016; ZUCKER; DARBY, 2009; ZUCKER; DARBY; ARMSTRONG, 2001)", "previouslyFormattedCitation" : "(ALMEIDA; HOHBERGER; PARADA, 2011; GRIGORIOU; ROTHAERMEL, 2014; HOHBERGER, 2016; ZUCKER; DARBY, 2009; ZUCKER; DARBY; ARMSTRONG, 2001)" }, "properties" : {  }, "schema" : "https://github.com/citation-style-language/schema/raw/master/csl-citation.json" }</w:instrText>
      </w:r>
      <w:r w:rsidR="00AC294D" w:rsidRPr="00476DF1">
        <w:rPr>
          <w:rFonts w:ascii="Times New Roman" w:eastAsia="Times New Roman" w:hAnsi="Times New Roman"/>
          <w:sz w:val="24"/>
          <w:szCs w:val="24"/>
          <w:shd w:val="clear" w:color="auto" w:fill="FFFFFF"/>
        </w:rPr>
        <w:fldChar w:fldCharType="separate"/>
      </w:r>
      <w:r w:rsidR="00AC294D" w:rsidRPr="00476DF1">
        <w:rPr>
          <w:rFonts w:ascii="Times New Roman" w:eastAsia="Times New Roman" w:hAnsi="Times New Roman"/>
          <w:noProof/>
          <w:sz w:val="24"/>
          <w:szCs w:val="24"/>
          <w:shd w:val="clear" w:color="auto" w:fill="FFFFFF"/>
        </w:rPr>
        <w:t>(ALMEIDA; HOHBERGER; PARADA, 2011</w:t>
      </w:r>
      <w:r w:rsidR="00F23CEC" w:rsidRPr="00476DF1">
        <w:rPr>
          <w:rFonts w:ascii="Times New Roman" w:eastAsia="Times New Roman" w:hAnsi="Times New Roman"/>
          <w:noProof/>
          <w:sz w:val="24"/>
          <w:szCs w:val="24"/>
          <w:shd w:val="clear" w:color="auto" w:fill="FFFFFF"/>
        </w:rPr>
        <w:t>)</w:t>
      </w:r>
      <w:r w:rsidR="00994668" w:rsidRPr="00476DF1">
        <w:rPr>
          <w:rFonts w:ascii="Times New Roman" w:eastAsia="Times New Roman" w:hAnsi="Times New Roman"/>
          <w:noProof/>
          <w:sz w:val="24"/>
          <w:szCs w:val="24"/>
          <w:shd w:val="clear" w:color="auto" w:fill="FFFFFF"/>
        </w:rPr>
        <w:t>,</w:t>
      </w:r>
      <w:r w:rsidR="00F23CEC" w:rsidRPr="00476DF1">
        <w:rPr>
          <w:rFonts w:ascii="Times New Roman" w:eastAsia="Times New Roman" w:hAnsi="Times New Roman"/>
          <w:noProof/>
          <w:sz w:val="24"/>
          <w:szCs w:val="24"/>
          <w:shd w:val="clear" w:color="auto" w:fill="FFFFFF"/>
        </w:rPr>
        <w:t xml:space="preserve"> as an outcome of their research</w:t>
      </w:r>
      <w:r w:rsidR="00AC294D" w:rsidRPr="00476DF1">
        <w:rPr>
          <w:rFonts w:ascii="Times New Roman" w:eastAsia="Times New Roman" w:hAnsi="Times New Roman"/>
          <w:noProof/>
          <w:sz w:val="24"/>
          <w:szCs w:val="24"/>
          <w:shd w:val="clear" w:color="auto" w:fill="FFFFFF"/>
        </w:rPr>
        <w:t xml:space="preserve"> </w:t>
      </w:r>
      <w:r w:rsidR="00F23CEC" w:rsidRPr="00476DF1">
        <w:rPr>
          <w:rFonts w:ascii="Times New Roman" w:eastAsia="Times New Roman" w:hAnsi="Times New Roman"/>
          <w:noProof/>
          <w:sz w:val="24"/>
          <w:szCs w:val="24"/>
          <w:shd w:val="clear" w:color="auto" w:fill="FFFFFF"/>
        </w:rPr>
        <w:t>(</w:t>
      </w:r>
      <w:r w:rsidR="00AC294D" w:rsidRPr="00476DF1">
        <w:rPr>
          <w:rFonts w:ascii="Times New Roman" w:eastAsia="Times New Roman" w:hAnsi="Times New Roman"/>
          <w:noProof/>
          <w:sz w:val="24"/>
          <w:szCs w:val="24"/>
          <w:shd w:val="clear" w:color="auto" w:fill="FFFFFF"/>
        </w:rPr>
        <w:t>HOHBERGER, 2016</w:t>
      </w:r>
      <w:r w:rsidR="00F23CEC" w:rsidRPr="00476DF1">
        <w:rPr>
          <w:rFonts w:ascii="Times New Roman" w:eastAsia="Times New Roman" w:hAnsi="Times New Roman"/>
          <w:noProof/>
          <w:sz w:val="24"/>
          <w:szCs w:val="24"/>
          <w:shd w:val="clear" w:color="auto" w:fill="FFFFFF"/>
        </w:rPr>
        <w:t>)</w:t>
      </w:r>
      <w:r w:rsidR="00994668" w:rsidRPr="00476DF1">
        <w:rPr>
          <w:rFonts w:ascii="Times New Roman" w:eastAsia="Times New Roman" w:hAnsi="Times New Roman"/>
          <w:noProof/>
          <w:sz w:val="24"/>
          <w:szCs w:val="24"/>
          <w:shd w:val="clear" w:color="auto" w:fill="FFFFFF"/>
        </w:rPr>
        <w:t>,</w:t>
      </w:r>
      <w:r w:rsidR="00F23CEC" w:rsidRPr="00476DF1">
        <w:rPr>
          <w:rFonts w:ascii="Times New Roman" w:eastAsia="Times New Roman" w:hAnsi="Times New Roman"/>
          <w:noProof/>
          <w:sz w:val="24"/>
          <w:szCs w:val="24"/>
          <w:shd w:val="clear" w:color="auto" w:fill="FFFFFF"/>
        </w:rPr>
        <w:t xml:space="preserve"> and due to the</w:t>
      </w:r>
      <w:r w:rsidR="00994668" w:rsidRPr="00476DF1">
        <w:rPr>
          <w:rFonts w:ascii="Times New Roman" w:eastAsia="Times New Roman" w:hAnsi="Times New Roman"/>
          <w:noProof/>
          <w:sz w:val="24"/>
          <w:szCs w:val="24"/>
          <w:shd w:val="clear" w:color="auto" w:fill="FFFFFF"/>
        </w:rPr>
        <w:t>ir</w:t>
      </w:r>
      <w:r w:rsidR="00F23CEC" w:rsidRPr="00476DF1">
        <w:rPr>
          <w:rFonts w:ascii="Times New Roman" w:eastAsia="Times New Roman" w:hAnsi="Times New Roman"/>
          <w:noProof/>
          <w:sz w:val="24"/>
          <w:szCs w:val="24"/>
          <w:shd w:val="clear" w:color="auto" w:fill="FFFFFF"/>
        </w:rPr>
        <w:t xml:space="preserve"> productivity</w:t>
      </w:r>
      <w:r w:rsidR="00AC294D" w:rsidRPr="00476DF1">
        <w:rPr>
          <w:rFonts w:ascii="Times New Roman" w:eastAsia="Times New Roman" w:hAnsi="Times New Roman"/>
          <w:noProof/>
          <w:sz w:val="24"/>
          <w:szCs w:val="24"/>
          <w:shd w:val="clear" w:color="auto" w:fill="FFFFFF"/>
        </w:rPr>
        <w:t xml:space="preserve"> </w:t>
      </w:r>
      <w:r w:rsidR="00F23CEC" w:rsidRPr="00476DF1">
        <w:rPr>
          <w:rFonts w:ascii="Times New Roman" w:eastAsia="Times New Roman" w:hAnsi="Times New Roman"/>
          <w:noProof/>
          <w:sz w:val="24"/>
          <w:szCs w:val="24"/>
          <w:shd w:val="clear" w:color="auto" w:fill="FFFFFF"/>
        </w:rPr>
        <w:t>as researchers (ZUCKER; DARBY, 2009</w:t>
      </w:r>
      <w:r w:rsidR="00AC294D" w:rsidRPr="00476DF1">
        <w:rPr>
          <w:rFonts w:ascii="Times New Roman" w:eastAsia="Times New Roman" w:hAnsi="Times New Roman"/>
          <w:noProof/>
          <w:sz w:val="24"/>
          <w:szCs w:val="24"/>
          <w:shd w:val="clear" w:color="auto" w:fill="FFFFFF"/>
        </w:rPr>
        <w:t>)</w:t>
      </w:r>
      <w:r w:rsidR="00AC294D" w:rsidRPr="00476DF1">
        <w:rPr>
          <w:rFonts w:ascii="Times New Roman" w:eastAsia="Times New Roman" w:hAnsi="Times New Roman"/>
          <w:sz w:val="24"/>
          <w:szCs w:val="24"/>
          <w:shd w:val="clear" w:color="auto" w:fill="FFFFFF"/>
        </w:rPr>
        <w:fldChar w:fldCharType="end"/>
      </w:r>
      <w:r w:rsidR="007950B5" w:rsidRPr="00476DF1">
        <w:rPr>
          <w:rFonts w:ascii="Times New Roman" w:eastAsia="Times New Roman" w:hAnsi="Times New Roman"/>
          <w:sz w:val="24"/>
          <w:szCs w:val="24"/>
          <w:shd w:val="clear" w:color="auto" w:fill="FFFFFF"/>
        </w:rPr>
        <w:t>.</w:t>
      </w:r>
      <w:r w:rsidR="00AC294D" w:rsidRPr="00476DF1">
        <w:rPr>
          <w:rFonts w:ascii="Times New Roman" w:eastAsia="Times New Roman" w:hAnsi="Times New Roman"/>
          <w:sz w:val="24"/>
          <w:szCs w:val="24"/>
          <w:shd w:val="clear" w:color="auto" w:fill="FFFFFF"/>
        </w:rPr>
        <w:t xml:space="preserve"> </w:t>
      </w:r>
    </w:p>
    <w:p w14:paraId="0D7EB270" w14:textId="759D2A33" w:rsidR="00C20D82" w:rsidRPr="00476DF1" w:rsidRDefault="00213AF6" w:rsidP="00CE4BBE">
      <w:pPr>
        <w:spacing w:after="0" w:line="240" w:lineRule="auto"/>
        <w:ind w:firstLine="720"/>
        <w:jc w:val="both"/>
        <w:rPr>
          <w:rFonts w:ascii="Times New Roman" w:eastAsia="Times New Roman" w:hAnsi="Times New Roman"/>
          <w:sz w:val="24"/>
          <w:szCs w:val="24"/>
          <w:shd w:val="clear" w:color="auto" w:fill="FFFFFF"/>
        </w:rPr>
      </w:pPr>
      <w:r w:rsidRPr="00476DF1">
        <w:rPr>
          <w:rFonts w:ascii="Times New Roman" w:eastAsia="Times New Roman" w:hAnsi="Times New Roman"/>
          <w:sz w:val="24"/>
          <w:szCs w:val="24"/>
          <w:shd w:val="clear" w:color="auto" w:fill="FFFFFF"/>
        </w:rPr>
        <w:t xml:space="preserve">In </w:t>
      </w:r>
      <w:r w:rsidR="004E255A" w:rsidRPr="00476DF1">
        <w:rPr>
          <w:rFonts w:ascii="Times New Roman" w:eastAsia="Times New Roman" w:hAnsi="Times New Roman"/>
          <w:sz w:val="24"/>
          <w:szCs w:val="24"/>
          <w:shd w:val="clear" w:color="auto" w:fill="FFFFFF"/>
        </w:rPr>
        <w:t xml:space="preserve">a small </w:t>
      </w:r>
      <w:r w:rsidR="00EB0287" w:rsidRPr="00476DF1">
        <w:rPr>
          <w:rFonts w:ascii="Times New Roman" w:eastAsia="Times New Roman" w:hAnsi="Times New Roman"/>
          <w:sz w:val="24"/>
          <w:szCs w:val="24"/>
          <w:shd w:val="clear" w:color="auto" w:fill="FFFFFF"/>
        </w:rPr>
        <w:t>enterprise,</w:t>
      </w:r>
      <w:r w:rsidR="009B0357" w:rsidRPr="00476DF1">
        <w:rPr>
          <w:rFonts w:ascii="Times New Roman" w:eastAsia="Times New Roman" w:hAnsi="Times New Roman"/>
          <w:sz w:val="24"/>
          <w:szCs w:val="24"/>
          <w:shd w:val="clear" w:color="auto" w:fill="FFFFFF"/>
        </w:rPr>
        <w:t xml:space="preserve"> </w:t>
      </w:r>
      <w:r w:rsidR="00994668" w:rsidRPr="00476DF1">
        <w:rPr>
          <w:rFonts w:ascii="Times New Roman" w:eastAsia="Times New Roman" w:hAnsi="Times New Roman"/>
          <w:sz w:val="24"/>
          <w:szCs w:val="24"/>
          <w:shd w:val="clear" w:color="auto" w:fill="FFFFFF"/>
        </w:rPr>
        <w:t xml:space="preserve">scientists have a greater role. Usually, </w:t>
      </w:r>
      <w:r w:rsidR="00C9623B" w:rsidRPr="00476DF1">
        <w:rPr>
          <w:rFonts w:ascii="Times New Roman" w:eastAsia="Times New Roman" w:hAnsi="Times New Roman"/>
          <w:sz w:val="24"/>
          <w:szCs w:val="24"/>
          <w:shd w:val="clear" w:color="auto" w:fill="FFFFFF"/>
        </w:rPr>
        <w:t>the scientist</w:t>
      </w:r>
      <w:r w:rsidR="00994668" w:rsidRPr="00476DF1">
        <w:rPr>
          <w:rFonts w:ascii="Times New Roman" w:eastAsia="Times New Roman" w:hAnsi="Times New Roman"/>
          <w:sz w:val="24"/>
          <w:szCs w:val="24"/>
          <w:shd w:val="clear" w:color="auto" w:fill="FFFFFF"/>
        </w:rPr>
        <w:t>’s</w:t>
      </w:r>
      <w:r w:rsidR="00C9623B" w:rsidRPr="00476DF1">
        <w:rPr>
          <w:rFonts w:ascii="Times New Roman" w:eastAsia="Times New Roman" w:hAnsi="Times New Roman"/>
          <w:sz w:val="24"/>
          <w:szCs w:val="24"/>
          <w:shd w:val="clear" w:color="auto" w:fill="FFFFFF"/>
        </w:rPr>
        <w:t xml:space="preserve"> research outcome enabled the firm</w:t>
      </w:r>
      <w:r w:rsidR="00994668" w:rsidRPr="00476DF1">
        <w:rPr>
          <w:rFonts w:ascii="Times New Roman" w:eastAsia="Times New Roman" w:hAnsi="Times New Roman"/>
          <w:sz w:val="24"/>
          <w:szCs w:val="24"/>
          <w:shd w:val="clear" w:color="auto" w:fill="FFFFFF"/>
        </w:rPr>
        <w:t>’s</w:t>
      </w:r>
      <w:r w:rsidR="00C9623B" w:rsidRPr="00476DF1">
        <w:rPr>
          <w:rFonts w:ascii="Times New Roman" w:eastAsia="Times New Roman" w:hAnsi="Times New Roman"/>
          <w:sz w:val="24"/>
          <w:szCs w:val="24"/>
          <w:shd w:val="clear" w:color="auto" w:fill="FFFFFF"/>
        </w:rPr>
        <w:t xml:space="preserve"> creation </w:t>
      </w:r>
      <w:r w:rsidR="00C9623B" w:rsidRPr="00476DF1">
        <w:rPr>
          <w:rFonts w:ascii="Times New Roman" w:hAnsi="Times New Roman"/>
          <w:sz w:val="24"/>
          <w:szCs w:val="24"/>
        </w:rPr>
        <w:fldChar w:fldCharType="begin" w:fldLock="1"/>
      </w:r>
      <w:r w:rsidR="00C9623B" w:rsidRPr="00476DF1">
        <w:rPr>
          <w:rFonts w:ascii="Times New Roman" w:hAnsi="Times New Roman"/>
          <w:sz w:val="24"/>
          <w:szCs w:val="24"/>
        </w:rPr>
        <w:instrText>ADDIN CSL_CITATION { "citationItems" : [ { "id" : "ITEM-1", "itemData" : { "DOI" : "10.1016/j.respol.2011.08.010", "ISBN" : "0048-7333", "ISSN" : "00487333", "abstract" : "This paper argues that academic high-tech start-ups exhibit peculiar \"genetic characteristics\" that leave an enduring imprint on firm development. We formulate a series of hypotheses on the effects of such genetic characteristics on the post-entry strategies that academic high-tech start-ups adopt to enlarge their initial competence endowments. In the empirical section, we use matched-pair statistical techniques and run several regressions to test the theoretical hypotheses. Our findings contribute to the literature on the antecedents of the strategies adopted by academic high-tech start-ups. They also allow us to derive implications for academic entrepreneurs, university managers and policy makers. ?? 2011 Elsevier B.V. All rights reserved.", "author" : [ { "dropping-particle" : "", "family" : "Colombo", "given" : "Massimo G.", "non-dropping-particle" : "", "parse-names" : false, "suffix" : "" }, { "dropping-particle" : "", "family" : "Piva", "given" : "Evila", "non-dropping-particle" : "", "parse-names" : false, "suffix" : "" } ], "container-title" : "Research Policy", "id" : "ITEM-1", "issue" : "1", "issued" : { "date-parts" : [ [ "2012" ] ] }, "page" : "79-92", "publisher" : "Elsevier B.V.", "title" : "Firms' genetic characteristics and competence-enlarging strategies: A comparison between academic and non-academic high-tech start-ups", "type" : "article-journal", "volume" : "41" }, "uris" : [ "http://www.mendeley.com/documents/?uuid=ebd9e984-854d-4c3d-bf0a-a7e8e278b824" ] } ], "mendeley" : { "formattedCitation" : "(COLOMBO; PIVA, 2012)", "manualFormatting" : "(COLOMBO; PIVA, 2012)", "plainTextFormattedCitation" : "(COLOMBO; PIVA, 2012)", "previouslyFormattedCitation" : "(COLOMBO; PIVA, 2012)" }, "properties" : {  }, "schema" : "https://github.com/citation-style-language/schema/raw/master/csl-citation.json" }</w:instrText>
      </w:r>
      <w:r w:rsidR="00C9623B" w:rsidRPr="00476DF1">
        <w:rPr>
          <w:rFonts w:ascii="Times New Roman" w:hAnsi="Times New Roman"/>
          <w:sz w:val="24"/>
          <w:szCs w:val="24"/>
        </w:rPr>
        <w:fldChar w:fldCharType="separate"/>
      </w:r>
      <w:r w:rsidR="00C9623B" w:rsidRPr="00476DF1">
        <w:rPr>
          <w:rFonts w:ascii="Times New Roman" w:hAnsi="Times New Roman"/>
          <w:noProof/>
          <w:sz w:val="24"/>
          <w:szCs w:val="24"/>
        </w:rPr>
        <w:t>(COLOMBO; PIVA, 2012)</w:t>
      </w:r>
      <w:r w:rsidR="00C9623B" w:rsidRPr="00476DF1">
        <w:rPr>
          <w:rFonts w:ascii="Times New Roman" w:hAnsi="Times New Roman"/>
          <w:sz w:val="24"/>
          <w:szCs w:val="24"/>
        </w:rPr>
        <w:fldChar w:fldCharType="end"/>
      </w:r>
      <w:r w:rsidR="00994668" w:rsidRPr="00476DF1">
        <w:rPr>
          <w:rFonts w:ascii="Times New Roman" w:hAnsi="Times New Roman"/>
          <w:sz w:val="24"/>
          <w:szCs w:val="24"/>
        </w:rPr>
        <w:t xml:space="preserve"> and the firm’s</w:t>
      </w:r>
      <w:r w:rsidR="00C20D82" w:rsidRPr="00476DF1">
        <w:rPr>
          <w:rFonts w:ascii="Times New Roman" w:hAnsi="Times New Roman"/>
          <w:sz w:val="24"/>
          <w:szCs w:val="24"/>
        </w:rPr>
        <w:t xml:space="preserve"> </w:t>
      </w:r>
      <w:r w:rsidR="00EB0287" w:rsidRPr="00476DF1">
        <w:rPr>
          <w:rFonts w:ascii="Times New Roman" w:hAnsi="Times New Roman"/>
          <w:sz w:val="24"/>
          <w:szCs w:val="24"/>
        </w:rPr>
        <w:t xml:space="preserve">survival depends on continuous </w:t>
      </w:r>
      <w:r w:rsidR="00C20D82" w:rsidRPr="00476DF1">
        <w:rPr>
          <w:rFonts w:ascii="Times New Roman" w:hAnsi="Times New Roman"/>
          <w:sz w:val="24"/>
          <w:szCs w:val="24"/>
        </w:rPr>
        <w:t xml:space="preserve">research </w:t>
      </w:r>
      <w:r w:rsidR="00D01F86" w:rsidRPr="00476DF1">
        <w:rPr>
          <w:rFonts w:ascii="Times New Roman" w:eastAsia="Times New Roman" w:hAnsi="Times New Roman"/>
          <w:sz w:val="24"/>
          <w:szCs w:val="24"/>
          <w:shd w:val="clear" w:color="auto" w:fill="FFFFFF"/>
        </w:rPr>
        <w:t>outcomes</w:t>
      </w:r>
      <w:r w:rsidR="006B145A" w:rsidRPr="00476DF1">
        <w:rPr>
          <w:rFonts w:ascii="Times New Roman" w:eastAsia="Times New Roman" w:hAnsi="Times New Roman"/>
          <w:sz w:val="24"/>
          <w:szCs w:val="24"/>
          <w:shd w:val="clear" w:color="auto" w:fill="FFFFFF"/>
        </w:rPr>
        <w:t>,</w:t>
      </w:r>
      <w:r w:rsidR="007950B5" w:rsidRPr="00476DF1">
        <w:rPr>
          <w:rFonts w:ascii="Times New Roman" w:eastAsia="Times New Roman" w:hAnsi="Times New Roman"/>
          <w:sz w:val="24"/>
          <w:szCs w:val="24"/>
          <w:shd w:val="clear" w:color="auto" w:fill="FFFFFF"/>
        </w:rPr>
        <w:t xml:space="preserve"> especially </w:t>
      </w:r>
      <w:r w:rsidR="00994668" w:rsidRPr="00476DF1">
        <w:rPr>
          <w:rFonts w:ascii="Times New Roman" w:eastAsia="Times New Roman" w:hAnsi="Times New Roman"/>
          <w:sz w:val="24"/>
          <w:szCs w:val="24"/>
          <w:shd w:val="clear" w:color="auto" w:fill="FFFFFF"/>
        </w:rPr>
        <w:t xml:space="preserve">in </w:t>
      </w:r>
      <w:r w:rsidR="004E255A" w:rsidRPr="00476DF1">
        <w:rPr>
          <w:rFonts w:ascii="Times New Roman" w:eastAsia="Times New Roman" w:hAnsi="Times New Roman"/>
          <w:sz w:val="24"/>
          <w:szCs w:val="24"/>
          <w:shd w:val="clear" w:color="auto" w:fill="FFFFFF"/>
        </w:rPr>
        <w:t>biotechnologies</w:t>
      </w:r>
      <w:r w:rsidR="007950B5" w:rsidRPr="00476DF1">
        <w:rPr>
          <w:rFonts w:ascii="Times New Roman" w:eastAsia="Times New Roman" w:hAnsi="Times New Roman"/>
          <w:sz w:val="24"/>
          <w:szCs w:val="24"/>
          <w:shd w:val="clear" w:color="auto" w:fill="FFFFFF"/>
        </w:rPr>
        <w:t xml:space="preserve"> </w:t>
      </w:r>
      <w:r w:rsidR="007950B5" w:rsidRPr="00476DF1">
        <w:rPr>
          <w:rFonts w:ascii="Times New Roman" w:eastAsia="Times New Roman" w:hAnsi="Times New Roman"/>
          <w:sz w:val="24"/>
          <w:szCs w:val="24"/>
          <w:shd w:val="clear" w:color="auto" w:fill="FFFFFF"/>
        </w:rPr>
        <w:fldChar w:fldCharType="begin" w:fldLock="1"/>
      </w:r>
      <w:r w:rsidR="00C9623B" w:rsidRPr="00476DF1">
        <w:rPr>
          <w:rFonts w:ascii="Times New Roman" w:eastAsia="Times New Roman" w:hAnsi="Times New Roman"/>
          <w:sz w:val="24"/>
          <w:szCs w:val="24"/>
          <w:shd w:val="clear" w:color="auto" w:fill="FFFFFF"/>
        </w:rPr>
        <w:instrText>ADDIN CSL_CITATION { "citationItems" : [ { "id" : "ITEM-1", "itemData" : { "DOI" : "10.1016/j.respol.2005.03.010", "ISBN" : "0048-7333", "ISSN" : "00487333", "abstract" : "In this paper, we analyze empirically the relation between the growth of new technology-based firms and the human capital of founders, with the aim of teasing out the \"wealth\" and \"capability\" effects of human capital. For this purpose, we take advantage of a new data set relating to a sample composed of 506 Italian young firms that operate in high-tech industries in both manufacturing and services. In accordance with competence-based theories, the econometric estimates show that the nature of the education and of the prior work experience of founders exerts a key influence on growth. In fact, founders' years of university education in economic and managerial fields and to a lesser extent in scientific and technical fields positively affect growth while education in other fields does not. Similarly prior work experience in the same industry of the new firm is positively associated with growth while prior work experience in other industries is not. Furthermore, it is the technical work experience of founders as opposed to their commercial work experience that determines growth. The fact that within the founding team there are individuals with prior entrepreneurial experiences also results in superior growth. Lastly, we provide evidence that there are synergistic gains from the combination of the complementary capabilities of founders relating to (i) economic-managerial and scientific-technical education and (ii) technical and commercial industry-specific work experiences. We conclude that the human capital of founders of new technology-based firms is not just a proxy for personal wealth. ?? 2005 Elsevier B.V. All rights reserved.", "author" : [ { "dropping-particle" : "", "family" : "Colombo", "given" : "Massimo G.", "non-dropping-particle" : "", "parse-names" : false, "suffix" : "" }, { "dropping-particle" : "", "family" : "Grilli", "given" : "Luca", "non-dropping-particle" : "", "parse-names" : false, "suffix" : "" } ], "container-title" : "Research Policy", "id" : "ITEM-1", "issue" : "6", "issued" : { "date-parts" : [ [ "2005" ] ] }, "page" : "795-816", "title" : "Founders' human capital and the growth of new technology-based firms: A competence-based view", "type" : "article-journal", "volume" : "34" }, "uris" : [ "http://www.mendeley.com/documents/?uuid=5eb16db8-19b6-4d14-9c36-7fdf831eae34" ] }, { "id" : "ITEM-2", "itemData" : { "DOI" : "10.1016/j.respol.2011.08.010", "ISBN" : "0048-7333", "ISSN" : "00487333", "abstract" : "This paper argues that academic high-tech start-ups exhibit peculiar \"genetic characteristics\" that leave an enduring imprint on firm development. We formulate a series of hypotheses on the effects of such genetic characteristics on the post-entry strategies that academic high-tech start-ups adopt to enlarge their initial competence endowments. In the empirical section, we use matched-pair statistical techniques and run several regressions to test the theoretical hypotheses. Our findings contribute to the literature on the antecedents of the strategies adopted by academic high-tech start-ups. They also allow us to derive implications for academic entrepreneurs, university managers and policy makers. ?? 2011 Elsevier B.V. All rights reserved.", "author" : [ { "dropping-particle" : "", "family" : "Colombo", "given" : "Massimo G.", "non-dropping-particle" : "", "parse-names" : false, "suffix" : "" }, { "dropping-particle" : "", "family" : "Piva", "given" : "Evila", "non-dropping-particle" : "", "parse-names" : false, "suffix" : "" } ], "container-title" : "Research Policy", "id" : "ITEM-2", "issue" : "1", "issued" : { "date-parts" : [ [ "2012" ] ] }, "page" : "79-92", "publisher" : "Elsevier B.V.", "title" : "Firms' genetic characteristics and competence-enlarging strategies: A comparison between academic and non-academic high-tech start-ups", "type" : "article-journal", "volume" : "41" }, "uris" : [ "http://www.mendeley.com/documents/?uuid=ebd9e984-854d-4c3d-bf0a-a7e8e278b824" ] }, { "id" : "ITEM-3", "itemData" : { "DOI" : "10.2139/ssrn.1001112", "ISBN" : "1847207790", "ISSN" : "1556-5068", "abstract" : "1. Labor and Demographic Economics - Mobility, Unemployment, and Vacancies - Geographic Labor Mobility; Immigrant Workers 2. Industrial Organization - Firm Objectives, Organization, and Behavior - Entrepreneurship 3. Economic Development, Technological Change, and Growth - Economic Development - Industrialization; Manufacturing and Service Industries; 4. Economic Development, Technological Change, and Growth - Technological Change; Research and Development - Innovation and Invention: Processes and Incentives", "author" : [ { "dropping-particle" : "", "family" : "Zucker", "given" : "Lynne G", "non-dropping-particle" : "", "parse-names" : false, "suffix" : "" }, { "dropping-particle" : "", "family" : "Darby", "given" : "Michael R", "non-dropping-particle" : "", "parse-names" : false, "suffix" : "" } ], "container-title" : "Entrepreneurship and Openness Entrepreneurship and Openness Theory and Evidence", "id" : "ITEM-3", "issued" : { "date-parts" : [ [ "2009" ] ] }, "title" : "Star Scientists, Innovation and Regional and National Immigration", "type" : "article-journal" }, "uris" : [ "http://www.mendeley.com/documents/?uuid=79dbb517-db3a-4832-a92e-08df38cb6f39" ] }, { "id" : "ITEM-4", "itemData" : { "author" : [ { "dropping-particle" : "", "family" : "Zucker", "given" : "Lynne G", "non-dropping-particle" : "", "parse-names" : false, "suffix" : "" }, { "dropping-particle" : "", "family" : "Darby", "given" : "Michael R", "non-dropping-particle" : "", "parse-names" : false, "suffix" : "" }, { "dropping-particle" : "", "family" : "Armstrong", "given" : "Jeff S", "non-dropping-particle" : "", "parse-names" : false, "suffix" : "" } ], "container-title" : "NBER Working Paper Series", "id" : "ITEM-4", "issue" : "Working Paper 8499", "issued" : { "date-parts" : [ [ "2001" ] ] }, "title" : "COMMERCIALIZING KNOWLEDGE: UNIVERSITY SCIENCE, KNOWLEDGE CAPTURE, AND FIRM PERFORMANCE IN BIOTECHNOLOGY", "type" : "article-journal" }, "uris" : [ "http://www.mendeley.com/documents/?uuid=13e1a141-644a-4670-999f-0c92f24d5f67" ] } ], "mendeley" : { "formattedCitation" : "(COLOMBO; GRILLI, 2005; COLOMBO; PIVA, 2012; ZUCKER; DARBY, 2009; ZUCKER; DARBY; ARMSTRONG, 2001)", "manualFormatting" : "(COLOMBO; GRILLI, 2005; COLOMBO; PIVA, 2012)", "plainTextFormattedCitation" : "(COLOMBO; GRILLI, 2005; COLOMBO; PIVA, 2012; ZUCKER; DARBY, 2009; ZUCKER; DARBY; ARMSTRONG, 2001)", "previouslyFormattedCitation" : "(COLOMBO; GRILLI, 2005; COLOMBO; PIVA, 2012; ZUCKER; DARBY, 2009; ZUCKER; DARBY; ARMSTRONG, 2001)" }, "properties" : {  }, "schema" : "https://github.com/citation-style-language/schema/raw/master/csl-citation.json" }</w:instrText>
      </w:r>
      <w:r w:rsidR="007950B5" w:rsidRPr="00476DF1">
        <w:rPr>
          <w:rFonts w:ascii="Times New Roman" w:eastAsia="Times New Roman" w:hAnsi="Times New Roman"/>
          <w:sz w:val="24"/>
          <w:szCs w:val="24"/>
          <w:shd w:val="clear" w:color="auto" w:fill="FFFFFF"/>
        </w:rPr>
        <w:fldChar w:fldCharType="separate"/>
      </w:r>
      <w:r w:rsidR="007950B5" w:rsidRPr="00476DF1">
        <w:rPr>
          <w:rFonts w:ascii="Times New Roman" w:eastAsia="Times New Roman" w:hAnsi="Times New Roman"/>
          <w:noProof/>
          <w:sz w:val="24"/>
          <w:szCs w:val="24"/>
          <w:shd w:val="clear" w:color="auto" w:fill="FFFFFF"/>
        </w:rPr>
        <w:t>(COLOMBO; GRILLI, 2005; COLOMBO; PIVA, 2012)</w:t>
      </w:r>
      <w:r w:rsidR="007950B5" w:rsidRPr="00476DF1">
        <w:rPr>
          <w:rFonts w:ascii="Times New Roman" w:eastAsia="Times New Roman" w:hAnsi="Times New Roman"/>
          <w:sz w:val="24"/>
          <w:szCs w:val="24"/>
          <w:shd w:val="clear" w:color="auto" w:fill="FFFFFF"/>
        </w:rPr>
        <w:fldChar w:fldCharType="end"/>
      </w:r>
      <w:r w:rsidR="009C2289" w:rsidRPr="00476DF1">
        <w:rPr>
          <w:rFonts w:ascii="Times New Roman" w:eastAsia="Times New Roman" w:hAnsi="Times New Roman"/>
          <w:sz w:val="24"/>
          <w:szCs w:val="24"/>
          <w:shd w:val="clear" w:color="auto" w:fill="FFFFFF"/>
        </w:rPr>
        <w:t>.</w:t>
      </w:r>
      <w:r w:rsidR="009C2289" w:rsidRPr="00476DF1">
        <w:rPr>
          <w:rFonts w:ascii="Times New Roman" w:hAnsi="Times New Roman"/>
          <w:sz w:val="24"/>
          <w:szCs w:val="24"/>
        </w:rPr>
        <w:t xml:space="preserve"> </w:t>
      </w:r>
    </w:p>
    <w:p w14:paraId="47A80D39" w14:textId="0B5B0011" w:rsidR="004E255A" w:rsidRPr="00476DF1" w:rsidRDefault="00C9623B" w:rsidP="00CE4BBE">
      <w:pPr>
        <w:spacing w:after="0" w:line="240" w:lineRule="auto"/>
        <w:ind w:firstLine="720"/>
        <w:jc w:val="both"/>
        <w:rPr>
          <w:rFonts w:ascii="Times New Roman" w:eastAsia="Times New Roman" w:hAnsi="Times New Roman"/>
          <w:sz w:val="24"/>
          <w:szCs w:val="24"/>
          <w:shd w:val="clear" w:color="auto" w:fill="FFFFFF"/>
        </w:rPr>
      </w:pPr>
      <w:r w:rsidRPr="00476DF1">
        <w:rPr>
          <w:rFonts w:ascii="Times New Roman" w:eastAsia="Times New Roman" w:hAnsi="Times New Roman"/>
          <w:sz w:val="24"/>
          <w:szCs w:val="24"/>
          <w:shd w:val="clear" w:color="auto" w:fill="FFFFFF"/>
        </w:rPr>
        <w:t xml:space="preserve">This element may falsely indicate an </w:t>
      </w:r>
      <w:r w:rsidR="0079115A" w:rsidRPr="00476DF1">
        <w:rPr>
          <w:rFonts w:ascii="Times New Roman" w:eastAsia="Times New Roman" w:hAnsi="Times New Roman"/>
          <w:sz w:val="24"/>
          <w:szCs w:val="24"/>
          <w:shd w:val="clear" w:color="auto" w:fill="FFFFFF"/>
        </w:rPr>
        <w:t>attachment</w:t>
      </w:r>
      <w:r w:rsidR="00D43B29" w:rsidRPr="00476DF1">
        <w:rPr>
          <w:rFonts w:ascii="Times New Roman" w:eastAsia="Times New Roman" w:hAnsi="Times New Roman"/>
          <w:sz w:val="24"/>
          <w:szCs w:val="24"/>
          <w:shd w:val="clear" w:color="auto" w:fill="FFFFFF"/>
        </w:rPr>
        <w:t xml:space="preserve"> between the </w:t>
      </w:r>
      <w:r w:rsidR="0079115A" w:rsidRPr="00476DF1">
        <w:rPr>
          <w:rFonts w:ascii="Times New Roman" w:eastAsia="Times New Roman" w:hAnsi="Times New Roman"/>
          <w:sz w:val="24"/>
          <w:szCs w:val="24"/>
          <w:shd w:val="clear" w:color="auto" w:fill="FFFFFF"/>
        </w:rPr>
        <w:t>scientist</w:t>
      </w:r>
      <w:r w:rsidR="00D43B29" w:rsidRPr="00476DF1">
        <w:rPr>
          <w:rFonts w:ascii="Times New Roman" w:eastAsia="Times New Roman" w:hAnsi="Times New Roman"/>
          <w:sz w:val="24"/>
          <w:szCs w:val="24"/>
          <w:shd w:val="clear" w:color="auto" w:fill="FFFFFF"/>
        </w:rPr>
        <w:t xml:space="preserve"> and his</w:t>
      </w:r>
      <w:r w:rsidR="00994668" w:rsidRPr="00476DF1">
        <w:rPr>
          <w:rFonts w:ascii="Times New Roman" w:eastAsia="Times New Roman" w:hAnsi="Times New Roman"/>
          <w:sz w:val="24"/>
          <w:szCs w:val="24"/>
          <w:shd w:val="clear" w:color="auto" w:fill="FFFFFF"/>
        </w:rPr>
        <w:t xml:space="preserve"> or her</w:t>
      </w:r>
      <w:r w:rsidR="00D43B29" w:rsidRPr="00476DF1">
        <w:rPr>
          <w:rFonts w:ascii="Times New Roman" w:eastAsia="Times New Roman" w:hAnsi="Times New Roman"/>
          <w:sz w:val="24"/>
          <w:szCs w:val="24"/>
          <w:shd w:val="clear" w:color="auto" w:fill="FFFFFF"/>
        </w:rPr>
        <w:t xml:space="preserve"> workplace</w:t>
      </w:r>
      <w:r w:rsidR="00994668" w:rsidRPr="00476DF1">
        <w:rPr>
          <w:rFonts w:ascii="Times New Roman" w:eastAsia="Times New Roman" w:hAnsi="Times New Roman"/>
          <w:sz w:val="24"/>
          <w:szCs w:val="24"/>
          <w:shd w:val="clear" w:color="auto" w:fill="FFFFFF"/>
        </w:rPr>
        <w:t>;</w:t>
      </w:r>
      <w:r w:rsidR="0079115A" w:rsidRPr="00476DF1">
        <w:rPr>
          <w:rFonts w:ascii="Times New Roman" w:eastAsia="Times New Roman" w:hAnsi="Times New Roman"/>
          <w:sz w:val="24"/>
          <w:szCs w:val="24"/>
          <w:shd w:val="clear" w:color="auto" w:fill="FFFFFF"/>
        </w:rPr>
        <w:t xml:space="preserve"> as a scientist</w:t>
      </w:r>
      <w:r w:rsidR="00970D4F" w:rsidRPr="00476DF1">
        <w:rPr>
          <w:rFonts w:ascii="Times New Roman" w:eastAsia="Times New Roman" w:hAnsi="Times New Roman"/>
          <w:sz w:val="24"/>
          <w:szCs w:val="24"/>
          <w:shd w:val="clear" w:color="auto" w:fill="FFFFFF"/>
        </w:rPr>
        <w:t xml:space="preserve"> move</w:t>
      </w:r>
      <w:r w:rsidR="00994668" w:rsidRPr="00476DF1">
        <w:rPr>
          <w:rFonts w:ascii="Times New Roman" w:eastAsia="Times New Roman" w:hAnsi="Times New Roman"/>
          <w:sz w:val="24"/>
          <w:szCs w:val="24"/>
          <w:shd w:val="clear" w:color="auto" w:fill="FFFFFF"/>
        </w:rPr>
        <w:t>s</w:t>
      </w:r>
      <w:r w:rsidR="00970D4F" w:rsidRPr="00476DF1">
        <w:rPr>
          <w:rFonts w:ascii="Times New Roman" w:eastAsia="Times New Roman" w:hAnsi="Times New Roman"/>
          <w:sz w:val="24"/>
          <w:szCs w:val="24"/>
          <w:shd w:val="clear" w:color="auto" w:fill="FFFFFF"/>
        </w:rPr>
        <w:t xml:space="preserve"> </w:t>
      </w:r>
      <w:r w:rsidR="00994668" w:rsidRPr="00476DF1">
        <w:rPr>
          <w:rFonts w:ascii="Times New Roman" w:eastAsia="Times New Roman" w:hAnsi="Times New Roman"/>
          <w:sz w:val="24"/>
          <w:szCs w:val="24"/>
          <w:shd w:val="clear" w:color="auto" w:fill="FFFFFF"/>
        </w:rPr>
        <w:t>between firms</w:t>
      </w:r>
      <w:r w:rsidR="0079115A" w:rsidRPr="00476DF1">
        <w:rPr>
          <w:rFonts w:ascii="Times New Roman" w:eastAsia="Times New Roman" w:hAnsi="Times New Roman"/>
          <w:sz w:val="24"/>
          <w:szCs w:val="24"/>
          <w:shd w:val="clear" w:color="auto" w:fill="FFFFFF"/>
        </w:rPr>
        <w:t>,</w:t>
      </w:r>
      <w:r w:rsidR="00970D4F" w:rsidRPr="00476DF1">
        <w:rPr>
          <w:rFonts w:ascii="Times New Roman" w:eastAsia="Times New Roman" w:hAnsi="Times New Roman"/>
          <w:sz w:val="24"/>
          <w:szCs w:val="24"/>
          <w:shd w:val="clear" w:color="auto" w:fill="FFFFFF"/>
        </w:rPr>
        <w:t xml:space="preserve"> </w:t>
      </w:r>
      <w:r w:rsidR="00994668" w:rsidRPr="00476DF1">
        <w:rPr>
          <w:rFonts w:ascii="Times New Roman" w:eastAsia="Times New Roman" w:hAnsi="Times New Roman"/>
          <w:sz w:val="24"/>
          <w:szCs w:val="24"/>
          <w:shd w:val="clear" w:color="auto" w:fill="FFFFFF"/>
        </w:rPr>
        <w:t xml:space="preserve">his or her </w:t>
      </w:r>
      <w:r w:rsidR="00970D4F" w:rsidRPr="00476DF1">
        <w:rPr>
          <w:rFonts w:ascii="Times New Roman" w:eastAsia="Times New Roman" w:hAnsi="Times New Roman"/>
          <w:sz w:val="24"/>
          <w:szCs w:val="24"/>
          <w:shd w:val="clear" w:color="auto" w:fill="FFFFFF"/>
        </w:rPr>
        <w:t>rese</w:t>
      </w:r>
      <w:r w:rsidR="0079115A" w:rsidRPr="00476DF1">
        <w:rPr>
          <w:rFonts w:ascii="Times New Roman" w:eastAsia="Times New Roman" w:hAnsi="Times New Roman"/>
          <w:sz w:val="24"/>
          <w:szCs w:val="24"/>
          <w:shd w:val="clear" w:color="auto" w:fill="FFFFFF"/>
        </w:rPr>
        <w:t>a</w:t>
      </w:r>
      <w:r w:rsidR="00970D4F" w:rsidRPr="00476DF1">
        <w:rPr>
          <w:rFonts w:ascii="Times New Roman" w:eastAsia="Times New Roman" w:hAnsi="Times New Roman"/>
          <w:sz w:val="24"/>
          <w:szCs w:val="24"/>
          <w:shd w:val="clear" w:color="auto" w:fill="FFFFFF"/>
        </w:rPr>
        <w:t xml:space="preserve">rch </w:t>
      </w:r>
      <w:r w:rsidR="0079115A" w:rsidRPr="00476DF1">
        <w:rPr>
          <w:rFonts w:ascii="Times New Roman" w:eastAsia="Times New Roman" w:hAnsi="Times New Roman"/>
          <w:sz w:val="24"/>
          <w:szCs w:val="24"/>
          <w:shd w:val="clear" w:color="auto" w:fill="FFFFFF"/>
        </w:rPr>
        <w:t>m</w:t>
      </w:r>
      <w:r w:rsidR="00970D4F" w:rsidRPr="00476DF1">
        <w:rPr>
          <w:rFonts w:ascii="Times New Roman" w:eastAsia="Times New Roman" w:hAnsi="Times New Roman"/>
          <w:sz w:val="24"/>
          <w:szCs w:val="24"/>
          <w:shd w:val="clear" w:color="auto" w:fill="FFFFFF"/>
        </w:rPr>
        <w:t xml:space="preserve">ay suffer somehow. Nevertheless, the scientist </w:t>
      </w:r>
      <w:r w:rsidR="0079115A" w:rsidRPr="00476DF1">
        <w:rPr>
          <w:rFonts w:ascii="Times New Roman" w:eastAsia="Times New Roman" w:hAnsi="Times New Roman"/>
          <w:sz w:val="24"/>
          <w:szCs w:val="24"/>
          <w:shd w:val="clear" w:color="auto" w:fill="FFFFFF"/>
        </w:rPr>
        <w:t xml:space="preserve">is attached to his </w:t>
      </w:r>
      <w:r w:rsidR="00994668" w:rsidRPr="00476DF1">
        <w:rPr>
          <w:rFonts w:ascii="Times New Roman" w:eastAsia="Times New Roman" w:hAnsi="Times New Roman"/>
          <w:sz w:val="24"/>
          <w:szCs w:val="24"/>
          <w:shd w:val="clear" w:color="auto" w:fill="FFFFFF"/>
        </w:rPr>
        <w:t xml:space="preserve">or her </w:t>
      </w:r>
      <w:r w:rsidR="00970D4F" w:rsidRPr="00476DF1">
        <w:rPr>
          <w:rFonts w:ascii="Times New Roman" w:eastAsia="Times New Roman" w:hAnsi="Times New Roman"/>
          <w:sz w:val="24"/>
          <w:szCs w:val="24"/>
          <w:shd w:val="clear" w:color="auto" w:fill="FFFFFF"/>
        </w:rPr>
        <w:t xml:space="preserve">research (HOHBERG, 2016). Researchers, </w:t>
      </w:r>
      <w:r w:rsidR="000E513C" w:rsidRPr="00476DF1">
        <w:rPr>
          <w:rFonts w:ascii="Times New Roman" w:eastAsia="Times New Roman" w:hAnsi="Times New Roman"/>
          <w:sz w:val="24"/>
          <w:szCs w:val="24"/>
          <w:shd w:val="clear" w:color="auto" w:fill="FFFFFF"/>
        </w:rPr>
        <w:t>especially</w:t>
      </w:r>
      <w:r w:rsidR="00970D4F" w:rsidRPr="00476DF1">
        <w:rPr>
          <w:rFonts w:ascii="Times New Roman" w:eastAsia="Times New Roman" w:hAnsi="Times New Roman"/>
          <w:sz w:val="24"/>
          <w:szCs w:val="24"/>
          <w:shd w:val="clear" w:color="auto" w:fill="FFFFFF"/>
        </w:rPr>
        <w:t xml:space="preserve"> the star scientist, have </w:t>
      </w:r>
      <w:r w:rsidR="004E255A" w:rsidRPr="00476DF1">
        <w:rPr>
          <w:rFonts w:ascii="Times New Roman" w:eastAsia="Times New Roman" w:hAnsi="Times New Roman"/>
          <w:sz w:val="24"/>
          <w:szCs w:val="24"/>
          <w:shd w:val="clear" w:color="auto" w:fill="FFFFFF"/>
        </w:rPr>
        <w:t>a certain path dependence</w:t>
      </w:r>
      <w:r w:rsidR="000E513C" w:rsidRPr="00476DF1">
        <w:rPr>
          <w:rFonts w:ascii="Times New Roman" w:eastAsia="Times New Roman" w:hAnsi="Times New Roman"/>
          <w:sz w:val="24"/>
          <w:szCs w:val="24"/>
          <w:shd w:val="clear" w:color="auto" w:fill="FFFFFF"/>
        </w:rPr>
        <w:t xml:space="preserve"> that </w:t>
      </w:r>
      <w:r w:rsidR="00994668" w:rsidRPr="00476DF1">
        <w:rPr>
          <w:rFonts w:ascii="Times New Roman" w:eastAsia="Times New Roman" w:hAnsi="Times New Roman"/>
          <w:sz w:val="24"/>
          <w:szCs w:val="24"/>
          <w:shd w:val="clear" w:color="auto" w:fill="FFFFFF"/>
        </w:rPr>
        <w:t xml:space="preserve">means that they </w:t>
      </w:r>
      <w:r w:rsidR="004E255A" w:rsidRPr="00476DF1">
        <w:rPr>
          <w:rFonts w:ascii="Times New Roman" w:eastAsia="Times New Roman" w:hAnsi="Times New Roman"/>
          <w:sz w:val="24"/>
          <w:szCs w:val="24"/>
          <w:shd w:val="clear" w:color="auto" w:fill="FFFFFF"/>
        </w:rPr>
        <w:t>research the</w:t>
      </w:r>
      <w:r w:rsidR="000E513C" w:rsidRPr="00476DF1">
        <w:rPr>
          <w:rFonts w:ascii="Times New Roman" w:eastAsia="Times New Roman" w:hAnsi="Times New Roman"/>
          <w:sz w:val="24"/>
          <w:szCs w:val="24"/>
          <w:shd w:val="clear" w:color="auto" w:fill="FFFFFF"/>
        </w:rPr>
        <w:t xml:space="preserve"> same subject as </w:t>
      </w:r>
      <w:r w:rsidR="00970D4F" w:rsidRPr="00476DF1">
        <w:rPr>
          <w:rFonts w:ascii="Times New Roman" w:eastAsia="Times New Roman" w:hAnsi="Times New Roman"/>
          <w:sz w:val="24"/>
          <w:szCs w:val="24"/>
          <w:shd w:val="clear" w:color="auto" w:fill="FFFFFF"/>
        </w:rPr>
        <w:t>they move f</w:t>
      </w:r>
      <w:r w:rsidR="000E513C" w:rsidRPr="00476DF1">
        <w:rPr>
          <w:rFonts w:ascii="Times New Roman" w:eastAsia="Times New Roman" w:hAnsi="Times New Roman"/>
          <w:sz w:val="24"/>
          <w:szCs w:val="24"/>
          <w:shd w:val="clear" w:color="auto" w:fill="FFFFFF"/>
        </w:rPr>
        <w:t>ro</w:t>
      </w:r>
      <w:r w:rsidR="00970D4F" w:rsidRPr="00476DF1">
        <w:rPr>
          <w:rFonts w:ascii="Times New Roman" w:eastAsia="Times New Roman" w:hAnsi="Times New Roman"/>
          <w:sz w:val="24"/>
          <w:szCs w:val="24"/>
          <w:shd w:val="clear" w:color="auto" w:fill="FFFFFF"/>
        </w:rPr>
        <w:t>m one place to another</w:t>
      </w:r>
      <w:r w:rsidR="004E255A" w:rsidRPr="00476DF1">
        <w:rPr>
          <w:rFonts w:ascii="Times New Roman" w:eastAsia="Times New Roman" w:hAnsi="Times New Roman"/>
          <w:sz w:val="24"/>
          <w:szCs w:val="24"/>
          <w:shd w:val="clear" w:color="auto" w:fill="FFFFFF"/>
        </w:rPr>
        <w:t xml:space="preserve"> (</w:t>
      </w:r>
      <w:r w:rsidR="00376ED3" w:rsidRPr="00476DF1">
        <w:rPr>
          <w:rFonts w:ascii="Times New Roman" w:eastAsia="Times New Roman" w:hAnsi="Times New Roman"/>
          <w:sz w:val="24"/>
          <w:szCs w:val="24"/>
          <w:shd w:val="clear" w:color="auto" w:fill="FFFFFF"/>
        </w:rPr>
        <w:t>HOHBERGER, 2016)</w:t>
      </w:r>
      <w:r w:rsidR="004E255A" w:rsidRPr="00476DF1">
        <w:rPr>
          <w:rFonts w:ascii="Times New Roman" w:eastAsia="Times New Roman" w:hAnsi="Times New Roman"/>
          <w:sz w:val="24"/>
          <w:szCs w:val="24"/>
          <w:shd w:val="clear" w:color="auto" w:fill="FFFFFF"/>
        </w:rPr>
        <w:t xml:space="preserve">. </w:t>
      </w:r>
      <w:r w:rsidR="00994668" w:rsidRPr="00476DF1">
        <w:rPr>
          <w:rFonts w:ascii="Times New Roman" w:eastAsia="Times New Roman" w:hAnsi="Times New Roman"/>
          <w:sz w:val="24"/>
          <w:szCs w:val="24"/>
          <w:shd w:val="clear" w:color="auto" w:fill="FFFFFF"/>
        </w:rPr>
        <w:t>Ultimately, if</w:t>
      </w:r>
      <w:r w:rsidRPr="00476DF1">
        <w:rPr>
          <w:rFonts w:ascii="Times New Roman" w:eastAsia="Times New Roman" w:hAnsi="Times New Roman"/>
          <w:sz w:val="24"/>
          <w:szCs w:val="24"/>
          <w:shd w:val="clear" w:color="auto" w:fill="FFFFFF"/>
        </w:rPr>
        <w:t xml:space="preserve"> scientist</w:t>
      </w:r>
      <w:r w:rsidR="00994668" w:rsidRPr="00476DF1">
        <w:rPr>
          <w:rFonts w:ascii="Times New Roman" w:eastAsia="Times New Roman" w:hAnsi="Times New Roman"/>
          <w:sz w:val="24"/>
          <w:szCs w:val="24"/>
          <w:shd w:val="clear" w:color="auto" w:fill="FFFFFF"/>
        </w:rPr>
        <w:t>s</w:t>
      </w:r>
      <w:r w:rsidRPr="00476DF1">
        <w:rPr>
          <w:rFonts w:ascii="Times New Roman" w:eastAsia="Times New Roman" w:hAnsi="Times New Roman"/>
          <w:sz w:val="24"/>
          <w:szCs w:val="24"/>
          <w:shd w:val="clear" w:color="auto" w:fill="FFFFFF"/>
        </w:rPr>
        <w:t xml:space="preserve"> move </w:t>
      </w:r>
      <w:r w:rsidR="00EB0287" w:rsidRPr="00476DF1">
        <w:rPr>
          <w:rFonts w:ascii="Times New Roman" w:eastAsia="Times New Roman" w:hAnsi="Times New Roman"/>
          <w:sz w:val="24"/>
          <w:szCs w:val="24"/>
          <w:shd w:val="clear" w:color="auto" w:fill="FFFFFF"/>
        </w:rPr>
        <w:t xml:space="preserve">due to </w:t>
      </w:r>
      <w:r w:rsidR="00994668" w:rsidRPr="00476DF1">
        <w:rPr>
          <w:rFonts w:ascii="Times New Roman" w:eastAsia="Times New Roman" w:hAnsi="Times New Roman"/>
          <w:sz w:val="24"/>
          <w:szCs w:val="24"/>
          <w:shd w:val="clear" w:color="auto" w:fill="FFFFFF"/>
        </w:rPr>
        <w:t xml:space="preserve">their </w:t>
      </w:r>
      <w:r w:rsidR="000E513C" w:rsidRPr="00476DF1">
        <w:rPr>
          <w:rFonts w:ascii="Times New Roman" w:eastAsia="Times New Roman" w:hAnsi="Times New Roman"/>
          <w:sz w:val="24"/>
          <w:szCs w:val="24"/>
          <w:shd w:val="clear" w:color="auto" w:fill="FFFFFF"/>
        </w:rPr>
        <w:t>promising new technolog</w:t>
      </w:r>
      <w:r w:rsidR="00994668" w:rsidRPr="00476DF1">
        <w:rPr>
          <w:rFonts w:ascii="Times New Roman" w:eastAsia="Times New Roman" w:hAnsi="Times New Roman"/>
          <w:sz w:val="24"/>
          <w:szCs w:val="24"/>
          <w:shd w:val="clear" w:color="auto" w:fill="FFFFFF"/>
        </w:rPr>
        <w:t>ies, they will</w:t>
      </w:r>
      <w:r w:rsidR="004E255A" w:rsidRPr="00476DF1">
        <w:rPr>
          <w:rFonts w:ascii="Times New Roman" w:eastAsia="Times New Roman" w:hAnsi="Times New Roman"/>
          <w:sz w:val="24"/>
          <w:szCs w:val="24"/>
          <w:shd w:val="clear" w:color="auto" w:fill="FFFFFF"/>
        </w:rPr>
        <w:t xml:space="preserve"> </w:t>
      </w:r>
      <w:r w:rsidR="000E513C" w:rsidRPr="00476DF1">
        <w:rPr>
          <w:rFonts w:ascii="Times New Roman" w:eastAsia="Times New Roman" w:hAnsi="Times New Roman"/>
          <w:sz w:val="24"/>
          <w:szCs w:val="24"/>
          <w:shd w:val="clear" w:color="auto" w:fill="FFFFFF"/>
        </w:rPr>
        <w:t xml:space="preserve">continue the same </w:t>
      </w:r>
      <w:r w:rsidR="00EB0287" w:rsidRPr="00476DF1">
        <w:rPr>
          <w:rFonts w:ascii="Times New Roman" w:eastAsia="Times New Roman" w:hAnsi="Times New Roman"/>
          <w:sz w:val="24"/>
          <w:szCs w:val="24"/>
          <w:shd w:val="clear" w:color="auto" w:fill="FFFFFF"/>
        </w:rPr>
        <w:t xml:space="preserve">line of </w:t>
      </w:r>
      <w:r w:rsidR="004E255A" w:rsidRPr="00476DF1">
        <w:rPr>
          <w:rFonts w:ascii="Times New Roman" w:eastAsia="Times New Roman" w:hAnsi="Times New Roman"/>
          <w:sz w:val="24"/>
          <w:szCs w:val="24"/>
          <w:shd w:val="clear" w:color="auto" w:fill="FFFFFF"/>
        </w:rPr>
        <w:t>resear</w:t>
      </w:r>
      <w:r w:rsidR="00EB0287" w:rsidRPr="00476DF1">
        <w:rPr>
          <w:rFonts w:ascii="Times New Roman" w:eastAsia="Times New Roman" w:hAnsi="Times New Roman"/>
          <w:sz w:val="24"/>
          <w:szCs w:val="24"/>
          <w:shd w:val="clear" w:color="auto" w:fill="FFFFFF"/>
        </w:rPr>
        <w:t xml:space="preserve">ch </w:t>
      </w:r>
      <w:r w:rsidR="004E255A" w:rsidRPr="00476DF1">
        <w:rPr>
          <w:rFonts w:ascii="Times New Roman" w:eastAsia="Times New Roman" w:hAnsi="Times New Roman"/>
          <w:sz w:val="24"/>
          <w:szCs w:val="24"/>
          <w:shd w:val="clear" w:color="auto" w:fill="FFFFFF"/>
        </w:rPr>
        <w:t xml:space="preserve">in the </w:t>
      </w:r>
      <w:r w:rsidR="000E513C" w:rsidRPr="00476DF1">
        <w:rPr>
          <w:rFonts w:ascii="Times New Roman" w:eastAsia="Times New Roman" w:hAnsi="Times New Roman"/>
          <w:sz w:val="24"/>
          <w:szCs w:val="24"/>
          <w:shd w:val="clear" w:color="auto" w:fill="FFFFFF"/>
        </w:rPr>
        <w:t xml:space="preserve">new </w:t>
      </w:r>
      <w:r w:rsidR="004E255A" w:rsidRPr="00476DF1">
        <w:rPr>
          <w:rFonts w:ascii="Times New Roman" w:eastAsia="Times New Roman" w:hAnsi="Times New Roman"/>
          <w:sz w:val="24"/>
          <w:szCs w:val="24"/>
          <w:shd w:val="clear" w:color="auto" w:fill="FFFFFF"/>
        </w:rPr>
        <w:t>enterprise. Therefore</w:t>
      </w:r>
      <w:r w:rsidR="00BC0764" w:rsidRPr="00476DF1">
        <w:rPr>
          <w:rFonts w:ascii="Times New Roman" w:eastAsia="Times New Roman" w:hAnsi="Times New Roman"/>
          <w:sz w:val="24"/>
          <w:szCs w:val="24"/>
          <w:shd w:val="clear" w:color="auto" w:fill="FFFFFF"/>
        </w:rPr>
        <w:t>,</w:t>
      </w:r>
      <w:r w:rsidR="004E255A" w:rsidRPr="00476DF1">
        <w:rPr>
          <w:rFonts w:ascii="Times New Roman" w:eastAsia="Times New Roman" w:hAnsi="Times New Roman"/>
          <w:sz w:val="24"/>
          <w:szCs w:val="24"/>
          <w:shd w:val="clear" w:color="auto" w:fill="FFFFFF"/>
        </w:rPr>
        <w:t xml:space="preserve"> </w:t>
      </w:r>
      <w:r w:rsidR="00E70799" w:rsidRPr="00476DF1">
        <w:rPr>
          <w:rFonts w:ascii="Times New Roman" w:eastAsia="Times New Roman" w:hAnsi="Times New Roman"/>
          <w:sz w:val="24"/>
          <w:szCs w:val="24"/>
          <w:shd w:val="clear" w:color="auto" w:fill="FFFFFF"/>
        </w:rPr>
        <w:t xml:space="preserve">researchers </w:t>
      </w:r>
      <w:r w:rsidR="000E513C" w:rsidRPr="00476DF1">
        <w:rPr>
          <w:rFonts w:ascii="Times New Roman" w:eastAsia="Times New Roman" w:hAnsi="Times New Roman"/>
          <w:sz w:val="24"/>
          <w:szCs w:val="24"/>
          <w:shd w:val="clear" w:color="auto" w:fill="FFFFFF"/>
        </w:rPr>
        <w:t xml:space="preserve">bring with them the same </w:t>
      </w:r>
      <w:r w:rsidR="004E255A" w:rsidRPr="00476DF1">
        <w:rPr>
          <w:rFonts w:ascii="Times New Roman" w:eastAsia="Times New Roman" w:hAnsi="Times New Roman"/>
          <w:sz w:val="24"/>
          <w:szCs w:val="24"/>
          <w:shd w:val="clear" w:color="auto" w:fill="FFFFFF"/>
        </w:rPr>
        <w:t>“</w:t>
      </w:r>
      <w:r w:rsidR="00D36048" w:rsidRPr="00476DF1">
        <w:rPr>
          <w:rFonts w:ascii="Times New Roman" w:eastAsia="Times New Roman" w:hAnsi="Times New Roman"/>
          <w:sz w:val="24"/>
          <w:szCs w:val="24"/>
          <w:shd w:val="clear" w:color="auto" w:fill="FFFFFF"/>
        </w:rPr>
        <w:t>success</w:t>
      </w:r>
      <w:r w:rsidR="004E255A" w:rsidRPr="00476DF1">
        <w:rPr>
          <w:rFonts w:ascii="Times New Roman" w:eastAsia="Times New Roman" w:hAnsi="Times New Roman"/>
          <w:sz w:val="24"/>
          <w:szCs w:val="24"/>
          <w:shd w:val="clear" w:color="auto" w:fill="FFFFFF"/>
        </w:rPr>
        <w:t xml:space="preserve">” trajectory that </w:t>
      </w:r>
      <w:r w:rsidR="00994668" w:rsidRPr="00476DF1">
        <w:rPr>
          <w:rFonts w:ascii="Times New Roman" w:eastAsia="Times New Roman" w:hAnsi="Times New Roman"/>
          <w:sz w:val="24"/>
          <w:szCs w:val="24"/>
          <w:shd w:val="clear" w:color="auto" w:fill="FFFFFF"/>
        </w:rPr>
        <w:t>drove</w:t>
      </w:r>
      <w:r w:rsidR="004E255A" w:rsidRPr="00476DF1">
        <w:rPr>
          <w:rFonts w:ascii="Times New Roman" w:eastAsia="Times New Roman" w:hAnsi="Times New Roman"/>
          <w:sz w:val="24"/>
          <w:szCs w:val="24"/>
          <w:shd w:val="clear" w:color="auto" w:fill="FFFFFF"/>
        </w:rPr>
        <w:t xml:space="preserve"> the acquisition</w:t>
      </w:r>
      <w:r w:rsidR="00EB0287" w:rsidRPr="00476DF1">
        <w:rPr>
          <w:rFonts w:ascii="Times New Roman" w:eastAsia="Times New Roman" w:hAnsi="Times New Roman"/>
          <w:sz w:val="24"/>
          <w:szCs w:val="24"/>
          <w:shd w:val="clear" w:color="auto" w:fill="FFFFFF"/>
        </w:rPr>
        <w:t xml:space="preserve"> (HOHBERG, 2016)</w:t>
      </w:r>
      <w:r w:rsidR="00994668" w:rsidRPr="00476DF1">
        <w:rPr>
          <w:rFonts w:ascii="Times New Roman" w:eastAsia="Times New Roman" w:hAnsi="Times New Roman"/>
          <w:sz w:val="24"/>
          <w:szCs w:val="24"/>
          <w:shd w:val="clear" w:color="auto" w:fill="FFFFFF"/>
        </w:rPr>
        <w:t>. Of</w:t>
      </w:r>
      <w:r w:rsidR="00E95EEE" w:rsidRPr="00476DF1">
        <w:rPr>
          <w:rFonts w:ascii="Times New Roman" w:eastAsia="Times New Roman" w:hAnsi="Times New Roman"/>
          <w:sz w:val="24"/>
          <w:szCs w:val="24"/>
          <w:shd w:val="clear" w:color="auto" w:fill="FFFFFF"/>
        </w:rPr>
        <w:t xml:space="preserve"> course, the scientist</w:t>
      </w:r>
      <w:r w:rsidR="00994668" w:rsidRPr="00476DF1">
        <w:rPr>
          <w:rFonts w:ascii="Times New Roman" w:eastAsia="Times New Roman" w:hAnsi="Times New Roman"/>
          <w:sz w:val="24"/>
          <w:szCs w:val="24"/>
          <w:shd w:val="clear" w:color="auto" w:fill="FFFFFF"/>
        </w:rPr>
        <w:t>’s</w:t>
      </w:r>
      <w:r w:rsidR="00E95EEE" w:rsidRPr="00476DF1">
        <w:rPr>
          <w:rFonts w:ascii="Times New Roman" w:eastAsia="Times New Roman" w:hAnsi="Times New Roman"/>
          <w:sz w:val="24"/>
          <w:szCs w:val="24"/>
          <w:shd w:val="clear" w:color="auto" w:fill="FFFFFF"/>
        </w:rPr>
        <w:t xml:space="preserve"> success is linked to their network </w:t>
      </w:r>
      <w:r w:rsidR="00994668" w:rsidRPr="00476DF1">
        <w:rPr>
          <w:rFonts w:ascii="Times New Roman" w:eastAsia="Times New Roman" w:hAnsi="Times New Roman"/>
          <w:sz w:val="24"/>
          <w:szCs w:val="24"/>
          <w:shd w:val="clear" w:color="auto" w:fill="FFFFFF"/>
        </w:rPr>
        <w:t>within and without the</w:t>
      </w:r>
      <w:r w:rsidR="00E95EEE" w:rsidRPr="00476DF1">
        <w:rPr>
          <w:rFonts w:ascii="Times New Roman" w:eastAsia="Times New Roman" w:hAnsi="Times New Roman"/>
          <w:sz w:val="24"/>
          <w:szCs w:val="24"/>
          <w:shd w:val="clear" w:color="auto" w:fill="FFFFFF"/>
        </w:rPr>
        <w:t xml:space="preserve"> ente</w:t>
      </w:r>
      <w:r w:rsidR="00194A4B" w:rsidRPr="00476DF1">
        <w:rPr>
          <w:rFonts w:ascii="Times New Roman" w:eastAsia="Times New Roman" w:hAnsi="Times New Roman"/>
          <w:sz w:val="24"/>
          <w:szCs w:val="24"/>
          <w:shd w:val="clear" w:color="auto" w:fill="FFFFFF"/>
        </w:rPr>
        <w:t>r</w:t>
      </w:r>
      <w:r w:rsidR="00E95EEE" w:rsidRPr="00476DF1">
        <w:rPr>
          <w:rFonts w:ascii="Times New Roman" w:eastAsia="Times New Roman" w:hAnsi="Times New Roman"/>
          <w:sz w:val="24"/>
          <w:szCs w:val="24"/>
          <w:shd w:val="clear" w:color="auto" w:fill="FFFFFF"/>
        </w:rPr>
        <w:t>prise (OETTL, 2012)</w:t>
      </w:r>
      <w:r w:rsidR="004E255A" w:rsidRPr="00476DF1">
        <w:rPr>
          <w:rFonts w:ascii="Times New Roman" w:eastAsia="Times New Roman" w:hAnsi="Times New Roman"/>
          <w:sz w:val="24"/>
          <w:szCs w:val="24"/>
          <w:shd w:val="clear" w:color="auto" w:fill="FFFFFF"/>
        </w:rPr>
        <w:t>.</w:t>
      </w:r>
    </w:p>
    <w:p w14:paraId="24E025D4" w14:textId="56AB7924" w:rsidR="00A812B6" w:rsidRPr="00476DF1" w:rsidRDefault="00A812B6" w:rsidP="00CE4BBE">
      <w:pPr>
        <w:pStyle w:val="Ttulo3"/>
        <w:spacing w:line="240" w:lineRule="auto"/>
      </w:pPr>
      <w:bookmarkStart w:id="8" w:name="_Toc465849078"/>
      <w:r w:rsidRPr="00476DF1">
        <w:t>S</w:t>
      </w:r>
      <w:r w:rsidR="00806F6C" w:rsidRPr="00476DF1">
        <w:t>cientists as a s</w:t>
      </w:r>
      <w:r w:rsidRPr="00476DF1">
        <w:t xml:space="preserve">kill </w:t>
      </w:r>
      <w:r w:rsidR="00806F6C" w:rsidRPr="00476DF1">
        <w:t xml:space="preserve">element </w:t>
      </w:r>
      <w:bookmarkEnd w:id="8"/>
    </w:p>
    <w:p w14:paraId="2167B5CA" w14:textId="5DE1E5C2" w:rsidR="004E255A" w:rsidRPr="00476DF1" w:rsidRDefault="009C2289"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T</w:t>
      </w:r>
      <w:r w:rsidR="004E255A" w:rsidRPr="00476DF1">
        <w:rPr>
          <w:rFonts w:ascii="Times New Roman" w:hAnsi="Times New Roman"/>
          <w:sz w:val="24"/>
          <w:szCs w:val="24"/>
        </w:rPr>
        <w:t xml:space="preserve">he trajectory of the firm is built on </w:t>
      </w:r>
      <w:r w:rsidRPr="00476DF1">
        <w:rPr>
          <w:rFonts w:ascii="Times New Roman" w:hAnsi="Times New Roman"/>
          <w:sz w:val="24"/>
          <w:szCs w:val="24"/>
        </w:rPr>
        <w:t>its scientist</w:t>
      </w:r>
      <w:r w:rsidR="00994668" w:rsidRPr="00476DF1">
        <w:rPr>
          <w:rFonts w:ascii="Times New Roman" w:hAnsi="Times New Roman"/>
          <w:sz w:val="24"/>
          <w:szCs w:val="24"/>
        </w:rPr>
        <w:t>s’</w:t>
      </w:r>
      <w:r w:rsidRPr="00476DF1">
        <w:rPr>
          <w:rFonts w:ascii="Times New Roman" w:hAnsi="Times New Roman"/>
          <w:sz w:val="24"/>
          <w:szCs w:val="24"/>
        </w:rPr>
        <w:t xml:space="preserve"> research</w:t>
      </w:r>
      <w:r w:rsidR="00E95EEE" w:rsidRPr="00476DF1">
        <w:rPr>
          <w:rFonts w:ascii="Times New Roman" w:hAnsi="Times New Roman"/>
          <w:sz w:val="24"/>
          <w:szCs w:val="24"/>
        </w:rPr>
        <w:t xml:space="preserve"> (COLOMBO; PIVA, 2012)</w:t>
      </w:r>
      <w:r w:rsidRPr="00476DF1">
        <w:rPr>
          <w:rFonts w:ascii="Times New Roman" w:hAnsi="Times New Roman"/>
          <w:sz w:val="24"/>
          <w:szCs w:val="24"/>
        </w:rPr>
        <w:t xml:space="preserve"> </w:t>
      </w:r>
      <w:r w:rsidR="002E0547" w:rsidRPr="00476DF1">
        <w:rPr>
          <w:rFonts w:ascii="Times New Roman" w:hAnsi="Times New Roman"/>
          <w:sz w:val="24"/>
          <w:szCs w:val="24"/>
        </w:rPr>
        <w:t>and t</w:t>
      </w:r>
      <w:r w:rsidRPr="00476DF1">
        <w:rPr>
          <w:rFonts w:ascii="Times New Roman" w:hAnsi="Times New Roman"/>
          <w:sz w:val="24"/>
          <w:szCs w:val="24"/>
        </w:rPr>
        <w:t>he path dependence character</w:t>
      </w:r>
      <w:r w:rsidR="00994668" w:rsidRPr="00476DF1">
        <w:rPr>
          <w:rFonts w:ascii="Times New Roman" w:hAnsi="Times New Roman"/>
          <w:sz w:val="24"/>
          <w:szCs w:val="24"/>
        </w:rPr>
        <w:t>istic</w:t>
      </w:r>
      <w:r w:rsidRPr="00476DF1">
        <w:rPr>
          <w:rFonts w:ascii="Times New Roman" w:hAnsi="Times New Roman"/>
          <w:sz w:val="24"/>
          <w:szCs w:val="24"/>
        </w:rPr>
        <w:t xml:space="preserve"> of research implies that </w:t>
      </w:r>
      <w:r w:rsidR="00994668" w:rsidRPr="00476DF1">
        <w:rPr>
          <w:rFonts w:ascii="Times New Roman" w:hAnsi="Times New Roman"/>
          <w:sz w:val="24"/>
          <w:szCs w:val="24"/>
        </w:rPr>
        <w:t xml:space="preserve">an </w:t>
      </w:r>
      <w:r w:rsidRPr="00476DF1">
        <w:rPr>
          <w:rFonts w:ascii="Times New Roman" w:hAnsi="Times New Roman"/>
          <w:sz w:val="24"/>
          <w:szCs w:val="24"/>
        </w:rPr>
        <w:t>acq</w:t>
      </w:r>
      <w:r w:rsidR="00441D52" w:rsidRPr="00476DF1">
        <w:rPr>
          <w:rFonts w:ascii="Times New Roman" w:hAnsi="Times New Roman"/>
          <w:sz w:val="24"/>
          <w:szCs w:val="24"/>
        </w:rPr>
        <w:t>ui</w:t>
      </w:r>
      <w:r w:rsidRPr="00476DF1">
        <w:rPr>
          <w:rFonts w:ascii="Times New Roman" w:hAnsi="Times New Roman"/>
          <w:sz w:val="24"/>
          <w:szCs w:val="24"/>
        </w:rPr>
        <w:t>s</w:t>
      </w:r>
      <w:r w:rsidR="00441D52" w:rsidRPr="00476DF1">
        <w:rPr>
          <w:rFonts w:ascii="Times New Roman" w:hAnsi="Times New Roman"/>
          <w:sz w:val="24"/>
          <w:szCs w:val="24"/>
        </w:rPr>
        <w:t>i</w:t>
      </w:r>
      <w:r w:rsidRPr="00476DF1">
        <w:rPr>
          <w:rFonts w:ascii="Times New Roman" w:hAnsi="Times New Roman"/>
          <w:sz w:val="24"/>
          <w:szCs w:val="24"/>
        </w:rPr>
        <w:t xml:space="preserve">tion does not end a research heuristic </w:t>
      </w:r>
      <w:r w:rsidR="004E255A" w:rsidRPr="00476DF1">
        <w:rPr>
          <w:rFonts w:ascii="Times New Roman" w:hAnsi="Times New Roman"/>
          <w:sz w:val="24"/>
          <w:szCs w:val="24"/>
        </w:rPr>
        <w:t>(</w:t>
      </w:r>
      <w:r w:rsidR="00376ED3" w:rsidRPr="00476DF1">
        <w:rPr>
          <w:rFonts w:ascii="Times New Roman" w:hAnsi="Times New Roman"/>
          <w:sz w:val="24"/>
          <w:szCs w:val="24"/>
        </w:rPr>
        <w:t>HOHBERGER, 2016</w:t>
      </w:r>
      <w:r w:rsidR="004E255A" w:rsidRPr="00476DF1">
        <w:rPr>
          <w:rFonts w:ascii="Times New Roman" w:hAnsi="Times New Roman"/>
          <w:sz w:val="24"/>
          <w:szCs w:val="24"/>
        </w:rPr>
        <w:t>).</w:t>
      </w:r>
      <w:r w:rsidRPr="00476DF1">
        <w:rPr>
          <w:rFonts w:ascii="Times New Roman" w:hAnsi="Times New Roman"/>
          <w:sz w:val="24"/>
          <w:szCs w:val="24"/>
        </w:rPr>
        <w:t xml:space="preserve"> </w:t>
      </w:r>
      <w:r w:rsidR="00376ED3" w:rsidRPr="00476DF1">
        <w:rPr>
          <w:rFonts w:ascii="Times New Roman" w:hAnsi="Times New Roman"/>
          <w:sz w:val="24"/>
          <w:szCs w:val="24"/>
        </w:rPr>
        <w:t>A</w:t>
      </w:r>
      <w:r w:rsidRPr="00476DF1">
        <w:rPr>
          <w:rFonts w:ascii="Times New Roman" w:hAnsi="Times New Roman"/>
          <w:sz w:val="24"/>
          <w:szCs w:val="24"/>
        </w:rPr>
        <w:t>s s</w:t>
      </w:r>
      <w:r w:rsidR="008B1BB2" w:rsidRPr="00476DF1">
        <w:rPr>
          <w:rFonts w:ascii="Times New Roman" w:hAnsi="Times New Roman"/>
          <w:sz w:val="24"/>
          <w:szCs w:val="24"/>
        </w:rPr>
        <w:t>cientist</w:t>
      </w:r>
      <w:r w:rsidRPr="00476DF1">
        <w:rPr>
          <w:rFonts w:ascii="Times New Roman" w:hAnsi="Times New Roman"/>
          <w:sz w:val="24"/>
          <w:szCs w:val="24"/>
        </w:rPr>
        <w:t xml:space="preserve">s move from one enterprise to </w:t>
      </w:r>
      <w:r w:rsidR="00376ED3" w:rsidRPr="00476DF1">
        <w:rPr>
          <w:rFonts w:ascii="Times New Roman" w:hAnsi="Times New Roman"/>
          <w:sz w:val="24"/>
          <w:szCs w:val="24"/>
        </w:rPr>
        <w:t>another,</w:t>
      </w:r>
      <w:r w:rsidRPr="00476DF1">
        <w:rPr>
          <w:rFonts w:ascii="Times New Roman" w:hAnsi="Times New Roman"/>
          <w:sz w:val="24"/>
          <w:szCs w:val="24"/>
        </w:rPr>
        <w:t xml:space="preserve"> they </w:t>
      </w:r>
      <w:r w:rsidR="004E255A" w:rsidRPr="00476DF1">
        <w:rPr>
          <w:rFonts w:ascii="Times New Roman" w:hAnsi="Times New Roman"/>
          <w:sz w:val="24"/>
          <w:szCs w:val="24"/>
        </w:rPr>
        <w:t>b</w:t>
      </w:r>
      <w:r w:rsidRPr="00476DF1">
        <w:rPr>
          <w:rFonts w:ascii="Times New Roman" w:hAnsi="Times New Roman"/>
          <w:sz w:val="24"/>
          <w:szCs w:val="24"/>
        </w:rPr>
        <w:t>r</w:t>
      </w:r>
      <w:r w:rsidR="004E255A" w:rsidRPr="00476DF1">
        <w:rPr>
          <w:rFonts w:ascii="Times New Roman" w:hAnsi="Times New Roman"/>
          <w:sz w:val="24"/>
          <w:szCs w:val="24"/>
        </w:rPr>
        <w:t xml:space="preserve">ing with them </w:t>
      </w:r>
      <w:r w:rsidRPr="00476DF1">
        <w:rPr>
          <w:rFonts w:ascii="Times New Roman" w:hAnsi="Times New Roman"/>
          <w:sz w:val="24"/>
          <w:szCs w:val="24"/>
        </w:rPr>
        <w:t xml:space="preserve">their </w:t>
      </w:r>
      <w:r w:rsidR="00994668" w:rsidRPr="00476DF1">
        <w:rPr>
          <w:rFonts w:ascii="Times New Roman" w:hAnsi="Times New Roman"/>
          <w:sz w:val="24"/>
          <w:szCs w:val="24"/>
        </w:rPr>
        <w:t>skills</w:t>
      </w:r>
      <w:r w:rsidR="00A812B6" w:rsidRPr="00476DF1">
        <w:rPr>
          <w:rFonts w:ascii="Times New Roman" w:hAnsi="Times New Roman"/>
          <w:sz w:val="24"/>
          <w:szCs w:val="24"/>
        </w:rPr>
        <w:t xml:space="preserve">. This type of knowledge, within economic agents, cannot be transferred through instructions, but are acquired through learning and experience. </w:t>
      </w:r>
      <w:r w:rsidR="004E255A" w:rsidRPr="00476DF1">
        <w:rPr>
          <w:rFonts w:ascii="Times New Roman" w:hAnsi="Times New Roman"/>
          <w:sz w:val="24"/>
          <w:szCs w:val="24"/>
        </w:rPr>
        <w:t>Therefore</w:t>
      </w:r>
      <w:r w:rsidR="00376ED3" w:rsidRPr="00476DF1">
        <w:rPr>
          <w:rFonts w:ascii="Times New Roman" w:hAnsi="Times New Roman"/>
          <w:sz w:val="24"/>
          <w:szCs w:val="24"/>
        </w:rPr>
        <w:t>,</w:t>
      </w:r>
      <w:r w:rsidR="004E255A" w:rsidRPr="00476DF1">
        <w:rPr>
          <w:rFonts w:ascii="Times New Roman" w:hAnsi="Times New Roman"/>
          <w:sz w:val="24"/>
          <w:szCs w:val="24"/>
        </w:rPr>
        <w:t xml:space="preserve"> </w:t>
      </w:r>
      <w:r w:rsidR="00994668" w:rsidRPr="00476DF1">
        <w:rPr>
          <w:rFonts w:ascii="Times New Roman" w:hAnsi="Times New Roman"/>
          <w:sz w:val="24"/>
          <w:szCs w:val="24"/>
        </w:rPr>
        <w:t xml:space="preserve">a </w:t>
      </w:r>
      <w:r w:rsidR="004E255A" w:rsidRPr="00476DF1">
        <w:rPr>
          <w:rFonts w:ascii="Times New Roman" w:hAnsi="Times New Roman"/>
          <w:sz w:val="24"/>
          <w:szCs w:val="24"/>
        </w:rPr>
        <w:t>workforce dedic</w:t>
      </w:r>
      <w:r w:rsidR="00441D52" w:rsidRPr="00476DF1">
        <w:rPr>
          <w:rFonts w:ascii="Times New Roman" w:hAnsi="Times New Roman"/>
          <w:sz w:val="24"/>
          <w:szCs w:val="24"/>
        </w:rPr>
        <w:t>a</w:t>
      </w:r>
      <w:r w:rsidR="004E255A" w:rsidRPr="00476DF1">
        <w:rPr>
          <w:rFonts w:ascii="Times New Roman" w:hAnsi="Times New Roman"/>
          <w:sz w:val="24"/>
          <w:szCs w:val="24"/>
        </w:rPr>
        <w:t>ted to research can be called the skill knowledge set of an enterprise (</w:t>
      </w:r>
      <w:r w:rsidR="00460118" w:rsidRPr="00476DF1">
        <w:rPr>
          <w:rFonts w:ascii="Times New Roman" w:hAnsi="Times New Roman"/>
          <w:sz w:val="24"/>
          <w:szCs w:val="24"/>
        </w:rPr>
        <w:t>AUTHOR</w:t>
      </w:r>
      <w:r w:rsidR="004E255A" w:rsidRPr="00476DF1">
        <w:rPr>
          <w:rFonts w:ascii="Times New Roman" w:hAnsi="Times New Roman"/>
          <w:sz w:val="24"/>
          <w:szCs w:val="24"/>
        </w:rPr>
        <w:t>, 2016).</w:t>
      </w:r>
    </w:p>
    <w:p w14:paraId="22B5C181" w14:textId="6439F396" w:rsidR="00A812B6" w:rsidRPr="00476DF1" w:rsidRDefault="00A812B6"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The pharmaceutical industry, despite its relationship with the patent system, depends highly on skills </w:t>
      </w:r>
      <w:r w:rsidR="004E255A" w:rsidRPr="00476DF1">
        <w:rPr>
          <w:rFonts w:ascii="Times New Roman" w:hAnsi="Times New Roman"/>
          <w:sz w:val="24"/>
          <w:szCs w:val="24"/>
        </w:rPr>
        <w:t xml:space="preserve">to innovate </w:t>
      </w:r>
      <w:r w:rsidR="006631CE" w:rsidRPr="00476DF1">
        <w:rPr>
          <w:rFonts w:ascii="Times New Roman" w:hAnsi="Times New Roman"/>
          <w:sz w:val="24"/>
          <w:szCs w:val="24"/>
        </w:rPr>
        <w:t>(SCHWARTZMAN; 1976</w:t>
      </w:r>
      <w:r w:rsidR="002E0547" w:rsidRPr="00476DF1">
        <w:rPr>
          <w:rFonts w:ascii="Times New Roman" w:hAnsi="Times New Roman"/>
          <w:sz w:val="24"/>
          <w:szCs w:val="24"/>
        </w:rPr>
        <w:t xml:space="preserve">) and </w:t>
      </w:r>
      <w:r w:rsidR="00AB64B4" w:rsidRPr="00476DF1">
        <w:rPr>
          <w:rFonts w:ascii="Times New Roman" w:hAnsi="Times New Roman"/>
          <w:sz w:val="24"/>
          <w:szCs w:val="24"/>
        </w:rPr>
        <w:t xml:space="preserve">technological development does not mitigate </w:t>
      </w:r>
      <w:r w:rsidR="002E0547" w:rsidRPr="00476DF1">
        <w:rPr>
          <w:rFonts w:ascii="Times New Roman" w:hAnsi="Times New Roman"/>
          <w:sz w:val="24"/>
          <w:szCs w:val="24"/>
        </w:rPr>
        <w:t xml:space="preserve">this dependence </w:t>
      </w:r>
      <w:r w:rsidR="00F728AD" w:rsidRPr="00476DF1">
        <w:rPr>
          <w:rFonts w:ascii="Times New Roman" w:hAnsi="Times New Roman"/>
          <w:sz w:val="24"/>
          <w:szCs w:val="24"/>
        </w:rPr>
        <w:t>(</w:t>
      </w:r>
      <w:r w:rsidR="002E0547" w:rsidRPr="00476DF1">
        <w:rPr>
          <w:rFonts w:ascii="Times New Roman" w:hAnsi="Times New Roman"/>
          <w:sz w:val="24"/>
          <w:szCs w:val="24"/>
        </w:rPr>
        <w:t xml:space="preserve">GAMBARDELLA; 1995; </w:t>
      </w:r>
      <w:r w:rsidR="002E0547" w:rsidRPr="00476DF1">
        <w:rPr>
          <w:rFonts w:ascii="Times New Roman" w:hAnsi="Times New Roman"/>
          <w:sz w:val="24"/>
          <w:szCs w:val="24"/>
        </w:rPr>
        <w:fldChar w:fldCharType="begin" w:fldLock="1"/>
      </w:r>
      <w:r w:rsidR="002E0547" w:rsidRPr="00476DF1">
        <w:rPr>
          <w:rFonts w:ascii="Times New Roman" w:hAnsi="Times New Roman"/>
          <w:sz w:val="24"/>
          <w:szCs w:val="24"/>
        </w:rPr>
        <w:instrText>ADDIN CSL_CITATION { "citationItems" : [ { "id" : "ITEM-1", "itemData" : { "author" : [ { "dropping-particle" : "", "family" : "Schwartzman", "given" : "David", "non-dropping-particle" : "", "parse-names" : false, "suffix" : "" }, { "dropping-particle" : "", "family" : "Cognat", "given" : "Antonio", "non-dropping-particle" : "", "parse-names" : false, "suffix" : "" } ], "id" : "ITEM-1", "issued" : { "date-parts" : [ [ "1996" ] ] }, "title" : "Has Pharmaceutical Research Become More Scientifk ?*", "type" : "article-journal" }, "uris" : [ "http://www.mendeley.com/documents/?uuid=eeec95f4-0999-44c4-8517-65e749e44d86" ] } ], "mendeley" : { "formattedCitation" : "(SCHWARTZMAN; COGNAT, 1996)", "manualFormatting" : "SCHWARTZMAN; COGNAT, 1996)", "plainTextFormattedCitation" : "(SCHWARTZMAN; COGNAT, 1996)", "previouslyFormattedCitation" : "(SCHWARTZMAN; COGNAT, 1996)" }, "properties" : {  }, "schema" : "https://github.com/citation-style-language/schema/raw/master/csl-citation.json" }</w:instrText>
      </w:r>
      <w:r w:rsidR="002E0547" w:rsidRPr="00476DF1">
        <w:rPr>
          <w:rFonts w:ascii="Times New Roman" w:hAnsi="Times New Roman"/>
          <w:sz w:val="24"/>
          <w:szCs w:val="24"/>
        </w:rPr>
        <w:fldChar w:fldCharType="separate"/>
      </w:r>
      <w:r w:rsidR="002E0547" w:rsidRPr="00476DF1">
        <w:rPr>
          <w:rFonts w:ascii="Times New Roman" w:hAnsi="Times New Roman"/>
          <w:noProof/>
          <w:sz w:val="24"/>
          <w:szCs w:val="24"/>
        </w:rPr>
        <w:t>SCHWARTZMAN; COGNAT, 1996)</w:t>
      </w:r>
      <w:r w:rsidR="002E0547" w:rsidRPr="00476DF1">
        <w:rPr>
          <w:rFonts w:ascii="Times New Roman" w:hAnsi="Times New Roman"/>
          <w:sz w:val="24"/>
          <w:szCs w:val="24"/>
        </w:rPr>
        <w:fldChar w:fldCharType="end"/>
      </w:r>
      <w:r w:rsidR="00AB64B4" w:rsidRPr="00476DF1">
        <w:rPr>
          <w:rFonts w:ascii="Times New Roman" w:hAnsi="Times New Roman"/>
          <w:sz w:val="24"/>
          <w:szCs w:val="24"/>
        </w:rPr>
        <w:t>. Indeed</w:t>
      </w:r>
      <w:r w:rsidR="002E0547" w:rsidRPr="00476DF1">
        <w:rPr>
          <w:rFonts w:ascii="Times New Roman" w:hAnsi="Times New Roman"/>
          <w:sz w:val="24"/>
          <w:szCs w:val="24"/>
        </w:rPr>
        <w:t xml:space="preserve">, technology </w:t>
      </w:r>
      <w:r w:rsidR="00AB64B4" w:rsidRPr="00476DF1">
        <w:rPr>
          <w:rFonts w:ascii="Times New Roman" w:hAnsi="Times New Roman"/>
          <w:sz w:val="24"/>
          <w:szCs w:val="24"/>
        </w:rPr>
        <w:t>created</w:t>
      </w:r>
      <w:r w:rsidR="002E0547" w:rsidRPr="00476DF1">
        <w:rPr>
          <w:rFonts w:ascii="Times New Roman" w:hAnsi="Times New Roman"/>
          <w:sz w:val="24"/>
          <w:szCs w:val="24"/>
        </w:rPr>
        <w:t xml:space="preserve"> some techniques and</w:t>
      </w:r>
      <w:r w:rsidR="00F257CF" w:rsidRPr="00476DF1">
        <w:rPr>
          <w:rFonts w:ascii="Times New Roman" w:hAnsi="Times New Roman"/>
          <w:sz w:val="24"/>
          <w:szCs w:val="24"/>
        </w:rPr>
        <w:t xml:space="preserve"> </w:t>
      </w:r>
      <w:r w:rsidR="00F728AD" w:rsidRPr="00476DF1">
        <w:rPr>
          <w:rFonts w:ascii="Times New Roman" w:hAnsi="Times New Roman"/>
          <w:sz w:val="24"/>
          <w:szCs w:val="24"/>
        </w:rPr>
        <w:t xml:space="preserve">their </w:t>
      </w:r>
      <w:r w:rsidR="002E0547" w:rsidRPr="00476DF1">
        <w:rPr>
          <w:rFonts w:ascii="Times New Roman" w:hAnsi="Times New Roman"/>
          <w:sz w:val="24"/>
          <w:szCs w:val="24"/>
        </w:rPr>
        <w:t>experts more re</w:t>
      </w:r>
      <w:r w:rsidR="00F728AD" w:rsidRPr="00476DF1">
        <w:rPr>
          <w:rFonts w:ascii="Times New Roman" w:hAnsi="Times New Roman"/>
          <w:sz w:val="24"/>
          <w:szCs w:val="24"/>
        </w:rPr>
        <w:t>levant</w:t>
      </w:r>
      <w:r w:rsidR="002E0547" w:rsidRPr="00476DF1">
        <w:rPr>
          <w:rFonts w:ascii="Times New Roman" w:hAnsi="Times New Roman"/>
          <w:sz w:val="24"/>
          <w:szCs w:val="24"/>
        </w:rPr>
        <w:t xml:space="preserve"> </w:t>
      </w:r>
      <w:r w:rsidR="00F728AD" w:rsidRPr="00476DF1">
        <w:rPr>
          <w:rFonts w:ascii="Times New Roman" w:hAnsi="Times New Roman"/>
          <w:sz w:val="24"/>
          <w:szCs w:val="24"/>
        </w:rPr>
        <w:t>(</w:t>
      </w:r>
      <w:r w:rsidR="00F728AD" w:rsidRPr="00476DF1">
        <w:rPr>
          <w:rFonts w:ascii="Times New Roman" w:hAnsi="Times New Roman"/>
          <w:noProof/>
          <w:sz w:val="24"/>
          <w:szCs w:val="24"/>
        </w:rPr>
        <w:t>SCHWARDT; KOLB; ERNST, 2003;</w:t>
      </w:r>
      <w:r w:rsidR="002E0547" w:rsidRPr="00476DF1">
        <w:rPr>
          <w:rFonts w:ascii="Times New Roman" w:hAnsi="Times New Roman"/>
          <w:sz w:val="24"/>
          <w:szCs w:val="24"/>
        </w:rPr>
        <w:t xml:space="preserve"> </w:t>
      </w:r>
      <w:r w:rsidR="002E0547" w:rsidRPr="00476DF1">
        <w:rPr>
          <w:rFonts w:ascii="Times New Roman" w:hAnsi="Times New Roman"/>
          <w:sz w:val="24"/>
          <w:szCs w:val="24"/>
        </w:rPr>
        <w:fldChar w:fldCharType="begin" w:fldLock="1"/>
      </w:r>
      <w:r w:rsidR="00F728AD" w:rsidRPr="00476DF1">
        <w:rPr>
          <w:rFonts w:ascii="Times New Roman" w:hAnsi="Times New Roman"/>
          <w:sz w:val="24"/>
          <w:szCs w:val="24"/>
        </w:rPr>
        <w:instrText>ADDIN CSL_CITATION { "citationItems" : [ { "id" : "ITEM-1", "itemData" : { "DOI" : "10.1016/j.biotechadv.2011.08.021.Secreted", "ISBN" : "2122633255", "ISSN" : "15378276", "PMID" : "1000000221", "abstract" : "Drug discovery is currently being industrialized. This fact is confusing, given that it is happening in times when the rest of the world has entered the subsequent information age. Here, we introduce a concept and an infrastructure for the now popular and well-known recommender systems in the context of exploiting one of the cornerstones of drug design: chemical reagent selection. The goal is to create and transfer information openly to facilitate intuition and serendipity in drug design. The system is tailored to highlight reagents from our corporate reagent database; reagents that a chemist might not have considered based purely on their own experience.", "author" : [ { "dropping-particle" : "", "family" : "Schwardt", "given" : "O.", "non-dropping-particle" : "", "parse-names" : false, "suffix" : "" }, { "dropping-particle" : "", "family" : "Kolb", "given" : "H.", "non-dropping-particle" : "", "parse-names" : false, "suffix" : "" }, { "dropping-particle" : "", "family" : "Ernst", "given" : "B.", "non-dropping-particle" : "", "parse-names" : false, "suffix" : "" } ], "container-title" : "October", "id" : "ITEM-1", "issue" : "3", "issued" : { "date-parts" : [ [ "2003" ] ] }, "page" : "1-9", "title" : "Drug Discovery Today", "type" : "article-journal" }, "uris" : [ "http://www.mendeley.com/documents/?uuid=4daea0dc-b299-4b0f-bb10-69a9e58035fd" ] }, { "id" : "ITEM-2", "itemData" : { "DOI" : "10.1038/sj.bjp.0707373", "ISBN" : "0007-1188 (Print)", "ISSN" : "0007-1188", "PMID" : "17603542", "abstract" : "This article reviews the origin and evolution of high throughput screening (HTS) through the experience of an individual pharmaceutical company, revealing some of the mysteries of the early stages of drug discovery to the wider pharmacology audience. HTS in this company (Pfizer, Groton, USA) had its origin in natural products screening in 1986, by substituting fermentation broths with dimethyl sulphoxide solutions of synthetic compounds, using 96-well plates and reduced assay volumes of 50-100 microl. A nominal 30 mM source compound concentration provided high microM assay concentrations. Starting at 800 compounds each week, the process reached a steady state of 7200 compounds per week by 1989. Screening in the Applied Biotechnology and Screening Group was centralized with screens operating in lock-step to maximize efficiency. Initial screens were full files run in triplicate. Autoradiography and image analysis were introduced for (125)I receptor ligand screens. Reverse transcriptase (RT) coupled with quantitative PCR and multiplexing addressed several targets in a single assay. By 1992 HTS produced 'hits' as starting matter for approximately 40% of the Discovery portfolio. In 1995, the HTS methodology was expanded to include ADMET targets. ADME targets required each compound to be physically detected leading to the development of automated high throughput LC-MS. In 1996, 90 compounds/week were screened in microsomal, protein binding and serum stability assays. Subsequently, the mutagenic Ames assay was adapted to a 96-well plate liquid assay and novel algorithms permitted automated image analysis of the micronucleus assay. By 1999 ADME HTS was fully integrated into the discovery cycle.", "author" : [ { "dropping-particle" : "", "family" : "Pereira", "given" : "D A", "non-dropping-particle" : "", "parse-names" : false, "suffix" : "" }, { "dropping-particle" : "", "family" : "Williams", "given" : "J A", "non-dropping-particle" : "", "parse-names" : false, "suffix" : "" } ], "container-title" : "British journal of pharmacology", "id" : "ITEM-2", "issue" : "1", "issued" : { "date-parts" : [ [ "2007" ] ] }, "page" : "53-61", "title" : "Origin and evolution of high throughput screening.", "type" : "article-journal", "volume" : "152" }, "uris" : [ "http://www.mendeley.com/documents/?uuid=8096b0fb-9a6b-4046-9620-a0623341c53c" ] } ], "mendeley" : { "formattedCitation" : "(PEREIRA; WILLIAMS, 2007; SCHWARDT; KOLB; ERNST, 2003)", "manualFormatting" : "PEREIRA; WILLIAMS, 2007)", "plainTextFormattedCitation" : "(PEREIRA; WILLIAMS, 2007; SCHWARDT; KOLB; ERNST, 2003)", "previouslyFormattedCitation" : "(PEREIRA; WILLIAMS, 2007; SCHWARDT; KOLB; ERNST, 2003)" }, "properties" : {  }, "schema" : "https://github.com/citation-style-language/schema/raw/master/csl-citation.json" }</w:instrText>
      </w:r>
      <w:r w:rsidR="002E0547" w:rsidRPr="00476DF1">
        <w:rPr>
          <w:rFonts w:ascii="Times New Roman" w:hAnsi="Times New Roman"/>
          <w:sz w:val="24"/>
          <w:szCs w:val="24"/>
        </w:rPr>
        <w:fldChar w:fldCharType="separate"/>
      </w:r>
      <w:r w:rsidR="00F728AD" w:rsidRPr="00476DF1">
        <w:rPr>
          <w:rFonts w:ascii="Times New Roman" w:hAnsi="Times New Roman"/>
          <w:noProof/>
          <w:sz w:val="24"/>
          <w:szCs w:val="24"/>
        </w:rPr>
        <w:t>PEREIRA; WILLIAMS, 2007)</w:t>
      </w:r>
      <w:r w:rsidR="002E0547" w:rsidRPr="00476DF1">
        <w:rPr>
          <w:rFonts w:ascii="Times New Roman" w:hAnsi="Times New Roman"/>
          <w:sz w:val="24"/>
          <w:szCs w:val="24"/>
        </w:rPr>
        <w:fldChar w:fldCharType="end"/>
      </w:r>
      <w:r w:rsidRPr="00476DF1">
        <w:rPr>
          <w:rFonts w:ascii="Times New Roman" w:hAnsi="Times New Roman"/>
          <w:sz w:val="24"/>
          <w:szCs w:val="24"/>
        </w:rPr>
        <w:t>.</w:t>
      </w:r>
      <w:r w:rsidR="00F728AD" w:rsidRPr="00476DF1">
        <w:rPr>
          <w:rFonts w:ascii="Times New Roman" w:hAnsi="Times New Roman"/>
          <w:sz w:val="24"/>
          <w:szCs w:val="24"/>
        </w:rPr>
        <w:t xml:space="preserve"> Therefore</w:t>
      </w:r>
      <w:r w:rsidR="006119A0" w:rsidRPr="00476DF1">
        <w:rPr>
          <w:rFonts w:ascii="Times New Roman" w:hAnsi="Times New Roman"/>
          <w:sz w:val="24"/>
          <w:szCs w:val="24"/>
        </w:rPr>
        <w:t>,</w:t>
      </w:r>
      <w:r w:rsidR="00F728AD" w:rsidRPr="00476DF1">
        <w:rPr>
          <w:rFonts w:ascii="Times New Roman" w:hAnsi="Times New Roman"/>
          <w:sz w:val="24"/>
          <w:szCs w:val="24"/>
        </w:rPr>
        <w:t xml:space="preserve"> when </w:t>
      </w:r>
      <w:r w:rsidR="004E255A" w:rsidRPr="00476DF1">
        <w:rPr>
          <w:rFonts w:ascii="Times New Roman" w:eastAsia="Times New Roman" w:hAnsi="Times New Roman"/>
          <w:sz w:val="24"/>
          <w:szCs w:val="24"/>
          <w:shd w:val="clear" w:color="auto" w:fill="FFFFFF"/>
        </w:rPr>
        <w:t>skill</w:t>
      </w:r>
      <w:r w:rsidR="00F728AD" w:rsidRPr="00476DF1">
        <w:rPr>
          <w:rFonts w:ascii="Times New Roman" w:eastAsia="Times New Roman" w:hAnsi="Times New Roman"/>
          <w:sz w:val="24"/>
          <w:szCs w:val="24"/>
          <w:shd w:val="clear" w:color="auto" w:fill="FFFFFF"/>
        </w:rPr>
        <w:t>s</w:t>
      </w:r>
      <w:r w:rsidR="004E255A" w:rsidRPr="00476DF1">
        <w:rPr>
          <w:rFonts w:ascii="Times New Roman" w:eastAsia="Times New Roman" w:hAnsi="Times New Roman"/>
          <w:sz w:val="24"/>
          <w:szCs w:val="24"/>
          <w:shd w:val="clear" w:color="auto" w:fill="FFFFFF"/>
        </w:rPr>
        <w:t xml:space="preserve"> are </w:t>
      </w:r>
      <w:r w:rsidR="004E255A" w:rsidRPr="00476DF1">
        <w:rPr>
          <w:rFonts w:ascii="Times New Roman" w:hAnsi="Times New Roman"/>
          <w:sz w:val="24"/>
          <w:szCs w:val="24"/>
        </w:rPr>
        <w:t>transferred from the small to the large company</w:t>
      </w:r>
      <w:r w:rsidR="00441D52" w:rsidRPr="00476DF1">
        <w:rPr>
          <w:rFonts w:ascii="Times New Roman" w:hAnsi="Times New Roman"/>
          <w:sz w:val="24"/>
          <w:szCs w:val="24"/>
        </w:rPr>
        <w:t>,</w:t>
      </w:r>
      <w:r w:rsidR="004E255A" w:rsidRPr="00476DF1">
        <w:rPr>
          <w:rFonts w:ascii="Times New Roman" w:hAnsi="Times New Roman"/>
          <w:sz w:val="24"/>
          <w:szCs w:val="24"/>
        </w:rPr>
        <w:t xml:space="preserve"> it has impacts</w:t>
      </w:r>
      <w:r w:rsidR="00AB64B4" w:rsidRPr="00476DF1">
        <w:rPr>
          <w:rFonts w:ascii="Times New Roman" w:hAnsi="Times New Roman"/>
          <w:sz w:val="24"/>
          <w:szCs w:val="24"/>
        </w:rPr>
        <w:t xml:space="preserve"> on</w:t>
      </w:r>
      <w:r w:rsidR="004E255A" w:rsidRPr="00476DF1">
        <w:rPr>
          <w:rFonts w:ascii="Times New Roman" w:hAnsi="Times New Roman"/>
          <w:sz w:val="24"/>
          <w:szCs w:val="24"/>
        </w:rPr>
        <w:t xml:space="preserve"> the large enterprise’</w:t>
      </w:r>
      <w:r w:rsidR="00AB64B4" w:rsidRPr="00476DF1">
        <w:rPr>
          <w:rFonts w:ascii="Times New Roman" w:hAnsi="Times New Roman"/>
          <w:sz w:val="24"/>
          <w:szCs w:val="24"/>
        </w:rPr>
        <w:t>s</w:t>
      </w:r>
      <w:r w:rsidR="004E255A" w:rsidRPr="00476DF1">
        <w:rPr>
          <w:rFonts w:ascii="Times New Roman" w:hAnsi="Times New Roman"/>
          <w:sz w:val="24"/>
          <w:szCs w:val="24"/>
        </w:rPr>
        <w:t xml:space="preserve"> R&amp;D and patent activities</w:t>
      </w:r>
      <w:r w:rsidR="00F728AD" w:rsidRPr="00476DF1">
        <w:rPr>
          <w:rFonts w:ascii="Times New Roman" w:hAnsi="Times New Roman"/>
          <w:sz w:val="24"/>
          <w:szCs w:val="24"/>
        </w:rPr>
        <w:t>.</w:t>
      </w:r>
      <w:r w:rsidR="00441D52" w:rsidRPr="00476DF1">
        <w:rPr>
          <w:rFonts w:ascii="Times New Roman" w:hAnsi="Times New Roman"/>
          <w:sz w:val="24"/>
          <w:szCs w:val="24"/>
        </w:rPr>
        <w:t xml:space="preserve"> </w:t>
      </w:r>
    </w:p>
    <w:p w14:paraId="31CD3167" w14:textId="0B4B3271" w:rsidR="004E255A" w:rsidRPr="00476DF1" w:rsidRDefault="009C2289" w:rsidP="00CE4BBE">
      <w:pPr>
        <w:spacing w:after="0" w:line="240" w:lineRule="auto"/>
        <w:ind w:firstLine="720"/>
        <w:jc w:val="both"/>
        <w:rPr>
          <w:rFonts w:ascii="Times New Roman" w:eastAsia="Times New Roman" w:hAnsi="Times New Roman"/>
          <w:sz w:val="24"/>
          <w:szCs w:val="24"/>
          <w:shd w:val="clear" w:color="auto" w:fill="FFFFFF"/>
          <w:lang w:eastAsia="zh-CN" w:bidi="hi-IN"/>
        </w:rPr>
      </w:pPr>
      <w:r w:rsidRPr="00476DF1">
        <w:rPr>
          <w:rFonts w:ascii="Times New Roman" w:hAnsi="Times New Roman"/>
          <w:sz w:val="24"/>
          <w:szCs w:val="24"/>
        </w:rPr>
        <w:t xml:space="preserve">The </w:t>
      </w:r>
      <w:r w:rsidR="00AB64B4" w:rsidRPr="00476DF1">
        <w:rPr>
          <w:rFonts w:ascii="Times New Roman" w:hAnsi="Times New Roman"/>
          <w:sz w:val="24"/>
          <w:szCs w:val="24"/>
        </w:rPr>
        <w:t xml:space="preserve">ability of </w:t>
      </w:r>
      <w:r w:rsidR="00726537" w:rsidRPr="00476DF1">
        <w:rPr>
          <w:rFonts w:ascii="Times New Roman" w:hAnsi="Times New Roman"/>
          <w:sz w:val="24"/>
          <w:szCs w:val="24"/>
        </w:rPr>
        <w:t>Big Pharma</w:t>
      </w:r>
      <w:r w:rsidR="00A812B6" w:rsidRPr="00476DF1">
        <w:rPr>
          <w:rFonts w:ascii="Times New Roman" w:hAnsi="Times New Roman"/>
          <w:sz w:val="24"/>
          <w:szCs w:val="24"/>
        </w:rPr>
        <w:t xml:space="preserve"> </w:t>
      </w:r>
      <w:r w:rsidR="00AB64B4" w:rsidRPr="00476DF1">
        <w:rPr>
          <w:rFonts w:ascii="Times New Roman" w:hAnsi="Times New Roman"/>
          <w:sz w:val="24"/>
          <w:szCs w:val="24"/>
        </w:rPr>
        <w:t>to retain</w:t>
      </w:r>
      <w:r w:rsidR="00A812B6" w:rsidRPr="00476DF1">
        <w:rPr>
          <w:rFonts w:ascii="Times New Roman" w:hAnsi="Times New Roman"/>
          <w:sz w:val="24"/>
          <w:szCs w:val="24"/>
        </w:rPr>
        <w:t xml:space="preserve"> the core people responsible for </w:t>
      </w:r>
      <w:r w:rsidR="00702345" w:rsidRPr="00476DF1">
        <w:rPr>
          <w:rFonts w:ascii="Times New Roman" w:hAnsi="Times New Roman"/>
          <w:sz w:val="24"/>
          <w:szCs w:val="24"/>
        </w:rPr>
        <w:t>developing</w:t>
      </w:r>
      <w:r w:rsidR="00A812B6" w:rsidRPr="00476DF1">
        <w:rPr>
          <w:rFonts w:ascii="Times New Roman" w:hAnsi="Times New Roman"/>
          <w:sz w:val="24"/>
          <w:szCs w:val="24"/>
        </w:rPr>
        <w:t xml:space="preserve"> technologies is imperative and </w:t>
      </w:r>
      <w:r w:rsidR="00AB64B4" w:rsidRPr="00476DF1">
        <w:rPr>
          <w:rFonts w:ascii="Times New Roman" w:hAnsi="Times New Roman"/>
          <w:sz w:val="24"/>
          <w:szCs w:val="24"/>
        </w:rPr>
        <w:t>desirable</w:t>
      </w:r>
      <w:r w:rsidR="004E255A" w:rsidRPr="00476DF1">
        <w:rPr>
          <w:rFonts w:ascii="Times New Roman" w:hAnsi="Times New Roman"/>
          <w:sz w:val="24"/>
          <w:szCs w:val="24"/>
        </w:rPr>
        <w:t xml:space="preserve"> (</w:t>
      </w:r>
      <w:r w:rsidR="00460118" w:rsidRPr="00476DF1">
        <w:rPr>
          <w:rFonts w:ascii="Times New Roman" w:hAnsi="Times New Roman"/>
          <w:sz w:val="24"/>
          <w:szCs w:val="24"/>
        </w:rPr>
        <w:t>AUTHOR</w:t>
      </w:r>
      <w:r w:rsidR="004E255A" w:rsidRPr="00476DF1">
        <w:rPr>
          <w:rFonts w:ascii="Times New Roman" w:hAnsi="Times New Roman"/>
          <w:sz w:val="24"/>
          <w:szCs w:val="24"/>
        </w:rPr>
        <w:t>, 2016)</w:t>
      </w:r>
      <w:r w:rsidR="00A812B6" w:rsidRPr="00476DF1">
        <w:rPr>
          <w:rFonts w:ascii="Times New Roman" w:hAnsi="Times New Roman"/>
          <w:sz w:val="24"/>
          <w:szCs w:val="24"/>
        </w:rPr>
        <w:t xml:space="preserve">. The people responsible for creating the patents can be a great contribution to </w:t>
      </w:r>
      <w:r w:rsidR="00AB64B4" w:rsidRPr="00476DF1">
        <w:rPr>
          <w:rFonts w:ascii="Times New Roman" w:hAnsi="Times New Roman"/>
          <w:sz w:val="24"/>
          <w:szCs w:val="24"/>
        </w:rPr>
        <w:t xml:space="preserve">a </w:t>
      </w:r>
      <w:r w:rsidR="00A812B6" w:rsidRPr="00476DF1">
        <w:rPr>
          <w:rFonts w:ascii="Times New Roman" w:hAnsi="Times New Roman"/>
          <w:sz w:val="24"/>
          <w:szCs w:val="24"/>
        </w:rPr>
        <w:t>large pharmaceutical enterprises’ R&amp;D activity. Thus,</w:t>
      </w:r>
      <w:r w:rsidRPr="00476DF1">
        <w:rPr>
          <w:rFonts w:ascii="Times New Roman" w:hAnsi="Times New Roman"/>
          <w:sz w:val="24"/>
          <w:szCs w:val="24"/>
        </w:rPr>
        <w:t xml:space="preserve"> </w:t>
      </w:r>
      <w:r w:rsidR="00AB64B4" w:rsidRPr="00476DF1">
        <w:rPr>
          <w:rFonts w:ascii="Times New Roman" w:hAnsi="Times New Roman"/>
          <w:sz w:val="24"/>
          <w:szCs w:val="24"/>
        </w:rPr>
        <w:t>incorporating</w:t>
      </w:r>
      <w:r w:rsidRPr="00476DF1">
        <w:rPr>
          <w:rFonts w:ascii="Times New Roman" w:hAnsi="Times New Roman"/>
          <w:sz w:val="24"/>
          <w:szCs w:val="24"/>
        </w:rPr>
        <w:t xml:space="preserve"> a skill knowledge set is a contribution </w:t>
      </w:r>
      <w:r w:rsidR="00AB64B4" w:rsidRPr="00476DF1">
        <w:rPr>
          <w:rFonts w:ascii="Times New Roman" w:hAnsi="Times New Roman"/>
          <w:sz w:val="24"/>
          <w:szCs w:val="24"/>
        </w:rPr>
        <w:t>from</w:t>
      </w:r>
      <w:r w:rsidRPr="00476DF1">
        <w:rPr>
          <w:rFonts w:ascii="Times New Roman" w:hAnsi="Times New Roman"/>
          <w:sz w:val="24"/>
          <w:szCs w:val="24"/>
        </w:rPr>
        <w:t xml:space="preserve"> a small </w:t>
      </w:r>
      <w:r w:rsidR="00441D52" w:rsidRPr="00476DF1">
        <w:rPr>
          <w:rFonts w:ascii="Times New Roman" w:hAnsi="Times New Roman"/>
          <w:sz w:val="24"/>
          <w:szCs w:val="24"/>
        </w:rPr>
        <w:t xml:space="preserve">enterprise to large one. </w:t>
      </w:r>
      <w:r w:rsidR="004E255A" w:rsidRPr="00476DF1">
        <w:rPr>
          <w:rFonts w:ascii="Times New Roman" w:eastAsia="Times New Roman" w:hAnsi="Times New Roman"/>
          <w:sz w:val="24"/>
          <w:szCs w:val="24"/>
          <w:shd w:val="clear" w:color="auto" w:fill="FFFFFF"/>
        </w:rPr>
        <w:t>I</w:t>
      </w:r>
      <w:r w:rsidR="00441D52" w:rsidRPr="00476DF1">
        <w:rPr>
          <w:rFonts w:ascii="Times New Roman" w:eastAsia="Times New Roman" w:hAnsi="Times New Roman"/>
          <w:sz w:val="24"/>
          <w:szCs w:val="24"/>
          <w:shd w:val="clear" w:color="auto" w:fill="FFFFFF"/>
        </w:rPr>
        <w:t>n</w:t>
      </w:r>
      <w:r w:rsidR="004E255A" w:rsidRPr="00476DF1">
        <w:rPr>
          <w:rFonts w:ascii="Times New Roman" w:eastAsia="Times New Roman" w:hAnsi="Times New Roman"/>
          <w:sz w:val="24"/>
          <w:szCs w:val="24"/>
          <w:shd w:val="clear" w:color="auto" w:fill="FFFFFF"/>
        </w:rPr>
        <w:t xml:space="preserve"> sum, s</w:t>
      </w:r>
      <w:r w:rsidR="004E255A" w:rsidRPr="00476DF1">
        <w:rPr>
          <w:rFonts w:ascii="Times New Roman" w:eastAsia="Times New Roman" w:hAnsi="Times New Roman"/>
          <w:sz w:val="24"/>
          <w:szCs w:val="24"/>
          <w:shd w:val="clear" w:color="auto" w:fill="FFFFFF"/>
          <w:lang w:eastAsia="zh-CN" w:bidi="hi-IN"/>
        </w:rPr>
        <w:t>cientists are the skill part of the knowledge, being extremely important for the firms’ technological outputs</w:t>
      </w:r>
      <w:r w:rsidR="00AB64B4" w:rsidRPr="00476DF1">
        <w:rPr>
          <w:rFonts w:ascii="Times New Roman" w:eastAsia="Times New Roman" w:hAnsi="Times New Roman"/>
          <w:sz w:val="24"/>
          <w:szCs w:val="24"/>
          <w:shd w:val="clear" w:color="auto" w:fill="FFFFFF"/>
          <w:lang w:eastAsia="zh-CN" w:bidi="hi-IN"/>
        </w:rPr>
        <w:t>, and we can trace</w:t>
      </w:r>
      <w:r w:rsidR="004E255A" w:rsidRPr="00476DF1">
        <w:rPr>
          <w:rFonts w:ascii="Times New Roman" w:eastAsia="Times New Roman" w:hAnsi="Times New Roman"/>
          <w:sz w:val="24"/>
          <w:szCs w:val="24"/>
          <w:shd w:val="clear" w:color="auto" w:fill="FFFFFF"/>
          <w:lang w:eastAsia="zh-CN" w:bidi="hi-IN"/>
        </w:rPr>
        <w:t xml:space="preserve"> these scientis</w:t>
      </w:r>
      <w:r w:rsidRPr="00476DF1">
        <w:rPr>
          <w:rFonts w:ascii="Times New Roman" w:eastAsia="Times New Roman" w:hAnsi="Times New Roman"/>
          <w:sz w:val="24"/>
          <w:szCs w:val="24"/>
          <w:shd w:val="clear" w:color="auto" w:fill="FFFFFF"/>
          <w:lang w:eastAsia="zh-CN" w:bidi="hi-IN"/>
        </w:rPr>
        <w:t>ts</w:t>
      </w:r>
      <w:r w:rsidR="006B145A" w:rsidRPr="00476DF1">
        <w:rPr>
          <w:rFonts w:ascii="Times New Roman" w:eastAsia="Times New Roman" w:hAnsi="Times New Roman"/>
          <w:sz w:val="24"/>
          <w:szCs w:val="24"/>
          <w:shd w:val="clear" w:color="auto" w:fill="FFFFFF"/>
          <w:lang w:eastAsia="zh-CN" w:bidi="hi-IN"/>
        </w:rPr>
        <w:t xml:space="preserve"> </w:t>
      </w:r>
      <w:r w:rsidRPr="00476DF1">
        <w:rPr>
          <w:rFonts w:ascii="Times New Roman" w:eastAsia="Times New Roman" w:hAnsi="Times New Roman"/>
          <w:sz w:val="24"/>
          <w:szCs w:val="24"/>
          <w:shd w:val="clear" w:color="auto" w:fill="FFFFFF"/>
          <w:lang w:eastAsia="zh-CN" w:bidi="hi-IN"/>
        </w:rPr>
        <w:t>through</w:t>
      </w:r>
      <w:r w:rsidR="004E255A" w:rsidRPr="00476DF1">
        <w:rPr>
          <w:rFonts w:ascii="Times New Roman" w:eastAsia="Times New Roman" w:hAnsi="Times New Roman"/>
          <w:sz w:val="24"/>
          <w:szCs w:val="24"/>
          <w:shd w:val="clear" w:color="auto" w:fill="FFFFFF"/>
          <w:lang w:eastAsia="zh-CN" w:bidi="hi-IN"/>
        </w:rPr>
        <w:t xml:space="preserve"> patent information</w:t>
      </w:r>
      <w:r w:rsidR="006A0523" w:rsidRPr="00476DF1">
        <w:rPr>
          <w:rFonts w:ascii="Times New Roman" w:eastAsia="Times New Roman" w:hAnsi="Times New Roman"/>
          <w:sz w:val="24"/>
          <w:szCs w:val="24"/>
          <w:shd w:val="clear" w:color="auto" w:fill="FFFFFF"/>
          <w:lang w:eastAsia="zh-CN" w:bidi="hi-IN"/>
        </w:rPr>
        <w:t>.</w:t>
      </w:r>
    </w:p>
    <w:p w14:paraId="5EDAD0CC" w14:textId="0B890159" w:rsidR="001A775D" w:rsidRPr="00476DF1" w:rsidRDefault="001A775D" w:rsidP="00CE4BBE">
      <w:pPr>
        <w:spacing w:after="0" w:line="240" w:lineRule="auto"/>
        <w:ind w:firstLine="720"/>
        <w:jc w:val="both"/>
        <w:rPr>
          <w:rFonts w:ascii="Times New Roman" w:eastAsia="Times New Roman" w:hAnsi="Times New Roman"/>
          <w:sz w:val="24"/>
          <w:szCs w:val="24"/>
          <w:shd w:val="clear" w:color="auto" w:fill="FFFFFF"/>
          <w:lang w:eastAsia="zh-CN" w:bidi="hi-IN"/>
        </w:rPr>
      </w:pPr>
    </w:p>
    <w:p w14:paraId="220561A4" w14:textId="77777777" w:rsidR="001A775D" w:rsidRPr="00476DF1" w:rsidRDefault="001A775D" w:rsidP="00CE4BBE">
      <w:pPr>
        <w:spacing w:after="0" w:line="240" w:lineRule="auto"/>
        <w:ind w:firstLine="720"/>
        <w:jc w:val="both"/>
        <w:rPr>
          <w:rFonts w:ascii="Times New Roman" w:eastAsia="Times New Roman" w:hAnsi="Times New Roman"/>
          <w:sz w:val="24"/>
          <w:szCs w:val="24"/>
          <w:shd w:val="clear" w:color="auto" w:fill="FFFFFF"/>
          <w:lang w:eastAsia="zh-CN" w:bidi="hi-IN"/>
        </w:rPr>
      </w:pPr>
    </w:p>
    <w:p w14:paraId="4DA9B194" w14:textId="59BDE566" w:rsidR="001A7103" w:rsidRPr="00476DF1" w:rsidRDefault="001A7103" w:rsidP="00CE4BBE">
      <w:pPr>
        <w:pStyle w:val="Ttulo1"/>
        <w:spacing w:line="240" w:lineRule="auto"/>
      </w:pPr>
      <w:r w:rsidRPr="00476DF1">
        <w:t>Methodology</w:t>
      </w:r>
    </w:p>
    <w:p w14:paraId="7C5D3E21" w14:textId="1A2B4E1A" w:rsidR="00A812B6" w:rsidRPr="00476DF1" w:rsidRDefault="00035488"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This study </w:t>
      </w:r>
      <w:r w:rsidR="00AB64B4" w:rsidRPr="00476DF1">
        <w:rPr>
          <w:rFonts w:ascii="Times New Roman" w:hAnsi="Times New Roman"/>
          <w:sz w:val="24"/>
          <w:szCs w:val="24"/>
        </w:rPr>
        <w:t>is</w:t>
      </w:r>
      <w:r w:rsidRPr="00476DF1">
        <w:rPr>
          <w:rFonts w:ascii="Times New Roman" w:hAnsi="Times New Roman"/>
          <w:sz w:val="24"/>
          <w:szCs w:val="24"/>
        </w:rPr>
        <w:t xml:space="preserve"> based on </w:t>
      </w:r>
      <w:r w:rsidR="00FD3C52" w:rsidRPr="00476DF1">
        <w:rPr>
          <w:rFonts w:ascii="Times New Roman" w:hAnsi="Times New Roman"/>
          <w:sz w:val="24"/>
          <w:szCs w:val="24"/>
        </w:rPr>
        <w:t>acquisitions</w:t>
      </w:r>
      <w:r w:rsidR="002A244D" w:rsidRPr="00476DF1">
        <w:rPr>
          <w:rFonts w:ascii="Times New Roman" w:hAnsi="Times New Roman"/>
          <w:sz w:val="24"/>
          <w:szCs w:val="24"/>
        </w:rPr>
        <w:t xml:space="preserve"> from 2005 to 2012</w:t>
      </w:r>
      <w:r w:rsidR="00806F6C" w:rsidRPr="00476DF1">
        <w:rPr>
          <w:rFonts w:ascii="Times New Roman" w:hAnsi="Times New Roman"/>
          <w:sz w:val="24"/>
          <w:szCs w:val="24"/>
        </w:rPr>
        <w:t xml:space="preserve"> conducted by</w:t>
      </w:r>
      <w:r w:rsidR="00FD3C52" w:rsidRPr="00476DF1">
        <w:rPr>
          <w:rFonts w:ascii="Times New Roman" w:hAnsi="Times New Roman"/>
          <w:sz w:val="24"/>
          <w:szCs w:val="24"/>
        </w:rPr>
        <w:t xml:space="preserve"> eight </w:t>
      </w:r>
      <w:r w:rsidRPr="00476DF1">
        <w:rPr>
          <w:rFonts w:ascii="Times New Roman" w:hAnsi="Times New Roman"/>
          <w:sz w:val="24"/>
          <w:szCs w:val="24"/>
        </w:rPr>
        <w:t xml:space="preserve">large pharmaceutical </w:t>
      </w:r>
      <w:r w:rsidR="00FD3C52" w:rsidRPr="00476DF1">
        <w:rPr>
          <w:rFonts w:ascii="Times New Roman" w:hAnsi="Times New Roman"/>
          <w:sz w:val="24"/>
          <w:szCs w:val="24"/>
        </w:rPr>
        <w:t>enterprises</w:t>
      </w:r>
      <w:r w:rsidR="00AB64B4" w:rsidRPr="00476DF1">
        <w:rPr>
          <w:rFonts w:ascii="Times New Roman" w:hAnsi="Times New Roman"/>
          <w:sz w:val="24"/>
          <w:szCs w:val="24"/>
        </w:rPr>
        <w:t>:</w:t>
      </w:r>
      <w:r w:rsidRPr="00476DF1">
        <w:rPr>
          <w:rFonts w:ascii="Times New Roman" w:hAnsi="Times New Roman"/>
          <w:sz w:val="24"/>
          <w:szCs w:val="24"/>
        </w:rPr>
        <w:t xml:space="preserve"> (i) Pfizer</w:t>
      </w:r>
      <w:r w:rsidR="00AB64B4" w:rsidRPr="00476DF1">
        <w:rPr>
          <w:rFonts w:ascii="Times New Roman" w:hAnsi="Times New Roman"/>
          <w:sz w:val="24"/>
          <w:szCs w:val="24"/>
        </w:rPr>
        <w:t>,</w:t>
      </w:r>
      <w:r w:rsidRPr="00476DF1">
        <w:rPr>
          <w:rFonts w:ascii="Times New Roman" w:hAnsi="Times New Roman"/>
          <w:sz w:val="24"/>
          <w:szCs w:val="24"/>
        </w:rPr>
        <w:t xml:space="preserve"> (ii) Johnson &amp; Johnson</w:t>
      </w:r>
      <w:r w:rsidR="00AB64B4" w:rsidRPr="00476DF1">
        <w:rPr>
          <w:rFonts w:ascii="Times New Roman" w:hAnsi="Times New Roman"/>
          <w:sz w:val="24"/>
          <w:szCs w:val="24"/>
        </w:rPr>
        <w:t>,</w:t>
      </w:r>
      <w:r w:rsidRPr="00476DF1">
        <w:rPr>
          <w:rFonts w:ascii="Times New Roman" w:hAnsi="Times New Roman"/>
          <w:sz w:val="24"/>
          <w:szCs w:val="24"/>
        </w:rPr>
        <w:t xml:space="preserve"> (iii) Roche</w:t>
      </w:r>
      <w:r w:rsidR="00AB64B4" w:rsidRPr="00476DF1">
        <w:rPr>
          <w:rFonts w:ascii="Times New Roman" w:hAnsi="Times New Roman"/>
          <w:sz w:val="24"/>
          <w:szCs w:val="24"/>
        </w:rPr>
        <w:t>,</w:t>
      </w:r>
      <w:r w:rsidRPr="00476DF1">
        <w:rPr>
          <w:rFonts w:ascii="Times New Roman" w:hAnsi="Times New Roman"/>
          <w:sz w:val="24"/>
          <w:szCs w:val="24"/>
        </w:rPr>
        <w:t xml:space="preserve"> (iv) Sanofi</w:t>
      </w:r>
      <w:r w:rsidR="00AB64B4" w:rsidRPr="00476DF1">
        <w:rPr>
          <w:rFonts w:ascii="Times New Roman" w:hAnsi="Times New Roman"/>
          <w:sz w:val="24"/>
          <w:szCs w:val="24"/>
        </w:rPr>
        <w:t>,</w:t>
      </w:r>
      <w:r w:rsidRPr="00476DF1">
        <w:rPr>
          <w:rFonts w:ascii="Times New Roman" w:hAnsi="Times New Roman"/>
          <w:sz w:val="24"/>
          <w:szCs w:val="24"/>
        </w:rPr>
        <w:t xml:space="preserve"> (v) Astra-Zeneca</w:t>
      </w:r>
      <w:r w:rsidR="00AB64B4" w:rsidRPr="00476DF1">
        <w:rPr>
          <w:rFonts w:ascii="Times New Roman" w:hAnsi="Times New Roman"/>
          <w:sz w:val="24"/>
          <w:szCs w:val="24"/>
        </w:rPr>
        <w:t xml:space="preserve">, </w:t>
      </w:r>
      <w:r w:rsidRPr="00476DF1">
        <w:rPr>
          <w:rFonts w:ascii="Times New Roman" w:hAnsi="Times New Roman"/>
          <w:sz w:val="24"/>
          <w:szCs w:val="24"/>
        </w:rPr>
        <w:t>(vi) Abbott-Laboratories</w:t>
      </w:r>
      <w:r w:rsidR="00AB64B4" w:rsidRPr="00476DF1">
        <w:rPr>
          <w:rFonts w:ascii="Times New Roman" w:hAnsi="Times New Roman"/>
          <w:sz w:val="24"/>
          <w:szCs w:val="24"/>
        </w:rPr>
        <w:t xml:space="preserve">, </w:t>
      </w:r>
      <w:r w:rsidRPr="00476DF1">
        <w:rPr>
          <w:rFonts w:ascii="Times New Roman" w:hAnsi="Times New Roman"/>
          <w:sz w:val="24"/>
          <w:szCs w:val="24"/>
        </w:rPr>
        <w:t>(vii) Glaxo SmithKline (GSK)</w:t>
      </w:r>
      <w:r w:rsidR="00AB64B4" w:rsidRPr="00476DF1">
        <w:rPr>
          <w:rFonts w:ascii="Times New Roman" w:hAnsi="Times New Roman"/>
          <w:sz w:val="24"/>
          <w:szCs w:val="24"/>
        </w:rPr>
        <w:t>,</w:t>
      </w:r>
      <w:r w:rsidR="00FD3C52" w:rsidRPr="00476DF1">
        <w:rPr>
          <w:rFonts w:ascii="Times New Roman" w:hAnsi="Times New Roman"/>
          <w:sz w:val="24"/>
          <w:szCs w:val="24"/>
        </w:rPr>
        <w:t xml:space="preserve"> and (viii) Merck </w:t>
      </w:r>
      <w:r w:rsidR="002A244D" w:rsidRPr="00476DF1">
        <w:rPr>
          <w:rFonts w:ascii="Times New Roman" w:hAnsi="Times New Roman"/>
          <w:sz w:val="24"/>
          <w:szCs w:val="24"/>
        </w:rPr>
        <w:t>(</w:t>
      </w:r>
      <w:r w:rsidR="00FD3C52" w:rsidRPr="00476DF1">
        <w:rPr>
          <w:rFonts w:ascii="Times New Roman" w:hAnsi="Times New Roman"/>
          <w:sz w:val="24"/>
          <w:szCs w:val="24"/>
        </w:rPr>
        <w:t xml:space="preserve">included </w:t>
      </w:r>
      <w:r w:rsidR="00EE2ADE" w:rsidRPr="00476DF1">
        <w:rPr>
          <w:rFonts w:ascii="Times New Roman" w:hAnsi="Times New Roman"/>
          <w:sz w:val="24"/>
          <w:szCs w:val="24"/>
        </w:rPr>
        <w:t xml:space="preserve">only </w:t>
      </w:r>
      <w:r w:rsidR="00FD3C52" w:rsidRPr="00476DF1">
        <w:rPr>
          <w:rFonts w:ascii="Times New Roman" w:hAnsi="Times New Roman"/>
          <w:sz w:val="24"/>
          <w:szCs w:val="24"/>
        </w:rPr>
        <w:t xml:space="preserve">in </w:t>
      </w:r>
      <w:r w:rsidRPr="00476DF1">
        <w:rPr>
          <w:rFonts w:ascii="Times New Roman" w:hAnsi="Times New Roman"/>
          <w:sz w:val="24"/>
          <w:szCs w:val="24"/>
        </w:rPr>
        <w:t>the inventor analys</w:t>
      </w:r>
      <w:r w:rsidR="00726537" w:rsidRPr="00476DF1">
        <w:rPr>
          <w:rFonts w:ascii="Times New Roman" w:hAnsi="Times New Roman"/>
          <w:sz w:val="24"/>
          <w:szCs w:val="24"/>
        </w:rPr>
        <w:t>i</w:t>
      </w:r>
      <w:r w:rsidRPr="00476DF1">
        <w:rPr>
          <w:rFonts w:ascii="Times New Roman" w:hAnsi="Times New Roman"/>
          <w:sz w:val="24"/>
          <w:szCs w:val="24"/>
        </w:rPr>
        <w:t>s</w:t>
      </w:r>
      <w:r w:rsidR="002A244D" w:rsidRPr="00476DF1">
        <w:rPr>
          <w:rFonts w:ascii="Times New Roman" w:hAnsi="Times New Roman"/>
          <w:sz w:val="24"/>
          <w:szCs w:val="24"/>
        </w:rPr>
        <w:t>)</w:t>
      </w:r>
      <w:r w:rsidR="00FD3C52" w:rsidRPr="00476DF1">
        <w:rPr>
          <w:rFonts w:ascii="Times New Roman" w:hAnsi="Times New Roman"/>
          <w:sz w:val="24"/>
          <w:szCs w:val="24"/>
        </w:rPr>
        <w:t xml:space="preserve">. </w:t>
      </w:r>
      <w:r w:rsidR="00EE2ADE" w:rsidRPr="00476DF1">
        <w:rPr>
          <w:rFonts w:ascii="Times New Roman" w:hAnsi="Times New Roman"/>
          <w:sz w:val="24"/>
          <w:szCs w:val="24"/>
        </w:rPr>
        <w:t>T</w:t>
      </w:r>
      <w:r w:rsidRPr="00476DF1">
        <w:rPr>
          <w:rFonts w:ascii="Times New Roman" w:hAnsi="Times New Roman"/>
          <w:sz w:val="24"/>
          <w:szCs w:val="24"/>
        </w:rPr>
        <w:t>his</w:t>
      </w:r>
      <w:r w:rsidR="00AB64B4" w:rsidRPr="00476DF1">
        <w:rPr>
          <w:rFonts w:ascii="Times New Roman" w:hAnsi="Times New Roman"/>
          <w:sz w:val="24"/>
          <w:szCs w:val="24"/>
        </w:rPr>
        <w:t xml:space="preserve"> </w:t>
      </w:r>
      <w:r w:rsidR="00AB64B4" w:rsidRPr="00476DF1">
        <w:rPr>
          <w:rFonts w:ascii="Times New Roman" w:hAnsi="Times New Roman"/>
          <w:sz w:val="24"/>
          <w:szCs w:val="24"/>
        </w:rPr>
        <w:lastRenderedPageBreak/>
        <w:t>study examines</w:t>
      </w:r>
      <w:r w:rsidRPr="00476DF1">
        <w:rPr>
          <w:rFonts w:ascii="Times New Roman" w:hAnsi="Times New Roman"/>
          <w:sz w:val="24"/>
          <w:szCs w:val="24"/>
        </w:rPr>
        <w:t xml:space="preserve"> 8 large ente</w:t>
      </w:r>
      <w:r w:rsidR="00FD3C52" w:rsidRPr="00476DF1">
        <w:rPr>
          <w:rFonts w:ascii="Times New Roman" w:hAnsi="Times New Roman"/>
          <w:sz w:val="24"/>
          <w:szCs w:val="24"/>
        </w:rPr>
        <w:t>r</w:t>
      </w:r>
      <w:r w:rsidRPr="00476DF1">
        <w:rPr>
          <w:rFonts w:ascii="Times New Roman" w:hAnsi="Times New Roman"/>
          <w:sz w:val="24"/>
          <w:szCs w:val="24"/>
        </w:rPr>
        <w:t xml:space="preserve">prises and </w:t>
      </w:r>
      <w:r w:rsidR="00EB447C" w:rsidRPr="00476DF1">
        <w:rPr>
          <w:rFonts w:ascii="Times New Roman" w:hAnsi="Times New Roman"/>
          <w:sz w:val="24"/>
          <w:szCs w:val="24"/>
        </w:rPr>
        <w:t>51 small ent</w:t>
      </w:r>
      <w:r w:rsidR="00FD3C52" w:rsidRPr="00476DF1">
        <w:rPr>
          <w:rFonts w:ascii="Times New Roman" w:hAnsi="Times New Roman"/>
          <w:sz w:val="24"/>
          <w:szCs w:val="24"/>
        </w:rPr>
        <w:t>er</w:t>
      </w:r>
      <w:r w:rsidR="00EB447C" w:rsidRPr="00476DF1">
        <w:rPr>
          <w:rFonts w:ascii="Times New Roman" w:hAnsi="Times New Roman"/>
          <w:sz w:val="24"/>
          <w:szCs w:val="24"/>
        </w:rPr>
        <w:t>prises</w:t>
      </w:r>
      <w:r w:rsidR="008C2885" w:rsidRPr="00476DF1">
        <w:rPr>
          <w:rFonts w:ascii="Times New Roman" w:hAnsi="Times New Roman"/>
          <w:sz w:val="24"/>
          <w:szCs w:val="24"/>
        </w:rPr>
        <w:t xml:space="preserve">. </w:t>
      </w:r>
      <w:r w:rsidR="00AB64B4" w:rsidRPr="00476DF1">
        <w:rPr>
          <w:rFonts w:ascii="Times New Roman" w:hAnsi="Times New Roman"/>
          <w:sz w:val="24"/>
          <w:szCs w:val="24"/>
        </w:rPr>
        <w:t>While the sample period is</w:t>
      </w:r>
      <w:r w:rsidR="008C2885" w:rsidRPr="00476DF1">
        <w:rPr>
          <w:rFonts w:ascii="Times New Roman" w:hAnsi="Times New Roman"/>
          <w:sz w:val="24"/>
          <w:szCs w:val="24"/>
        </w:rPr>
        <w:t xml:space="preserve"> not extremely recent</w:t>
      </w:r>
      <w:r w:rsidR="00AB64B4" w:rsidRPr="00476DF1">
        <w:rPr>
          <w:rFonts w:ascii="Times New Roman" w:hAnsi="Times New Roman"/>
          <w:sz w:val="24"/>
          <w:szCs w:val="24"/>
        </w:rPr>
        <w:t>,</w:t>
      </w:r>
      <w:r w:rsidR="008C2885" w:rsidRPr="00476DF1">
        <w:rPr>
          <w:rFonts w:ascii="Times New Roman" w:hAnsi="Times New Roman"/>
          <w:sz w:val="24"/>
          <w:szCs w:val="24"/>
        </w:rPr>
        <w:t xml:space="preserve"> it stills captures the dynamics of incorporating new competences through acquisitions.</w:t>
      </w:r>
    </w:p>
    <w:p w14:paraId="20257E7D" w14:textId="5EA7DFC5" w:rsidR="00A812B6" w:rsidRPr="00476DF1" w:rsidRDefault="00EE2ADE"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Th</w:t>
      </w:r>
      <w:r w:rsidR="007C0008" w:rsidRPr="00476DF1">
        <w:rPr>
          <w:rFonts w:ascii="Times New Roman" w:hAnsi="Times New Roman"/>
          <w:sz w:val="24"/>
          <w:szCs w:val="24"/>
        </w:rPr>
        <w:t xml:space="preserve">e data compiled through the </w:t>
      </w:r>
      <w:r w:rsidRPr="00476DF1">
        <w:rPr>
          <w:rFonts w:ascii="Times New Roman" w:hAnsi="Times New Roman"/>
          <w:sz w:val="24"/>
          <w:szCs w:val="24"/>
        </w:rPr>
        <w:t xml:space="preserve">sample </w:t>
      </w:r>
      <w:r w:rsidR="007C0008" w:rsidRPr="00476DF1">
        <w:rPr>
          <w:rFonts w:ascii="Times New Roman" w:hAnsi="Times New Roman"/>
          <w:sz w:val="24"/>
          <w:szCs w:val="24"/>
        </w:rPr>
        <w:t xml:space="preserve">is necessary </w:t>
      </w:r>
      <w:r w:rsidR="00AB64B4" w:rsidRPr="00476DF1">
        <w:rPr>
          <w:rFonts w:ascii="Times New Roman" w:hAnsi="Times New Roman"/>
          <w:sz w:val="24"/>
          <w:szCs w:val="24"/>
        </w:rPr>
        <w:t>to observe</w:t>
      </w:r>
      <w:r w:rsidR="007C0008" w:rsidRPr="00476DF1">
        <w:rPr>
          <w:rFonts w:ascii="Times New Roman" w:hAnsi="Times New Roman"/>
          <w:sz w:val="24"/>
          <w:szCs w:val="24"/>
        </w:rPr>
        <w:t xml:space="preserve"> the </w:t>
      </w:r>
      <w:r w:rsidR="00BF0C8A" w:rsidRPr="00476DF1">
        <w:rPr>
          <w:rFonts w:ascii="Times New Roman" w:hAnsi="Times New Roman"/>
          <w:sz w:val="24"/>
          <w:szCs w:val="24"/>
        </w:rPr>
        <w:t>small enterprises’ contribution</w:t>
      </w:r>
      <w:r w:rsidR="00C402EA" w:rsidRPr="00476DF1">
        <w:rPr>
          <w:rFonts w:ascii="Times New Roman" w:hAnsi="Times New Roman"/>
          <w:sz w:val="24"/>
          <w:szCs w:val="24"/>
        </w:rPr>
        <w:t>.</w:t>
      </w:r>
      <w:r w:rsidRPr="00476DF1">
        <w:rPr>
          <w:rFonts w:ascii="Times New Roman" w:hAnsi="Times New Roman"/>
          <w:sz w:val="24"/>
          <w:szCs w:val="24"/>
        </w:rPr>
        <w:t xml:space="preserve"> </w:t>
      </w:r>
      <w:r w:rsidR="0018395B" w:rsidRPr="00476DF1">
        <w:rPr>
          <w:rFonts w:ascii="Times New Roman" w:hAnsi="Times New Roman"/>
          <w:sz w:val="24"/>
          <w:szCs w:val="24"/>
        </w:rPr>
        <w:t>Therefore</w:t>
      </w:r>
      <w:r w:rsidR="00AB64B4" w:rsidRPr="00476DF1">
        <w:rPr>
          <w:rFonts w:ascii="Times New Roman" w:hAnsi="Times New Roman"/>
          <w:sz w:val="24"/>
          <w:szCs w:val="24"/>
        </w:rPr>
        <w:t>, we need</w:t>
      </w:r>
      <w:r w:rsidR="007C0008" w:rsidRPr="00476DF1">
        <w:rPr>
          <w:rFonts w:ascii="Times New Roman" w:hAnsi="Times New Roman"/>
          <w:sz w:val="24"/>
          <w:szCs w:val="24"/>
        </w:rPr>
        <w:t xml:space="preserve"> to (i) explain the construction of </w:t>
      </w:r>
      <w:r w:rsidR="007C0008" w:rsidRPr="00476DF1">
        <w:rPr>
          <w:rFonts w:ascii="Times New Roman" w:hAnsi="Times New Roman"/>
          <w:i/>
          <w:sz w:val="24"/>
          <w:szCs w:val="24"/>
        </w:rPr>
        <w:t>proxies</w:t>
      </w:r>
      <w:r w:rsidR="00A633C8" w:rsidRPr="00476DF1">
        <w:rPr>
          <w:rFonts w:ascii="Times New Roman" w:hAnsi="Times New Roman"/>
          <w:sz w:val="24"/>
          <w:szCs w:val="24"/>
        </w:rPr>
        <w:t>,</w:t>
      </w:r>
      <w:r w:rsidR="007C0008" w:rsidRPr="00476DF1">
        <w:rPr>
          <w:rFonts w:ascii="Times New Roman" w:hAnsi="Times New Roman"/>
          <w:i/>
          <w:sz w:val="24"/>
          <w:szCs w:val="24"/>
        </w:rPr>
        <w:t xml:space="preserve"> </w:t>
      </w:r>
      <w:r w:rsidR="007C0008" w:rsidRPr="00476DF1">
        <w:rPr>
          <w:rFonts w:ascii="Times New Roman" w:hAnsi="Times New Roman"/>
          <w:sz w:val="24"/>
          <w:szCs w:val="24"/>
        </w:rPr>
        <w:t xml:space="preserve">which represent the elements </w:t>
      </w:r>
      <w:r w:rsidR="00A633C8" w:rsidRPr="00476DF1">
        <w:rPr>
          <w:rFonts w:ascii="Times New Roman" w:hAnsi="Times New Roman"/>
          <w:sz w:val="24"/>
          <w:szCs w:val="24"/>
        </w:rPr>
        <w:t xml:space="preserve">of contribution </w:t>
      </w:r>
      <w:r w:rsidR="00AB64B4" w:rsidRPr="00476DF1">
        <w:rPr>
          <w:rFonts w:ascii="Times New Roman" w:hAnsi="Times New Roman"/>
          <w:sz w:val="24"/>
          <w:szCs w:val="24"/>
        </w:rPr>
        <w:t>of</w:t>
      </w:r>
      <w:r w:rsidR="007C0008" w:rsidRPr="00476DF1">
        <w:rPr>
          <w:rFonts w:ascii="Times New Roman" w:hAnsi="Times New Roman"/>
          <w:sz w:val="24"/>
          <w:szCs w:val="24"/>
        </w:rPr>
        <w:t xml:space="preserve"> small enterprises;</w:t>
      </w:r>
      <w:r w:rsidR="00A812B6" w:rsidRPr="00476DF1">
        <w:rPr>
          <w:rFonts w:ascii="Times New Roman" w:hAnsi="Times New Roman"/>
          <w:sz w:val="24"/>
          <w:szCs w:val="24"/>
        </w:rPr>
        <w:t xml:space="preserve"> (ii) determine how </w:t>
      </w:r>
      <w:r w:rsidR="00AB64B4" w:rsidRPr="00476DF1">
        <w:rPr>
          <w:rFonts w:ascii="Times New Roman" w:hAnsi="Times New Roman"/>
          <w:sz w:val="24"/>
          <w:szCs w:val="24"/>
        </w:rPr>
        <w:t xml:space="preserve">to use </w:t>
      </w:r>
      <w:r w:rsidR="00A812B6" w:rsidRPr="00476DF1">
        <w:rPr>
          <w:rFonts w:ascii="Times New Roman" w:hAnsi="Times New Roman"/>
          <w:sz w:val="24"/>
          <w:szCs w:val="24"/>
        </w:rPr>
        <w:t>the data collected</w:t>
      </w:r>
      <w:r w:rsidR="00AB64B4" w:rsidRPr="00476DF1">
        <w:rPr>
          <w:rFonts w:ascii="Times New Roman" w:hAnsi="Times New Roman"/>
          <w:sz w:val="24"/>
          <w:szCs w:val="24"/>
        </w:rPr>
        <w:t>;</w:t>
      </w:r>
      <w:r w:rsidR="00A812B6" w:rsidRPr="00476DF1">
        <w:rPr>
          <w:rFonts w:ascii="Times New Roman" w:hAnsi="Times New Roman"/>
          <w:sz w:val="24"/>
          <w:szCs w:val="24"/>
        </w:rPr>
        <w:t xml:space="preserve"> </w:t>
      </w:r>
      <w:r w:rsidR="00FD3C52" w:rsidRPr="00476DF1">
        <w:rPr>
          <w:rFonts w:ascii="Times New Roman" w:hAnsi="Times New Roman"/>
          <w:sz w:val="24"/>
          <w:szCs w:val="24"/>
        </w:rPr>
        <w:t xml:space="preserve">and </w:t>
      </w:r>
      <w:r w:rsidR="00A812B6" w:rsidRPr="00476DF1">
        <w:rPr>
          <w:rFonts w:ascii="Times New Roman" w:hAnsi="Times New Roman"/>
          <w:sz w:val="24"/>
          <w:szCs w:val="24"/>
        </w:rPr>
        <w:t>(iii) show, if necessary, how data</w:t>
      </w:r>
      <w:r w:rsidR="00AB64B4" w:rsidRPr="00476DF1">
        <w:rPr>
          <w:rFonts w:ascii="Times New Roman" w:hAnsi="Times New Roman"/>
          <w:sz w:val="24"/>
          <w:szCs w:val="24"/>
        </w:rPr>
        <w:t xml:space="preserve"> on the </w:t>
      </w:r>
      <w:r w:rsidR="002A244D" w:rsidRPr="00476DF1">
        <w:rPr>
          <w:rFonts w:ascii="Times New Roman" w:hAnsi="Times New Roman"/>
          <w:sz w:val="24"/>
          <w:szCs w:val="24"/>
        </w:rPr>
        <w:t>large and small firms</w:t>
      </w:r>
      <w:r w:rsidR="00A812B6" w:rsidRPr="00476DF1">
        <w:rPr>
          <w:rFonts w:ascii="Times New Roman" w:hAnsi="Times New Roman"/>
          <w:sz w:val="24"/>
          <w:szCs w:val="24"/>
        </w:rPr>
        <w:t xml:space="preserve"> can be combined to obtain </w:t>
      </w:r>
      <w:r w:rsidR="002A244D" w:rsidRPr="00476DF1">
        <w:rPr>
          <w:rFonts w:ascii="Times New Roman" w:hAnsi="Times New Roman"/>
          <w:sz w:val="24"/>
          <w:szCs w:val="24"/>
        </w:rPr>
        <w:t>correlation</w:t>
      </w:r>
      <w:r w:rsidR="00AB64B4" w:rsidRPr="00476DF1">
        <w:rPr>
          <w:rFonts w:ascii="Times New Roman" w:hAnsi="Times New Roman"/>
          <w:sz w:val="24"/>
          <w:szCs w:val="24"/>
        </w:rPr>
        <w:t>s</w:t>
      </w:r>
      <w:r w:rsidR="00A812B6" w:rsidRPr="00476DF1">
        <w:rPr>
          <w:rFonts w:ascii="Times New Roman" w:hAnsi="Times New Roman"/>
          <w:sz w:val="24"/>
          <w:szCs w:val="24"/>
        </w:rPr>
        <w:t xml:space="preserve"> between agents. </w:t>
      </w:r>
    </w:p>
    <w:p w14:paraId="59724D9C" w14:textId="534848E2" w:rsidR="00DA1FB3" w:rsidRPr="00476DF1" w:rsidRDefault="00DA1FB3"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The first source of data is the report</w:t>
      </w:r>
      <w:r w:rsidR="00AB64B4" w:rsidRPr="00476DF1">
        <w:rPr>
          <w:rFonts w:ascii="Times New Roman" w:hAnsi="Times New Roman"/>
          <w:sz w:val="24"/>
          <w:szCs w:val="24"/>
        </w:rPr>
        <w:t>,</w:t>
      </w:r>
      <w:r w:rsidRPr="00476DF1">
        <w:rPr>
          <w:rFonts w:ascii="Times New Roman" w:hAnsi="Times New Roman"/>
          <w:sz w:val="24"/>
          <w:szCs w:val="24"/>
        </w:rPr>
        <w:t xml:space="preserve"> "HBM PHARMA/BIOTECH M&amp;A REPORT 2013</w:t>
      </w:r>
      <w:r w:rsidR="00AB64B4" w:rsidRPr="00476DF1">
        <w:rPr>
          <w:rFonts w:ascii="Times New Roman" w:hAnsi="Times New Roman"/>
          <w:sz w:val="24"/>
          <w:szCs w:val="24"/>
        </w:rPr>
        <w:t>,</w:t>
      </w:r>
      <w:r w:rsidRPr="00476DF1">
        <w:rPr>
          <w:rFonts w:ascii="Times New Roman" w:hAnsi="Times New Roman"/>
          <w:sz w:val="24"/>
          <w:szCs w:val="24"/>
        </w:rPr>
        <w:t>" which compiles M&amp;A</w:t>
      </w:r>
      <w:r w:rsidR="00AB64B4" w:rsidRPr="00476DF1">
        <w:rPr>
          <w:rFonts w:ascii="Times New Roman" w:hAnsi="Times New Roman"/>
          <w:sz w:val="24"/>
          <w:szCs w:val="24"/>
        </w:rPr>
        <w:t>s</w:t>
      </w:r>
      <w:r w:rsidRPr="00476DF1">
        <w:rPr>
          <w:rFonts w:ascii="Times New Roman" w:hAnsi="Times New Roman"/>
          <w:sz w:val="24"/>
          <w:szCs w:val="24"/>
        </w:rPr>
        <w:t xml:space="preserve"> between </w:t>
      </w:r>
      <w:r w:rsidR="00AB64B4" w:rsidRPr="00476DF1">
        <w:rPr>
          <w:rFonts w:ascii="Times New Roman" w:hAnsi="Times New Roman"/>
          <w:sz w:val="24"/>
          <w:szCs w:val="24"/>
        </w:rPr>
        <w:t xml:space="preserve">large and small </w:t>
      </w:r>
      <w:r w:rsidRPr="00476DF1">
        <w:rPr>
          <w:rFonts w:ascii="Times New Roman" w:hAnsi="Times New Roman"/>
          <w:sz w:val="24"/>
          <w:szCs w:val="24"/>
        </w:rPr>
        <w:t>pharmaceutical companies between 2005 and 2012</w:t>
      </w:r>
      <w:r w:rsidR="00AB64B4" w:rsidRPr="00476DF1">
        <w:rPr>
          <w:rFonts w:ascii="Times New Roman" w:hAnsi="Times New Roman"/>
          <w:sz w:val="24"/>
          <w:szCs w:val="24"/>
        </w:rPr>
        <w:t>. This</w:t>
      </w:r>
      <w:r w:rsidR="00FD3C52" w:rsidRPr="00476DF1">
        <w:rPr>
          <w:rFonts w:ascii="Times New Roman" w:hAnsi="Times New Roman"/>
          <w:sz w:val="24"/>
          <w:szCs w:val="24"/>
        </w:rPr>
        <w:t xml:space="preserve"> report </w:t>
      </w:r>
      <w:r w:rsidR="00EB0117" w:rsidRPr="00476DF1">
        <w:rPr>
          <w:rFonts w:ascii="Times New Roman" w:hAnsi="Times New Roman"/>
          <w:sz w:val="24"/>
          <w:szCs w:val="24"/>
        </w:rPr>
        <w:t>contains</w:t>
      </w:r>
      <w:r w:rsidRPr="00476DF1">
        <w:rPr>
          <w:rFonts w:ascii="Times New Roman" w:hAnsi="Times New Roman"/>
          <w:sz w:val="24"/>
          <w:szCs w:val="24"/>
        </w:rPr>
        <w:t>: (i)</w:t>
      </w:r>
      <w:r w:rsidR="00FD3C52" w:rsidRPr="00476DF1">
        <w:rPr>
          <w:rFonts w:ascii="Times New Roman" w:hAnsi="Times New Roman"/>
          <w:sz w:val="24"/>
          <w:szCs w:val="24"/>
        </w:rPr>
        <w:t xml:space="preserve"> the</w:t>
      </w:r>
      <w:r w:rsidRPr="00476DF1">
        <w:rPr>
          <w:rFonts w:ascii="Times New Roman" w:hAnsi="Times New Roman"/>
          <w:sz w:val="24"/>
          <w:szCs w:val="24"/>
        </w:rPr>
        <w:t xml:space="preserve"> acquired companies, (ii)</w:t>
      </w:r>
      <w:r w:rsidR="00FD3C52" w:rsidRPr="00476DF1">
        <w:rPr>
          <w:rFonts w:ascii="Times New Roman" w:hAnsi="Times New Roman"/>
          <w:sz w:val="24"/>
          <w:szCs w:val="24"/>
        </w:rPr>
        <w:t xml:space="preserve"> the</w:t>
      </w:r>
      <w:r w:rsidRPr="00476DF1">
        <w:rPr>
          <w:rFonts w:ascii="Times New Roman" w:hAnsi="Times New Roman"/>
          <w:sz w:val="24"/>
          <w:szCs w:val="24"/>
        </w:rPr>
        <w:t xml:space="preserve"> acquiring companies</w:t>
      </w:r>
      <w:r w:rsidR="00AB64B4" w:rsidRPr="00476DF1">
        <w:rPr>
          <w:rFonts w:ascii="Times New Roman" w:hAnsi="Times New Roman"/>
          <w:sz w:val="24"/>
          <w:szCs w:val="24"/>
        </w:rPr>
        <w:t>,</w:t>
      </w:r>
      <w:r w:rsidRPr="00476DF1">
        <w:rPr>
          <w:rFonts w:ascii="Times New Roman" w:hAnsi="Times New Roman"/>
          <w:sz w:val="24"/>
          <w:szCs w:val="24"/>
        </w:rPr>
        <w:t xml:space="preserve"> and (iii) the amount spent. </w:t>
      </w:r>
      <w:r w:rsidR="00FD3C52" w:rsidRPr="00476DF1">
        <w:rPr>
          <w:rFonts w:ascii="Times New Roman" w:hAnsi="Times New Roman"/>
          <w:sz w:val="24"/>
          <w:szCs w:val="24"/>
        </w:rPr>
        <w:t>Based on this report</w:t>
      </w:r>
      <w:r w:rsidR="00AB64B4" w:rsidRPr="00476DF1">
        <w:rPr>
          <w:rFonts w:ascii="Times New Roman" w:hAnsi="Times New Roman"/>
          <w:sz w:val="24"/>
          <w:szCs w:val="24"/>
        </w:rPr>
        <w:t>,</w:t>
      </w:r>
      <w:r w:rsidR="00FD3C52" w:rsidRPr="00476DF1">
        <w:rPr>
          <w:rFonts w:ascii="Times New Roman" w:hAnsi="Times New Roman"/>
          <w:sz w:val="24"/>
          <w:szCs w:val="24"/>
        </w:rPr>
        <w:t xml:space="preserve"> </w:t>
      </w:r>
      <w:r w:rsidR="00AB64B4" w:rsidRPr="00476DF1">
        <w:rPr>
          <w:rFonts w:ascii="Times New Roman" w:hAnsi="Times New Roman"/>
          <w:sz w:val="24"/>
          <w:szCs w:val="24"/>
        </w:rPr>
        <w:t>we can</w:t>
      </w:r>
      <w:r w:rsidR="00FD3C52" w:rsidRPr="00476DF1">
        <w:rPr>
          <w:rFonts w:ascii="Times New Roman" w:hAnsi="Times New Roman"/>
          <w:sz w:val="24"/>
          <w:szCs w:val="24"/>
        </w:rPr>
        <w:t xml:space="preserve"> </w:t>
      </w:r>
      <w:r w:rsidRPr="00476DF1">
        <w:rPr>
          <w:rFonts w:ascii="Times New Roman" w:hAnsi="Times New Roman"/>
          <w:sz w:val="24"/>
          <w:szCs w:val="24"/>
        </w:rPr>
        <w:t xml:space="preserve">extract </w:t>
      </w:r>
      <w:r w:rsidR="00AB64B4" w:rsidRPr="00476DF1">
        <w:rPr>
          <w:rFonts w:ascii="Times New Roman" w:hAnsi="Times New Roman"/>
          <w:sz w:val="24"/>
          <w:szCs w:val="24"/>
        </w:rPr>
        <w:t>the more active acquirers</w:t>
      </w:r>
      <w:r w:rsidRPr="00476DF1">
        <w:rPr>
          <w:rFonts w:ascii="Times New Roman" w:hAnsi="Times New Roman"/>
          <w:sz w:val="24"/>
          <w:szCs w:val="24"/>
        </w:rPr>
        <w:t xml:space="preserve"> and </w:t>
      </w:r>
      <w:r w:rsidR="00AB64B4" w:rsidRPr="00476DF1">
        <w:rPr>
          <w:rFonts w:ascii="Times New Roman" w:hAnsi="Times New Roman"/>
          <w:sz w:val="24"/>
          <w:szCs w:val="24"/>
        </w:rPr>
        <w:t>the companies that</w:t>
      </w:r>
      <w:r w:rsidRPr="00476DF1">
        <w:rPr>
          <w:rFonts w:ascii="Times New Roman" w:hAnsi="Times New Roman"/>
          <w:sz w:val="24"/>
          <w:szCs w:val="24"/>
        </w:rPr>
        <w:t xml:space="preserve"> spent more resources on M&amp;A</w:t>
      </w:r>
      <w:r w:rsidR="00AB64B4" w:rsidRPr="00476DF1">
        <w:rPr>
          <w:rFonts w:ascii="Times New Roman" w:hAnsi="Times New Roman"/>
          <w:sz w:val="24"/>
          <w:szCs w:val="24"/>
        </w:rPr>
        <w:t>s</w:t>
      </w:r>
      <w:r w:rsidRPr="00476DF1">
        <w:rPr>
          <w:rFonts w:ascii="Times New Roman" w:hAnsi="Times New Roman"/>
          <w:sz w:val="24"/>
          <w:szCs w:val="24"/>
        </w:rPr>
        <w:t xml:space="preserve">. Another important data source </w:t>
      </w:r>
      <w:r w:rsidR="00AB64B4" w:rsidRPr="00476DF1">
        <w:rPr>
          <w:rFonts w:ascii="Times New Roman" w:hAnsi="Times New Roman"/>
          <w:sz w:val="24"/>
          <w:szCs w:val="24"/>
        </w:rPr>
        <w:t xml:space="preserve">is </w:t>
      </w:r>
      <w:r w:rsidR="00FD3C52" w:rsidRPr="00476DF1">
        <w:rPr>
          <w:rFonts w:ascii="Times New Roman" w:hAnsi="Times New Roman"/>
          <w:sz w:val="24"/>
          <w:szCs w:val="24"/>
        </w:rPr>
        <w:t>the</w:t>
      </w:r>
      <w:r w:rsidRPr="00476DF1">
        <w:rPr>
          <w:rFonts w:ascii="Times New Roman" w:hAnsi="Times New Roman"/>
          <w:sz w:val="24"/>
          <w:szCs w:val="24"/>
        </w:rPr>
        <w:t xml:space="preserve"> Forbes' list of the 2</w:t>
      </w:r>
      <w:r w:rsidR="00AB64B4" w:rsidRPr="00476DF1">
        <w:rPr>
          <w:rFonts w:ascii="Times New Roman" w:hAnsi="Times New Roman"/>
          <w:sz w:val="24"/>
          <w:szCs w:val="24"/>
        </w:rPr>
        <w:t>,</w:t>
      </w:r>
      <w:r w:rsidRPr="00476DF1">
        <w:rPr>
          <w:rFonts w:ascii="Times New Roman" w:hAnsi="Times New Roman"/>
          <w:sz w:val="24"/>
          <w:szCs w:val="24"/>
        </w:rPr>
        <w:t>000 largest companies in the world</w:t>
      </w:r>
      <w:r w:rsidRPr="00476DF1">
        <w:rPr>
          <w:rStyle w:val="Refdenotaderodap"/>
          <w:rFonts w:ascii="Times New Roman" w:hAnsi="Times New Roman"/>
          <w:sz w:val="24"/>
          <w:szCs w:val="24"/>
        </w:rPr>
        <w:footnoteReference w:id="5"/>
      </w:r>
      <w:r w:rsidR="0018395B" w:rsidRPr="00476DF1">
        <w:rPr>
          <w:rFonts w:ascii="Times New Roman" w:hAnsi="Times New Roman"/>
          <w:sz w:val="24"/>
          <w:szCs w:val="24"/>
        </w:rPr>
        <w:t>,</w:t>
      </w:r>
      <w:r w:rsidR="009068B2" w:rsidRPr="00476DF1">
        <w:rPr>
          <w:rFonts w:ascii="Times New Roman" w:hAnsi="Times New Roman"/>
          <w:sz w:val="24"/>
          <w:szCs w:val="24"/>
        </w:rPr>
        <w:t xml:space="preserve"> </w:t>
      </w:r>
      <w:r w:rsidR="00AB64B4" w:rsidRPr="00476DF1">
        <w:rPr>
          <w:rFonts w:ascii="Times New Roman" w:hAnsi="Times New Roman"/>
          <w:sz w:val="24"/>
          <w:szCs w:val="24"/>
        </w:rPr>
        <w:t>which we use to determine</w:t>
      </w:r>
      <w:r w:rsidR="009068B2" w:rsidRPr="00476DF1">
        <w:rPr>
          <w:rFonts w:ascii="Times New Roman" w:hAnsi="Times New Roman"/>
          <w:sz w:val="24"/>
          <w:szCs w:val="24"/>
        </w:rPr>
        <w:t xml:space="preserve"> the larger enterprises</w:t>
      </w:r>
      <w:r w:rsidRPr="00476DF1">
        <w:rPr>
          <w:rFonts w:ascii="Times New Roman" w:hAnsi="Times New Roman"/>
          <w:sz w:val="24"/>
          <w:szCs w:val="24"/>
        </w:rPr>
        <w:t>.</w:t>
      </w:r>
      <w:r w:rsidR="009068B2" w:rsidRPr="00476DF1">
        <w:rPr>
          <w:rFonts w:ascii="Times New Roman" w:hAnsi="Times New Roman"/>
          <w:sz w:val="24"/>
          <w:szCs w:val="24"/>
        </w:rPr>
        <w:t xml:space="preserve"> </w:t>
      </w:r>
      <w:r w:rsidR="00AB64B4" w:rsidRPr="00476DF1">
        <w:rPr>
          <w:rFonts w:ascii="Times New Roman" w:hAnsi="Times New Roman"/>
          <w:sz w:val="24"/>
          <w:szCs w:val="24"/>
        </w:rPr>
        <w:t>We collected t</w:t>
      </w:r>
      <w:r w:rsidRPr="00476DF1">
        <w:rPr>
          <w:rFonts w:ascii="Times New Roman" w:hAnsi="Times New Roman"/>
          <w:sz w:val="24"/>
          <w:szCs w:val="24"/>
        </w:rPr>
        <w:t xml:space="preserve">he patent data </w:t>
      </w:r>
      <w:r w:rsidR="00AB64B4" w:rsidRPr="00476DF1">
        <w:rPr>
          <w:rFonts w:ascii="Times New Roman" w:hAnsi="Times New Roman"/>
          <w:sz w:val="24"/>
          <w:szCs w:val="24"/>
        </w:rPr>
        <w:t>from the</w:t>
      </w:r>
      <w:r w:rsidR="002A244D" w:rsidRPr="00476DF1">
        <w:rPr>
          <w:rFonts w:ascii="Times New Roman" w:hAnsi="Times New Roman"/>
          <w:sz w:val="24"/>
          <w:szCs w:val="24"/>
        </w:rPr>
        <w:t xml:space="preserve"> </w:t>
      </w:r>
      <w:r w:rsidRPr="00476DF1">
        <w:rPr>
          <w:rFonts w:ascii="Times New Roman" w:hAnsi="Times New Roman"/>
          <w:sz w:val="24"/>
          <w:szCs w:val="24"/>
        </w:rPr>
        <w:t>Patent Full-Text and image database</w:t>
      </w:r>
      <w:r w:rsidR="00AB64B4" w:rsidRPr="00476DF1">
        <w:rPr>
          <w:rFonts w:ascii="Times New Roman" w:hAnsi="Times New Roman"/>
          <w:sz w:val="24"/>
          <w:szCs w:val="24"/>
        </w:rPr>
        <w:t xml:space="preserve"> (PatFT</w:t>
      </w:r>
      <w:r w:rsidRPr="00476DF1">
        <w:rPr>
          <w:rFonts w:ascii="Times New Roman" w:hAnsi="Times New Roman"/>
          <w:sz w:val="24"/>
          <w:szCs w:val="24"/>
        </w:rPr>
        <w:t>)</w:t>
      </w:r>
      <w:r w:rsidR="00AB64B4" w:rsidRPr="00476DF1">
        <w:rPr>
          <w:rFonts w:ascii="Times New Roman" w:hAnsi="Times New Roman"/>
          <w:sz w:val="24"/>
          <w:szCs w:val="24"/>
        </w:rPr>
        <w:t xml:space="preserve"> published by the</w:t>
      </w:r>
      <w:r w:rsidR="00D61572" w:rsidRPr="00476DF1">
        <w:rPr>
          <w:rFonts w:ascii="Times New Roman" w:hAnsi="Times New Roman"/>
          <w:sz w:val="24"/>
          <w:szCs w:val="24"/>
        </w:rPr>
        <w:t xml:space="preserve"> USPTO</w:t>
      </w:r>
      <w:r w:rsidRPr="00476DF1">
        <w:rPr>
          <w:rFonts w:ascii="Times New Roman" w:hAnsi="Times New Roman"/>
          <w:sz w:val="24"/>
          <w:szCs w:val="24"/>
        </w:rPr>
        <w:t xml:space="preserve">. </w:t>
      </w:r>
    </w:p>
    <w:p w14:paraId="51B95AFE" w14:textId="77777777" w:rsidR="00B15F4F" w:rsidRPr="00476DF1" w:rsidRDefault="00B15F4F" w:rsidP="00CE4BBE">
      <w:pPr>
        <w:spacing w:after="0" w:line="240" w:lineRule="auto"/>
        <w:ind w:firstLine="709"/>
        <w:jc w:val="both"/>
        <w:rPr>
          <w:rFonts w:ascii="Times New Roman" w:hAnsi="Times New Roman"/>
          <w:sz w:val="24"/>
          <w:szCs w:val="24"/>
        </w:rPr>
      </w:pPr>
    </w:p>
    <w:p w14:paraId="4A31FEF2" w14:textId="0516F398" w:rsidR="004626CB" w:rsidRPr="00476DF1" w:rsidRDefault="002E73D1" w:rsidP="00A23232">
      <w:pPr>
        <w:pStyle w:val="Ttulo2"/>
        <w:numPr>
          <w:ilvl w:val="0"/>
          <w:numId w:val="0"/>
        </w:numPr>
        <w:spacing w:line="240" w:lineRule="auto"/>
      </w:pPr>
      <w:r w:rsidRPr="00476DF1">
        <w:t>2.1</w:t>
      </w:r>
      <w:r w:rsidRPr="00476DF1">
        <w:tab/>
      </w:r>
      <w:r w:rsidR="00CB6376" w:rsidRPr="00476DF1">
        <w:t xml:space="preserve">Sample </w:t>
      </w:r>
    </w:p>
    <w:p w14:paraId="7B0E70F0" w14:textId="3B0AB2D2" w:rsidR="00EB447C" w:rsidRPr="00476DF1" w:rsidRDefault="008C2885"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In order to present the sample and show its relevancy </w:t>
      </w:r>
      <w:r w:rsidR="00EE5445" w:rsidRPr="00476DF1">
        <w:rPr>
          <w:rFonts w:ascii="Times New Roman" w:hAnsi="Times New Roman"/>
          <w:sz w:val="24"/>
          <w:szCs w:val="24"/>
        </w:rPr>
        <w:t xml:space="preserve">in </w:t>
      </w:r>
      <w:r w:rsidRPr="00476DF1">
        <w:rPr>
          <w:rFonts w:ascii="Times New Roman" w:hAnsi="Times New Roman"/>
          <w:sz w:val="24"/>
          <w:szCs w:val="24"/>
        </w:rPr>
        <w:t>the pharmaceutical industry</w:t>
      </w:r>
      <w:r w:rsidR="00EE5445" w:rsidRPr="00476DF1">
        <w:rPr>
          <w:rFonts w:ascii="Times New Roman" w:hAnsi="Times New Roman"/>
          <w:sz w:val="24"/>
          <w:szCs w:val="24"/>
        </w:rPr>
        <w:t>, we</w:t>
      </w:r>
      <w:r w:rsidRPr="00476DF1">
        <w:rPr>
          <w:rFonts w:ascii="Times New Roman" w:hAnsi="Times New Roman"/>
          <w:sz w:val="24"/>
          <w:szCs w:val="24"/>
        </w:rPr>
        <w:t xml:space="preserve"> compare classic variables and measures of effort</w:t>
      </w:r>
      <w:r w:rsidR="00EE5445" w:rsidRPr="00476DF1">
        <w:rPr>
          <w:rFonts w:ascii="Times New Roman" w:hAnsi="Times New Roman"/>
          <w:sz w:val="24"/>
          <w:szCs w:val="24"/>
        </w:rPr>
        <w:t xml:space="preserve"> such as</w:t>
      </w:r>
      <w:r w:rsidRPr="00476DF1">
        <w:rPr>
          <w:rFonts w:ascii="Times New Roman" w:hAnsi="Times New Roman"/>
          <w:sz w:val="24"/>
          <w:szCs w:val="24"/>
        </w:rPr>
        <w:t xml:space="preserve"> revenues, R&amp;D</w:t>
      </w:r>
      <w:r w:rsidR="00EE5445" w:rsidRPr="00476DF1">
        <w:rPr>
          <w:rFonts w:ascii="Times New Roman" w:hAnsi="Times New Roman"/>
          <w:sz w:val="24"/>
          <w:szCs w:val="24"/>
        </w:rPr>
        <w:t>,</w:t>
      </w:r>
      <w:r w:rsidRPr="00476DF1">
        <w:rPr>
          <w:rFonts w:ascii="Times New Roman" w:hAnsi="Times New Roman"/>
          <w:sz w:val="24"/>
          <w:szCs w:val="24"/>
        </w:rPr>
        <w:t xml:space="preserve"> and the relation</w:t>
      </w:r>
      <w:r w:rsidR="00EE5445" w:rsidRPr="00476DF1">
        <w:rPr>
          <w:rFonts w:ascii="Times New Roman" w:hAnsi="Times New Roman"/>
          <w:sz w:val="24"/>
          <w:szCs w:val="24"/>
        </w:rPr>
        <w:t>ship</w:t>
      </w:r>
      <w:r w:rsidRPr="00476DF1">
        <w:rPr>
          <w:rFonts w:ascii="Times New Roman" w:hAnsi="Times New Roman"/>
          <w:sz w:val="24"/>
          <w:szCs w:val="24"/>
        </w:rPr>
        <w:t xml:space="preserve"> between revenues and R&amp;D</w:t>
      </w:r>
      <w:r w:rsidR="00FD3C52" w:rsidRPr="00476DF1">
        <w:rPr>
          <w:rFonts w:ascii="Times New Roman" w:hAnsi="Times New Roman"/>
          <w:sz w:val="24"/>
          <w:szCs w:val="24"/>
        </w:rPr>
        <w:t>.</w:t>
      </w:r>
      <w:r w:rsidRPr="00476DF1">
        <w:rPr>
          <w:rFonts w:ascii="Times New Roman" w:hAnsi="Times New Roman"/>
          <w:sz w:val="24"/>
          <w:szCs w:val="24"/>
        </w:rPr>
        <w:t xml:space="preserve"> We also compare the M&amp;A expenditures with these variables. </w:t>
      </w:r>
      <w:r w:rsidR="00EE5445" w:rsidRPr="00476DF1">
        <w:rPr>
          <w:rFonts w:ascii="Times New Roman" w:hAnsi="Times New Roman"/>
          <w:sz w:val="24"/>
          <w:szCs w:val="24"/>
        </w:rPr>
        <w:t>We report these variables in Table 1.</w:t>
      </w:r>
    </w:p>
    <w:p w14:paraId="4051D249" w14:textId="77777777" w:rsidR="00F87E77" w:rsidRPr="00476DF1" w:rsidRDefault="00F87E77" w:rsidP="00F87E77">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The sample accounts for 37% of all R&amp;D expenses of the </w:t>
      </w:r>
      <w:r w:rsidRPr="00476DF1">
        <w:rPr>
          <w:rFonts w:ascii="Times New Roman" w:hAnsi="Times New Roman"/>
          <w:sz w:val="24"/>
          <w:szCs w:val="24"/>
          <w:shd w:val="clear" w:color="auto" w:fill="FFFFFF"/>
        </w:rPr>
        <w:t>Pharmaceutical Research and Manufacturers of America (</w:t>
      </w:r>
      <w:r w:rsidRPr="00476DF1">
        <w:rPr>
          <w:rFonts w:ascii="Times New Roman" w:hAnsi="Times New Roman"/>
          <w:sz w:val="24"/>
          <w:szCs w:val="24"/>
        </w:rPr>
        <w:t>PhaRMA) members. Regarding acquisitions, the 8 enterprises have 32% of all M&amp;A expenditures in the pharmaceutical industry. The share of R&amp;D and acquisitions expenditures of the sample strongly supports their relevance in terms of technology development and M&amp;As.</w:t>
      </w:r>
    </w:p>
    <w:p w14:paraId="1DFD1051" w14:textId="77777777" w:rsidR="00F87E77" w:rsidRPr="00476DF1" w:rsidRDefault="00F87E77" w:rsidP="00F87E77">
      <w:pPr>
        <w:spacing w:after="0" w:line="240" w:lineRule="auto"/>
        <w:ind w:firstLine="720"/>
        <w:jc w:val="both"/>
        <w:rPr>
          <w:rFonts w:ascii="Times New Roman" w:hAnsi="Times New Roman"/>
          <w:sz w:val="24"/>
          <w:szCs w:val="24"/>
        </w:rPr>
      </w:pPr>
      <w:r w:rsidRPr="00476DF1">
        <w:rPr>
          <w:rFonts w:ascii="Times New Roman" w:hAnsi="Times New Roman"/>
          <w:sz w:val="24"/>
          <w:szCs w:val="24"/>
        </w:rPr>
        <w:t>The sample consists of European and Northern American companies, which have different behaviors. In terms of patents, all American companies have a similar number of patents; the European ones have fewer, mainly due to the enterprises’ origins. European companies tend to file more patents with the European patent office.</w:t>
      </w:r>
    </w:p>
    <w:p w14:paraId="040D10AD" w14:textId="77777777" w:rsidR="00F87E77" w:rsidRPr="00476DF1" w:rsidRDefault="00F87E77" w:rsidP="00F87E77">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As high tech enterprises, the relationship between R&amp;D and Revenue should be high. All enterprises in the sample spent at least 10% of its revenues on R&amp;D. </w:t>
      </w:r>
    </w:p>
    <w:p w14:paraId="04456384" w14:textId="77777777" w:rsidR="00F87E77" w:rsidRPr="00476DF1" w:rsidRDefault="00F87E77" w:rsidP="00F87E77">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The total expenditure on M&amp;A indicates the different behavior among the enterprises in the sample. While some have high expenditures on M&amp;A, others have comparatively low expenditures. The average M&amp;A relation to revenue is higher than is the R&amp;D/Revenue ratio for Pfizer and Novartis only. Abbott-Laboratories, J&amp;J, and Merck spent less than 5% of their revenues on M&amp;A. </w:t>
      </w:r>
    </w:p>
    <w:p w14:paraId="750767F0" w14:textId="77777777" w:rsidR="00F87E77" w:rsidRPr="00476DF1" w:rsidRDefault="00F87E77" w:rsidP="00F87E77">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Abbott-Laboratories acquired only two enterprises in the period, indicating more scrutiny on choosing acquisition targets. We can say the same for Merck (according to the study’s analyses). J&amp;J behaves extremely different, which shows an interesting fact in the sample. </w:t>
      </w:r>
    </w:p>
    <w:p w14:paraId="6D3B303F" w14:textId="77777777" w:rsidR="002024D7" w:rsidRPr="00476DF1" w:rsidRDefault="002024D7" w:rsidP="002024D7">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In the last column, we show the relationship between the average spend on M&amp;A and their R&amp;D. A relevant share of the sample expended the equivalent of half of their R&amp;D on M&amp;A. Some enterprises, like Novartis and Pfizer, spent more than their R&amp;D budget on M&amp;A. In the sample period, some enterprises conducted much more M&amp;A than R&amp;D, and </w:t>
      </w:r>
      <w:r w:rsidRPr="00476DF1">
        <w:rPr>
          <w:rFonts w:ascii="Times New Roman" w:hAnsi="Times New Roman"/>
          <w:i/>
          <w:sz w:val="24"/>
          <w:szCs w:val="24"/>
        </w:rPr>
        <w:t>vice-versa</w:t>
      </w:r>
      <w:r w:rsidRPr="00476DF1">
        <w:rPr>
          <w:rFonts w:ascii="Times New Roman" w:hAnsi="Times New Roman"/>
          <w:sz w:val="24"/>
          <w:szCs w:val="24"/>
        </w:rPr>
        <w:t>; therefore, the sample encompasses different behaviors and strategies and is relevant for the pharmaceutical industry.</w:t>
      </w:r>
    </w:p>
    <w:p w14:paraId="6ED1478E" w14:textId="77777777" w:rsidR="001706BD" w:rsidRPr="00476DF1" w:rsidRDefault="001706BD" w:rsidP="00CE4BBE">
      <w:pPr>
        <w:spacing w:after="0" w:line="240" w:lineRule="auto"/>
        <w:ind w:firstLine="720"/>
        <w:jc w:val="both"/>
        <w:rPr>
          <w:rFonts w:ascii="Times New Roman" w:hAnsi="Times New Roman"/>
          <w:sz w:val="24"/>
          <w:szCs w:val="24"/>
        </w:rPr>
      </w:pPr>
    </w:p>
    <w:p w14:paraId="15D0BBC3" w14:textId="77777777" w:rsidR="00F87E77" w:rsidRPr="00476DF1" w:rsidRDefault="00F87E77" w:rsidP="00CE4BBE">
      <w:pPr>
        <w:spacing w:after="0" w:line="240" w:lineRule="auto"/>
        <w:ind w:firstLine="720"/>
        <w:jc w:val="both"/>
        <w:rPr>
          <w:rFonts w:ascii="Times New Roman" w:hAnsi="Times New Roman"/>
          <w:sz w:val="24"/>
          <w:szCs w:val="24"/>
        </w:rPr>
      </w:pPr>
    </w:p>
    <w:p w14:paraId="2DDE4ED0" w14:textId="77777777" w:rsidR="000E43A5" w:rsidRPr="00476DF1" w:rsidRDefault="000E43A5" w:rsidP="00CE4BBE">
      <w:pPr>
        <w:spacing w:after="0" w:line="240" w:lineRule="auto"/>
        <w:jc w:val="center"/>
        <w:rPr>
          <w:rFonts w:ascii="Times New Roman" w:hAnsi="Times New Roman"/>
          <w:b/>
          <w:sz w:val="24"/>
          <w:szCs w:val="24"/>
        </w:rPr>
        <w:sectPr w:rsidR="000E43A5" w:rsidRPr="00476DF1" w:rsidSect="00CE4BBE">
          <w:headerReference w:type="even" r:id="rId8"/>
          <w:headerReference w:type="default" r:id="rId9"/>
          <w:footerReference w:type="even" r:id="rId10"/>
          <w:footerReference w:type="default" r:id="rId11"/>
          <w:headerReference w:type="first" r:id="rId12"/>
          <w:footerReference w:type="first" r:id="rId13"/>
          <w:pgSz w:w="12240" w:h="15840"/>
          <w:pgMar w:top="1134" w:right="851" w:bottom="1134" w:left="851" w:header="170" w:footer="709" w:gutter="0"/>
          <w:cols w:space="708"/>
          <w:docGrid w:linePitch="360"/>
        </w:sectPr>
      </w:pPr>
    </w:p>
    <w:p w14:paraId="0E4E7D1E" w14:textId="77777777" w:rsidR="000E43A5" w:rsidRPr="00476DF1" w:rsidRDefault="000E43A5" w:rsidP="00CE4BBE">
      <w:pPr>
        <w:spacing w:after="0" w:line="240" w:lineRule="auto"/>
        <w:jc w:val="both"/>
        <w:rPr>
          <w:rFonts w:ascii="Times New Roman" w:hAnsi="Times New Roman"/>
          <w:b/>
          <w:sz w:val="24"/>
          <w:szCs w:val="24"/>
        </w:rPr>
      </w:pPr>
      <w:r w:rsidRPr="00476DF1">
        <w:rPr>
          <w:rFonts w:ascii="Times New Roman" w:hAnsi="Times New Roman"/>
          <w:b/>
          <w:sz w:val="24"/>
          <w:szCs w:val="24"/>
        </w:rPr>
        <w:lastRenderedPageBreak/>
        <w:t xml:space="preserve">Table 1: Sample Information (data in US$ Billions ) </w:t>
      </w:r>
    </w:p>
    <w:p w14:paraId="7422AC4E" w14:textId="77777777" w:rsidR="000E43A5" w:rsidRPr="00476DF1" w:rsidRDefault="000E43A5" w:rsidP="00CE4BBE">
      <w:pPr>
        <w:spacing w:after="0" w:line="240" w:lineRule="auto"/>
        <w:jc w:val="both"/>
        <w:rPr>
          <w:rFonts w:ascii="Times New Roman" w:hAnsi="Times New Roman"/>
          <w:b/>
          <w:sz w:val="24"/>
          <w:szCs w:val="24"/>
        </w:rPr>
      </w:pPr>
    </w:p>
    <w:tbl>
      <w:tblPr>
        <w:tblW w:w="13892" w:type="dxa"/>
        <w:tblInd w:w="-5" w:type="dxa"/>
        <w:tblLook w:val="04A0" w:firstRow="1" w:lastRow="0" w:firstColumn="1" w:lastColumn="0" w:noHBand="0" w:noVBand="1"/>
      </w:tblPr>
      <w:tblGrid>
        <w:gridCol w:w="1228"/>
        <w:gridCol w:w="1026"/>
        <w:gridCol w:w="1105"/>
        <w:gridCol w:w="961"/>
        <w:gridCol w:w="1165"/>
        <w:gridCol w:w="739"/>
        <w:gridCol w:w="1493"/>
        <w:gridCol w:w="1608"/>
        <w:gridCol w:w="1405"/>
        <w:gridCol w:w="1593"/>
        <w:gridCol w:w="1569"/>
      </w:tblGrid>
      <w:tr w:rsidR="000E43A5" w:rsidRPr="00476DF1" w14:paraId="48DAF8AC" w14:textId="77777777" w:rsidTr="007A3A74">
        <w:trPr>
          <w:trHeight w:val="1092"/>
        </w:trPr>
        <w:tc>
          <w:tcPr>
            <w:tcW w:w="12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392651"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Enterprise</w:t>
            </w:r>
          </w:p>
          <w:p w14:paraId="387FE68A"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(sample) </w:t>
            </w:r>
          </w:p>
        </w:tc>
        <w:tc>
          <w:tcPr>
            <w:tcW w:w="1026" w:type="dxa"/>
            <w:tcBorders>
              <w:top w:val="single" w:sz="4" w:space="0" w:color="auto"/>
              <w:left w:val="nil"/>
              <w:bottom w:val="single" w:sz="4" w:space="0" w:color="auto"/>
              <w:right w:val="single" w:sz="4" w:space="0" w:color="auto"/>
            </w:tcBorders>
            <w:shd w:val="clear" w:color="auto" w:fill="auto"/>
            <w:vAlign w:val="center"/>
            <w:hideMark/>
          </w:tcPr>
          <w:p w14:paraId="1DBC1261"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Capital Origin</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14:paraId="5319C956"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Number of Employees </w:t>
            </w:r>
          </w:p>
        </w:tc>
        <w:tc>
          <w:tcPr>
            <w:tcW w:w="961" w:type="dxa"/>
            <w:tcBorders>
              <w:top w:val="single" w:sz="4" w:space="0" w:color="auto"/>
              <w:left w:val="nil"/>
              <w:bottom w:val="single" w:sz="4" w:space="0" w:color="auto"/>
              <w:right w:val="single" w:sz="4" w:space="0" w:color="auto"/>
            </w:tcBorders>
            <w:shd w:val="clear" w:color="auto" w:fill="auto"/>
            <w:vAlign w:val="center"/>
            <w:hideMark/>
          </w:tcPr>
          <w:p w14:paraId="1F4DC7A1"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Patents granted at USPTO*</w:t>
            </w:r>
          </w:p>
        </w:tc>
        <w:tc>
          <w:tcPr>
            <w:tcW w:w="1165" w:type="dxa"/>
            <w:tcBorders>
              <w:top w:val="single" w:sz="4" w:space="0" w:color="auto"/>
              <w:left w:val="nil"/>
              <w:bottom w:val="single" w:sz="4" w:space="0" w:color="auto"/>
              <w:right w:val="single" w:sz="4" w:space="0" w:color="auto"/>
            </w:tcBorders>
            <w:shd w:val="clear" w:color="auto" w:fill="auto"/>
            <w:vAlign w:val="center"/>
            <w:hideMark/>
          </w:tcPr>
          <w:p w14:paraId="05F027BC"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Total Revenue </w:t>
            </w:r>
          </w:p>
        </w:tc>
        <w:tc>
          <w:tcPr>
            <w:tcW w:w="739" w:type="dxa"/>
            <w:tcBorders>
              <w:top w:val="single" w:sz="4" w:space="0" w:color="auto"/>
              <w:left w:val="nil"/>
              <w:bottom w:val="single" w:sz="4" w:space="0" w:color="auto"/>
              <w:right w:val="single" w:sz="4" w:space="0" w:color="auto"/>
            </w:tcBorders>
            <w:shd w:val="clear" w:color="auto" w:fill="auto"/>
            <w:vAlign w:val="center"/>
            <w:hideMark/>
          </w:tcPr>
          <w:p w14:paraId="69310C45"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R&amp;D </w:t>
            </w:r>
          </w:p>
        </w:tc>
        <w:tc>
          <w:tcPr>
            <w:tcW w:w="1493" w:type="dxa"/>
            <w:tcBorders>
              <w:top w:val="single" w:sz="4" w:space="0" w:color="auto"/>
              <w:left w:val="nil"/>
              <w:bottom w:val="single" w:sz="4" w:space="0" w:color="auto"/>
              <w:right w:val="single" w:sz="4" w:space="0" w:color="auto"/>
            </w:tcBorders>
            <w:shd w:val="clear" w:color="auto" w:fill="auto"/>
            <w:vAlign w:val="center"/>
            <w:hideMark/>
          </w:tcPr>
          <w:p w14:paraId="19B09D05"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Total expenditure on M&amp;A from  2005 to 2012) </w:t>
            </w:r>
          </w:p>
        </w:tc>
        <w:tc>
          <w:tcPr>
            <w:tcW w:w="1608" w:type="dxa"/>
            <w:tcBorders>
              <w:top w:val="single" w:sz="4" w:space="0" w:color="auto"/>
              <w:left w:val="nil"/>
              <w:bottom w:val="single" w:sz="4" w:space="0" w:color="auto"/>
              <w:right w:val="single" w:sz="4" w:space="0" w:color="auto"/>
            </w:tcBorders>
            <w:shd w:val="clear" w:color="auto" w:fill="auto"/>
            <w:vAlign w:val="center"/>
            <w:hideMark/>
          </w:tcPr>
          <w:p w14:paraId="27847626"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Average expenditure in M&amp;A (from 2005 to 2013)</w:t>
            </w:r>
          </w:p>
        </w:tc>
        <w:tc>
          <w:tcPr>
            <w:tcW w:w="1405" w:type="dxa"/>
            <w:tcBorders>
              <w:top w:val="single" w:sz="4" w:space="0" w:color="auto"/>
              <w:left w:val="nil"/>
              <w:bottom w:val="single" w:sz="4" w:space="0" w:color="auto"/>
              <w:right w:val="single" w:sz="4" w:space="0" w:color="auto"/>
            </w:tcBorders>
            <w:shd w:val="clear" w:color="auto" w:fill="auto"/>
            <w:vAlign w:val="center"/>
            <w:hideMark/>
          </w:tcPr>
          <w:p w14:paraId="1FB56586"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R&amp;D/Revenue</w:t>
            </w:r>
          </w:p>
        </w:tc>
        <w:tc>
          <w:tcPr>
            <w:tcW w:w="1593" w:type="dxa"/>
            <w:tcBorders>
              <w:top w:val="single" w:sz="4" w:space="0" w:color="auto"/>
              <w:left w:val="nil"/>
              <w:bottom w:val="single" w:sz="4" w:space="0" w:color="auto"/>
              <w:right w:val="single" w:sz="4" w:space="0" w:color="auto"/>
            </w:tcBorders>
            <w:shd w:val="clear" w:color="auto" w:fill="auto"/>
            <w:vAlign w:val="center"/>
            <w:hideMark/>
          </w:tcPr>
          <w:p w14:paraId="0D0497BB" w14:textId="77777777" w:rsidR="000E43A5" w:rsidRPr="00476DF1" w:rsidRDefault="000E43A5" w:rsidP="00CE4BBE">
            <w:pPr>
              <w:spacing w:after="0" w:line="240" w:lineRule="auto"/>
              <w:jc w:val="center"/>
              <w:rPr>
                <w:rFonts w:ascii="Times New Roman" w:eastAsia="Times New Roman" w:hAnsi="Times New Roman"/>
                <w:color w:val="000000"/>
                <w:sz w:val="20"/>
                <w:szCs w:val="20"/>
                <w:lang w:val="pt-BR"/>
              </w:rPr>
            </w:pPr>
            <w:r w:rsidRPr="00476DF1">
              <w:rPr>
                <w:rFonts w:ascii="Times New Roman" w:eastAsia="Times New Roman" w:hAnsi="Times New Roman"/>
                <w:color w:val="000000"/>
                <w:sz w:val="20"/>
                <w:szCs w:val="20"/>
                <w:lang w:val="pt-BR"/>
              </w:rPr>
              <w:t>M&amp;A average/Revenue</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043D9071" w14:textId="77777777" w:rsidR="000E43A5" w:rsidRPr="00476DF1" w:rsidRDefault="000E43A5" w:rsidP="00CE4BBE">
            <w:pPr>
              <w:spacing w:after="0" w:line="240" w:lineRule="auto"/>
              <w:jc w:val="center"/>
              <w:rPr>
                <w:rFonts w:ascii="Times New Roman" w:eastAsia="Times New Roman" w:hAnsi="Times New Roman"/>
                <w:color w:val="000000"/>
                <w:sz w:val="20"/>
                <w:szCs w:val="20"/>
                <w:lang w:val="pt-BR"/>
              </w:rPr>
            </w:pPr>
            <w:r w:rsidRPr="00476DF1">
              <w:rPr>
                <w:rFonts w:ascii="Times New Roman" w:eastAsia="Times New Roman" w:hAnsi="Times New Roman"/>
                <w:color w:val="000000"/>
                <w:sz w:val="20"/>
                <w:szCs w:val="20"/>
                <w:lang w:val="pt-BR"/>
              </w:rPr>
              <w:t>M&amp;A average /P&amp;D</w:t>
            </w:r>
          </w:p>
        </w:tc>
      </w:tr>
      <w:tr w:rsidR="000E43A5" w:rsidRPr="00476DF1" w14:paraId="742AE9A1" w14:textId="77777777" w:rsidTr="007A3A74">
        <w:trPr>
          <w:trHeight w:val="321"/>
        </w:trPr>
        <w:tc>
          <w:tcPr>
            <w:tcW w:w="1228" w:type="dxa"/>
            <w:tcBorders>
              <w:top w:val="nil"/>
              <w:left w:val="single" w:sz="4" w:space="0" w:color="auto"/>
              <w:bottom w:val="single" w:sz="4" w:space="0" w:color="auto"/>
              <w:right w:val="single" w:sz="4" w:space="0" w:color="auto"/>
            </w:tcBorders>
            <w:shd w:val="clear" w:color="auto" w:fill="auto"/>
            <w:vAlign w:val="center"/>
            <w:hideMark/>
          </w:tcPr>
          <w:p w14:paraId="1382AC1D"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Pfizer</w:t>
            </w:r>
          </w:p>
        </w:tc>
        <w:tc>
          <w:tcPr>
            <w:tcW w:w="1026" w:type="dxa"/>
            <w:tcBorders>
              <w:top w:val="nil"/>
              <w:left w:val="nil"/>
              <w:bottom w:val="single" w:sz="4" w:space="0" w:color="auto"/>
              <w:right w:val="single" w:sz="4" w:space="0" w:color="auto"/>
            </w:tcBorders>
            <w:shd w:val="clear" w:color="auto" w:fill="auto"/>
            <w:vAlign w:val="center"/>
            <w:hideMark/>
          </w:tcPr>
          <w:p w14:paraId="17118EE8"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USA</w:t>
            </w:r>
          </w:p>
        </w:tc>
        <w:tc>
          <w:tcPr>
            <w:tcW w:w="1105" w:type="dxa"/>
            <w:tcBorders>
              <w:top w:val="nil"/>
              <w:left w:val="nil"/>
              <w:bottom w:val="single" w:sz="4" w:space="0" w:color="auto"/>
              <w:right w:val="single" w:sz="4" w:space="0" w:color="auto"/>
            </w:tcBorders>
            <w:shd w:val="clear" w:color="auto" w:fill="auto"/>
            <w:vAlign w:val="center"/>
            <w:hideMark/>
          </w:tcPr>
          <w:p w14:paraId="17A420DE"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91,500</w:t>
            </w:r>
          </w:p>
        </w:tc>
        <w:tc>
          <w:tcPr>
            <w:tcW w:w="961" w:type="dxa"/>
            <w:tcBorders>
              <w:top w:val="nil"/>
              <w:left w:val="nil"/>
              <w:bottom w:val="single" w:sz="4" w:space="0" w:color="auto"/>
              <w:right w:val="single" w:sz="4" w:space="0" w:color="auto"/>
            </w:tcBorders>
            <w:shd w:val="clear" w:color="auto" w:fill="auto"/>
            <w:vAlign w:val="center"/>
            <w:hideMark/>
          </w:tcPr>
          <w:p w14:paraId="0E8D9C2C"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4,279</w:t>
            </w:r>
          </w:p>
        </w:tc>
        <w:tc>
          <w:tcPr>
            <w:tcW w:w="1165" w:type="dxa"/>
            <w:tcBorders>
              <w:top w:val="nil"/>
              <w:left w:val="nil"/>
              <w:bottom w:val="single" w:sz="4" w:space="0" w:color="auto"/>
              <w:right w:val="single" w:sz="4" w:space="0" w:color="auto"/>
            </w:tcBorders>
            <w:shd w:val="clear" w:color="auto" w:fill="auto"/>
            <w:vAlign w:val="center"/>
            <w:hideMark/>
          </w:tcPr>
          <w:p w14:paraId="69AD0E50"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51</w:t>
            </w:r>
          </w:p>
        </w:tc>
        <w:tc>
          <w:tcPr>
            <w:tcW w:w="739" w:type="dxa"/>
            <w:tcBorders>
              <w:top w:val="nil"/>
              <w:left w:val="nil"/>
              <w:bottom w:val="single" w:sz="4" w:space="0" w:color="auto"/>
              <w:right w:val="single" w:sz="4" w:space="0" w:color="auto"/>
            </w:tcBorders>
            <w:shd w:val="clear" w:color="auto" w:fill="auto"/>
            <w:vAlign w:val="center"/>
            <w:hideMark/>
          </w:tcPr>
          <w:p w14:paraId="2F0AF419"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6,6</w:t>
            </w:r>
          </w:p>
        </w:tc>
        <w:tc>
          <w:tcPr>
            <w:tcW w:w="1493" w:type="dxa"/>
            <w:tcBorders>
              <w:top w:val="nil"/>
              <w:left w:val="nil"/>
              <w:bottom w:val="single" w:sz="4" w:space="0" w:color="auto"/>
              <w:right w:val="single" w:sz="4" w:space="0" w:color="auto"/>
            </w:tcBorders>
            <w:shd w:val="clear" w:color="auto" w:fill="auto"/>
            <w:vAlign w:val="center"/>
            <w:hideMark/>
          </w:tcPr>
          <w:p w14:paraId="52431F2C"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76,5</w:t>
            </w:r>
          </w:p>
        </w:tc>
        <w:tc>
          <w:tcPr>
            <w:tcW w:w="1608" w:type="dxa"/>
            <w:tcBorders>
              <w:top w:val="nil"/>
              <w:left w:val="nil"/>
              <w:bottom w:val="single" w:sz="4" w:space="0" w:color="auto"/>
              <w:right w:val="single" w:sz="4" w:space="0" w:color="auto"/>
            </w:tcBorders>
            <w:shd w:val="clear" w:color="auto" w:fill="auto"/>
            <w:vAlign w:val="center"/>
            <w:hideMark/>
          </w:tcPr>
          <w:p w14:paraId="740FCEBF"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9,5</w:t>
            </w:r>
          </w:p>
        </w:tc>
        <w:tc>
          <w:tcPr>
            <w:tcW w:w="1405" w:type="dxa"/>
            <w:tcBorders>
              <w:top w:val="nil"/>
              <w:left w:val="nil"/>
              <w:bottom w:val="single" w:sz="4" w:space="0" w:color="auto"/>
              <w:right w:val="single" w:sz="4" w:space="0" w:color="auto"/>
            </w:tcBorders>
            <w:shd w:val="clear" w:color="auto" w:fill="auto"/>
            <w:vAlign w:val="center"/>
            <w:hideMark/>
          </w:tcPr>
          <w:p w14:paraId="1D7B6794"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13%</w:t>
            </w:r>
          </w:p>
        </w:tc>
        <w:tc>
          <w:tcPr>
            <w:tcW w:w="1593" w:type="dxa"/>
            <w:tcBorders>
              <w:top w:val="nil"/>
              <w:left w:val="nil"/>
              <w:bottom w:val="single" w:sz="4" w:space="0" w:color="auto"/>
              <w:right w:val="single" w:sz="4" w:space="0" w:color="auto"/>
            </w:tcBorders>
            <w:shd w:val="clear" w:color="auto" w:fill="auto"/>
            <w:vAlign w:val="center"/>
            <w:hideMark/>
          </w:tcPr>
          <w:p w14:paraId="22416BB7"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18,6%</w:t>
            </w:r>
          </w:p>
        </w:tc>
        <w:tc>
          <w:tcPr>
            <w:tcW w:w="1569" w:type="dxa"/>
            <w:tcBorders>
              <w:top w:val="nil"/>
              <w:left w:val="nil"/>
              <w:bottom w:val="single" w:sz="4" w:space="0" w:color="auto"/>
              <w:right w:val="single" w:sz="4" w:space="0" w:color="auto"/>
            </w:tcBorders>
            <w:shd w:val="clear" w:color="auto" w:fill="auto"/>
            <w:noWrap/>
            <w:vAlign w:val="center"/>
            <w:hideMark/>
          </w:tcPr>
          <w:p w14:paraId="42CE01E1"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1,4</w:t>
            </w:r>
          </w:p>
        </w:tc>
      </w:tr>
      <w:tr w:rsidR="000E43A5" w:rsidRPr="00476DF1" w14:paraId="126C478A" w14:textId="77777777" w:rsidTr="007A3A74">
        <w:trPr>
          <w:trHeight w:val="321"/>
        </w:trPr>
        <w:tc>
          <w:tcPr>
            <w:tcW w:w="1228" w:type="dxa"/>
            <w:tcBorders>
              <w:top w:val="nil"/>
              <w:left w:val="single" w:sz="4" w:space="0" w:color="auto"/>
              <w:bottom w:val="single" w:sz="4" w:space="0" w:color="auto"/>
              <w:right w:val="single" w:sz="4" w:space="0" w:color="auto"/>
            </w:tcBorders>
            <w:shd w:val="clear" w:color="auto" w:fill="auto"/>
            <w:vAlign w:val="center"/>
            <w:hideMark/>
          </w:tcPr>
          <w:p w14:paraId="2D51BDF9"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Novartis</w:t>
            </w:r>
          </w:p>
        </w:tc>
        <w:tc>
          <w:tcPr>
            <w:tcW w:w="1026" w:type="dxa"/>
            <w:tcBorders>
              <w:top w:val="nil"/>
              <w:left w:val="nil"/>
              <w:bottom w:val="single" w:sz="4" w:space="0" w:color="auto"/>
              <w:right w:val="single" w:sz="4" w:space="0" w:color="auto"/>
            </w:tcBorders>
            <w:shd w:val="clear" w:color="auto" w:fill="auto"/>
            <w:vAlign w:val="center"/>
            <w:hideMark/>
          </w:tcPr>
          <w:p w14:paraId="33F1D64B"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CH</w:t>
            </w:r>
          </w:p>
        </w:tc>
        <w:tc>
          <w:tcPr>
            <w:tcW w:w="1105" w:type="dxa"/>
            <w:tcBorders>
              <w:top w:val="nil"/>
              <w:left w:val="nil"/>
              <w:bottom w:val="single" w:sz="4" w:space="0" w:color="auto"/>
              <w:right w:val="single" w:sz="4" w:space="0" w:color="auto"/>
            </w:tcBorders>
            <w:shd w:val="clear" w:color="auto" w:fill="auto"/>
            <w:vAlign w:val="center"/>
            <w:hideMark/>
          </w:tcPr>
          <w:p w14:paraId="5FB6D71B"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112,461</w:t>
            </w:r>
          </w:p>
        </w:tc>
        <w:tc>
          <w:tcPr>
            <w:tcW w:w="961" w:type="dxa"/>
            <w:tcBorders>
              <w:top w:val="nil"/>
              <w:left w:val="nil"/>
              <w:bottom w:val="single" w:sz="4" w:space="0" w:color="auto"/>
              <w:right w:val="single" w:sz="4" w:space="0" w:color="auto"/>
            </w:tcBorders>
            <w:shd w:val="clear" w:color="auto" w:fill="auto"/>
            <w:vAlign w:val="center"/>
            <w:hideMark/>
          </w:tcPr>
          <w:p w14:paraId="04671B2D"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4,000</w:t>
            </w:r>
          </w:p>
        </w:tc>
        <w:tc>
          <w:tcPr>
            <w:tcW w:w="1165" w:type="dxa"/>
            <w:tcBorders>
              <w:top w:val="nil"/>
              <w:left w:val="nil"/>
              <w:bottom w:val="single" w:sz="4" w:space="0" w:color="auto"/>
              <w:right w:val="single" w:sz="4" w:space="0" w:color="auto"/>
            </w:tcBorders>
            <w:shd w:val="clear" w:color="auto" w:fill="auto"/>
            <w:vAlign w:val="center"/>
            <w:hideMark/>
          </w:tcPr>
          <w:p w14:paraId="028A4433"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32,1</w:t>
            </w:r>
          </w:p>
        </w:tc>
        <w:tc>
          <w:tcPr>
            <w:tcW w:w="739" w:type="dxa"/>
            <w:tcBorders>
              <w:top w:val="nil"/>
              <w:left w:val="nil"/>
              <w:bottom w:val="single" w:sz="4" w:space="0" w:color="auto"/>
              <w:right w:val="single" w:sz="4" w:space="0" w:color="auto"/>
            </w:tcBorders>
            <w:shd w:val="clear" w:color="auto" w:fill="auto"/>
            <w:vAlign w:val="center"/>
            <w:hideMark/>
          </w:tcPr>
          <w:p w14:paraId="0D670A82"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6,7</w:t>
            </w:r>
          </w:p>
        </w:tc>
        <w:tc>
          <w:tcPr>
            <w:tcW w:w="1493" w:type="dxa"/>
            <w:tcBorders>
              <w:top w:val="nil"/>
              <w:left w:val="nil"/>
              <w:bottom w:val="single" w:sz="4" w:space="0" w:color="auto"/>
              <w:right w:val="single" w:sz="4" w:space="0" w:color="auto"/>
            </w:tcBorders>
            <w:shd w:val="clear" w:color="auto" w:fill="auto"/>
            <w:vAlign w:val="center"/>
            <w:hideMark/>
          </w:tcPr>
          <w:p w14:paraId="450AD6A0"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70,9</w:t>
            </w:r>
          </w:p>
        </w:tc>
        <w:tc>
          <w:tcPr>
            <w:tcW w:w="1608" w:type="dxa"/>
            <w:tcBorders>
              <w:top w:val="nil"/>
              <w:left w:val="nil"/>
              <w:bottom w:val="single" w:sz="4" w:space="0" w:color="auto"/>
              <w:right w:val="single" w:sz="4" w:space="0" w:color="auto"/>
            </w:tcBorders>
            <w:shd w:val="clear" w:color="auto" w:fill="auto"/>
            <w:vAlign w:val="center"/>
            <w:hideMark/>
          </w:tcPr>
          <w:p w14:paraId="4BD887D9"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8,8</w:t>
            </w:r>
          </w:p>
        </w:tc>
        <w:tc>
          <w:tcPr>
            <w:tcW w:w="1405" w:type="dxa"/>
            <w:tcBorders>
              <w:top w:val="nil"/>
              <w:left w:val="nil"/>
              <w:bottom w:val="single" w:sz="4" w:space="0" w:color="auto"/>
              <w:right w:val="single" w:sz="4" w:space="0" w:color="auto"/>
            </w:tcBorders>
            <w:shd w:val="clear" w:color="auto" w:fill="auto"/>
            <w:vAlign w:val="center"/>
            <w:hideMark/>
          </w:tcPr>
          <w:p w14:paraId="4CE073DC"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21%</w:t>
            </w:r>
          </w:p>
        </w:tc>
        <w:tc>
          <w:tcPr>
            <w:tcW w:w="1593" w:type="dxa"/>
            <w:tcBorders>
              <w:top w:val="nil"/>
              <w:left w:val="nil"/>
              <w:bottom w:val="single" w:sz="4" w:space="0" w:color="auto"/>
              <w:right w:val="single" w:sz="4" w:space="0" w:color="auto"/>
            </w:tcBorders>
            <w:shd w:val="clear" w:color="auto" w:fill="auto"/>
            <w:vAlign w:val="center"/>
            <w:hideMark/>
          </w:tcPr>
          <w:p w14:paraId="59C9AB91"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27,4%</w:t>
            </w:r>
          </w:p>
        </w:tc>
        <w:tc>
          <w:tcPr>
            <w:tcW w:w="1569" w:type="dxa"/>
            <w:tcBorders>
              <w:top w:val="nil"/>
              <w:left w:val="nil"/>
              <w:bottom w:val="single" w:sz="4" w:space="0" w:color="auto"/>
              <w:right w:val="single" w:sz="4" w:space="0" w:color="auto"/>
            </w:tcBorders>
            <w:shd w:val="clear" w:color="auto" w:fill="auto"/>
            <w:noWrap/>
            <w:vAlign w:val="center"/>
            <w:hideMark/>
          </w:tcPr>
          <w:p w14:paraId="28C7C20D"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1,3</w:t>
            </w:r>
          </w:p>
        </w:tc>
      </w:tr>
      <w:tr w:rsidR="000E43A5" w:rsidRPr="00476DF1" w14:paraId="7C6B3E02" w14:textId="77777777" w:rsidTr="007A3A74">
        <w:trPr>
          <w:trHeight w:val="819"/>
        </w:trPr>
        <w:tc>
          <w:tcPr>
            <w:tcW w:w="1228" w:type="dxa"/>
            <w:tcBorders>
              <w:top w:val="nil"/>
              <w:left w:val="single" w:sz="4" w:space="0" w:color="auto"/>
              <w:bottom w:val="single" w:sz="4" w:space="0" w:color="auto"/>
              <w:right w:val="single" w:sz="4" w:space="0" w:color="auto"/>
            </w:tcBorders>
            <w:shd w:val="clear" w:color="000000" w:fill="FFFFFF"/>
            <w:vAlign w:val="center"/>
            <w:hideMark/>
          </w:tcPr>
          <w:p w14:paraId="5F01324D"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Johnson &amp; Johnson**</w:t>
            </w:r>
          </w:p>
        </w:tc>
        <w:tc>
          <w:tcPr>
            <w:tcW w:w="1026" w:type="dxa"/>
            <w:tcBorders>
              <w:top w:val="nil"/>
              <w:left w:val="nil"/>
              <w:bottom w:val="single" w:sz="4" w:space="0" w:color="auto"/>
              <w:right w:val="single" w:sz="4" w:space="0" w:color="auto"/>
            </w:tcBorders>
            <w:shd w:val="clear" w:color="000000" w:fill="FFFFFF"/>
            <w:vAlign w:val="center"/>
            <w:hideMark/>
          </w:tcPr>
          <w:p w14:paraId="4BF3A484"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USA</w:t>
            </w:r>
          </w:p>
        </w:tc>
        <w:tc>
          <w:tcPr>
            <w:tcW w:w="1105" w:type="dxa"/>
            <w:tcBorders>
              <w:top w:val="nil"/>
              <w:left w:val="nil"/>
              <w:bottom w:val="single" w:sz="4" w:space="0" w:color="auto"/>
              <w:right w:val="single" w:sz="4" w:space="0" w:color="auto"/>
            </w:tcBorders>
            <w:shd w:val="clear" w:color="000000" w:fill="FFFFFF"/>
            <w:vAlign w:val="center"/>
            <w:hideMark/>
          </w:tcPr>
          <w:p w14:paraId="5CFB2F0C"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128,000</w:t>
            </w:r>
          </w:p>
        </w:tc>
        <w:tc>
          <w:tcPr>
            <w:tcW w:w="961" w:type="dxa"/>
            <w:tcBorders>
              <w:top w:val="nil"/>
              <w:left w:val="nil"/>
              <w:bottom w:val="single" w:sz="4" w:space="0" w:color="auto"/>
              <w:right w:val="single" w:sz="4" w:space="0" w:color="auto"/>
            </w:tcBorders>
            <w:shd w:val="clear" w:color="000000" w:fill="FFFFFF"/>
            <w:vAlign w:val="center"/>
            <w:hideMark/>
          </w:tcPr>
          <w:p w14:paraId="2B48CA0F"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9365</w:t>
            </w:r>
          </w:p>
        </w:tc>
        <w:tc>
          <w:tcPr>
            <w:tcW w:w="1165" w:type="dxa"/>
            <w:tcBorders>
              <w:top w:val="nil"/>
              <w:left w:val="nil"/>
              <w:bottom w:val="single" w:sz="4" w:space="0" w:color="auto"/>
              <w:right w:val="single" w:sz="4" w:space="0" w:color="auto"/>
            </w:tcBorders>
            <w:shd w:val="clear" w:color="auto" w:fill="auto"/>
            <w:vAlign w:val="center"/>
            <w:hideMark/>
          </w:tcPr>
          <w:p w14:paraId="227C6E1A"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25,35***</w:t>
            </w:r>
          </w:p>
        </w:tc>
        <w:tc>
          <w:tcPr>
            <w:tcW w:w="739" w:type="dxa"/>
            <w:tcBorders>
              <w:top w:val="nil"/>
              <w:left w:val="nil"/>
              <w:bottom w:val="single" w:sz="4" w:space="0" w:color="auto"/>
              <w:right w:val="single" w:sz="4" w:space="0" w:color="auto"/>
            </w:tcBorders>
            <w:shd w:val="clear" w:color="auto" w:fill="auto"/>
            <w:vAlign w:val="center"/>
            <w:hideMark/>
          </w:tcPr>
          <w:p w14:paraId="1A98AE52"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5,3</w:t>
            </w:r>
          </w:p>
        </w:tc>
        <w:tc>
          <w:tcPr>
            <w:tcW w:w="1493" w:type="dxa"/>
            <w:tcBorders>
              <w:top w:val="nil"/>
              <w:left w:val="nil"/>
              <w:bottom w:val="single" w:sz="4" w:space="0" w:color="auto"/>
              <w:right w:val="single" w:sz="4" w:space="0" w:color="auto"/>
            </w:tcBorders>
            <w:shd w:val="clear" w:color="auto" w:fill="auto"/>
            <w:noWrap/>
            <w:vAlign w:val="center"/>
            <w:hideMark/>
          </w:tcPr>
          <w:p w14:paraId="6E642F37"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0,4</w:t>
            </w:r>
          </w:p>
        </w:tc>
        <w:tc>
          <w:tcPr>
            <w:tcW w:w="1608" w:type="dxa"/>
            <w:tcBorders>
              <w:top w:val="nil"/>
              <w:left w:val="nil"/>
              <w:bottom w:val="single" w:sz="4" w:space="0" w:color="auto"/>
              <w:right w:val="single" w:sz="4" w:space="0" w:color="auto"/>
            </w:tcBorders>
            <w:shd w:val="clear" w:color="auto" w:fill="auto"/>
            <w:noWrap/>
            <w:vAlign w:val="center"/>
            <w:hideMark/>
          </w:tcPr>
          <w:p w14:paraId="1474505D"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0,5</w:t>
            </w:r>
          </w:p>
        </w:tc>
        <w:tc>
          <w:tcPr>
            <w:tcW w:w="1405" w:type="dxa"/>
            <w:tcBorders>
              <w:top w:val="nil"/>
              <w:left w:val="nil"/>
              <w:bottom w:val="single" w:sz="4" w:space="0" w:color="auto"/>
              <w:right w:val="single" w:sz="4" w:space="0" w:color="auto"/>
            </w:tcBorders>
            <w:shd w:val="clear" w:color="auto" w:fill="auto"/>
            <w:vAlign w:val="center"/>
            <w:hideMark/>
          </w:tcPr>
          <w:p w14:paraId="4D3BAB2B"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21%</w:t>
            </w:r>
          </w:p>
        </w:tc>
        <w:tc>
          <w:tcPr>
            <w:tcW w:w="1593" w:type="dxa"/>
            <w:tcBorders>
              <w:top w:val="nil"/>
              <w:left w:val="nil"/>
              <w:bottom w:val="single" w:sz="4" w:space="0" w:color="auto"/>
              <w:right w:val="single" w:sz="4" w:space="0" w:color="auto"/>
            </w:tcBorders>
            <w:shd w:val="clear" w:color="auto" w:fill="auto"/>
            <w:vAlign w:val="center"/>
            <w:hideMark/>
          </w:tcPr>
          <w:p w14:paraId="052270FC"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2,0%</w:t>
            </w:r>
          </w:p>
        </w:tc>
        <w:tc>
          <w:tcPr>
            <w:tcW w:w="1569" w:type="dxa"/>
            <w:tcBorders>
              <w:top w:val="nil"/>
              <w:left w:val="nil"/>
              <w:bottom w:val="single" w:sz="4" w:space="0" w:color="auto"/>
              <w:right w:val="single" w:sz="4" w:space="0" w:color="auto"/>
            </w:tcBorders>
            <w:shd w:val="clear" w:color="auto" w:fill="auto"/>
            <w:noWrap/>
            <w:vAlign w:val="center"/>
            <w:hideMark/>
          </w:tcPr>
          <w:p w14:paraId="1555174A"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0,09</w:t>
            </w:r>
          </w:p>
        </w:tc>
      </w:tr>
      <w:tr w:rsidR="000E43A5" w:rsidRPr="00476DF1" w14:paraId="66EB4C55" w14:textId="77777777" w:rsidTr="007A3A74">
        <w:trPr>
          <w:trHeight w:val="546"/>
        </w:trPr>
        <w:tc>
          <w:tcPr>
            <w:tcW w:w="1228" w:type="dxa"/>
            <w:tcBorders>
              <w:top w:val="nil"/>
              <w:left w:val="single" w:sz="4" w:space="0" w:color="auto"/>
              <w:bottom w:val="single" w:sz="4" w:space="0" w:color="auto"/>
              <w:right w:val="single" w:sz="4" w:space="0" w:color="auto"/>
            </w:tcBorders>
            <w:shd w:val="clear" w:color="auto" w:fill="auto"/>
            <w:vAlign w:val="center"/>
            <w:hideMark/>
          </w:tcPr>
          <w:p w14:paraId="3936C18C"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Merck&amp;Co</w:t>
            </w:r>
          </w:p>
        </w:tc>
        <w:tc>
          <w:tcPr>
            <w:tcW w:w="1026" w:type="dxa"/>
            <w:tcBorders>
              <w:top w:val="nil"/>
              <w:left w:val="nil"/>
              <w:bottom w:val="single" w:sz="4" w:space="0" w:color="auto"/>
              <w:right w:val="single" w:sz="4" w:space="0" w:color="auto"/>
            </w:tcBorders>
            <w:shd w:val="clear" w:color="auto" w:fill="auto"/>
            <w:vAlign w:val="center"/>
            <w:hideMark/>
          </w:tcPr>
          <w:p w14:paraId="04ABE437"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USA</w:t>
            </w:r>
          </w:p>
        </w:tc>
        <w:tc>
          <w:tcPr>
            <w:tcW w:w="1105" w:type="dxa"/>
            <w:tcBorders>
              <w:top w:val="nil"/>
              <w:left w:val="nil"/>
              <w:bottom w:val="single" w:sz="4" w:space="0" w:color="auto"/>
              <w:right w:val="single" w:sz="4" w:space="0" w:color="auto"/>
            </w:tcBorders>
            <w:shd w:val="clear" w:color="auto" w:fill="auto"/>
            <w:vAlign w:val="center"/>
            <w:hideMark/>
          </w:tcPr>
          <w:p w14:paraId="515EC8FA"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83,000</w:t>
            </w:r>
          </w:p>
        </w:tc>
        <w:tc>
          <w:tcPr>
            <w:tcW w:w="961" w:type="dxa"/>
            <w:tcBorders>
              <w:top w:val="nil"/>
              <w:left w:val="nil"/>
              <w:bottom w:val="single" w:sz="4" w:space="0" w:color="auto"/>
              <w:right w:val="single" w:sz="4" w:space="0" w:color="auto"/>
            </w:tcBorders>
            <w:shd w:val="clear" w:color="auto" w:fill="auto"/>
            <w:vAlign w:val="center"/>
            <w:hideMark/>
          </w:tcPr>
          <w:p w14:paraId="3C510519"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2,166</w:t>
            </w:r>
          </w:p>
        </w:tc>
        <w:tc>
          <w:tcPr>
            <w:tcW w:w="1165" w:type="dxa"/>
            <w:tcBorders>
              <w:top w:val="nil"/>
              <w:left w:val="nil"/>
              <w:bottom w:val="single" w:sz="4" w:space="0" w:color="auto"/>
              <w:right w:val="single" w:sz="4" w:space="0" w:color="auto"/>
            </w:tcBorders>
            <w:shd w:val="clear" w:color="auto" w:fill="auto"/>
            <w:vAlign w:val="center"/>
            <w:hideMark/>
          </w:tcPr>
          <w:p w14:paraId="0B3D679A"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47,2</w:t>
            </w:r>
          </w:p>
        </w:tc>
        <w:tc>
          <w:tcPr>
            <w:tcW w:w="739" w:type="dxa"/>
            <w:tcBorders>
              <w:top w:val="nil"/>
              <w:left w:val="nil"/>
              <w:bottom w:val="single" w:sz="4" w:space="0" w:color="auto"/>
              <w:right w:val="single" w:sz="4" w:space="0" w:color="auto"/>
            </w:tcBorders>
            <w:shd w:val="clear" w:color="auto" w:fill="auto"/>
            <w:vAlign w:val="center"/>
            <w:hideMark/>
          </w:tcPr>
          <w:p w14:paraId="4DBC386A"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8,1</w:t>
            </w:r>
          </w:p>
        </w:tc>
        <w:tc>
          <w:tcPr>
            <w:tcW w:w="1493" w:type="dxa"/>
            <w:tcBorders>
              <w:top w:val="nil"/>
              <w:left w:val="nil"/>
              <w:bottom w:val="single" w:sz="4" w:space="0" w:color="auto"/>
              <w:right w:val="single" w:sz="4" w:space="0" w:color="auto"/>
            </w:tcBorders>
            <w:shd w:val="clear" w:color="auto" w:fill="auto"/>
            <w:vAlign w:val="center"/>
            <w:hideMark/>
          </w:tcPr>
          <w:p w14:paraId="48CD208F"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44,9</w:t>
            </w:r>
          </w:p>
        </w:tc>
        <w:tc>
          <w:tcPr>
            <w:tcW w:w="1608" w:type="dxa"/>
            <w:tcBorders>
              <w:top w:val="nil"/>
              <w:left w:val="nil"/>
              <w:bottom w:val="single" w:sz="4" w:space="0" w:color="auto"/>
              <w:right w:val="single" w:sz="4" w:space="0" w:color="auto"/>
            </w:tcBorders>
            <w:shd w:val="clear" w:color="auto" w:fill="auto"/>
            <w:vAlign w:val="center"/>
            <w:hideMark/>
          </w:tcPr>
          <w:p w14:paraId="0066F6EE"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0,5</w:t>
            </w:r>
          </w:p>
        </w:tc>
        <w:tc>
          <w:tcPr>
            <w:tcW w:w="1405" w:type="dxa"/>
            <w:tcBorders>
              <w:top w:val="nil"/>
              <w:left w:val="nil"/>
              <w:bottom w:val="single" w:sz="4" w:space="0" w:color="auto"/>
              <w:right w:val="single" w:sz="4" w:space="0" w:color="auto"/>
            </w:tcBorders>
            <w:shd w:val="clear" w:color="auto" w:fill="auto"/>
            <w:vAlign w:val="center"/>
            <w:hideMark/>
          </w:tcPr>
          <w:p w14:paraId="091BA7EF"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17%</w:t>
            </w:r>
          </w:p>
        </w:tc>
        <w:tc>
          <w:tcPr>
            <w:tcW w:w="1593" w:type="dxa"/>
            <w:tcBorders>
              <w:top w:val="nil"/>
              <w:left w:val="nil"/>
              <w:bottom w:val="single" w:sz="4" w:space="0" w:color="auto"/>
              <w:right w:val="single" w:sz="4" w:space="0" w:color="auto"/>
            </w:tcBorders>
            <w:shd w:val="clear" w:color="auto" w:fill="auto"/>
            <w:vAlign w:val="center"/>
            <w:hideMark/>
          </w:tcPr>
          <w:p w14:paraId="05063A65"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1,1%</w:t>
            </w:r>
          </w:p>
        </w:tc>
        <w:tc>
          <w:tcPr>
            <w:tcW w:w="1569" w:type="dxa"/>
            <w:tcBorders>
              <w:top w:val="nil"/>
              <w:left w:val="nil"/>
              <w:bottom w:val="single" w:sz="4" w:space="0" w:color="auto"/>
              <w:right w:val="single" w:sz="4" w:space="0" w:color="auto"/>
            </w:tcBorders>
            <w:shd w:val="clear" w:color="auto" w:fill="auto"/>
            <w:noWrap/>
            <w:vAlign w:val="center"/>
            <w:hideMark/>
          </w:tcPr>
          <w:p w14:paraId="5AFAE9E1"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0,06</w:t>
            </w:r>
          </w:p>
        </w:tc>
      </w:tr>
      <w:tr w:rsidR="000E43A5" w:rsidRPr="00476DF1" w14:paraId="01B9894D" w14:textId="77777777" w:rsidTr="007A3A74">
        <w:trPr>
          <w:trHeight w:val="321"/>
        </w:trPr>
        <w:tc>
          <w:tcPr>
            <w:tcW w:w="1228" w:type="dxa"/>
            <w:tcBorders>
              <w:top w:val="nil"/>
              <w:left w:val="single" w:sz="4" w:space="0" w:color="auto"/>
              <w:bottom w:val="single" w:sz="4" w:space="0" w:color="auto"/>
              <w:right w:val="single" w:sz="4" w:space="0" w:color="auto"/>
            </w:tcBorders>
            <w:shd w:val="clear" w:color="auto" w:fill="auto"/>
            <w:vAlign w:val="center"/>
            <w:hideMark/>
          </w:tcPr>
          <w:p w14:paraId="6BDC4BE4"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Roche</w:t>
            </w:r>
          </w:p>
        </w:tc>
        <w:tc>
          <w:tcPr>
            <w:tcW w:w="1026" w:type="dxa"/>
            <w:tcBorders>
              <w:top w:val="nil"/>
              <w:left w:val="nil"/>
              <w:bottom w:val="single" w:sz="4" w:space="0" w:color="auto"/>
              <w:right w:val="single" w:sz="4" w:space="0" w:color="auto"/>
            </w:tcBorders>
            <w:shd w:val="clear" w:color="auto" w:fill="auto"/>
            <w:vAlign w:val="center"/>
            <w:hideMark/>
          </w:tcPr>
          <w:p w14:paraId="7D58630F"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CH</w:t>
            </w:r>
          </w:p>
        </w:tc>
        <w:tc>
          <w:tcPr>
            <w:tcW w:w="1105" w:type="dxa"/>
            <w:tcBorders>
              <w:top w:val="nil"/>
              <w:left w:val="nil"/>
              <w:bottom w:val="single" w:sz="4" w:space="0" w:color="auto"/>
              <w:right w:val="single" w:sz="4" w:space="0" w:color="auto"/>
            </w:tcBorders>
            <w:shd w:val="clear" w:color="auto" w:fill="auto"/>
            <w:vAlign w:val="center"/>
            <w:hideMark/>
          </w:tcPr>
          <w:p w14:paraId="42DD32C1"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82,089</w:t>
            </w:r>
          </w:p>
        </w:tc>
        <w:tc>
          <w:tcPr>
            <w:tcW w:w="961" w:type="dxa"/>
            <w:tcBorders>
              <w:top w:val="nil"/>
              <w:left w:val="nil"/>
              <w:bottom w:val="single" w:sz="4" w:space="0" w:color="auto"/>
              <w:right w:val="single" w:sz="4" w:space="0" w:color="auto"/>
            </w:tcBorders>
            <w:shd w:val="clear" w:color="auto" w:fill="auto"/>
            <w:vAlign w:val="center"/>
            <w:hideMark/>
          </w:tcPr>
          <w:p w14:paraId="3AF0FD24"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3,286</w:t>
            </w:r>
          </w:p>
        </w:tc>
        <w:tc>
          <w:tcPr>
            <w:tcW w:w="1165" w:type="dxa"/>
            <w:tcBorders>
              <w:top w:val="nil"/>
              <w:left w:val="nil"/>
              <w:bottom w:val="single" w:sz="4" w:space="0" w:color="auto"/>
              <w:right w:val="single" w:sz="4" w:space="0" w:color="auto"/>
            </w:tcBorders>
            <w:shd w:val="clear" w:color="auto" w:fill="auto"/>
            <w:vAlign w:val="center"/>
            <w:hideMark/>
          </w:tcPr>
          <w:p w14:paraId="4A2C1E8D"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40,96</w:t>
            </w:r>
          </w:p>
        </w:tc>
        <w:tc>
          <w:tcPr>
            <w:tcW w:w="739" w:type="dxa"/>
            <w:tcBorders>
              <w:top w:val="nil"/>
              <w:left w:val="nil"/>
              <w:bottom w:val="single" w:sz="4" w:space="0" w:color="auto"/>
              <w:right w:val="single" w:sz="4" w:space="0" w:color="auto"/>
            </w:tcBorders>
            <w:shd w:val="clear" w:color="auto" w:fill="auto"/>
            <w:vAlign w:val="center"/>
            <w:hideMark/>
          </w:tcPr>
          <w:p w14:paraId="199CE436"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14,16</w:t>
            </w:r>
          </w:p>
        </w:tc>
        <w:tc>
          <w:tcPr>
            <w:tcW w:w="1493" w:type="dxa"/>
            <w:tcBorders>
              <w:top w:val="nil"/>
              <w:left w:val="nil"/>
              <w:bottom w:val="single" w:sz="4" w:space="0" w:color="auto"/>
              <w:right w:val="single" w:sz="4" w:space="0" w:color="auto"/>
            </w:tcBorders>
            <w:shd w:val="clear" w:color="auto" w:fill="auto"/>
            <w:vAlign w:val="center"/>
            <w:hideMark/>
          </w:tcPr>
          <w:p w14:paraId="32EBAF0E"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48,3</w:t>
            </w:r>
          </w:p>
        </w:tc>
        <w:tc>
          <w:tcPr>
            <w:tcW w:w="1608" w:type="dxa"/>
            <w:tcBorders>
              <w:top w:val="nil"/>
              <w:left w:val="nil"/>
              <w:bottom w:val="single" w:sz="4" w:space="0" w:color="auto"/>
              <w:right w:val="single" w:sz="4" w:space="0" w:color="auto"/>
            </w:tcBorders>
            <w:shd w:val="clear" w:color="auto" w:fill="auto"/>
            <w:vAlign w:val="center"/>
            <w:hideMark/>
          </w:tcPr>
          <w:p w14:paraId="16A771D9"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6</w:t>
            </w:r>
          </w:p>
        </w:tc>
        <w:tc>
          <w:tcPr>
            <w:tcW w:w="1405" w:type="dxa"/>
            <w:tcBorders>
              <w:top w:val="nil"/>
              <w:left w:val="nil"/>
              <w:bottom w:val="single" w:sz="4" w:space="0" w:color="auto"/>
              <w:right w:val="single" w:sz="4" w:space="0" w:color="auto"/>
            </w:tcBorders>
            <w:shd w:val="clear" w:color="auto" w:fill="auto"/>
            <w:vAlign w:val="center"/>
            <w:hideMark/>
          </w:tcPr>
          <w:p w14:paraId="30C7496E"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35%</w:t>
            </w:r>
          </w:p>
        </w:tc>
        <w:tc>
          <w:tcPr>
            <w:tcW w:w="1593" w:type="dxa"/>
            <w:tcBorders>
              <w:top w:val="nil"/>
              <w:left w:val="nil"/>
              <w:bottom w:val="single" w:sz="4" w:space="0" w:color="auto"/>
              <w:right w:val="single" w:sz="4" w:space="0" w:color="auto"/>
            </w:tcBorders>
            <w:shd w:val="clear" w:color="auto" w:fill="auto"/>
            <w:vAlign w:val="center"/>
            <w:hideMark/>
          </w:tcPr>
          <w:p w14:paraId="6858D242"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14,6%</w:t>
            </w:r>
          </w:p>
        </w:tc>
        <w:tc>
          <w:tcPr>
            <w:tcW w:w="1569" w:type="dxa"/>
            <w:tcBorders>
              <w:top w:val="nil"/>
              <w:left w:val="nil"/>
              <w:bottom w:val="single" w:sz="4" w:space="0" w:color="auto"/>
              <w:right w:val="single" w:sz="4" w:space="0" w:color="auto"/>
            </w:tcBorders>
            <w:shd w:val="clear" w:color="auto" w:fill="auto"/>
            <w:noWrap/>
            <w:vAlign w:val="center"/>
            <w:hideMark/>
          </w:tcPr>
          <w:p w14:paraId="32870AE4"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0,4</w:t>
            </w:r>
          </w:p>
        </w:tc>
      </w:tr>
      <w:tr w:rsidR="000E43A5" w:rsidRPr="00476DF1" w14:paraId="587DD46B" w14:textId="77777777" w:rsidTr="007A3A74">
        <w:trPr>
          <w:trHeight w:val="546"/>
        </w:trPr>
        <w:tc>
          <w:tcPr>
            <w:tcW w:w="1228" w:type="dxa"/>
            <w:tcBorders>
              <w:top w:val="nil"/>
              <w:left w:val="single" w:sz="4" w:space="0" w:color="auto"/>
              <w:bottom w:val="single" w:sz="4" w:space="0" w:color="auto"/>
              <w:right w:val="single" w:sz="4" w:space="0" w:color="auto"/>
            </w:tcBorders>
            <w:shd w:val="clear" w:color="auto" w:fill="auto"/>
            <w:vAlign w:val="center"/>
            <w:hideMark/>
          </w:tcPr>
          <w:p w14:paraId="45D4F27D"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Astra-Zeneca</w:t>
            </w:r>
          </w:p>
        </w:tc>
        <w:tc>
          <w:tcPr>
            <w:tcW w:w="1026" w:type="dxa"/>
            <w:tcBorders>
              <w:top w:val="nil"/>
              <w:left w:val="nil"/>
              <w:bottom w:val="single" w:sz="4" w:space="0" w:color="auto"/>
              <w:right w:val="single" w:sz="4" w:space="0" w:color="auto"/>
            </w:tcBorders>
            <w:shd w:val="clear" w:color="auto" w:fill="auto"/>
            <w:vAlign w:val="center"/>
            <w:hideMark/>
          </w:tcPr>
          <w:p w14:paraId="15678300"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UK</w:t>
            </w:r>
          </w:p>
        </w:tc>
        <w:tc>
          <w:tcPr>
            <w:tcW w:w="1105" w:type="dxa"/>
            <w:tcBorders>
              <w:top w:val="nil"/>
              <w:left w:val="nil"/>
              <w:bottom w:val="single" w:sz="4" w:space="0" w:color="auto"/>
              <w:right w:val="single" w:sz="4" w:space="0" w:color="auto"/>
            </w:tcBorders>
            <w:shd w:val="clear" w:color="auto" w:fill="auto"/>
            <w:vAlign w:val="center"/>
            <w:hideMark/>
          </w:tcPr>
          <w:p w14:paraId="3F195C75"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51,700</w:t>
            </w:r>
          </w:p>
        </w:tc>
        <w:tc>
          <w:tcPr>
            <w:tcW w:w="961" w:type="dxa"/>
            <w:tcBorders>
              <w:top w:val="nil"/>
              <w:left w:val="nil"/>
              <w:bottom w:val="single" w:sz="4" w:space="0" w:color="auto"/>
              <w:right w:val="single" w:sz="4" w:space="0" w:color="auto"/>
            </w:tcBorders>
            <w:shd w:val="clear" w:color="auto" w:fill="auto"/>
            <w:vAlign w:val="center"/>
            <w:hideMark/>
          </w:tcPr>
          <w:p w14:paraId="4AFCDCF4"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1024</w:t>
            </w:r>
          </w:p>
        </w:tc>
        <w:tc>
          <w:tcPr>
            <w:tcW w:w="1165" w:type="dxa"/>
            <w:tcBorders>
              <w:top w:val="nil"/>
              <w:left w:val="nil"/>
              <w:bottom w:val="single" w:sz="4" w:space="0" w:color="auto"/>
              <w:right w:val="single" w:sz="4" w:space="0" w:color="auto"/>
            </w:tcBorders>
            <w:shd w:val="clear" w:color="auto" w:fill="auto"/>
            <w:vAlign w:val="center"/>
            <w:hideMark/>
          </w:tcPr>
          <w:p w14:paraId="61B55E6C"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27,9</w:t>
            </w:r>
          </w:p>
        </w:tc>
        <w:tc>
          <w:tcPr>
            <w:tcW w:w="739" w:type="dxa"/>
            <w:tcBorders>
              <w:top w:val="nil"/>
              <w:left w:val="nil"/>
              <w:bottom w:val="single" w:sz="4" w:space="0" w:color="auto"/>
              <w:right w:val="single" w:sz="4" w:space="0" w:color="auto"/>
            </w:tcBorders>
            <w:shd w:val="clear" w:color="auto" w:fill="auto"/>
            <w:vAlign w:val="center"/>
            <w:hideMark/>
          </w:tcPr>
          <w:p w14:paraId="05F430A7"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4,4</w:t>
            </w:r>
          </w:p>
        </w:tc>
        <w:tc>
          <w:tcPr>
            <w:tcW w:w="1493" w:type="dxa"/>
            <w:tcBorders>
              <w:top w:val="nil"/>
              <w:left w:val="nil"/>
              <w:bottom w:val="single" w:sz="4" w:space="0" w:color="auto"/>
              <w:right w:val="single" w:sz="4" w:space="0" w:color="auto"/>
            </w:tcBorders>
            <w:shd w:val="clear" w:color="auto" w:fill="auto"/>
            <w:vAlign w:val="center"/>
            <w:hideMark/>
          </w:tcPr>
          <w:p w14:paraId="03FB1ADD"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18,3</w:t>
            </w:r>
          </w:p>
        </w:tc>
        <w:tc>
          <w:tcPr>
            <w:tcW w:w="1608" w:type="dxa"/>
            <w:tcBorders>
              <w:top w:val="nil"/>
              <w:left w:val="nil"/>
              <w:bottom w:val="single" w:sz="4" w:space="0" w:color="auto"/>
              <w:right w:val="single" w:sz="4" w:space="0" w:color="auto"/>
            </w:tcBorders>
            <w:shd w:val="clear" w:color="auto" w:fill="auto"/>
            <w:vAlign w:val="center"/>
            <w:hideMark/>
          </w:tcPr>
          <w:p w14:paraId="5342397F"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2,2</w:t>
            </w:r>
          </w:p>
        </w:tc>
        <w:tc>
          <w:tcPr>
            <w:tcW w:w="1405" w:type="dxa"/>
            <w:tcBorders>
              <w:top w:val="nil"/>
              <w:left w:val="nil"/>
              <w:bottom w:val="single" w:sz="4" w:space="0" w:color="auto"/>
              <w:right w:val="single" w:sz="4" w:space="0" w:color="auto"/>
            </w:tcBorders>
            <w:shd w:val="clear" w:color="auto" w:fill="auto"/>
            <w:vAlign w:val="center"/>
            <w:hideMark/>
          </w:tcPr>
          <w:p w14:paraId="2EA4933B"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16%</w:t>
            </w:r>
          </w:p>
        </w:tc>
        <w:tc>
          <w:tcPr>
            <w:tcW w:w="1593" w:type="dxa"/>
            <w:tcBorders>
              <w:top w:val="nil"/>
              <w:left w:val="nil"/>
              <w:bottom w:val="single" w:sz="4" w:space="0" w:color="auto"/>
              <w:right w:val="single" w:sz="4" w:space="0" w:color="auto"/>
            </w:tcBorders>
            <w:shd w:val="clear" w:color="auto" w:fill="auto"/>
            <w:vAlign w:val="center"/>
            <w:hideMark/>
          </w:tcPr>
          <w:p w14:paraId="7AB10CF5"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7,9%</w:t>
            </w:r>
          </w:p>
        </w:tc>
        <w:tc>
          <w:tcPr>
            <w:tcW w:w="1569" w:type="dxa"/>
            <w:tcBorders>
              <w:top w:val="nil"/>
              <w:left w:val="nil"/>
              <w:bottom w:val="single" w:sz="4" w:space="0" w:color="auto"/>
              <w:right w:val="single" w:sz="4" w:space="0" w:color="auto"/>
            </w:tcBorders>
            <w:shd w:val="clear" w:color="auto" w:fill="auto"/>
            <w:noWrap/>
            <w:vAlign w:val="center"/>
            <w:hideMark/>
          </w:tcPr>
          <w:p w14:paraId="754AFAA0"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0,5</w:t>
            </w:r>
          </w:p>
        </w:tc>
      </w:tr>
      <w:tr w:rsidR="000E43A5" w:rsidRPr="00476DF1" w14:paraId="7B4BF898" w14:textId="77777777" w:rsidTr="007A3A74">
        <w:trPr>
          <w:trHeight w:val="321"/>
        </w:trPr>
        <w:tc>
          <w:tcPr>
            <w:tcW w:w="1228" w:type="dxa"/>
            <w:tcBorders>
              <w:top w:val="nil"/>
              <w:left w:val="single" w:sz="4" w:space="0" w:color="auto"/>
              <w:bottom w:val="single" w:sz="4" w:space="0" w:color="auto"/>
              <w:right w:val="single" w:sz="4" w:space="0" w:color="auto"/>
            </w:tcBorders>
            <w:shd w:val="clear" w:color="000000" w:fill="FFFFFF"/>
            <w:vAlign w:val="center"/>
            <w:hideMark/>
          </w:tcPr>
          <w:p w14:paraId="6E4AF64B"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Sanofi</w:t>
            </w:r>
          </w:p>
        </w:tc>
        <w:tc>
          <w:tcPr>
            <w:tcW w:w="1026" w:type="dxa"/>
            <w:tcBorders>
              <w:top w:val="nil"/>
              <w:left w:val="nil"/>
              <w:bottom w:val="single" w:sz="4" w:space="0" w:color="auto"/>
              <w:right w:val="single" w:sz="4" w:space="0" w:color="auto"/>
            </w:tcBorders>
            <w:shd w:val="clear" w:color="000000" w:fill="FFFFFF"/>
            <w:vAlign w:val="center"/>
            <w:hideMark/>
          </w:tcPr>
          <w:p w14:paraId="4CD78AE4"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FR</w:t>
            </w:r>
          </w:p>
        </w:tc>
        <w:tc>
          <w:tcPr>
            <w:tcW w:w="1105" w:type="dxa"/>
            <w:tcBorders>
              <w:top w:val="nil"/>
              <w:left w:val="nil"/>
              <w:bottom w:val="single" w:sz="4" w:space="0" w:color="auto"/>
              <w:right w:val="single" w:sz="4" w:space="0" w:color="auto"/>
            </w:tcBorders>
            <w:shd w:val="clear" w:color="000000" w:fill="FFFFFF"/>
            <w:vAlign w:val="center"/>
            <w:hideMark/>
          </w:tcPr>
          <w:p w14:paraId="03F8192F"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111,974</w:t>
            </w:r>
          </w:p>
        </w:tc>
        <w:tc>
          <w:tcPr>
            <w:tcW w:w="961" w:type="dxa"/>
            <w:tcBorders>
              <w:top w:val="nil"/>
              <w:left w:val="nil"/>
              <w:bottom w:val="single" w:sz="4" w:space="0" w:color="auto"/>
              <w:right w:val="single" w:sz="4" w:space="0" w:color="auto"/>
            </w:tcBorders>
            <w:shd w:val="clear" w:color="000000" w:fill="FFFFFF"/>
            <w:vAlign w:val="center"/>
            <w:hideMark/>
          </w:tcPr>
          <w:p w14:paraId="5FEAD712"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2,024</w:t>
            </w:r>
          </w:p>
        </w:tc>
        <w:tc>
          <w:tcPr>
            <w:tcW w:w="1165" w:type="dxa"/>
            <w:tcBorders>
              <w:top w:val="nil"/>
              <w:left w:val="nil"/>
              <w:bottom w:val="single" w:sz="4" w:space="0" w:color="auto"/>
              <w:right w:val="single" w:sz="4" w:space="0" w:color="auto"/>
            </w:tcBorders>
            <w:shd w:val="clear" w:color="000000" w:fill="FFFFFF"/>
            <w:vAlign w:val="center"/>
            <w:hideMark/>
          </w:tcPr>
          <w:p w14:paraId="4F49B3D1"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43</w:t>
            </w:r>
          </w:p>
        </w:tc>
        <w:tc>
          <w:tcPr>
            <w:tcW w:w="739" w:type="dxa"/>
            <w:tcBorders>
              <w:top w:val="nil"/>
              <w:left w:val="nil"/>
              <w:bottom w:val="single" w:sz="4" w:space="0" w:color="auto"/>
              <w:right w:val="single" w:sz="4" w:space="0" w:color="auto"/>
            </w:tcBorders>
            <w:shd w:val="clear" w:color="000000" w:fill="FFFFFF"/>
            <w:vAlign w:val="center"/>
            <w:hideMark/>
          </w:tcPr>
          <w:p w14:paraId="59843071"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w:t>
            </w:r>
          </w:p>
        </w:tc>
        <w:tc>
          <w:tcPr>
            <w:tcW w:w="1493" w:type="dxa"/>
            <w:tcBorders>
              <w:top w:val="nil"/>
              <w:left w:val="nil"/>
              <w:bottom w:val="single" w:sz="4" w:space="0" w:color="auto"/>
              <w:right w:val="single" w:sz="4" w:space="0" w:color="auto"/>
            </w:tcBorders>
            <w:shd w:val="clear" w:color="000000" w:fill="FFFFFF"/>
            <w:vAlign w:val="center"/>
            <w:hideMark/>
          </w:tcPr>
          <w:p w14:paraId="3F433EE2"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26</w:t>
            </w:r>
          </w:p>
        </w:tc>
        <w:tc>
          <w:tcPr>
            <w:tcW w:w="1608" w:type="dxa"/>
            <w:tcBorders>
              <w:top w:val="nil"/>
              <w:left w:val="nil"/>
              <w:bottom w:val="single" w:sz="4" w:space="0" w:color="auto"/>
              <w:right w:val="single" w:sz="4" w:space="0" w:color="auto"/>
            </w:tcBorders>
            <w:shd w:val="clear" w:color="000000" w:fill="FFFFFF"/>
            <w:vAlign w:val="center"/>
            <w:hideMark/>
          </w:tcPr>
          <w:p w14:paraId="11D04A28"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3,25</w:t>
            </w:r>
          </w:p>
        </w:tc>
        <w:tc>
          <w:tcPr>
            <w:tcW w:w="1405" w:type="dxa"/>
            <w:tcBorders>
              <w:top w:val="nil"/>
              <w:left w:val="nil"/>
              <w:bottom w:val="single" w:sz="4" w:space="0" w:color="auto"/>
              <w:right w:val="single" w:sz="4" w:space="0" w:color="auto"/>
            </w:tcBorders>
            <w:shd w:val="clear" w:color="000000" w:fill="FFFFFF"/>
            <w:vAlign w:val="center"/>
            <w:hideMark/>
          </w:tcPr>
          <w:p w14:paraId="7EB9A324"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12%</w:t>
            </w:r>
          </w:p>
        </w:tc>
        <w:tc>
          <w:tcPr>
            <w:tcW w:w="1593" w:type="dxa"/>
            <w:tcBorders>
              <w:top w:val="nil"/>
              <w:left w:val="nil"/>
              <w:bottom w:val="single" w:sz="4" w:space="0" w:color="auto"/>
              <w:right w:val="single" w:sz="4" w:space="0" w:color="auto"/>
            </w:tcBorders>
            <w:shd w:val="clear" w:color="000000" w:fill="FFFFFF"/>
            <w:vAlign w:val="center"/>
            <w:hideMark/>
          </w:tcPr>
          <w:p w14:paraId="32B48847"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8%</w:t>
            </w:r>
          </w:p>
        </w:tc>
        <w:tc>
          <w:tcPr>
            <w:tcW w:w="1569" w:type="dxa"/>
            <w:tcBorders>
              <w:top w:val="nil"/>
              <w:left w:val="nil"/>
              <w:bottom w:val="single" w:sz="4" w:space="0" w:color="auto"/>
              <w:right w:val="single" w:sz="4" w:space="0" w:color="auto"/>
            </w:tcBorders>
            <w:shd w:val="clear" w:color="000000" w:fill="FFFFFF"/>
            <w:vAlign w:val="center"/>
            <w:hideMark/>
          </w:tcPr>
          <w:p w14:paraId="52DCCA5B"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0,65</w:t>
            </w:r>
          </w:p>
        </w:tc>
      </w:tr>
      <w:tr w:rsidR="000E43A5" w:rsidRPr="00476DF1" w14:paraId="180194D8" w14:textId="77777777" w:rsidTr="007A3A74">
        <w:trPr>
          <w:trHeight w:val="321"/>
        </w:trPr>
        <w:tc>
          <w:tcPr>
            <w:tcW w:w="1228" w:type="dxa"/>
            <w:tcBorders>
              <w:top w:val="nil"/>
              <w:left w:val="single" w:sz="4" w:space="0" w:color="auto"/>
              <w:bottom w:val="single" w:sz="4" w:space="0" w:color="auto"/>
              <w:right w:val="single" w:sz="4" w:space="0" w:color="auto"/>
            </w:tcBorders>
            <w:shd w:val="clear" w:color="auto" w:fill="auto"/>
            <w:vAlign w:val="center"/>
            <w:hideMark/>
          </w:tcPr>
          <w:p w14:paraId="2C8CE2DF"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GSK</w:t>
            </w:r>
          </w:p>
        </w:tc>
        <w:tc>
          <w:tcPr>
            <w:tcW w:w="1026" w:type="dxa"/>
            <w:tcBorders>
              <w:top w:val="nil"/>
              <w:left w:val="nil"/>
              <w:bottom w:val="single" w:sz="4" w:space="0" w:color="auto"/>
              <w:right w:val="single" w:sz="4" w:space="0" w:color="auto"/>
            </w:tcBorders>
            <w:shd w:val="clear" w:color="auto" w:fill="auto"/>
            <w:vAlign w:val="center"/>
            <w:hideMark/>
          </w:tcPr>
          <w:p w14:paraId="33E83E09"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UK</w:t>
            </w:r>
          </w:p>
        </w:tc>
        <w:tc>
          <w:tcPr>
            <w:tcW w:w="1105" w:type="dxa"/>
            <w:tcBorders>
              <w:top w:val="nil"/>
              <w:left w:val="nil"/>
              <w:bottom w:val="single" w:sz="4" w:space="0" w:color="auto"/>
              <w:right w:val="single" w:sz="4" w:space="0" w:color="auto"/>
            </w:tcBorders>
            <w:shd w:val="clear" w:color="auto" w:fill="auto"/>
            <w:vAlign w:val="center"/>
            <w:hideMark/>
          </w:tcPr>
          <w:p w14:paraId="6FA09B82"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99,488</w:t>
            </w:r>
          </w:p>
        </w:tc>
        <w:tc>
          <w:tcPr>
            <w:tcW w:w="961" w:type="dxa"/>
            <w:tcBorders>
              <w:top w:val="nil"/>
              <w:left w:val="nil"/>
              <w:bottom w:val="single" w:sz="4" w:space="0" w:color="auto"/>
              <w:right w:val="single" w:sz="4" w:space="0" w:color="auto"/>
            </w:tcBorders>
            <w:shd w:val="clear" w:color="auto" w:fill="auto"/>
            <w:vAlign w:val="center"/>
            <w:hideMark/>
          </w:tcPr>
          <w:p w14:paraId="7F7ACBED"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3,413</w:t>
            </w:r>
          </w:p>
        </w:tc>
        <w:tc>
          <w:tcPr>
            <w:tcW w:w="1165" w:type="dxa"/>
            <w:tcBorders>
              <w:top w:val="nil"/>
              <w:left w:val="nil"/>
              <w:bottom w:val="single" w:sz="4" w:space="0" w:color="auto"/>
              <w:right w:val="single" w:sz="4" w:space="0" w:color="auto"/>
            </w:tcBorders>
            <w:shd w:val="clear" w:color="auto" w:fill="auto"/>
            <w:vAlign w:val="center"/>
            <w:hideMark/>
          </w:tcPr>
          <w:p w14:paraId="24EE2D20"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16</w:t>
            </w:r>
          </w:p>
        </w:tc>
        <w:tc>
          <w:tcPr>
            <w:tcW w:w="739" w:type="dxa"/>
            <w:tcBorders>
              <w:top w:val="nil"/>
              <w:left w:val="nil"/>
              <w:bottom w:val="single" w:sz="4" w:space="0" w:color="auto"/>
              <w:right w:val="single" w:sz="4" w:space="0" w:color="auto"/>
            </w:tcBorders>
            <w:shd w:val="clear" w:color="auto" w:fill="auto"/>
            <w:vAlign w:val="center"/>
            <w:hideMark/>
          </w:tcPr>
          <w:p w14:paraId="6045D900"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w:t>
            </w:r>
          </w:p>
        </w:tc>
        <w:tc>
          <w:tcPr>
            <w:tcW w:w="1493" w:type="dxa"/>
            <w:tcBorders>
              <w:top w:val="nil"/>
              <w:left w:val="nil"/>
              <w:bottom w:val="single" w:sz="4" w:space="0" w:color="auto"/>
              <w:right w:val="single" w:sz="4" w:space="0" w:color="auto"/>
            </w:tcBorders>
            <w:shd w:val="clear" w:color="auto" w:fill="auto"/>
            <w:vAlign w:val="center"/>
            <w:hideMark/>
          </w:tcPr>
          <w:p w14:paraId="72A2AD90"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8,3</w:t>
            </w:r>
          </w:p>
        </w:tc>
        <w:tc>
          <w:tcPr>
            <w:tcW w:w="1608" w:type="dxa"/>
            <w:tcBorders>
              <w:top w:val="nil"/>
              <w:left w:val="nil"/>
              <w:bottom w:val="single" w:sz="4" w:space="0" w:color="auto"/>
              <w:right w:val="single" w:sz="4" w:space="0" w:color="auto"/>
            </w:tcBorders>
            <w:shd w:val="clear" w:color="auto" w:fill="auto"/>
            <w:vAlign w:val="center"/>
            <w:hideMark/>
          </w:tcPr>
          <w:p w14:paraId="65E961F9"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c>
          <w:tcPr>
            <w:tcW w:w="1405" w:type="dxa"/>
            <w:tcBorders>
              <w:top w:val="nil"/>
              <w:left w:val="nil"/>
              <w:bottom w:val="single" w:sz="4" w:space="0" w:color="auto"/>
              <w:right w:val="single" w:sz="4" w:space="0" w:color="auto"/>
            </w:tcBorders>
            <w:shd w:val="clear" w:color="auto" w:fill="auto"/>
            <w:vAlign w:val="center"/>
            <w:hideMark/>
          </w:tcPr>
          <w:p w14:paraId="4560869E"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13%</w:t>
            </w:r>
          </w:p>
        </w:tc>
        <w:tc>
          <w:tcPr>
            <w:tcW w:w="1593" w:type="dxa"/>
            <w:tcBorders>
              <w:top w:val="nil"/>
              <w:left w:val="nil"/>
              <w:bottom w:val="single" w:sz="4" w:space="0" w:color="auto"/>
              <w:right w:val="single" w:sz="4" w:space="0" w:color="auto"/>
            </w:tcBorders>
            <w:shd w:val="clear" w:color="auto" w:fill="auto"/>
            <w:vAlign w:val="center"/>
            <w:hideMark/>
          </w:tcPr>
          <w:p w14:paraId="23192A3A"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6,3%</w:t>
            </w:r>
          </w:p>
        </w:tc>
        <w:tc>
          <w:tcPr>
            <w:tcW w:w="1569" w:type="dxa"/>
            <w:tcBorders>
              <w:top w:val="nil"/>
              <w:left w:val="nil"/>
              <w:bottom w:val="single" w:sz="4" w:space="0" w:color="auto"/>
              <w:right w:val="single" w:sz="4" w:space="0" w:color="auto"/>
            </w:tcBorders>
            <w:shd w:val="clear" w:color="auto" w:fill="auto"/>
            <w:noWrap/>
            <w:vAlign w:val="center"/>
            <w:hideMark/>
          </w:tcPr>
          <w:p w14:paraId="1775A9D8"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0,5</w:t>
            </w:r>
          </w:p>
        </w:tc>
      </w:tr>
      <w:tr w:rsidR="000E43A5" w:rsidRPr="00476DF1" w14:paraId="3B326994" w14:textId="77777777" w:rsidTr="007A3A74">
        <w:trPr>
          <w:trHeight w:val="546"/>
        </w:trPr>
        <w:tc>
          <w:tcPr>
            <w:tcW w:w="1228" w:type="dxa"/>
            <w:tcBorders>
              <w:top w:val="nil"/>
              <w:left w:val="single" w:sz="4" w:space="0" w:color="auto"/>
              <w:bottom w:val="single" w:sz="4" w:space="0" w:color="auto"/>
              <w:right w:val="single" w:sz="4" w:space="0" w:color="auto"/>
            </w:tcBorders>
            <w:shd w:val="clear" w:color="auto" w:fill="auto"/>
            <w:vAlign w:val="center"/>
            <w:hideMark/>
          </w:tcPr>
          <w:p w14:paraId="0FB7DFFD"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Abbott-Laboratories</w:t>
            </w:r>
          </w:p>
        </w:tc>
        <w:tc>
          <w:tcPr>
            <w:tcW w:w="1026" w:type="dxa"/>
            <w:tcBorders>
              <w:top w:val="nil"/>
              <w:left w:val="nil"/>
              <w:bottom w:val="single" w:sz="4" w:space="0" w:color="auto"/>
              <w:right w:val="single" w:sz="4" w:space="0" w:color="auto"/>
            </w:tcBorders>
            <w:shd w:val="clear" w:color="auto" w:fill="auto"/>
            <w:vAlign w:val="center"/>
            <w:hideMark/>
          </w:tcPr>
          <w:p w14:paraId="1C18A542"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USA</w:t>
            </w:r>
          </w:p>
        </w:tc>
        <w:tc>
          <w:tcPr>
            <w:tcW w:w="1105" w:type="dxa"/>
            <w:tcBorders>
              <w:top w:val="nil"/>
              <w:left w:val="nil"/>
              <w:bottom w:val="single" w:sz="4" w:space="0" w:color="auto"/>
              <w:right w:val="single" w:sz="4" w:space="0" w:color="auto"/>
            </w:tcBorders>
            <w:shd w:val="clear" w:color="auto" w:fill="auto"/>
            <w:vAlign w:val="center"/>
            <w:hideMark/>
          </w:tcPr>
          <w:p w14:paraId="78889F3A"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92,939</w:t>
            </w:r>
          </w:p>
        </w:tc>
        <w:tc>
          <w:tcPr>
            <w:tcW w:w="961" w:type="dxa"/>
            <w:tcBorders>
              <w:top w:val="nil"/>
              <w:left w:val="nil"/>
              <w:bottom w:val="single" w:sz="4" w:space="0" w:color="auto"/>
              <w:right w:val="single" w:sz="4" w:space="0" w:color="auto"/>
            </w:tcBorders>
            <w:shd w:val="clear" w:color="auto" w:fill="auto"/>
            <w:vAlign w:val="center"/>
            <w:hideMark/>
          </w:tcPr>
          <w:p w14:paraId="2C517480"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4,044</w:t>
            </w:r>
          </w:p>
        </w:tc>
        <w:tc>
          <w:tcPr>
            <w:tcW w:w="1165" w:type="dxa"/>
            <w:tcBorders>
              <w:top w:val="nil"/>
              <w:left w:val="nil"/>
              <w:bottom w:val="single" w:sz="4" w:space="0" w:color="auto"/>
              <w:right w:val="single" w:sz="4" w:space="0" w:color="auto"/>
            </w:tcBorders>
            <w:shd w:val="clear" w:color="auto" w:fill="auto"/>
            <w:vAlign w:val="center"/>
            <w:hideMark/>
          </w:tcPr>
          <w:p w14:paraId="4BEF12DD"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39,8</w:t>
            </w:r>
          </w:p>
        </w:tc>
        <w:tc>
          <w:tcPr>
            <w:tcW w:w="739" w:type="dxa"/>
            <w:tcBorders>
              <w:top w:val="nil"/>
              <w:left w:val="nil"/>
              <w:bottom w:val="single" w:sz="4" w:space="0" w:color="auto"/>
              <w:right w:val="single" w:sz="4" w:space="0" w:color="auto"/>
            </w:tcBorders>
            <w:shd w:val="clear" w:color="auto" w:fill="auto"/>
            <w:vAlign w:val="center"/>
            <w:hideMark/>
          </w:tcPr>
          <w:p w14:paraId="2DB38340"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4,3</w:t>
            </w:r>
          </w:p>
        </w:tc>
        <w:tc>
          <w:tcPr>
            <w:tcW w:w="1493" w:type="dxa"/>
            <w:tcBorders>
              <w:top w:val="nil"/>
              <w:left w:val="nil"/>
              <w:bottom w:val="single" w:sz="4" w:space="0" w:color="auto"/>
              <w:right w:val="single" w:sz="4" w:space="0" w:color="auto"/>
            </w:tcBorders>
            <w:shd w:val="clear" w:color="auto" w:fill="auto"/>
            <w:vAlign w:val="center"/>
            <w:hideMark/>
          </w:tcPr>
          <w:p w14:paraId="5ABEF55B"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4,1</w:t>
            </w:r>
          </w:p>
        </w:tc>
        <w:tc>
          <w:tcPr>
            <w:tcW w:w="1608" w:type="dxa"/>
            <w:tcBorders>
              <w:top w:val="nil"/>
              <w:left w:val="nil"/>
              <w:bottom w:val="single" w:sz="4" w:space="0" w:color="auto"/>
              <w:right w:val="single" w:sz="4" w:space="0" w:color="auto"/>
            </w:tcBorders>
            <w:shd w:val="clear" w:color="auto" w:fill="auto"/>
            <w:vAlign w:val="center"/>
            <w:hideMark/>
          </w:tcPr>
          <w:p w14:paraId="6AD78C5B"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0,5</w:t>
            </w:r>
          </w:p>
        </w:tc>
        <w:tc>
          <w:tcPr>
            <w:tcW w:w="1405" w:type="dxa"/>
            <w:tcBorders>
              <w:top w:val="single" w:sz="4" w:space="0" w:color="auto"/>
              <w:left w:val="nil"/>
              <w:bottom w:val="single" w:sz="4" w:space="0" w:color="auto"/>
              <w:right w:val="single" w:sz="4" w:space="0" w:color="auto"/>
            </w:tcBorders>
            <w:shd w:val="clear" w:color="auto" w:fill="auto"/>
            <w:vAlign w:val="center"/>
            <w:hideMark/>
          </w:tcPr>
          <w:p w14:paraId="6A307944"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11%</w:t>
            </w:r>
          </w:p>
        </w:tc>
        <w:tc>
          <w:tcPr>
            <w:tcW w:w="1593" w:type="dxa"/>
            <w:tcBorders>
              <w:top w:val="single" w:sz="4" w:space="0" w:color="auto"/>
              <w:left w:val="nil"/>
              <w:bottom w:val="single" w:sz="4" w:space="0" w:color="auto"/>
              <w:right w:val="single" w:sz="4" w:space="0" w:color="auto"/>
            </w:tcBorders>
            <w:shd w:val="clear" w:color="auto" w:fill="auto"/>
            <w:vAlign w:val="center"/>
            <w:hideMark/>
          </w:tcPr>
          <w:p w14:paraId="60A9096E"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1,3%</w:t>
            </w:r>
          </w:p>
        </w:tc>
        <w:tc>
          <w:tcPr>
            <w:tcW w:w="1569" w:type="dxa"/>
            <w:tcBorders>
              <w:top w:val="nil"/>
              <w:left w:val="nil"/>
              <w:bottom w:val="single" w:sz="4" w:space="0" w:color="auto"/>
              <w:right w:val="single" w:sz="4" w:space="0" w:color="auto"/>
            </w:tcBorders>
            <w:shd w:val="clear" w:color="auto" w:fill="auto"/>
            <w:noWrap/>
            <w:vAlign w:val="center"/>
            <w:hideMark/>
          </w:tcPr>
          <w:p w14:paraId="4FDBB819" w14:textId="77777777" w:rsidR="000E43A5" w:rsidRPr="00476DF1" w:rsidRDefault="000E43A5"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0,11</w:t>
            </w:r>
          </w:p>
        </w:tc>
      </w:tr>
    </w:tbl>
    <w:p w14:paraId="18092C15" w14:textId="77777777" w:rsidR="000E43A5" w:rsidRPr="00476DF1" w:rsidRDefault="000E43A5" w:rsidP="00CE4BBE">
      <w:pPr>
        <w:spacing w:after="0" w:line="240" w:lineRule="auto"/>
        <w:jc w:val="both"/>
        <w:rPr>
          <w:rFonts w:ascii="Times New Roman" w:hAnsi="Times New Roman"/>
          <w:sz w:val="16"/>
          <w:szCs w:val="16"/>
        </w:rPr>
      </w:pPr>
      <w:r w:rsidRPr="00476DF1">
        <w:rPr>
          <w:rFonts w:ascii="Times New Roman" w:hAnsi="Times New Roman"/>
          <w:sz w:val="16"/>
          <w:szCs w:val="16"/>
        </w:rPr>
        <w:t>*Patents range from 1976 to 2019</w:t>
      </w:r>
    </w:p>
    <w:p w14:paraId="32ECE8E3" w14:textId="77777777" w:rsidR="000E43A5" w:rsidRPr="00476DF1" w:rsidRDefault="000E43A5" w:rsidP="00CE4BBE">
      <w:pPr>
        <w:spacing w:after="0" w:line="240" w:lineRule="auto"/>
        <w:jc w:val="both"/>
        <w:rPr>
          <w:rFonts w:ascii="Times New Roman" w:hAnsi="Times New Roman"/>
          <w:sz w:val="16"/>
          <w:szCs w:val="16"/>
        </w:rPr>
      </w:pPr>
      <w:r w:rsidRPr="00476DF1">
        <w:rPr>
          <w:rFonts w:ascii="Times New Roman" w:hAnsi="Times New Roman"/>
          <w:sz w:val="16"/>
          <w:szCs w:val="16"/>
        </w:rPr>
        <w:t>**Patents information of J&amp;J include the patents granted for Janssen</w:t>
      </w:r>
    </w:p>
    <w:p w14:paraId="45AF1C57" w14:textId="77777777" w:rsidR="000E43A5" w:rsidRPr="00476DF1" w:rsidRDefault="000E43A5" w:rsidP="00CE4BBE">
      <w:pPr>
        <w:spacing w:after="0" w:line="240" w:lineRule="auto"/>
        <w:jc w:val="both"/>
        <w:rPr>
          <w:rFonts w:ascii="Times New Roman" w:hAnsi="Times New Roman"/>
          <w:sz w:val="16"/>
          <w:szCs w:val="16"/>
        </w:rPr>
      </w:pPr>
      <w:r w:rsidRPr="00476DF1">
        <w:rPr>
          <w:rFonts w:ascii="Times New Roman" w:hAnsi="Times New Roman"/>
          <w:sz w:val="16"/>
          <w:szCs w:val="16"/>
        </w:rPr>
        <w:t>***Revenues for only the pharmaceutical branch</w:t>
      </w:r>
    </w:p>
    <w:p w14:paraId="69DF0135" w14:textId="77777777" w:rsidR="000E43A5" w:rsidRPr="00476DF1" w:rsidRDefault="000E43A5" w:rsidP="00CE4BBE">
      <w:pPr>
        <w:spacing w:after="0" w:line="240" w:lineRule="auto"/>
        <w:jc w:val="both"/>
        <w:rPr>
          <w:rFonts w:ascii="Times New Roman" w:hAnsi="Times New Roman"/>
          <w:sz w:val="16"/>
          <w:szCs w:val="16"/>
        </w:rPr>
      </w:pPr>
      <w:r w:rsidRPr="00476DF1">
        <w:rPr>
          <w:rFonts w:ascii="Times New Roman" w:hAnsi="Times New Roman"/>
          <w:sz w:val="16"/>
          <w:szCs w:val="16"/>
        </w:rPr>
        <w:t>Source: Own elaboration</w:t>
      </w:r>
    </w:p>
    <w:p w14:paraId="14BE7AA5" w14:textId="77777777" w:rsidR="000E43A5" w:rsidRPr="00476DF1" w:rsidRDefault="000E43A5" w:rsidP="00CE4BBE">
      <w:pPr>
        <w:spacing w:after="0" w:line="240" w:lineRule="auto"/>
        <w:jc w:val="center"/>
        <w:rPr>
          <w:rFonts w:ascii="Times New Roman" w:hAnsi="Times New Roman"/>
          <w:b/>
          <w:sz w:val="24"/>
          <w:szCs w:val="24"/>
        </w:rPr>
      </w:pPr>
    </w:p>
    <w:p w14:paraId="4F5B5CAA" w14:textId="77777777" w:rsidR="000E43A5" w:rsidRPr="00476DF1" w:rsidRDefault="000E43A5" w:rsidP="00CE4BBE">
      <w:pPr>
        <w:spacing w:after="0" w:line="240" w:lineRule="auto"/>
        <w:jc w:val="center"/>
        <w:rPr>
          <w:rFonts w:ascii="Times New Roman" w:hAnsi="Times New Roman"/>
          <w:b/>
          <w:sz w:val="24"/>
          <w:szCs w:val="24"/>
        </w:rPr>
      </w:pPr>
    </w:p>
    <w:p w14:paraId="49229856" w14:textId="77777777" w:rsidR="00E208EF" w:rsidRPr="00476DF1" w:rsidRDefault="00E208EF" w:rsidP="00CE4BBE">
      <w:pPr>
        <w:spacing w:after="0" w:line="240" w:lineRule="auto"/>
        <w:jc w:val="both"/>
        <w:rPr>
          <w:rFonts w:ascii="Times New Roman" w:hAnsi="Times New Roman"/>
          <w:b/>
          <w:sz w:val="24"/>
          <w:szCs w:val="24"/>
        </w:rPr>
      </w:pPr>
    </w:p>
    <w:p w14:paraId="0AE7E450" w14:textId="77777777" w:rsidR="000E43A5" w:rsidRPr="00476DF1" w:rsidRDefault="000E43A5" w:rsidP="00CE4BBE">
      <w:pPr>
        <w:spacing w:after="0" w:line="240" w:lineRule="auto"/>
        <w:jc w:val="both"/>
        <w:rPr>
          <w:rFonts w:ascii="Times New Roman" w:hAnsi="Times New Roman"/>
          <w:b/>
          <w:sz w:val="24"/>
          <w:szCs w:val="24"/>
        </w:rPr>
        <w:sectPr w:rsidR="000E43A5" w:rsidRPr="00476DF1" w:rsidSect="00CE4BBE">
          <w:pgSz w:w="15840" w:h="12240" w:orient="landscape"/>
          <w:pgMar w:top="1134" w:right="851" w:bottom="1134" w:left="851" w:header="170" w:footer="709" w:gutter="0"/>
          <w:cols w:space="708"/>
          <w:docGrid w:linePitch="360"/>
        </w:sectPr>
      </w:pPr>
    </w:p>
    <w:p w14:paraId="4F3AF348" w14:textId="204906CB" w:rsidR="00E208EF" w:rsidRPr="00476DF1" w:rsidRDefault="002024D7"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lastRenderedPageBreak/>
        <w:t>In essence, table 1 summarizes t</w:t>
      </w:r>
      <w:r w:rsidR="00271317" w:rsidRPr="00476DF1">
        <w:rPr>
          <w:rFonts w:ascii="Times New Roman" w:hAnsi="Times New Roman"/>
          <w:sz w:val="24"/>
          <w:szCs w:val="24"/>
        </w:rPr>
        <w:t xml:space="preserve">he M&amp;A behavior of </w:t>
      </w:r>
      <w:r w:rsidR="007676DA" w:rsidRPr="00476DF1">
        <w:rPr>
          <w:rFonts w:ascii="Times New Roman" w:hAnsi="Times New Roman"/>
          <w:sz w:val="24"/>
          <w:szCs w:val="24"/>
        </w:rPr>
        <w:t xml:space="preserve">the </w:t>
      </w:r>
      <w:r w:rsidR="00271317" w:rsidRPr="00476DF1">
        <w:rPr>
          <w:rFonts w:ascii="Times New Roman" w:hAnsi="Times New Roman"/>
          <w:sz w:val="24"/>
          <w:szCs w:val="24"/>
        </w:rPr>
        <w:t>ente</w:t>
      </w:r>
      <w:r w:rsidR="001D4E1F" w:rsidRPr="00476DF1">
        <w:rPr>
          <w:rFonts w:ascii="Times New Roman" w:hAnsi="Times New Roman"/>
          <w:sz w:val="24"/>
          <w:szCs w:val="24"/>
        </w:rPr>
        <w:t>r</w:t>
      </w:r>
      <w:r w:rsidR="00271317" w:rsidRPr="00476DF1">
        <w:rPr>
          <w:rFonts w:ascii="Times New Roman" w:hAnsi="Times New Roman"/>
          <w:sz w:val="24"/>
          <w:szCs w:val="24"/>
        </w:rPr>
        <w:t>prises</w:t>
      </w:r>
      <w:r w:rsidRPr="00476DF1">
        <w:rPr>
          <w:rFonts w:ascii="Times New Roman" w:hAnsi="Times New Roman"/>
          <w:sz w:val="24"/>
          <w:szCs w:val="24"/>
        </w:rPr>
        <w:t>, showing their relevancy among the main technological activities conducted by the sample</w:t>
      </w:r>
      <w:r w:rsidR="001D4E1F" w:rsidRPr="00476DF1">
        <w:rPr>
          <w:rFonts w:ascii="Times New Roman" w:hAnsi="Times New Roman"/>
          <w:sz w:val="24"/>
          <w:szCs w:val="24"/>
        </w:rPr>
        <w:t xml:space="preserve">. </w:t>
      </w:r>
    </w:p>
    <w:p w14:paraId="5E9B2AE2" w14:textId="15C1C9FE" w:rsidR="004E255A" w:rsidRPr="00476DF1" w:rsidRDefault="002E73D1" w:rsidP="00CE4BBE">
      <w:pPr>
        <w:pStyle w:val="Ttulo2"/>
        <w:numPr>
          <w:ilvl w:val="0"/>
          <w:numId w:val="0"/>
        </w:numPr>
        <w:spacing w:line="240" w:lineRule="auto"/>
      </w:pPr>
      <w:r w:rsidRPr="00476DF1">
        <w:t>2.2</w:t>
      </w:r>
      <w:r w:rsidRPr="00476DF1">
        <w:tab/>
      </w:r>
      <w:r w:rsidR="00E44B66" w:rsidRPr="00476DF1">
        <w:t>Method</w:t>
      </w:r>
      <w:r w:rsidR="007676DA" w:rsidRPr="00476DF1">
        <w:t xml:space="preserve"> to analyze</w:t>
      </w:r>
      <w:r w:rsidR="00E44B66" w:rsidRPr="00476DF1">
        <w:t xml:space="preserve"> the </w:t>
      </w:r>
      <w:r w:rsidR="00EE2ADE" w:rsidRPr="00476DF1">
        <w:t>o</w:t>
      </w:r>
      <w:r w:rsidR="004E255A" w:rsidRPr="00476DF1">
        <w:t xml:space="preserve">verall contribution </w:t>
      </w:r>
      <w:r w:rsidR="00F61F3C" w:rsidRPr="00476DF1">
        <w:t>process</w:t>
      </w:r>
    </w:p>
    <w:p w14:paraId="012FC991" w14:textId="506B5468" w:rsidR="00D035B7" w:rsidRPr="00476DF1" w:rsidRDefault="00F61F3C"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The </w:t>
      </w:r>
      <w:r w:rsidR="000150A6" w:rsidRPr="00476DF1">
        <w:rPr>
          <w:rFonts w:ascii="Times New Roman" w:hAnsi="Times New Roman"/>
          <w:sz w:val="24"/>
          <w:szCs w:val="24"/>
        </w:rPr>
        <w:t>study</w:t>
      </w:r>
      <w:r w:rsidRPr="00476DF1">
        <w:rPr>
          <w:rFonts w:ascii="Times New Roman" w:hAnsi="Times New Roman"/>
          <w:sz w:val="24"/>
          <w:szCs w:val="24"/>
        </w:rPr>
        <w:t xml:space="preserve"> is based on the </w:t>
      </w:r>
      <w:r w:rsidR="00230DC7" w:rsidRPr="00476DF1">
        <w:rPr>
          <w:rFonts w:ascii="Times New Roman" w:hAnsi="Times New Roman"/>
          <w:sz w:val="24"/>
          <w:szCs w:val="24"/>
        </w:rPr>
        <w:t xml:space="preserve">idea </w:t>
      </w:r>
      <w:r w:rsidR="00B15F4F" w:rsidRPr="00476DF1">
        <w:rPr>
          <w:rFonts w:ascii="Times New Roman" w:hAnsi="Times New Roman"/>
          <w:sz w:val="24"/>
          <w:szCs w:val="24"/>
        </w:rPr>
        <w:t xml:space="preserve">that </w:t>
      </w:r>
      <w:r w:rsidR="000150A6" w:rsidRPr="00476DF1">
        <w:rPr>
          <w:rFonts w:ascii="Times New Roman" w:hAnsi="Times New Roman"/>
          <w:sz w:val="24"/>
          <w:szCs w:val="24"/>
        </w:rPr>
        <w:t xml:space="preserve">the </w:t>
      </w:r>
      <w:r w:rsidR="00B15F4F" w:rsidRPr="00476DF1">
        <w:rPr>
          <w:rFonts w:ascii="Times New Roman" w:hAnsi="Times New Roman"/>
          <w:sz w:val="24"/>
          <w:szCs w:val="24"/>
        </w:rPr>
        <w:t xml:space="preserve">small enterprises </w:t>
      </w:r>
      <w:r w:rsidR="00C55729" w:rsidRPr="00476DF1">
        <w:rPr>
          <w:rFonts w:ascii="Times New Roman" w:hAnsi="Times New Roman"/>
          <w:sz w:val="24"/>
          <w:szCs w:val="24"/>
        </w:rPr>
        <w:t xml:space="preserve">can offer (contribute with) </w:t>
      </w:r>
      <w:r w:rsidR="00B15F4F" w:rsidRPr="00476DF1">
        <w:rPr>
          <w:rFonts w:ascii="Times New Roman" w:hAnsi="Times New Roman"/>
          <w:sz w:val="24"/>
          <w:szCs w:val="24"/>
        </w:rPr>
        <w:t xml:space="preserve">important </w:t>
      </w:r>
      <w:r w:rsidR="00C55729" w:rsidRPr="00476DF1">
        <w:rPr>
          <w:rFonts w:ascii="Times New Roman" w:hAnsi="Times New Roman"/>
          <w:sz w:val="24"/>
          <w:szCs w:val="24"/>
        </w:rPr>
        <w:t xml:space="preserve">elements </w:t>
      </w:r>
      <w:r w:rsidR="00B15F4F" w:rsidRPr="00476DF1">
        <w:rPr>
          <w:rFonts w:ascii="Times New Roman" w:hAnsi="Times New Roman"/>
          <w:sz w:val="24"/>
          <w:szCs w:val="24"/>
        </w:rPr>
        <w:t>and large ente</w:t>
      </w:r>
      <w:r w:rsidR="00A633C8" w:rsidRPr="00476DF1">
        <w:rPr>
          <w:rFonts w:ascii="Times New Roman" w:hAnsi="Times New Roman"/>
          <w:sz w:val="24"/>
          <w:szCs w:val="24"/>
        </w:rPr>
        <w:t>rp</w:t>
      </w:r>
      <w:r w:rsidR="00B15F4F" w:rsidRPr="00476DF1">
        <w:rPr>
          <w:rFonts w:ascii="Times New Roman" w:hAnsi="Times New Roman"/>
          <w:sz w:val="24"/>
          <w:szCs w:val="24"/>
        </w:rPr>
        <w:t>rises</w:t>
      </w:r>
      <w:r w:rsidR="000150A6" w:rsidRPr="00476DF1">
        <w:rPr>
          <w:rFonts w:ascii="Times New Roman" w:hAnsi="Times New Roman"/>
          <w:sz w:val="24"/>
          <w:szCs w:val="24"/>
        </w:rPr>
        <w:t xml:space="preserve"> use them</w:t>
      </w:r>
      <w:r w:rsidR="00B15F4F" w:rsidRPr="00476DF1">
        <w:rPr>
          <w:rFonts w:ascii="Times New Roman" w:hAnsi="Times New Roman"/>
          <w:sz w:val="24"/>
          <w:szCs w:val="24"/>
        </w:rPr>
        <w:t xml:space="preserve"> to develop new technologies and compete</w:t>
      </w:r>
      <w:r w:rsidR="00A633C8" w:rsidRPr="00476DF1">
        <w:rPr>
          <w:rFonts w:ascii="Times New Roman" w:hAnsi="Times New Roman"/>
          <w:sz w:val="24"/>
          <w:szCs w:val="24"/>
        </w:rPr>
        <w:t>n</w:t>
      </w:r>
      <w:r w:rsidR="00B15F4F" w:rsidRPr="00476DF1">
        <w:rPr>
          <w:rFonts w:ascii="Times New Roman" w:hAnsi="Times New Roman"/>
          <w:sz w:val="24"/>
          <w:szCs w:val="24"/>
        </w:rPr>
        <w:t xml:space="preserve">ces. </w:t>
      </w:r>
      <w:r w:rsidR="00E1142E" w:rsidRPr="00476DF1">
        <w:rPr>
          <w:rFonts w:ascii="Times New Roman" w:hAnsi="Times New Roman"/>
          <w:sz w:val="24"/>
          <w:szCs w:val="24"/>
        </w:rPr>
        <w:t xml:space="preserve">The sum of these elements can be called overall contribution. </w:t>
      </w:r>
      <w:r w:rsidR="00B15F4F" w:rsidRPr="00476DF1">
        <w:rPr>
          <w:rFonts w:ascii="Times New Roman" w:hAnsi="Times New Roman"/>
          <w:sz w:val="24"/>
          <w:szCs w:val="24"/>
        </w:rPr>
        <w:t>So far</w:t>
      </w:r>
      <w:r w:rsidR="00A633C8" w:rsidRPr="00476DF1">
        <w:rPr>
          <w:rFonts w:ascii="Times New Roman" w:hAnsi="Times New Roman"/>
          <w:sz w:val="24"/>
          <w:szCs w:val="24"/>
        </w:rPr>
        <w:t xml:space="preserve">, </w:t>
      </w:r>
      <w:r w:rsidR="00B15F4F" w:rsidRPr="00476DF1">
        <w:rPr>
          <w:rFonts w:ascii="Times New Roman" w:hAnsi="Times New Roman"/>
          <w:sz w:val="24"/>
          <w:szCs w:val="24"/>
        </w:rPr>
        <w:t xml:space="preserve">the first section showed </w:t>
      </w:r>
      <w:r w:rsidR="000150A6" w:rsidRPr="00476DF1">
        <w:rPr>
          <w:rFonts w:ascii="Times New Roman" w:hAnsi="Times New Roman"/>
          <w:sz w:val="24"/>
          <w:szCs w:val="24"/>
        </w:rPr>
        <w:t xml:space="preserve">what these elements are in </w:t>
      </w:r>
      <w:r w:rsidR="00A633C8" w:rsidRPr="00476DF1">
        <w:rPr>
          <w:rFonts w:ascii="Times New Roman" w:hAnsi="Times New Roman"/>
          <w:sz w:val="24"/>
          <w:szCs w:val="24"/>
        </w:rPr>
        <w:t>theor</w:t>
      </w:r>
      <w:r w:rsidR="000150A6" w:rsidRPr="00476DF1">
        <w:rPr>
          <w:rFonts w:ascii="Times New Roman" w:hAnsi="Times New Roman"/>
          <w:sz w:val="24"/>
          <w:szCs w:val="24"/>
        </w:rPr>
        <w:t>y</w:t>
      </w:r>
      <w:r w:rsidR="00A633C8" w:rsidRPr="00476DF1">
        <w:rPr>
          <w:rFonts w:ascii="Times New Roman" w:hAnsi="Times New Roman"/>
          <w:sz w:val="24"/>
          <w:szCs w:val="24"/>
        </w:rPr>
        <w:t>.</w:t>
      </w:r>
      <w:r w:rsidR="00D035B7" w:rsidRPr="00476DF1">
        <w:rPr>
          <w:rFonts w:ascii="Times New Roman" w:hAnsi="Times New Roman"/>
          <w:sz w:val="24"/>
          <w:szCs w:val="24"/>
        </w:rPr>
        <w:t xml:space="preserve"> </w:t>
      </w:r>
      <w:r w:rsidR="00546E5D" w:rsidRPr="00476DF1">
        <w:rPr>
          <w:rFonts w:ascii="Times New Roman" w:hAnsi="Times New Roman"/>
          <w:sz w:val="24"/>
          <w:szCs w:val="24"/>
        </w:rPr>
        <w:t>This study addresses a</w:t>
      </w:r>
      <w:r w:rsidR="00D035B7" w:rsidRPr="00476DF1">
        <w:rPr>
          <w:rFonts w:ascii="Times New Roman" w:hAnsi="Times New Roman"/>
          <w:sz w:val="24"/>
          <w:szCs w:val="24"/>
        </w:rPr>
        <w:t xml:space="preserve"> knowledge</w:t>
      </w:r>
      <w:r w:rsidR="00C55729" w:rsidRPr="00476DF1">
        <w:rPr>
          <w:rFonts w:ascii="Times New Roman" w:hAnsi="Times New Roman"/>
          <w:sz w:val="24"/>
          <w:szCs w:val="24"/>
        </w:rPr>
        <w:t xml:space="preserve"> </w:t>
      </w:r>
      <w:r w:rsidR="00D035B7" w:rsidRPr="00476DF1">
        <w:rPr>
          <w:rFonts w:ascii="Times New Roman" w:hAnsi="Times New Roman"/>
          <w:sz w:val="24"/>
          <w:szCs w:val="24"/>
        </w:rPr>
        <w:t xml:space="preserve">base </w:t>
      </w:r>
      <w:r w:rsidR="00546E5D" w:rsidRPr="00476DF1">
        <w:rPr>
          <w:rFonts w:ascii="Times New Roman" w:hAnsi="Times New Roman"/>
          <w:sz w:val="24"/>
          <w:szCs w:val="24"/>
        </w:rPr>
        <w:t>consisting of a technology-</w:t>
      </w:r>
      <w:r w:rsidR="00D035B7" w:rsidRPr="00476DF1">
        <w:rPr>
          <w:rFonts w:ascii="Times New Roman" w:hAnsi="Times New Roman"/>
          <w:sz w:val="24"/>
          <w:szCs w:val="24"/>
        </w:rPr>
        <w:t xml:space="preserve">related element, </w:t>
      </w:r>
      <w:r w:rsidR="00546E5D" w:rsidRPr="00476DF1">
        <w:rPr>
          <w:rFonts w:ascii="Times New Roman" w:hAnsi="Times New Roman"/>
          <w:sz w:val="24"/>
          <w:szCs w:val="24"/>
        </w:rPr>
        <w:t xml:space="preserve">namely, </w:t>
      </w:r>
      <w:r w:rsidR="00D035B7" w:rsidRPr="00476DF1">
        <w:rPr>
          <w:rFonts w:ascii="Times New Roman" w:hAnsi="Times New Roman"/>
          <w:sz w:val="24"/>
          <w:szCs w:val="24"/>
        </w:rPr>
        <w:t>the patents and its classes</w:t>
      </w:r>
      <w:r w:rsidR="00546E5D" w:rsidRPr="00476DF1">
        <w:rPr>
          <w:rFonts w:ascii="Times New Roman" w:hAnsi="Times New Roman"/>
          <w:sz w:val="24"/>
          <w:szCs w:val="24"/>
        </w:rPr>
        <w:t>, and a second element in terms of the</w:t>
      </w:r>
      <w:r w:rsidR="00D035B7" w:rsidRPr="00476DF1">
        <w:rPr>
          <w:rFonts w:ascii="Times New Roman" w:hAnsi="Times New Roman"/>
          <w:sz w:val="24"/>
          <w:szCs w:val="24"/>
        </w:rPr>
        <w:t xml:space="preserve"> skills </w:t>
      </w:r>
      <w:r w:rsidR="00A633C8" w:rsidRPr="00476DF1">
        <w:rPr>
          <w:rFonts w:ascii="Times New Roman" w:hAnsi="Times New Roman"/>
          <w:sz w:val="24"/>
          <w:szCs w:val="24"/>
        </w:rPr>
        <w:t>embedded in the enterprise</w:t>
      </w:r>
      <w:r w:rsidR="00546E5D" w:rsidRPr="00476DF1">
        <w:rPr>
          <w:rFonts w:ascii="Times New Roman" w:hAnsi="Times New Roman"/>
          <w:sz w:val="24"/>
          <w:szCs w:val="24"/>
        </w:rPr>
        <w:t>’</w:t>
      </w:r>
      <w:r w:rsidR="00A633C8" w:rsidRPr="00476DF1">
        <w:rPr>
          <w:rFonts w:ascii="Times New Roman" w:hAnsi="Times New Roman"/>
          <w:sz w:val="24"/>
          <w:szCs w:val="24"/>
        </w:rPr>
        <w:t xml:space="preserve">s scientists. </w:t>
      </w:r>
      <w:r w:rsidR="001D5EB1" w:rsidRPr="00476DF1">
        <w:rPr>
          <w:rFonts w:ascii="Times New Roman" w:hAnsi="Times New Roman"/>
          <w:sz w:val="24"/>
          <w:szCs w:val="24"/>
        </w:rPr>
        <w:t xml:space="preserve">By </w:t>
      </w:r>
      <w:r w:rsidR="00D035B7" w:rsidRPr="00476DF1">
        <w:rPr>
          <w:rFonts w:ascii="Times New Roman" w:hAnsi="Times New Roman"/>
          <w:sz w:val="24"/>
          <w:szCs w:val="24"/>
        </w:rPr>
        <w:t xml:space="preserve">considering these </w:t>
      </w:r>
      <w:r w:rsidR="001D5EB1" w:rsidRPr="00476DF1">
        <w:rPr>
          <w:rFonts w:ascii="Times New Roman" w:hAnsi="Times New Roman"/>
          <w:sz w:val="24"/>
          <w:szCs w:val="24"/>
        </w:rPr>
        <w:t>two elements</w:t>
      </w:r>
      <w:r w:rsidR="00546E5D" w:rsidRPr="00476DF1">
        <w:rPr>
          <w:rFonts w:ascii="Times New Roman" w:hAnsi="Times New Roman"/>
          <w:sz w:val="24"/>
          <w:szCs w:val="24"/>
        </w:rPr>
        <w:t>, we</w:t>
      </w:r>
      <w:r w:rsidR="001D5EB1" w:rsidRPr="00476DF1">
        <w:rPr>
          <w:rFonts w:ascii="Times New Roman" w:hAnsi="Times New Roman"/>
          <w:sz w:val="24"/>
          <w:szCs w:val="24"/>
        </w:rPr>
        <w:t xml:space="preserve"> </w:t>
      </w:r>
      <w:r w:rsidR="00D035B7" w:rsidRPr="00476DF1">
        <w:rPr>
          <w:rFonts w:ascii="Times New Roman" w:hAnsi="Times New Roman"/>
          <w:sz w:val="24"/>
          <w:szCs w:val="24"/>
        </w:rPr>
        <w:t xml:space="preserve">propose that </w:t>
      </w:r>
      <w:r w:rsidR="00546E5D" w:rsidRPr="00476DF1">
        <w:rPr>
          <w:rFonts w:ascii="Times New Roman" w:hAnsi="Times New Roman"/>
          <w:sz w:val="24"/>
          <w:szCs w:val="24"/>
        </w:rPr>
        <w:t xml:space="preserve">for </w:t>
      </w:r>
      <w:r w:rsidR="00A633C8" w:rsidRPr="00476DF1">
        <w:rPr>
          <w:rFonts w:ascii="Times New Roman" w:hAnsi="Times New Roman"/>
          <w:sz w:val="24"/>
          <w:szCs w:val="24"/>
        </w:rPr>
        <w:t xml:space="preserve">a </w:t>
      </w:r>
      <w:r w:rsidR="00546E5D" w:rsidRPr="00476DF1">
        <w:rPr>
          <w:rFonts w:ascii="Times New Roman" w:hAnsi="Times New Roman"/>
          <w:sz w:val="24"/>
          <w:szCs w:val="24"/>
        </w:rPr>
        <w:t xml:space="preserve">large enterprise acquiring a </w:t>
      </w:r>
      <w:r w:rsidR="00A633C8" w:rsidRPr="00476DF1">
        <w:rPr>
          <w:rFonts w:ascii="Times New Roman" w:hAnsi="Times New Roman"/>
          <w:sz w:val="24"/>
          <w:szCs w:val="24"/>
        </w:rPr>
        <w:t>small enterprise</w:t>
      </w:r>
      <w:r w:rsidR="00D035B7" w:rsidRPr="00476DF1">
        <w:rPr>
          <w:rFonts w:ascii="Times New Roman" w:hAnsi="Times New Roman"/>
          <w:sz w:val="24"/>
          <w:szCs w:val="24"/>
        </w:rPr>
        <w:t>, the</w:t>
      </w:r>
      <w:r w:rsidR="00A633C8" w:rsidRPr="00476DF1">
        <w:rPr>
          <w:rFonts w:ascii="Times New Roman" w:hAnsi="Times New Roman"/>
          <w:sz w:val="24"/>
          <w:szCs w:val="24"/>
        </w:rPr>
        <w:t xml:space="preserve">se two elements </w:t>
      </w:r>
      <w:r w:rsidR="00D035B7" w:rsidRPr="00476DF1">
        <w:rPr>
          <w:rFonts w:ascii="Times New Roman" w:hAnsi="Times New Roman"/>
          <w:sz w:val="24"/>
          <w:szCs w:val="24"/>
        </w:rPr>
        <w:t xml:space="preserve">are the main </w:t>
      </w:r>
      <w:r w:rsidR="00B55D0F" w:rsidRPr="00476DF1">
        <w:rPr>
          <w:rFonts w:ascii="Times New Roman" w:hAnsi="Times New Roman"/>
          <w:sz w:val="24"/>
          <w:szCs w:val="24"/>
        </w:rPr>
        <w:t xml:space="preserve">external </w:t>
      </w:r>
      <w:r w:rsidR="00D035B7" w:rsidRPr="00476DF1">
        <w:rPr>
          <w:rFonts w:ascii="Times New Roman" w:hAnsi="Times New Roman"/>
          <w:sz w:val="24"/>
          <w:szCs w:val="24"/>
        </w:rPr>
        <w:t>source</w:t>
      </w:r>
      <w:r w:rsidR="00B55D0F" w:rsidRPr="00476DF1">
        <w:rPr>
          <w:rFonts w:ascii="Times New Roman" w:hAnsi="Times New Roman"/>
          <w:sz w:val="24"/>
          <w:szCs w:val="24"/>
        </w:rPr>
        <w:t>s</w:t>
      </w:r>
      <w:r w:rsidR="001D4E1F" w:rsidRPr="00476DF1">
        <w:rPr>
          <w:rFonts w:ascii="Times New Roman" w:hAnsi="Times New Roman"/>
          <w:sz w:val="24"/>
          <w:szCs w:val="24"/>
        </w:rPr>
        <w:t xml:space="preserve"> </w:t>
      </w:r>
      <w:r w:rsidR="00546E5D" w:rsidRPr="00476DF1">
        <w:rPr>
          <w:rFonts w:ascii="Times New Roman" w:hAnsi="Times New Roman"/>
          <w:sz w:val="24"/>
          <w:szCs w:val="24"/>
        </w:rPr>
        <w:t>that can</w:t>
      </w:r>
      <w:r w:rsidR="00A633C8" w:rsidRPr="00476DF1">
        <w:rPr>
          <w:rFonts w:ascii="Times New Roman" w:hAnsi="Times New Roman"/>
          <w:sz w:val="24"/>
          <w:szCs w:val="24"/>
        </w:rPr>
        <w:t xml:space="preserve"> </w:t>
      </w:r>
      <w:r w:rsidR="00D035B7" w:rsidRPr="00476DF1">
        <w:rPr>
          <w:rFonts w:ascii="Times New Roman" w:hAnsi="Times New Roman"/>
          <w:sz w:val="24"/>
          <w:szCs w:val="24"/>
        </w:rPr>
        <w:t xml:space="preserve">improve </w:t>
      </w:r>
      <w:r w:rsidR="00A633C8" w:rsidRPr="00476DF1">
        <w:rPr>
          <w:rFonts w:ascii="Times New Roman" w:hAnsi="Times New Roman"/>
          <w:sz w:val="24"/>
          <w:szCs w:val="24"/>
        </w:rPr>
        <w:t xml:space="preserve">Big-Phama’s </w:t>
      </w:r>
      <w:r w:rsidR="00D035B7" w:rsidRPr="00476DF1">
        <w:rPr>
          <w:rFonts w:ascii="Times New Roman" w:hAnsi="Times New Roman"/>
          <w:sz w:val="24"/>
          <w:szCs w:val="24"/>
        </w:rPr>
        <w:t>competences</w:t>
      </w:r>
      <w:r w:rsidR="00A633C8" w:rsidRPr="00476DF1">
        <w:rPr>
          <w:rFonts w:ascii="Times New Roman" w:hAnsi="Times New Roman"/>
          <w:sz w:val="24"/>
          <w:szCs w:val="24"/>
        </w:rPr>
        <w:t>.</w:t>
      </w:r>
      <w:r w:rsidR="00D035B7" w:rsidRPr="00476DF1">
        <w:rPr>
          <w:rFonts w:ascii="Times New Roman" w:hAnsi="Times New Roman"/>
          <w:sz w:val="24"/>
          <w:szCs w:val="24"/>
        </w:rPr>
        <w:t xml:space="preserve"> </w:t>
      </w:r>
    </w:p>
    <w:p w14:paraId="6E54FED5" w14:textId="49697796" w:rsidR="002533B0" w:rsidRPr="00476DF1" w:rsidRDefault="002E73D1" w:rsidP="00CE4BBE">
      <w:pPr>
        <w:pStyle w:val="Ttulo3"/>
        <w:numPr>
          <w:ilvl w:val="0"/>
          <w:numId w:val="0"/>
        </w:numPr>
        <w:spacing w:line="240" w:lineRule="auto"/>
      </w:pPr>
      <w:bookmarkStart w:id="9" w:name="_Toc465849076"/>
      <w:r w:rsidRPr="00476DF1">
        <w:t>2.2.1</w:t>
      </w:r>
      <w:r w:rsidRPr="00476DF1">
        <w:tab/>
      </w:r>
      <w:r w:rsidR="00DA1FB3" w:rsidRPr="00476DF1">
        <w:t xml:space="preserve">Technical contribution </w:t>
      </w:r>
      <w:bookmarkEnd w:id="9"/>
      <w:r w:rsidR="00726537" w:rsidRPr="00476DF1">
        <w:t xml:space="preserve">analysis </w:t>
      </w:r>
    </w:p>
    <w:p w14:paraId="07CBB08D" w14:textId="6354DC0C" w:rsidR="00C02C3C" w:rsidRPr="00476DF1" w:rsidRDefault="00546E5D"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To</w:t>
      </w:r>
      <w:r w:rsidR="00F91C68" w:rsidRPr="00476DF1">
        <w:rPr>
          <w:rFonts w:ascii="Times New Roman" w:hAnsi="Times New Roman"/>
          <w:sz w:val="24"/>
          <w:szCs w:val="24"/>
        </w:rPr>
        <w:t xml:space="preserve"> understand how this </w:t>
      </w:r>
      <w:r w:rsidRPr="00476DF1">
        <w:rPr>
          <w:rFonts w:ascii="Times New Roman" w:hAnsi="Times New Roman"/>
          <w:sz w:val="24"/>
          <w:szCs w:val="24"/>
        </w:rPr>
        <w:t>study</w:t>
      </w:r>
      <w:r w:rsidR="00F91C68" w:rsidRPr="00476DF1">
        <w:rPr>
          <w:rFonts w:ascii="Times New Roman" w:hAnsi="Times New Roman"/>
          <w:sz w:val="24"/>
          <w:szCs w:val="24"/>
        </w:rPr>
        <w:t xml:space="preserve"> traces and consider</w:t>
      </w:r>
      <w:r w:rsidRPr="00476DF1">
        <w:rPr>
          <w:rFonts w:ascii="Times New Roman" w:hAnsi="Times New Roman"/>
          <w:sz w:val="24"/>
          <w:szCs w:val="24"/>
        </w:rPr>
        <w:t>s</w:t>
      </w:r>
      <w:r w:rsidR="00F91C68" w:rsidRPr="00476DF1">
        <w:rPr>
          <w:rFonts w:ascii="Times New Roman" w:hAnsi="Times New Roman"/>
          <w:sz w:val="24"/>
          <w:szCs w:val="24"/>
        </w:rPr>
        <w:t xml:space="preserve"> the technical contribution</w:t>
      </w:r>
      <w:r w:rsidRPr="00476DF1">
        <w:rPr>
          <w:rFonts w:ascii="Times New Roman" w:hAnsi="Times New Roman"/>
          <w:sz w:val="24"/>
          <w:szCs w:val="24"/>
        </w:rPr>
        <w:t>,</w:t>
      </w:r>
      <w:r w:rsidR="00F91C68" w:rsidRPr="00476DF1">
        <w:rPr>
          <w:rFonts w:ascii="Times New Roman" w:hAnsi="Times New Roman"/>
          <w:sz w:val="24"/>
          <w:szCs w:val="24"/>
        </w:rPr>
        <w:t xml:space="preserve"> it is necessary to raise four important points.</w:t>
      </w:r>
      <w:r w:rsidR="00D61572" w:rsidRPr="00476DF1">
        <w:rPr>
          <w:rFonts w:ascii="Times New Roman" w:hAnsi="Times New Roman"/>
          <w:sz w:val="24"/>
          <w:szCs w:val="24"/>
        </w:rPr>
        <w:t xml:space="preserve"> </w:t>
      </w:r>
      <w:r w:rsidR="00C02C3C" w:rsidRPr="00476DF1">
        <w:rPr>
          <w:rFonts w:ascii="Times New Roman" w:hAnsi="Times New Roman"/>
          <w:sz w:val="24"/>
          <w:szCs w:val="24"/>
        </w:rPr>
        <w:t>First,</w:t>
      </w:r>
      <w:r w:rsidRPr="00476DF1">
        <w:rPr>
          <w:rFonts w:ascii="Times New Roman" w:hAnsi="Times New Roman"/>
          <w:sz w:val="24"/>
          <w:szCs w:val="24"/>
        </w:rPr>
        <w:t xml:space="preserve"> we chose the</w:t>
      </w:r>
      <w:r w:rsidR="00C02C3C" w:rsidRPr="00476DF1">
        <w:rPr>
          <w:rFonts w:ascii="Times New Roman" w:hAnsi="Times New Roman"/>
          <w:sz w:val="24"/>
          <w:szCs w:val="24"/>
        </w:rPr>
        <w:t xml:space="preserve"> acquisition of small enterprises by large </w:t>
      </w:r>
      <w:r w:rsidRPr="00476DF1">
        <w:rPr>
          <w:rFonts w:ascii="Times New Roman" w:hAnsi="Times New Roman"/>
          <w:sz w:val="24"/>
          <w:szCs w:val="24"/>
        </w:rPr>
        <w:t xml:space="preserve">enterprises </w:t>
      </w:r>
      <w:r w:rsidR="00C02C3C" w:rsidRPr="00476DF1">
        <w:rPr>
          <w:rFonts w:ascii="Times New Roman" w:hAnsi="Times New Roman"/>
          <w:sz w:val="24"/>
          <w:szCs w:val="24"/>
        </w:rPr>
        <w:t xml:space="preserve">as </w:t>
      </w:r>
      <w:r w:rsidRPr="00476DF1">
        <w:rPr>
          <w:rFonts w:ascii="Times New Roman" w:hAnsi="Times New Roman"/>
          <w:sz w:val="24"/>
          <w:szCs w:val="24"/>
        </w:rPr>
        <w:t xml:space="preserve">a </w:t>
      </w:r>
      <w:r w:rsidR="00C02C3C" w:rsidRPr="00476DF1">
        <w:rPr>
          <w:rFonts w:ascii="Times New Roman" w:hAnsi="Times New Roman"/>
          <w:sz w:val="24"/>
          <w:szCs w:val="24"/>
        </w:rPr>
        <w:t xml:space="preserve">specific phenomenon </w:t>
      </w:r>
      <w:r w:rsidRPr="00476DF1">
        <w:rPr>
          <w:rFonts w:ascii="Times New Roman" w:hAnsi="Times New Roman"/>
          <w:sz w:val="24"/>
          <w:szCs w:val="24"/>
        </w:rPr>
        <w:t>for analysis</w:t>
      </w:r>
      <w:r w:rsidR="00C02C3C" w:rsidRPr="00476DF1">
        <w:rPr>
          <w:rFonts w:ascii="Times New Roman" w:hAnsi="Times New Roman"/>
          <w:sz w:val="24"/>
          <w:szCs w:val="24"/>
        </w:rPr>
        <w:t xml:space="preserve">. </w:t>
      </w:r>
      <w:r w:rsidRPr="00476DF1">
        <w:rPr>
          <w:rFonts w:ascii="Times New Roman" w:hAnsi="Times New Roman"/>
          <w:sz w:val="24"/>
          <w:szCs w:val="24"/>
        </w:rPr>
        <w:t xml:space="preserve">Within </w:t>
      </w:r>
      <w:r w:rsidR="00C02C3C" w:rsidRPr="00476DF1">
        <w:rPr>
          <w:rFonts w:ascii="Times New Roman" w:hAnsi="Times New Roman"/>
          <w:sz w:val="24"/>
          <w:szCs w:val="24"/>
        </w:rPr>
        <w:t>this phenomenon</w:t>
      </w:r>
      <w:r w:rsidR="00D61572" w:rsidRPr="00476DF1">
        <w:rPr>
          <w:rFonts w:ascii="Times New Roman" w:hAnsi="Times New Roman"/>
          <w:sz w:val="24"/>
          <w:szCs w:val="24"/>
        </w:rPr>
        <w:t>,</w:t>
      </w:r>
      <w:r w:rsidR="00C02C3C" w:rsidRPr="00476DF1">
        <w:rPr>
          <w:rFonts w:ascii="Times New Roman" w:hAnsi="Times New Roman"/>
          <w:sz w:val="24"/>
          <w:szCs w:val="24"/>
        </w:rPr>
        <w:t xml:space="preserve"> </w:t>
      </w:r>
      <w:r w:rsidRPr="00476DF1">
        <w:rPr>
          <w:rFonts w:ascii="Times New Roman" w:hAnsi="Times New Roman"/>
          <w:sz w:val="24"/>
          <w:szCs w:val="24"/>
        </w:rPr>
        <w:t>we</w:t>
      </w:r>
      <w:r w:rsidR="00C02C3C" w:rsidRPr="00476DF1">
        <w:rPr>
          <w:rFonts w:ascii="Times New Roman" w:hAnsi="Times New Roman"/>
          <w:sz w:val="24"/>
          <w:szCs w:val="24"/>
        </w:rPr>
        <w:t xml:space="preserve"> deal with the incorporation of biotechnologies </w:t>
      </w:r>
      <w:r w:rsidR="00D61572" w:rsidRPr="00476DF1">
        <w:rPr>
          <w:rFonts w:ascii="Times New Roman" w:hAnsi="Times New Roman"/>
          <w:sz w:val="24"/>
          <w:szCs w:val="24"/>
        </w:rPr>
        <w:t>by</w:t>
      </w:r>
      <w:r w:rsidR="00C02C3C" w:rsidRPr="00476DF1">
        <w:rPr>
          <w:rFonts w:ascii="Times New Roman" w:hAnsi="Times New Roman"/>
          <w:sz w:val="24"/>
          <w:szCs w:val="24"/>
        </w:rPr>
        <w:t xml:space="preserve"> </w:t>
      </w:r>
      <w:r w:rsidR="00726537" w:rsidRPr="00476DF1">
        <w:rPr>
          <w:rFonts w:ascii="Times New Roman" w:hAnsi="Times New Roman"/>
          <w:sz w:val="24"/>
          <w:szCs w:val="24"/>
        </w:rPr>
        <w:t>Big Pharma</w:t>
      </w:r>
      <w:r w:rsidR="00C02C3C" w:rsidRPr="00476DF1">
        <w:rPr>
          <w:rFonts w:ascii="Times New Roman" w:hAnsi="Times New Roman"/>
          <w:sz w:val="24"/>
          <w:szCs w:val="24"/>
        </w:rPr>
        <w:t xml:space="preserve"> </w:t>
      </w:r>
      <w:r w:rsidRPr="00476DF1">
        <w:rPr>
          <w:rFonts w:ascii="Times New Roman" w:hAnsi="Times New Roman"/>
          <w:sz w:val="24"/>
          <w:szCs w:val="24"/>
        </w:rPr>
        <w:t>to</w:t>
      </w:r>
      <w:r w:rsidR="00C02C3C" w:rsidRPr="00476DF1">
        <w:rPr>
          <w:rFonts w:ascii="Times New Roman" w:hAnsi="Times New Roman"/>
          <w:sz w:val="24"/>
          <w:szCs w:val="24"/>
        </w:rPr>
        <w:t xml:space="preserve"> </w:t>
      </w:r>
      <w:r w:rsidRPr="00476DF1">
        <w:rPr>
          <w:rFonts w:ascii="Times New Roman" w:hAnsi="Times New Roman"/>
          <w:sz w:val="24"/>
          <w:szCs w:val="24"/>
        </w:rPr>
        <w:t xml:space="preserve">overcome </w:t>
      </w:r>
      <w:r w:rsidR="00C02C3C" w:rsidRPr="00476DF1">
        <w:rPr>
          <w:rFonts w:ascii="Times New Roman" w:hAnsi="Times New Roman"/>
          <w:sz w:val="24"/>
          <w:szCs w:val="24"/>
        </w:rPr>
        <w:t xml:space="preserve">the productivity crises. </w:t>
      </w:r>
      <w:r w:rsidRPr="00476DF1">
        <w:rPr>
          <w:rFonts w:ascii="Times New Roman" w:hAnsi="Times New Roman"/>
          <w:sz w:val="24"/>
          <w:szCs w:val="24"/>
        </w:rPr>
        <w:t>We focus on</w:t>
      </w:r>
      <w:r w:rsidR="00C02C3C" w:rsidRPr="00476DF1">
        <w:rPr>
          <w:rFonts w:ascii="Times New Roman" w:hAnsi="Times New Roman"/>
          <w:sz w:val="24"/>
          <w:szCs w:val="24"/>
        </w:rPr>
        <w:t xml:space="preserve"> </w:t>
      </w:r>
      <w:r w:rsidR="00FF2E1E" w:rsidRPr="00476DF1">
        <w:rPr>
          <w:rFonts w:ascii="Times New Roman" w:hAnsi="Times New Roman"/>
          <w:sz w:val="24"/>
          <w:szCs w:val="24"/>
        </w:rPr>
        <w:t>biotechnologies</w:t>
      </w:r>
      <w:r w:rsidRPr="00476DF1">
        <w:rPr>
          <w:rFonts w:ascii="Times New Roman" w:hAnsi="Times New Roman"/>
          <w:sz w:val="24"/>
          <w:szCs w:val="24"/>
        </w:rPr>
        <w:t xml:space="preserve"> in this study by following the</w:t>
      </w:r>
      <w:r w:rsidR="00C02C3C" w:rsidRPr="00476DF1">
        <w:rPr>
          <w:rFonts w:ascii="Times New Roman" w:hAnsi="Times New Roman"/>
          <w:sz w:val="24"/>
          <w:szCs w:val="24"/>
        </w:rPr>
        <w:t xml:space="preserve"> technological </w:t>
      </w:r>
      <w:r w:rsidR="00FF2E1E" w:rsidRPr="00476DF1">
        <w:rPr>
          <w:rFonts w:ascii="Times New Roman" w:hAnsi="Times New Roman"/>
          <w:sz w:val="24"/>
          <w:szCs w:val="24"/>
        </w:rPr>
        <w:t xml:space="preserve">categories classification </w:t>
      </w:r>
      <w:r w:rsidRPr="00476DF1">
        <w:rPr>
          <w:rFonts w:ascii="Times New Roman" w:hAnsi="Times New Roman"/>
          <w:sz w:val="24"/>
          <w:szCs w:val="24"/>
        </w:rPr>
        <w:t xml:space="preserve">in </w:t>
      </w:r>
      <w:r w:rsidR="00C02C3C" w:rsidRPr="00476DF1">
        <w:rPr>
          <w:rFonts w:ascii="Times New Roman" w:hAnsi="Times New Roman"/>
          <w:sz w:val="24"/>
          <w:szCs w:val="24"/>
        </w:rPr>
        <w:t xml:space="preserve">by </w:t>
      </w:r>
      <w:r w:rsidR="00FF7572" w:rsidRPr="00476DF1">
        <w:rPr>
          <w:rFonts w:ascii="Times New Roman" w:hAnsi="Times New Roman"/>
          <w:sz w:val="24"/>
          <w:szCs w:val="24"/>
        </w:rPr>
        <w:fldChar w:fldCharType="begin" w:fldLock="1"/>
      </w:r>
      <w:r w:rsidR="00FF7572" w:rsidRPr="00476DF1">
        <w:rPr>
          <w:rFonts w:ascii="Times New Roman" w:hAnsi="Times New Roman"/>
          <w:sz w:val="24"/>
          <w:szCs w:val="24"/>
        </w:rPr>
        <w:instrText>ADDIN CSL_CITATION { "citationItems" : [ { "id" : "ITEM-1", "itemData" : { "author" : [ { "dropping-particle" : "", "family" : "Hall", "given" : "Bronwyn H", "non-dropping-particle" : "", "parse-names" : false, "suffix" : "" }, { "dropping-particle" : "", "family" : "Jaffe", "given" : "Adam B", "non-dropping-particle" : "", "parse-names" : false, "suffix" : "" }, { "dropping-particle" : "", "family" : "Trajtenberg", "given" : "M", "non-dropping-particle" : "", "parse-names" : false, "suffix" : "" } ], "collection-title" : "Working paper 8498", "id" : "ITEM-1", "issued" : { "date-parts" : [ [ "2001" ] ] }, "title" : "THE NBER PATENT CITATIONS DATA FILE: LESSONS, INSIGHTS AND METHODOLOGICAL TOOLSNo Title", "type" : "report" }, "uris" : [ "http://www.mendeley.com/documents/?uuid=2ef7525d-489e-468b-94d4-579ae84b6ac9" ] } ], "mendeley" : { "formattedCitation" : "(HALL; JAFFE; TRAJTENBERG, 2001)", "manualFormatting" : "HALL; JAFFE; TRAJTENBERG (2001", "plainTextFormattedCitation" : "(HALL; JAFFE; TRAJTENBERG, 2001)", "previouslyFormattedCitation" : "(HALL; JAFFE; TRAJTENBERG, 2001)" }, "properties" : {  }, "schema" : "https://github.com/citation-style-language/schema/raw/master/csl-citation.json" }</w:instrText>
      </w:r>
      <w:r w:rsidR="00FF7572" w:rsidRPr="00476DF1">
        <w:rPr>
          <w:rFonts w:ascii="Times New Roman" w:hAnsi="Times New Roman"/>
          <w:sz w:val="24"/>
          <w:szCs w:val="24"/>
        </w:rPr>
        <w:fldChar w:fldCharType="separate"/>
      </w:r>
      <w:r w:rsidR="00FF7572" w:rsidRPr="00476DF1">
        <w:rPr>
          <w:rFonts w:ascii="Times New Roman" w:hAnsi="Times New Roman"/>
          <w:noProof/>
          <w:sz w:val="24"/>
          <w:szCs w:val="24"/>
        </w:rPr>
        <w:t>HALL; JAFFE; TRAJTENBERG (2001</w:t>
      </w:r>
      <w:r w:rsidR="00FF7572" w:rsidRPr="00476DF1">
        <w:rPr>
          <w:rFonts w:ascii="Times New Roman" w:hAnsi="Times New Roman"/>
          <w:sz w:val="24"/>
          <w:szCs w:val="24"/>
        </w:rPr>
        <w:fldChar w:fldCharType="end"/>
      </w:r>
      <w:r w:rsidR="00FF7572" w:rsidRPr="00476DF1">
        <w:rPr>
          <w:rFonts w:ascii="Times New Roman" w:hAnsi="Times New Roman"/>
          <w:sz w:val="24"/>
          <w:szCs w:val="24"/>
        </w:rPr>
        <w:t>)</w:t>
      </w:r>
      <w:r w:rsidRPr="00476DF1">
        <w:rPr>
          <w:rFonts w:ascii="Times New Roman" w:hAnsi="Times New Roman"/>
          <w:sz w:val="24"/>
          <w:szCs w:val="24"/>
        </w:rPr>
        <w:t xml:space="preserve">, which </w:t>
      </w:r>
      <w:r w:rsidR="001A3B49" w:rsidRPr="00476DF1">
        <w:rPr>
          <w:rFonts w:ascii="Times New Roman" w:hAnsi="Times New Roman"/>
          <w:sz w:val="24"/>
          <w:szCs w:val="24"/>
        </w:rPr>
        <w:t xml:space="preserve">includes </w:t>
      </w:r>
      <w:r w:rsidR="00CE766E" w:rsidRPr="00476DF1">
        <w:rPr>
          <w:rFonts w:ascii="Times New Roman" w:hAnsi="Times New Roman"/>
          <w:sz w:val="24"/>
          <w:szCs w:val="24"/>
        </w:rPr>
        <w:t xml:space="preserve">the classes </w:t>
      </w:r>
      <w:r w:rsidR="00C02C3C" w:rsidRPr="00476DF1">
        <w:rPr>
          <w:rFonts w:ascii="Times New Roman" w:hAnsi="Times New Roman"/>
          <w:sz w:val="24"/>
          <w:szCs w:val="24"/>
        </w:rPr>
        <w:t>435 and 800</w:t>
      </w:r>
      <w:r w:rsidR="00CE766E" w:rsidRPr="00476DF1">
        <w:rPr>
          <w:rFonts w:ascii="Times New Roman" w:hAnsi="Times New Roman"/>
          <w:sz w:val="24"/>
          <w:szCs w:val="24"/>
        </w:rPr>
        <w:t xml:space="preserve"> of </w:t>
      </w:r>
      <w:r w:rsidR="001A3B49" w:rsidRPr="00476DF1">
        <w:rPr>
          <w:rFonts w:ascii="Times New Roman" w:hAnsi="Times New Roman"/>
          <w:sz w:val="24"/>
          <w:szCs w:val="24"/>
        </w:rPr>
        <w:t xml:space="preserve">the </w:t>
      </w:r>
      <w:r w:rsidR="00CE766E" w:rsidRPr="00476DF1">
        <w:rPr>
          <w:rFonts w:ascii="Times New Roman" w:hAnsi="Times New Roman"/>
          <w:sz w:val="24"/>
          <w:szCs w:val="24"/>
        </w:rPr>
        <w:t>USPTO</w:t>
      </w:r>
      <w:r w:rsidR="00FF2E1E" w:rsidRPr="00476DF1">
        <w:rPr>
          <w:rFonts w:ascii="Times New Roman" w:hAnsi="Times New Roman"/>
          <w:sz w:val="24"/>
          <w:szCs w:val="24"/>
        </w:rPr>
        <w:t>.</w:t>
      </w:r>
      <w:r w:rsidR="00C02C3C" w:rsidRPr="00476DF1">
        <w:rPr>
          <w:rFonts w:ascii="Times New Roman" w:hAnsi="Times New Roman"/>
          <w:sz w:val="24"/>
          <w:szCs w:val="24"/>
        </w:rPr>
        <w:t xml:space="preserve"> </w:t>
      </w:r>
    </w:p>
    <w:p w14:paraId="2C40CDC4" w14:textId="476A8CCB" w:rsidR="00FB4D24" w:rsidRPr="00476DF1" w:rsidRDefault="00C02C3C"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Second,</w:t>
      </w:r>
      <w:r w:rsidR="00E44B66" w:rsidRPr="00476DF1">
        <w:rPr>
          <w:rFonts w:ascii="Times New Roman" w:hAnsi="Times New Roman"/>
          <w:sz w:val="24"/>
          <w:szCs w:val="24"/>
        </w:rPr>
        <w:t xml:space="preserve"> patents have two important properties: (i) they can</w:t>
      </w:r>
      <w:r w:rsidR="0018295B" w:rsidRPr="00476DF1">
        <w:rPr>
          <w:rFonts w:ascii="Times New Roman" w:hAnsi="Times New Roman"/>
          <w:sz w:val="24"/>
          <w:szCs w:val="24"/>
        </w:rPr>
        <w:t xml:space="preserve"> be</w:t>
      </w:r>
      <w:r w:rsidR="00E44B66" w:rsidRPr="00476DF1">
        <w:rPr>
          <w:rFonts w:ascii="Times New Roman" w:hAnsi="Times New Roman"/>
          <w:sz w:val="24"/>
          <w:szCs w:val="24"/>
        </w:rPr>
        <w:t xml:space="preserve"> used to generate new patents </w:t>
      </w:r>
      <w:r w:rsidR="00FF7572" w:rsidRPr="00476DF1">
        <w:rPr>
          <w:rFonts w:ascii="Times New Roman" w:hAnsi="Times New Roman"/>
          <w:sz w:val="24"/>
          <w:szCs w:val="24"/>
        </w:rPr>
        <w:fldChar w:fldCharType="begin" w:fldLock="1"/>
      </w:r>
      <w:r w:rsidR="00FF7572" w:rsidRPr="00476DF1">
        <w:rPr>
          <w:rFonts w:ascii="Times New Roman" w:hAnsi="Times New Roman"/>
          <w:sz w:val="24"/>
          <w:szCs w:val="24"/>
        </w:rPr>
        <w:instrText>ADDIN CSL_CITATION { "citationItems" : [ { "id" : "ITEM-1", "itemData" : { "author" : [ { "dropping-particle" : "", "family" : "Hall", "given" : "Bronwyn H", "non-dropping-particle" : "", "parse-names" : false, "suffix" : "" }, { "dropping-particle" : "", "family" : "Jaffe", "given" : "Adam B", "non-dropping-particle" : "", "parse-names" : false, "suffix" : "" }, { "dropping-particle" : "", "family" : "Trajtenberg", "given" : "M", "non-dropping-particle" : "", "parse-names" : false, "suffix" : "" } ], "collection-title" : "Working paper 8498", "id" : "ITEM-1", "issued" : { "date-parts" : [ [ "2001" ] ] }, "title" : "THE NBER PATENT CITATIONS DATA FILE: LESSONS, INSIGHTS AND METHODOLOGICAL TOOLSNo Title", "type" : "report" }, "uris" : [ "http://www.mendeley.com/documents/?uuid=2ef7525d-489e-468b-94d4-579ae84b6ac9" ] }, { "id" : "ITEM-2", "itemData" : { "DOI" : "10.1080/10438599700000006", "ISBN" : "1043859970000", "ISSN" : "1043-8599", "PMID" : "9711022109", "abstract" : "This paper is an attempt to quantify key aspects of innovations, \u2018basicness\u2019 and appropriability, and explore the linkages between them. We rely on detailed patent data. particularly on patent citations, thus awarding the proposed measures a very wide coverage. Relying on the prior that universities perform more basic research than corporations, we find that forward-looking measures of \u2018importance\u2019 and \u2018generality\u2019 capture aspects of the basicness of innovations. Similarly, measures of the degree of reliance on scientific sources. and of the closeness to the origins of innovational paths, appear to reflect the basicness of research. As measures of appropriability we use the fraction of citations coming from patents awarded to the sarne inventor, and in fact these measures are much higher for corporations than fbr universities. An examination of a small number of patents that are universally recognized as \u2018basic\u2019 provides further support for these measures. We find also evidence of the existence of \u2018technologl trajectories\u2019.", "author" : [ { "dropping-particle" : "", "family" : "Trajtenberg", "given" : "Manuel", "non-dropping-particle" : "", "parse-names" : false, "suffix" : "" }, { "dropping-particle" : "", "family" : "Henderson", "given" : "Rebecca", "non-dropping-particle" : "", "parse-names" : false, "suffix" : "" }, { "dropping-particle" : "", "family" : "Jaffe", "given" : "Adam", "non-dropping-particle" : "", "parse-names" : false, "suffix" : "" } ], "container-title" : "Economics of Innovation and New Technology", "id" : "ITEM-2", "issue" : "1", "issued" : { "date-parts" : [ [ "1997" ] ] }, "page" : "19-50", "title" : "University Versus Corporate Patents: A Window On The Basicness Of Invention", "type" : "article-journal", "volume" : "5" }, "uris" : [ "http://www.mendeley.com/documents/?uuid=1aa2a0fb-8df9-4955-879a-a0fdefa27394" ] } ], "mendeley" : { "formattedCitation" : "(HALL; JAFFE; TRAJTENBERG, 2001; TRAJTENBERG; HENDERSON; JAFFE, 1997)", "plainTextFormattedCitation" : "(HALL; JAFFE; TRAJTENBERG, 2001; TRAJTENBERG; HENDERSON; JAFFE, 1997)", "previouslyFormattedCitation" : "(HALL; JAFFE; TRAJTENBERG, 2001; TRAJTENBERG; HENDERSON; JAFFE, 1997)" }, "properties" : {  }, "schema" : "https://github.com/citation-style-language/schema/raw/master/csl-citation.json" }</w:instrText>
      </w:r>
      <w:r w:rsidR="00FF7572" w:rsidRPr="00476DF1">
        <w:rPr>
          <w:rFonts w:ascii="Times New Roman" w:hAnsi="Times New Roman"/>
          <w:sz w:val="24"/>
          <w:szCs w:val="24"/>
        </w:rPr>
        <w:fldChar w:fldCharType="separate"/>
      </w:r>
      <w:r w:rsidR="00FF7572" w:rsidRPr="00476DF1">
        <w:rPr>
          <w:rFonts w:ascii="Times New Roman" w:hAnsi="Times New Roman"/>
          <w:noProof/>
          <w:sz w:val="24"/>
          <w:szCs w:val="24"/>
        </w:rPr>
        <w:t>(HALL; JAFFE; TRAJTENBERG, 2001; TRAJTENBERG; HENDERSON; JAFFE, 1997)</w:t>
      </w:r>
      <w:r w:rsidR="00FF7572" w:rsidRPr="00476DF1">
        <w:rPr>
          <w:rFonts w:ascii="Times New Roman" w:hAnsi="Times New Roman"/>
          <w:sz w:val="24"/>
          <w:szCs w:val="24"/>
        </w:rPr>
        <w:fldChar w:fldCharType="end"/>
      </w:r>
      <w:r w:rsidR="002B1DA7" w:rsidRPr="00476DF1">
        <w:rPr>
          <w:rFonts w:ascii="Times New Roman" w:hAnsi="Times New Roman"/>
          <w:sz w:val="24"/>
          <w:szCs w:val="24"/>
        </w:rPr>
        <w:t xml:space="preserve"> and</w:t>
      </w:r>
      <w:r w:rsidR="00E44B66" w:rsidRPr="00476DF1">
        <w:rPr>
          <w:rFonts w:ascii="Times New Roman" w:hAnsi="Times New Roman"/>
          <w:sz w:val="24"/>
          <w:szCs w:val="24"/>
        </w:rPr>
        <w:t xml:space="preserve"> (ii) the patent class</w:t>
      </w:r>
      <w:r w:rsidR="00FF2E1E" w:rsidRPr="00476DF1">
        <w:rPr>
          <w:rFonts w:ascii="Times New Roman" w:hAnsi="Times New Roman"/>
          <w:sz w:val="24"/>
          <w:szCs w:val="24"/>
        </w:rPr>
        <w:t>es</w:t>
      </w:r>
      <w:r w:rsidR="00E44B66" w:rsidRPr="00476DF1">
        <w:rPr>
          <w:rFonts w:ascii="Times New Roman" w:hAnsi="Times New Roman"/>
          <w:sz w:val="24"/>
          <w:szCs w:val="24"/>
        </w:rPr>
        <w:t xml:space="preserve"> convey the capabilities necessary </w:t>
      </w:r>
      <w:r w:rsidR="001A3B49" w:rsidRPr="00476DF1">
        <w:rPr>
          <w:rFonts w:ascii="Times New Roman" w:hAnsi="Times New Roman"/>
          <w:sz w:val="24"/>
          <w:szCs w:val="24"/>
        </w:rPr>
        <w:t>to produce</w:t>
      </w:r>
      <w:r w:rsidR="00F91C68" w:rsidRPr="00476DF1">
        <w:rPr>
          <w:rFonts w:ascii="Times New Roman" w:hAnsi="Times New Roman"/>
          <w:sz w:val="24"/>
          <w:szCs w:val="24"/>
        </w:rPr>
        <w:t xml:space="preserve"> </w:t>
      </w:r>
      <w:r w:rsidR="00E44B66" w:rsidRPr="00476DF1">
        <w:rPr>
          <w:rFonts w:ascii="Times New Roman" w:hAnsi="Times New Roman"/>
          <w:sz w:val="24"/>
          <w:szCs w:val="24"/>
        </w:rPr>
        <w:t>patents</w:t>
      </w:r>
      <w:r w:rsidR="00FF7572" w:rsidRPr="00476DF1">
        <w:rPr>
          <w:rFonts w:ascii="Times New Roman" w:hAnsi="Times New Roman"/>
          <w:sz w:val="24"/>
          <w:szCs w:val="24"/>
        </w:rPr>
        <w:t xml:space="preserve"> with certain characteristics</w:t>
      </w:r>
      <w:r w:rsidR="00FB4D24" w:rsidRPr="00476DF1">
        <w:rPr>
          <w:rFonts w:ascii="Times New Roman" w:hAnsi="Times New Roman"/>
          <w:sz w:val="24"/>
          <w:szCs w:val="24"/>
        </w:rPr>
        <w:t xml:space="preserve"> </w:t>
      </w:r>
      <w:r w:rsidR="00FF2E1E" w:rsidRPr="00476DF1">
        <w:rPr>
          <w:rFonts w:ascii="Times New Roman" w:hAnsi="Times New Roman"/>
          <w:sz w:val="24"/>
          <w:szCs w:val="24"/>
        </w:rPr>
        <w:t>(</w:t>
      </w:r>
      <w:r w:rsidR="00FB4D24" w:rsidRPr="00476DF1">
        <w:rPr>
          <w:rFonts w:ascii="Times New Roman" w:hAnsi="Times New Roman"/>
          <w:sz w:val="24"/>
          <w:szCs w:val="24"/>
        </w:rPr>
        <w:t>S</w:t>
      </w:r>
      <w:r w:rsidR="00FF2E1E" w:rsidRPr="00476DF1">
        <w:rPr>
          <w:rFonts w:ascii="Times New Roman" w:hAnsi="Times New Roman"/>
          <w:sz w:val="24"/>
          <w:szCs w:val="24"/>
        </w:rPr>
        <w:t>TRUMSY</w:t>
      </w:r>
      <w:r w:rsidR="006119A0" w:rsidRPr="00476DF1">
        <w:rPr>
          <w:rFonts w:ascii="Times New Roman" w:hAnsi="Times New Roman"/>
          <w:sz w:val="24"/>
          <w:szCs w:val="24"/>
        </w:rPr>
        <w:t>;</w:t>
      </w:r>
      <w:r w:rsidR="00FF2E1E" w:rsidRPr="00476DF1">
        <w:rPr>
          <w:rFonts w:ascii="Times New Roman" w:hAnsi="Times New Roman"/>
          <w:sz w:val="24"/>
          <w:szCs w:val="24"/>
        </w:rPr>
        <w:t xml:space="preserve"> LOBO, </w:t>
      </w:r>
      <w:r w:rsidR="00FB4D24" w:rsidRPr="00476DF1">
        <w:rPr>
          <w:rFonts w:ascii="Times New Roman" w:hAnsi="Times New Roman"/>
          <w:sz w:val="24"/>
          <w:szCs w:val="24"/>
        </w:rPr>
        <w:t>2015</w:t>
      </w:r>
      <w:r w:rsidR="006119A0" w:rsidRPr="00476DF1">
        <w:rPr>
          <w:rFonts w:ascii="Times New Roman" w:hAnsi="Times New Roman"/>
          <w:sz w:val="24"/>
          <w:szCs w:val="24"/>
        </w:rPr>
        <w:t>;</w:t>
      </w:r>
      <w:r w:rsidR="006119A0" w:rsidRPr="00476DF1">
        <w:rPr>
          <w:rFonts w:ascii="Times New Roman" w:hAnsi="Times New Roman"/>
          <w:sz w:val="24"/>
          <w:szCs w:val="24"/>
        </w:rPr>
        <w:fldChar w:fldCharType="begin" w:fldLock="1"/>
      </w:r>
      <w:r w:rsidR="006119A0" w:rsidRPr="00476DF1">
        <w:rPr>
          <w:rFonts w:ascii="Times New Roman" w:hAnsi="Times New Roman"/>
          <w:sz w:val="24"/>
          <w:szCs w:val="24"/>
        </w:rPr>
        <w:instrText>ADDIN CSL_CITATION { "citationItems" : [ { "id" : "ITEM-1", "itemData" : { "DOI" : "10.1016/j.respol.2015.11.010", "ISSN" : "00487333", "abstract" : "This study provides a new, more comprehensive measurement of technological novelty. Integrating insights from the existing economics and management literature, we characterize inventions ex ante along two dimensions of technological novelty: Novelty in Recombination and Novelty in Knowledge Origins. For the latter dimension we distinguish between Novel Technological and Novel Scientific Origins. For each dimension we propose an operationalization using patent classification and citation information. Results indicate that the proposed measures for the different dimensions of technological novelty are correlated, but each conveys different information. We perform a series of analyses to assess the validity of the proposed measures and compare them with other indicators used in the literature. Moreover, an analysis of the technological impact of inventions identified as novel shows that technological novelty increases the variance of technological impact and the likelihood of being among the positive outliers with respect to impact. This holds particularly for those inventions that combine Novelty in Recombination with Novelty in Technological and Scientific Origins. Overall, the results support our indicator as ex ante measure of technological novelty with the potential to drive radical technological change.", "author" : [ { "dropping-particle" : "", "family" : "Verhoeven", "given" : "Dennis", "non-dropping-particle" : "", "parse-names" : false, "suffix" : "" }, { "dropping-particle" : "", "family" : "Bakker", "given" : "Jurri??n", "non-dropping-particle" : "", "parse-names" : false, "suffix" : "" }, { "dropping-particle" : "", "family" : "Veugelers", "given" : "Reinhilde", "non-dropping-particle" : "", "parse-names" : false, "suffix" : "" } ], "container-title" : "Research Policy", "id" : "ITEM-1", "issue" : "3", "issued" : { "date-parts" : [ [ "2016" ] ] }, "page" : "707-723", "publisher" : "Elsevier B.V.", "title" : "Measuring technological novelty with patent-based indicators", "type" : "article-journal", "volume" : "45" }, "uris" : [ "http://www.mendeley.com/documents/?uuid=af29bceb-2634-4ab9-8bbc-99120f670b5c" ] } ], "mendeley" : { "formattedCitation" : "(VERHOEVEN; BAKKER; VEUGELERS, 2016)", "manualFormatting" : "VERHOEVEN; BAKKER; VEUGELERS, 2016)", "plainTextFormattedCitation" : "(VERHOEVEN; BAKKER; VEUGELERS, 2016)", "previouslyFormattedCitation" : "(VERHOEVEN; BAKKER; VEUGELERS, 2016)" }, "properties" : {  }, "schema" : "https://github.com/citation-style-language/schema/raw/master/csl-citation.json" }</w:instrText>
      </w:r>
      <w:r w:rsidR="006119A0" w:rsidRPr="00476DF1">
        <w:rPr>
          <w:rFonts w:ascii="Times New Roman" w:hAnsi="Times New Roman"/>
          <w:sz w:val="24"/>
          <w:szCs w:val="24"/>
        </w:rPr>
        <w:fldChar w:fldCharType="separate"/>
      </w:r>
      <w:r w:rsidR="006119A0" w:rsidRPr="00476DF1">
        <w:rPr>
          <w:rFonts w:ascii="Times New Roman" w:hAnsi="Times New Roman"/>
          <w:noProof/>
          <w:sz w:val="24"/>
          <w:szCs w:val="24"/>
        </w:rPr>
        <w:t>VERHOEVEN; BAKKER; VEUGELERS, 2016)</w:t>
      </w:r>
      <w:r w:rsidR="006119A0" w:rsidRPr="00476DF1">
        <w:rPr>
          <w:rFonts w:ascii="Times New Roman" w:hAnsi="Times New Roman"/>
          <w:sz w:val="24"/>
          <w:szCs w:val="24"/>
        </w:rPr>
        <w:fldChar w:fldCharType="end"/>
      </w:r>
      <w:r w:rsidR="00FB4D24" w:rsidRPr="00476DF1">
        <w:rPr>
          <w:rFonts w:ascii="Times New Roman" w:hAnsi="Times New Roman"/>
          <w:sz w:val="24"/>
          <w:szCs w:val="24"/>
        </w:rPr>
        <w:t>.</w:t>
      </w:r>
      <w:r w:rsidR="00F91C68" w:rsidRPr="00476DF1">
        <w:rPr>
          <w:rFonts w:ascii="Times New Roman" w:hAnsi="Times New Roman"/>
          <w:sz w:val="24"/>
          <w:szCs w:val="24"/>
        </w:rPr>
        <w:t xml:space="preserve"> </w:t>
      </w:r>
      <w:r w:rsidR="00FF2E1E" w:rsidRPr="00476DF1">
        <w:rPr>
          <w:rFonts w:ascii="Times New Roman" w:hAnsi="Times New Roman"/>
          <w:sz w:val="24"/>
          <w:szCs w:val="24"/>
        </w:rPr>
        <w:t xml:space="preserve">Thus, </w:t>
      </w:r>
      <w:r w:rsidR="00F91C68" w:rsidRPr="00476DF1">
        <w:rPr>
          <w:rFonts w:ascii="Times New Roman" w:hAnsi="Times New Roman"/>
          <w:sz w:val="24"/>
          <w:szCs w:val="24"/>
        </w:rPr>
        <w:t>the patent classes dominated by an enterprise can show their technical knowledge set.</w:t>
      </w:r>
    </w:p>
    <w:p w14:paraId="4D22A90D" w14:textId="6E32C687" w:rsidR="00A25C2F" w:rsidRPr="00476DF1" w:rsidRDefault="00A25C2F"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Th</w:t>
      </w:r>
      <w:r w:rsidR="00B328D6" w:rsidRPr="00476DF1">
        <w:rPr>
          <w:rFonts w:ascii="Times New Roman" w:hAnsi="Times New Roman"/>
          <w:sz w:val="24"/>
          <w:szCs w:val="24"/>
        </w:rPr>
        <w:t xml:space="preserve">ird, </w:t>
      </w:r>
      <w:r w:rsidRPr="00476DF1">
        <w:rPr>
          <w:rFonts w:ascii="Times New Roman" w:hAnsi="Times New Roman"/>
          <w:sz w:val="24"/>
          <w:szCs w:val="24"/>
        </w:rPr>
        <w:t xml:space="preserve">when a </w:t>
      </w:r>
      <w:r w:rsidR="001A3B49" w:rsidRPr="00476DF1">
        <w:rPr>
          <w:rFonts w:ascii="Times New Roman" w:hAnsi="Times New Roman"/>
          <w:sz w:val="24"/>
          <w:szCs w:val="24"/>
        </w:rPr>
        <w:t xml:space="preserve">large firm acquires a </w:t>
      </w:r>
      <w:r w:rsidRPr="00476DF1">
        <w:rPr>
          <w:rFonts w:ascii="Times New Roman" w:hAnsi="Times New Roman"/>
          <w:sz w:val="24"/>
          <w:szCs w:val="24"/>
        </w:rPr>
        <w:t xml:space="preserve">small </w:t>
      </w:r>
      <w:r w:rsidR="004A7AD0" w:rsidRPr="00476DF1">
        <w:rPr>
          <w:rFonts w:ascii="Times New Roman" w:hAnsi="Times New Roman"/>
          <w:sz w:val="24"/>
          <w:szCs w:val="24"/>
        </w:rPr>
        <w:t>firm</w:t>
      </w:r>
      <w:r w:rsidR="00FF7572" w:rsidRPr="00476DF1">
        <w:rPr>
          <w:rFonts w:ascii="Times New Roman" w:hAnsi="Times New Roman"/>
          <w:sz w:val="24"/>
          <w:szCs w:val="24"/>
        </w:rPr>
        <w:t xml:space="preserve">, </w:t>
      </w:r>
      <w:r w:rsidR="001A3B49" w:rsidRPr="00476DF1">
        <w:rPr>
          <w:rFonts w:ascii="Times New Roman" w:hAnsi="Times New Roman"/>
          <w:sz w:val="24"/>
          <w:szCs w:val="24"/>
        </w:rPr>
        <w:t>it</w:t>
      </w:r>
      <w:r w:rsidRPr="00476DF1">
        <w:rPr>
          <w:rFonts w:ascii="Times New Roman" w:hAnsi="Times New Roman"/>
          <w:sz w:val="24"/>
          <w:szCs w:val="24"/>
        </w:rPr>
        <w:t xml:space="preserve"> </w:t>
      </w:r>
      <w:r w:rsidR="004A7AD0" w:rsidRPr="00476DF1">
        <w:rPr>
          <w:rFonts w:ascii="Times New Roman" w:hAnsi="Times New Roman"/>
          <w:sz w:val="24"/>
          <w:szCs w:val="24"/>
        </w:rPr>
        <w:t xml:space="preserve">has access to </w:t>
      </w:r>
      <w:r w:rsidR="00FF7572" w:rsidRPr="00476DF1">
        <w:rPr>
          <w:rFonts w:ascii="Times New Roman" w:hAnsi="Times New Roman"/>
          <w:sz w:val="24"/>
          <w:szCs w:val="24"/>
        </w:rPr>
        <w:t xml:space="preserve">the </w:t>
      </w:r>
      <w:r w:rsidR="001A3B49" w:rsidRPr="00476DF1">
        <w:rPr>
          <w:rFonts w:ascii="Times New Roman" w:hAnsi="Times New Roman"/>
          <w:sz w:val="24"/>
          <w:szCs w:val="24"/>
        </w:rPr>
        <w:t xml:space="preserve">small firm’s </w:t>
      </w:r>
      <w:r w:rsidRPr="00476DF1">
        <w:rPr>
          <w:rFonts w:ascii="Times New Roman" w:hAnsi="Times New Roman"/>
          <w:sz w:val="24"/>
          <w:szCs w:val="24"/>
        </w:rPr>
        <w:t>knowledge set and products</w:t>
      </w:r>
      <w:r w:rsidR="004A7AD0" w:rsidRPr="00476DF1">
        <w:rPr>
          <w:rFonts w:ascii="Times New Roman" w:hAnsi="Times New Roman"/>
          <w:sz w:val="24"/>
          <w:szCs w:val="24"/>
        </w:rPr>
        <w:t xml:space="preserve">, in this case, </w:t>
      </w:r>
      <w:r w:rsidRPr="00476DF1">
        <w:rPr>
          <w:rFonts w:ascii="Times New Roman" w:hAnsi="Times New Roman"/>
          <w:sz w:val="24"/>
          <w:szCs w:val="24"/>
        </w:rPr>
        <w:t xml:space="preserve">the patents. </w:t>
      </w:r>
      <w:r w:rsidR="001A3B49" w:rsidRPr="00476DF1">
        <w:rPr>
          <w:rFonts w:ascii="Times New Roman" w:hAnsi="Times New Roman"/>
          <w:sz w:val="24"/>
          <w:szCs w:val="24"/>
        </w:rPr>
        <w:t xml:space="preserve">However, incorporating and using </w:t>
      </w:r>
      <w:r w:rsidRPr="00476DF1">
        <w:rPr>
          <w:rFonts w:ascii="Times New Roman" w:hAnsi="Times New Roman"/>
          <w:sz w:val="24"/>
          <w:szCs w:val="24"/>
        </w:rPr>
        <w:t xml:space="preserve">the small </w:t>
      </w:r>
      <w:r w:rsidR="00311F10" w:rsidRPr="00476DF1">
        <w:rPr>
          <w:rFonts w:ascii="Times New Roman" w:hAnsi="Times New Roman"/>
          <w:sz w:val="24"/>
          <w:szCs w:val="24"/>
        </w:rPr>
        <w:t>enterprise</w:t>
      </w:r>
      <w:r w:rsidR="001A3B49" w:rsidRPr="00476DF1">
        <w:rPr>
          <w:rFonts w:ascii="Times New Roman" w:hAnsi="Times New Roman"/>
          <w:sz w:val="24"/>
          <w:szCs w:val="24"/>
        </w:rPr>
        <w:t>’</w:t>
      </w:r>
      <w:r w:rsidR="00311F10" w:rsidRPr="00476DF1">
        <w:rPr>
          <w:rFonts w:ascii="Times New Roman" w:hAnsi="Times New Roman"/>
          <w:sz w:val="24"/>
          <w:szCs w:val="24"/>
        </w:rPr>
        <w:t>s</w:t>
      </w:r>
      <w:r w:rsidRPr="00476DF1">
        <w:rPr>
          <w:rFonts w:ascii="Times New Roman" w:hAnsi="Times New Roman"/>
          <w:sz w:val="24"/>
          <w:szCs w:val="24"/>
        </w:rPr>
        <w:t xml:space="preserve"> knowledge set </w:t>
      </w:r>
      <w:r w:rsidR="001A3B49" w:rsidRPr="00476DF1">
        <w:rPr>
          <w:rFonts w:ascii="Times New Roman" w:hAnsi="Times New Roman"/>
          <w:sz w:val="24"/>
          <w:szCs w:val="24"/>
        </w:rPr>
        <w:t xml:space="preserve">successfully </w:t>
      </w:r>
      <w:r w:rsidRPr="00476DF1">
        <w:rPr>
          <w:rFonts w:ascii="Times New Roman" w:hAnsi="Times New Roman"/>
          <w:sz w:val="24"/>
          <w:szCs w:val="24"/>
        </w:rPr>
        <w:t xml:space="preserve">is </w:t>
      </w:r>
      <w:r w:rsidR="001A3B49" w:rsidRPr="00476DF1">
        <w:rPr>
          <w:rFonts w:ascii="Times New Roman" w:hAnsi="Times New Roman"/>
          <w:sz w:val="24"/>
          <w:szCs w:val="24"/>
        </w:rPr>
        <w:t>uncertain. This</w:t>
      </w:r>
      <w:r w:rsidR="00BE63EA" w:rsidRPr="00476DF1">
        <w:rPr>
          <w:rFonts w:ascii="Times New Roman" w:hAnsi="Times New Roman"/>
          <w:sz w:val="24"/>
          <w:szCs w:val="24"/>
        </w:rPr>
        <w:t xml:space="preserve"> process</w:t>
      </w:r>
      <w:r w:rsidRPr="00476DF1">
        <w:rPr>
          <w:rFonts w:ascii="Times New Roman" w:hAnsi="Times New Roman"/>
          <w:sz w:val="24"/>
          <w:szCs w:val="24"/>
        </w:rPr>
        <w:t xml:space="preserve"> depends on the </w:t>
      </w:r>
      <w:r w:rsidR="001A3B49" w:rsidRPr="00476DF1">
        <w:rPr>
          <w:rFonts w:ascii="Times New Roman" w:hAnsi="Times New Roman"/>
          <w:sz w:val="24"/>
          <w:szCs w:val="24"/>
        </w:rPr>
        <w:t xml:space="preserve">ability of the </w:t>
      </w:r>
      <w:r w:rsidRPr="00476DF1">
        <w:rPr>
          <w:rFonts w:ascii="Times New Roman" w:hAnsi="Times New Roman"/>
          <w:sz w:val="24"/>
          <w:szCs w:val="24"/>
        </w:rPr>
        <w:t>larg</w:t>
      </w:r>
      <w:r w:rsidR="004A7AD0" w:rsidRPr="00476DF1">
        <w:rPr>
          <w:rFonts w:ascii="Times New Roman" w:hAnsi="Times New Roman"/>
          <w:sz w:val="24"/>
          <w:szCs w:val="24"/>
        </w:rPr>
        <w:t>e enterprise</w:t>
      </w:r>
      <w:r w:rsidR="001A3B49" w:rsidRPr="00476DF1">
        <w:rPr>
          <w:rFonts w:ascii="Times New Roman" w:hAnsi="Times New Roman"/>
          <w:sz w:val="24"/>
          <w:szCs w:val="24"/>
        </w:rPr>
        <w:t xml:space="preserve"> to cope with the</w:t>
      </w:r>
      <w:r w:rsidR="00FF2E1E" w:rsidRPr="00476DF1">
        <w:rPr>
          <w:rFonts w:ascii="Times New Roman" w:hAnsi="Times New Roman"/>
          <w:sz w:val="24"/>
          <w:szCs w:val="24"/>
        </w:rPr>
        <w:t xml:space="preserve"> small enterprise</w:t>
      </w:r>
      <w:r w:rsidR="001A3B49" w:rsidRPr="00476DF1">
        <w:rPr>
          <w:rFonts w:ascii="Times New Roman" w:hAnsi="Times New Roman"/>
          <w:sz w:val="24"/>
          <w:szCs w:val="24"/>
        </w:rPr>
        <w:t>’s</w:t>
      </w:r>
      <w:r w:rsidR="00FF2E1E" w:rsidRPr="00476DF1">
        <w:rPr>
          <w:rFonts w:ascii="Times New Roman" w:hAnsi="Times New Roman"/>
          <w:sz w:val="24"/>
          <w:szCs w:val="24"/>
        </w:rPr>
        <w:t xml:space="preserve"> contribution</w:t>
      </w:r>
      <w:r w:rsidRPr="00476DF1">
        <w:rPr>
          <w:rFonts w:ascii="Times New Roman" w:hAnsi="Times New Roman"/>
          <w:sz w:val="24"/>
          <w:szCs w:val="24"/>
        </w:rPr>
        <w:t xml:space="preserve">. As discussed </w:t>
      </w:r>
      <w:r w:rsidR="004179D2" w:rsidRPr="00476DF1">
        <w:rPr>
          <w:rFonts w:ascii="Times New Roman" w:hAnsi="Times New Roman"/>
          <w:sz w:val="24"/>
          <w:szCs w:val="24"/>
        </w:rPr>
        <w:t xml:space="preserve">in </w:t>
      </w:r>
      <w:r w:rsidR="00CE766E" w:rsidRPr="00476DF1">
        <w:rPr>
          <w:rFonts w:ascii="Times New Roman" w:hAnsi="Times New Roman"/>
          <w:sz w:val="24"/>
          <w:szCs w:val="24"/>
        </w:rPr>
        <w:t>the previous section</w:t>
      </w:r>
      <w:r w:rsidR="004A7AD0" w:rsidRPr="00476DF1">
        <w:rPr>
          <w:rFonts w:ascii="Times New Roman" w:hAnsi="Times New Roman"/>
          <w:sz w:val="24"/>
          <w:szCs w:val="24"/>
        </w:rPr>
        <w:t>,</w:t>
      </w:r>
      <w:r w:rsidRPr="00476DF1">
        <w:rPr>
          <w:rFonts w:ascii="Times New Roman" w:hAnsi="Times New Roman"/>
          <w:sz w:val="24"/>
          <w:szCs w:val="24"/>
        </w:rPr>
        <w:t xml:space="preserve"> </w:t>
      </w:r>
      <w:r w:rsidR="004179D2" w:rsidRPr="00476DF1">
        <w:rPr>
          <w:rFonts w:ascii="Times New Roman" w:hAnsi="Times New Roman"/>
          <w:sz w:val="24"/>
          <w:szCs w:val="24"/>
        </w:rPr>
        <w:t xml:space="preserve">incorporating </w:t>
      </w:r>
      <w:r w:rsidRPr="00476DF1">
        <w:rPr>
          <w:rFonts w:ascii="Times New Roman" w:hAnsi="Times New Roman"/>
          <w:sz w:val="24"/>
          <w:szCs w:val="24"/>
        </w:rPr>
        <w:t>much of the technical kno</w:t>
      </w:r>
      <w:r w:rsidR="004A7AD0" w:rsidRPr="00476DF1">
        <w:rPr>
          <w:rFonts w:ascii="Times New Roman" w:hAnsi="Times New Roman"/>
          <w:sz w:val="24"/>
          <w:szCs w:val="24"/>
        </w:rPr>
        <w:t>w</w:t>
      </w:r>
      <w:r w:rsidRPr="00476DF1">
        <w:rPr>
          <w:rFonts w:ascii="Times New Roman" w:hAnsi="Times New Roman"/>
          <w:sz w:val="24"/>
          <w:szCs w:val="24"/>
        </w:rPr>
        <w:t>l</w:t>
      </w:r>
      <w:r w:rsidR="004A7AD0" w:rsidRPr="00476DF1">
        <w:rPr>
          <w:rFonts w:ascii="Times New Roman" w:hAnsi="Times New Roman"/>
          <w:sz w:val="24"/>
          <w:szCs w:val="24"/>
        </w:rPr>
        <w:t>e</w:t>
      </w:r>
      <w:r w:rsidRPr="00476DF1">
        <w:rPr>
          <w:rFonts w:ascii="Times New Roman" w:hAnsi="Times New Roman"/>
          <w:sz w:val="24"/>
          <w:szCs w:val="24"/>
        </w:rPr>
        <w:t>dge successful</w:t>
      </w:r>
      <w:r w:rsidR="004179D2" w:rsidRPr="00476DF1">
        <w:rPr>
          <w:rFonts w:ascii="Times New Roman" w:hAnsi="Times New Roman"/>
          <w:sz w:val="24"/>
          <w:szCs w:val="24"/>
        </w:rPr>
        <w:t>ly</w:t>
      </w:r>
      <w:r w:rsidRPr="00476DF1">
        <w:rPr>
          <w:rFonts w:ascii="Times New Roman" w:hAnsi="Times New Roman"/>
          <w:sz w:val="24"/>
          <w:szCs w:val="24"/>
        </w:rPr>
        <w:t xml:space="preserve"> depends on knowledgebase relatedness.</w:t>
      </w:r>
    </w:p>
    <w:p w14:paraId="45BC3130" w14:textId="649C0C91" w:rsidR="004A7AD0" w:rsidRPr="00476DF1" w:rsidRDefault="004A7AD0"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Finally, t</w:t>
      </w:r>
      <w:r w:rsidR="00A25C2F" w:rsidRPr="00476DF1">
        <w:rPr>
          <w:rFonts w:ascii="Times New Roman" w:hAnsi="Times New Roman"/>
          <w:sz w:val="24"/>
          <w:szCs w:val="24"/>
        </w:rPr>
        <w:t xml:space="preserve">he proposed line of though here </w:t>
      </w:r>
      <w:r w:rsidR="004179D2" w:rsidRPr="00476DF1">
        <w:rPr>
          <w:rFonts w:ascii="Times New Roman" w:hAnsi="Times New Roman"/>
          <w:sz w:val="24"/>
          <w:szCs w:val="24"/>
        </w:rPr>
        <w:t>is that</w:t>
      </w:r>
      <w:r w:rsidR="00B328D6" w:rsidRPr="00476DF1">
        <w:rPr>
          <w:rFonts w:ascii="Times New Roman" w:hAnsi="Times New Roman"/>
          <w:sz w:val="24"/>
          <w:szCs w:val="24"/>
        </w:rPr>
        <w:t xml:space="preserve"> the ente</w:t>
      </w:r>
      <w:r w:rsidR="00D913F2" w:rsidRPr="00476DF1">
        <w:rPr>
          <w:rFonts w:ascii="Times New Roman" w:hAnsi="Times New Roman"/>
          <w:sz w:val="24"/>
          <w:szCs w:val="24"/>
        </w:rPr>
        <w:t>r</w:t>
      </w:r>
      <w:r w:rsidR="00B328D6" w:rsidRPr="00476DF1">
        <w:rPr>
          <w:rFonts w:ascii="Times New Roman" w:hAnsi="Times New Roman"/>
          <w:sz w:val="24"/>
          <w:szCs w:val="24"/>
        </w:rPr>
        <w:t>prises’</w:t>
      </w:r>
      <w:r w:rsidR="00A25C2F" w:rsidRPr="00476DF1">
        <w:rPr>
          <w:rFonts w:ascii="Times New Roman" w:hAnsi="Times New Roman"/>
          <w:sz w:val="24"/>
          <w:szCs w:val="24"/>
        </w:rPr>
        <w:t xml:space="preserve"> knowledge</w:t>
      </w:r>
      <w:r w:rsidR="00C55729" w:rsidRPr="00476DF1">
        <w:rPr>
          <w:rFonts w:ascii="Times New Roman" w:hAnsi="Times New Roman"/>
          <w:sz w:val="24"/>
          <w:szCs w:val="24"/>
        </w:rPr>
        <w:t xml:space="preserve"> </w:t>
      </w:r>
      <w:r w:rsidR="00A25C2F" w:rsidRPr="00476DF1">
        <w:rPr>
          <w:rFonts w:ascii="Times New Roman" w:hAnsi="Times New Roman"/>
          <w:sz w:val="24"/>
          <w:szCs w:val="24"/>
        </w:rPr>
        <w:t>base</w:t>
      </w:r>
      <w:r w:rsidR="00B328D6" w:rsidRPr="00476DF1">
        <w:rPr>
          <w:rFonts w:ascii="Times New Roman" w:hAnsi="Times New Roman"/>
          <w:sz w:val="24"/>
          <w:szCs w:val="24"/>
        </w:rPr>
        <w:t>s start</w:t>
      </w:r>
      <w:r w:rsidR="00D913F2" w:rsidRPr="00476DF1">
        <w:rPr>
          <w:rFonts w:ascii="Times New Roman" w:hAnsi="Times New Roman"/>
          <w:sz w:val="24"/>
          <w:szCs w:val="24"/>
        </w:rPr>
        <w:t xml:space="preserve"> </w:t>
      </w:r>
      <w:r w:rsidR="00311F10" w:rsidRPr="00476DF1">
        <w:rPr>
          <w:rFonts w:ascii="Times New Roman" w:hAnsi="Times New Roman"/>
          <w:sz w:val="24"/>
          <w:szCs w:val="24"/>
        </w:rPr>
        <w:t xml:space="preserve">with some degree of relatedness that </w:t>
      </w:r>
      <w:r w:rsidR="00D913F2" w:rsidRPr="00476DF1">
        <w:rPr>
          <w:rFonts w:ascii="Times New Roman" w:hAnsi="Times New Roman"/>
          <w:sz w:val="24"/>
          <w:szCs w:val="24"/>
        </w:rPr>
        <w:t>may grow</w:t>
      </w:r>
      <w:r w:rsidR="00A25C2F" w:rsidRPr="00476DF1">
        <w:rPr>
          <w:rFonts w:ascii="Times New Roman" w:hAnsi="Times New Roman"/>
          <w:sz w:val="24"/>
          <w:szCs w:val="24"/>
        </w:rPr>
        <w:t xml:space="preserve"> over </w:t>
      </w:r>
      <w:r w:rsidR="004179D2" w:rsidRPr="00476DF1">
        <w:rPr>
          <w:rFonts w:ascii="Times New Roman" w:hAnsi="Times New Roman"/>
          <w:sz w:val="24"/>
          <w:szCs w:val="24"/>
        </w:rPr>
        <w:t>time</w:t>
      </w:r>
      <w:r w:rsidR="00CE766E" w:rsidRPr="00476DF1">
        <w:rPr>
          <w:rFonts w:ascii="Times New Roman" w:hAnsi="Times New Roman"/>
          <w:sz w:val="24"/>
          <w:szCs w:val="24"/>
        </w:rPr>
        <w:t>. Th</w:t>
      </w:r>
      <w:r w:rsidR="002B1DA7" w:rsidRPr="00476DF1">
        <w:rPr>
          <w:rFonts w:ascii="Times New Roman" w:hAnsi="Times New Roman"/>
          <w:sz w:val="24"/>
          <w:szCs w:val="24"/>
        </w:rPr>
        <w:t>is</w:t>
      </w:r>
      <w:r w:rsidR="00CE766E" w:rsidRPr="00476DF1">
        <w:rPr>
          <w:rFonts w:ascii="Times New Roman" w:hAnsi="Times New Roman"/>
          <w:sz w:val="24"/>
          <w:szCs w:val="24"/>
        </w:rPr>
        <w:t xml:space="preserve"> process</w:t>
      </w:r>
      <w:r w:rsidR="00A25C2F" w:rsidRPr="00476DF1">
        <w:rPr>
          <w:rFonts w:ascii="Times New Roman" w:hAnsi="Times New Roman"/>
          <w:sz w:val="24"/>
          <w:szCs w:val="24"/>
        </w:rPr>
        <w:t xml:space="preserve"> mea</w:t>
      </w:r>
      <w:r w:rsidRPr="00476DF1">
        <w:rPr>
          <w:rFonts w:ascii="Times New Roman" w:hAnsi="Times New Roman"/>
          <w:sz w:val="24"/>
          <w:szCs w:val="24"/>
        </w:rPr>
        <w:t>n</w:t>
      </w:r>
      <w:r w:rsidR="00A25C2F" w:rsidRPr="00476DF1">
        <w:rPr>
          <w:rFonts w:ascii="Times New Roman" w:hAnsi="Times New Roman"/>
          <w:sz w:val="24"/>
          <w:szCs w:val="24"/>
        </w:rPr>
        <w:t>s that large pharmaceutical ente</w:t>
      </w:r>
      <w:r w:rsidRPr="00476DF1">
        <w:rPr>
          <w:rFonts w:ascii="Times New Roman" w:hAnsi="Times New Roman"/>
          <w:sz w:val="24"/>
          <w:szCs w:val="24"/>
        </w:rPr>
        <w:t>rp</w:t>
      </w:r>
      <w:r w:rsidR="00A25C2F" w:rsidRPr="00476DF1">
        <w:rPr>
          <w:rFonts w:ascii="Times New Roman" w:hAnsi="Times New Roman"/>
          <w:sz w:val="24"/>
          <w:szCs w:val="24"/>
        </w:rPr>
        <w:t xml:space="preserve">rises are </w:t>
      </w:r>
      <w:r w:rsidRPr="00476DF1">
        <w:rPr>
          <w:rFonts w:ascii="Times New Roman" w:hAnsi="Times New Roman"/>
          <w:sz w:val="24"/>
          <w:szCs w:val="24"/>
        </w:rPr>
        <w:t>building</w:t>
      </w:r>
      <w:r w:rsidR="00FF7572" w:rsidRPr="00476DF1">
        <w:rPr>
          <w:rFonts w:ascii="Times New Roman" w:hAnsi="Times New Roman"/>
          <w:sz w:val="24"/>
          <w:szCs w:val="24"/>
        </w:rPr>
        <w:t xml:space="preserve"> </w:t>
      </w:r>
      <w:r w:rsidRPr="00476DF1">
        <w:rPr>
          <w:rFonts w:ascii="Times New Roman" w:hAnsi="Times New Roman"/>
          <w:sz w:val="24"/>
          <w:szCs w:val="24"/>
        </w:rPr>
        <w:t>competences</w:t>
      </w:r>
      <w:r w:rsidR="00A25C2F" w:rsidRPr="00476DF1">
        <w:rPr>
          <w:rFonts w:ascii="Times New Roman" w:hAnsi="Times New Roman"/>
          <w:sz w:val="24"/>
          <w:szCs w:val="24"/>
        </w:rPr>
        <w:t xml:space="preserve"> close to the </w:t>
      </w:r>
      <w:r w:rsidRPr="00476DF1">
        <w:rPr>
          <w:rFonts w:ascii="Times New Roman" w:hAnsi="Times New Roman"/>
          <w:sz w:val="24"/>
          <w:szCs w:val="24"/>
        </w:rPr>
        <w:t xml:space="preserve">ones held by </w:t>
      </w:r>
      <w:r w:rsidR="00A25C2F" w:rsidRPr="00476DF1">
        <w:rPr>
          <w:rFonts w:ascii="Times New Roman" w:hAnsi="Times New Roman"/>
          <w:sz w:val="24"/>
          <w:szCs w:val="24"/>
        </w:rPr>
        <w:t>small ente</w:t>
      </w:r>
      <w:r w:rsidRPr="00476DF1">
        <w:rPr>
          <w:rFonts w:ascii="Times New Roman" w:hAnsi="Times New Roman"/>
          <w:sz w:val="24"/>
          <w:szCs w:val="24"/>
        </w:rPr>
        <w:t>rp</w:t>
      </w:r>
      <w:r w:rsidR="00A25C2F" w:rsidRPr="00476DF1">
        <w:rPr>
          <w:rFonts w:ascii="Times New Roman" w:hAnsi="Times New Roman"/>
          <w:sz w:val="24"/>
          <w:szCs w:val="24"/>
        </w:rPr>
        <w:t xml:space="preserve">rises. </w:t>
      </w:r>
      <w:r w:rsidR="002B1DA7" w:rsidRPr="00476DF1">
        <w:rPr>
          <w:rFonts w:ascii="Times New Roman" w:hAnsi="Times New Roman"/>
          <w:sz w:val="24"/>
          <w:szCs w:val="24"/>
        </w:rPr>
        <w:t>Then, t</w:t>
      </w:r>
      <w:r w:rsidR="00B14D24" w:rsidRPr="00476DF1">
        <w:rPr>
          <w:rFonts w:ascii="Times New Roman" w:hAnsi="Times New Roman"/>
          <w:sz w:val="24"/>
          <w:szCs w:val="24"/>
        </w:rPr>
        <w:t xml:space="preserve">he idea is to trace the process </w:t>
      </w:r>
      <w:r w:rsidR="004179D2" w:rsidRPr="00476DF1">
        <w:rPr>
          <w:rFonts w:ascii="Times New Roman" w:hAnsi="Times New Roman"/>
          <w:sz w:val="24"/>
          <w:szCs w:val="24"/>
        </w:rPr>
        <w:t>through which the</w:t>
      </w:r>
      <w:r w:rsidR="00B14D24" w:rsidRPr="00476DF1">
        <w:rPr>
          <w:rFonts w:ascii="Times New Roman" w:hAnsi="Times New Roman"/>
          <w:sz w:val="24"/>
          <w:szCs w:val="24"/>
        </w:rPr>
        <w:t xml:space="preserve"> knowledge</w:t>
      </w:r>
      <w:r w:rsidR="00C55729" w:rsidRPr="00476DF1">
        <w:rPr>
          <w:rFonts w:ascii="Times New Roman" w:hAnsi="Times New Roman"/>
          <w:sz w:val="24"/>
          <w:szCs w:val="24"/>
        </w:rPr>
        <w:t xml:space="preserve"> </w:t>
      </w:r>
      <w:r w:rsidR="00B14D24" w:rsidRPr="00476DF1">
        <w:rPr>
          <w:rFonts w:ascii="Times New Roman" w:hAnsi="Times New Roman"/>
          <w:sz w:val="24"/>
          <w:szCs w:val="24"/>
        </w:rPr>
        <w:t>base</w:t>
      </w:r>
      <w:r w:rsidR="004179D2" w:rsidRPr="00476DF1">
        <w:rPr>
          <w:rFonts w:ascii="Times New Roman" w:hAnsi="Times New Roman"/>
          <w:sz w:val="24"/>
          <w:szCs w:val="24"/>
        </w:rPr>
        <w:t>s</w:t>
      </w:r>
      <w:r w:rsidR="00B14D24" w:rsidRPr="00476DF1">
        <w:rPr>
          <w:rFonts w:ascii="Times New Roman" w:hAnsi="Times New Roman"/>
          <w:sz w:val="24"/>
          <w:szCs w:val="24"/>
        </w:rPr>
        <w:t xml:space="preserve"> </w:t>
      </w:r>
      <w:r w:rsidR="004179D2" w:rsidRPr="00476DF1">
        <w:rPr>
          <w:rFonts w:ascii="Times New Roman" w:hAnsi="Times New Roman"/>
          <w:sz w:val="24"/>
          <w:szCs w:val="24"/>
        </w:rPr>
        <w:t xml:space="preserve">become </w:t>
      </w:r>
      <w:r w:rsidR="00B14D24" w:rsidRPr="00476DF1">
        <w:rPr>
          <w:rFonts w:ascii="Times New Roman" w:hAnsi="Times New Roman"/>
          <w:sz w:val="24"/>
          <w:szCs w:val="24"/>
        </w:rPr>
        <w:t>similar.</w:t>
      </w:r>
    </w:p>
    <w:p w14:paraId="5FB7D3A1" w14:textId="274232DD" w:rsidR="00046D34" w:rsidRPr="00476DF1" w:rsidRDefault="002B1DA7"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So far, </w:t>
      </w:r>
      <w:r w:rsidR="004179D2" w:rsidRPr="00476DF1">
        <w:rPr>
          <w:rFonts w:ascii="Times New Roman" w:hAnsi="Times New Roman"/>
          <w:sz w:val="24"/>
          <w:szCs w:val="24"/>
        </w:rPr>
        <w:t xml:space="preserve">there are two types of </w:t>
      </w:r>
      <w:r w:rsidRPr="00476DF1">
        <w:rPr>
          <w:rFonts w:ascii="Times New Roman" w:hAnsi="Times New Roman"/>
          <w:sz w:val="24"/>
          <w:szCs w:val="24"/>
        </w:rPr>
        <w:t>t</w:t>
      </w:r>
      <w:r w:rsidR="00311F10" w:rsidRPr="00476DF1">
        <w:rPr>
          <w:rFonts w:ascii="Times New Roman" w:hAnsi="Times New Roman"/>
          <w:sz w:val="24"/>
          <w:szCs w:val="24"/>
        </w:rPr>
        <w:t>echnical</w:t>
      </w:r>
      <w:r w:rsidR="00046D34" w:rsidRPr="00476DF1">
        <w:rPr>
          <w:rFonts w:ascii="Times New Roman" w:hAnsi="Times New Roman"/>
          <w:sz w:val="24"/>
          <w:szCs w:val="24"/>
        </w:rPr>
        <w:t xml:space="preserve"> contribution. Large </w:t>
      </w:r>
      <w:r w:rsidR="00311F10" w:rsidRPr="00476DF1">
        <w:rPr>
          <w:rFonts w:ascii="Times New Roman" w:hAnsi="Times New Roman"/>
          <w:sz w:val="24"/>
          <w:szCs w:val="24"/>
        </w:rPr>
        <w:t>enterprises</w:t>
      </w:r>
      <w:r w:rsidR="00046D34" w:rsidRPr="00476DF1">
        <w:rPr>
          <w:rFonts w:ascii="Times New Roman" w:hAnsi="Times New Roman"/>
          <w:sz w:val="24"/>
          <w:szCs w:val="24"/>
        </w:rPr>
        <w:t xml:space="preserve"> can use the small ent</w:t>
      </w:r>
      <w:r w:rsidR="00311F10" w:rsidRPr="00476DF1">
        <w:rPr>
          <w:rFonts w:ascii="Times New Roman" w:hAnsi="Times New Roman"/>
          <w:sz w:val="24"/>
          <w:szCs w:val="24"/>
        </w:rPr>
        <w:t>erprise</w:t>
      </w:r>
      <w:r w:rsidR="004179D2" w:rsidRPr="00476DF1">
        <w:rPr>
          <w:rFonts w:ascii="Times New Roman" w:hAnsi="Times New Roman"/>
          <w:sz w:val="24"/>
          <w:szCs w:val="24"/>
        </w:rPr>
        <w:t>’</w:t>
      </w:r>
      <w:r w:rsidR="00311F10" w:rsidRPr="00476DF1">
        <w:rPr>
          <w:rFonts w:ascii="Times New Roman" w:hAnsi="Times New Roman"/>
          <w:sz w:val="24"/>
          <w:szCs w:val="24"/>
        </w:rPr>
        <w:t>s</w:t>
      </w:r>
      <w:r w:rsidR="00046D34" w:rsidRPr="00476DF1">
        <w:rPr>
          <w:rFonts w:ascii="Times New Roman" w:hAnsi="Times New Roman"/>
          <w:sz w:val="24"/>
          <w:szCs w:val="24"/>
        </w:rPr>
        <w:t xml:space="preserve"> patents to generate new patents </w:t>
      </w:r>
      <w:r w:rsidR="00FF7572" w:rsidRPr="00476DF1">
        <w:rPr>
          <w:rFonts w:ascii="Times New Roman" w:hAnsi="Times New Roman"/>
          <w:sz w:val="24"/>
          <w:szCs w:val="24"/>
        </w:rPr>
        <w:t xml:space="preserve">(direct) </w:t>
      </w:r>
      <w:r w:rsidR="00046D34" w:rsidRPr="00476DF1">
        <w:rPr>
          <w:rFonts w:ascii="Times New Roman" w:hAnsi="Times New Roman"/>
          <w:sz w:val="24"/>
          <w:szCs w:val="24"/>
        </w:rPr>
        <w:t xml:space="preserve">or the large </w:t>
      </w:r>
      <w:r w:rsidR="00311F10" w:rsidRPr="00476DF1">
        <w:rPr>
          <w:rFonts w:ascii="Times New Roman" w:hAnsi="Times New Roman"/>
          <w:sz w:val="24"/>
          <w:szCs w:val="24"/>
        </w:rPr>
        <w:t xml:space="preserve">enterprises </w:t>
      </w:r>
      <w:r w:rsidR="00046D34" w:rsidRPr="00476DF1">
        <w:rPr>
          <w:rFonts w:ascii="Times New Roman" w:hAnsi="Times New Roman"/>
          <w:sz w:val="24"/>
          <w:szCs w:val="24"/>
        </w:rPr>
        <w:t>can use the small enterprise</w:t>
      </w:r>
      <w:r w:rsidR="004179D2" w:rsidRPr="00476DF1">
        <w:rPr>
          <w:rFonts w:ascii="Times New Roman" w:hAnsi="Times New Roman"/>
          <w:sz w:val="24"/>
          <w:szCs w:val="24"/>
        </w:rPr>
        <w:t>’</w:t>
      </w:r>
      <w:r w:rsidR="00046D34" w:rsidRPr="00476DF1">
        <w:rPr>
          <w:rFonts w:ascii="Times New Roman" w:hAnsi="Times New Roman"/>
          <w:sz w:val="24"/>
          <w:szCs w:val="24"/>
        </w:rPr>
        <w:t xml:space="preserve">s technical </w:t>
      </w:r>
      <w:r w:rsidR="00311F10" w:rsidRPr="00476DF1">
        <w:rPr>
          <w:rFonts w:ascii="Times New Roman" w:hAnsi="Times New Roman"/>
          <w:sz w:val="24"/>
          <w:szCs w:val="24"/>
        </w:rPr>
        <w:t>knowledge</w:t>
      </w:r>
      <w:r w:rsidR="00046D34" w:rsidRPr="00476DF1">
        <w:rPr>
          <w:rFonts w:ascii="Times New Roman" w:hAnsi="Times New Roman"/>
          <w:sz w:val="24"/>
          <w:szCs w:val="24"/>
        </w:rPr>
        <w:t xml:space="preserve"> to </w:t>
      </w:r>
      <w:r w:rsidR="00CE766E" w:rsidRPr="00476DF1">
        <w:rPr>
          <w:rFonts w:ascii="Times New Roman" w:hAnsi="Times New Roman"/>
          <w:sz w:val="24"/>
          <w:szCs w:val="24"/>
        </w:rPr>
        <w:t xml:space="preserve">develop new </w:t>
      </w:r>
      <w:r w:rsidR="00046D34" w:rsidRPr="00476DF1">
        <w:rPr>
          <w:rFonts w:ascii="Times New Roman" w:hAnsi="Times New Roman"/>
          <w:sz w:val="24"/>
          <w:szCs w:val="24"/>
        </w:rPr>
        <w:t>patent</w:t>
      </w:r>
      <w:r w:rsidR="00CE766E" w:rsidRPr="00476DF1">
        <w:rPr>
          <w:rFonts w:ascii="Times New Roman" w:hAnsi="Times New Roman"/>
          <w:sz w:val="24"/>
          <w:szCs w:val="24"/>
        </w:rPr>
        <w:t xml:space="preserve">s </w:t>
      </w:r>
      <w:r w:rsidR="00046D34" w:rsidRPr="00476DF1">
        <w:rPr>
          <w:rFonts w:ascii="Times New Roman" w:hAnsi="Times New Roman"/>
          <w:sz w:val="24"/>
          <w:szCs w:val="24"/>
        </w:rPr>
        <w:t>in new classes or increase its patent activit</w:t>
      </w:r>
      <w:r w:rsidR="00311F10" w:rsidRPr="00476DF1">
        <w:rPr>
          <w:rFonts w:ascii="Times New Roman" w:hAnsi="Times New Roman"/>
          <w:sz w:val="24"/>
          <w:szCs w:val="24"/>
        </w:rPr>
        <w:t>i</w:t>
      </w:r>
      <w:r w:rsidR="00046D34" w:rsidRPr="00476DF1">
        <w:rPr>
          <w:rFonts w:ascii="Times New Roman" w:hAnsi="Times New Roman"/>
          <w:sz w:val="24"/>
          <w:szCs w:val="24"/>
        </w:rPr>
        <w:t xml:space="preserve">es in </w:t>
      </w:r>
      <w:r w:rsidR="004179D2" w:rsidRPr="00476DF1">
        <w:rPr>
          <w:rFonts w:ascii="Times New Roman" w:hAnsi="Times New Roman"/>
          <w:sz w:val="24"/>
          <w:szCs w:val="24"/>
        </w:rPr>
        <w:t>existing</w:t>
      </w:r>
      <w:r w:rsidR="00046D34" w:rsidRPr="00476DF1">
        <w:rPr>
          <w:rFonts w:ascii="Times New Roman" w:hAnsi="Times New Roman"/>
          <w:sz w:val="24"/>
          <w:szCs w:val="24"/>
        </w:rPr>
        <w:t xml:space="preserve"> classes</w:t>
      </w:r>
      <w:r w:rsidR="00311F10" w:rsidRPr="00476DF1">
        <w:rPr>
          <w:rFonts w:ascii="Times New Roman" w:hAnsi="Times New Roman"/>
          <w:sz w:val="24"/>
          <w:szCs w:val="24"/>
        </w:rPr>
        <w:t xml:space="preserve"> </w:t>
      </w:r>
      <w:r w:rsidR="00FF7572" w:rsidRPr="00476DF1">
        <w:rPr>
          <w:rFonts w:ascii="Times New Roman" w:hAnsi="Times New Roman"/>
          <w:sz w:val="24"/>
          <w:szCs w:val="24"/>
        </w:rPr>
        <w:t>(indirect)</w:t>
      </w:r>
      <w:r w:rsidR="00046D34" w:rsidRPr="00476DF1">
        <w:rPr>
          <w:rFonts w:ascii="Times New Roman" w:hAnsi="Times New Roman"/>
          <w:sz w:val="24"/>
          <w:szCs w:val="24"/>
        </w:rPr>
        <w:t xml:space="preserve">. </w:t>
      </w:r>
    </w:p>
    <w:p w14:paraId="2A3EB57C" w14:textId="0B3E1E6B" w:rsidR="008D55B4" w:rsidRPr="00476DF1" w:rsidRDefault="004179D2"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We can see t</w:t>
      </w:r>
      <w:r w:rsidR="00046D34" w:rsidRPr="00476DF1">
        <w:rPr>
          <w:rFonts w:ascii="Times New Roman" w:hAnsi="Times New Roman"/>
          <w:sz w:val="24"/>
          <w:szCs w:val="24"/>
        </w:rPr>
        <w:t xml:space="preserve">he direct use of </w:t>
      </w:r>
      <w:r w:rsidRPr="00476DF1">
        <w:rPr>
          <w:rFonts w:ascii="Times New Roman" w:hAnsi="Times New Roman"/>
          <w:sz w:val="24"/>
          <w:szCs w:val="24"/>
        </w:rPr>
        <w:t xml:space="preserve">the </w:t>
      </w:r>
      <w:r w:rsidR="00046D34" w:rsidRPr="00476DF1">
        <w:rPr>
          <w:rFonts w:ascii="Times New Roman" w:hAnsi="Times New Roman"/>
          <w:sz w:val="24"/>
          <w:szCs w:val="24"/>
        </w:rPr>
        <w:t xml:space="preserve">small </w:t>
      </w:r>
      <w:r w:rsidR="00311F10" w:rsidRPr="00476DF1">
        <w:rPr>
          <w:rFonts w:ascii="Times New Roman" w:hAnsi="Times New Roman"/>
          <w:sz w:val="24"/>
          <w:szCs w:val="24"/>
        </w:rPr>
        <w:t>enterprise</w:t>
      </w:r>
      <w:r w:rsidRPr="00476DF1">
        <w:rPr>
          <w:rFonts w:ascii="Times New Roman" w:hAnsi="Times New Roman"/>
          <w:sz w:val="24"/>
          <w:szCs w:val="24"/>
        </w:rPr>
        <w:t>’</w:t>
      </w:r>
      <w:r w:rsidR="00311F10" w:rsidRPr="00476DF1">
        <w:rPr>
          <w:rFonts w:ascii="Times New Roman" w:hAnsi="Times New Roman"/>
          <w:sz w:val="24"/>
          <w:szCs w:val="24"/>
        </w:rPr>
        <w:t>s</w:t>
      </w:r>
      <w:r w:rsidR="00046D34" w:rsidRPr="00476DF1">
        <w:rPr>
          <w:rFonts w:ascii="Times New Roman" w:hAnsi="Times New Roman"/>
          <w:sz w:val="24"/>
          <w:szCs w:val="24"/>
        </w:rPr>
        <w:t xml:space="preserve"> technical knowledge </w:t>
      </w:r>
      <w:r w:rsidR="00B14D24" w:rsidRPr="00476DF1">
        <w:rPr>
          <w:rFonts w:ascii="Times New Roman" w:hAnsi="Times New Roman"/>
          <w:sz w:val="24"/>
          <w:szCs w:val="24"/>
        </w:rPr>
        <w:t>when large enterprises reference the pa</w:t>
      </w:r>
      <w:r w:rsidR="00B55D0F" w:rsidRPr="00476DF1">
        <w:rPr>
          <w:rFonts w:ascii="Times New Roman" w:hAnsi="Times New Roman"/>
          <w:sz w:val="24"/>
          <w:szCs w:val="24"/>
        </w:rPr>
        <w:t>tents developed by the acquired</w:t>
      </w:r>
      <w:r w:rsidR="00B14D24" w:rsidRPr="00476DF1">
        <w:rPr>
          <w:rFonts w:ascii="Times New Roman" w:hAnsi="Times New Roman"/>
          <w:sz w:val="24"/>
          <w:szCs w:val="24"/>
        </w:rPr>
        <w:t xml:space="preserve"> small enterprises</w:t>
      </w:r>
      <w:r w:rsidRPr="00476DF1">
        <w:rPr>
          <w:rFonts w:ascii="Times New Roman" w:hAnsi="Times New Roman"/>
          <w:sz w:val="24"/>
          <w:szCs w:val="24"/>
        </w:rPr>
        <w:t xml:space="preserve"> in their own patents</w:t>
      </w:r>
      <w:r w:rsidR="0001697A" w:rsidRPr="00476DF1">
        <w:rPr>
          <w:rFonts w:ascii="Times New Roman" w:hAnsi="Times New Roman"/>
          <w:sz w:val="24"/>
          <w:szCs w:val="24"/>
        </w:rPr>
        <w:t>.</w:t>
      </w:r>
      <w:r w:rsidR="008D55B4" w:rsidRPr="00476DF1">
        <w:rPr>
          <w:rFonts w:ascii="Times New Roman" w:hAnsi="Times New Roman"/>
          <w:sz w:val="24"/>
          <w:szCs w:val="24"/>
        </w:rPr>
        <w:t xml:space="preserve"> </w:t>
      </w:r>
      <w:r w:rsidRPr="00476DF1">
        <w:rPr>
          <w:rFonts w:ascii="Times New Roman" w:hAnsi="Times New Roman"/>
          <w:sz w:val="24"/>
          <w:szCs w:val="24"/>
        </w:rPr>
        <w:t>Here, we combine</w:t>
      </w:r>
      <w:r w:rsidR="00B14D24" w:rsidRPr="00476DF1">
        <w:rPr>
          <w:rFonts w:ascii="Times New Roman" w:hAnsi="Times New Roman"/>
          <w:sz w:val="24"/>
          <w:szCs w:val="24"/>
        </w:rPr>
        <w:t xml:space="preserve"> t</w:t>
      </w:r>
      <w:r w:rsidR="008D55B4" w:rsidRPr="00476DF1">
        <w:rPr>
          <w:rFonts w:ascii="Times New Roman" w:hAnsi="Times New Roman"/>
          <w:sz w:val="24"/>
          <w:szCs w:val="24"/>
        </w:rPr>
        <w:t>he direct use of patents with citation lags</w:t>
      </w:r>
      <w:r w:rsidR="002B1DA7" w:rsidRPr="00476DF1">
        <w:rPr>
          <w:rFonts w:ascii="Times New Roman" w:hAnsi="Times New Roman"/>
          <w:sz w:val="24"/>
          <w:szCs w:val="24"/>
        </w:rPr>
        <w:t>,</w:t>
      </w:r>
      <w:r w:rsidR="008D55B4" w:rsidRPr="00476DF1">
        <w:rPr>
          <w:rFonts w:ascii="Times New Roman" w:hAnsi="Times New Roman"/>
          <w:sz w:val="24"/>
          <w:szCs w:val="24"/>
        </w:rPr>
        <w:t xml:space="preserve"> </w:t>
      </w:r>
      <w:r w:rsidRPr="00476DF1">
        <w:rPr>
          <w:rFonts w:ascii="Times New Roman" w:hAnsi="Times New Roman"/>
          <w:sz w:val="24"/>
          <w:szCs w:val="24"/>
        </w:rPr>
        <w:t xml:space="preserve">following </w:t>
      </w:r>
      <w:r w:rsidR="008D55B4" w:rsidRPr="00476DF1">
        <w:rPr>
          <w:rFonts w:ascii="Times New Roman" w:hAnsi="Times New Roman"/>
          <w:sz w:val="24"/>
          <w:szCs w:val="24"/>
        </w:rPr>
        <w:t>HALL; JAFFE; TRAJTENBERG, (2001)</w:t>
      </w:r>
      <w:r w:rsidR="00260453" w:rsidRPr="00476DF1">
        <w:rPr>
          <w:rFonts w:ascii="Times New Roman" w:hAnsi="Times New Roman"/>
          <w:sz w:val="24"/>
          <w:szCs w:val="24"/>
        </w:rPr>
        <w:t xml:space="preserve"> calculation of these lags</w:t>
      </w:r>
      <w:r w:rsidR="00B14D24" w:rsidRPr="00476DF1">
        <w:rPr>
          <w:rFonts w:ascii="Times New Roman" w:hAnsi="Times New Roman"/>
          <w:sz w:val="24"/>
          <w:szCs w:val="24"/>
        </w:rPr>
        <w:t>.</w:t>
      </w:r>
      <w:r w:rsidR="008D55B4" w:rsidRPr="00476DF1">
        <w:rPr>
          <w:rFonts w:ascii="Times New Roman" w:hAnsi="Times New Roman"/>
          <w:sz w:val="24"/>
          <w:szCs w:val="24"/>
        </w:rPr>
        <w:t xml:space="preserve"> </w:t>
      </w:r>
      <w:r w:rsidR="00B14D24" w:rsidRPr="00476DF1">
        <w:rPr>
          <w:rFonts w:ascii="Times New Roman" w:hAnsi="Times New Roman"/>
          <w:sz w:val="24"/>
          <w:szCs w:val="24"/>
        </w:rPr>
        <w:t xml:space="preserve">These lags are estimations of patent citations over </w:t>
      </w:r>
      <w:r w:rsidRPr="00476DF1">
        <w:rPr>
          <w:rFonts w:ascii="Times New Roman" w:hAnsi="Times New Roman"/>
          <w:sz w:val="24"/>
          <w:szCs w:val="24"/>
        </w:rPr>
        <w:t>time and</w:t>
      </w:r>
      <w:r w:rsidR="00B14D24" w:rsidRPr="00476DF1">
        <w:rPr>
          <w:rFonts w:ascii="Times New Roman" w:hAnsi="Times New Roman"/>
          <w:sz w:val="24"/>
          <w:szCs w:val="24"/>
        </w:rPr>
        <w:t xml:space="preserve"> show the potential of </w:t>
      </w:r>
      <w:r w:rsidR="002B1DA7" w:rsidRPr="00476DF1">
        <w:rPr>
          <w:rFonts w:ascii="Times New Roman" w:hAnsi="Times New Roman"/>
          <w:sz w:val="24"/>
          <w:szCs w:val="24"/>
        </w:rPr>
        <w:t xml:space="preserve">each </w:t>
      </w:r>
      <w:r w:rsidR="00B14D24" w:rsidRPr="00476DF1">
        <w:rPr>
          <w:rFonts w:ascii="Times New Roman" w:hAnsi="Times New Roman"/>
          <w:sz w:val="24"/>
          <w:szCs w:val="24"/>
        </w:rPr>
        <w:t>patent.</w:t>
      </w:r>
    </w:p>
    <w:p w14:paraId="35F7221B" w14:textId="77777777" w:rsidR="00BA4A29" w:rsidRPr="00476DF1" w:rsidRDefault="00FF7572"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The indirect form of contribution requires </w:t>
      </w:r>
      <w:r w:rsidR="004179D2" w:rsidRPr="00476DF1">
        <w:rPr>
          <w:rFonts w:ascii="Times New Roman" w:hAnsi="Times New Roman"/>
          <w:sz w:val="24"/>
          <w:szCs w:val="24"/>
        </w:rPr>
        <w:t xml:space="preserve">that we compile </w:t>
      </w:r>
      <w:r w:rsidR="00705A00" w:rsidRPr="00476DF1">
        <w:rPr>
          <w:rFonts w:ascii="Times New Roman" w:hAnsi="Times New Roman"/>
          <w:sz w:val="24"/>
          <w:szCs w:val="24"/>
        </w:rPr>
        <w:t xml:space="preserve">the small </w:t>
      </w:r>
      <w:r w:rsidR="00BD2111" w:rsidRPr="00476DF1">
        <w:rPr>
          <w:rFonts w:ascii="Times New Roman" w:hAnsi="Times New Roman"/>
          <w:sz w:val="24"/>
          <w:szCs w:val="24"/>
        </w:rPr>
        <w:t>enterprises</w:t>
      </w:r>
      <w:r w:rsidRPr="00476DF1">
        <w:rPr>
          <w:rFonts w:ascii="Times New Roman" w:hAnsi="Times New Roman"/>
          <w:sz w:val="24"/>
          <w:szCs w:val="24"/>
        </w:rPr>
        <w:t>’</w:t>
      </w:r>
      <w:r w:rsidR="00705A00" w:rsidRPr="00476DF1">
        <w:rPr>
          <w:rFonts w:ascii="Times New Roman" w:hAnsi="Times New Roman"/>
          <w:sz w:val="24"/>
          <w:szCs w:val="24"/>
        </w:rPr>
        <w:t xml:space="preserve"> knowledge set. </w:t>
      </w:r>
      <w:r w:rsidR="004179D2" w:rsidRPr="00476DF1">
        <w:rPr>
          <w:rFonts w:ascii="Times New Roman" w:hAnsi="Times New Roman"/>
          <w:sz w:val="24"/>
          <w:szCs w:val="24"/>
        </w:rPr>
        <w:t>We do this</w:t>
      </w:r>
      <w:r w:rsidR="00705A00" w:rsidRPr="00476DF1">
        <w:rPr>
          <w:rFonts w:ascii="Times New Roman" w:hAnsi="Times New Roman"/>
          <w:sz w:val="24"/>
          <w:szCs w:val="24"/>
        </w:rPr>
        <w:t xml:space="preserve"> by gathering </w:t>
      </w:r>
      <w:r w:rsidR="002B1DA7" w:rsidRPr="00476DF1">
        <w:rPr>
          <w:rFonts w:ascii="Times New Roman" w:hAnsi="Times New Roman"/>
          <w:sz w:val="24"/>
          <w:szCs w:val="24"/>
        </w:rPr>
        <w:t xml:space="preserve">the </w:t>
      </w:r>
      <w:r w:rsidR="00705A00" w:rsidRPr="00476DF1">
        <w:rPr>
          <w:rFonts w:ascii="Times New Roman" w:hAnsi="Times New Roman"/>
          <w:sz w:val="24"/>
          <w:szCs w:val="24"/>
        </w:rPr>
        <w:t>patent class</w:t>
      </w:r>
      <w:r w:rsidR="002B1DA7" w:rsidRPr="00476DF1">
        <w:rPr>
          <w:rFonts w:ascii="Times New Roman" w:hAnsi="Times New Roman"/>
          <w:sz w:val="24"/>
          <w:szCs w:val="24"/>
        </w:rPr>
        <w:t>es</w:t>
      </w:r>
      <w:r w:rsidR="00705A00" w:rsidRPr="00476DF1">
        <w:rPr>
          <w:rFonts w:ascii="Times New Roman" w:hAnsi="Times New Roman"/>
          <w:sz w:val="24"/>
          <w:szCs w:val="24"/>
        </w:rPr>
        <w:t xml:space="preserve"> and subclasses</w:t>
      </w:r>
      <w:r w:rsidR="00D21A30" w:rsidRPr="00476DF1">
        <w:rPr>
          <w:rFonts w:ascii="Times New Roman" w:hAnsi="Times New Roman"/>
          <w:sz w:val="24"/>
          <w:szCs w:val="24"/>
        </w:rPr>
        <w:t xml:space="preserve"> </w:t>
      </w:r>
      <w:r w:rsidR="004179D2" w:rsidRPr="00476DF1">
        <w:rPr>
          <w:rFonts w:ascii="Times New Roman" w:hAnsi="Times New Roman"/>
          <w:sz w:val="24"/>
          <w:szCs w:val="24"/>
        </w:rPr>
        <w:t>within the</w:t>
      </w:r>
      <w:r w:rsidR="00705A00" w:rsidRPr="00476DF1">
        <w:rPr>
          <w:rFonts w:ascii="Times New Roman" w:hAnsi="Times New Roman"/>
          <w:sz w:val="24"/>
          <w:szCs w:val="24"/>
        </w:rPr>
        <w:t xml:space="preserve"> small ent</w:t>
      </w:r>
      <w:r w:rsidR="00BD2111" w:rsidRPr="00476DF1">
        <w:rPr>
          <w:rFonts w:ascii="Times New Roman" w:hAnsi="Times New Roman"/>
          <w:sz w:val="24"/>
          <w:szCs w:val="24"/>
        </w:rPr>
        <w:t>er</w:t>
      </w:r>
      <w:r w:rsidR="00705A00" w:rsidRPr="00476DF1">
        <w:rPr>
          <w:rFonts w:ascii="Times New Roman" w:hAnsi="Times New Roman"/>
          <w:sz w:val="24"/>
          <w:szCs w:val="24"/>
        </w:rPr>
        <w:t>prises</w:t>
      </w:r>
      <w:r w:rsidR="002B1DA7" w:rsidRPr="00476DF1">
        <w:rPr>
          <w:rFonts w:ascii="Times New Roman" w:hAnsi="Times New Roman"/>
          <w:sz w:val="24"/>
          <w:szCs w:val="24"/>
        </w:rPr>
        <w:t>’</w:t>
      </w:r>
      <w:r w:rsidR="00705A00" w:rsidRPr="00476DF1">
        <w:rPr>
          <w:rFonts w:ascii="Times New Roman" w:hAnsi="Times New Roman"/>
          <w:sz w:val="24"/>
          <w:szCs w:val="24"/>
        </w:rPr>
        <w:t xml:space="preserve"> patent universe. </w:t>
      </w:r>
      <w:r w:rsidR="00776DAD" w:rsidRPr="00476DF1">
        <w:rPr>
          <w:rFonts w:ascii="Times New Roman" w:hAnsi="Times New Roman"/>
          <w:sz w:val="24"/>
          <w:szCs w:val="24"/>
        </w:rPr>
        <w:t>Th</w:t>
      </w:r>
      <w:r w:rsidR="002B1DA7" w:rsidRPr="00476DF1">
        <w:rPr>
          <w:rFonts w:ascii="Times New Roman" w:hAnsi="Times New Roman"/>
          <w:sz w:val="24"/>
          <w:szCs w:val="24"/>
        </w:rPr>
        <w:t xml:space="preserve">is will </w:t>
      </w:r>
      <w:r w:rsidR="004179D2" w:rsidRPr="00476DF1">
        <w:rPr>
          <w:rFonts w:ascii="Times New Roman" w:hAnsi="Times New Roman"/>
          <w:sz w:val="24"/>
          <w:szCs w:val="24"/>
        </w:rPr>
        <w:t>generate</w:t>
      </w:r>
      <w:r w:rsidR="002B1DA7" w:rsidRPr="00476DF1">
        <w:rPr>
          <w:rFonts w:ascii="Times New Roman" w:hAnsi="Times New Roman"/>
          <w:sz w:val="24"/>
          <w:szCs w:val="24"/>
        </w:rPr>
        <w:t xml:space="preserve"> a </w:t>
      </w:r>
      <w:r w:rsidR="004179D2" w:rsidRPr="00476DF1">
        <w:rPr>
          <w:rFonts w:ascii="Times New Roman" w:hAnsi="Times New Roman"/>
          <w:sz w:val="24"/>
          <w:szCs w:val="24"/>
        </w:rPr>
        <w:t xml:space="preserve">set </w:t>
      </w:r>
      <w:r w:rsidR="002B1DA7" w:rsidRPr="00476DF1">
        <w:rPr>
          <w:rFonts w:ascii="Times New Roman" w:hAnsi="Times New Roman"/>
          <w:sz w:val="24"/>
          <w:szCs w:val="24"/>
        </w:rPr>
        <w:t xml:space="preserve">of data </w:t>
      </w:r>
      <w:r w:rsidR="004179D2" w:rsidRPr="00476DF1">
        <w:rPr>
          <w:rFonts w:ascii="Times New Roman" w:hAnsi="Times New Roman"/>
          <w:sz w:val="24"/>
          <w:szCs w:val="24"/>
        </w:rPr>
        <w:t>consisting of</w:t>
      </w:r>
      <w:r w:rsidR="002B1DA7" w:rsidRPr="00476DF1">
        <w:rPr>
          <w:rFonts w:ascii="Times New Roman" w:hAnsi="Times New Roman"/>
          <w:sz w:val="24"/>
          <w:szCs w:val="24"/>
        </w:rPr>
        <w:t xml:space="preserve"> all the patents classes dominated by the small enterprise. </w:t>
      </w:r>
      <w:r w:rsidR="004179D2" w:rsidRPr="00476DF1">
        <w:rPr>
          <w:rFonts w:ascii="Times New Roman" w:hAnsi="Times New Roman"/>
          <w:sz w:val="24"/>
          <w:szCs w:val="24"/>
        </w:rPr>
        <w:t xml:space="preserve">To </w:t>
      </w:r>
      <w:r w:rsidR="002B1DA7" w:rsidRPr="00476DF1">
        <w:rPr>
          <w:rFonts w:ascii="Times New Roman" w:hAnsi="Times New Roman"/>
          <w:sz w:val="24"/>
          <w:szCs w:val="24"/>
        </w:rPr>
        <w:t xml:space="preserve">build a correlation, </w:t>
      </w:r>
      <w:r w:rsidR="004179D2" w:rsidRPr="00476DF1">
        <w:rPr>
          <w:rFonts w:ascii="Times New Roman" w:hAnsi="Times New Roman"/>
          <w:sz w:val="24"/>
          <w:szCs w:val="24"/>
        </w:rPr>
        <w:t>we need</w:t>
      </w:r>
      <w:r w:rsidR="002B1DA7" w:rsidRPr="00476DF1">
        <w:rPr>
          <w:rFonts w:ascii="Times New Roman" w:hAnsi="Times New Roman"/>
          <w:sz w:val="24"/>
          <w:szCs w:val="24"/>
        </w:rPr>
        <w:t xml:space="preserve"> observe when the </w:t>
      </w:r>
      <w:r w:rsidR="00726537" w:rsidRPr="00476DF1">
        <w:rPr>
          <w:rFonts w:ascii="Times New Roman" w:hAnsi="Times New Roman"/>
          <w:sz w:val="24"/>
          <w:szCs w:val="24"/>
        </w:rPr>
        <w:t>Big Pharma</w:t>
      </w:r>
      <w:r w:rsidR="002B1DA7" w:rsidRPr="00476DF1">
        <w:rPr>
          <w:rFonts w:ascii="Times New Roman" w:hAnsi="Times New Roman"/>
          <w:sz w:val="24"/>
          <w:szCs w:val="24"/>
        </w:rPr>
        <w:t xml:space="preserve"> </w:t>
      </w:r>
      <w:r w:rsidR="004179D2" w:rsidRPr="00476DF1">
        <w:rPr>
          <w:rFonts w:ascii="Times New Roman" w:hAnsi="Times New Roman"/>
          <w:sz w:val="24"/>
          <w:szCs w:val="24"/>
        </w:rPr>
        <w:t xml:space="preserve">firms </w:t>
      </w:r>
      <w:r w:rsidR="002B1DA7" w:rsidRPr="00476DF1">
        <w:rPr>
          <w:rFonts w:ascii="Times New Roman" w:hAnsi="Times New Roman"/>
          <w:sz w:val="24"/>
          <w:szCs w:val="24"/>
        </w:rPr>
        <w:t xml:space="preserve">started to issue patents in the same classes held by </w:t>
      </w:r>
      <w:r w:rsidR="00776DAD" w:rsidRPr="00476DF1">
        <w:rPr>
          <w:rFonts w:ascii="Times New Roman" w:hAnsi="Times New Roman"/>
          <w:sz w:val="24"/>
          <w:szCs w:val="24"/>
        </w:rPr>
        <w:t>the small enterprise</w:t>
      </w:r>
      <w:r w:rsidR="002B1DA7" w:rsidRPr="00476DF1">
        <w:rPr>
          <w:rFonts w:ascii="Times New Roman" w:hAnsi="Times New Roman"/>
          <w:sz w:val="24"/>
          <w:szCs w:val="24"/>
        </w:rPr>
        <w:t xml:space="preserve">. </w:t>
      </w:r>
      <w:r w:rsidR="004179D2" w:rsidRPr="00476DF1">
        <w:rPr>
          <w:rFonts w:ascii="Times New Roman" w:hAnsi="Times New Roman"/>
          <w:sz w:val="24"/>
          <w:szCs w:val="24"/>
        </w:rPr>
        <w:t>This process will allow us to</w:t>
      </w:r>
      <w:r w:rsidR="002B1DA7" w:rsidRPr="00476DF1">
        <w:rPr>
          <w:rFonts w:ascii="Times New Roman" w:hAnsi="Times New Roman"/>
          <w:sz w:val="24"/>
          <w:szCs w:val="24"/>
        </w:rPr>
        <w:t xml:space="preserve"> draw an evolution</w:t>
      </w:r>
      <w:r w:rsidR="004179D2" w:rsidRPr="00476DF1">
        <w:rPr>
          <w:rFonts w:ascii="Times New Roman" w:hAnsi="Times New Roman"/>
          <w:sz w:val="24"/>
          <w:szCs w:val="24"/>
        </w:rPr>
        <w:t>ary</w:t>
      </w:r>
      <w:r w:rsidR="002B1DA7" w:rsidRPr="00476DF1">
        <w:rPr>
          <w:rFonts w:ascii="Times New Roman" w:hAnsi="Times New Roman"/>
          <w:sz w:val="24"/>
          <w:szCs w:val="24"/>
        </w:rPr>
        <w:t xml:space="preserve"> picture that compares </w:t>
      </w:r>
      <w:r w:rsidR="00776DAD" w:rsidRPr="00476DF1">
        <w:rPr>
          <w:rFonts w:ascii="Times New Roman" w:hAnsi="Times New Roman"/>
          <w:sz w:val="24"/>
          <w:szCs w:val="24"/>
        </w:rPr>
        <w:t>knowledgebase relatedness</w:t>
      </w:r>
      <w:r w:rsidR="00BA4A29" w:rsidRPr="00476DF1">
        <w:rPr>
          <w:rFonts w:ascii="Times New Roman" w:hAnsi="Times New Roman"/>
          <w:sz w:val="24"/>
          <w:szCs w:val="24"/>
        </w:rPr>
        <w:t>.</w:t>
      </w:r>
    </w:p>
    <w:p w14:paraId="42C52266" w14:textId="1E2308AC" w:rsidR="008D55B4" w:rsidRPr="00476DF1" w:rsidRDefault="00BA4A29"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The indirect technical contribution analysis is focused on the US patent classes 435 and 800, these classes, </w:t>
      </w:r>
      <w:r w:rsidR="000E0E69" w:rsidRPr="00476DF1">
        <w:rPr>
          <w:rFonts w:ascii="Times New Roman" w:hAnsi="Times New Roman"/>
          <w:sz w:val="24"/>
          <w:szCs w:val="24"/>
        </w:rPr>
        <w:t>according</w:t>
      </w:r>
      <w:r w:rsidRPr="00476DF1">
        <w:rPr>
          <w:rFonts w:ascii="Times New Roman" w:hAnsi="Times New Roman"/>
          <w:sz w:val="24"/>
          <w:szCs w:val="24"/>
        </w:rPr>
        <w:t xml:space="preserve"> to HALL;JAFFE; TRAJTENBERG (2001) </w:t>
      </w:r>
      <w:r w:rsidR="000E0E69" w:rsidRPr="00476DF1">
        <w:rPr>
          <w:rFonts w:ascii="Times New Roman" w:hAnsi="Times New Roman"/>
          <w:sz w:val="24"/>
          <w:szCs w:val="24"/>
        </w:rPr>
        <w:t xml:space="preserve">convey the biotechnologies. This focus is in accordance with the enterprises strategies to overcome the R&amp;D productivity crises </w:t>
      </w:r>
      <w:r w:rsidR="00BD2111" w:rsidRPr="00476DF1">
        <w:rPr>
          <w:rFonts w:ascii="Times New Roman" w:hAnsi="Times New Roman"/>
          <w:sz w:val="24"/>
          <w:szCs w:val="24"/>
        </w:rPr>
        <w:t xml:space="preserve"> </w:t>
      </w:r>
    </w:p>
    <w:p w14:paraId="1FC5806B" w14:textId="518571A3" w:rsidR="00A25C2F" w:rsidRPr="00476DF1" w:rsidRDefault="00C86CDA"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The te</w:t>
      </w:r>
      <w:r w:rsidR="00BD2111" w:rsidRPr="00476DF1">
        <w:rPr>
          <w:rFonts w:ascii="Times New Roman" w:hAnsi="Times New Roman"/>
          <w:sz w:val="24"/>
          <w:szCs w:val="24"/>
        </w:rPr>
        <w:t xml:space="preserve">chnical contribution </w:t>
      </w:r>
      <w:r w:rsidR="004179D2" w:rsidRPr="00476DF1">
        <w:rPr>
          <w:rFonts w:ascii="Times New Roman" w:hAnsi="Times New Roman"/>
          <w:sz w:val="24"/>
          <w:szCs w:val="24"/>
        </w:rPr>
        <w:t xml:space="preserve">analysis </w:t>
      </w:r>
      <w:r w:rsidR="00BD2111" w:rsidRPr="00476DF1">
        <w:rPr>
          <w:rFonts w:ascii="Times New Roman" w:hAnsi="Times New Roman"/>
          <w:sz w:val="24"/>
          <w:szCs w:val="24"/>
        </w:rPr>
        <w:t>is</w:t>
      </w:r>
      <w:r w:rsidRPr="00476DF1">
        <w:rPr>
          <w:rFonts w:ascii="Times New Roman" w:hAnsi="Times New Roman"/>
          <w:sz w:val="24"/>
          <w:szCs w:val="24"/>
        </w:rPr>
        <w:t xml:space="preserve"> way to observe the use of </w:t>
      </w:r>
      <w:r w:rsidR="004179D2" w:rsidRPr="00476DF1">
        <w:rPr>
          <w:rFonts w:ascii="Times New Roman" w:hAnsi="Times New Roman"/>
          <w:sz w:val="24"/>
          <w:szCs w:val="24"/>
        </w:rPr>
        <w:t xml:space="preserve">the large firm’s </w:t>
      </w:r>
      <w:r w:rsidRPr="00476DF1">
        <w:rPr>
          <w:rFonts w:ascii="Times New Roman" w:hAnsi="Times New Roman"/>
          <w:sz w:val="24"/>
          <w:szCs w:val="24"/>
        </w:rPr>
        <w:t xml:space="preserve">technical </w:t>
      </w:r>
      <w:r w:rsidR="00BD2111" w:rsidRPr="00476DF1">
        <w:rPr>
          <w:rFonts w:ascii="Times New Roman" w:hAnsi="Times New Roman"/>
          <w:sz w:val="24"/>
          <w:szCs w:val="24"/>
        </w:rPr>
        <w:t>knowledge.</w:t>
      </w:r>
      <w:r w:rsidRPr="00476DF1">
        <w:rPr>
          <w:rFonts w:ascii="Times New Roman" w:hAnsi="Times New Roman"/>
          <w:sz w:val="24"/>
          <w:szCs w:val="24"/>
        </w:rPr>
        <w:t xml:space="preserve"> </w:t>
      </w:r>
      <w:r w:rsidR="00C02C3C" w:rsidRPr="00476DF1">
        <w:rPr>
          <w:rFonts w:ascii="Times New Roman" w:hAnsi="Times New Roman"/>
          <w:sz w:val="24"/>
          <w:szCs w:val="24"/>
        </w:rPr>
        <w:t>In sum</w:t>
      </w:r>
      <w:r w:rsidR="004179D2" w:rsidRPr="00476DF1">
        <w:rPr>
          <w:rFonts w:ascii="Times New Roman" w:hAnsi="Times New Roman"/>
          <w:sz w:val="24"/>
          <w:szCs w:val="24"/>
        </w:rPr>
        <w:t>mary</w:t>
      </w:r>
      <w:r w:rsidR="00D913F2" w:rsidRPr="00476DF1">
        <w:rPr>
          <w:rFonts w:ascii="Times New Roman" w:hAnsi="Times New Roman"/>
          <w:sz w:val="24"/>
          <w:szCs w:val="24"/>
        </w:rPr>
        <w:t xml:space="preserve">, </w:t>
      </w:r>
      <w:r w:rsidR="00F429BA" w:rsidRPr="00476DF1">
        <w:rPr>
          <w:rFonts w:ascii="Times New Roman" w:hAnsi="Times New Roman"/>
          <w:sz w:val="24"/>
          <w:szCs w:val="24"/>
        </w:rPr>
        <w:t xml:space="preserve">it </w:t>
      </w:r>
      <w:r w:rsidR="00C02C3C" w:rsidRPr="00476DF1">
        <w:rPr>
          <w:rFonts w:ascii="Times New Roman" w:hAnsi="Times New Roman"/>
          <w:sz w:val="24"/>
          <w:szCs w:val="24"/>
        </w:rPr>
        <w:t>show</w:t>
      </w:r>
      <w:r w:rsidR="00F429BA" w:rsidRPr="00476DF1">
        <w:rPr>
          <w:rFonts w:ascii="Times New Roman" w:hAnsi="Times New Roman"/>
          <w:sz w:val="24"/>
          <w:szCs w:val="24"/>
        </w:rPr>
        <w:t>s</w:t>
      </w:r>
      <w:r w:rsidR="00C02C3C" w:rsidRPr="00476DF1">
        <w:rPr>
          <w:rFonts w:ascii="Times New Roman" w:hAnsi="Times New Roman"/>
          <w:sz w:val="24"/>
          <w:szCs w:val="24"/>
        </w:rPr>
        <w:t xml:space="preserve"> </w:t>
      </w:r>
      <w:r w:rsidR="004179D2" w:rsidRPr="00476DF1">
        <w:rPr>
          <w:rFonts w:ascii="Times New Roman" w:hAnsi="Times New Roman"/>
          <w:sz w:val="24"/>
          <w:szCs w:val="24"/>
        </w:rPr>
        <w:t xml:space="preserve">the process of </w:t>
      </w:r>
      <w:r w:rsidR="00C02C3C" w:rsidRPr="00476DF1">
        <w:rPr>
          <w:rFonts w:ascii="Times New Roman" w:hAnsi="Times New Roman"/>
          <w:sz w:val="24"/>
          <w:szCs w:val="24"/>
        </w:rPr>
        <w:t xml:space="preserve">evolution of competence </w:t>
      </w:r>
      <w:r w:rsidR="00D913F2" w:rsidRPr="00476DF1">
        <w:rPr>
          <w:rFonts w:ascii="Times New Roman" w:hAnsi="Times New Roman"/>
          <w:sz w:val="24"/>
          <w:szCs w:val="24"/>
        </w:rPr>
        <w:t xml:space="preserve">development and </w:t>
      </w:r>
      <w:r w:rsidR="00C02C3C" w:rsidRPr="00476DF1">
        <w:rPr>
          <w:rFonts w:ascii="Times New Roman" w:hAnsi="Times New Roman"/>
          <w:sz w:val="24"/>
          <w:szCs w:val="24"/>
        </w:rPr>
        <w:t>creation. By doing this</w:t>
      </w:r>
      <w:r w:rsidR="00031FB3" w:rsidRPr="00476DF1">
        <w:rPr>
          <w:rFonts w:ascii="Times New Roman" w:hAnsi="Times New Roman"/>
          <w:sz w:val="24"/>
          <w:szCs w:val="24"/>
        </w:rPr>
        <w:t>,</w:t>
      </w:r>
      <w:r w:rsidR="00C02C3C" w:rsidRPr="00476DF1">
        <w:rPr>
          <w:rFonts w:ascii="Times New Roman" w:hAnsi="Times New Roman"/>
          <w:sz w:val="24"/>
          <w:szCs w:val="24"/>
        </w:rPr>
        <w:t xml:space="preserve"> </w:t>
      </w:r>
      <w:r w:rsidR="004179D2" w:rsidRPr="00476DF1">
        <w:rPr>
          <w:rFonts w:ascii="Times New Roman" w:hAnsi="Times New Roman"/>
          <w:sz w:val="24"/>
          <w:szCs w:val="24"/>
        </w:rPr>
        <w:t xml:space="preserve">we </w:t>
      </w:r>
      <w:r w:rsidR="0001697A" w:rsidRPr="00476DF1">
        <w:rPr>
          <w:rFonts w:ascii="Times New Roman" w:hAnsi="Times New Roman"/>
          <w:sz w:val="24"/>
          <w:szCs w:val="24"/>
        </w:rPr>
        <w:t xml:space="preserve">can </w:t>
      </w:r>
      <w:r w:rsidR="00C02C3C" w:rsidRPr="00476DF1">
        <w:rPr>
          <w:rFonts w:ascii="Times New Roman" w:hAnsi="Times New Roman"/>
          <w:sz w:val="24"/>
          <w:szCs w:val="24"/>
        </w:rPr>
        <w:lastRenderedPageBreak/>
        <w:t xml:space="preserve">observe when the acquiring company began to incorporate new classes and subclasses </w:t>
      </w:r>
      <w:r w:rsidR="004179D2" w:rsidRPr="00476DF1">
        <w:rPr>
          <w:rFonts w:ascii="Times New Roman" w:hAnsi="Times New Roman"/>
          <w:sz w:val="24"/>
          <w:szCs w:val="24"/>
        </w:rPr>
        <w:t>in</w:t>
      </w:r>
      <w:r w:rsidR="00C02C3C" w:rsidRPr="00476DF1">
        <w:rPr>
          <w:rFonts w:ascii="Times New Roman" w:hAnsi="Times New Roman"/>
          <w:sz w:val="24"/>
          <w:szCs w:val="24"/>
        </w:rPr>
        <w:t>to its technical knowledge set.</w:t>
      </w:r>
    </w:p>
    <w:p w14:paraId="7BE11E88" w14:textId="2A5C3204" w:rsidR="002214FC" w:rsidRPr="00476DF1" w:rsidRDefault="002E73D1" w:rsidP="00CE4BBE">
      <w:pPr>
        <w:pStyle w:val="Ttulo3"/>
        <w:numPr>
          <w:ilvl w:val="0"/>
          <w:numId w:val="0"/>
        </w:numPr>
        <w:spacing w:line="240" w:lineRule="auto"/>
        <w:ind w:left="720" w:hanging="720"/>
      </w:pPr>
      <w:bookmarkStart w:id="10" w:name="_Toc465849079"/>
      <w:r w:rsidRPr="00476DF1">
        <w:t>2.2.2</w:t>
      </w:r>
      <w:r w:rsidRPr="00476DF1">
        <w:tab/>
      </w:r>
      <w:r w:rsidR="00B328D6" w:rsidRPr="00476DF1">
        <w:t xml:space="preserve">Skill contribution </w:t>
      </w:r>
      <w:bookmarkEnd w:id="10"/>
    </w:p>
    <w:p w14:paraId="4476F313" w14:textId="0474214F" w:rsidR="00C86CDA" w:rsidRPr="00476DF1" w:rsidRDefault="00F429BA"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P</w:t>
      </w:r>
      <w:r w:rsidR="00C86CDA" w:rsidRPr="00476DF1">
        <w:rPr>
          <w:rFonts w:ascii="Times New Roman" w:hAnsi="Times New Roman"/>
          <w:sz w:val="24"/>
          <w:szCs w:val="24"/>
        </w:rPr>
        <w:t xml:space="preserve">atents </w:t>
      </w:r>
      <w:r w:rsidR="004179D2" w:rsidRPr="00476DF1">
        <w:rPr>
          <w:rFonts w:ascii="Times New Roman" w:hAnsi="Times New Roman"/>
          <w:sz w:val="24"/>
          <w:szCs w:val="24"/>
        </w:rPr>
        <w:t>reflect only a part of</w:t>
      </w:r>
      <w:r w:rsidR="00E07F97" w:rsidRPr="00476DF1">
        <w:rPr>
          <w:rFonts w:ascii="Times New Roman" w:hAnsi="Times New Roman"/>
          <w:sz w:val="24"/>
          <w:szCs w:val="24"/>
        </w:rPr>
        <w:t xml:space="preserve"> </w:t>
      </w:r>
      <w:r w:rsidR="009C20DC" w:rsidRPr="00476DF1">
        <w:rPr>
          <w:rFonts w:ascii="Times New Roman" w:hAnsi="Times New Roman"/>
          <w:sz w:val="24"/>
          <w:szCs w:val="24"/>
        </w:rPr>
        <w:t xml:space="preserve">the </w:t>
      </w:r>
      <w:r w:rsidR="00E07F97" w:rsidRPr="00476DF1">
        <w:rPr>
          <w:rFonts w:ascii="Times New Roman" w:hAnsi="Times New Roman"/>
          <w:sz w:val="24"/>
          <w:szCs w:val="24"/>
        </w:rPr>
        <w:t xml:space="preserve">knowledge available for the </w:t>
      </w:r>
      <w:r w:rsidR="008E4B1F" w:rsidRPr="00476DF1">
        <w:rPr>
          <w:rFonts w:ascii="Times New Roman" w:hAnsi="Times New Roman"/>
          <w:sz w:val="24"/>
          <w:szCs w:val="24"/>
        </w:rPr>
        <w:t>enterprises</w:t>
      </w:r>
      <w:r w:rsidR="00E07F97" w:rsidRPr="00476DF1">
        <w:rPr>
          <w:rFonts w:ascii="Times New Roman" w:hAnsi="Times New Roman"/>
          <w:sz w:val="24"/>
          <w:szCs w:val="24"/>
        </w:rPr>
        <w:t xml:space="preserve"> that engage in </w:t>
      </w:r>
      <w:r w:rsidR="008E4B1F" w:rsidRPr="00476DF1">
        <w:rPr>
          <w:rFonts w:ascii="Times New Roman" w:hAnsi="Times New Roman"/>
          <w:sz w:val="24"/>
          <w:szCs w:val="24"/>
        </w:rPr>
        <w:t>acquisitions</w:t>
      </w:r>
      <w:r w:rsidR="00E07F97" w:rsidRPr="00476DF1">
        <w:rPr>
          <w:rFonts w:ascii="Times New Roman" w:hAnsi="Times New Roman"/>
          <w:sz w:val="24"/>
          <w:szCs w:val="24"/>
        </w:rPr>
        <w:t xml:space="preserve">. Patents as techniques are “inherited” in the acquisition process. Nevertheless, the </w:t>
      </w:r>
      <w:r w:rsidR="008E4B1F" w:rsidRPr="00476DF1">
        <w:rPr>
          <w:rFonts w:ascii="Times New Roman" w:hAnsi="Times New Roman"/>
          <w:sz w:val="24"/>
          <w:szCs w:val="24"/>
        </w:rPr>
        <w:t>scientists</w:t>
      </w:r>
      <w:r w:rsidR="00E07F97" w:rsidRPr="00476DF1">
        <w:rPr>
          <w:rFonts w:ascii="Times New Roman" w:hAnsi="Times New Roman"/>
          <w:sz w:val="24"/>
          <w:szCs w:val="24"/>
        </w:rPr>
        <w:t xml:space="preserve"> that work in a</w:t>
      </w:r>
      <w:r w:rsidR="00D21A30" w:rsidRPr="00476DF1">
        <w:rPr>
          <w:rFonts w:ascii="Times New Roman" w:hAnsi="Times New Roman"/>
          <w:sz w:val="24"/>
          <w:szCs w:val="24"/>
        </w:rPr>
        <w:t xml:space="preserve">n </w:t>
      </w:r>
      <w:r w:rsidRPr="00476DF1">
        <w:rPr>
          <w:rFonts w:ascii="Times New Roman" w:hAnsi="Times New Roman"/>
          <w:sz w:val="24"/>
          <w:szCs w:val="24"/>
        </w:rPr>
        <w:t>enterprise</w:t>
      </w:r>
      <w:r w:rsidR="00E07F97" w:rsidRPr="00476DF1">
        <w:rPr>
          <w:rFonts w:ascii="Times New Roman" w:hAnsi="Times New Roman"/>
          <w:sz w:val="24"/>
          <w:szCs w:val="24"/>
        </w:rPr>
        <w:t xml:space="preserve"> are another important source of knowledge.</w:t>
      </w:r>
    </w:p>
    <w:p w14:paraId="2257E97C" w14:textId="219283F7" w:rsidR="00E07F97" w:rsidRPr="00476DF1" w:rsidRDefault="00B328D6"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On </w:t>
      </w:r>
      <w:r w:rsidR="009C20DC" w:rsidRPr="00476DF1">
        <w:rPr>
          <w:rFonts w:ascii="Times New Roman" w:hAnsi="Times New Roman"/>
          <w:sz w:val="24"/>
          <w:szCs w:val="24"/>
        </w:rPr>
        <w:t xml:space="preserve">the </w:t>
      </w:r>
      <w:r w:rsidRPr="00476DF1">
        <w:rPr>
          <w:rFonts w:ascii="Times New Roman" w:hAnsi="Times New Roman"/>
          <w:sz w:val="24"/>
          <w:szCs w:val="24"/>
        </w:rPr>
        <w:t>one hand, t</w:t>
      </w:r>
      <w:r w:rsidR="00EF42AA" w:rsidRPr="00476DF1">
        <w:rPr>
          <w:rFonts w:ascii="Times New Roman" w:hAnsi="Times New Roman"/>
          <w:sz w:val="24"/>
          <w:szCs w:val="24"/>
        </w:rPr>
        <w:t>he technological knowledge described in a patent</w:t>
      </w:r>
      <w:r w:rsidR="00E07F97" w:rsidRPr="00476DF1">
        <w:rPr>
          <w:rFonts w:ascii="Times New Roman" w:hAnsi="Times New Roman"/>
          <w:sz w:val="24"/>
          <w:szCs w:val="24"/>
        </w:rPr>
        <w:t xml:space="preserve"> is very specific and has a particular purpose, as </w:t>
      </w:r>
      <w:r w:rsidR="009C20DC" w:rsidRPr="00476DF1">
        <w:rPr>
          <w:rFonts w:ascii="Times New Roman" w:hAnsi="Times New Roman"/>
          <w:sz w:val="24"/>
          <w:szCs w:val="24"/>
        </w:rPr>
        <w:t>the</w:t>
      </w:r>
      <w:r w:rsidR="00E07F97" w:rsidRPr="00476DF1">
        <w:rPr>
          <w:rFonts w:ascii="Times New Roman" w:hAnsi="Times New Roman"/>
          <w:sz w:val="24"/>
          <w:szCs w:val="24"/>
        </w:rPr>
        <w:t xml:space="preserve"> example of patent No. 8,426,363 (see pg. </w:t>
      </w:r>
      <w:r w:rsidR="00EF42AA" w:rsidRPr="00476DF1">
        <w:rPr>
          <w:rFonts w:ascii="Times New Roman" w:hAnsi="Times New Roman"/>
          <w:sz w:val="24"/>
          <w:szCs w:val="24"/>
        </w:rPr>
        <w:t>6</w:t>
      </w:r>
      <w:r w:rsidR="00E07F97" w:rsidRPr="00476DF1">
        <w:rPr>
          <w:rFonts w:ascii="Times New Roman" w:hAnsi="Times New Roman"/>
          <w:sz w:val="24"/>
          <w:szCs w:val="24"/>
        </w:rPr>
        <w:t>)</w:t>
      </w:r>
      <w:r w:rsidR="009C20DC" w:rsidRPr="00476DF1">
        <w:rPr>
          <w:rFonts w:ascii="Times New Roman" w:hAnsi="Times New Roman"/>
          <w:sz w:val="24"/>
          <w:szCs w:val="24"/>
        </w:rPr>
        <w:t xml:space="preserve"> shows</w:t>
      </w:r>
      <w:r w:rsidR="00E07F97" w:rsidRPr="00476DF1">
        <w:rPr>
          <w:rFonts w:ascii="Times New Roman" w:hAnsi="Times New Roman"/>
          <w:sz w:val="24"/>
          <w:szCs w:val="24"/>
        </w:rPr>
        <w:t>.</w:t>
      </w:r>
      <w:r w:rsidR="00EF42AA" w:rsidRPr="00476DF1">
        <w:rPr>
          <w:rFonts w:ascii="Times New Roman" w:hAnsi="Times New Roman"/>
          <w:sz w:val="24"/>
          <w:szCs w:val="24"/>
        </w:rPr>
        <w:t xml:space="preserve"> </w:t>
      </w:r>
      <w:r w:rsidRPr="00476DF1">
        <w:rPr>
          <w:rFonts w:ascii="Times New Roman" w:hAnsi="Times New Roman"/>
          <w:sz w:val="24"/>
          <w:szCs w:val="24"/>
        </w:rPr>
        <w:t xml:space="preserve">On the other hand, </w:t>
      </w:r>
      <w:r w:rsidR="00230DC7" w:rsidRPr="00476DF1">
        <w:rPr>
          <w:rFonts w:ascii="Times New Roman" w:hAnsi="Times New Roman"/>
          <w:sz w:val="24"/>
          <w:szCs w:val="24"/>
        </w:rPr>
        <w:t>s</w:t>
      </w:r>
      <w:r w:rsidR="00E07F97" w:rsidRPr="00476DF1">
        <w:rPr>
          <w:rFonts w:ascii="Times New Roman" w:hAnsi="Times New Roman"/>
          <w:sz w:val="24"/>
          <w:szCs w:val="24"/>
        </w:rPr>
        <w:t>kills</w:t>
      </w:r>
      <w:r w:rsidR="00EF42AA" w:rsidRPr="00476DF1">
        <w:rPr>
          <w:rFonts w:ascii="Times New Roman" w:hAnsi="Times New Roman"/>
          <w:sz w:val="24"/>
          <w:szCs w:val="24"/>
        </w:rPr>
        <w:t xml:space="preserve"> </w:t>
      </w:r>
      <w:r w:rsidR="00E07F97" w:rsidRPr="00476DF1">
        <w:rPr>
          <w:rFonts w:ascii="Times New Roman" w:hAnsi="Times New Roman"/>
          <w:sz w:val="24"/>
          <w:szCs w:val="24"/>
        </w:rPr>
        <w:t xml:space="preserve">have </w:t>
      </w:r>
      <w:r w:rsidR="009C20DC" w:rsidRPr="00476DF1">
        <w:rPr>
          <w:rFonts w:ascii="Times New Roman" w:hAnsi="Times New Roman"/>
          <w:sz w:val="24"/>
          <w:szCs w:val="24"/>
        </w:rPr>
        <w:t xml:space="preserve">the </w:t>
      </w:r>
      <w:r w:rsidR="00E07F97" w:rsidRPr="00476DF1">
        <w:rPr>
          <w:rFonts w:ascii="Times New Roman" w:hAnsi="Times New Roman"/>
          <w:sz w:val="24"/>
          <w:szCs w:val="24"/>
        </w:rPr>
        <w:t>characteristic of being more elastic and amorphous</w:t>
      </w:r>
      <w:r w:rsidR="009C20DC" w:rsidRPr="00476DF1">
        <w:rPr>
          <w:rFonts w:ascii="Times New Roman" w:hAnsi="Times New Roman"/>
          <w:sz w:val="24"/>
          <w:szCs w:val="24"/>
        </w:rPr>
        <w:t>. T</w:t>
      </w:r>
      <w:r w:rsidR="00E07F97" w:rsidRPr="00476DF1">
        <w:rPr>
          <w:rFonts w:ascii="Times New Roman" w:hAnsi="Times New Roman"/>
          <w:sz w:val="24"/>
          <w:szCs w:val="24"/>
        </w:rPr>
        <w:t xml:space="preserve">hey can be considered less rigid because they can be applied </w:t>
      </w:r>
      <w:r w:rsidR="009C20DC" w:rsidRPr="00476DF1">
        <w:rPr>
          <w:rFonts w:ascii="Times New Roman" w:hAnsi="Times New Roman"/>
          <w:sz w:val="24"/>
          <w:szCs w:val="24"/>
        </w:rPr>
        <w:t xml:space="preserve">to </w:t>
      </w:r>
      <w:r w:rsidR="00E07F97" w:rsidRPr="00476DF1">
        <w:rPr>
          <w:rFonts w:ascii="Times New Roman" w:hAnsi="Times New Roman"/>
          <w:sz w:val="24"/>
          <w:szCs w:val="24"/>
        </w:rPr>
        <w:t xml:space="preserve">similar technological elements. </w:t>
      </w:r>
      <w:r w:rsidR="00D82692" w:rsidRPr="00476DF1">
        <w:rPr>
          <w:rFonts w:ascii="Times New Roman" w:hAnsi="Times New Roman"/>
          <w:sz w:val="24"/>
          <w:szCs w:val="24"/>
        </w:rPr>
        <w:t>Skills with g</w:t>
      </w:r>
      <w:r w:rsidR="00E07F97" w:rsidRPr="00476DF1">
        <w:rPr>
          <w:rFonts w:ascii="Times New Roman" w:hAnsi="Times New Roman"/>
          <w:sz w:val="24"/>
          <w:szCs w:val="24"/>
        </w:rPr>
        <w:t>reater flexibility allows scientist</w:t>
      </w:r>
      <w:r w:rsidR="00D82692" w:rsidRPr="00476DF1">
        <w:rPr>
          <w:rFonts w:ascii="Times New Roman" w:hAnsi="Times New Roman"/>
          <w:sz w:val="24"/>
          <w:szCs w:val="24"/>
        </w:rPr>
        <w:t>s</w:t>
      </w:r>
      <w:r w:rsidR="00E07F97" w:rsidRPr="00476DF1">
        <w:rPr>
          <w:rFonts w:ascii="Times New Roman" w:hAnsi="Times New Roman"/>
          <w:sz w:val="24"/>
          <w:szCs w:val="24"/>
        </w:rPr>
        <w:t xml:space="preserve"> to employ them in similar research</w:t>
      </w:r>
      <w:r w:rsidR="00F429BA" w:rsidRPr="00476DF1">
        <w:rPr>
          <w:rFonts w:ascii="Times New Roman" w:hAnsi="Times New Roman"/>
          <w:sz w:val="24"/>
          <w:szCs w:val="24"/>
        </w:rPr>
        <w:t xml:space="preserve"> subjects</w:t>
      </w:r>
      <w:r w:rsidR="00E07F97" w:rsidRPr="00476DF1">
        <w:rPr>
          <w:rFonts w:ascii="Times New Roman" w:hAnsi="Times New Roman"/>
          <w:sz w:val="24"/>
          <w:szCs w:val="24"/>
        </w:rPr>
        <w:t xml:space="preserve"> that will lead to different kind of drugs. Nevertheless, the drug purposes should not be so </w:t>
      </w:r>
      <w:r w:rsidR="00D82692" w:rsidRPr="00476DF1">
        <w:rPr>
          <w:rFonts w:ascii="Times New Roman" w:hAnsi="Times New Roman"/>
          <w:sz w:val="24"/>
          <w:szCs w:val="24"/>
        </w:rPr>
        <w:t>distinct</w:t>
      </w:r>
      <w:r w:rsidR="00E07F97" w:rsidRPr="00476DF1">
        <w:rPr>
          <w:rFonts w:ascii="Times New Roman" w:hAnsi="Times New Roman"/>
          <w:sz w:val="24"/>
          <w:szCs w:val="24"/>
        </w:rPr>
        <w:t xml:space="preserve">. The same scientist can work </w:t>
      </w:r>
      <w:r w:rsidR="00D82692" w:rsidRPr="00476DF1">
        <w:rPr>
          <w:rFonts w:ascii="Times New Roman" w:hAnsi="Times New Roman"/>
          <w:sz w:val="24"/>
          <w:szCs w:val="24"/>
        </w:rPr>
        <w:t xml:space="preserve">on </w:t>
      </w:r>
      <w:r w:rsidR="00E07F97" w:rsidRPr="00476DF1">
        <w:rPr>
          <w:rFonts w:ascii="Times New Roman" w:hAnsi="Times New Roman"/>
          <w:sz w:val="24"/>
          <w:szCs w:val="24"/>
        </w:rPr>
        <w:t>a series of research that encompass the same mechanism</w:t>
      </w:r>
      <w:r w:rsidR="00D82692" w:rsidRPr="00476DF1">
        <w:rPr>
          <w:rFonts w:ascii="Times New Roman" w:hAnsi="Times New Roman"/>
          <w:sz w:val="24"/>
          <w:szCs w:val="24"/>
        </w:rPr>
        <w:t>,</w:t>
      </w:r>
      <w:r w:rsidR="00E07F97" w:rsidRPr="00476DF1">
        <w:rPr>
          <w:rFonts w:ascii="Times New Roman" w:hAnsi="Times New Roman"/>
          <w:sz w:val="24"/>
          <w:szCs w:val="24"/>
        </w:rPr>
        <w:t xml:space="preserve"> such as inhibition of a cell receptor. Arguably, inhibiting a cellular receptor has the same principle, </w:t>
      </w:r>
      <w:r w:rsidR="00D82692" w:rsidRPr="00476DF1">
        <w:rPr>
          <w:rFonts w:ascii="Times New Roman" w:hAnsi="Times New Roman"/>
          <w:sz w:val="24"/>
          <w:szCs w:val="24"/>
        </w:rPr>
        <w:t>whether this</w:t>
      </w:r>
      <w:r w:rsidR="00E07F97" w:rsidRPr="00476DF1">
        <w:rPr>
          <w:rFonts w:ascii="Times New Roman" w:hAnsi="Times New Roman"/>
          <w:sz w:val="24"/>
          <w:szCs w:val="24"/>
        </w:rPr>
        <w:t xml:space="preserve"> receptor is responsible for kidney or liver enzymes. Yet</w:t>
      </w:r>
      <w:r w:rsidR="00F429BA" w:rsidRPr="00476DF1">
        <w:rPr>
          <w:rFonts w:ascii="Times New Roman" w:hAnsi="Times New Roman"/>
          <w:sz w:val="24"/>
          <w:szCs w:val="24"/>
        </w:rPr>
        <w:t>,</w:t>
      </w:r>
      <w:r w:rsidR="00E07F97" w:rsidRPr="00476DF1">
        <w:rPr>
          <w:rFonts w:ascii="Times New Roman" w:hAnsi="Times New Roman"/>
          <w:sz w:val="24"/>
          <w:szCs w:val="24"/>
        </w:rPr>
        <w:t xml:space="preserve"> technical knowledge, as patent 8,426,363</w:t>
      </w:r>
      <w:r w:rsidR="00D82692" w:rsidRPr="00476DF1">
        <w:rPr>
          <w:rFonts w:ascii="Times New Roman" w:hAnsi="Times New Roman"/>
          <w:sz w:val="24"/>
          <w:szCs w:val="24"/>
        </w:rPr>
        <w:t xml:space="preserve"> shows</w:t>
      </w:r>
      <w:r w:rsidR="00E07F97" w:rsidRPr="00476DF1">
        <w:rPr>
          <w:rFonts w:ascii="Times New Roman" w:hAnsi="Times New Roman"/>
          <w:sz w:val="24"/>
          <w:szCs w:val="24"/>
        </w:rPr>
        <w:t xml:space="preserve">, cannot be applied to anything other than what it describes. In contrast, </w:t>
      </w:r>
      <w:r w:rsidR="00D82692" w:rsidRPr="00476DF1">
        <w:rPr>
          <w:rFonts w:ascii="Times New Roman" w:hAnsi="Times New Roman"/>
          <w:sz w:val="24"/>
          <w:szCs w:val="24"/>
        </w:rPr>
        <w:t xml:space="preserve">the </w:t>
      </w:r>
      <w:r w:rsidR="00E07F97" w:rsidRPr="00476DF1">
        <w:rPr>
          <w:rFonts w:ascii="Times New Roman" w:hAnsi="Times New Roman"/>
          <w:sz w:val="24"/>
          <w:szCs w:val="24"/>
        </w:rPr>
        <w:t xml:space="preserve">skills embodied in </w:t>
      </w:r>
      <w:r w:rsidR="008E4B1F" w:rsidRPr="00476DF1">
        <w:rPr>
          <w:rFonts w:ascii="Times New Roman" w:hAnsi="Times New Roman"/>
          <w:sz w:val="24"/>
          <w:szCs w:val="24"/>
        </w:rPr>
        <w:t>agents</w:t>
      </w:r>
      <w:r w:rsidR="00E07F97" w:rsidRPr="00476DF1">
        <w:rPr>
          <w:rFonts w:ascii="Times New Roman" w:hAnsi="Times New Roman"/>
          <w:sz w:val="24"/>
          <w:szCs w:val="24"/>
        </w:rPr>
        <w:t xml:space="preserve"> can be allocated </w:t>
      </w:r>
      <w:r w:rsidR="00D82692" w:rsidRPr="00476DF1">
        <w:rPr>
          <w:rFonts w:ascii="Times New Roman" w:hAnsi="Times New Roman"/>
          <w:sz w:val="24"/>
          <w:szCs w:val="24"/>
        </w:rPr>
        <w:t xml:space="preserve">to </w:t>
      </w:r>
      <w:r w:rsidR="00E07F97" w:rsidRPr="00476DF1">
        <w:rPr>
          <w:rFonts w:ascii="Times New Roman" w:hAnsi="Times New Roman"/>
          <w:sz w:val="24"/>
          <w:szCs w:val="24"/>
        </w:rPr>
        <w:t xml:space="preserve">similar </w:t>
      </w:r>
      <w:r w:rsidR="00D82692" w:rsidRPr="00476DF1">
        <w:rPr>
          <w:rFonts w:ascii="Times New Roman" w:hAnsi="Times New Roman"/>
          <w:sz w:val="24"/>
          <w:szCs w:val="24"/>
        </w:rPr>
        <w:t>R&amp;D</w:t>
      </w:r>
      <w:r w:rsidR="00E07F97" w:rsidRPr="00476DF1">
        <w:rPr>
          <w:rFonts w:ascii="Times New Roman" w:hAnsi="Times New Roman"/>
          <w:sz w:val="24"/>
          <w:szCs w:val="24"/>
        </w:rPr>
        <w:t xml:space="preserve"> processes</w:t>
      </w:r>
      <w:r w:rsidR="008E4B1F" w:rsidRPr="00476DF1">
        <w:rPr>
          <w:rFonts w:ascii="Times New Roman" w:hAnsi="Times New Roman"/>
          <w:sz w:val="24"/>
          <w:szCs w:val="24"/>
        </w:rPr>
        <w:t xml:space="preserve"> (</w:t>
      </w:r>
      <w:r w:rsidR="00460118" w:rsidRPr="00476DF1">
        <w:rPr>
          <w:rFonts w:ascii="Times New Roman" w:hAnsi="Times New Roman"/>
          <w:sz w:val="24"/>
          <w:szCs w:val="24"/>
        </w:rPr>
        <w:t>AUTHOR</w:t>
      </w:r>
      <w:r w:rsidR="008E4B1F" w:rsidRPr="00476DF1">
        <w:rPr>
          <w:rFonts w:ascii="Times New Roman" w:hAnsi="Times New Roman"/>
          <w:sz w:val="24"/>
          <w:szCs w:val="24"/>
        </w:rPr>
        <w:t>, 2016)</w:t>
      </w:r>
      <w:r w:rsidR="001A775D" w:rsidRPr="00476DF1">
        <w:rPr>
          <w:rFonts w:ascii="Times New Roman" w:hAnsi="Times New Roman"/>
          <w:sz w:val="24"/>
          <w:szCs w:val="24"/>
        </w:rPr>
        <w:t>.</w:t>
      </w:r>
    </w:p>
    <w:p w14:paraId="7E069E02" w14:textId="14E7E22C" w:rsidR="00272B59" w:rsidRPr="00476DF1" w:rsidRDefault="00E07F97"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The type</w:t>
      </w:r>
      <w:r w:rsidR="00D82692" w:rsidRPr="00476DF1">
        <w:rPr>
          <w:rFonts w:ascii="Times New Roman" w:hAnsi="Times New Roman"/>
          <w:sz w:val="24"/>
          <w:szCs w:val="24"/>
        </w:rPr>
        <w:t>s</w:t>
      </w:r>
      <w:r w:rsidRPr="00476DF1">
        <w:rPr>
          <w:rFonts w:ascii="Times New Roman" w:hAnsi="Times New Roman"/>
          <w:sz w:val="24"/>
          <w:szCs w:val="24"/>
        </w:rPr>
        <w:t xml:space="preserve"> of knowledge </w:t>
      </w:r>
      <w:r w:rsidR="008E4B1F" w:rsidRPr="00476DF1">
        <w:rPr>
          <w:rFonts w:ascii="Times New Roman" w:hAnsi="Times New Roman"/>
          <w:sz w:val="24"/>
          <w:szCs w:val="24"/>
        </w:rPr>
        <w:t>embedded</w:t>
      </w:r>
      <w:r w:rsidRPr="00476DF1">
        <w:rPr>
          <w:rFonts w:ascii="Times New Roman" w:hAnsi="Times New Roman"/>
          <w:sz w:val="24"/>
          <w:szCs w:val="24"/>
        </w:rPr>
        <w:t xml:space="preserve"> in </w:t>
      </w:r>
      <w:r w:rsidR="00D82692" w:rsidRPr="00476DF1">
        <w:rPr>
          <w:rFonts w:ascii="Times New Roman" w:hAnsi="Times New Roman"/>
          <w:sz w:val="24"/>
          <w:szCs w:val="24"/>
        </w:rPr>
        <w:t>employees</w:t>
      </w:r>
      <w:r w:rsidRPr="00476DF1">
        <w:rPr>
          <w:rFonts w:ascii="Times New Roman" w:hAnsi="Times New Roman"/>
          <w:sz w:val="24"/>
          <w:szCs w:val="24"/>
        </w:rPr>
        <w:t xml:space="preserve"> </w:t>
      </w:r>
      <w:r w:rsidR="00295332" w:rsidRPr="00476DF1">
        <w:rPr>
          <w:rFonts w:ascii="Times New Roman" w:hAnsi="Times New Roman"/>
          <w:sz w:val="24"/>
          <w:szCs w:val="24"/>
        </w:rPr>
        <w:t>are broad. Arguably</w:t>
      </w:r>
      <w:r w:rsidR="003915DA" w:rsidRPr="00476DF1">
        <w:rPr>
          <w:rFonts w:ascii="Times New Roman" w:hAnsi="Times New Roman"/>
          <w:sz w:val="24"/>
          <w:szCs w:val="24"/>
        </w:rPr>
        <w:t>,</w:t>
      </w:r>
      <w:r w:rsidR="00295332" w:rsidRPr="00476DF1">
        <w:rPr>
          <w:rFonts w:ascii="Times New Roman" w:hAnsi="Times New Roman"/>
          <w:sz w:val="24"/>
          <w:szCs w:val="24"/>
        </w:rPr>
        <w:t xml:space="preserve"> all </w:t>
      </w:r>
      <w:r w:rsidR="00D82692" w:rsidRPr="00476DF1">
        <w:rPr>
          <w:rFonts w:ascii="Times New Roman" w:hAnsi="Times New Roman"/>
          <w:sz w:val="24"/>
          <w:szCs w:val="24"/>
        </w:rPr>
        <w:t xml:space="preserve">employees </w:t>
      </w:r>
      <w:r w:rsidR="00295332" w:rsidRPr="00476DF1">
        <w:rPr>
          <w:rFonts w:ascii="Times New Roman" w:hAnsi="Times New Roman"/>
          <w:sz w:val="24"/>
          <w:szCs w:val="24"/>
        </w:rPr>
        <w:t>in a</w:t>
      </w:r>
      <w:r w:rsidR="003915DA" w:rsidRPr="00476DF1">
        <w:rPr>
          <w:rFonts w:ascii="Times New Roman" w:hAnsi="Times New Roman"/>
          <w:sz w:val="24"/>
          <w:szCs w:val="24"/>
        </w:rPr>
        <w:t>n</w:t>
      </w:r>
      <w:r w:rsidR="00295332" w:rsidRPr="00476DF1">
        <w:rPr>
          <w:rFonts w:ascii="Times New Roman" w:hAnsi="Times New Roman"/>
          <w:sz w:val="24"/>
          <w:szCs w:val="24"/>
        </w:rPr>
        <w:t xml:space="preserve"> ente</w:t>
      </w:r>
      <w:r w:rsidR="003915DA" w:rsidRPr="00476DF1">
        <w:rPr>
          <w:rFonts w:ascii="Times New Roman" w:hAnsi="Times New Roman"/>
          <w:sz w:val="24"/>
          <w:szCs w:val="24"/>
        </w:rPr>
        <w:t>r</w:t>
      </w:r>
      <w:r w:rsidR="00295332" w:rsidRPr="00476DF1">
        <w:rPr>
          <w:rFonts w:ascii="Times New Roman" w:hAnsi="Times New Roman"/>
          <w:sz w:val="24"/>
          <w:szCs w:val="24"/>
        </w:rPr>
        <w:t>prise have a certain level of skills</w:t>
      </w:r>
      <w:r w:rsidR="003915DA" w:rsidRPr="00476DF1">
        <w:rPr>
          <w:rFonts w:ascii="Times New Roman" w:hAnsi="Times New Roman"/>
          <w:sz w:val="24"/>
          <w:szCs w:val="24"/>
        </w:rPr>
        <w:t>. In an attempt to reduce this broadness</w:t>
      </w:r>
      <w:r w:rsidR="00D82692" w:rsidRPr="00476DF1">
        <w:rPr>
          <w:rFonts w:ascii="Times New Roman" w:hAnsi="Times New Roman"/>
          <w:sz w:val="24"/>
          <w:szCs w:val="24"/>
        </w:rPr>
        <w:t>, and therefore</w:t>
      </w:r>
      <w:r w:rsidR="003915DA" w:rsidRPr="00476DF1">
        <w:rPr>
          <w:rFonts w:ascii="Times New Roman" w:hAnsi="Times New Roman"/>
          <w:sz w:val="24"/>
          <w:szCs w:val="24"/>
        </w:rPr>
        <w:t xml:space="preserve"> have a better </w:t>
      </w:r>
      <w:r w:rsidR="00D82692" w:rsidRPr="00476DF1">
        <w:rPr>
          <w:rFonts w:ascii="Times New Roman" w:hAnsi="Times New Roman"/>
          <w:i/>
          <w:sz w:val="24"/>
          <w:szCs w:val="24"/>
        </w:rPr>
        <w:t>proxy</w:t>
      </w:r>
      <w:r w:rsidR="00D82692" w:rsidRPr="00476DF1">
        <w:rPr>
          <w:rFonts w:ascii="Times New Roman" w:hAnsi="Times New Roman"/>
          <w:sz w:val="24"/>
          <w:szCs w:val="24"/>
        </w:rPr>
        <w:t xml:space="preserve"> </w:t>
      </w:r>
      <w:r w:rsidR="003915DA" w:rsidRPr="00476DF1">
        <w:rPr>
          <w:rFonts w:ascii="Times New Roman" w:hAnsi="Times New Roman"/>
          <w:sz w:val="24"/>
          <w:szCs w:val="24"/>
        </w:rPr>
        <w:t>for skills</w:t>
      </w:r>
      <w:r w:rsidR="00295332" w:rsidRPr="00476DF1">
        <w:rPr>
          <w:rFonts w:ascii="Times New Roman" w:hAnsi="Times New Roman"/>
          <w:sz w:val="24"/>
          <w:szCs w:val="24"/>
        </w:rPr>
        <w:t xml:space="preserve">, </w:t>
      </w:r>
      <w:r w:rsidR="00D82692" w:rsidRPr="00476DF1">
        <w:rPr>
          <w:rFonts w:ascii="Times New Roman" w:hAnsi="Times New Roman"/>
          <w:sz w:val="24"/>
          <w:szCs w:val="24"/>
        </w:rPr>
        <w:t>we consider</w:t>
      </w:r>
      <w:r w:rsidR="00295332" w:rsidRPr="00476DF1">
        <w:rPr>
          <w:rFonts w:ascii="Times New Roman" w:hAnsi="Times New Roman"/>
          <w:sz w:val="24"/>
          <w:szCs w:val="24"/>
        </w:rPr>
        <w:t xml:space="preserve"> only R&amp;D</w:t>
      </w:r>
      <w:r w:rsidR="00B55D0F" w:rsidRPr="00476DF1">
        <w:rPr>
          <w:rFonts w:ascii="Times New Roman" w:hAnsi="Times New Roman"/>
          <w:sz w:val="24"/>
          <w:szCs w:val="24"/>
        </w:rPr>
        <w:t xml:space="preserve"> related activities</w:t>
      </w:r>
      <w:r w:rsidR="00295332" w:rsidRPr="00476DF1">
        <w:rPr>
          <w:rFonts w:ascii="Times New Roman" w:hAnsi="Times New Roman"/>
          <w:sz w:val="24"/>
          <w:szCs w:val="24"/>
        </w:rPr>
        <w:t xml:space="preserve">. </w:t>
      </w:r>
    </w:p>
    <w:p w14:paraId="21A4FBC3" w14:textId="3003DA03" w:rsidR="00EF42AA" w:rsidRPr="00476DF1" w:rsidRDefault="00B55D0F"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Another important point is the weight of </w:t>
      </w:r>
      <w:r w:rsidR="00D82692" w:rsidRPr="00476DF1">
        <w:rPr>
          <w:rFonts w:ascii="Times New Roman" w:hAnsi="Times New Roman"/>
          <w:sz w:val="24"/>
          <w:szCs w:val="24"/>
        </w:rPr>
        <w:t xml:space="preserve">skills </w:t>
      </w:r>
      <w:r w:rsidRPr="00476DF1">
        <w:rPr>
          <w:rFonts w:ascii="Times New Roman" w:hAnsi="Times New Roman"/>
          <w:sz w:val="24"/>
          <w:szCs w:val="24"/>
        </w:rPr>
        <w:t>in small enterprises.</w:t>
      </w:r>
      <w:r w:rsidR="00272B59" w:rsidRPr="00476DF1">
        <w:rPr>
          <w:rFonts w:ascii="Times New Roman" w:hAnsi="Times New Roman"/>
          <w:sz w:val="24"/>
          <w:szCs w:val="24"/>
        </w:rPr>
        <w:t xml:space="preserve"> As stressed before</w:t>
      </w:r>
      <w:r w:rsidR="00031FB3" w:rsidRPr="00476DF1">
        <w:rPr>
          <w:rFonts w:ascii="Times New Roman" w:hAnsi="Times New Roman"/>
          <w:sz w:val="24"/>
          <w:szCs w:val="24"/>
        </w:rPr>
        <w:t>,</w:t>
      </w:r>
      <w:r w:rsidR="00272B59" w:rsidRPr="00476DF1">
        <w:rPr>
          <w:rFonts w:ascii="Times New Roman" w:hAnsi="Times New Roman"/>
          <w:sz w:val="24"/>
          <w:szCs w:val="24"/>
        </w:rPr>
        <w:t xml:space="preserve"> </w:t>
      </w:r>
      <w:r w:rsidR="00D82692" w:rsidRPr="00476DF1">
        <w:rPr>
          <w:rFonts w:ascii="Times New Roman" w:hAnsi="Times New Roman"/>
          <w:sz w:val="24"/>
          <w:szCs w:val="24"/>
        </w:rPr>
        <w:t xml:space="preserve">in </w:t>
      </w:r>
      <w:r w:rsidR="003915DA" w:rsidRPr="00476DF1">
        <w:rPr>
          <w:rFonts w:ascii="Times New Roman" w:hAnsi="Times New Roman"/>
          <w:sz w:val="24"/>
          <w:szCs w:val="24"/>
        </w:rPr>
        <w:t xml:space="preserve">firms </w:t>
      </w:r>
      <w:r w:rsidR="00272B59" w:rsidRPr="00476DF1">
        <w:rPr>
          <w:rFonts w:ascii="Times New Roman" w:hAnsi="Times New Roman"/>
          <w:sz w:val="24"/>
          <w:szCs w:val="24"/>
        </w:rPr>
        <w:t xml:space="preserve">with </w:t>
      </w:r>
      <w:r w:rsidR="003915DA" w:rsidRPr="00476DF1">
        <w:rPr>
          <w:rFonts w:ascii="Times New Roman" w:hAnsi="Times New Roman"/>
          <w:sz w:val="24"/>
          <w:szCs w:val="24"/>
        </w:rPr>
        <w:t>just a few employees and patents</w:t>
      </w:r>
      <w:r w:rsidR="00272B59" w:rsidRPr="00476DF1">
        <w:rPr>
          <w:rFonts w:ascii="Times New Roman" w:hAnsi="Times New Roman"/>
          <w:sz w:val="24"/>
          <w:szCs w:val="24"/>
        </w:rPr>
        <w:t xml:space="preserve">, </w:t>
      </w:r>
      <w:r w:rsidR="00094BD3" w:rsidRPr="00476DF1">
        <w:rPr>
          <w:rFonts w:ascii="Times New Roman" w:hAnsi="Times New Roman"/>
          <w:sz w:val="24"/>
          <w:szCs w:val="24"/>
        </w:rPr>
        <w:t>the people identifie</w:t>
      </w:r>
      <w:r w:rsidR="00272B59" w:rsidRPr="00476DF1">
        <w:rPr>
          <w:rFonts w:ascii="Times New Roman" w:hAnsi="Times New Roman"/>
          <w:sz w:val="24"/>
          <w:szCs w:val="24"/>
        </w:rPr>
        <w:t>d</w:t>
      </w:r>
      <w:r w:rsidR="00094BD3" w:rsidRPr="00476DF1">
        <w:rPr>
          <w:rFonts w:ascii="Times New Roman" w:hAnsi="Times New Roman"/>
          <w:sz w:val="24"/>
          <w:szCs w:val="24"/>
        </w:rPr>
        <w:t xml:space="preserve"> as inventors may represent the core </w:t>
      </w:r>
      <w:r w:rsidR="00D82692" w:rsidRPr="00476DF1">
        <w:rPr>
          <w:rFonts w:ascii="Times New Roman" w:hAnsi="Times New Roman"/>
          <w:sz w:val="24"/>
          <w:szCs w:val="24"/>
        </w:rPr>
        <w:t>skill</w:t>
      </w:r>
      <w:r w:rsidR="00272B59" w:rsidRPr="00476DF1">
        <w:rPr>
          <w:rFonts w:ascii="Times New Roman" w:hAnsi="Times New Roman"/>
          <w:sz w:val="24"/>
          <w:szCs w:val="24"/>
        </w:rPr>
        <w:t>set.</w:t>
      </w:r>
      <w:r w:rsidR="00F429BA" w:rsidRPr="00476DF1">
        <w:rPr>
          <w:rFonts w:ascii="Times New Roman" w:hAnsi="Times New Roman"/>
          <w:sz w:val="24"/>
          <w:szCs w:val="24"/>
        </w:rPr>
        <w:t xml:space="preserve"> Therefore, </w:t>
      </w:r>
      <w:r w:rsidR="00D82692" w:rsidRPr="00476DF1">
        <w:rPr>
          <w:rFonts w:ascii="Times New Roman" w:hAnsi="Times New Roman"/>
          <w:sz w:val="24"/>
          <w:szCs w:val="24"/>
        </w:rPr>
        <w:t xml:space="preserve">we define </w:t>
      </w:r>
      <w:r w:rsidR="00094BD3" w:rsidRPr="00476DF1">
        <w:rPr>
          <w:rFonts w:ascii="Times New Roman" w:hAnsi="Times New Roman"/>
          <w:sz w:val="24"/>
          <w:szCs w:val="24"/>
        </w:rPr>
        <w:t>t</w:t>
      </w:r>
      <w:r w:rsidR="002214FC" w:rsidRPr="00476DF1">
        <w:rPr>
          <w:rFonts w:ascii="Times New Roman" w:hAnsi="Times New Roman"/>
          <w:sz w:val="24"/>
          <w:szCs w:val="24"/>
        </w:rPr>
        <w:t xml:space="preserve">he skillset as all </w:t>
      </w:r>
      <w:r w:rsidR="00D82692" w:rsidRPr="00476DF1">
        <w:rPr>
          <w:rFonts w:ascii="Times New Roman" w:hAnsi="Times New Roman"/>
          <w:sz w:val="24"/>
          <w:szCs w:val="24"/>
        </w:rPr>
        <w:t xml:space="preserve">of </w:t>
      </w:r>
      <w:r w:rsidR="002214FC" w:rsidRPr="00476DF1">
        <w:rPr>
          <w:rFonts w:ascii="Times New Roman" w:hAnsi="Times New Roman"/>
          <w:sz w:val="24"/>
          <w:szCs w:val="24"/>
        </w:rPr>
        <w:t xml:space="preserve">the inventors compiled through the company’s patents. In order to track the skill contribution of a small company to a large company, </w:t>
      </w:r>
      <w:r w:rsidR="00D82692" w:rsidRPr="00476DF1">
        <w:rPr>
          <w:rFonts w:ascii="Times New Roman" w:hAnsi="Times New Roman"/>
          <w:sz w:val="24"/>
          <w:szCs w:val="24"/>
        </w:rPr>
        <w:t>we aim to identify</w:t>
      </w:r>
      <w:r w:rsidR="002214FC" w:rsidRPr="00476DF1">
        <w:rPr>
          <w:rFonts w:ascii="Times New Roman" w:hAnsi="Times New Roman"/>
          <w:sz w:val="24"/>
          <w:szCs w:val="24"/>
        </w:rPr>
        <w:t xml:space="preserve"> </w:t>
      </w:r>
      <w:r w:rsidR="001E20D5" w:rsidRPr="00476DF1">
        <w:rPr>
          <w:rFonts w:ascii="Times New Roman" w:hAnsi="Times New Roman"/>
          <w:sz w:val="24"/>
          <w:szCs w:val="24"/>
        </w:rPr>
        <w:t>inventor’s</w:t>
      </w:r>
      <w:r w:rsidR="002214FC" w:rsidRPr="00476DF1">
        <w:rPr>
          <w:rFonts w:ascii="Times New Roman" w:hAnsi="Times New Roman"/>
          <w:sz w:val="24"/>
          <w:szCs w:val="24"/>
        </w:rPr>
        <w:t xml:space="preserve"> </w:t>
      </w:r>
      <w:r w:rsidR="00D82692" w:rsidRPr="00476DF1">
        <w:rPr>
          <w:rFonts w:ascii="Times New Roman" w:hAnsi="Times New Roman"/>
          <w:sz w:val="24"/>
          <w:szCs w:val="24"/>
        </w:rPr>
        <w:t>move</w:t>
      </w:r>
      <w:r w:rsidR="001E20D5" w:rsidRPr="00476DF1">
        <w:rPr>
          <w:rFonts w:ascii="Times New Roman" w:hAnsi="Times New Roman"/>
          <w:sz w:val="24"/>
          <w:szCs w:val="24"/>
        </w:rPr>
        <w:t>me</w:t>
      </w:r>
      <w:r w:rsidR="00E1142E" w:rsidRPr="00476DF1">
        <w:rPr>
          <w:rFonts w:ascii="Times New Roman" w:hAnsi="Times New Roman"/>
          <w:sz w:val="24"/>
          <w:szCs w:val="24"/>
        </w:rPr>
        <w:t>nt</w:t>
      </w:r>
      <w:r w:rsidR="00D82692" w:rsidRPr="00476DF1">
        <w:rPr>
          <w:rFonts w:ascii="Times New Roman" w:hAnsi="Times New Roman"/>
          <w:sz w:val="24"/>
          <w:szCs w:val="24"/>
        </w:rPr>
        <w:t xml:space="preserve"> from the</w:t>
      </w:r>
      <w:r w:rsidR="002214FC" w:rsidRPr="00476DF1">
        <w:rPr>
          <w:rFonts w:ascii="Times New Roman" w:hAnsi="Times New Roman"/>
          <w:sz w:val="24"/>
          <w:szCs w:val="24"/>
        </w:rPr>
        <w:t xml:space="preserve"> small acquired</w:t>
      </w:r>
      <w:r w:rsidR="00094BD3" w:rsidRPr="00476DF1">
        <w:rPr>
          <w:rFonts w:ascii="Times New Roman" w:hAnsi="Times New Roman"/>
          <w:sz w:val="24"/>
          <w:szCs w:val="24"/>
        </w:rPr>
        <w:t xml:space="preserve"> small</w:t>
      </w:r>
      <w:r w:rsidR="002214FC" w:rsidRPr="00476DF1">
        <w:rPr>
          <w:rFonts w:ascii="Times New Roman" w:hAnsi="Times New Roman"/>
          <w:sz w:val="24"/>
          <w:szCs w:val="24"/>
        </w:rPr>
        <w:t xml:space="preserve"> company to the large acquiring </w:t>
      </w:r>
      <w:r w:rsidR="00D82692" w:rsidRPr="00476DF1">
        <w:rPr>
          <w:rFonts w:ascii="Times New Roman" w:hAnsi="Times New Roman"/>
          <w:sz w:val="24"/>
          <w:szCs w:val="24"/>
        </w:rPr>
        <w:t>company</w:t>
      </w:r>
      <w:r w:rsidR="00031FB3" w:rsidRPr="00476DF1">
        <w:rPr>
          <w:rFonts w:ascii="Times New Roman" w:hAnsi="Times New Roman"/>
          <w:sz w:val="24"/>
          <w:szCs w:val="24"/>
        </w:rPr>
        <w:t>.</w:t>
      </w:r>
    </w:p>
    <w:p w14:paraId="456186EE" w14:textId="4F0537A5" w:rsidR="00B55D0F" w:rsidRPr="00476DF1" w:rsidRDefault="00B55D0F"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This </w:t>
      </w:r>
      <w:r w:rsidR="004F1E09" w:rsidRPr="00476DF1">
        <w:rPr>
          <w:rFonts w:ascii="Times New Roman" w:hAnsi="Times New Roman"/>
          <w:sz w:val="24"/>
          <w:szCs w:val="24"/>
        </w:rPr>
        <w:t>study does not focus</w:t>
      </w:r>
      <w:r w:rsidRPr="00476DF1">
        <w:rPr>
          <w:rFonts w:ascii="Times New Roman" w:hAnsi="Times New Roman"/>
          <w:sz w:val="24"/>
          <w:szCs w:val="24"/>
        </w:rPr>
        <w:t xml:space="preserve"> on the outcomes of skills</w:t>
      </w:r>
      <w:r w:rsidR="004F1E09" w:rsidRPr="00476DF1">
        <w:rPr>
          <w:rFonts w:ascii="Times New Roman" w:hAnsi="Times New Roman"/>
          <w:sz w:val="24"/>
          <w:szCs w:val="24"/>
        </w:rPr>
        <w:t>, but rather concentrates on</w:t>
      </w:r>
      <w:r w:rsidRPr="00476DF1">
        <w:rPr>
          <w:rFonts w:ascii="Times New Roman" w:hAnsi="Times New Roman"/>
          <w:sz w:val="24"/>
          <w:szCs w:val="24"/>
        </w:rPr>
        <w:t xml:space="preserve"> observing if skills are indeed incorporated. Due to </w:t>
      </w:r>
      <w:r w:rsidR="004F1E09" w:rsidRPr="00476DF1">
        <w:rPr>
          <w:rFonts w:ascii="Times New Roman" w:hAnsi="Times New Roman"/>
          <w:sz w:val="24"/>
          <w:szCs w:val="24"/>
        </w:rPr>
        <w:t xml:space="preserve">their </w:t>
      </w:r>
      <w:r w:rsidRPr="00476DF1">
        <w:rPr>
          <w:rFonts w:ascii="Times New Roman" w:hAnsi="Times New Roman"/>
          <w:sz w:val="24"/>
          <w:szCs w:val="24"/>
        </w:rPr>
        <w:t>importance</w:t>
      </w:r>
      <w:r w:rsidR="004F1E09" w:rsidRPr="00476DF1">
        <w:rPr>
          <w:rFonts w:ascii="Times New Roman" w:hAnsi="Times New Roman"/>
          <w:sz w:val="24"/>
          <w:szCs w:val="24"/>
        </w:rPr>
        <w:t>, the large firm should incorporate them</w:t>
      </w:r>
      <w:r w:rsidRPr="00476DF1">
        <w:rPr>
          <w:rFonts w:ascii="Times New Roman" w:hAnsi="Times New Roman"/>
          <w:sz w:val="24"/>
          <w:szCs w:val="24"/>
        </w:rPr>
        <w:t xml:space="preserve">. </w:t>
      </w:r>
    </w:p>
    <w:p w14:paraId="26BB6E8A" w14:textId="32F6261C" w:rsidR="00100A80" w:rsidRPr="00476DF1" w:rsidRDefault="00DD6684" w:rsidP="00CE4BBE">
      <w:pPr>
        <w:pStyle w:val="Ttulo1"/>
        <w:spacing w:line="240" w:lineRule="auto"/>
      </w:pPr>
      <w:r w:rsidRPr="00476DF1">
        <w:t xml:space="preserve">Data </w:t>
      </w:r>
      <w:r w:rsidR="004F1E09" w:rsidRPr="00476DF1">
        <w:t>Analysis</w:t>
      </w:r>
    </w:p>
    <w:p w14:paraId="7DEF5771" w14:textId="64834892" w:rsidR="00DD6684" w:rsidRPr="00476DF1" w:rsidRDefault="00FD280D" w:rsidP="00CE4BBE">
      <w:pPr>
        <w:pStyle w:val="Ttulo2"/>
        <w:numPr>
          <w:ilvl w:val="0"/>
          <w:numId w:val="0"/>
        </w:numPr>
        <w:spacing w:line="240" w:lineRule="auto"/>
      </w:pPr>
      <w:r w:rsidRPr="00476DF1">
        <w:t>3.1</w:t>
      </w:r>
      <w:r w:rsidRPr="00476DF1">
        <w:tab/>
      </w:r>
      <w:r w:rsidR="00B20E46" w:rsidRPr="00476DF1">
        <w:t xml:space="preserve">Technical contribution </w:t>
      </w:r>
      <w:r w:rsidR="004F1E09" w:rsidRPr="00476DF1">
        <w:t>analysis</w:t>
      </w:r>
    </w:p>
    <w:p w14:paraId="68222296" w14:textId="3E247AF7" w:rsidR="00FF4C98" w:rsidRPr="00476DF1" w:rsidRDefault="00E75013"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The technical contri</w:t>
      </w:r>
      <w:r w:rsidR="00F76E44" w:rsidRPr="00476DF1">
        <w:rPr>
          <w:rFonts w:ascii="Times New Roman" w:hAnsi="Times New Roman"/>
          <w:sz w:val="24"/>
          <w:szCs w:val="24"/>
        </w:rPr>
        <w:t>bu</w:t>
      </w:r>
      <w:r w:rsidRPr="00476DF1">
        <w:rPr>
          <w:rFonts w:ascii="Times New Roman" w:hAnsi="Times New Roman"/>
          <w:sz w:val="24"/>
          <w:szCs w:val="24"/>
        </w:rPr>
        <w:t xml:space="preserve">tion traces the </w:t>
      </w:r>
      <w:r w:rsidR="004F1E09" w:rsidRPr="00476DF1">
        <w:rPr>
          <w:rFonts w:ascii="Times New Roman" w:hAnsi="Times New Roman"/>
          <w:sz w:val="24"/>
          <w:szCs w:val="24"/>
        </w:rPr>
        <w:t>technical-</w:t>
      </w:r>
      <w:r w:rsidR="001C0E9E" w:rsidRPr="00476DF1">
        <w:rPr>
          <w:rFonts w:ascii="Times New Roman" w:hAnsi="Times New Roman"/>
          <w:sz w:val="24"/>
          <w:szCs w:val="24"/>
        </w:rPr>
        <w:t xml:space="preserve">related elements </w:t>
      </w:r>
      <w:r w:rsidRPr="00476DF1">
        <w:rPr>
          <w:rFonts w:ascii="Times New Roman" w:hAnsi="Times New Roman"/>
          <w:sz w:val="24"/>
          <w:szCs w:val="24"/>
        </w:rPr>
        <w:t xml:space="preserve">expressed though patents that could contribute to the large </w:t>
      </w:r>
      <w:r w:rsidR="00F76E44" w:rsidRPr="00476DF1">
        <w:rPr>
          <w:rFonts w:ascii="Times New Roman" w:hAnsi="Times New Roman"/>
          <w:sz w:val="24"/>
          <w:szCs w:val="24"/>
        </w:rPr>
        <w:t>enterprises</w:t>
      </w:r>
      <w:r w:rsidR="004F1E09" w:rsidRPr="00476DF1">
        <w:rPr>
          <w:rFonts w:ascii="Times New Roman" w:hAnsi="Times New Roman"/>
          <w:sz w:val="24"/>
          <w:szCs w:val="24"/>
        </w:rPr>
        <w:t>’</w:t>
      </w:r>
      <w:r w:rsidRPr="00476DF1">
        <w:rPr>
          <w:rFonts w:ascii="Times New Roman" w:hAnsi="Times New Roman"/>
          <w:sz w:val="24"/>
          <w:szCs w:val="24"/>
        </w:rPr>
        <w:t xml:space="preserve"> technological development. </w:t>
      </w:r>
      <w:r w:rsidR="00FF4C98" w:rsidRPr="00476DF1">
        <w:rPr>
          <w:rFonts w:ascii="Times New Roman" w:hAnsi="Times New Roman"/>
          <w:sz w:val="24"/>
          <w:szCs w:val="24"/>
        </w:rPr>
        <w:t xml:space="preserve">The </w:t>
      </w:r>
      <w:r w:rsidR="004F1E09" w:rsidRPr="00476DF1">
        <w:rPr>
          <w:rFonts w:ascii="Times New Roman" w:hAnsi="Times New Roman"/>
          <w:sz w:val="24"/>
          <w:szCs w:val="24"/>
        </w:rPr>
        <w:t>analysis observes the</w:t>
      </w:r>
      <w:r w:rsidR="00C24550" w:rsidRPr="00476DF1">
        <w:rPr>
          <w:rFonts w:ascii="Times New Roman" w:hAnsi="Times New Roman"/>
          <w:sz w:val="24"/>
          <w:szCs w:val="24"/>
        </w:rPr>
        <w:t xml:space="preserve"> </w:t>
      </w:r>
      <w:r w:rsidR="00FF4C98" w:rsidRPr="00476DF1">
        <w:rPr>
          <w:rFonts w:ascii="Times New Roman" w:hAnsi="Times New Roman"/>
          <w:sz w:val="24"/>
          <w:szCs w:val="24"/>
        </w:rPr>
        <w:t>direct</w:t>
      </w:r>
      <w:r w:rsidR="00C24550" w:rsidRPr="00476DF1">
        <w:rPr>
          <w:rFonts w:ascii="Times New Roman" w:hAnsi="Times New Roman"/>
          <w:sz w:val="24"/>
          <w:szCs w:val="24"/>
        </w:rPr>
        <w:t xml:space="preserve"> technical</w:t>
      </w:r>
      <w:r w:rsidR="00FF4C98" w:rsidRPr="00476DF1">
        <w:rPr>
          <w:rFonts w:ascii="Times New Roman" w:hAnsi="Times New Roman"/>
          <w:sz w:val="24"/>
          <w:szCs w:val="24"/>
        </w:rPr>
        <w:t xml:space="preserve"> contribution </w:t>
      </w:r>
      <w:r w:rsidR="004F1E09" w:rsidRPr="00476DF1">
        <w:rPr>
          <w:rFonts w:ascii="Times New Roman" w:hAnsi="Times New Roman"/>
          <w:sz w:val="24"/>
          <w:szCs w:val="24"/>
        </w:rPr>
        <w:t>using</w:t>
      </w:r>
      <w:r w:rsidR="00FF4C98" w:rsidRPr="00476DF1">
        <w:rPr>
          <w:rFonts w:ascii="Times New Roman" w:hAnsi="Times New Roman"/>
          <w:sz w:val="24"/>
          <w:szCs w:val="24"/>
        </w:rPr>
        <w:t xml:space="preserve"> </w:t>
      </w:r>
      <w:r w:rsidR="004F1E09" w:rsidRPr="00476DF1">
        <w:rPr>
          <w:rFonts w:ascii="Times New Roman" w:hAnsi="Times New Roman"/>
          <w:sz w:val="24"/>
          <w:szCs w:val="24"/>
        </w:rPr>
        <w:t xml:space="preserve">the large firms’ </w:t>
      </w:r>
      <w:r w:rsidR="00FF4C98" w:rsidRPr="00476DF1">
        <w:rPr>
          <w:rFonts w:ascii="Times New Roman" w:hAnsi="Times New Roman"/>
          <w:sz w:val="24"/>
          <w:szCs w:val="24"/>
        </w:rPr>
        <w:t xml:space="preserve">patents </w:t>
      </w:r>
      <w:r w:rsidR="001E20D5" w:rsidRPr="00476DF1">
        <w:rPr>
          <w:rFonts w:ascii="Times New Roman" w:hAnsi="Times New Roman"/>
          <w:sz w:val="24"/>
          <w:szCs w:val="24"/>
        </w:rPr>
        <w:t>citation</w:t>
      </w:r>
      <w:r w:rsidR="00CA6771" w:rsidRPr="00476DF1">
        <w:rPr>
          <w:rFonts w:ascii="Times New Roman" w:hAnsi="Times New Roman"/>
          <w:sz w:val="24"/>
          <w:szCs w:val="24"/>
        </w:rPr>
        <w:t>.</w:t>
      </w:r>
      <w:r w:rsidR="00C658D9" w:rsidRPr="00476DF1">
        <w:rPr>
          <w:rFonts w:ascii="Times New Roman" w:hAnsi="Times New Roman"/>
          <w:sz w:val="24"/>
          <w:szCs w:val="24"/>
        </w:rPr>
        <w:t xml:space="preserve"> In essence</w:t>
      </w:r>
      <w:r w:rsidR="004F1E09" w:rsidRPr="00476DF1">
        <w:rPr>
          <w:rFonts w:ascii="Times New Roman" w:hAnsi="Times New Roman"/>
          <w:sz w:val="24"/>
          <w:szCs w:val="24"/>
        </w:rPr>
        <w:t>, this study</w:t>
      </w:r>
      <w:r w:rsidR="00C658D9" w:rsidRPr="00476DF1">
        <w:rPr>
          <w:rFonts w:ascii="Times New Roman" w:hAnsi="Times New Roman"/>
          <w:sz w:val="24"/>
          <w:szCs w:val="24"/>
        </w:rPr>
        <w:t xml:space="preserve"> traces t</w:t>
      </w:r>
      <w:r w:rsidR="00FF4C98" w:rsidRPr="00476DF1">
        <w:rPr>
          <w:rFonts w:ascii="Times New Roman" w:hAnsi="Times New Roman"/>
          <w:sz w:val="24"/>
          <w:szCs w:val="24"/>
        </w:rPr>
        <w:t xml:space="preserve">he role of patents as </w:t>
      </w:r>
      <w:r w:rsidR="004F1E09" w:rsidRPr="00476DF1">
        <w:rPr>
          <w:rFonts w:ascii="Times New Roman" w:hAnsi="Times New Roman"/>
          <w:sz w:val="24"/>
          <w:szCs w:val="24"/>
        </w:rPr>
        <w:t xml:space="preserve">a </w:t>
      </w:r>
      <w:r w:rsidR="00FF4C98" w:rsidRPr="00476DF1">
        <w:rPr>
          <w:rFonts w:ascii="Times New Roman" w:hAnsi="Times New Roman"/>
          <w:sz w:val="24"/>
          <w:szCs w:val="24"/>
        </w:rPr>
        <w:t xml:space="preserve">direct generator of technologies </w:t>
      </w:r>
      <w:r w:rsidR="00C658D9" w:rsidRPr="00476DF1">
        <w:rPr>
          <w:rFonts w:ascii="Times New Roman" w:hAnsi="Times New Roman"/>
          <w:sz w:val="24"/>
          <w:szCs w:val="24"/>
        </w:rPr>
        <w:t>(</w:t>
      </w:r>
      <w:r w:rsidR="00FF4C98" w:rsidRPr="00476DF1">
        <w:rPr>
          <w:rFonts w:ascii="Times New Roman" w:hAnsi="Times New Roman"/>
          <w:sz w:val="24"/>
          <w:szCs w:val="24"/>
        </w:rPr>
        <w:fldChar w:fldCharType="begin" w:fldLock="1"/>
      </w:r>
      <w:r w:rsidR="008423D0" w:rsidRPr="00476DF1">
        <w:rPr>
          <w:rFonts w:ascii="Times New Roman" w:hAnsi="Times New Roman"/>
          <w:sz w:val="24"/>
          <w:szCs w:val="24"/>
        </w:rPr>
        <w:instrText>ADDIN CSL_CITATION { "citationItems" : [ { "id" : "ITEM-1", "itemData" : { "DOI" : "10.1002/smj.176", "ISBN" : "0143-2095", "ISSN" : "01432095", "abstract" : "We present a model that explains how established firms create breakthrough inventions. We identify three organizational pathologies that inhibit breakthrough inventions: the familiarity trap \u2013 favoring the familiar; the maturity trap \u2013 favoring the mature; and the propinquity trap \u2013 favoring search for solutions near to existing solutions. We argue that by experimenting with novel (i.e., technologies in which the firm lacks prior experience), emerging (technologies that are recent or newly developed in the industry), and pioneering (technologies that do not build on any existing technologies) technologies firms can overcome these traps and create breakthrough inventions. Empirical evidence from the chemicals industry supports our model. Copyright \uf6d9 2001 John Wiley &amp; Sons, Ltd.", "author" : [ { "dropping-particle" : "", "family" : "Ahuja", "given" : "Gautam", "non-dropping-particle" : "", "parse-names" : false, "suffix" : "" }, { "dropping-particle" : "", "family" : "Lampert", "given" : "Curba Morris", "non-dropping-particle" : "", "parse-names" : false, "suffix" : "" } ], "container-title" : "Strategic Management Journal", "id" : "ITEM-1", "issue" : "6-7", "issued" : { "date-parts" : [ [ "2001" ] ] }, "page" : "521-543", "title" : "Entrepreneurship in the large corporation: A longitudinal study of how established firms create breakthrough inventions", "type" : "article-journal", "volume" : "22" }, "uris" : [ "http://www.mendeley.com/documents/?uuid=bb4fbc5d-eb15-44ee-be12-7eb118c868ae" ] }, { "id" : "ITEM-2", "itemData" : { "author" : [ { "dropping-particle" : "", "family" : "Hall", "given" : "Bronwyn H", "non-dropping-particle" : "", "parse-names" : false, "suffix" : "" }, { "dropping-particle" : "", "family" : "Jaffe", "given" : "Adam B", "non-dropping-particle" : "", "parse-names" : false, "suffix" : "" }, { "dropping-particle" : "", "family" : "Trajtenberg", "given" : "M", "non-dropping-particle" : "", "parse-names" : false, "suffix" : "" } ], "collection-title" : "Working paper 8498", "id" : "ITEM-2", "issued" : { "date-parts" : [ [ "2001" ] ] }, "title" : "THE NBER PATENT CITATIONS DATA FILE: LESSONS, INSIGHTS AND METHODOLOGICAL TOOLSNo Title", "type" : "report" }, "uris" : [ "http://www.mendeley.com/documents/?uuid=2ef7525d-489e-468b-94d4-579ae84b6ac9" ] }, { "id" : "ITEM-3", "itemData" : { "DOI" : "10.1016/j.respol.2014.09.005", "ISSN" : "0048-7333", "author" : [ { "dropping-particle" : "", "family" : "Novelli", "given" : "Elena", "non-dropping-particle" : "", "parse-names" : false, "suffix" : "" } ], "container-title" : "Research Policy", "id" : "ITEM-3", "issue" : "2", "issued" : { "date-parts" : [ [ "2015" ] ] }, "page" : "493-507", "publisher" : "Elsevier B.V.", "title" : "An examination of the antecedents and implications of patent scope", "type" : "article-journal", "volume" : "44" }, "uris" : [ "http://www.mendeley.com/documents/?uuid=a70a868b-475d-44cb-aab4-21ac1e6e922b" ] } ], "mendeley" : { "formattedCitation" : "(AHUJA; LAMPERT, 2001; HALL; JAFFE; TRAJTENBERG, 2001; NOVELLI, 2015)", "manualFormatting" : "AHUJA; LAMPERT, 2001; HALL; JAFFE; TRAJTENBERG, 2001; 2005", "plainTextFormattedCitation" : "(AHUJA; LAMPERT, 2001; HALL; JAFFE; TRAJTENBERG, 2001; NOVELLI, 2015)", "previouslyFormattedCitation" : "(AHUJA; LAMPERT, 2001; HALL; JAFFE; TRAJTENBERG, 2001; NOVELLI, 2015)" }, "properties" : {  }, "schema" : "https://github.com/citation-style-language/schema/raw/master/csl-citation.json" }</w:instrText>
      </w:r>
      <w:r w:rsidR="00FF4C98" w:rsidRPr="00476DF1">
        <w:rPr>
          <w:rFonts w:ascii="Times New Roman" w:hAnsi="Times New Roman"/>
          <w:sz w:val="24"/>
          <w:szCs w:val="24"/>
        </w:rPr>
        <w:fldChar w:fldCharType="separate"/>
      </w:r>
      <w:r w:rsidR="00FF4C98" w:rsidRPr="00476DF1">
        <w:rPr>
          <w:rFonts w:ascii="Times New Roman" w:hAnsi="Times New Roman"/>
          <w:noProof/>
          <w:sz w:val="24"/>
          <w:szCs w:val="24"/>
        </w:rPr>
        <w:t xml:space="preserve">AHUJA; LAMPERT, 2001; HALL; JAFFE; TRAJTENBERG, 2001; </w:t>
      </w:r>
      <w:r w:rsidR="008423D0" w:rsidRPr="00476DF1">
        <w:rPr>
          <w:rFonts w:ascii="Times New Roman" w:hAnsi="Times New Roman"/>
          <w:noProof/>
          <w:sz w:val="24"/>
          <w:szCs w:val="24"/>
        </w:rPr>
        <w:t>2005</w:t>
      </w:r>
      <w:r w:rsidR="00FF4C98" w:rsidRPr="00476DF1">
        <w:rPr>
          <w:rFonts w:ascii="Times New Roman" w:hAnsi="Times New Roman"/>
          <w:sz w:val="24"/>
          <w:szCs w:val="24"/>
        </w:rPr>
        <w:fldChar w:fldCharType="end"/>
      </w:r>
      <w:r w:rsidR="00C658D9" w:rsidRPr="00476DF1">
        <w:rPr>
          <w:rFonts w:ascii="Times New Roman" w:hAnsi="Times New Roman"/>
          <w:sz w:val="24"/>
          <w:szCs w:val="24"/>
        </w:rPr>
        <w:t>)</w:t>
      </w:r>
      <w:r w:rsidR="00CA6771" w:rsidRPr="00476DF1">
        <w:rPr>
          <w:rFonts w:ascii="Times New Roman" w:hAnsi="Times New Roman"/>
          <w:sz w:val="24"/>
          <w:szCs w:val="24"/>
        </w:rPr>
        <w:t>. I</w:t>
      </w:r>
      <w:r w:rsidR="00FF4C98" w:rsidRPr="00476DF1">
        <w:rPr>
          <w:rFonts w:ascii="Times New Roman" w:hAnsi="Times New Roman"/>
          <w:sz w:val="24"/>
          <w:szCs w:val="24"/>
        </w:rPr>
        <w:t xml:space="preserve">n </w:t>
      </w:r>
      <w:r w:rsidR="00CA6771" w:rsidRPr="00476DF1">
        <w:rPr>
          <w:rFonts w:ascii="Times New Roman" w:hAnsi="Times New Roman"/>
          <w:sz w:val="24"/>
          <w:szCs w:val="24"/>
        </w:rPr>
        <w:t xml:space="preserve">order to give a greater depth to the </w:t>
      </w:r>
      <w:r w:rsidR="004F1E09" w:rsidRPr="00476DF1">
        <w:rPr>
          <w:rFonts w:ascii="Times New Roman" w:hAnsi="Times New Roman"/>
          <w:sz w:val="24"/>
          <w:szCs w:val="24"/>
        </w:rPr>
        <w:t>analysis</w:t>
      </w:r>
      <w:r w:rsidR="00CA6771" w:rsidRPr="00476DF1">
        <w:rPr>
          <w:rFonts w:ascii="Times New Roman" w:hAnsi="Times New Roman"/>
          <w:sz w:val="24"/>
          <w:szCs w:val="24"/>
        </w:rPr>
        <w:t xml:space="preserve">, </w:t>
      </w:r>
      <w:r w:rsidR="004F1E09" w:rsidRPr="00476DF1">
        <w:rPr>
          <w:rFonts w:ascii="Times New Roman" w:hAnsi="Times New Roman"/>
          <w:sz w:val="24"/>
          <w:szCs w:val="24"/>
        </w:rPr>
        <w:t>we use</w:t>
      </w:r>
      <w:r w:rsidR="00FF4C98" w:rsidRPr="00476DF1">
        <w:rPr>
          <w:rFonts w:ascii="Times New Roman" w:hAnsi="Times New Roman"/>
          <w:sz w:val="24"/>
          <w:szCs w:val="24"/>
        </w:rPr>
        <w:t xml:space="preserve"> the citation lag calculated </w:t>
      </w:r>
      <w:r w:rsidR="004F1E09" w:rsidRPr="00476DF1">
        <w:rPr>
          <w:rFonts w:ascii="Times New Roman" w:hAnsi="Times New Roman"/>
          <w:sz w:val="24"/>
          <w:szCs w:val="24"/>
        </w:rPr>
        <w:t>following</w:t>
      </w:r>
      <w:r w:rsidR="00FF4C98" w:rsidRPr="00476DF1">
        <w:rPr>
          <w:rFonts w:ascii="Times New Roman" w:hAnsi="Times New Roman"/>
          <w:sz w:val="24"/>
          <w:szCs w:val="24"/>
        </w:rPr>
        <w:t xml:space="preserve"> </w:t>
      </w:r>
      <w:r w:rsidR="00FF4C98" w:rsidRPr="00476DF1">
        <w:rPr>
          <w:rFonts w:ascii="Times New Roman" w:hAnsi="Times New Roman"/>
          <w:sz w:val="24"/>
          <w:szCs w:val="24"/>
        </w:rPr>
        <w:fldChar w:fldCharType="begin" w:fldLock="1"/>
      </w:r>
      <w:r w:rsidR="00A17C42" w:rsidRPr="00476DF1">
        <w:rPr>
          <w:rFonts w:ascii="Times New Roman" w:hAnsi="Times New Roman"/>
          <w:sz w:val="24"/>
          <w:szCs w:val="24"/>
        </w:rPr>
        <w:instrText>ADDIN CSL_CITATION { "citationItems" : [ { "id" : "ITEM-1", "itemData" : { "author" : [ { "dropping-particle" : "", "family" : "Hall", "given" : "Bronwyn H", "non-dropping-particle" : "", "parse-names" : false, "suffix" : "" }, { "dropping-particle" : "", "family" : "Jaffe", "given" : "Adam B", "non-dropping-particle" : "", "parse-names" : false, "suffix" : "" }, { "dropping-particle" : "", "family" : "Trajtenberg", "given" : "M", "non-dropping-particle" : "", "parse-names" : false, "suffix" : "" } ], "collection-title" : "Working paper 8498", "id" : "ITEM-1", "issued" : { "date-parts" : [ [ "2001" ] ] }, "title" : "THE NBER PATENT CITATIONS DATA FILE: LESSONS, INSIGHTS AND METHODOLOGICAL TOOLSNo Title", "type" : "report" }, "uris" : [ "http://www.mendeley.com/documents/?uuid=2ef7525d-489e-468b-94d4-579ae84b6ac9" ] } ], "mendeley" : { "formattedCitation" : "(HALL; JAFFE; TRAJTENBERG, 2001)", "manualFormatting" : "HALL; JAFFE; TRAJTENBERG, 2001", "plainTextFormattedCitation" : "(HALL; JAFFE; TRAJTENBERG, 2001)", "previouslyFormattedCitation" : "(HALL; JAFFE; TRAJTENBERG, 2001)" }, "properties" : {  }, "schema" : "https://github.com/citation-style-language/schema/raw/master/csl-citation.json" }</w:instrText>
      </w:r>
      <w:r w:rsidR="00FF4C98" w:rsidRPr="00476DF1">
        <w:rPr>
          <w:rFonts w:ascii="Times New Roman" w:hAnsi="Times New Roman"/>
          <w:sz w:val="24"/>
          <w:szCs w:val="24"/>
        </w:rPr>
        <w:fldChar w:fldCharType="separate"/>
      </w:r>
      <w:r w:rsidR="00FF4C98" w:rsidRPr="00476DF1">
        <w:rPr>
          <w:rFonts w:ascii="Times New Roman" w:hAnsi="Times New Roman"/>
          <w:noProof/>
          <w:sz w:val="24"/>
          <w:szCs w:val="24"/>
        </w:rPr>
        <w:t xml:space="preserve">HALL; JAFFE; TRAJTENBERG </w:t>
      </w:r>
      <w:r w:rsidR="00C24550" w:rsidRPr="00476DF1">
        <w:rPr>
          <w:rFonts w:ascii="Times New Roman" w:hAnsi="Times New Roman"/>
          <w:noProof/>
          <w:sz w:val="24"/>
          <w:szCs w:val="24"/>
        </w:rPr>
        <w:t>(</w:t>
      </w:r>
      <w:r w:rsidR="00FF4C98" w:rsidRPr="00476DF1">
        <w:rPr>
          <w:rFonts w:ascii="Times New Roman" w:hAnsi="Times New Roman"/>
          <w:noProof/>
          <w:sz w:val="24"/>
          <w:szCs w:val="24"/>
        </w:rPr>
        <w:t>2001</w:t>
      </w:r>
      <w:r w:rsidR="00FF4C98" w:rsidRPr="00476DF1">
        <w:rPr>
          <w:rFonts w:ascii="Times New Roman" w:hAnsi="Times New Roman"/>
          <w:sz w:val="24"/>
          <w:szCs w:val="24"/>
        </w:rPr>
        <w:fldChar w:fldCharType="end"/>
      </w:r>
      <w:r w:rsidR="00C24550" w:rsidRPr="00476DF1">
        <w:rPr>
          <w:rFonts w:ascii="Times New Roman" w:hAnsi="Times New Roman"/>
          <w:sz w:val="24"/>
          <w:szCs w:val="24"/>
        </w:rPr>
        <w:t>)</w:t>
      </w:r>
      <w:r w:rsidR="00FF4C98" w:rsidRPr="00476DF1">
        <w:rPr>
          <w:rFonts w:ascii="Times New Roman" w:hAnsi="Times New Roman"/>
          <w:sz w:val="24"/>
          <w:szCs w:val="24"/>
        </w:rPr>
        <w:t xml:space="preserve"> to indicate the potenti</w:t>
      </w:r>
      <w:r w:rsidR="00CA6771" w:rsidRPr="00476DF1">
        <w:rPr>
          <w:rFonts w:ascii="Times New Roman" w:hAnsi="Times New Roman"/>
          <w:sz w:val="24"/>
          <w:szCs w:val="24"/>
        </w:rPr>
        <w:t xml:space="preserve">al of </w:t>
      </w:r>
      <w:r w:rsidR="004F1E09" w:rsidRPr="00476DF1">
        <w:rPr>
          <w:rFonts w:ascii="Times New Roman" w:hAnsi="Times New Roman"/>
          <w:sz w:val="24"/>
          <w:szCs w:val="24"/>
        </w:rPr>
        <w:t xml:space="preserve">the </w:t>
      </w:r>
      <w:r w:rsidR="0009147D" w:rsidRPr="00476DF1">
        <w:rPr>
          <w:rFonts w:ascii="Times New Roman" w:hAnsi="Times New Roman"/>
          <w:sz w:val="24"/>
          <w:szCs w:val="24"/>
        </w:rPr>
        <w:t xml:space="preserve">referenced </w:t>
      </w:r>
      <w:r w:rsidR="00CA6771" w:rsidRPr="00476DF1">
        <w:rPr>
          <w:rFonts w:ascii="Times New Roman" w:hAnsi="Times New Roman"/>
          <w:sz w:val="24"/>
          <w:szCs w:val="24"/>
        </w:rPr>
        <w:t>patent</w:t>
      </w:r>
      <w:r w:rsidR="0009147D" w:rsidRPr="00476DF1">
        <w:rPr>
          <w:rFonts w:ascii="Times New Roman" w:hAnsi="Times New Roman"/>
          <w:sz w:val="24"/>
          <w:szCs w:val="24"/>
        </w:rPr>
        <w:t>s</w:t>
      </w:r>
      <w:r w:rsidR="00FF4C98" w:rsidRPr="00476DF1">
        <w:rPr>
          <w:rFonts w:ascii="Times New Roman" w:hAnsi="Times New Roman"/>
          <w:sz w:val="24"/>
          <w:szCs w:val="24"/>
        </w:rPr>
        <w:t xml:space="preserve">. </w:t>
      </w:r>
    </w:p>
    <w:p w14:paraId="202FF5CE" w14:textId="1F8335F8" w:rsidR="00FF4C98" w:rsidRPr="00476DF1" w:rsidRDefault="00FF4C98"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The other part </w:t>
      </w:r>
      <w:r w:rsidR="00C24550" w:rsidRPr="00476DF1">
        <w:rPr>
          <w:rFonts w:ascii="Times New Roman" w:hAnsi="Times New Roman"/>
          <w:sz w:val="24"/>
          <w:szCs w:val="24"/>
        </w:rPr>
        <w:t xml:space="preserve">of technical contribution </w:t>
      </w:r>
      <w:r w:rsidRPr="00476DF1">
        <w:rPr>
          <w:rFonts w:ascii="Times New Roman" w:hAnsi="Times New Roman"/>
          <w:sz w:val="24"/>
          <w:szCs w:val="24"/>
        </w:rPr>
        <w:t>is indirect</w:t>
      </w:r>
      <w:r w:rsidR="00CA6771" w:rsidRPr="00476DF1">
        <w:rPr>
          <w:rFonts w:ascii="Times New Roman" w:hAnsi="Times New Roman"/>
          <w:sz w:val="24"/>
          <w:szCs w:val="24"/>
        </w:rPr>
        <w:t>.</w:t>
      </w:r>
      <w:r w:rsidR="00254DAF" w:rsidRPr="00476DF1">
        <w:rPr>
          <w:rFonts w:ascii="Times New Roman" w:hAnsi="Times New Roman"/>
          <w:sz w:val="24"/>
          <w:szCs w:val="24"/>
        </w:rPr>
        <w:t xml:space="preserve"> </w:t>
      </w:r>
      <w:r w:rsidR="004F1E09" w:rsidRPr="00476DF1">
        <w:rPr>
          <w:rFonts w:ascii="Times New Roman" w:hAnsi="Times New Roman"/>
          <w:sz w:val="24"/>
          <w:szCs w:val="24"/>
        </w:rPr>
        <w:t>This analysis takes a broader, evolutionary</w:t>
      </w:r>
      <w:r w:rsidR="00254DAF" w:rsidRPr="00476DF1">
        <w:rPr>
          <w:rFonts w:ascii="Times New Roman" w:hAnsi="Times New Roman"/>
          <w:sz w:val="24"/>
          <w:szCs w:val="24"/>
        </w:rPr>
        <w:t xml:space="preserve"> approach. In this </w:t>
      </w:r>
      <w:r w:rsidR="004F1E09" w:rsidRPr="00476DF1">
        <w:rPr>
          <w:rFonts w:ascii="Times New Roman" w:hAnsi="Times New Roman"/>
          <w:sz w:val="24"/>
          <w:szCs w:val="24"/>
        </w:rPr>
        <w:t xml:space="preserve">analysis, </w:t>
      </w:r>
      <w:r w:rsidR="00C24550" w:rsidRPr="00476DF1">
        <w:rPr>
          <w:rFonts w:ascii="Times New Roman" w:hAnsi="Times New Roman"/>
          <w:sz w:val="24"/>
          <w:szCs w:val="24"/>
        </w:rPr>
        <w:t xml:space="preserve">we </w:t>
      </w:r>
      <w:r w:rsidR="00254DAF" w:rsidRPr="00476DF1">
        <w:rPr>
          <w:rFonts w:ascii="Times New Roman" w:hAnsi="Times New Roman"/>
          <w:sz w:val="24"/>
          <w:szCs w:val="24"/>
        </w:rPr>
        <w:t>tr</w:t>
      </w:r>
      <w:r w:rsidR="00C24550" w:rsidRPr="00476DF1">
        <w:rPr>
          <w:rFonts w:ascii="Times New Roman" w:hAnsi="Times New Roman"/>
          <w:sz w:val="24"/>
          <w:szCs w:val="24"/>
        </w:rPr>
        <w:t>y</w:t>
      </w:r>
      <w:r w:rsidR="00254DAF" w:rsidRPr="00476DF1">
        <w:rPr>
          <w:rFonts w:ascii="Times New Roman" w:hAnsi="Times New Roman"/>
          <w:sz w:val="24"/>
          <w:szCs w:val="24"/>
        </w:rPr>
        <w:t xml:space="preserve"> to trace when </w:t>
      </w:r>
      <w:r w:rsidR="00726537" w:rsidRPr="00476DF1">
        <w:rPr>
          <w:rFonts w:ascii="Times New Roman" w:hAnsi="Times New Roman"/>
          <w:sz w:val="24"/>
          <w:szCs w:val="24"/>
        </w:rPr>
        <w:t>Big Pharma</w:t>
      </w:r>
      <w:r w:rsidR="00254DAF" w:rsidRPr="00476DF1">
        <w:rPr>
          <w:rFonts w:ascii="Times New Roman" w:hAnsi="Times New Roman"/>
          <w:sz w:val="24"/>
          <w:szCs w:val="24"/>
        </w:rPr>
        <w:t xml:space="preserve"> started to develop patent classes</w:t>
      </w:r>
      <w:r w:rsidR="00CA6771" w:rsidRPr="00476DF1">
        <w:rPr>
          <w:rFonts w:ascii="Times New Roman" w:hAnsi="Times New Roman"/>
          <w:sz w:val="24"/>
          <w:szCs w:val="24"/>
        </w:rPr>
        <w:t xml:space="preserve"> that</w:t>
      </w:r>
      <w:r w:rsidR="00C24550" w:rsidRPr="00476DF1">
        <w:rPr>
          <w:rFonts w:ascii="Times New Roman" w:hAnsi="Times New Roman"/>
          <w:sz w:val="24"/>
          <w:szCs w:val="24"/>
        </w:rPr>
        <w:t xml:space="preserve"> are </w:t>
      </w:r>
      <w:r w:rsidR="00CA6771" w:rsidRPr="00476DF1">
        <w:rPr>
          <w:rFonts w:ascii="Times New Roman" w:hAnsi="Times New Roman"/>
          <w:sz w:val="24"/>
          <w:szCs w:val="24"/>
        </w:rPr>
        <w:t>dominated by the acquired small firms</w:t>
      </w:r>
      <w:r w:rsidR="00C24550" w:rsidRPr="00476DF1">
        <w:rPr>
          <w:rFonts w:ascii="Times New Roman" w:hAnsi="Times New Roman"/>
          <w:sz w:val="24"/>
          <w:szCs w:val="24"/>
        </w:rPr>
        <w:t xml:space="preserve">. </w:t>
      </w:r>
      <w:r w:rsidR="00254DAF" w:rsidRPr="00476DF1">
        <w:rPr>
          <w:rFonts w:ascii="Times New Roman" w:hAnsi="Times New Roman"/>
          <w:sz w:val="24"/>
          <w:szCs w:val="24"/>
        </w:rPr>
        <w:t xml:space="preserve">This </w:t>
      </w:r>
      <w:r w:rsidR="008423D0" w:rsidRPr="00476DF1">
        <w:rPr>
          <w:rFonts w:ascii="Times New Roman" w:hAnsi="Times New Roman"/>
          <w:sz w:val="24"/>
          <w:szCs w:val="24"/>
        </w:rPr>
        <w:t xml:space="preserve">broader </w:t>
      </w:r>
      <w:r w:rsidR="00254DAF" w:rsidRPr="00476DF1">
        <w:rPr>
          <w:rFonts w:ascii="Times New Roman" w:hAnsi="Times New Roman"/>
          <w:sz w:val="24"/>
          <w:szCs w:val="24"/>
        </w:rPr>
        <w:t xml:space="preserve">approach </w:t>
      </w:r>
      <w:r w:rsidR="00C24550" w:rsidRPr="00476DF1">
        <w:rPr>
          <w:rFonts w:ascii="Times New Roman" w:hAnsi="Times New Roman"/>
          <w:sz w:val="24"/>
          <w:szCs w:val="24"/>
        </w:rPr>
        <w:t xml:space="preserve">is underpinned </w:t>
      </w:r>
      <w:r w:rsidR="004F1E09" w:rsidRPr="00476DF1">
        <w:rPr>
          <w:rFonts w:ascii="Times New Roman" w:hAnsi="Times New Roman"/>
          <w:sz w:val="24"/>
          <w:szCs w:val="24"/>
        </w:rPr>
        <w:t xml:space="preserve">by </w:t>
      </w:r>
      <w:r w:rsidR="00C24550" w:rsidRPr="00476DF1">
        <w:rPr>
          <w:rFonts w:ascii="Times New Roman" w:hAnsi="Times New Roman"/>
          <w:sz w:val="24"/>
          <w:szCs w:val="24"/>
        </w:rPr>
        <w:t xml:space="preserve">two </w:t>
      </w:r>
      <w:r w:rsidR="00254DAF" w:rsidRPr="00476DF1">
        <w:rPr>
          <w:rFonts w:ascii="Times New Roman" w:hAnsi="Times New Roman"/>
          <w:sz w:val="24"/>
          <w:szCs w:val="24"/>
        </w:rPr>
        <w:t>important elements. First</w:t>
      </w:r>
      <w:r w:rsidR="004F1E09" w:rsidRPr="00476DF1">
        <w:rPr>
          <w:rFonts w:ascii="Times New Roman" w:hAnsi="Times New Roman"/>
          <w:sz w:val="24"/>
          <w:szCs w:val="24"/>
        </w:rPr>
        <w:t>,</w:t>
      </w:r>
      <w:r w:rsidR="00254DAF" w:rsidRPr="00476DF1">
        <w:rPr>
          <w:rFonts w:ascii="Times New Roman" w:hAnsi="Times New Roman"/>
          <w:sz w:val="24"/>
          <w:szCs w:val="24"/>
        </w:rPr>
        <w:t xml:space="preserve"> the patents classes can be taken as c</w:t>
      </w:r>
      <w:r w:rsidR="00CA6771" w:rsidRPr="00476DF1">
        <w:rPr>
          <w:rFonts w:ascii="Times New Roman" w:hAnsi="Times New Roman"/>
          <w:sz w:val="24"/>
          <w:szCs w:val="24"/>
        </w:rPr>
        <w:t>ompetences</w:t>
      </w:r>
      <w:r w:rsidR="00254DAF" w:rsidRPr="00476DF1">
        <w:rPr>
          <w:rFonts w:ascii="Times New Roman" w:hAnsi="Times New Roman"/>
          <w:sz w:val="24"/>
          <w:szCs w:val="24"/>
        </w:rPr>
        <w:t xml:space="preserve"> (</w:t>
      </w:r>
      <w:r w:rsidR="00254DAF" w:rsidRPr="00476DF1">
        <w:rPr>
          <w:rFonts w:ascii="Times New Roman" w:hAnsi="Times New Roman"/>
          <w:sz w:val="24"/>
          <w:szCs w:val="24"/>
        </w:rPr>
        <w:fldChar w:fldCharType="begin" w:fldLock="1"/>
      </w:r>
      <w:r w:rsidR="008423D0" w:rsidRPr="00476DF1">
        <w:rPr>
          <w:rFonts w:ascii="Times New Roman" w:hAnsi="Times New Roman"/>
          <w:sz w:val="24"/>
          <w:szCs w:val="24"/>
        </w:rPr>
        <w:instrText>ADDIN CSL_CITATION { "citationItems" : [ { "id" : "ITEM-1", "itemData" : { "DOI" : "10.1016/j.respol.2014.09.005", "ISSN" : "0048-7333", "author" : [ { "dropping-particle" : "", "family" : "Novelli", "given" : "Elena", "non-dropping-particle" : "", "parse-names" : false, "suffix" : "" } ], "container-title" : "Research Policy", "id" : "ITEM-1", "issue" : "2", "issued" : { "date-parts" : [ [ "2015" ] ] }, "page" : "493-507", "publisher" : "Elsevier B.V.", "title" : "An examination of the antecedents and implications of patent scope", "type" : "article-journal", "volume" : "44" }, "uris" : [ "http://www.mendeley.com/documents/?uuid=a70a868b-475d-44cb-aab4-21ac1e6e922b" ] }, { "id" : "ITEM-2", "itemData" : { "DOI" : "10.1016/j.respol.2015.05.008", "ISSN" : "0048-7333", "author" : [ { "dropping-particle" : "", "family" : "Strumsky", "given" : "Deborah", "non-dropping-particle" : "", "parse-names" : false, "suffix" : "" }, { "dropping-particle" : "", "family" : "Lobo", "given" : "Jos\u00e9", "non-dropping-particle" : "", "parse-names" : false, "suffix" : "" } ], "container-title" : "Research Policy", "id" : "ITEM-2", "issue" : "8", "issued" : { "date-parts" : [ [ "2015" ] ] }, "page" : "1445-1461", "publisher" : "Elsevier B.V.", "title" : "Identifying the sources of technological novelty in the process of invention", "type" : "article-journal", "volume" : "44" }, "uris" : [ "http://www.mendeley.com/documents/?uuid=68b6bb54-b698-4d44-8867-3122a2f68c3a" ] } ], "mendeley" : { "formattedCitation" : "(NOVELLI, 2015; STRUMSKY; LOBO, 2015)", "manualFormatting" : " STRUMSKY; LOBO, 2015; ", "plainTextFormattedCitation" : "(NOVELLI, 2015; STRUMSKY; LOBO, 2015)", "previouslyFormattedCitation" : "(NOVELLI, 2015; STRUMSKY; LOBO, 2015)" }, "properties" : {  }, "schema" : "https://github.com/citation-style-language/schema/raw/master/csl-citation.json" }</w:instrText>
      </w:r>
      <w:r w:rsidR="00254DAF" w:rsidRPr="00476DF1">
        <w:rPr>
          <w:rFonts w:ascii="Times New Roman" w:hAnsi="Times New Roman"/>
          <w:sz w:val="24"/>
          <w:szCs w:val="24"/>
        </w:rPr>
        <w:fldChar w:fldCharType="separate"/>
      </w:r>
      <w:r w:rsidR="00254DAF" w:rsidRPr="00476DF1">
        <w:rPr>
          <w:rFonts w:ascii="Times New Roman" w:hAnsi="Times New Roman"/>
          <w:noProof/>
          <w:sz w:val="24"/>
          <w:szCs w:val="24"/>
        </w:rPr>
        <w:t>STRUMSKY; LOBO, 2015</w:t>
      </w:r>
      <w:r w:rsidR="008423D0" w:rsidRPr="00476DF1">
        <w:rPr>
          <w:rFonts w:ascii="Times New Roman" w:hAnsi="Times New Roman"/>
          <w:noProof/>
          <w:sz w:val="24"/>
          <w:szCs w:val="24"/>
        </w:rPr>
        <w:t xml:space="preserve">; </w:t>
      </w:r>
      <w:r w:rsidR="00254DAF" w:rsidRPr="00476DF1">
        <w:rPr>
          <w:rFonts w:ascii="Times New Roman" w:hAnsi="Times New Roman"/>
          <w:sz w:val="24"/>
          <w:szCs w:val="24"/>
        </w:rPr>
        <w:fldChar w:fldCharType="end"/>
      </w:r>
      <w:r w:rsidR="00C24550" w:rsidRPr="00476DF1">
        <w:rPr>
          <w:rFonts w:ascii="Times New Roman" w:hAnsi="Times New Roman"/>
          <w:sz w:val="24"/>
          <w:szCs w:val="24"/>
        </w:rPr>
        <w:t xml:space="preserve">AUTHOR, 2016; </w:t>
      </w:r>
      <w:r w:rsidR="008423D0" w:rsidRPr="00476DF1">
        <w:rPr>
          <w:rFonts w:ascii="Times New Roman" w:hAnsi="Times New Roman"/>
          <w:sz w:val="24"/>
          <w:szCs w:val="24"/>
        </w:rPr>
        <w:fldChar w:fldCharType="begin" w:fldLock="1"/>
      </w:r>
      <w:r w:rsidR="008423D0" w:rsidRPr="00476DF1">
        <w:rPr>
          <w:rFonts w:ascii="Times New Roman" w:hAnsi="Times New Roman"/>
          <w:sz w:val="24"/>
          <w:szCs w:val="24"/>
        </w:rPr>
        <w:instrText>ADDIN CSL_CITATION { "citationItems" : [ { "id" : "ITEM-1", "itemData" : { "DOI" : "10.1016/j.respol.2015.11.010", "ISSN" : "00487333", "abstract" : "This study provides a new, more comprehensive measurement of technological novelty. Integrating insights from the existing economics and management literature, we characterize inventions ex ante along two dimensions of technological novelty: Novelty in Recombination and Novelty in Knowledge Origins. For the latter dimension we distinguish between Novel Technological and Novel Scientific Origins. For each dimension we propose an operationalization using patent classification and citation information. Results indicate that the proposed measures for the different dimensions of technological novelty are correlated, but each conveys different information. We perform a series of analyses to assess the validity of the proposed measures and compare them with other indicators used in the literature. Moreover, an analysis of the technological impact of inventions identified as novel shows that technological novelty increases the variance of technological impact and the likelihood of being among the positive outliers with respect to impact. This holds particularly for those inventions that combine Novelty in Recombination with Novelty in Technological and Scientific Origins. Overall, the results support our indicator as ex ante measure of technological novelty with the potential to drive radical technological change.", "author" : [ { "dropping-particle" : "", "family" : "Verhoeven", "given" : "Dennis", "non-dropping-particle" : "", "parse-names" : false, "suffix" : "" }, { "dropping-particle" : "", "family" : "Bakker", "given" : "Jurri??n", "non-dropping-particle" : "", "parse-names" : false, "suffix" : "" }, { "dropping-particle" : "", "family" : "Veugelers", "given" : "Reinhilde", "non-dropping-particle" : "", "parse-names" : false, "suffix" : "" } ], "container-title" : "Research Policy", "id" : "ITEM-1", "issue" : "3", "issued" : { "date-parts" : [ [ "2016" ] ] }, "page" : "707-723", "publisher" : "Elsevier B.V.", "title" : "Measuring technological novelty with patent-based indicators", "type" : "article-journal", "volume" : "45" }, "uris" : [ "http://www.mendeley.com/documents/?uuid=af29bceb-2634-4ab9-8bbc-99120f670b5c" ] } ], "mendeley" : { "formattedCitation" : "(VERHOEVEN; BAKKER; VEUGELERS, 2016)", "manualFormatting" : "VERHOEVEN; BAKKER; VEUGELERS, 2016)", "plainTextFormattedCitation" : "(VERHOEVEN; BAKKER; VEUGELERS, 2016)", "previouslyFormattedCitation" : "(VERHOEVEN; BAKKER; VEUGELERS, 2016)" }, "properties" : {  }, "schema" : "https://github.com/citation-style-language/schema/raw/master/csl-citation.json" }</w:instrText>
      </w:r>
      <w:r w:rsidR="008423D0" w:rsidRPr="00476DF1">
        <w:rPr>
          <w:rFonts w:ascii="Times New Roman" w:hAnsi="Times New Roman"/>
          <w:sz w:val="24"/>
          <w:szCs w:val="24"/>
        </w:rPr>
        <w:fldChar w:fldCharType="separate"/>
      </w:r>
      <w:r w:rsidR="008423D0" w:rsidRPr="00476DF1">
        <w:rPr>
          <w:rFonts w:ascii="Times New Roman" w:hAnsi="Times New Roman"/>
          <w:noProof/>
          <w:sz w:val="24"/>
          <w:szCs w:val="24"/>
        </w:rPr>
        <w:t>VERHOEVEN; BAKKER; VEUGELERS, 2016)</w:t>
      </w:r>
      <w:r w:rsidR="008423D0" w:rsidRPr="00476DF1">
        <w:rPr>
          <w:rFonts w:ascii="Times New Roman" w:hAnsi="Times New Roman"/>
          <w:sz w:val="24"/>
          <w:szCs w:val="24"/>
        </w:rPr>
        <w:fldChar w:fldCharType="end"/>
      </w:r>
      <w:r w:rsidR="00254DAF" w:rsidRPr="00476DF1">
        <w:rPr>
          <w:rFonts w:ascii="Times New Roman" w:hAnsi="Times New Roman"/>
          <w:sz w:val="24"/>
          <w:szCs w:val="24"/>
        </w:rPr>
        <w:t xml:space="preserve">. </w:t>
      </w:r>
      <w:r w:rsidR="003443D3" w:rsidRPr="00476DF1">
        <w:rPr>
          <w:rFonts w:ascii="Times New Roman" w:hAnsi="Times New Roman"/>
          <w:sz w:val="24"/>
          <w:szCs w:val="24"/>
        </w:rPr>
        <w:t>Second,</w:t>
      </w:r>
      <w:r w:rsidR="00254DAF" w:rsidRPr="00476DF1">
        <w:rPr>
          <w:rFonts w:ascii="Times New Roman" w:hAnsi="Times New Roman"/>
          <w:sz w:val="24"/>
          <w:szCs w:val="24"/>
        </w:rPr>
        <w:t xml:space="preserve"> </w:t>
      </w:r>
      <w:r w:rsidR="00CA6771" w:rsidRPr="00476DF1">
        <w:rPr>
          <w:rFonts w:ascii="Times New Roman" w:hAnsi="Times New Roman"/>
          <w:sz w:val="24"/>
          <w:szCs w:val="24"/>
        </w:rPr>
        <w:t xml:space="preserve">the evolution of </w:t>
      </w:r>
      <w:r w:rsidR="00726537" w:rsidRPr="00476DF1">
        <w:rPr>
          <w:rFonts w:ascii="Times New Roman" w:hAnsi="Times New Roman"/>
          <w:sz w:val="24"/>
          <w:szCs w:val="24"/>
        </w:rPr>
        <w:t>Big Pharma</w:t>
      </w:r>
      <w:r w:rsidR="00CA6771" w:rsidRPr="00476DF1">
        <w:rPr>
          <w:rFonts w:ascii="Times New Roman" w:hAnsi="Times New Roman"/>
          <w:sz w:val="24"/>
          <w:szCs w:val="24"/>
        </w:rPr>
        <w:t xml:space="preserve">’s competencies development </w:t>
      </w:r>
      <w:r w:rsidR="00A96D1D" w:rsidRPr="00476DF1">
        <w:rPr>
          <w:rFonts w:ascii="Times New Roman" w:hAnsi="Times New Roman"/>
          <w:sz w:val="24"/>
          <w:szCs w:val="24"/>
        </w:rPr>
        <w:t xml:space="preserve">is linked to the technical knowledge set of the small enterprises </w:t>
      </w:r>
      <w:r w:rsidR="00CA6771" w:rsidRPr="00476DF1">
        <w:rPr>
          <w:rFonts w:ascii="Times New Roman" w:hAnsi="Times New Roman"/>
          <w:sz w:val="24"/>
          <w:szCs w:val="24"/>
        </w:rPr>
        <w:t>competencies</w:t>
      </w:r>
      <w:r w:rsidR="00C24550" w:rsidRPr="00476DF1">
        <w:rPr>
          <w:rFonts w:ascii="Times New Roman" w:hAnsi="Times New Roman"/>
          <w:sz w:val="24"/>
          <w:szCs w:val="24"/>
        </w:rPr>
        <w:t xml:space="preserve"> (AUTHOR, 2016)</w:t>
      </w:r>
      <w:r w:rsidR="00A96D1D" w:rsidRPr="00476DF1">
        <w:rPr>
          <w:rFonts w:ascii="Times New Roman" w:hAnsi="Times New Roman"/>
          <w:sz w:val="24"/>
          <w:szCs w:val="24"/>
        </w:rPr>
        <w:t>.</w:t>
      </w:r>
      <w:r w:rsidR="00CA6771" w:rsidRPr="00476DF1">
        <w:rPr>
          <w:rFonts w:ascii="Times New Roman" w:hAnsi="Times New Roman"/>
          <w:sz w:val="24"/>
          <w:szCs w:val="24"/>
        </w:rPr>
        <w:t xml:space="preserve"> </w:t>
      </w:r>
    </w:p>
    <w:p w14:paraId="65571D2F" w14:textId="5C8BD39A" w:rsidR="00E75013" w:rsidRPr="00476DF1" w:rsidRDefault="003443D3"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Table </w:t>
      </w:r>
      <w:r w:rsidR="001A775D" w:rsidRPr="00476DF1">
        <w:rPr>
          <w:rFonts w:ascii="Times New Roman" w:hAnsi="Times New Roman"/>
          <w:sz w:val="24"/>
          <w:szCs w:val="24"/>
        </w:rPr>
        <w:t>2</w:t>
      </w:r>
      <w:r w:rsidR="00257AB8" w:rsidRPr="00476DF1">
        <w:rPr>
          <w:rFonts w:ascii="Times New Roman" w:hAnsi="Times New Roman"/>
          <w:sz w:val="24"/>
          <w:szCs w:val="24"/>
        </w:rPr>
        <w:t xml:space="preserve"> </w:t>
      </w:r>
      <w:r w:rsidR="00116103" w:rsidRPr="00476DF1">
        <w:rPr>
          <w:rFonts w:ascii="Times New Roman" w:hAnsi="Times New Roman"/>
          <w:sz w:val="24"/>
          <w:szCs w:val="24"/>
        </w:rPr>
        <w:t xml:space="preserve">summarizes </w:t>
      </w:r>
      <w:r w:rsidR="00257AB8" w:rsidRPr="00476DF1">
        <w:rPr>
          <w:rFonts w:ascii="Times New Roman" w:hAnsi="Times New Roman"/>
          <w:sz w:val="24"/>
          <w:szCs w:val="24"/>
        </w:rPr>
        <w:t xml:space="preserve">the </w:t>
      </w:r>
      <w:r w:rsidR="00116103" w:rsidRPr="00476DF1">
        <w:rPr>
          <w:rFonts w:ascii="Times New Roman" w:hAnsi="Times New Roman"/>
          <w:sz w:val="24"/>
          <w:szCs w:val="24"/>
        </w:rPr>
        <w:t xml:space="preserve">direct technical contribution. </w:t>
      </w:r>
      <w:r w:rsidRPr="00476DF1">
        <w:rPr>
          <w:rFonts w:ascii="Times New Roman" w:hAnsi="Times New Roman"/>
          <w:sz w:val="24"/>
          <w:szCs w:val="24"/>
        </w:rPr>
        <w:t>The table shows</w:t>
      </w:r>
      <w:r w:rsidR="00116103" w:rsidRPr="00476DF1">
        <w:rPr>
          <w:rFonts w:ascii="Times New Roman" w:hAnsi="Times New Roman"/>
          <w:sz w:val="24"/>
          <w:szCs w:val="24"/>
        </w:rPr>
        <w:t xml:space="preserve"> </w:t>
      </w:r>
      <w:r w:rsidR="000D33BE" w:rsidRPr="00476DF1">
        <w:rPr>
          <w:rFonts w:ascii="Times New Roman" w:hAnsi="Times New Roman"/>
          <w:sz w:val="24"/>
          <w:szCs w:val="24"/>
        </w:rPr>
        <w:t>only the acquired ente</w:t>
      </w:r>
      <w:r w:rsidR="00A96D1D" w:rsidRPr="00476DF1">
        <w:rPr>
          <w:rFonts w:ascii="Times New Roman" w:hAnsi="Times New Roman"/>
          <w:sz w:val="24"/>
          <w:szCs w:val="24"/>
        </w:rPr>
        <w:t>r</w:t>
      </w:r>
      <w:r w:rsidR="000D33BE" w:rsidRPr="00476DF1">
        <w:rPr>
          <w:rFonts w:ascii="Times New Roman" w:hAnsi="Times New Roman"/>
          <w:sz w:val="24"/>
          <w:szCs w:val="24"/>
        </w:rPr>
        <w:t>prises that had at least one</w:t>
      </w:r>
      <w:r w:rsidR="00C24550" w:rsidRPr="00476DF1">
        <w:rPr>
          <w:rFonts w:ascii="Times New Roman" w:hAnsi="Times New Roman"/>
          <w:sz w:val="24"/>
          <w:szCs w:val="24"/>
        </w:rPr>
        <w:t xml:space="preserve"> of its</w:t>
      </w:r>
      <w:r w:rsidR="000D33BE" w:rsidRPr="00476DF1">
        <w:rPr>
          <w:rFonts w:ascii="Times New Roman" w:hAnsi="Times New Roman"/>
          <w:sz w:val="24"/>
          <w:szCs w:val="24"/>
        </w:rPr>
        <w:t xml:space="preserve"> patent</w:t>
      </w:r>
      <w:r w:rsidR="00C24550" w:rsidRPr="00476DF1">
        <w:rPr>
          <w:rFonts w:ascii="Times New Roman" w:hAnsi="Times New Roman"/>
          <w:sz w:val="24"/>
          <w:szCs w:val="24"/>
        </w:rPr>
        <w:t>s</w:t>
      </w:r>
      <w:r w:rsidR="000D33BE" w:rsidRPr="00476DF1">
        <w:rPr>
          <w:rFonts w:ascii="Times New Roman" w:hAnsi="Times New Roman"/>
          <w:sz w:val="24"/>
          <w:szCs w:val="24"/>
        </w:rPr>
        <w:t xml:space="preserve"> reference</w:t>
      </w:r>
      <w:r w:rsidRPr="00476DF1">
        <w:rPr>
          <w:rFonts w:ascii="Times New Roman" w:hAnsi="Times New Roman"/>
          <w:sz w:val="24"/>
          <w:szCs w:val="24"/>
        </w:rPr>
        <w:t>d</w:t>
      </w:r>
      <w:r w:rsidR="000D33BE" w:rsidRPr="00476DF1">
        <w:rPr>
          <w:rFonts w:ascii="Times New Roman" w:hAnsi="Times New Roman"/>
          <w:sz w:val="24"/>
          <w:szCs w:val="24"/>
        </w:rPr>
        <w:t xml:space="preserve"> </w:t>
      </w:r>
      <w:r w:rsidR="00665794" w:rsidRPr="00476DF1">
        <w:rPr>
          <w:rFonts w:ascii="Times New Roman" w:hAnsi="Times New Roman"/>
          <w:sz w:val="24"/>
          <w:szCs w:val="24"/>
        </w:rPr>
        <w:t xml:space="preserve">by </w:t>
      </w:r>
      <w:r w:rsidR="000D33BE" w:rsidRPr="00476DF1">
        <w:rPr>
          <w:rFonts w:ascii="Times New Roman" w:hAnsi="Times New Roman"/>
          <w:sz w:val="24"/>
          <w:szCs w:val="24"/>
        </w:rPr>
        <w:t xml:space="preserve">the </w:t>
      </w:r>
      <w:r w:rsidR="00726537" w:rsidRPr="00476DF1">
        <w:rPr>
          <w:rFonts w:ascii="Times New Roman" w:hAnsi="Times New Roman"/>
          <w:sz w:val="24"/>
          <w:szCs w:val="24"/>
        </w:rPr>
        <w:t>Big Pharma</w:t>
      </w:r>
      <w:r w:rsidRPr="00476DF1">
        <w:rPr>
          <w:rFonts w:ascii="Times New Roman" w:hAnsi="Times New Roman"/>
          <w:sz w:val="24"/>
          <w:szCs w:val="24"/>
        </w:rPr>
        <w:t xml:space="preserve"> acquirer</w:t>
      </w:r>
      <w:r w:rsidR="000D33BE" w:rsidRPr="00476DF1">
        <w:rPr>
          <w:rFonts w:ascii="Times New Roman" w:hAnsi="Times New Roman"/>
          <w:sz w:val="24"/>
          <w:szCs w:val="24"/>
        </w:rPr>
        <w:t xml:space="preserve">. The table also shows </w:t>
      </w:r>
      <w:r w:rsidR="00116103" w:rsidRPr="00476DF1">
        <w:rPr>
          <w:rFonts w:ascii="Times New Roman" w:hAnsi="Times New Roman"/>
          <w:sz w:val="24"/>
          <w:szCs w:val="24"/>
        </w:rPr>
        <w:t xml:space="preserve">the </w:t>
      </w:r>
      <w:r w:rsidR="00257AB8" w:rsidRPr="00476DF1">
        <w:rPr>
          <w:rFonts w:ascii="Times New Roman" w:hAnsi="Times New Roman"/>
          <w:sz w:val="24"/>
          <w:szCs w:val="24"/>
        </w:rPr>
        <w:t xml:space="preserve">number of patents of each </w:t>
      </w:r>
      <w:r w:rsidR="00116103" w:rsidRPr="00476DF1">
        <w:rPr>
          <w:rFonts w:ascii="Times New Roman" w:hAnsi="Times New Roman"/>
          <w:sz w:val="24"/>
          <w:szCs w:val="24"/>
        </w:rPr>
        <w:t xml:space="preserve">acquired </w:t>
      </w:r>
      <w:r w:rsidR="00257AB8" w:rsidRPr="00476DF1">
        <w:rPr>
          <w:rFonts w:ascii="Times New Roman" w:hAnsi="Times New Roman"/>
          <w:sz w:val="24"/>
          <w:szCs w:val="24"/>
        </w:rPr>
        <w:t>enterprise</w:t>
      </w:r>
      <w:r w:rsidR="00094BD3" w:rsidRPr="00476DF1">
        <w:rPr>
          <w:rFonts w:ascii="Times New Roman" w:hAnsi="Times New Roman"/>
          <w:sz w:val="24"/>
          <w:szCs w:val="24"/>
        </w:rPr>
        <w:t>,</w:t>
      </w:r>
      <w:r w:rsidR="00116103" w:rsidRPr="00476DF1">
        <w:rPr>
          <w:rFonts w:ascii="Times New Roman" w:hAnsi="Times New Roman"/>
          <w:sz w:val="24"/>
          <w:szCs w:val="24"/>
        </w:rPr>
        <w:t xml:space="preserve"> the number of patents used </w:t>
      </w:r>
      <w:r w:rsidR="00257AB8" w:rsidRPr="00476DF1">
        <w:rPr>
          <w:rFonts w:ascii="Times New Roman" w:hAnsi="Times New Roman"/>
          <w:sz w:val="24"/>
          <w:szCs w:val="24"/>
        </w:rPr>
        <w:t xml:space="preserve">as </w:t>
      </w:r>
      <w:r w:rsidRPr="00476DF1">
        <w:rPr>
          <w:rFonts w:ascii="Times New Roman" w:hAnsi="Times New Roman"/>
          <w:sz w:val="24"/>
          <w:szCs w:val="24"/>
        </w:rPr>
        <w:t xml:space="preserve">a </w:t>
      </w:r>
      <w:r w:rsidR="00257AB8" w:rsidRPr="00476DF1">
        <w:rPr>
          <w:rFonts w:ascii="Times New Roman" w:hAnsi="Times New Roman"/>
          <w:sz w:val="24"/>
          <w:szCs w:val="24"/>
        </w:rPr>
        <w:t>reference in new patents</w:t>
      </w:r>
      <w:r w:rsidRPr="00476DF1">
        <w:rPr>
          <w:rFonts w:ascii="Times New Roman" w:hAnsi="Times New Roman"/>
          <w:sz w:val="24"/>
          <w:szCs w:val="24"/>
        </w:rPr>
        <w:t>,</w:t>
      </w:r>
      <w:r w:rsidR="00116103" w:rsidRPr="00476DF1">
        <w:rPr>
          <w:rFonts w:ascii="Times New Roman" w:hAnsi="Times New Roman"/>
          <w:sz w:val="24"/>
          <w:szCs w:val="24"/>
        </w:rPr>
        <w:t xml:space="preserve"> and the patents generated with the refere</w:t>
      </w:r>
      <w:r w:rsidR="00A96D1D" w:rsidRPr="00476DF1">
        <w:rPr>
          <w:rFonts w:ascii="Times New Roman" w:hAnsi="Times New Roman"/>
          <w:sz w:val="24"/>
          <w:szCs w:val="24"/>
        </w:rPr>
        <w:t>nced</w:t>
      </w:r>
      <w:r w:rsidRPr="00476DF1">
        <w:rPr>
          <w:rFonts w:ascii="Times New Roman" w:hAnsi="Times New Roman"/>
          <w:sz w:val="24"/>
          <w:szCs w:val="24"/>
        </w:rPr>
        <w:t xml:space="preserve"> patents</w:t>
      </w:r>
      <w:r w:rsidR="00257AB8" w:rsidRPr="00476DF1">
        <w:rPr>
          <w:rFonts w:ascii="Times New Roman" w:hAnsi="Times New Roman"/>
          <w:sz w:val="24"/>
          <w:szCs w:val="24"/>
        </w:rPr>
        <w:t>.</w:t>
      </w:r>
    </w:p>
    <w:p w14:paraId="16349274" w14:textId="77777777" w:rsidR="009D7A0F" w:rsidRPr="00476DF1" w:rsidRDefault="009D7A0F" w:rsidP="00CE4BBE">
      <w:pPr>
        <w:spacing w:after="0" w:line="240" w:lineRule="auto"/>
        <w:ind w:firstLine="720"/>
        <w:jc w:val="both"/>
        <w:rPr>
          <w:rFonts w:ascii="Times New Roman" w:hAnsi="Times New Roman"/>
          <w:sz w:val="24"/>
          <w:szCs w:val="24"/>
        </w:rPr>
      </w:pPr>
    </w:p>
    <w:p w14:paraId="79E339FD" w14:textId="77777777" w:rsidR="009D7A0F" w:rsidRPr="00476DF1" w:rsidRDefault="009D7A0F" w:rsidP="00CE4BBE">
      <w:pPr>
        <w:spacing w:after="0" w:line="240" w:lineRule="auto"/>
        <w:ind w:firstLine="720"/>
        <w:jc w:val="both"/>
        <w:rPr>
          <w:rFonts w:ascii="Times New Roman" w:hAnsi="Times New Roman"/>
          <w:sz w:val="24"/>
          <w:szCs w:val="24"/>
        </w:rPr>
      </w:pPr>
    </w:p>
    <w:p w14:paraId="5B498167" w14:textId="7B419C6C" w:rsidR="00100A80" w:rsidRPr="00476DF1" w:rsidRDefault="00100A80" w:rsidP="00CE4BBE">
      <w:pPr>
        <w:spacing w:after="0" w:line="240" w:lineRule="auto"/>
        <w:rPr>
          <w:rFonts w:ascii="Times New Roman" w:hAnsi="Times New Roman"/>
          <w:b/>
          <w:sz w:val="24"/>
          <w:szCs w:val="24"/>
        </w:rPr>
      </w:pPr>
      <w:r w:rsidRPr="00476DF1">
        <w:rPr>
          <w:rFonts w:ascii="Times New Roman" w:hAnsi="Times New Roman"/>
          <w:b/>
          <w:sz w:val="24"/>
          <w:szCs w:val="24"/>
        </w:rPr>
        <w:t xml:space="preserve">Table </w:t>
      </w:r>
      <w:r w:rsidR="001A775D" w:rsidRPr="00476DF1">
        <w:rPr>
          <w:rFonts w:ascii="Times New Roman" w:hAnsi="Times New Roman"/>
          <w:b/>
          <w:sz w:val="24"/>
          <w:szCs w:val="24"/>
        </w:rPr>
        <w:t>2</w:t>
      </w:r>
      <w:r w:rsidRPr="00476DF1">
        <w:rPr>
          <w:rFonts w:ascii="Times New Roman" w:hAnsi="Times New Roman"/>
          <w:b/>
          <w:sz w:val="24"/>
          <w:szCs w:val="24"/>
        </w:rPr>
        <w:t>: Direct Technical Contribution</w:t>
      </w:r>
    </w:p>
    <w:tbl>
      <w:tblPr>
        <w:tblW w:w="8960" w:type="dxa"/>
        <w:jc w:val="center"/>
        <w:tblLook w:val="04A0" w:firstRow="1" w:lastRow="0" w:firstColumn="1" w:lastColumn="0" w:noHBand="0" w:noVBand="1"/>
      </w:tblPr>
      <w:tblGrid>
        <w:gridCol w:w="1572"/>
        <w:gridCol w:w="2068"/>
        <w:gridCol w:w="1950"/>
        <w:gridCol w:w="1927"/>
        <w:gridCol w:w="1443"/>
      </w:tblGrid>
      <w:tr w:rsidR="00100A80" w:rsidRPr="00476DF1" w14:paraId="47A2A186" w14:textId="77777777" w:rsidTr="00CE4BBE">
        <w:trPr>
          <w:trHeight w:val="1103"/>
          <w:jc w:val="center"/>
        </w:trPr>
        <w:tc>
          <w:tcPr>
            <w:tcW w:w="1572" w:type="dxa"/>
            <w:tcBorders>
              <w:top w:val="single" w:sz="4" w:space="0" w:color="auto"/>
              <w:left w:val="nil"/>
              <w:bottom w:val="single" w:sz="4" w:space="0" w:color="auto"/>
              <w:right w:val="nil"/>
            </w:tcBorders>
            <w:shd w:val="clear" w:color="000000" w:fill="FFFFFF"/>
            <w:vAlign w:val="center"/>
            <w:hideMark/>
          </w:tcPr>
          <w:p w14:paraId="26788C50" w14:textId="77777777" w:rsidR="00100A80" w:rsidRPr="00476DF1" w:rsidRDefault="00100A80"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lastRenderedPageBreak/>
              <w:t>Large Enterprises</w:t>
            </w:r>
          </w:p>
        </w:tc>
        <w:tc>
          <w:tcPr>
            <w:tcW w:w="2068" w:type="dxa"/>
            <w:tcBorders>
              <w:top w:val="single" w:sz="4" w:space="0" w:color="auto"/>
              <w:left w:val="nil"/>
              <w:bottom w:val="single" w:sz="4" w:space="0" w:color="auto"/>
              <w:right w:val="nil"/>
            </w:tcBorders>
            <w:shd w:val="clear" w:color="000000" w:fill="FFFFFF"/>
            <w:vAlign w:val="center"/>
            <w:hideMark/>
          </w:tcPr>
          <w:p w14:paraId="79AB8F3C" w14:textId="77777777" w:rsidR="00100A80" w:rsidRPr="00476DF1" w:rsidRDefault="00100A80"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t xml:space="preserve">Enterprises Acquired </w:t>
            </w:r>
          </w:p>
        </w:tc>
        <w:tc>
          <w:tcPr>
            <w:tcW w:w="1950" w:type="dxa"/>
            <w:tcBorders>
              <w:top w:val="single" w:sz="4" w:space="0" w:color="auto"/>
              <w:left w:val="nil"/>
              <w:bottom w:val="single" w:sz="4" w:space="0" w:color="auto"/>
              <w:right w:val="nil"/>
            </w:tcBorders>
            <w:shd w:val="clear" w:color="000000" w:fill="FFFFFF"/>
            <w:vAlign w:val="center"/>
            <w:hideMark/>
          </w:tcPr>
          <w:p w14:paraId="45A2D726" w14:textId="77777777" w:rsidR="00100A80" w:rsidRPr="00476DF1" w:rsidRDefault="00100A80"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t>Number of Small Enterprises Patents</w:t>
            </w:r>
          </w:p>
          <w:p w14:paraId="1324AB71" w14:textId="77777777" w:rsidR="00100A80" w:rsidRPr="00476DF1" w:rsidRDefault="00100A80"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t>(A)</w:t>
            </w:r>
          </w:p>
        </w:tc>
        <w:tc>
          <w:tcPr>
            <w:tcW w:w="1927" w:type="dxa"/>
            <w:tcBorders>
              <w:top w:val="single" w:sz="4" w:space="0" w:color="auto"/>
              <w:left w:val="nil"/>
              <w:bottom w:val="single" w:sz="4" w:space="0" w:color="auto"/>
              <w:right w:val="nil"/>
            </w:tcBorders>
            <w:shd w:val="clear" w:color="000000" w:fill="FFFFFF"/>
            <w:vAlign w:val="center"/>
            <w:hideMark/>
          </w:tcPr>
          <w:p w14:paraId="00D1D157" w14:textId="77777777" w:rsidR="00100A80" w:rsidRPr="00476DF1" w:rsidRDefault="00100A80"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t xml:space="preserve"> Patents Used as Reference                      (small enterprise's patents used)</w:t>
            </w:r>
          </w:p>
          <w:p w14:paraId="0C58AE6E" w14:textId="77777777" w:rsidR="00100A80" w:rsidRPr="00476DF1" w:rsidRDefault="00100A80"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t>(B)</w:t>
            </w:r>
          </w:p>
        </w:tc>
        <w:tc>
          <w:tcPr>
            <w:tcW w:w="1443" w:type="dxa"/>
            <w:tcBorders>
              <w:top w:val="single" w:sz="4" w:space="0" w:color="auto"/>
              <w:left w:val="nil"/>
              <w:bottom w:val="single" w:sz="4" w:space="0" w:color="auto"/>
              <w:right w:val="nil"/>
            </w:tcBorders>
            <w:shd w:val="clear" w:color="000000" w:fill="FFFFFF"/>
            <w:vAlign w:val="center"/>
            <w:hideMark/>
          </w:tcPr>
          <w:p w14:paraId="412871CD" w14:textId="77777777" w:rsidR="00100A80" w:rsidRPr="00476DF1" w:rsidRDefault="00100A80"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t xml:space="preserve">Patents Generated </w:t>
            </w:r>
          </w:p>
        </w:tc>
      </w:tr>
      <w:tr w:rsidR="00100A80" w:rsidRPr="00476DF1" w14:paraId="23CCDD12" w14:textId="77777777" w:rsidTr="00CE4BBE">
        <w:trPr>
          <w:trHeight w:val="271"/>
          <w:jc w:val="center"/>
        </w:trPr>
        <w:tc>
          <w:tcPr>
            <w:tcW w:w="1572" w:type="dxa"/>
            <w:vMerge w:val="restart"/>
            <w:tcBorders>
              <w:top w:val="nil"/>
              <w:left w:val="nil"/>
              <w:bottom w:val="nil"/>
              <w:right w:val="nil"/>
            </w:tcBorders>
            <w:shd w:val="clear" w:color="000000" w:fill="FFFFFF"/>
            <w:vAlign w:val="center"/>
            <w:hideMark/>
          </w:tcPr>
          <w:p w14:paraId="451B5DF5"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Astra-Zeneca</w:t>
            </w:r>
          </w:p>
        </w:tc>
        <w:tc>
          <w:tcPr>
            <w:tcW w:w="2068" w:type="dxa"/>
            <w:tcBorders>
              <w:top w:val="nil"/>
              <w:left w:val="nil"/>
              <w:bottom w:val="single" w:sz="4" w:space="0" w:color="auto"/>
              <w:right w:val="nil"/>
            </w:tcBorders>
            <w:shd w:val="clear" w:color="000000" w:fill="FFFFFF"/>
            <w:vAlign w:val="center"/>
            <w:hideMark/>
          </w:tcPr>
          <w:p w14:paraId="45F05665"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Kudos</w:t>
            </w:r>
          </w:p>
        </w:tc>
        <w:tc>
          <w:tcPr>
            <w:tcW w:w="1950" w:type="dxa"/>
            <w:tcBorders>
              <w:top w:val="nil"/>
              <w:left w:val="nil"/>
              <w:bottom w:val="single" w:sz="4" w:space="0" w:color="auto"/>
              <w:right w:val="nil"/>
            </w:tcBorders>
            <w:shd w:val="clear" w:color="000000" w:fill="FFFFFF"/>
            <w:vAlign w:val="center"/>
            <w:hideMark/>
          </w:tcPr>
          <w:p w14:paraId="302F4B17"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30</w:t>
            </w:r>
          </w:p>
        </w:tc>
        <w:tc>
          <w:tcPr>
            <w:tcW w:w="1927" w:type="dxa"/>
            <w:tcBorders>
              <w:top w:val="nil"/>
              <w:left w:val="nil"/>
              <w:bottom w:val="single" w:sz="4" w:space="0" w:color="auto"/>
              <w:right w:val="nil"/>
            </w:tcBorders>
            <w:shd w:val="clear" w:color="000000" w:fill="FFFFFF"/>
            <w:vAlign w:val="center"/>
            <w:hideMark/>
          </w:tcPr>
          <w:p w14:paraId="21608880"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w:t>
            </w:r>
          </w:p>
        </w:tc>
        <w:tc>
          <w:tcPr>
            <w:tcW w:w="1443" w:type="dxa"/>
            <w:tcBorders>
              <w:top w:val="nil"/>
              <w:left w:val="nil"/>
              <w:bottom w:val="single" w:sz="4" w:space="0" w:color="auto"/>
              <w:right w:val="nil"/>
            </w:tcBorders>
            <w:shd w:val="clear" w:color="000000" w:fill="FFFFFF"/>
            <w:vAlign w:val="center"/>
            <w:hideMark/>
          </w:tcPr>
          <w:p w14:paraId="0F61537F"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w:t>
            </w:r>
          </w:p>
        </w:tc>
      </w:tr>
      <w:tr w:rsidR="00100A80" w:rsidRPr="00476DF1" w14:paraId="431301EE" w14:textId="77777777" w:rsidTr="00CE4BBE">
        <w:trPr>
          <w:trHeight w:val="386"/>
          <w:jc w:val="center"/>
        </w:trPr>
        <w:tc>
          <w:tcPr>
            <w:tcW w:w="1572" w:type="dxa"/>
            <w:vMerge/>
            <w:tcBorders>
              <w:top w:val="nil"/>
              <w:left w:val="nil"/>
              <w:bottom w:val="nil"/>
              <w:right w:val="nil"/>
            </w:tcBorders>
            <w:vAlign w:val="center"/>
            <w:hideMark/>
          </w:tcPr>
          <w:p w14:paraId="0549BC48" w14:textId="77777777" w:rsidR="00100A80" w:rsidRPr="00476DF1" w:rsidRDefault="00100A80" w:rsidP="00CE4BBE">
            <w:pPr>
              <w:spacing w:after="0" w:line="240" w:lineRule="auto"/>
              <w:rPr>
                <w:rFonts w:ascii="Times New Roman" w:eastAsia="Times New Roman" w:hAnsi="Times New Roman"/>
                <w:color w:val="000000"/>
                <w:sz w:val="20"/>
                <w:szCs w:val="20"/>
              </w:rPr>
            </w:pPr>
          </w:p>
        </w:tc>
        <w:tc>
          <w:tcPr>
            <w:tcW w:w="2068" w:type="dxa"/>
            <w:tcBorders>
              <w:top w:val="nil"/>
              <w:left w:val="nil"/>
              <w:bottom w:val="single" w:sz="4" w:space="0" w:color="auto"/>
              <w:right w:val="nil"/>
            </w:tcBorders>
            <w:shd w:val="clear" w:color="000000" w:fill="FFFFFF"/>
            <w:vAlign w:val="center"/>
            <w:hideMark/>
          </w:tcPr>
          <w:p w14:paraId="78C8C73B"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Medimmune</w:t>
            </w:r>
          </w:p>
        </w:tc>
        <w:tc>
          <w:tcPr>
            <w:tcW w:w="1950" w:type="dxa"/>
            <w:tcBorders>
              <w:top w:val="nil"/>
              <w:left w:val="nil"/>
              <w:bottom w:val="single" w:sz="4" w:space="0" w:color="auto"/>
              <w:right w:val="nil"/>
            </w:tcBorders>
            <w:shd w:val="clear" w:color="000000" w:fill="FFFFFF"/>
            <w:vAlign w:val="center"/>
            <w:hideMark/>
          </w:tcPr>
          <w:p w14:paraId="499021A9"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347</w:t>
            </w:r>
          </w:p>
        </w:tc>
        <w:tc>
          <w:tcPr>
            <w:tcW w:w="1927" w:type="dxa"/>
            <w:tcBorders>
              <w:top w:val="nil"/>
              <w:left w:val="nil"/>
              <w:bottom w:val="single" w:sz="4" w:space="0" w:color="auto"/>
              <w:right w:val="nil"/>
            </w:tcBorders>
            <w:shd w:val="clear" w:color="000000" w:fill="FFFFFF"/>
            <w:vAlign w:val="center"/>
            <w:hideMark/>
          </w:tcPr>
          <w:p w14:paraId="39683AB8"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c>
          <w:tcPr>
            <w:tcW w:w="1443" w:type="dxa"/>
            <w:tcBorders>
              <w:top w:val="nil"/>
              <w:left w:val="nil"/>
              <w:bottom w:val="single" w:sz="4" w:space="0" w:color="auto"/>
              <w:right w:val="nil"/>
            </w:tcBorders>
            <w:shd w:val="clear" w:color="000000" w:fill="FFFFFF"/>
            <w:vAlign w:val="center"/>
            <w:hideMark/>
          </w:tcPr>
          <w:p w14:paraId="6EA17504"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w:t>
            </w:r>
          </w:p>
        </w:tc>
      </w:tr>
      <w:tr w:rsidR="00100A80" w:rsidRPr="00476DF1" w14:paraId="1747B2AA" w14:textId="77777777" w:rsidTr="00CE4BBE">
        <w:trPr>
          <w:trHeight w:val="386"/>
          <w:jc w:val="center"/>
        </w:trPr>
        <w:tc>
          <w:tcPr>
            <w:tcW w:w="1572" w:type="dxa"/>
            <w:vMerge/>
            <w:tcBorders>
              <w:top w:val="nil"/>
              <w:left w:val="nil"/>
              <w:bottom w:val="nil"/>
              <w:right w:val="nil"/>
            </w:tcBorders>
            <w:vAlign w:val="center"/>
            <w:hideMark/>
          </w:tcPr>
          <w:p w14:paraId="4B3DDB75" w14:textId="77777777" w:rsidR="00100A80" w:rsidRPr="00476DF1" w:rsidRDefault="00100A80" w:rsidP="00CE4BBE">
            <w:pPr>
              <w:spacing w:after="0" w:line="240" w:lineRule="auto"/>
              <w:rPr>
                <w:rFonts w:ascii="Times New Roman" w:eastAsia="Times New Roman" w:hAnsi="Times New Roman"/>
                <w:color w:val="000000"/>
                <w:sz w:val="20"/>
                <w:szCs w:val="20"/>
              </w:rPr>
            </w:pPr>
          </w:p>
        </w:tc>
        <w:tc>
          <w:tcPr>
            <w:tcW w:w="2068" w:type="dxa"/>
            <w:tcBorders>
              <w:top w:val="nil"/>
              <w:left w:val="nil"/>
              <w:bottom w:val="nil"/>
              <w:right w:val="nil"/>
            </w:tcBorders>
            <w:shd w:val="clear" w:color="000000" w:fill="FFFFFF"/>
            <w:vAlign w:val="center"/>
            <w:hideMark/>
          </w:tcPr>
          <w:p w14:paraId="1F18E2BC"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Novexel</w:t>
            </w:r>
          </w:p>
        </w:tc>
        <w:tc>
          <w:tcPr>
            <w:tcW w:w="1950" w:type="dxa"/>
            <w:tcBorders>
              <w:top w:val="nil"/>
              <w:left w:val="nil"/>
              <w:bottom w:val="nil"/>
              <w:right w:val="nil"/>
            </w:tcBorders>
            <w:shd w:val="clear" w:color="000000" w:fill="FFFFFF"/>
            <w:vAlign w:val="center"/>
            <w:hideMark/>
          </w:tcPr>
          <w:p w14:paraId="18BF07DD"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6</w:t>
            </w:r>
          </w:p>
        </w:tc>
        <w:tc>
          <w:tcPr>
            <w:tcW w:w="1927" w:type="dxa"/>
            <w:tcBorders>
              <w:top w:val="nil"/>
              <w:left w:val="nil"/>
              <w:bottom w:val="nil"/>
              <w:right w:val="nil"/>
            </w:tcBorders>
            <w:shd w:val="clear" w:color="000000" w:fill="FFFFFF"/>
            <w:vAlign w:val="center"/>
            <w:hideMark/>
          </w:tcPr>
          <w:p w14:paraId="739D5A49"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w:t>
            </w:r>
          </w:p>
        </w:tc>
        <w:tc>
          <w:tcPr>
            <w:tcW w:w="1443" w:type="dxa"/>
            <w:tcBorders>
              <w:top w:val="nil"/>
              <w:left w:val="nil"/>
              <w:bottom w:val="nil"/>
              <w:right w:val="nil"/>
            </w:tcBorders>
            <w:shd w:val="clear" w:color="000000" w:fill="FFFFFF"/>
            <w:vAlign w:val="center"/>
            <w:hideMark/>
          </w:tcPr>
          <w:p w14:paraId="769D9AC7"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r>
      <w:tr w:rsidR="00100A80" w:rsidRPr="00476DF1" w14:paraId="669306CB" w14:textId="77777777" w:rsidTr="00CE4BBE">
        <w:trPr>
          <w:trHeight w:val="386"/>
          <w:jc w:val="center"/>
        </w:trPr>
        <w:tc>
          <w:tcPr>
            <w:tcW w:w="1572" w:type="dxa"/>
            <w:vMerge w:val="restart"/>
            <w:tcBorders>
              <w:top w:val="single" w:sz="4" w:space="0" w:color="auto"/>
              <w:left w:val="nil"/>
              <w:bottom w:val="single" w:sz="4" w:space="0" w:color="000000"/>
              <w:right w:val="nil"/>
            </w:tcBorders>
            <w:shd w:val="clear" w:color="000000" w:fill="FFFFFF"/>
            <w:vAlign w:val="center"/>
            <w:hideMark/>
          </w:tcPr>
          <w:p w14:paraId="349DECAA"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Sanofi</w:t>
            </w:r>
          </w:p>
        </w:tc>
        <w:tc>
          <w:tcPr>
            <w:tcW w:w="2068" w:type="dxa"/>
            <w:tcBorders>
              <w:top w:val="single" w:sz="4" w:space="0" w:color="auto"/>
              <w:left w:val="nil"/>
              <w:bottom w:val="single" w:sz="4" w:space="0" w:color="auto"/>
              <w:right w:val="nil"/>
            </w:tcBorders>
            <w:shd w:val="clear" w:color="000000" w:fill="FFFFFF"/>
            <w:vAlign w:val="center"/>
            <w:hideMark/>
          </w:tcPr>
          <w:p w14:paraId="298D057C"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Fovea</w:t>
            </w:r>
          </w:p>
        </w:tc>
        <w:tc>
          <w:tcPr>
            <w:tcW w:w="1950" w:type="dxa"/>
            <w:tcBorders>
              <w:top w:val="single" w:sz="4" w:space="0" w:color="auto"/>
              <w:left w:val="nil"/>
              <w:bottom w:val="single" w:sz="4" w:space="0" w:color="auto"/>
              <w:right w:val="nil"/>
            </w:tcBorders>
            <w:shd w:val="clear" w:color="000000" w:fill="FFFFFF"/>
            <w:vAlign w:val="center"/>
            <w:hideMark/>
          </w:tcPr>
          <w:p w14:paraId="221823B7"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w:t>
            </w:r>
          </w:p>
        </w:tc>
        <w:tc>
          <w:tcPr>
            <w:tcW w:w="1927" w:type="dxa"/>
            <w:tcBorders>
              <w:top w:val="single" w:sz="4" w:space="0" w:color="auto"/>
              <w:left w:val="nil"/>
              <w:bottom w:val="single" w:sz="4" w:space="0" w:color="auto"/>
              <w:right w:val="nil"/>
            </w:tcBorders>
            <w:shd w:val="clear" w:color="000000" w:fill="FFFFFF"/>
            <w:vAlign w:val="center"/>
            <w:hideMark/>
          </w:tcPr>
          <w:p w14:paraId="131EE9C4"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c>
          <w:tcPr>
            <w:tcW w:w="1443" w:type="dxa"/>
            <w:tcBorders>
              <w:top w:val="single" w:sz="4" w:space="0" w:color="auto"/>
              <w:left w:val="nil"/>
              <w:bottom w:val="single" w:sz="4" w:space="0" w:color="auto"/>
              <w:right w:val="nil"/>
            </w:tcBorders>
            <w:shd w:val="clear" w:color="000000" w:fill="FFFFFF"/>
            <w:vAlign w:val="center"/>
            <w:hideMark/>
          </w:tcPr>
          <w:p w14:paraId="23FAC638"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r>
      <w:tr w:rsidR="00100A80" w:rsidRPr="00476DF1" w14:paraId="31577CA8" w14:textId="77777777" w:rsidTr="00CE4BBE">
        <w:trPr>
          <w:trHeight w:val="309"/>
          <w:jc w:val="center"/>
        </w:trPr>
        <w:tc>
          <w:tcPr>
            <w:tcW w:w="1572" w:type="dxa"/>
            <w:vMerge/>
            <w:tcBorders>
              <w:top w:val="single" w:sz="4" w:space="0" w:color="auto"/>
              <w:left w:val="nil"/>
              <w:bottom w:val="single" w:sz="4" w:space="0" w:color="000000"/>
              <w:right w:val="nil"/>
            </w:tcBorders>
            <w:vAlign w:val="center"/>
            <w:hideMark/>
          </w:tcPr>
          <w:p w14:paraId="31787948" w14:textId="77777777" w:rsidR="00100A80" w:rsidRPr="00476DF1" w:rsidRDefault="00100A80" w:rsidP="00CE4BBE">
            <w:pPr>
              <w:spacing w:after="0" w:line="240" w:lineRule="auto"/>
              <w:rPr>
                <w:rFonts w:ascii="Times New Roman" w:eastAsia="Times New Roman" w:hAnsi="Times New Roman"/>
                <w:color w:val="000000"/>
                <w:sz w:val="20"/>
                <w:szCs w:val="20"/>
              </w:rPr>
            </w:pPr>
          </w:p>
        </w:tc>
        <w:tc>
          <w:tcPr>
            <w:tcW w:w="2068" w:type="dxa"/>
            <w:tcBorders>
              <w:top w:val="nil"/>
              <w:left w:val="nil"/>
              <w:bottom w:val="single" w:sz="4" w:space="0" w:color="auto"/>
              <w:right w:val="nil"/>
            </w:tcBorders>
            <w:shd w:val="clear" w:color="000000" w:fill="FFFFFF"/>
            <w:vAlign w:val="center"/>
            <w:hideMark/>
          </w:tcPr>
          <w:p w14:paraId="75D18955"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VaxDesign</w:t>
            </w:r>
          </w:p>
        </w:tc>
        <w:tc>
          <w:tcPr>
            <w:tcW w:w="1950" w:type="dxa"/>
            <w:tcBorders>
              <w:top w:val="nil"/>
              <w:left w:val="nil"/>
              <w:bottom w:val="single" w:sz="4" w:space="0" w:color="auto"/>
              <w:right w:val="nil"/>
            </w:tcBorders>
            <w:shd w:val="clear" w:color="000000" w:fill="FFFFFF"/>
            <w:vAlign w:val="center"/>
            <w:hideMark/>
          </w:tcPr>
          <w:p w14:paraId="028E7B57"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24</w:t>
            </w:r>
          </w:p>
        </w:tc>
        <w:tc>
          <w:tcPr>
            <w:tcW w:w="1927" w:type="dxa"/>
            <w:tcBorders>
              <w:top w:val="nil"/>
              <w:left w:val="nil"/>
              <w:bottom w:val="single" w:sz="4" w:space="0" w:color="auto"/>
              <w:right w:val="nil"/>
            </w:tcBorders>
            <w:shd w:val="clear" w:color="000000" w:fill="FFFFFF"/>
            <w:vAlign w:val="center"/>
            <w:hideMark/>
          </w:tcPr>
          <w:p w14:paraId="2F1E7D04"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w:t>
            </w:r>
          </w:p>
        </w:tc>
        <w:tc>
          <w:tcPr>
            <w:tcW w:w="1443" w:type="dxa"/>
            <w:tcBorders>
              <w:top w:val="nil"/>
              <w:left w:val="nil"/>
              <w:bottom w:val="single" w:sz="4" w:space="0" w:color="auto"/>
              <w:right w:val="nil"/>
            </w:tcBorders>
            <w:shd w:val="clear" w:color="000000" w:fill="FFFFFF"/>
            <w:vAlign w:val="center"/>
            <w:hideMark/>
          </w:tcPr>
          <w:p w14:paraId="3FAED613"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r>
      <w:tr w:rsidR="00100A80" w:rsidRPr="00476DF1" w14:paraId="63DA0D31" w14:textId="77777777" w:rsidTr="00CE4BBE">
        <w:trPr>
          <w:trHeight w:val="406"/>
          <w:jc w:val="center"/>
        </w:trPr>
        <w:tc>
          <w:tcPr>
            <w:tcW w:w="1572" w:type="dxa"/>
            <w:vMerge w:val="restart"/>
            <w:tcBorders>
              <w:top w:val="nil"/>
              <w:left w:val="nil"/>
              <w:bottom w:val="single" w:sz="4" w:space="0" w:color="000000"/>
              <w:right w:val="nil"/>
            </w:tcBorders>
            <w:shd w:val="clear" w:color="000000" w:fill="FFFFFF"/>
            <w:vAlign w:val="center"/>
            <w:hideMark/>
          </w:tcPr>
          <w:p w14:paraId="04560623"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GSK</w:t>
            </w:r>
          </w:p>
        </w:tc>
        <w:tc>
          <w:tcPr>
            <w:tcW w:w="2068" w:type="dxa"/>
            <w:tcBorders>
              <w:top w:val="nil"/>
              <w:left w:val="nil"/>
              <w:bottom w:val="single" w:sz="4" w:space="0" w:color="auto"/>
              <w:right w:val="nil"/>
            </w:tcBorders>
            <w:shd w:val="clear" w:color="000000" w:fill="FFFFFF"/>
            <w:vAlign w:val="center"/>
            <w:hideMark/>
          </w:tcPr>
          <w:p w14:paraId="73361CAB"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Human Genome Science</w:t>
            </w:r>
          </w:p>
        </w:tc>
        <w:tc>
          <w:tcPr>
            <w:tcW w:w="1950" w:type="dxa"/>
            <w:tcBorders>
              <w:top w:val="nil"/>
              <w:left w:val="nil"/>
              <w:bottom w:val="single" w:sz="4" w:space="0" w:color="auto"/>
              <w:right w:val="nil"/>
            </w:tcBorders>
            <w:shd w:val="clear" w:color="000000" w:fill="FFFFFF"/>
            <w:vAlign w:val="center"/>
            <w:hideMark/>
          </w:tcPr>
          <w:p w14:paraId="7DF6AF8C"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711</w:t>
            </w:r>
          </w:p>
        </w:tc>
        <w:tc>
          <w:tcPr>
            <w:tcW w:w="1927" w:type="dxa"/>
            <w:tcBorders>
              <w:top w:val="nil"/>
              <w:left w:val="nil"/>
              <w:bottom w:val="single" w:sz="4" w:space="0" w:color="auto"/>
              <w:right w:val="nil"/>
            </w:tcBorders>
            <w:shd w:val="clear" w:color="000000" w:fill="FFFFFF"/>
            <w:vAlign w:val="center"/>
            <w:hideMark/>
          </w:tcPr>
          <w:p w14:paraId="7BB98F8F"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14</w:t>
            </w:r>
          </w:p>
        </w:tc>
        <w:tc>
          <w:tcPr>
            <w:tcW w:w="1443" w:type="dxa"/>
            <w:tcBorders>
              <w:top w:val="nil"/>
              <w:left w:val="nil"/>
              <w:bottom w:val="single" w:sz="4" w:space="0" w:color="auto"/>
              <w:right w:val="nil"/>
            </w:tcBorders>
            <w:shd w:val="clear" w:color="000000" w:fill="FFFFFF"/>
            <w:vAlign w:val="center"/>
            <w:hideMark/>
          </w:tcPr>
          <w:p w14:paraId="18C54AFA"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9</w:t>
            </w:r>
          </w:p>
        </w:tc>
      </w:tr>
      <w:tr w:rsidR="00100A80" w:rsidRPr="00476DF1" w14:paraId="4E93DD77" w14:textId="77777777" w:rsidTr="00CE4BBE">
        <w:trPr>
          <w:trHeight w:val="386"/>
          <w:jc w:val="center"/>
        </w:trPr>
        <w:tc>
          <w:tcPr>
            <w:tcW w:w="1572" w:type="dxa"/>
            <w:vMerge/>
            <w:tcBorders>
              <w:top w:val="nil"/>
              <w:left w:val="nil"/>
              <w:bottom w:val="single" w:sz="4" w:space="0" w:color="000000"/>
              <w:right w:val="nil"/>
            </w:tcBorders>
            <w:vAlign w:val="center"/>
            <w:hideMark/>
          </w:tcPr>
          <w:p w14:paraId="3F390FBB" w14:textId="77777777" w:rsidR="00100A80" w:rsidRPr="00476DF1" w:rsidRDefault="00100A80" w:rsidP="00CE4BBE">
            <w:pPr>
              <w:spacing w:after="0" w:line="240" w:lineRule="auto"/>
              <w:rPr>
                <w:rFonts w:ascii="Times New Roman" w:eastAsia="Times New Roman" w:hAnsi="Times New Roman"/>
                <w:color w:val="000000"/>
                <w:sz w:val="20"/>
                <w:szCs w:val="20"/>
              </w:rPr>
            </w:pPr>
          </w:p>
        </w:tc>
        <w:tc>
          <w:tcPr>
            <w:tcW w:w="2068" w:type="dxa"/>
            <w:tcBorders>
              <w:top w:val="nil"/>
              <w:left w:val="nil"/>
              <w:bottom w:val="single" w:sz="4" w:space="0" w:color="auto"/>
              <w:right w:val="nil"/>
            </w:tcBorders>
            <w:shd w:val="clear" w:color="000000" w:fill="FFFFFF"/>
            <w:vAlign w:val="center"/>
            <w:hideMark/>
          </w:tcPr>
          <w:p w14:paraId="0B1D473D"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ID Biomedical</w:t>
            </w:r>
          </w:p>
        </w:tc>
        <w:tc>
          <w:tcPr>
            <w:tcW w:w="1950" w:type="dxa"/>
            <w:tcBorders>
              <w:top w:val="nil"/>
              <w:left w:val="nil"/>
              <w:bottom w:val="single" w:sz="4" w:space="0" w:color="auto"/>
              <w:right w:val="nil"/>
            </w:tcBorders>
            <w:shd w:val="clear" w:color="000000" w:fill="FFFFFF"/>
            <w:vAlign w:val="center"/>
            <w:hideMark/>
          </w:tcPr>
          <w:p w14:paraId="7D429B84"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48</w:t>
            </w:r>
          </w:p>
        </w:tc>
        <w:tc>
          <w:tcPr>
            <w:tcW w:w="1927" w:type="dxa"/>
            <w:tcBorders>
              <w:top w:val="nil"/>
              <w:left w:val="nil"/>
              <w:bottom w:val="single" w:sz="4" w:space="0" w:color="auto"/>
              <w:right w:val="nil"/>
            </w:tcBorders>
            <w:shd w:val="clear" w:color="000000" w:fill="FFFFFF"/>
            <w:vAlign w:val="center"/>
            <w:hideMark/>
          </w:tcPr>
          <w:p w14:paraId="7F55052B"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w:t>
            </w:r>
          </w:p>
        </w:tc>
        <w:tc>
          <w:tcPr>
            <w:tcW w:w="1443" w:type="dxa"/>
            <w:tcBorders>
              <w:top w:val="nil"/>
              <w:left w:val="nil"/>
              <w:bottom w:val="single" w:sz="4" w:space="0" w:color="auto"/>
              <w:right w:val="nil"/>
            </w:tcBorders>
            <w:shd w:val="clear" w:color="000000" w:fill="FFFFFF"/>
            <w:vAlign w:val="center"/>
            <w:hideMark/>
          </w:tcPr>
          <w:p w14:paraId="7BB44A50"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w:t>
            </w:r>
          </w:p>
        </w:tc>
      </w:tr>
      <w:tr w:rsidR="00100A80" w:rsidRPr="00476DF1" w14:paraId="6A735515" w14:textId="77777777" w:rsidTr="00CE4BBE">
        <w:trPr>
          <w:trHeight w:val="386"/>
          <w:jc w:val="center"/>
        </w:trPr>
        <w:tc>
          <w:tcPr>
            <w:tcW w:w="1572" w:type="dxa"/>
            <w:vMerge/>
            <w:tcBorders>
              <w:top w:val="nil"/>
              <w:left w:val="nil"/>
              <w:bottom w:val="single" w:sz="4" w:space="0" w:color="000000"/>
              <w:right w:val="nil"/>
            </w:tcBorders>
            <w:vAlign w:val="center"/>
            <w:hideMark/>
          </w:tcPr>
          <w:p w14:paraId="19A4088E" w14:textId="77777777" w:rsidR="00100A80" w:rsidRPr="00476DF1" w:rsidRDefault="00100A80" w:rsidP="00CE4BBE">
            <w:pPr>
              <w:spacing w:after="0" w:line="240" w:lineRule="auto"/>
              <w:rPr>
                <w:rFonts w:ascii="Times New Roman" w:eastAsia="Times New Roman" w:hAnsi="Times New Roman"/>
                <w:color w:val="000000"/>
                <w:sz w:val="20"/>
                <w:szCs w:val="20"/>
              </w:rPr>
            </w:pPr>
          </w:p>
        </w:tc>
        <w:tc>
          <w:tcPr>
            <w:tcW w:w="2068" w:type="dxa"/>
            <w:tcBorders>
              <w:top w:val="nil"/>
              <w:left w:val="nil"/>
              <w:bottom w:val="single" w:sz="4" w:space="0" w:color="auto"/>
              <w:right w:val="nil"/>
            </w:tcBorders>
            <w:shd w:val="clear" w:color="000000" w:fill="FFFFFF"/>
            <w:vAlign w:val="center"/>
            <w:hideMark/>
          </w:tcPr>
          <w:p w14:paraId="44E8FFC2"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Corixa</w:t>
            </w:r>
          </w:p>
        </w:tc>
        <w:tc>
          <w:tcPr>
            <w:tcW w:w="1950" w:type="dxa"/>
            <w:tcBorders>
              <w:top w:val="nil"/>
              <w:left w:val="nil"/>
              <w:bottom w:val="single" w:sz="4" w:space="0" w:color="auto"/>
              <w:right w:val="nil"/>
            </w:tcBorders>
            <w:shd w:val="clear" w:color="000000" w:fill="FFFFFF"/>
            <w:vAlign w:val="center"/>
            <w:hideMark/>
          </w:tcPr>
          <w:p w14:paraId="39A89CF4"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50</w:t>
            </w:r>
          </w:p>
        </w:tc>
        <w:tc>
          <w:tcPr>
            <w:tcW w:w="1927" w:type="dxa"/>
            <w:tcBorders>
              <w:top w:val="nil"/>
              <w:left w:val="nil"/>
              <w:bottom w:val="single" w:sz="4" w:space="0" w:color="auto"/>
              <w:right w:val="nil"/>
            </w:tcBorders>
            <w:shd w:val="clear" w:color="000000" w:fill="FFFFFF"/>
            <w:vAlign w:val="center"/>
            <w:hideMark/>
          </w:tcPr>
          <w:p w14:paraId="149A1090"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33</w:t>
            </w:r>
          </w:p>
        </w:tc>
        <w:tc>
          <w:tcPr>
            <w:tcW w:w="1443" w:type="dxa"/>
            <w:tcBorders>
              <w:top w:val="nil"/>
              <w:left w:val="nil"/>
              <w:bottom w:val="single" w:sz="4" w:space="0" w:color="auto"/>
              <w:right w:val="nil"/>
            </w:tcBorders>
            <w:shd w:val="clear" w:color="000000" w:fill="FFFFFF"/>
            <w:vAlign w:val="center"/>
            <w:hideMark/>
          </w:tcPr>
          <w:p w14:paraId="757A2892"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20</w:t>
            </w:r>
          </w:p>
        </w:tc>
      </w:tr>
      <w:tr w:rsidR="00100A80" w:rsidRPr="00476DF1" w14:paraId="1615B575" w14:textId="77777777" w:rsidTr="00CE4BBE">
        <w:trPr>
          <w:trHeight w:val="386"/>
          <w:jc w:val="center"/>
        </w:trPr>
        <w:tc>
          <w:tcPr>
            <w:tcW w:w="1572" w:type="dxa"/>
            <w:vMerge/>
            <w:tcBorders>
              <w:top w:val="nil"/>
              <w:left w:val="nil"/>
              <w:bottom w:val="single" w:sz="4" w:space="0" w:color="000000"/>
              <w:right w:val="nil"/>
            </w:tcBorders>
            <w:vAlign w:val="center"/>
            <w:hideMark/>
          </w:tcPr>
          <w:p w14:paraId="65940422" w14:textId="77777777" w:rsidR="00100A80" w:rsidRPr="00476DF1" w:rsidRDefault="00100A80" w:rsidP="00CE4BBE">
            <w:pPr>
              <w:spacing w:after="0" w:line="240" w:lineRule="auto"/>
              <w:rPr>
                <w:rFonts w:ascii="Times New Roman" w:eastAsia="Times New Roman" w:hAnsi="Times New Roman"/>
                <w:color w:val="000000"/>
                <w:sz w:val="20"/>
                <w:szCs w:val="20"/>
              </w:rPr>
            </w:pPr>
          </w:p>
        </w:tc>
        <w:tc>
          <w:tcPr>
            <w:tcW w:w="2068" w:type="dxa"/>
            <w:tcBorders>
              <w:top w:val="nil"/>
              <w:left w:val="nil"/>
              <w:bottom w:val="single" w:sz="4" w:space="0" w:color="auto"/>
              <w:right w:val="nil"/>
            </w:tcBorders>
            <w:shd w:val="clear" w:color="000000" w:fill="FFFFFF"/>
            <w:vAlign w:val="center"/>
            <w:hideMark/>
          </w:tcPr>
          <w:p w14:paraId="7A6F6FB4"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Praecis</w:t>
            </w:r>
          </w:p>
        </w:tc>
        <w:tc>
          <w:tcPr>
            <w:tcW w:w="1950" w:type="dxa"/>
            <w:tcBorders>
              <w:top w:val="nil"/>
              <w:left w:val="nil"/>
              <w:bottom w:val="single" w:sz="4" w:space="0" w:color="auto"/>
              <w:right w:val="nil"/>
            </w:tcBorders>
            <w:shd w:val="clear" w:color="000000" w:fill="FFFFFF"/>
            <w:vAlign w:val="center"/>
            <w:hideMark/>
          </w:tcPr>
          <w:p w14:paraId="201D470D"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44</w:t>
            </w:r>
          </w:p>
        </w:tc>
        <w:tc>
          <w:tcPr>
            <w:tcW w:w="1927" w:type="dxa"/>
            <w:tcBorders>
              <w:top w:val="nil"/>
              <w:left w:val="nil"/>
              <w:bottom w:val="single" w:sz="4" w:space="0" w:color="auto"/>
              <w:right w:val="nil"/>
            </w:tcBorders>
            <w:shd w:val="clear" w:color="000000" w:fill="FFFFFF"/>
            <w:vAlign w:val="center"/>
            <w:hideMark/>
          </w:tcPr>
          <w:p w14:paraId="1E3B7E8A"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w:t>
            </w:r>
          </w:p>
        </w:tc>
        <w:tc>
          <w:tcPr>
            <w:tcW w:w="1443" w:type="dxa"/>
            <w:tcBorders>
              <w:top w:val="nil"/>
              <w:left w:val="nil"/>
              <w:bottom w:val="single" w:sz="4" w:space="0" w:color="auto"/>
              <w:right w:val="nil"/>
            </w:tcBorders>
            <w:shd w:val="clear" w:color="000000" w:fill="FFFFFF"/>
            <w:vAlign w:val="center"/>
            <w:hideMark/>
          </w:tcPr>
          <w:p w14:paraId="6B722C2D"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w:t>
            </w:r>
          </w:p>
        </w:tc>
      </w:tr>
      <w:tr w:rsidR="00100A80" w:rsidRPr="00476DF1" w14:paraId="59A9087E" w14:textId="77777777" w:rsidTr="00CE4BBE">
        <w:trPr>
          <w:trHeight w:val="386"/>
          <w:jc w:val="center"/>
        </w:trPr>
        <w:tc>
          <w:tcPr>
            <w:tcW w:w="1572" w:type="dxa"/>
            <w:vMerge/>
            <w:tcBorders>
              <w:top w:val="nil"/>
              <w:left w:val="nil"/>
              <w:bottom w:val="single" w:sz="4" w:space="0" w:color="000000"/>
              <w:right w:val="nil"/>
            </w:tcBorders>
            <w:vAlign w:val="center"/>
            <w:hideMark/>
          </w:tcPr>
          <w:p w14:paraId="59DF0DC3" w14:textId="77777777" w:rsidR="00100A80" w:rsidRPr="00476DF1" w:rsidRDefault="00100A80" w:rsidP="00CE4BBE">
            <w:pPr>
              <w:spacing w:after="0" w:line="240" w:lineRule="auto"/>
              <w:rPr>
                <w:rFonts w:ascii="Times New Roman" w:eastAsia="Times New Roman" w:hAnsi="Times New Roman"/>
                <w:color w:val="000000"/>
                <w:sz w:val="20"/>
                <w:szCs w:val="20"/>
              </w:rPr>
            </w:pPr>
          </w:p>
        </w:tc>
        <w:tc>
          <w:tcPr>
            <w:tcW w:w="2068" w:type="dxa"/>
            <w:tcBorders>
              <w:top w:val="nil"/>
              <w:left w:val="nil"/>
              <w:bottom w:val="single" w:sz="4" w:space="0" w:color="auto"/>
              <w:right w:val="nil"/>
            </w:tcBorders>
            <w:shd w:val="clear" w:color="000000" w:fill="FFFFFF"/>
            <w:vAlign w:val="center"/>
            <w:hideMark/>
          </w:tcPr>
          <w:p w14:paraId="5D1FDDE3"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Sirtris</w:t>
            </w:r>
          </w:p>
        </w:tc>
        <w:tc>
          <w:tcPr>
            <w:tcW w:w="1950" w:type="dxa"/>
            <w:tcBorders>
              <w:top w:val="nil"/>
              <w:left w:val="nil"/>
              <w:bottom w:val="single" w:sz="4" w:space="0" w:color="auto"/>
              <w:right w:val="nil"/>
            </w:tcBorders>
            <w:shd w:val="clear" w:color="000000" w:fill="FFFFFF"/>
            <w:vAlign w:val="center"/>
            <w:hideMark/>
          </w:tcPr>
          <w:p w14:paraId="2A902475"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14</w:t>
            </w:r>
          </w:p>
        </w:tc>
        <w:tc>
          <w:tcPr>
            <w:tcW w:w="1927" w:type="dxa"/>
            <w:tcBorders>
              <w:top w:val="nil"/>
              <w:left w:val="nil"/>
              <w:bottom w:val="single" w:sz="4" w:space="0" w:color="auto"/>
              <w:right w:val="nil"/>
            </w:tcBorders>
            <w:shd w:val="clear" w:color="000000" w:fill="FFFFFF"/>
            <w:vAlign w:val="center"/>
            <w:hideMark/>
          </w:tcPr>
          <w:p w14:paraId="76D371EB"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9</w:t>
            </w:r>
          </w:p>
        </w:tc>
        <w:tc>
          <w:tcPr>
            <w:tcW w:w="1443" w:type="dxa"/>
            <w:tcBorders>
              <w:top w:val="nil"/>
              <w:left w:val="nil"/>
              <w:bottom w:val="single" w:sz="4" w:space="0" w:color="auto"/>
              <w:right w:val="nil"/>
            </w:tcBorders>
            <w:shd w:val="clear" w:color="000000" w:fill="FFFFFF"/>
            <w:vAlign w:val="center"/>
            <w:hideMark/>
          </w:tcPr>
          <w:p w14:paraId="28C64746"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w:t>
            </w:r>
          </w:p>
        </w:tc>
      </w:tr>
      <w:tr w:rsidR="00100A80" w:rsidRPr="00476DF1" w14:paraId="3F263BDA" w14:textId="77777777" w:rsidTr="00CE4BBE">
        <w:trPr>
          <w:trHeight w:val="386"/>
          <w:jc w:val="center"/>
        </w:trPr>
        <w:tc>
          <w:tcPr>
            <w:tcW w:w="1572" w:type="dxa"/>
            <w:vMerge w:val="restart"/>
            <w:tcBorders>
              <w:top w:val="nil"/>
              <w:left w:val="nil"/>
              <w:bottom w:val="nil"/>
              <w:right w:val="nil"/>
            </w:tcBorders>
            <w:shd w:val="clear" w:color="000000" w:fill="FFFFFF"/>
            <w:vAlign w:val="center"/>
            <w:hideMark/>
          </w:tcPr>
          <w:p w14:paraId="44B7AF3A"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Pfizer</w:t>
            </w:r>
          </w:p>
        </w:tc>
        <w:tc>
          <w:tcPr>
            <w:tcW w:w="2068" w:type="dxa"/>
            <w:tcBorders>
              <w:top w:val="nil"/>
              <w:left w:val="nil"/>
              <w:bottom w:val="single" w:sz="4" w:space="0" w:color="auto"/>
              <w:right w:val="nil"/>
            </w:tcBorders>
            <w:shd w:val="clear" w:color="000000" w:fill="FFFFFF"/>
            <w:vAlign w:val="center"/>
            <w:hideMark/>
          </w:tcPr>
          <w:p w14:paraId="55CA1BA9"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Idun Pharmaceuticals</w:t>
            </w:r>
          </w:p>
        </w:tc>
        <w:tc>
          <w:tcPr>
            <w:tcW w:w="1950" w:type="dxa"/>
            <w:tcBorders>
              <w:top w:val="nil"/>
              <w:left w:val="nil"/>
              <w:bottom w:val="single" w:sz="4" w:space="0" w:color="auto"/>
              <w:right w:val="nil"/>
            </w:tcBorders>
            <w:shd w:val="clear" w:color="000000" w:fill="FFFFFF"/>
            <w:vAlign w:val="center"/>
            <w:hideMark/>
          </w:tcPr>
          <w:p w14:paraId="45940932"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39</w:t>
            </w:r>
          </w:p>
        </w:tc>
        <w:tc>
          <w:tcPr>
            <w:tcW w:w="1927" w:type="dxa"/>
            <w:tcBorders>
              <w:top w:val="nil"/>
              <w:left w:val="nil"/>
              <w:bottom w:val="single" w:sz="4" w:space="0" w:color="auto"/>
              <w:right w:val="nil"/>
            </w:tcBorders>
            <w:shd w:val="clear" w:color="000000" w:fill="FFFFFF"/>
            <w:vAlign w:val="center"/>
            <w:hideMark/>
          </w:tcPr>
          <w:p w14:paraId="5B31A518"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c>
          <w:tcPr>
            <w:tcW w:w="1443" w:type="dxa"/>
            <w:tcBorders>
              <w:top w:val="nil"/>
              <w:left w:val="nil"/>
              <w:bottom w:val="single" w:sz="4" w:space="0" w:color="auto"/>
              <w:right w:val="nil"/>
            </w:tcBorders>
            <w:shd w:val="clear" w:color="000000" w:fill="FFFFFF"/>
            <w:vAlign w:val="center"/>
            <w:hideMark/>
          </w:tcPr>
          <w:p w14:paraId="1A977312"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r>
      <w:tr w:rsidR="00100A80" w:rsidRPr="00476DF1" w14:paraId="20414C39" w14:textId="77777777" w:rsidTr="00CE4BBE">
        <w:trPr>
          <w:trHeight w:val="386"/>
          <w:jc w:val="center"/>
        </w:trPr>
        <w:tc>
          <w:tcPr>
            <w:tcW w:w="1572" w:type="dxa"/>
            <w:vMerge/>
            <w:tcBorders>
              <w:top w:val="nil"/>
              <w:left w:val="nil"/>
              <w:bottom w:val="nil"/>
              <w:right w:val="nil"/>
            </w:tcBorders>
            <w:vAlign w:val="center"/>
            <w:hideMark/>
          </w:tcPr>
          <w:p w14:paraId="38D2EA85" w14:textId="77777777" w:rsidR="00100A80" w:rsidRPr="00476DF1" w:rsidRDefault="00100A80" w:rsidP="00CE4BBE">
            <w:pPr>
              <w:spacing w:after="0" w:line="240" w:lineRule="auto"/>
              <w:rPr>
                <w:rFonts w:ascii="Times New Roman" w:eastAsia="Times New Roman" w:hAnsi="Times New Roman"/>
                <w:color w:val="000000"/>
                <w:sz w:val="20"/>
                <w:szCs w:val="20"/>
              </w:rPr>
            </w:pPr>
          </w:p>
        </w:tc>
        <w:tc>
          <w:tcPr>
            <w:tcW w:w="2068" w:type="dxa"/>
            <w:tcBorders>
              <w:top w:val="nil"/>
              <w:left w:val="nil"/>
              <w:bottom w:val="single" w:sz="4" w:space="0" w:color="auto"/>
              <w:right w:val="nil"/>
            </w:tcBorders>
            <w:shd w:val="clear" w:color="000000" w:fill="FFFFFF"/>
            <w:vAlign w:val="center"/>
            <w:hideMark/>
          </w:tcPr>
          <w:p w14:paraId="0E7BBF5E"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Rinat Neuroscience</w:t>
            </w:r>
          </w:p>
        </w:tc>
        <w:tc>
          <w:tcPr>
            <w:tcW w:w="1950" w:type="dxa"/>
            <w:tcBorders>
              <w:top w:val="nil"/>
              <w:left w:val="nil"/>
              <w:bottom w:val="single" w:sz="4" w:space="0" w:color="auto"/>
              <w:right w:val="nil"/>
            </w:tcBorders>
            <w:shd w:val="clear" w:color="000000" w:fill="FFFFFF"/>
            <w:vAlign w:val="center"/>
            <w:hideMark/>
          </w:tcPr>
          <w:p w14:paraId="3C6944D4"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27</w:t>
            </w:r>
          </w:p>
        </w:tc>
        <w:tc>
          <w:tcPr>
            <w:tcW w:w="1927" w:type="dxa"/>
            <w:tcBorders>
              <w:top w:val="nil"/>
              <w:left w:val="nil"/>
              <w:bottom w:val="single" w:sz="4" w:space="0" w:color="auto"/>
              <w:right w:val="nil"/>
            </w:tcBorders>
            <w:shd w:val="clear" w:color="000000" w:fill="FFFFFF"/>
            <w:vAlign w:val="center"/>
            <w:hideMark/>
          </w:tcPr>
          <w:p w14:paraId="2D823E07"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w:t>
            </w:r>
          </w:p>
        </w:tc>
        <w:tc>
          <w:tcPr>
            <w:tcW w:w="1443" w:type="dxa"/>
            <w:tcBorders>
              <w:top w:val="nil"/>
              <w:left w:val="nil"/>
              <w:bottom w:val="single" w:sz="4" w:space="0" w:color="auto"/>
              <w:right w:val="nil"/>
            </w:tcBorders>
            <w:shd w:val="clear" w:color="000000" w:fill="FFFFFF"/>
            <w:vAlign w:val="center"/>
            <w:hideMark/>
          </w:tcPr>
          <w:p w14:paraId="7892512E"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w:t>
            </w:r>
          </w:p>
        </w:tc>
      </w:tr>
      <w:tr w:rsidR="00100A80" w:rsidRPr="00476DF1" w14:paraId="29915F57" w14:textId="77777777" w:rsidTr="00CE4BBE">
        <w:trPr>
          <w:trHeight w:val="386"/>
          <w:jc w:val="center"/>
        </w:trPr>
        <w:tc>
          <w:tcPr>
            <w:tcW w:w="1572" w:type="dxa"/>
            <w:vMerge/>
            <w:tcBorders>
              <w:top w:val="nil"/>
              <w:left w:val="nil"/>
              <w:bottom w:val="nil"/>
              <w:right w:val="nil"/>
            </w:tcBorders>
            <w:vAlign w:val="center"/>
            <w:hideMark/>
          </w:tcPr>
          <w:p w14:paraId="0415D996" w14:textId="77777777" w:rsidR="00100A80" w:rsidRPr="00476DF1" w:rsidRDefault="00100A80" w:rsidP="00CE4BBE">
            <w:pPr>
              <w:spacing w:after="0" w:line="240" w:lineRule="auto"/>
              <w:rPr>
                <w:rFonts w:ascii="Times New Roman" w:eastAsia="Times New Roman" w:hAnsi="Times New Roman"/>
                <w:color w:val="000000"/>
                <w:sz w:val="20"/>
                <w:szCs w:val="20"/>
              </w:rPr>
            </w:pPr>
          </w:p>
        </w:tc>
        <w:tc>
          <w:tcPr>
            <w:tcW w:w="2068" w:type="dxa"/>
            <w:tcBorders>
              <w:top w:val="nil"/>
              <w:left w:val="nil"/>
              <w:bottom w:val="single" w:sz="4" w:space="0" w:color="auto"/>
              <w:right w:val="nil"/>
            </w:tcBorders>
            <w:shd w:val="clear" w:color="000000" w:fill="FFFFFF"/>
            <w:vAlign w:val="center"/>
            <w:hideMark/>
          </w:tcPr>
          <w:p w14:paraId="55490FC8"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Coley</w:t>
            </w:r>
          </w:p>
        </w:tc>
        <w:tc>
          <w:tcPr>
            <w:tcW w:w="1950" w:type="dxa"/>
            <w:tcBorders>
              <w:top w:val="nil"/>
              <w:left w:val="nil"/>
              <w:bottom w:val="single" w:sz="4" w:space="0" w:color="auto"/>
              <w:right w:val="nil"/>
            </w:tcBorders>
            <w:shd w:val="clear" w:color="000000" w:fill="FFFFFF"/>
            <w:vAlign w:val="center"/>
            <w:hideMark/>
          </w:tcPr>
          <w:p w14:paraId="6EEF3FA6"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56</w:t>
            </w:r>
          </w:p>
        </w:tc>
        <w:tc>
          <w:tcPr>
            <w:tcW w:w="1927" w:type="dxa"/>
            <w:tcBorders>
              <w:top w:val="nil"/>
              <w:left w:val="nil"/>
              <w:bottom w:val="single" w:sz="4" w:space="0" w:color="auto"/>
              <w:right w:val="nil"/>
            </w:tcBorders>
            <w:shd w:val="clear" w:color="000000" w:fill="FFFFFF"/>
            <w:vAlign w:val="center"/>
            <w:hideMark/>
          </w:tcPr>
          <w:p w14:paraId="6B69B4E5"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34</w:t>
            </w:r>
          </w:p>
        </w:tc>
        <w:tc>
          <w:tcPr>
            <w:tcW w:w="1443" w:type="dxa"/>
            <w:tcBorders>
              <w:top w:val="nil"/>
              <w:left w:val="nil"/>
              <w:bottom w:val="single" w:sz="4" w:space="0" w:color="auto"/>
              <w:right w:val="nil"/>
            </w:tcBorders>
            <w:shd w:val="clear" w:color="000000" w:fill="FFFFFF"/>
            <w:vAlign w:val="center"/>
            <w:hideMark/>
          </w:tcPr>
          <w:p w14:paraId="514D9D1E"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7</w:t>
            </w:r>
          </w:p>
        </w:tc>
      </w:tr>
      <w:tr w:rsidR="00100A80" w:rsidRPr="00476DF1" w14:paraId="5B081EC2" w14:textId="77777777" w:rsidTr="00CE4BBE">
        <w:trPr>
          <w:trHeight w:val="386"/>
          <w:jc w:val="center"/>
        </w:trPr>
        <w:tc>
          <w:tcPr>
            <w:tcW w:w="1572" w:type="dxa"/>
            <w:vMerge/>
            <w:tcBorders>
              <w:top w:val="nil"/>
              <w:left w:val="nil"/>
              <w:bottom w:val="nil"/>
              <w:right w:val="nil"/>
            </w:tcBorders>
            <w:vAlign w:val="center"/>
            <w:hideMark/>
          </w:tcPr>
          <w:p w14:paraId="49036578" w14:textId="77777777" w:rsidR="00100A80" w:rsidRPr="00476DF1" w:rsidRDefault="00100A80" w:rsidP="00CE4BBE">
            <w:pPr>
              <w:spacing w:after="0" w:line="240" w:lineRule="auto"/>
              <w:rPr>
                <w:rFonts w:ascii="Times New Roman" w:eastAsia="Times New Roman" w:hAnsi="Times New Roman"/>
                <w:color w:val="000000"/>
                <w:sz w:val="20"/>
                <w:szCs w:val="20"/>
              </w:rPr>
            </w:pPr>
          </w:p>
        </w:tc>
        <w:tc>
          <w:tcPr>
            <w:tcW w:w="2068" w:type="dxa"/>
            <w:tcBorders>
              <w:top w:val="nil"/>
              <w:left w:val="nil"/>
              <w:bottom w:val="single" w:sz="4" w:space="0" w:color="auto"/>
              <w:right w:val="nil"/>
            </w:tcBorders>
            <w:shd w:val="clear" w:color="000000" w:fill="FFFFFF"/>
            <w:vAlign w:val="center"/>
            <w:hideMark/>
          </w:tcPr>
          <w:p w14:paraId="225896C5"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Covx</w:t>
            </w:r>
          </w:p>
        </w:tc>
        <w:tc>
          <w:tcPr>
            <w:tcW w:w="1950" w:type="dxa"/>
            <w:tcBorders>
              <w:top w:val="nil"/>
              <w:left w:val="nil"/>
              <w:bottom w:val="single" w:sz="4" w:space="0" w:color="auto"/>
              <w:right w:val="nil"/>
            </w:tcBorders>
            <w:shd w:val="clear" w:color="000000" w:fill="FFFFFF"/>
            <w:vAlign w:val="center"/>
            <w:hideMark/>
          </w:tcPr>
          <w:p w14:paraId="3B9CC5CE"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8</w:t>
            </w:r>
          </w:p>
        </w:tc>
        <w:tc>
          <w:tcPr>
            <w:tcW w:w="1927" w:type="dxa"/>
            <w:tcBorders>
              <w:top w:val="nil"/>
              <w:left w:val="nil"/>
              <w:bottom w:val="single" w:sz="4" w:space="0" w:color="auto"/>
              <w:right w:val="nil"/>
            </w:tcBorders>
            <w:shd w:val="clear" w:color="000000" w:fill="FFFFFF"/>
            <w:vAlign w:val="center"/>
            <w:hideMark/>
          </w:tcPr>
          <w:p w14:paraId="085D3932"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c>
          <w:tcPr>
            <w:tcW w:w="1443" w:type="dxa"/>
            <w:tcBorders>
              <w:top w:val="nil"/>
              <w:left w:val="nil"/>
              <w:bottom w:val="single" w:sz="4" w:space="0" w:color="auto"/>
              <w:right w:val="nil"/>
            </w:tcBorders>
            <w:shd w:val="clear" w:color="000000" w:fill="FFFFFF"/>
            <w:vAlign w:val="center"/>
            <w:hideMark/>
          </w:tcPr>
          <w:p w14:paraId="7B67DFF8"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w:t>
            </w:r>
          </w:p>
        </w:tc>
      </w:tr>
      <w:tr w:rsidR="00100A80" w:rsidRPr="00476DF1" w14:paraId="4F95D99C" w14:textId="77777777" w:rsidTr="00CE4BBE">
        <w:trPr>
          <w:trHeight w:val="386"/>
          <w:jc w:val="center"/>
        </w:trPr>
        <w:tc>
          <w:tcPr>
            <w:tcW w:w="1572" w:type="dxa"/>
            <w:vMerge/>
            <w:tcBorders>
              <w:top w:val="nil"/>
              <w:left w:val="nil"/>
              <w:bottom w:val="nil"/>
              <w:right w:val="nil"/>
            </w:tcBorders>
            <w:vAlign w:val="center"/>
            <w:hideMark/>
          </w:tcPr>
          <w:p w14:paraId="6190E772" w14:textId="77777777" w:rsidR="00100A80" w:rsidRPr="00476DF1" w:rsidRDefault="00100A80" w:rsidP="00CE4BBE">
            <w:pPr>
              <w:spacing w:after="0" w:line="240" w:lineRule="auto"/>
              <w:rPr>
                <w:rFonts w:ascii="Times New Roman" w:eastAsia="Times New Roman" w:hAnsi="Times New Roman"/>
                <w:color w:val="000000"/>
                <w:sz w:val="20"/>
                <w:szCs w:val="20"/>
              </w:rPr>
            </w:pPr>
          </w:p>
        </w:tc>
        <w:tc>
          <w:tcPr>
            <w:tcW w:w="2068" w:type="dxa"/>
            <w:tcBorders>
              <w:top w:val="nil"/>
              <w:left w:val="nil"/>
              <w:bottom w:val="nil"/>
              <w:right w:val="nil"/>
            </w:tcBorders>
            <w:shd w:val="clear" w:color="000000" w:fill="FFFFFF"/>
            <w:vAlign w:val="center"/>
            <w:hideMark/>
          </w:tcPr>
          <w:p w14:paraId="0F0BDAA2"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Incagen</w:t>
            </w:r>
          </w:p>
        </w:tc>
        <w:tc>
          <w:tcPr>
            <w:tcW w:w="1950" w:type="dxa"/>
            <w:tcBorders>
              <w:top w:val="nil"/>
              <w:left w:val="nil"/>
              <w:bottom w:val="nil"/>
              <w:right w:val="nil"/>
            </w:tcBorders>
            <w:shd w:val="clear" w:color="000000" w:fill="FFFFFF"/>
            <w:vAlign w:val="center"/>
            <w:hideMark/>
          </w:tcPr>
          <w:p w14:paraId="54CF20A3"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91</w:t>
            </w:r>
          </w:p>
        </w:tc>
        <w:tc>
          <w:tcPr>
            <w:tcW w:w="1927" w:type="dxa"/>
            <w:tcBorders>
              <w:top w:val="nil"/>
              <w:left w:val="nil"/>
              <w:bottom w:val="nil"/>
              <w:right w:val="nil"/>
            </w:tcBorders>
            <w:shd w:val="clear" w:color="000000" w:fill="FFFFFF"/>
            <w:vAlign w:val="center"/>
            <w:hideMark/>
          </w:tcPr>
          <w:p w14:paraId="2923F85D"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w:t>
            </w:r>
          </w:p>
        </w:tc>
        <w:tc>
          <w:tcPr>
            <w:tcW w:w="1443" w:type="dxa"/>
            <w:tcBorders>
              <w:top w:val="nil"/>
              <w:left w:val="nil"/>
              <w:bottom w:val="nil"/>
              <w:right w:val="nil"/>
            </w:tcBorders>
            <w:shd w:val="clear" w:color="000000" w:fill="FFFFFF"/>
            <w:vAlign w:val="center"/>
            <w:hideMark/>
          </w:tcPr>
          <w:p w14:paraId="63FBD7E2"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r>
      <w:tr w:rsidR="00100A80" w:rsidRPr="00476DF1" w14:paraId="1A443F88" w14:textId="77777777" w:rsidTr="00CE4BBE">
        <w:trPr>
          <w:trHeight w:val="386"/>
          <w:jc w:val="center"/>
        </w:trPr>
        <w:tc>
          <w:tcPr>
            <w:tcW w:w="1572" w:type="dxa"/>
            <w:vMerge w:val="restart"/>
            <w:tcBorders>
              <w:top w:val="single" w:sz="4" w:space="0" w:color="auto"/>
              <w:left w:val="nil"/>
              <w:bottom w:val="single" w:sz="4" w:space="0" w:color="000000"/>
              <w:right w:val="nil"/>
            </w:tcBorders>
            <w:shd w:val="clear" w:color="000000" w:fill="FFFFFF"/>
            <w:vAlign w:val="center"/>
            <w:hideMark/>
          </w:tcPr>
          <w:p w14:paraId="42CA0DB6"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J&amp;J</w:t>
            </w:r>
          </w:p>
        </w:tc>
        <w:tc>
          <w:tcPr>
            <w:tcW w:w="2068" w:type="dxa"/>
            <w:tcBorders>
              <w:top w:val="single" w:sz="4" w:space="0" w:color="auto"/>
              <w:left w:val="nil"/>
              <w:bottom w:val="single" w:sz="4" w:space="0" w:color="auto"/>
              <w:right w:val="nil"/>
            </w:tcBorders>
            <w:shd w:val="clear" w:color="000000" w:fill="FFFFFF"/>
            <w:vAlign w:val="center"/>
            <w:hideMark/>
          </w:tcPr>
          <w:p w14:paraId="5C7CE95D"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Transform-Pharma</w:t>
            </w:r>
          </w:p>
        </w:tc>
        <w:tc>
          <w:tcPr>
            <w:tcW w:w="1950" w:type="dxa"/>
            <w:tcBorders>
              <w:top w:val="single" w:sz="4" w:space="0" w:color="auto"/>
              <w:left w:val="nil"/>
              <w:bottom w:val="single" w:sz="4" w:space="0" w:color="auto"/>
              <w:right w:val="nil"/>
            </w:tcBorders>
            <w:shd w:val="clear" w:color="000000" w:fill="FFFFFF"/>
            <w:vAlign w:val="center"/>
            <w:hideMark/>
          </w:tcPr>
          <w:p w14:paraId="3F11845B"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28</w:t>
            </w:r>
          </w:p>
        </w:tc>
        <w:tc>
          <w:tcPr>
            <w:tcW w:w="1927" w:type="dxa"/>
            <w:tcBorders>
              <w:top w:val="single" w:sz="4" w:space="0" w:color="auto"/>
              <w:left w:val="nil"/>
              <w:bottom w:val="single" w:sz="4" w:space="0" w:color="auto"/>
              <w:right w:val="nil"/>
            </w:tcBorders>
            <w:shd w:val="clear" w:color="000000" w:fill="FFFFFF"/>
            <w:vAlign w:val="center"/>
            <w:hideMark/>
          </w:tcPr>
          <w:p w14:paraId="1E0F5C4B"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c>
          <w:tcPr>
            <w:tcW w:w="1443" w:type="dxa"/>
            <w:tcBorders>
              <w:top w:val="single" w:sz="4" w:space="0" w:color="auto"/>
              <w:left w:val="nil"/>
              <w:bottom w:val="single" w:sz="4" w:space="0" w:color="auto"/>
              <w:right w:val="nil"/>
            </w:tcBorders>
            <w:shd w:val="clear" w:color="000000" w:fill="FFFFFF"/>
            <w:vAlign w:val="center"/>
            <w:hideMark/>
          </w:tcPr>
          <w:p w14:paraId="4E547CCA"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10</w:t>
            </w:r>
          </w:p>
        </w:tc>
      </w:tr>
      <w:tr w:rsidR="00100A80" w:rsidRPr="00476DF1" w14:paraId="4B2DFAAB" w14:textId="77777777" w:rsidTr="00CE4BBE">
        <w:trPr>
          <w:trHeight w:val="386"/>
          <w:jc w:val="center"/>
        </w:trPr>
        <w:tc>
          <w:tcPr>
            <w:tcW w:w="1572" w:type="dxa"/>
            <w:vMerge/>
            <w:tcBorders>
              <w:top w:val="single" w:sz="4" w:space="0" w:color="auto"/>
              <w:left w:val="nil"/>
              <w:bottom w:val="single" w:sz="4" w:space="0" w:color="000000"/>
              <w:right w:val="nil"/>
            </w:tcBorders>
            <w:vAlign w:val="center"/>
            <w:hideMark/>
          </w:tcPr>
          <w:p w14:paraId="4745F855" w14:textId="77777777" w:rsidR="00100A80" w:rsidRPr="00476DF1" w:rsidRDefault="00100A80" w:rsidP="00CE4BBE">
            <w:pPr>
              <w:spacing w:after="0" w:line="240" w:lineRule="auto"/>
              <w:rPr>
                <w:rFonts w:ascii="Times New Roman" w:eastAsia="Times New Roman" w:hAnsi="Times New Roman"/>
                <w:color w:val="000000"/>
                <w:sz w:val="20"/>
                <w:szCs w:val="20"/>
              </w:rPr>
            </w:pPr>
          </w:p>
        </w:tc>
        <w:tc>
          <w:tcPr>
            <w:tcW w:w="2068" w:type="dxa"/>
            <w:tcBorders>
              <w:top w:val="nil"/>
              <w:left w:val="nil"/>
              <w:bottom w:val="single" w:sz="4" w:space="0" w:color="auto"/>
              <w:right w:val="nil"/>
            </w:tcBorders>
            <w:shd w:val="clear" w:color="000000" w:fill="FFFFFF"/>
            <w:vAlign w:val="center"/>
            <w:hideMark/>
          </w:tcPr>
          <w:p w14:paraId="6254A9FF"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Omrix</w:t>
            </w:r>
          </w:p>
        </w:tc>
        <w:tc>
          <w:tcPr>
            <w:tcW w:w="1950" w:type="dxa"/>
            <w:tcBorders>
              <w:top w:val="nil"/>
              <w:left w:val="nil"/>
              <w:bottom w:val="single" w:sz="4" w:space="0" w:color="auto"/>
              <w:right w:val="nil"/>
            </w:tcBorders>
            <w:shd w:val="clear" w:color="000000" w:fill="FFFFFF"/>
            <w:vAlign w:val="center"/>
            <w:hideMark/>
          </w:tcPr>
          <w:p w14:paraId="650A82A9"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26</w:t>
            </w:r>
          </w:p>
        </w:tc>
        <w:tc>
          <w:tcPr>
            <w:tcW w:w="1927" w:type="dxa"/>
            <w:tcBorders>
              <w:top w:val="nil"/>
              <w:left w:val="nil"/>
              <w:bottom w:val="single" w:sz="4" w:space="0" w:color="auto"/>
              <w:right w:val="nil"/>
            </w:tcBorders>
            <w:shd w:val="clear" w:color="000000" w:fill="FFFFFF"/>
            <w:vAlign w:val="center"/>
            <w:hideMark/>
          </w:tcPr>
          <w:p w14:paraId="5F43843B"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6</w:t>
            </w:r>
          </w:p>
        </w:tc>
        <w:tc>
          <w:tcPr>
            <w:tcW w:w="1443" w:type="dxa"/>
            <w:tcBorders>
              <w:top w:val="nil"/>
              <w:left w:val="nil"/>
              <w:bottom w:val="single" w:sz="4" w:space="0" w:color="auto"/>
              <w:right w:val="nil"/>
            </w:tcBorders>
            <w:shd w:val="clear" w:color="000000" w:fill="FFFFFF"/>
            <w:vAlign w:val="center"/>
            <w:hideMark/>
          </w:tcPr>
          <w:p w14:paraId="3C34A86C"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12</w:t>
            </w:r>
          </w:p>
        </w:tc>
      </w:tr>
      <w:tr w:rsidR="00100A80" w:rsidRPr="00476DF1" w14:paraId="32D4B4EB" w14:textId="77777777" w:rsidTr="00CE4BBE">
        <w:trPr>
          <w:trHeight w:val="386"/>
          <w:jc w:val="center"/>
        </w:trPr>
        <w:tc>
          <w:tcPr>
            <w:tcW w:w="1572" w:type="dxa"/>
            <w:vMerge w:val="restart"/>
            <w:tcBorders>
              <w:top w:val="nil"/>
              <w:left w:val="nil"/>
              <w:bottom w:val="single" w:sz="4" w:space="0" w:color="000000"/>
              <w:right w:val="nil"/>
            </w:tcBorders>
            <w:shd w:val="clear" w:color="000000" w:fill="FFFFFF"/>
            <w:vAlign w:val="center"/>
            <w:hideMark/>
          </w:tcPr>
          <w:p w14:paraId="3DF65E3E"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Merck</w:t>
            </w:r>
          </w:p>
        </w:tc>
        <w:tc>
          <w:tcPr>
            <w:tcW w:w="2068" w:type="dxa"/>
            <w:tcBorders>
              <w:top w:val="nil"/>
              <w:left w:val="nil"/>
              <w:bottom w:val="single" w:sz="4" w:space="0" w:color="auto"/>
              <w:right w:val="nil"/>
            </w:tcBorders>
            <w:shd w:val="clear" w:color="000000" w:fill="FFFFFF"/>
            <w:vAlign w:val="center"/>
            <w:hideMark/>
          </w:tcPr>
          <w:p w14:paraId="2F8A4E7C"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Sirna (Ribozyme)</w:t>
            </w:r>
          </w:p>
        </w:tc>
        <w:tc>
          <w:tcPr>
            <w:tcW w:w="1950" w:type="dxa"/>
            <w:tcBorders>
              <w:top w:val="nil"/>
              <w:left w:val="nil"/>
              <w:bottom w:val="single" w:sz="4" w:space="0" w:color="auto"/>
              <w:right w:val="nil"/>
            </w:tcBorders>
            <w:shd w:val="clear" w:color="000000" w:fill="FFFFFF"/>
            <w:vAlign w:val="center"/>
            <w:hideMark/>
          </w:tcPr>
          <w:p w14:paraId="67F1BC58"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192</w:t>
            </w:r>
          </w:p>
        </w:tc>
        <w:tc>
          <w:tcPr>
            <w:tcW w:w="1927" w:type="dxa"/>
            <w:tcBorders>
              <w:top w:val="nil"/>
              <w:left w:val="nil"/>
              <w:bottom w:val="single" w:sz="4" w:space="0" w:color="auto"/>
              <w:right w:val="nil"/>
            </w:tcBorders>
            <w:shd w:val="clear" w:color="000000" w:fill="FFFFFF"/>
            <w:vAlign w:val="center"/>
            <w:hideMark/>
          </w:tcPr>
          <w:p w14:paraId="3FD358E1"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35</w:t>
            </w:r>
          </w:p>
        </w:tc>
        <w:tc>
          <w:tcPr>
            <w:tcW w:w="1443" w:type="dxa"/>
            <w:tcBorders>
              <w:top w:val="nil"/>
              <w:left w:val="nil"/>
              <w:bottom w:val="single" w:sz="4" w:space="0" w:color="auto"/>
              <w:right w:val="nil"/>
            </w:tcBorders>
            <w:shd w:val="clear" w:color="000000" w:fill="FFFFFF"/>
            <w:vAlign w:val="center"/>
            <w:hideMark/>
          </w:tcPr>
          <w:p w14:paraId="2A059292"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32</w:t>
            </w:r>
          </w:p>
        </w:tc>
      </w:tr>
      <w:tr w:rsidR="00100A80" w:rsidRPr="00476DF1" w14:paraId="2F323152" w14:textId="77777777" w:rsidTr="00CE4BBE">
        <w:trPr>
          <w:trHeight w:val="386"/>
          <w:jc w:val="center"/>
        </w:trPr>
        <w:tc>
          <w:tcPr>
            <w:tcW w:w="1572" w:type="dxa"/>
            <w:vMerge/>
            <w:tcBorders>
              <w:top w:val="nil"/>
              <w:left w:val="nil"/>
              <w:bottom w:val="single" w:sz="4" w:space="0" w:color="000000"/>
              <w:right w:val="nil"/>
            </w:tcBorders>
            <w:vAlign w:val="center"/>
            <w:hideMark/>
          </w:tcPr>
          <w:p w14:paraId="252D78F5" w14:textId="77777777" w:rsidR="00100A80" w:rsidRPr="00476DF1" w:rsidRDefault="00100A80" w:rsidP="00CE4BBE">
            <w:pPr>
              <w:spacing w:after="0" w:line="240" w:lineRule="auto"/>
              <w:rPr>
                <w:rFonts w:ascii="Times New Roman" w:eastAsia="Times New Roman" w:hAnsi="Times New Roman"/>
                <w:color w:val="000000"/>
                <w:sz w:val="20"/>
                <w:szCs w:val="20"/>
              </w:rPr>
            </w:pPr>
          </w:p>
        </w:tc>
        <w:tc>
          <w:tcPr>
            <w:tcW w:w="2068" w:type="dxa"/>
            <w:tcBorders>
              <w:top w:val="nil"/>
              <w:left w:val="nil"/>
              <w:bottom w:val="single" w:sz="4" w:space="0" w:color="auto"/>
              <w:right w:val="nil"/>
            </w:tcBorders>
            <w:shd w:val="clear" w:color="000000" w:fill="FFFFFF"/>
            <w:vAlign w:val="center"/>
            <w:hideMark/>
          </w:tcPr>
          <w:p w14:paraId="5C8623D2"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Glycofi</w:t>
            </w:r>
          </w:p>
        </w:tc>
        <w:tc>
          <w:tcPr>
            <w:tcW w:w="1950" w:type="dxa"/>
            <w:tcBorders>
              <w:top w:val="nil"/>
              <w:left w:val="nil"/>
              <w:bottom w:val="single" w:sz="4" w:space="0" w:color="auto"/>
              <w:right w:val="nil"/>
            </w:tcBorders>
            <w:shd w:val="clear" w:color="000000" w:fill="FFFFFF"/>
            <w:vAlign w:val="center"/>
            <w:hideMark/>
          </w:tcPr>
          <w:p w14:paraId="211920CF"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40</w:t>
            </w:r>
          </w:p>
        </w:tc>
        <w:tc>
          <w:tcPr>
            <w:tcW w:w="1927" w:type="dxa"/>
            <w:tcBorders>
              <w:top w:val="nil"/>
              <w:left w:val="nil"/>
              <w:bottom w:val="single" w:sz="4" w:space="0" w:color="auto"/>
              <w:right w:val="nil"/>
            </w:tcBorders>
            <w:shd w:val="clear" w:color="000000" w:fill="FFFFFF"/>
            <w:vAlign w:val="center"/>
            <w:hideMark/>
          </w:tcPr>
          <w:p w14:paraId="5C0C5FCB"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26</w:t>
            </w:r>
          </w:p>
        </w:tc>
        <w:tc>
          <w:tcPr>
            <w:tcW w:w="1443" w:type="dxa"/>
            <w:tcBorders>
              <w:top w:val="nil"/>
              <w:left w:val="nil"/>
              <w:bottom w:val="single" w:sz="4" w:space="0" w:color="auto"/>
              <w:right w:val="nil"/>
            </w:tcBorders>
            <w:shd w:val="clear" w:color="000000" w:fill="FFFFFF"/>
            <w:vAlign w:val="center"/>
            <w:hideMark/>
          </w:tcPr>
          <w:p w14:paraId="61C3CA3B"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9</w:t>
            </w:r>
          </w:p>
        </w:tc>
      </w:tr>
      <w:tr w:rsidR="00100A80" w:rsidRPr="00476DF1" w14:paraId="0E3EC806" w14:textId="77777777" w:rsidTr="00CE4BBE">
        <w:trPr>
          <w:trHeight w:val="386"/>
          <w:jc w:val="center"/>
        </w:trPr>
        <w:tc>
          <w:tcPr>
            <w:tcW w:w="1572" w:type="dxa"/>
            <w:vMerge/>
            <w:tcBorders>
              <w:top w:val="nil"/>
              <w:left w:val="nil"/>
              <w:bottom w:val="single" w:sz="4" w:space="0" w:color="000000"/>
              <w:right w:val="nil"/>
            </w:tcBorders>
            <w:vAlign w:val="center"/>
            <w:hideMark/>
          </w:tcPr>
          <w:p w14:paraId="339AE23E" w14:textId="77777777" w:rsidR="00100A80" w:rsidRPr="00476DF1" w:rsidRDefault="00100A80" w:rsidP="00CE4BBE">
            <w:pPr>
              <w:spacing w:after="0" w:line="240" w:lineRule="auto"/>
              <w:rPr>
                <w:rFonts w:ascii="Times New Roman" w:eastAsia="Times New Roman" w:hAnsi="Times New Roman"/>
                <w:color w:val="000000"/>
                <w:sz w:val="20"/>
                <w:szCs w:val="20"/>
              </w:rPr>
            </w:pPr>
          </w:p>
        </w:tc>
        <w:tc>
          <w:tcPr>
            <w:tcW w:w="2068" w:type="dxa"/>
            <w:tcBorders>
              <w:top w:val="nil"/>
              <w:left w:val="nil"/>
              <w:bottom w:val="single" w:sz="4" w:space="0" w:color="auto"/>
              <w:right w:val="nil"/>
            </w:tcBorders>
            <w:shd w:val="clear" w:color="000000" w:fill="FFFFFF"/>
            <w:vAlign w:val="center"/>
            <w:hideMark/>
          </w:tcPr>
          <w:p w14:paraId="57E63AFD"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Abmaxis</w:t>
            </w:r>
          </w:p>
        </w:tc>
        <w:tc>
          <w:tcPr>
            <w:tcW w:w="1950" w:type="dxa"/>
            <w:tcBorders>
              <w:top w:val="nil"/>
              <w:left w:val="nil"/>
              <w:bottom w:val="single" w:sz="4" w:space="0" w:color="auto"/>
              <w:right w:val="nil"/>
            </w:tcBorders>
            <w:shd w:val="clear" w:color="000000" w:fill="FFFFFF"/>
            <w:vAlign w:val="center"/>
            <w:hideMark/>
          </w:tcPr>
          <w:p w14:paraId="3671ED47"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6</w:t>
            </w:r>
          </w:p>
        </w:tc>
        <w:tc>
          <w:tcPr>
            <w:tcW w:w="1927" w:type="dxa"/>
            <w:tcBorders>
              <w:top w:val="nil"/>
              <w:left w:val="nil"/>
              <w:bottom w:val="single" w:sz="4" w:space="0" w:color="auto"/>
              <w:right w:val="nil"/>
            </w:tcBorders>
            <w:shd w:val="clear" w:color="000000" w:fill="FFFFFF"/>
            <w:vAlign w:val="center"/>
            <w:hideMark/>
          </w:tcPr>
          <w:p w14:paraId="4BA88FD0"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w:t>
            </w:r>
          </w:p>
        </w:tc>
        <w:tc>
          <w:tcPr>
            <w:tcW w:w="1443" w:type="dxa"/>
            <w:tcBorders>
              <w:top w:val="nil"/>
              <w:left w:val="nil"/>
              <w:bottom w:val="single" w:sz="4" w:space="0" w:color="auto"/>
              <w:right w:val="nil"/>
            </w:tcBorders>
            <w:shd w:val="clear" w:color="000000" w:fill="FFFFFF"/>
            <w:vAlign w:val="center"/>
            <w:hideMark/>
          </w:tcPr>
          <w:p w14:paraId="1CA2024B"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r>
      <w:tr w:rsidR="00100A80" w:rsidRPr="00476DF1" w14:paraId="157C4073" w14:textId="77777777" w:rsidTr="00CE4BBE">
        <w:trPr>
          <w:trHeight w:val="386"/>
          <w:jc w:val="center"/>
        </w:trPr>
        <w:tc>
          <w:tcPr>
            <w:tcW w:w="1572" w:type="dxa"/>
            <w:vMerge/>
            <w:tcBorders>
              <w:top w:val="nil"/>
              <w:left w:val="nil"/>
              <w:bottom w:val="single" w:sz="4" w:space="0" w:color="000000"/>
              <w:right w:val="nil"/>
            </w:tcBorders>
            <w:vAlign w:val="center"/>
            <w:hideMark/>
          </w:tcPr>
          <w:p w14:paraId="198C3A51" w14:textId="77777777" w:rsidR="00100A80" w:rsidRPr="00476DF1" w:rsidRDefault="00100A80" w:rsidP="00CE4BBE">
            <w:pPr>
              <w:spacing w:after="0" w:line="240" w:lineRule="auto"/>
              <w:rPr>
                <w:rFonts w:ascii="Times New Roman" w:eastAsia="Times New Roman" w:hAnsi="Times New Roman"/>
                <w:color w:val="000000"/>
                <w:sz w:val="20"/>
                <w:szCs w:val="20"/>
              </w:rPr>
            </w:pPr>
          </w:p>
        </w:tc>
        <w:tc>
          <w:tcPr>
            <w:tcW w:w="2068" w:type="dxa"/>
            <w:tcBorders>
              <w:top w:val="nil"/>
              <w:left w:val="nil"/>
              <w:bottom w:val="single" w:sz="4" w:space="0" w:color="auto"/>
              <w:right w:val="nil"/>
            </w:tcBorders>
            <w:shd w:val="clear" w:color="000000" w:fill="FFFFFF"/>
            <w:vAlign w:val="center"/>
            <w:hideMark/>
          </w:tcPr>
          <w:p w14:paraId="33A5E861"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Inspire</w:t>
            </w:r>
          </w:p>
        </w:tc>
        <w:tc>
          <w:tcPr>
            <w:tcW w:w="1950" w:type="dxa"/>
            <w:tcBorders>
              <w:top w:val="nil"/>
              <w:left w:val="nil"/>
              <w:bottom w:val="single" w:sz="4" w:space="0" w:color="auto"/>
              <w:right w:val="nil"/>
            </w:tcBorders>
            <w:shd w:val="clear" w:color="000000" w:fill="FFFFFF"/>
            <w:vAlign w:val="center"/>
            <w:hideMark/>
          </w:tcPr>
          <w:p w14:paraId="7ED0987E"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96</w:t>
            </w:r>
          </w:p>
        </w:tc>
        <w:tc>
          <w:tcPr>
            <w:tcW w:w="1927" w:type="dxa"/>
            <w:tcBorders>
              <w:top w:val="nil"/>
              <w:left w:val="nil"/>
              <w:bottom w:val="single" w:sz="4" w:space="0" w:color="auto"/>
              <w:right w:val="nil"/>
            </w:tcBorders>
            <w:shd w:val="clear" w:color="000000" w:fill="FFFFFF"/>
            <w:vAlign w:val="center"/>
            <w:hideMark/>
          </w:tcPr>
          <w:p w14:paraId="23771003"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c>
          <w:tcPr>
            <w:tcW w:w="1443" w:type="dxa"/>
            <w:tcBorders>
              <w:top w:val="nil"/>
              <w:left w:val="nil"/>
              <w:bottom w:val="single" w:sz="4" w:space="0" w:color="auto"/>
              <w:right w:val="nil"/>
            </w:tcBorders>
            <w:shd w:val="clear" w:color="000000" w:fill="FFFFFF"/>
            <w:vAlign w:val="center"/>
            <w:hideMark/>
          </w:tcPr>
          <w:p w14:paraId="29AE0ED8"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r>
      <w:tr w:rsidR="00100A80" w:rsidRPr="00476DF1" w14:paraId="75A30162" w14:textId="77777777" w:rsidTr="00CE4BBE">
        <w:trPr>
          <w:trHeight w:val="386"/>
          <w:jc w:val="center"/>
        </w:trPr>
        <w:tc>
          <w:tcPr>
            <w:tcW w:w="1572" w:type="dxa"/>
            <w:vMerge w:val="restart"/>
            <w:tcBorders>
              <w:top w:val="nil"/>
              <w:left w:val="nil"/>
              <w:bottom w:val="single" w:sz="4" w:space="0" w:color="000000"/>
              <w:right w:val="nil"/>
            </w:tcBorders>
            <w:shd w:val="clear" w:color="000000" w:fill="FFFFFF"/>
            <w:vAlign w:val="center"/>
            <w:hideMark/>
          </w:tcPr>
          <w:p w14:paraId="5AC1364C"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Roche</w:t>
            </w:r>
          </w:p>
        </w:tc>
        <w:tc>
          <w:tcPr>
            <w:tcW w:w="2068" w:type="dxa"/>
            <w:tcBorders>
              <w:top w:val="nil"/>
              <w:left w:val="nil"/>
              <w:bottom w:val="single" w:sz="4" w:space="0" w:color="auto"/>
              <w:right w:val="nil"/>
            </w:tcBorders>
            <w:shd w:val="clear" w:color="000000" w:fill="FFFFFF"/>
            <w:vAlign w:val="center"/>
            <w:hideMark/>
          </w:tcPr>
          <w:p w14:paraId="414CD621"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Piramed</w:t>
            </w:r>
          </w:p>
        </w:tc>
        <w:tc>
          <w:tcPr>
            <w:tcW w:w="1950" w:type="dxa"/>
            <w:tcBorders>
              <w:top w:val="nil"/>
              <w:left w:val="nil"/>
              <w:bottom w:val="single" w:sz="4" w:space="0" w:color="auto"/>
              <w:right w:val="nil"/>
            </w:tcBorders>
            <w:shd w:val="clear" w:color="000000" w:fill="FFFFFF"/>
            <w:vAlign w:val="center"/>
            <w:hideMark/>
          </w:tcPr>
          <w:p w14:paraId="3BBF85A2"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w:t>
            </w:r>
          </w:p>
        </w:tc>
        <w:tc>
          <w:tcPr>
            <w:tcW w:w="1927" w:type="dxa"/>
            <w:tcBorders>
              <w:top w:val="nil"/>
              <w:left w:val="nil"/>
              <w:bottom w:val="single" w:sz="4" w:space="0" w:color="auto"/>
              <w:right w:val="nil"/>
            </w:tcBorders>
            <w:shd w:val="clear" w:color="000000" w:fill="FFFFFF"/>
            <w:vAlign w:val="center"/>
            <w:hideMark/>
          </w:tcPr>
          <w:p w14:paraId="3D7662EE"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w:t>
            </w:r>
          </w:p>
        </w:tc>
        <w:tc>
          <w:tcPr>
            <w:tcW w:w="1443" w:type="dxa"/>
            <w:tcBorders>
              <w:top w:val="nil"/>
              <w:left w:val="nil"/>
              <w:bottom w:val="single" w:sz="4" w:space="0" w:color="auto"/>
              <w:right w:val="nil"/>
            </w:tcBorders>
            <w:shd w:val="clear" w:color="000000" w:fill="FFFFFF"/>
            <w:vAlign w:val="center"/>
            <w:hideMark/>
          </w:tcPr>
          <w:p w14:paraId="01BE1E74"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13</w:t>
            </w:r>
          </w:p>
        </w:tc>
      </w:tr>
      <w:tr w:rsidR="00100A80" w:rsidRPr="00476DF1" w14:paraId="31D68526" w14:textId="77777777" w:rsidTr="00CE4BBE">
        <w:trPr>
          <w:trHeight w:val="386"/>
          <w:jc w:val="center"/>
        </w:trPr>
        <w:tc>
          <w:tcPr>
            <w:tcW w:w="1572" w:type="dxa"/>
            <w:vMerge/>
            <w:tcBorders>
              <w:top w:val="nil"/>
              <w:left w:val="nil"/>
              <w:bottom w:val="single" w:sz="4" w:space="0" w:color="000000"/>
              <w:right w:val="nil"/>
            </w:tcBorders>
            <w:vAlign w:val="center"/>
            <w:hideMark/>
          </w:tcPr>
          <w:p w14:paraId="0979041E" w14:textId="77777777" w:rsidR="00100A80" w:rsidRPr="00476DF1" w:rsidRDefault="00100A80" w:rsidP="00CE4BBE">
            <w:pPr>
              <w:spacing w:after="0" w:line="240" w:lineRule="auto"/>
              <w:rPr>
                <w:rFonts w:ascii="Times New Roman" w:eastAsia="Times New Roman" w:hAnsi="Times New Roman"/>
                <w:color w:val="000000"/>
                <w:sz w:val="20"/>
                <w:szCs w:val="20"/>
              </w:rPr>
            </w:pPr>
          </w:p>
        </w:tc>
        <w:tc>
          <w:tcPr>
            <w:tcW w:w="2068" w:type="dxa"/>
            <w:tcBorders>
              <w:top w:val="nil"/>
              <w:left w:val="nil"/>
              <w:bottom w:val="single" w:sz="4" w:space="0" w:color="auto"/>
              <w:right w:val="nil"/>
            </w:tcBorders>
            <w:shd w:val="clear" w:color="000000" w:fill="FFFFFF"/>
            <w:vAlign w:val="center"/>
            <w:hideMark/>
          </w:tcPr>
          <w:p w14:paraId="029FB284"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Arius</w:t>
            </w:r>
          </w:p>
        </w:tc>
        <w:tc>
          <w:tcPr>
            <w:tcW w:w="1950" w:type="dxa"/>
            <w:tcBorders>
              <w:top w:val="nil"/>
              <w:left w:val="nil"/>
              <w:bottom w:val="single" w:sz="4" w:space="0" w:color="auto"/>
              <w:right w:val="nil"/>
            </w:tcBorders>
            <w:shd w:val="clear" w:color="000000" w:fill="FFFFFF"/>
            <w:vAlign w:val="center"/>
            <w:hideMark/>
          </w:tcPr>
          <w:p w14:paraId="43902D99"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35</w:t>
            </w:r>
          </w:p>
        </w:tc>
        <w:tc>
          <w:tcPr>
            <w:tcW w:w="1927" w:type="dxa"/>
            <w:tcBorders>
              <w:top w:val="nil"/>
              <w:left w:val="nil"/>
              <w:bottom w:val="single" w:sz="4" w:space="0" w:color="auto"/>
              <w:right w:val="nil"/>
            </w:tcBorders>
            <w:shd w:val="clear" w:color="000000" w:fill="FFFFFF"/>
            <w:vAlign w:val="center"/>
            <w:hideMark/>
          </w:tcPr>
          <w:p w14:paraId="0D32108B"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w:t>
            </w:r>
          </w:p>
        </w:tc>
        <w:tc>
          <w:tcPr>
            <w:tcW w:w="1443" w:type="dxa"/>
            <w:tcBorders>
              <w:top w:val="nil"/>
              <w:left w:val="nil"/>
              <w:bottom w:val="single" w:sz="4" w:space="0" w:color="auto"/>
              <w:right w:val="nil"/>
            </w:tcBorders>
            <w:shd w:val="clear" w:color="000000" w:fill="FFFFFF"/>
            <w:vAlign w:val="center"/>
            <w:hideMark/>
          </w:tcPr>
          <w:p w14:paraId="54B15353"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11</w:t>
            </w:r>
          </w:p>
        </w:tc>
      </w:tr>
      <w:tr w:rsidR="00100A80" w:rsidRPr="00476DF1" w14:paraId="249CC47E" w14:textId="77777777" w:rsidTr="00CE4BBE">
        <w:trPr>
          <w:trHeight w:val="386"/>
          <w:jc w:val="center"/>
        </w:trPr>
        <w:tc>
          <w:tcPr>
            <w:tcW w:w="1572" w:type="dxa"/>
            <w:vMerge/>
            <w:tcBorders>
              <w:top w:val="nil"/>
              <w:left w:val="nil"/>
              <w:bottom w:val="single" w:sz="4" w:space="0" w:color="auto"/>
              <w:right w:val="nil"/>
            </w:tcBorders>
            <w:vAlign w:val="center"/>
            <w:hideMark/>
          </w:tcPr>
          <w:p w14:paraId="0DBECF29" w14:textId="77777777" w:rsidR="00100A80" w:rsidRPr="00476DF1" w:rsidRDefault="00100A80" w:rsidP="00CE4BBE">
            <w:pPr>
              <w:spacing w:after="0" w:line="240" w:lineRule="auto"/>
              <w:rPr>
                <w:rFonts w:ascii="Times New Roman" w:eastAsia="Times New Roman" w:hAnsi="Times New Roman"/>
                <w:color w:val="000000"/>
                <w:sz w:val="20"/>
                <w:szCs w:val="20"/>
              </w:rPr>
            </w:pPr>
          </w:p>
        </w:tc>
        <w:tc>
          <w:tcPr>
            <w:tcW w:w="2068" w:type="dxa"/>
            <w:tcBorders>
              <w:top w:val="nil"/>
              <w:left w:val="nil"/>
              <w:bottom w:val="single" w:sz="4" w:space="0" w:color="auto"/>
              <w:right w:val="nil"/>
            </w:tcBorders>
            <w:shd w:val="clear" w:color="000000" w:fill="FFFFFF"/>
            <w:vAlign w:val="center"/>
            <w:hideMark/>
          </w:tcPr>
          <w:p w14:paraId="6C1E0EE4"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Mirus-bio</w:t>
            </w:r>
          </w:p>
        </w:tc>
        <w:tc>
          <w:tcPr>
            <w:tcW w:w="1950" w:type="dxa"/>
            <w:tcBorders>
              <w:top w:val="nil"/>
              <w:left w:val="nil"/>
              <w:bottom w:val="single" w:sz="4" w:space="0" w:color="auto"/>
              <w:right w:val="nil"/>
            </w:tcBorders>
            <w:shd w:val="clear" w:color="000000" w:fill="FFFFFF"/>
            <w:vAlign w:val="center"/>
            <w:hideMark/>
          </w:tcPr>
          <w:p w14:paraId="582E271B"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37</w:t>
            </w:r>
          </w:p>
        </w:tc>
        <w:tc>
          <w:tcPr>
            <w:tcW w:w="1927" w:type="dxa"/>
            <w:tcBorders>
              <w:top w:val="nil"/>
              <w:left w:val="nil"/>
              <w:bottom w:val="single" w:sz="4" w:space="0" w:color="auto"/>
              <w:right w:val="nil"/>
            </w:tcBorders>
            <w:shd w:val="clear" w:color="000000" w:fill="FFFFFF"/>
            <w:vAlign w:val="center"/>
            <w:hideMark/>
          </w:tcPr>
          <w:p w14:paraId="7D9F0E65"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12</w:t>
            </w:r>
          </w:p>
        </w:tc>
        <w:tc>
          <w:tcPr>
            <w:tcW w:w="1443" w:type="dxa"/>
            <w:tcBorders>
              <w:top w:val="nil"/>
              <w:left w:val="nil"/>
              <w:bottom w:val="single" w:sz="4" w:space="0" w:color="auto"/>
              <w:right w:val="nil"/>
            </w:tcBorders>
            <w:shd w:val="clear" w:color="000000" w:fill="FFFFFF"/>
            <w:vAlign w:val="center"/>
            <w:hideMark/>
          </w:tcPr>
          <w:p w14:paraId="59F845DB" w14:textId="77777777" w:rsidR="00100A80" w:rsidRPr="00476DF1" w:rsidRDefault="00100A80"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7</w:t>
            </w:r>
          </w:p>
        </w:tc>
      </w:tr>
    </w:tbl>
    <w:p w14:paraId="327DDA28" w14:textId="1F1AE781" w:rsidR="00100A80" w:rsidRPr="00476DF1" w:rsidRDefault="00100A80" w:rsidP="00CE4BBE">
      <w:pPr>
        <w:spacing w:after="0" w:line="240" w:lineRule="auto"/>
        <w:rPr>
          <w:rFonts w:ascii="Times New Roman" w:hAnsi="Times New Roman"/>
          <w:sz w:val="24"/>
          <w:szCs w:val="24"/>
        </w:rPr>
      </w:pPr>
      <w:r w:rsidRPr="00476DF1">
        <w:rPr>
          <w:rFonts w:ascii="Times New Roman" w:hAnsi="Times New Roman"/>
          <w:sz w:val="16"/>
          <w:szCs w:val="16"/>
        </w:rPr>
        <w:t>Source: Own elaboration</w:t>
      </w:r>
    </w:p>
    <w:p w14:paraId="67CAF4EC" w14:textId="7EDE430A" w:rsidR="008E6DF7" w:rsidRPr="00476DF1" w:rsidRDefault="00C24550"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The 8 </w:t>
      </w:r>
      <w:r w:rsidR="00726537" w:rsidRPr="00476DF1">
        <w:rPr>
          <w:rFonts w:ascii="Times New Roman" w:hAnsi="Times New Roman"/>
          <w:sz w:val="24"/>
          <w:szCs w:val="24"/>
        </w:rPr>
        <w:t>Big Pharma</w:t>
      </w:r>
      <w:r w:rsidRPr="00476DF1">
        <w:rPr>
          <w:rFonts w:ascii="Times New Roman" w:hAnsi="Times New Roman"/>
          <w:sz w:val="24"/>
          <w:szCs w:val="24"/>
        </w:rPr>
        <w:t xml:space="preserve"> </w:t>
      </w:r>
      <w:r w:rsidR="003443D3" w:rsidRPr="00476DF1">
        <w:rPr>
          <w:rFonts w:ascii="Times New Roman" w:hAnsi="Times New Roman"/>
          <w:sz w:val="24"/>
          <w:szCs w:val="24"/>
        </w:rPr>
        <w:t>firms</w:t>
      </w:r>
      <w:r w:rsidRPr="00476DF1">
        <w:rPr>
          <w:rFonts w:ascii="Times New Roman" w:hAnsi="Times New Roman"/>
          <w:sz w:val="24"/>
          <w:szCs w:val="24"/>
        </w:rPr>
        <w:t xml:space="preserve"> acquire</w:t>
      </w:r>
      <w:r w:rsidR="003443D3" w:rsidRPr="00476DF1">
        <w:rPr>
          <w:rFonts w:ascii="Times New Roman" w:hAnsi="Times New Roman"/>
          <w:sz w:val="24"/>
          <w:szCs w:val="24"/>
        </w:rPr>
        <w:t>d</w:t>
      </w:r>
      <w:r w:rsidRPr="00476DF1">
        <w:rPr>
          <w:rFonts w:ascii="Times New Roman" w:hAnsi="Times New Roman"/>
          <w:sz w:val="24"/>
          <w:szCs w:val="24"/>
        </w:rPr>
        <w:t xml:space="preserve">, from 2005 to 2012, </w:t>
      </w:r>
      <w:r w:rsidR="001E20D5" w:rsidRPr="00476DF1">
        <w:rPr>
          <w:rFonts w:ascii="Times New Roman" w:hAnsi="Times New Roman"/>
          <w:sz w:val="24"/>
          <w:szCs w:val="24"/>
        </w:rPr>
        <w:t>51</w:t>
      </w:r>
      <w:r w:rsidR="00F42E64" w:rsidRPr="00476DF1">
        <w:rPr>
          <w:rFonts w:ascii="Times New Roman" w:hAnsi="Times New Roman"/>
          <w:sz w:val="24"/>
          <w:szCs w:val="24"/>
        </w:rPr>
        <w:t xml:space="preserve"> small ente</w:t>
      </w:r>
      <w:r w:rsidR="00665794" w:rsidRPr="00476DF1">
        <w:rPr>
          <w:rFonts w:ascii="Times New Roman" w:hAnsi="Times New Roman"/>
          <w:sz w:val="24"/>
          <w:szCs w:val="24"/>
        </w:rPr>
        <w:t>r</w:t>
      </w:r>
      <w:r w:rsidR="00F42E64" w:rsidRPr="00476DF1">
        <w:rPr>
          <w:rFonts w:ascii="Times New Roman" w:hAnsi="Times New Roman"/>
          <w:sz w:val="24"/>
          <w:szCs w:val="24"/>
        </w:rPr>
        <w:t>prises</w:t>
      </w:r>
      <w:r w:rsidRPr="00476DF1">
        <w:rPr>
          <w:rFonts w:ascii="Times New Roman" w:hAnsi="Times New Roman"/>
          <w:sz w:val="24"/>
          <w:szCs w:val="24"/>
        </w:rPr>
        <w:t>;</w:t>
      </w:r>
      <w:r w:rsidR="00F42E64" w:rsidRPr="00476DF1">
        <w:rPr>
          <w:rFonts w:ascii="Times New Roman" w:hAnsi="Times New Roman"/>
          <w:sz w:val="24"/>
          <w:szCs w:val="24"/>
        </w:rPr>
        <w:t xml:space="preserve"> 24 of </w:t>
      </w:r>
      <w:r w:rsidR="003443D3" w:rsidRPr="00476DF1">
        <w:rPr>
          <w:rFonts w:ascii="Times New Roman" w:hAnsi="Times New Roman"/>
          <w:sz w:val="24"/>
          <w:szCs w:val="24"/>
        </w:rPr>
        <w:t xml:space="preserve">which </w:t>
      </w:r>
      <w:r w:rsidR="00F42E64" w:rsidRPr="00476DF1">
        <w:rPr>
          <w:rFonts w:ascii="Times New Roman" w:hAnsi="Times New Roman"/>
          <w:sz w:val="24"/>
          <w:szCs w:val="24"/>
        </w:rPr>
        <w:t>had at least one patent reference by the acquiring large ente</w:t>
      </w:r>
      <w:r w:rsidRPr="00476DF1">
        <w:rPr>
          <w:rFonts w:ascii="Times New Roman" w:hAnsi="Times New Roman"/>
          <w:sz w:val="24"/>
          <w:szCs w:val="24"/>
        </w:rPr>
        <w:t>r</w:t>
      </w:r>
      <w:r w:rsidR="00F42E64" w:rsidRPr="00476DF1">
        <w:rPr>
          <w:rFonts w:ascii="Times New Roman" w:hAnsi="Times New Roman"/>
          <w:sz w:val="24"/>
          <w:szCs w:val="24"/>
        </w:rPr>
        <w:t xml:space="preserve">prise. Almost 44% of the sample </w:t>
      </w:r>
      <w:r w:rsidR="003443D3" w:rsidRPr="00476DF1">
        <w:rPr>
          <w:rFonts w:ascii="Times New Roman" w:hAnsi="Times New Roman"/>
          <w:sz w:val="24"/>
          <w:szCs w:val="24"/>
        </w:rPr>
        <w:t xml:space="preserve">had a </w:t>
      </w:r>
      <w:r w:rsidR="00F42E64" w:rsidRPr="00476DF1">
        <w:rPr>
          <w:rFonts w:ascii="Times New Roman" w:hAnsi="Times New Roman"/>
          <w:sz w:val="24"/>
          <w:szCs w:val="24"/>
        </w:rPr>
        <w:t xml:space="preserve">direct </w:t>
      </w:r>
      <w:r w:rsidR="003443D3" w:rsidRPr="00476DF1">
        <w:rPr>
          <w:rFonts w:ascii="Times New Roman" w:hAnsi="Times New Roman"/>
          <w:sz w:val="24"/>
          <w:szCs w:val="24"/>
        </w:rPr>
        <w:t xml:space="preserve">contribution </w:t>
      </w:r>
      <w:r w:rsidR="00F42E64" w:rsidRPr="00476DF1">
        <w:rPr>
          <w:rFonts w:ascii="Times New Roman" w:hAnsi="Times New Roman"/>
          <w:sz w:val="24"/>
          <w:szCs w:val="24"/>
        </w:rPr>
        <w:t xml:space="preserve">to the large </w:t>
      </w:r>
      <w:r w:rsidRPr="00476DF1">
        <w:rPr>
          <w:rFonts w:ascii="Times New Roman" w:hAnsi="Times New Roman"/>
          <w:sz w:val="24"/>
          <w:szCs w:val="24"/>
        </w:rPr>
        <w:t>enterprise</w:t>
      </w:r>
      <w:r w:rsidR="00F42E64" w:rsidRPr="00476DF1">
        <w:rPr>
          <w:rFonts w:ascii="Times New Roman" w:hAnsi="Times New Roman"/>
          <w:sz w:val="24"/>
          <w:szCs w:val="24"/>
        </w:rPr>
        <w:t xml:space="preserve">. </w:t>
      </w:r>
      <w:r w:rsidR="00522086" w:rsidRPr="00476DF1">
        <w:rPr>
          <w:rFonts w:ascii="Times New Roman" w:hAnsi="Times New Roman"/>
          <w:sz w:val="24"/>
          <w:szCs w:val="24"/>
        </w:rPr>
        <w:t>Following</w:t>
      </w:r>
      <w:r w:rsidR="008E6DF7" w:rsidRPr="00476DF1">
        <w:rPr>
          <w:rFonts w:ascii="Times New Roman" w:hAnsi="Times New Roman"/>
          <w:sz w:val="24"/>
          <w:szCs w:val="24"/>
        </w:rPr>
        <w:t xml:space="preserve"> HALL</w:t>
      </w:r>
      <w:r w:rsidR="002F518D" w:rsidRPr="00476DF1">
        <w:rPr>
          <w:rFonts w:ascii="Times New Roman" w:hAnsi="Times New Roman"/>
          <w:sz w:val="24"/>
          <w:szCs w:val="24"/>
        </w:rPr>
        <w:t>,</w:t>
      </w:r>
      <w:r w:rsidR="008E6DF7" w:rsidRPr="00476DF1">
        <w:rPr>
          <w:rFonts w:ascii="Times New Roman" w:hAnsi="Times New Roman"/>
          <w:sz w:val="24"/>
          <w:szCs w:val="24"/>
        </w:rPr>
        <w:t xml:space="preserve"> JAFFE</w:t>
      </w:r>
      <w:r w:rsidR="002F518D" w:rsidRPr="00476DF1">
        <w:rPr>
          <w:rFonts w:ascii="Times New Roman" w:hAnsi="Times New Roman"/>
          <w:sz w:val="24"/>
          <w:szCs w:val="24"/>
        </w:rPr>
        <w:t>,</w:t>
      </w:r>
      <w:r w:rsidR="008E6DF7" w:rsidRPr="00476DF1">
        <w:rPr>
          <w:rFonts w:ascii="Times New Roman" w:hAnsi="Times New Roman"/>
          <w:sz w:val="24"/>
          <w:szCs w:val="24"/>
        </w:rPr>
        <w:t xml:space="preserve"> TRAJTENBERG (2005)</w:t>
      </w:r>
      <w:r w:rsidR="003443D3" w:rsidRPr="00476DF1">
        <w:rPr>
          <w:rFonts w:ascii="Times New Roman" w:hAnsi="Times New Roman"/>
          <w:sz w:val="24"/>
          <w:szCs w:val="24"/>
        </w:rPr>
        <w:t xml:space="preserve">, who </w:t>
      </w:r>
      <w:r w:rsidR="008E6DF7" w:rsidRPr="00476DF1">
        <w:rPr>
          <w:rFonts w:ascii="Times New Roman" w:hAnsi="Times New Roman"/>
          <w:sz w:val="24"/>
          <w:szCs w:val="24"/>
        </w:rPr>
        <w:t xml:space="preserve">link </w:t>
      </w:r>
      <w:r w:rsidRPr="00476DF1">
        <w:rPr>
          <w:rFonts w:ascii="Times New Roman" w:hAnsi="Times New Roman"/>
          <w:sz w:val="24"/>
          <w:szCs w:val="24"/>
        </w:rPr>
        <w:t>enterprise</w:t>
      </w:r>
      <w:r w:rsidR="008E6DF7" w:rsidRPr="00476DF1">
        <w:rPr>
          <w:rFonts w:ascii="Times New Roman" w:hAnsi="Times New Roman"/>
          <w:sz w:val="24"/>
          <w:szCs w:val="24"/>
        </w:rPr>
        <w:t xml:space="preserve"> market value to patent citation</w:t>
      </w:r>
      <w:r w:rsidR="003443D3" w:rsidRPr="00476DF1">
        <w:rPr>
          <w:rFonts w:ascii="Times New Roman" w:hAnsi="Times New Roman"/>
          <w:sz w:val="24"/>
          <w:szCs w:val="24"/>
        </w:rPr>
        <w:t>s</w:t>
      </w:r>
      <w:r w:rsidR="008E6DF7" w:rsidRPr="00476DF1">
        <w:rPr>
          <w:rFonts w:ascii="Times New Roman" w:hAnsi="Times New Roman"/>
          <w:sz w:val="24"/>
          <w:szCs w:val="24"/>
        </w:rPr>
        <w:t>, one can say that these 24 ente</w:t>
      </w:r>
      <w:r w:rsidR="00522086" w:rsidRPr="00476DF1">
        <w:rPr>
          <w:rFonts w:ascii="Times New Roman" w:hAnsi="Times New Roman"/>
          <w:sz w:val="24"/>
          <w:szCs w:val="24"/>
        </w:rPr>
        <w:t>r</w:t>
      </w:r>
      <w:r w:rsidR="008E6DF7" w:rsidRPr="00476DF1">
        <w:rPr>
          <w:rFonts w:ascii="Times New Roman" w:hAnsi="Times New Roman"/>
          <w:sz w:val="24"/>
          <w:szCs w:val="24"/>
        </w:rPr>
        <w:t xml:space="preserve">prises have a great value for the acquiring </w:t>
      </w:r>
      <w:r w:rsidR="00726537" w:rsidRPr="00476DF1">
        <w:rPr>
          <w:rFonts w:ascii="Times New Roman" w:hAnsi="Times New Roman"/>
          <w:sz w:val="24"/>
          <w:szCs w:val="24"/>
        </w:rPr>
        <w:t>Big Pharma</w:t>
      </w:r>
      <w:r w:rsidR="003443D3" w:rsidRPr="00476DF1">
        <w:rPr>
          <w:rFonts w:ascii="Times New Roman" w:hAnsi="Times New Roman"/>
          <w:sz w:val="24"/>
          <w:szCs w:val="24"/>
        </w:rPr>
        <w:t xml:space="preserve"> firm. We can see</w:t>
      </w:r>
      <w:r w:rsidR="008E6DF7" w:rsidRPr="00476DF1">
        <w:rPr>
          <w:rFonts w:ascii="Times New Roman" w:hAnsi="Times New Roman"/>
          <w:sz w:val="24"/>
          <w:szCs w:val="24"/>
        </w:rPr>
        <w:t xml:space="preserve"> this process</w:t>
      </w:r>
      <w:r w:rsidR="003443D3" w:rsidRPr="00476DF1">
        <w:rPr>
          <w:rFonts w:ascii="Times New Roman" w:hAnsi="Times New Roman"/>
          <w:sz w:val="24"/>
          <w:szCs w:val="24"/>
        </w:rPr>
        <w:t xml:space="preserve"> even within</w:t>
      </w:r>
      <w:r w:rsidR="008E6DF7" w:rsidRPr="00476DF1">
        <w:rPr>
          <w:rFonts w:ascii="Times New Roman" w:hAnsi="Times New Roman"/>
          <w:sz w:val="24"/>
          <w:szCs w:val="24"/>
        </w:rPr>
        <w:t xml:space="preserve"> a short time period. In </w:t>
      </w:r>
      <w:r w:rsidR="00522086" w:rsidRPr="00476DF1">
        <w:rPr>
          <w:rFonts w:ascii="Times New Roman" w:hAnsi="Times New Roman"/>
          <w:sz w:val="24"/>
          <w:szCs w:val="24"/>
        </w:rPr>
        <w:t>addition</w:t>
      </w:r>
      <w:r w:rsidR="003443D3" w:rsidRPr="00476DF1">
        <w:rPr>
          <w:rFonts w:ascii="Times New Roman" w:hAnsi="Times New Roman"/>
          <w:sz w:val="24"/>
          <w:szCs w:val="24"/>
        </w:rPr>
        <w:t>,</w:t>
      </w:r>
      <w:r w:rsidR="008E6DF7" w:rsidRPr="00476DF1">
        <w:rPr>
          <w:rFonts w:ascii="Times New Roman" w:hAnsi="Times New Roman"/>
          <w:sz w:val="24"/>
          <w:szCs w:val="24"/>
        </w:rPr>
        <w:t xml:space="preserve"> these small en</w:t>
      </w:r>
      <w:r w:rsidR="00522086" w:rsidRPr="00476DF1">
        <w:rPr>
          <w:rFonts w:ascii="Times New Roman" w:hAnsi="Times New Roman"/>
          <w:sz w:val="24"/>
          <w:szCs w:val="24"/>
        </w:rPr>
        <w:t>terprises</w:t>
      </w:r>
      <w:r w:rsidR="003443D3" w:rsidRPr="00476DF1">
        <w:rPr>
          <w:rFonts w:ascii="Times New Roman" w:hAnsi="Times New Roman"/>
          <w:sz w:val="24"/>
          <w:szCs w:val="24"/>
        </w:rPr>
        <w:t>’</w:t>
      </w:r>
      <w:r w:rsidR="008E6DF7" w:rsidRPr="00476DF1">
        <w:rPr>
          <w:rFonts w:ascii="Times New Roman" w:hAnsi="Times New Roman"/>
          <w:sz w:val="24"/>
          <w:szCs w:val="24"/>
        </w:rPr>
        <w:t xml:space="preserve"> patents</w:t>
      </w:r>
      <w:r w:rsidR="003443D3" w:rsidRPr="00476DF1">
        <w:rPr>
          <w:rFonts w:ascii="Times New Roman" w:hAnsi="Times New Roman"/>
          <w:sz w:val="24"/>
          <w:szCs w:val="24"/>
        </w:rPr>
        <w:t xml:space="preserve"> can now</w:t>
      </w:r>
      <w:r w:rsidR="008E6DF7" w:rsidRPr="00476DF1">
        <w:rPr>
          <w:rFonts w:ascii="Times New Roman" w:hAnsi="Times New Roman"/>
          <w:sz w:val="24"/>
          <w:szCs w:val="24"/>
        </w:rPr>
        <w:t xml:space="preserve"> yield value for the large en</w:t>
      </w:r>
      <w:r w:rsidR="00522086" w:rsidRPr="00476DF1">
        <w:rPr>
          <w:rFonts w:ascii="Times New Roman" w:hAnsi="Times New Roman"/>
          <w:sz w:val="24"/>
          <w:szCs w:val="24"/>
        </w:rPr>
        <w:t>ter</w:t>
      </w:r>
      <w:r w:rsidR="008E6DF7" w:rsidRPr="00476DF1">
        <w:rPr>
          <w:rFonts w:ascii="Times New Roman" w:hAnsi="Times New Roman"/>
          <w:sz w:val="24"/>
          <w:szCs w:val="24"/>
        </w:rPr>
        <w:t>prises tha</w:t>
      </w:r>
      <w:r w:rsidR="00522086" w:rsidRPr="00476DF1">
        <w:rPr>
          <w:rFonts w:ascii="Times New Roman" w:hAnsi="Times New Roman"/>
          <w:sz w:val="24"/>
          <w:szCs w:val="24"/>
        </w:rPr>
        <w:t>t</w:t>
      </w:r>
      <w:r w:rsidR="008E6DF7" w:rsidRPr="00476DF1">
        <w:rPr>
          <w:rFonts w:ascii="Times New Roman" w:hAnsi="Times New Roman"/>
          <w:sz w:val="24"/>
          <w:szCs w:val="24"/>
        </w:rPr>
        <w:t xml:space="preserve"> own them </w:t>
      </w:r>
      <w:r w:rsidR="00522086" w:rsidRPr="00476DF1">
        <w:rPr>
          <w:rFonts w:ascii="Times New Roman" w:hAnsi="Times New Roman"/>
          <w:sz w:val="24"/>
          <w:szCs w:val="24"/>
        </w:rPr>
        <w:t>(</w:t>
      </w:r>
      <w:r w:rsidR="002F518D" w:rsidRPr="00476DF1">
        <w:rPr>
          <w:rFonts w:ascii="Times New Roman" w:hAnsi="Times New Roman"/>
          <w:sz w:val="24"/>
          <w:szCs w:val="24"/>
        </w:rPr>
        <w:t>HALL</w:t>
      </w:r>
      <w:r w:rsidR="00522086" w:rsidRPr="00476DF1">
        <w:rPr>
          <w:rFonts w:ascii="Times New Roman" w:hAnsi="Times New Roman"/>
          <w:sz w:val="24"/>
          <w:szCs w:val="24"/>
        </w:rPr>
        <w:t>;</w:t>
      </w:r>
      <w:r w:rsidR="002F518D" w:rsidRPr="00476DF1">
        <w:rPr>
          <w:rFonts w:ascii="Times New Roman" w:hAnsi="Times New Roman"/>
          <w:sz w:val="24"/>
          <w:szCs w:val="24"/>
        </w:rPr>
        <w:t xml:space="preserve"> JAFFE</w:t>
      </w:r>
      <w:r w:rsidR="00522086" w:rsidRPr="00476DF1">
        <w:rPr>
          <w:rFonts w:ascii="Times New Roman" w:hAnsi="Times New Roman"/>
          <w:sz w:val="24"/>
          <w:szCs w:val="24"/>
        </w:rPr>
        <w:t>;</w:t>
      </w:r>
      <w:r w:rsidR="002F518D" w:rsidRPr="00476DF1">
        <w:rPr>
          <w:rFonts w:ascii="Times New Roman" w:hAnsi="Times New Roman"/>
          <w:sz w:val="24"/>
          <w:szCs w:val="24"/>
        </w:rPr>
        <w:t xml:space="preserve"> TRAJTENBERG</w:t>
      </w:r>
      <w:r w:rsidR="00522086" w:rsidRPr="00476DF1">
        <w:rPr>
          <w:rFonts w:ascii="Times New Roman" w:hAnsi="Times New Roman"/>
          <w:sz w:val="24"/>
          <w:szCs w:val="24"/>
        </w:rPr>
        <w:t>,</w:t>
      </w:r>
      <w:r w:rsidR="002F518D" w:rsidRPr="00476DF1">
        <w:rPr>
          <w:rFonts w:ascii="Times New Roman" w:hAnsi="Times New Roman"/>
          <w:sz w:val="24"/>
          <w:szCs w:val="24"/>
        </w:rPr>
        <w:t xml:space="preserve"> </w:t>
      </w:r>
      <w:r w:rsidR="008E6DF7" w:rsidRPr="00476DF1">
        <w:rPr>
          <w:rFonts w:ascii="Times New Roman" w:hAnsi="Times New Roman"/>
          <w:sz w:val="24"/>
          <w:szCs w:val="24"/>
        </w:rPr>
        <w:t xml:space="preserve">2005). </w:t>
      </w:r>
    </w:p>
    <w:p w14:paraId="57AF3EA7" w14:textId="662FF489" w:rsidR="00175D95" w:rsidRPr="00476DF1" w:rsidRDefault="002F518D"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In essence</w:t>
      </w:r>
      <w:r w:rsidR="00C24550" w:rsidRPr="00476DF1">
        <w:rPr>
          <w:rFonts w:ascii="Times New Roman" w:hAnsi="Times New Roman"/>
          <w:sz w:val="24"/>
          <w:szCs w:val="24"/>
        </w:rPr>
        <w:t>,</w:t>
      </w:r>
      <w:r w:rsidRPr="00476DF1">
        <w:rPr>
          <w:rFonts w:ascii="Times New Roman" w:hAnsi="Times New Roman"/>
          <w:sz w:val="24"/>
          <w:szCs w:val="24"/>
        </w:rPr>
        <w:t xml:space="preserve"> the </w:t>
      </w:r>
      <w:r w:rsidR="004F2813" w:rsidRPr="00476DF1">
        <w:rPr>
          <w:rFonts w:ascii="Times New Roman" w:hAnsi="Times New Roman"/>
          <w:sz w:val="24"/>
          <w:szCs w:val="24"/>
        </w:rPr>
        <w:t xml:space="preserve">most </w:t>
      </w:r>
      <w:r w:rsidR="009A14ED" w:rsidRPr="00476DF1">
        <w:rPr>
          <w:rFonts w:ascii="Times New Roman" w:hAnsi="Times New Roman"/>
          <w:sz w:val="24"/>
          <w:szCs w:val="24"/>
        </w:rPr>
        <w:t xml:space="preserve">cited </w:t>
      </w:r>
      <w:r w:rsidR="004F2813" w:rsidRPr="00476DF1">
        <w:rPr>
          <w:rFonts w:ascii="Times New Roman" w:hAnsi="Times New Roman"/>
          <w:sz w:val="24"/>
          <w:szCs w:val="24"/>
        </w:rPr>
        <w:t xml:space="preserve">patents </w:t>
      </w:r>
      <w:r w:rsidR="009A14ED" w:rsidRPr="00476DF1">
        <w:rPr>
          <w:rFonts w:ascii="Times New Roman" w:hAnsi="Times New Roman"/>
          <w:sz w:val="24"/>
          <w:szCs w:val="24"/>
        </w:rPr>
        <w:t>are more important or relevant for the enter</w:t>
      </w:r>
      <w:r w:rsidR="00A96D1D" w:rsidRPr="00476DF1">
        <w:rPr>
          <w:rFonts w:ascii="Times New Roman" w:hAnsi="Times New Roman"/>
          <w:sz w:val="24"/>
          <w:szCs w:val="24"/>
        </w:rPr>
        <w:t>pr</w:t>
      </w:r>
      <w:r w:rsidR="009A14ED" w:rsidRPr="00476DF1">
        <w:rPr>
          <w:rFonts w:ascii="Times New Roman" w:hAnsi="Times New Roman"/>
          <w:sz w:val="24"/>
          <w:szCs w:val="24"/>
        </w:rPr>
        <w:t>ise</w:t>
      </w:r>
      <w:r w:rsidR="001640EF" w:rsidRPr="00476DF1">
        <w:rPr>
          <w:rFonts w:ascii="Times New Roman" w:hAnsi="Times New Roman"/>
          <w:sz w:val="24"/>
          <w:szCs w:val="24"/>
        </w:rPr>
        <w:t>, indicating promising inventions</w:t>
      </w:r>
      <w:r w:rsidR="009A14ED" w:rsidRPr="00476DF1">
        <w:rPr>
          <w:rFonts w:ascii="Times New Roman" w:hAnsi="Times New Roman"/>
          <w:sz w:val="24"/>
          <w:szCs w:val="24"/>
        </w:rPr>
        <w:t xml:space="preserve"> </w:t>
      </w:r>
      <w:r w:rsidR="009A14ED" w:rsidRPr="00476DF1">
        <w:rPr>
          <w:rFonts w:ascii="Times New Roman" w:hAnsi="Times New Roman"/>
          <w:sz w:val="24"/>
          <w:szCs w:val="24"/>
        </w:rPr>
        <w:fldChar w:fldCharType="begin" w:fldLock="1"/>
      </w:r>
      <w:r w:rsidR="00522086" w:rsidRPr="00476DF1">
        <w:rPr>
          <w:rFonts w:ascii="Times New Roman" w:hAnsi="Times New Roman"/>
          <w:sz w:val="24"/>
          <w:szCs w:val="24"/>
        </w:rPr>
        <w:instrText>ADDIN CSL_CITATION { "citationItems" : [ { "id" : "ITEM-1", "itemData" : { "author" : [ { "dropping-particle" : "", "family" : "Hall", "given" : "Bronwyn H", "non-dropping-particle" : "", "parse-names" : false, "suffix" : "" }, { "dropping-particle" : "", "family" : "Jaffe", "given" : "Adam B", "non-dropping-particle" : "", "parse-names" : false, "suffix" : "" }, { "dropping-particle" : "", "family" : "Trajtenberg", "given" : "M", "non-dropping-particle" : "", "parse-names" : false, "suffix" : "" } ], "collection-title" : "Working paper 8498", "id" : "ITEM-1", "issued" : { "date-parts" : [ [ "2001" ] ] }, "title" : "THE NBER PATENT CITATIONS DATA FILE: LESSONS, INSIGHTS AND METHODOLOGICAL TOOLSNo Title", "type" : "report" }, "uris" : [ "http://www.mendeley.com/documents/?uuid=2ef7525d-489e-468b-94d4-579ae84b6ac9" ] }, { "id" : "ITEM-2", "itemData" : { "DOI" : "10.1162/003465398557221", "ISBN" : "00346535", "ISSN" : "0034-6535", "PMID" : "454713", "abstract" : "This paper explores the recent explosion in university patenting as a source of insight into the changing relationship between the university and the private sector. Before the mid-1980s, university patents were more highly cited, and were cited by more diverse patents, than a random sample of all patents. More recently several significant shifts in university patenting behavior have led to the disappearance of this difference. Thus our results suggest that between 1965 and 1988 the rate of increase of important patents from universities was much less than their overall rate of increase of patenting.", "author" : [ { "dropping-particle" : "", "family" : "Henderson", "given" : "Rebecca", "non-dropping-particle" : "", "parse-names" : false, "suffix" : "" }, { "dropping-particle" : "", "family" : "Jaffe", "given" : "Adam B.", "non-dropping-particle" : "", "parse-names" : false, "suffix" : "" }, { "dropping-particle" : "", "family" : "Trajtenberg", "given" : "Manuel", "non-dropping-particle" : "", "parse-names" : false, "suffix" : "" } ], "container-title" : "Review of Economics and Statistics", "id" : "ITEM-2", "issue" : "1", "issued" : { "date-parts" : [ [ "1998" ] ] }, "page" : "119-127", "title" : "Universities as a Source of Commercial Technology: A Detailed Analysis of University Patenting, 1965\u20131988", "type" : "article-journal", "volume" : "80" }, "uris" : [ "http://www.mendeley.com/documents/?uuid=e13ab80b-e37c-4dfc-9fbb-4c4fbd427dce" ] }, { "id" : "ITEM-3", "itemData" : { "DOI" : "10.1080/10438599700000006", "ISBN" : "1043859970000", "ISSN" : "1043-8599", "PMID" : "9711022109", "abstract" : "This paper is an attempt to quantify key aspects of innovations, \u2018basicness\u2019 and appropriability, and explore the linkages between them. We rely on detailed patent data. particularly on patent citations, thus awarding the proposed measures a very wide coverage. Relying on the prior that universities perform more basic research than corporations, we find that forward-looking measures of \u2018importance\u2019 and \u2018generality\u2019 capture aspects of the basicness of innovations. Similarly, measures of the degree of reliance on scientific sources. and of the closeness to the origins of innovational paths, appear to reflect the basicness of research. As measures of appropriability we use the fraction of citations coming from patents awarded to the sarne inventor, and in fact these measures are much higher for corporations than fbr universities. An examination of a small number of patents that are universally recognized as \u2018basic\u2019 provides further support for these measures. We find also evidence of the existence of \u2018technologl trajectories\u2019.", "author" : [ { "dropping-particle" : "", "family" : "Trajtenberg", "given" : "Manuel", "non-dropping-particle" : "", "parse-names" : false, "suffix" : "" }, { "dropping-particle" : "", "family" : "Henderson", "given" : "Rebecca", "non-dropping-particle" : "", "parse-names" : false, "suffix" : "" }, { "dropping-particle" : "", "family" : "Jaffe", "given" : "Adam", "non-dropping-particle" : "", "parse-names" : false, "suffix" : "" } ], "container-title" : "Economics of Innovation and New Technology", "id" : "ITEM-3", "issue" : "1", "issued" : { "date-parts" : [ [ "1997" ] ] }, "page" : "19-50", "title" : "University Versus Corporate Patents: A Window On The Basicness Of Invention", "type" : "article-journal", "volume" : "5" }, "uris" : [ "http://www.mendeley.com/documents/?uuid=1aa2a0fb-8df9-4955-879a-a0fdefa27394" ] } ], "mendeley" : { "formattedCitation" : "(HALL; JAFFE; TRAJTENBERG, 2001; HENDERSON; JAFFE; TRAJTENBERG, 1998; TRAJTENBERG; HENDERSON; JAFFE, 1997)", "manualFormatting" : "(HALL; JAFFE; TRAJTENBERG, 2005; HENDERSON; JAFFE; TRAJTENBERG, 1998; TRAJTENBERG; HENDERSON; JAFFE, 1997)", "plainTextFormattedCitation" : "(HALL; JAFFE; TRAJTENBERG, 2001; HENDERSON; JAFFE; TRAJTENBERG, 1998; TRAJTENBERG; HENDERSON; JAFFE, 1997)", "previouslyFormattedCitation" : "(HALL; JAFFE; TRAJTENBERG, 2001; HENDERSON; JAFFE; TRAJTENBERG, 1998; TRAJTENBERG; HENDERSON; JAFFE, 1997)" }, "properties" : {  }, "schema" : "https://github.com/citation-style-language/schema/raw/master/csl-citation.json" }</w:instrText>
      </w:r>
      <w:r w:rsidR="009A14ED" w:rsidRPr="00476DF1">
        <w:rPr>
          <w:rFonts w:ascii="Times New Roman" w:hAnsi="Times New Roman"/>
          <w:sz w:val="24"/>
          <w:szCs w:val="24"/>
        </w:rPr>
        <w:fldChar w:fldCharType="separate"/>
      </w:r>
      <w:r w:rsidR="009A14ED" w:rsidRPr="00476DF1">
        <w:rPr>
          <w:rFonts w:ascii="Times New Roman" w:hAnsi="Times New Roman"/>
          <w:noProof/>
          <w:sz w:val="24"/>
          <w:szCs w:val="24"/>
        </w:rPr>
        <w:t>(HALL; JAFFE; TRAJTENBERG, 200</w:t>
      </w:r>
      <w:r w:rsidR="00522086" w:rsidRPr="00476DF1">
        <w:rPr>
          <w:rFonts w:ascii="Times New Roman" w:hAnsi="Times New Roman"/>
          <w:noProof/>
          <w:sz w:val="24"/>
          <w:szCs w:val="24"/>
        </w:rPr>
        <w:t>5</w:t>
      </w:r>
      <w:r w:rsidR="009A14ED" w:rsidRPr="00476DF1">
        <w:rPr>
          <w:rFonts w:ascii="Times New Roman" w:hAnsi="Times New Roman"/>
          <w:noProof/>
          <w:sz w:val="24"/>
          <w:szCs w:val="24"/>
        </w:rPr>
        <w:t>; HENDERSON; JAFFE; TRAJTENBERG, 1998; TRAJTENBERG; HENDERSON; JAFFE, 1997)</w:t>
      </w:r>
      <w:r w:rsidR="009A14ED" w:rsidRPr="00476DF1">
        <w:rPr>
          <w:rFonts w:ascii="Times New Roman" w:hAnsi="Times New Roman"/>
          <w:sz w:val="24"/>
          <w:szCs w:val="24"/>
        </w:rPr>
        <w:fldChar w:fldCharType="end"/>
      </w:r>
      <w:r w:rsidR="009A2FFF" w:rsidRPr="00476DF1">
        <w:rPr>
          <w:rFonts w:ascii="Times New Roman" w:hAnsi="Times New Roman"/>
          <w:sz w:val="24"/>
          <w:szCs w:val="24"/>
        </w:rPr>
        <w:t xml:space="preserve">. </w:t>
      </w:r>
      <w:r w:rsidR="003443D3" w:rsidRPr="00476DF1">
        <w:rPr>
          <w:rFonts w:ascii="Times New Roman" w:hAnsi="Times New Roman"/>
          <w:sz w:val="24"/>
          <w:szCs w:val="24"/>
        </w:rPr>
        <w:t xml:space="preserve">Table 3 </w:t>
      </w:r>
      <w:r w:rsidRPr="00476DF1">
        <w:rPr>
          <w:rFonts w:ascii="Times New Roman" w:hAnsi="Times New Roman"/>
          <w:sz w:val="24"/>
          <w:szCs w:val="24"/>
        </w:rPr>
        <w:t>also</w:t>
      </w:r>
      <w:r w:rsidR="001640EF" w:rsidRPr="00476DF1">
        <w:rPr>
          <w:rFonts w:ascii="Times New Roman" w:hAnsi="Times New Roman"/>
          <w:sz w:val="24"/>
          <w:szCs w:val="24"/>
        </w:rPr>
        <w:t xml:space="preserve"> </w:t>
      </w:r>
      <w:r w:rsidR="009A2FFF" w:rsidRPr="00476DF1">
        <w:rPr>
          <w:rFonts w:ascii="Times New Roman" w:hAnsi="Times New Roman"/>
          <w:sz w:val="24"/>
          <w:szCs w:val="24"/>
        </w:rPr>
        <w:t>indicates the most important</w:t>
      </w:r>
      <w:r w:rsidR="004F2813" w:rsidRPr="00476DF1">
        <w:rPr>
          <w:rFonts w:ascii="Times New Roman" w:hAnsi="Times New Roman"/>
          <w:sz w:val="24"/>
          <w:szCs w:val="24"/>
        </w:rPr>
        <w:t xml:space="preserve"> </w:t>
      </w:r>
      <w:r w:rsidR="00522086" w:rsidRPr="00476DF1">
        <w:rPr>
          <w:rFonts w:ascii="Times New Roman" w:hAnsi="Times New Roman"/>
          <w:sz w:val="24"/>
          <w:szCs w:val="24"/>
        </w:rPr>
        <w:t xml:space="preserve">small </w:t>
      </w:r>
      <w:r w:rsidR="009A2FFF" w:rsidRPr="00476DF1">
        <w:rPr>
          <w:rFonts w:ascii="Times New Roman" w:hAnsi="Times New Roman"/>
          <w:sz w:val="24"/>
          <w:szCs w:val="24"/>
        </w:rPr>
        <w:t>ente</w:t>
      </w:r>
      <w:r w:rsidR="00A96D1D" w:rsidRPr="00476DF1">
        <w:rPr>
          <w:rFonts w:ascii="Times New Roman" w:hAnsi="Times New Roman"/>
          <w:sz w:val="24"/>
          <w:szCs w:val="24"/>
        </w:rPr>
        <w:t>r</w:t>
      </w:r>
      <w:r w:rsidR="009A2FFF" w:rsidRPr="00476DF1">
        <w:rPr>
          <w:rFonts w:ascii="Times New Roman" w:hAnsi="Times New Roman"/>
          <w:sz w:val="24"/>
          <w:szCs w:val="24"/>
        </w:rPr>
        <w:t>prises</w:t>
      </w:r>
      <w:r w:rsidR="00A96D1D" w:rsidRPr="00476DF1">
        <w:rPr>
          <w:rFonts w:ascii="Times New Roman" w:hAnsi="Times New Roman"/>
          <w:sz w:val="24"/>
          <w:szCs w:val="24"/>
        </w:rPr>
        <w:t xml:space="preserve"> in terms of single technologies.</w:t>
      </w:r>
      <w:r w:rsidR="009A2FFF" w:rsidRPr="00476DF1">
        <w:rPr>
          <w:rFonts w:ascii="Times New Roman" w:hAnsi="Times New Roman"/>
          <w:sz w:val="24"/>
          <w:szCs w:val="24"/>
        </w:rPr>
        <w:t xml:space="preserve"> </w:t>
      </w:r>
      <w:r w:rsidR="00A96D1D" w:rsidRPr="00476DF1">
        <w:rPr>
          <w:rFonts w:ascii="Times New Roman" w:hAnsi="Times New Roman"/>
          <w:sz w:val="24"/>
          <w:szCs w:val="24"/>
        </w:rPr>
        <w:t>F</w:t>
      </w:r>
      <w:r w:rsidR="009A2FFF" w:rsidRPr="00476DF1">
        <w:rPr>
          <w:rFonts w:ascii="Times New Roman" w:hAnsi="Times New Roman"/>
          <w:sz w:val="24"/>
          <w:szCs w:val="24"/>
        </w:rPr>
        <w:t>or instance</w:t>
      </w:r>
      <w:r w:rsidR="00A96D1D" w:rsidRPr="00476DF1">
        <w:rPr>
          <w:rFonts w:ascii="Times New Roman" w:hAnsi="Times New Roman"/>
          <w:sz w:val="24"/>
          <w:szCs w:val="24"/>
        </w:rPr>
        <w:t>,</w:t>
      </w:r>
      <w:r w:rsidR="009A2FFF" w:rsidRPr="00476DF1">
        <w:rPr>
          <w:rFonts w:ascii="Times New Roman" w:hAnsi="Times New Roman"/>
          <w:sz w:val="24"/>
          <w:szCs w:val="24"/>
        </w:rPr>
        <w:t xml:space="preserve"> cases lik</w:t>
      </w:r>
      <w:r w:rsidR="004F2813" w:rsidRPr="00476DF1">
        <w:rPr>
          <w:rFonts w:ascii="Times New Roman" w:hAnsi="Times New Roman"/>
          <w:sz w:val="24"/>
          <w:szCs w:val="24"/>
        </w:rPr>
        <w:t>e Arius, Piramed</w:t>
      </w:r>
      <w:r w:rsidR="003443D3" w:rsidRPr="00476DF1">
        <w:rPr>
          <w:rFonts w:ascii="Times New Roman" w:hAnsi="Times New Roman"/>
          <w:sz w:val="24"/>
          <w:szCs w:val="24"/>
        </w:rPr>
        <w:t>,</w:t>
      </w:r>
      <w:r w:rsidR="004F2813" w:rsidRPr="00476DF1">
        <w:rPr>
          <w:rFonts w:ascii="Times New Roman" w:hAnsi="Times New Roman"/>
          <w:sz w:val="24"/>
          <w:szCs w:val="24"/>
        </w:rPr>
        <w:t xml:space="preserve"> and Transform-P</w:t>
      </w:r>
      <w:r w:rsidR="00A96D1D" w:rsidRPr="00476DF1">
        <w:rPr>
          <w:rFonts w:ascii="Times New Roman" w:hAnsi="Times New Roman"/>
          <w:sz w:val="24"/>
          <w:szCs w:val="24"/>
        </w:rPr>
        <w:t>harma</w:t>
      </w:r>
      <w:r w:rsidR="009A2FFF" w:rsidRPr="00476DF1">
        <w:rPr>
          <w:rFonts w:ascii="Times New Roman" w:hAnsi="Times New Roman"/>
          <w:sz w:val="24"/>
          <w:szCs w:val="24"/>
        </w:rPr>
        <w:t xml:space="preserve"> </w:t>
      </w:r>
      <w:r w:rsidR="00522086" w:rsidRPr="00476DF1">
        <w:rPr>
          <w:rFonts w:ascii="Times New Roman" w:hAnsi="Times New Roman"/>
          <w:sz w:val="24"/>
          <w:szCs w:val="24"/>
        </w:rPr>
        <w:t xml:space="preserve">show </w:t>
      </w:r>
      <w:r w:rsidR="00A96D1D" w:rsidRPr="00476DF1">
        <w:rPr>
          <w:rFonts w:ascii="Times New Roman" w:hAnsi="Times New Roman"/>
          <w:sz w:val="24"/>
          <w:szCs w:val="24"/>
        </w:rPr>
        <w:lastRenderedPageBreak/>
        <w:t>enterprises</w:t>
      </w:r>
      <w:r w:rsidR="009A2FFF" w:rsidRPr="00476DF1">
        <w:rPr>
          <w:rFonts w:ascii="Times New Roman" w:hAnsi="Times New Roman"/>
          <w:sz w:val="24"/>
          <w:szCs w:val="24"/>
        </w:rPr>
        <w:t xml:space="preserve"> whose patents were more </w:t>
      </w:r>
      <w:r w:rsidR="00A96D1D" w:rsidRPr="00476DF1">
        <w:rPr>
          <w:rFonts w:ascii="Times New Roman" w:hAnsi="Times New Roman"/>
          <w:sz w:val="24"/>
          <w:szCs w:val="24"/>
        </w:rPr>
        <w:t>intensively</w:t>
      </w:r>
      <w:r w:rsidR="009A2FFF" w:rsidRPr="00476DF1">
        <w:rPr>
          <w:rFonts w:ascii="Times New Roman" w:hAnsi="Times New Roman"/>
          <w:sz w:val="24"/>
          <w:szCs w:val="24"/>
        </w:rPr>
        <w:t xml:space="preserve"> cited.</w:t>
      </w:r>
      <w:r w:rsidR="003443D3" w:rsidRPr="00476DF1">
        <w:rPr>
          <w:rFonts w:ascii="Times New Roman" w:hAnsi="Times New Roman"/>
          <w:sz w:val="24"/>
          <w:szCs w:val="24"/>
        </w:rPr>
        <w:t xml:space="preserve"> Thus, the large enterprise determined their</w:t>
      </w:r>
      <w:r w:rsidR="00A96D1D" w:rsidRPr="00476DF1">
        <w:rPr>
          <w:rFonts w:ascii="Times New Roman" w:hAnsi="Times New Roman"/>
          <w:sz w:val="24"/>
          <w:szCs w:val="24"/>
        </w:rPr>
        <w:t xml:space="preserve"> technology </w:t>
      </w:r>
      <w:r w:rsidR="003443D3" w:rsidRPr="00476DF1">
        <w:rPr>
          <w:rFonts w:ascii="Times New Roman" w:hAnsi="Times New Roman"/>
          <w:sz w:val="24"/>
          <w:szCs w:val="24"/>
        </w:rPr>
        <w:t>to be</w:t>
      </w:r>
      <w:r w:rsidR="00525B93" w:rsidRPr="00476DF1">
        <w:rPr>
          <w:rFonts w:ascii="Times New Roman" w:hAnsi="Times New Roman"/>
          <w:sz w:val="24"/>
          <w:szCs w:val="24"/>
        </w:rPr>
        <w:t xml:space="preserve"> relevant.</w:t>
      </w:r>
      <w:r w:rsidR="00262A79" w:rsidRPr="00476DF1">
        <w:rPr>
          <w:rFonts w:ascii="Times New Roman" w:hAnsi="Times New Roman"/>
          <w:sz w:val="24"/>
          <w:szCs w:val="24"/>
        </w:rPr>
        <w:t xml:space="preserve"> </w:t>
      </w:r>
      <w:r w:rsidR="003443D3" w:rsidRPr="00476DF1">
        <w:rPr>
          <w:rFonts w:ascii="Times New Roman" w:hAnsi="Times New Roman"/>
          <w:sz w:val="24"/>
          <w:szCs w:val="24"/>
        </w:rPr>
        <w:t>We report these cases</w:t>
      </w:r>
      <w:r w:rsidR="00522086" w:rsidRPr="00476DF1">
        <w:rPr>
          <w:rFonts w:ascii="Times New Roman" w:hAnsi="Times New Roman"/>
          <w:sz w:val="24"/>
          <w:szCs w:val="24"/>
        </w:rPr>
        <w:t xml:space="preserve"> </w:t>
      </w:r>
      <w:r w:rsidR="003443D3" w:rsidRPr="00476DF1">
        <w:rPr>
          <w:rFonts w:ascii="Times New Roman" w:hAnsi="Times New Roman"/>
          <w:sz w:val="24"/>
          <w:szCs w:val="24"/>
        </w:rPr>
        <w:t xml:space="preserve">in </w:t>
      </w:r>
      <w:r w:rsidR="00262A79" w:rsidRPr="00476DF1">
        <w:rPr>
          <w:rFonts w:ascii="Times New Roman" w:hAnsi="Times New Roman"/>
          <w:sz w:val="24"/>
          <w:szCs w:val="24"/>
        </w:rPr>
        <w:t xml:space="preserve">the last column </w:t>
      </w:r>
      <w:r w:rsidR="003443D3" w:rsidRPr="00476DF1">
        <w:rPr>
          <w:rFonts w:ascii="Times New Roman" w:hAnsi="Times New Roman"/>
          <w:sz w:val="24"/>
          <w:szCs w:val="24"/>
        </w:rPr>
        <w:t xml:space="preserve">of Table </w:t>
      </w:r>
      <w:r w:rsidR="001A775D" w:rsidRPr="00476DF1">
        <w:rPr>
          <w:rFonts w:ascii="Times New Roman" w:hAnsi="Times New Roman"/>
          <w:sz w:val="24"/>
          <w:szCs w:val="24"/>
        </w:rPr>
        <w:t>2</w:t>
      </w:r>
      <w:r w:rsidR="00262A79" w:rsidRPr="00476DF1">
        <w:rPr>
          <w:rFonts w:ascii="Times New Roman" w:hAnsi="Times New Roman"/>
          <w:sz w:val="24"/>
          <w:szCs w:val="24"/>
        </w:rPr>
        <w:t xml:space="preserve">, </w:t>
      </w:r>
      <w:r w:rsidR="003443D3" w:rsidRPr="00476DF1">
        <w:rPr>
          <w:rFonts w:ascii="Times New Roman" w:hAnsi="Times New Roman"/>
          <w:sz w:val="24"/>
          <w:szCs w:val="24"/>
        </w:rPr>
        <w:t>in which we show</w:t>
      </w:r>
      <w:r w:rsidR="00262A79" w:rsidRPr="00476DF1">
        <w:rPr>
          <w:rFonts w:ascii="Times New Roman" w:hAnsi="Times New Roman"/>
          <w:sz w:val="24"/>
          <w:szCs w:val="24"/>
        </w:rPr>
        <w:t xml:space="preserve"> the patents </w:t>
      </w:r>
      <w:r w:rsidR="00522086" w:rsidRPr="00476DF1">
        <w:rPr>
          <w:rFonts w:ascii="Times New Roman" w:hAnsi="Times New Roman"/>
          <w:sz w:val="24"/>
          <w:szCs w:val="24"/>
        </w:rPr>
        <w:t>generated</w:t>
      </w:r>
      <w:r w:rsidR="00262A79" w:rsidRPr="00476DF1">
        <w:rPr>
          <w:rFonts w:ascii="Times New Roman" w:hAnsi="Times New Roman"/>
          <w:sz w:val="24"/>
          <w:szCs w:val="24"/>
        </w:rPr>
        <w:t xml:space="preserve"> through the small </w:t>
      </w:r>
      <w:r w:rsidR="00522086" w:rsidRPr="00476DF1">
        <w:rPr>
          <w:rFonts w:ascii="Times New Roman" w:hAnsi="Times New Roman"/>
          <w:sz w:val="24"/>
          <w:szCs w:val="24"/>
        </w:rPr>
        <w:t>enterprises</w:t>
      </w:r>
      <w:r w:rsidR="003443D3" w:rsidRPr="00476DF1">
        <w:rPr>
          <w:rFonts w:ascii="Times New Roman" w:hAnsi="Times New Roman"/>
          <w:sz w:val="24"/>
          <w:szCs w:val="24"/>
        </w:rPr>
        <w:t>’</w:t>
      </w:r>
      <w:r w:rsidR="00262A79" w:rsidRPr="00476DF1">
        <w:rPr>
          <w:rFonts w:ascii="Times New Roman" w:hAnsi="Times New Roman"/>
          <w:sz w:val="24"/>
          <w:szCs w:val="24"/>
        </w:rPr>
        <w:t xml:space="preserve"> patents. There </w:t>
      </w:r>
      <w:r w:rsidR="00522086" w:rsidRPr="00476DF1">
        <w:rPr>
          <w:rFonts w:ascii="Times New Roman" w:hAnsi="Times New Roman"/>
          <w:sz w:val="24"/>
          <w:szCs w:val="24"/>
        </w:rPr>
        <w:t xml:space="preserve">are </w:t>
      </w:r>
      <w:r w:rsidR="00262A79" w:rsidRPr="00476DF1">
        <w:rPr>
          <w:rFonts w:ascii="Times New Roman" w:hAnsi="Times New Roman"/>
          <w:sz w:val="24"/>
          <w:szCs w:val="24"/>
        </w:rPr>
        <w:t xml:space="preserve">several cases </w:t>
      </w:r>
      <w:r w:rsidR="003443D3" w:rsidRPr="00476DF1">
        <w:rPr>
          <w:rFonts w:ascii="Times New Roman" w:hAnsi="Times New Roman"/>
          <w:sz w:val="24"/>
          <w:szCs w:val="24"/>
        </w:rPr>
        <w:t xml:space="preserve">in which </w:t>
      </w:r>
      <w:r w:rsidR="00522086" w:rsidRPr="00476DF1">
        <w:rPr>
          <w:rFonts w:ascii="Times New Roman" w:hAnsi="Times New Roman"/>
          <w:sz w:val="24"/>
          <w:szCs w:val="24"/>
        </w:rPr>
        <w:t xml:space="preserve">more patents were generated than cited, </w:t>
      </w:r>
      <w:r w:rsidR="00262A79" w:rsidRPr="00476DF1">
        <w:rPr>
          <w:rFonts w:ascii="Times New Roman" w:hAnsi="Times New Roman"/>
          <w:sz w:val="24"/>
          <w:szCs w:val="24"/>
        </w:rPr>
        <w:t xml:space="preserve">even </w:t>
      </w:r>
      <w:r w:rsidR="00BC6228" w:rsidRPr="00476DF1">
        <w:rPr>
          <w:rFonts w:ascii="Times New Roman" w:hAnsi="Times New Roman"/>
          <w:sz w:val="24"/>
          <w:szCs w:val="24"/>
        </w:rPr>
        <w:t xml:space="preserve">in </w:t>
      </w:r>
      <w:r w:rsidR="00262A79" w:rsidRPr="00476DF1">
        <w:rPr>
          <w:rFonts w:ascii="Times New Roman" w:hAnsi="Times New Roman"/>
          <w:sz w:val="24"/>
          <w:szCs w:val="24"/>
        </w:rPr>
        <w:t>a short a</w:t>
      </w:r>
      <w:r w:rsidR="00522086" w:rsidRPr="00476DF1">
        <w:rPr>
          <w:rFonts w:ascii="Times New Roman" w:hAnsi="Times New Roman"/>
          <w:sz w:val="24"/>
          <w:szCs w:val="24"/>
        </w:rPr>
        <w:t>m</w:t>
      </w:r>
      <w:r w:rsidR="00262A79" w:rsidRPr="00476DF1">
        <w:rPr>
          <w:rFonts w:ascii="Times New Roman" w:hAnsi="Times New Roman"/>
          <w:sz w:val="24"/>
          <w:szCs w:val="24"/>
        </w:rPr>
        <w:t>ount of time</w:t>
      </w:r>
      <w:r w:rsidR="00522086" w:rsidRPr="00476DF1">
        <w:rPr>
          <w:rFonts w:ascii="Times New Roman" w:hAnsi="Times New Roman"/>
          <w:sz w:val="24"/>
          <w:szCs w:val="24"/>
        </w:rPr>
        <w:t>.</w:t>
      </w:r>
      <w:r w:rsidR="00262A79" w:rsidRPr="00476DF1">
        <w:rPr>
          <w:rFonts w:ascii="Times New Roman" w:hAnsi="Times New Roman"/>
          <w:sz w:val="24"/>
          <w:szCs w:val="24"/>
        </w:rPr>
        <w:t xml:space="preserve"> </w:t>
      </w:r>
    </w:p>
    <w:p w14:paraId="4AADA57F" w14:textId="6AEDC106" w:rsidR="00C658D9" w:rsidRPr="00476DF1" w:rsidRDefault="004F2813"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Another relevant element among patents </w:t>
      </w:r>
      <w:r w:rsidR="003443D3" w:rsidRPr="00476DF1">
        <w:rPr>
          <w:rFonts w:ascii="Times New Roman" w:hAnsi="Times New Roman"/>
          <w:sz w:val="24"/>
          <w:szCs w:val="24"/>
        </w:rPr>
        <w:t xml:space="preserve">is </w:t>
      </w:r>
      <w:r w:rsidRPr="00476DF1">
        <w:rPr>
          <w:rFonts w:ascii="Times New Roman" w:hAnsi="Times New Roman"/>
          <w:sz w:val="24"/>
          <w:szCs w:val="24"/>
        </w:rPr>
        <w:t xml:space="preserve">their citation </w:t>
      </w:r>
      <w:r w:rsidR="009A2FFF" w:rsidRPr="00476DF1">
        <w:rPr>
          <w:rFonts w:ascii="Times New Roman" w:hAnsi="Times New Roman"/>
          <w:sz w:val="24"/>
          <w:szCs w:val="24"/>
        </w:rPr>
        <w:t>potential</w:t>
      </w:r>
      <w:r w:rsidRPr="00476DF1">
        <w:rPr>
          <w:rFonts w:ascii="Times New Roman" w:hAnsi="Times New Roman"/>
          <w:sz w:val="24"/>
          <w:szCs w:val="24"/>
        </w:rPr>
        <w:t>.</w:t>
      </w:r>
      <w:r w:rsidR="009A2FFF" w:rsidRPr="00476DF1">
        <w:rPr>
          <w:rFonts w:ascii="Times New Roman" w:hAnsi="Times New Roman"/>
          <w:sz w:val="24"/>
          <w:szCs w:val="24"/>
        </w:rPr>
        <w:t xml:space="preserve"> </w:t>
      </w:r>
      <w:r w:rsidRPr="00476DF1">
        <w:rPr>
          <w:rFonts w:ascii="Times New Roman" w:hAnsi="Times New Roman"/>
          <w:sz w:val="24"/>
          <w:szCs w:val="24"/>
        </w:rPr>
        <w:t>P</w:t>
      </w:r>
      <w:r w:rsidR="009A2FFF" w:rsidRPr="00476DF1">
        <w:rPr>
          <w:rFonts w:ascii="Times New Roman" w:hAnsi="Times New Roman"/>
          <w:sz w:val="24"/>
          <w:szCs w:val="24"/>
        </w:rPr>
        <w:t xml:space="preserve">atents </w:t>
      </w:r>
      <w:r w:rsidR="0054103B" w:rsidRPr="00476DF1">
        <w:rPr>
          <w:rFonts w:ascii="Times New Roman" w:hAnsi="Times New Roman"/>
          <w:sz w:val="24"/>
          <w:szCs w:val="24"/>
        </w:rPr>
        <w:t xml:space="preserve">reach their maximum citation </w:t>
      </w:r>
      <w:r w:rsidRPr="00476DF1">
        <w:rPr>
          <w:rFonts w:ascii="Times New Roman" w:hAnsi="Times New Roman"/>
          <w:sz w:val="24"/>
          <w:szCs w:val="24"/>
        </w:rPr>
        <w:t xml:space="preserve">rate </w:t>
      </w:r>
      <w:r w:rsidR="009A2FFF" w:rsidRPr="00476DF1">
        <w:rPr>
          <w:rFonts w:ascii="Times New Roman" w:hAnsi="Times New Roman"/>
          <w:sz w:val="24"/>
          <w:szCs w:val="24"/>
        </w:rPr>
        <w:t>after</w:t>
      </w:r>
      <w:r w:rsidR="0054103B" w:rsidRPr="00476DF1">
        <w:rPr>
          <w:rFonts w:ascii="Times New Roman" w:hAnsi="Times New Roman"/>
          <w:sz w:val="24"/>
          <w:szCs w:val="24"/>
        </w:rPr>
        <w:t xml:space="preserve"> some years</w:t>
      </w:r>
      <w:r w:rsidR="003443D3" w:rsidRPr="00476DF1">
        <w:rPr>
          <w:rFonts w:ascii="Times New Roman" w:hAnsi="Times New Roman"/>
          <w:sz w:val="24"/>
          <w:szCs w:val="24"/>
        </w:rPr>
        <w:t>,</w:t>
      </w:r>
      <w:r w:rsidR="0054103B" w:rsidRPr="00476DF1">
        <w:rPr>
          <w:rFonts w:ascii="Times New Roman" w:hAnsi="Times New Roman"/>
          <w:sz w:val="24"/>
          <w:szCs w:val="24"/>
        </w:rPr>
        <w:t xml:space="preserve"> and then th</w:t>
      </w:r>
      <w:r w:rsidRPr="00476DF1">
        <w:rPr>
          <w:rFonts w:ascii="Times New Roman" w:hAnsi="Times New Roman"/>
          <w:sz w:val="24"/>
          <w:szCs w:val="24"/>
        </w:rPr>
        <w:t xml:space="preserve">is </w:t>
      </w:r>
      <w:r w:rsidR="0054103B" w:rsidRPr="00476DF1">
        <w:rPr>
          <w:rFonts w:ascii="Times New Roman" w:hAnsi="Times New Roman"/>
          <w:sz w:val="24"/>
          <w:szCs w:val="24"/>
        </w:rPr>
        <w:t>rate slows down</w:t>
      </w:r>
      <w:r w:rsidR="009A2FFF" w:rsidRPr="00476DF1">
        <w:rPr>
          <w:rFonts w:ascii="Times New Roman" w:hAnsi="Times New Roman"/>
          <w:sz w:val="24"/>
          <w:szCs w:val="24"/>
        </w:rPr>
        <w:t xml:space="preserve">. </w:t>
      </w:r>
      <w:r w:rsidR="0054103B" w:rsidRPr="00476DF1">
        <w:rPr>
          <w:rFonts w:ascii="Times New Roman" w:hAnsi="Times New Roman"/>
          <w:sz w:val="24"/>
          <w:szCs w:val="24"/>
        </w:rPr>
        <w:t>This potential is captured by citation lags</w:t>
      </w:r>
      <w:r w:rsidR="00C658D9" w:rsidRPr="00476DF1">
        <w:rPr>
          <w:rFonts w:ascii="Times New Roman" w:hAnsi="Times New Roman"/>
          <w:sz w:val="24"/>
          <w:szCs w:val="24"/>
        </w:rPr>
        <w:t xml:space="preserve">, creating a general pattern </w:t>
      </w:r>
      <w:r w:rsidR="003443D3" w:rsidRPr="00476DF1">
        <w:rPr>
          <w:rFonts w:ascii="Times New Roman" w:hAnsi="Times New Roman"/>
          <w:sz w:val="24"/>
          <w:szCs w:val="24"/>
        </w:rPr>
        <w:t xml:space="preserve">in </w:t>
      </w:r>
      <w:r w:rsidR="00C658D9" w:rsidRPr="00476DF1">
        <w:rPr>
          <w:rFonts w:ascii="Times New Roman" w:hAnsi="Times New Roman"/>
          <w:sz w:val="24"/>
          <w:szCs w:val="24"/>
        </w:rPr>
        <w:t>which</w:t>
      </w:r>
      <w:r w:rsidR="008D55B4" w:rsidRPr="00476DF1">
        <w:rPr>
          <w:rFonts w:ascii="Times New Roman" w:hAnsi="Times New Roman"/>
          <w:sz w:val="24"/>
          <w:szCs w:val="24"/>
        </w:rPr>
        <w:t xml:space="preserve"> new patents have a </w:t>
      </w:r>
      <w:r w:rsidRPr="00476DF1">
        <w:rPr>
          <w:rFonts w:ascii="Times New Roman" w:hAnsi="Times New Roman"/>
          <w:sz w:val="24"/>
          <w:szCs w:val="24"/>
        </w:rPr>
        <w:t xml:space="preserve">greater </w:t>
      </w:r>
      <w:r w:rsidR="008D55B4" w:rsidRPr="00476DF1">
        <w:rPr>
          <w:rFonts w:ascii="Times New Roman" w:hAnsi="Times New Roman"/>
          <w:sz w:val="24"/>
          <w:szCs w:val="24"/>
        </w:rPr>
        <w:t>potential</w:t>
      </w:r>
      <w:r w:rsidR="003443D3" w:rsidRPr="00476DF1">
        <w:rPr>
          <w:rFonts w:ascii="Times New Roman" w:hAnsi="Times New Roman"/>
          <w:sz w:val="24"/>
          <w:szCs w:val="24"/>
        </w:rPr>
        <w:t xml:space="preserve"> for</w:t>
      </w:r>
      <w:r w:rsidR="008D55B4" w:rsidRPr="00476DF1">
        <w:rPr>
          <w:rFonts w:ascii="Times New Roman" w:hAnsi="Times New Roman"/>
          <w:sz w:val="24"/>
          <w:szCs w:val="24"/>
        </w:rPr>
        <w:t xml:space="preserve"> being cited</w:t>
      </w:r>
      <w:r w:rsidR="0054103B" w:rsidRPr="00476DF1">
        <w:rPr>
          <w:rFonts w:ascii="Times New Roman" w:hAnsi="Times New Roman"/>
          <w:sz w:val="24"/>
          <w:szCs w:val="24"/>
        </w:rPr>
        <w:t xml:space="preserve"> </w:t>
      </w:r>
      <w:r w:rsidR="0054103B" w:rsidRPr="00476DF1">
        <w:rPr>
          <w:rFonts w:ascii="Times New Roman" w:hAnsi="Times New Roman"/>
          <w:noProof/>
          <w:sz w:val="24"/>
          <w:szCs w:val="24"/>
        </w:rPr>
        <w:t>(HALL; JAFFE; TRAJTENBERG, 2001)</w:t>
      </w:r>
      <w:r w:rsidR="008D55B4" w:rsidRPr="00476DF1">
        <w:rPr>
          <w:rFonts w:ascii="Times New Roman" w:hAnsi="Times New Roman"/>
          <w:sz w:val="24"/>
          <w:szCs w:val="24"/>
        </w:rPr>
        <w:t xml:space="preserve">. </w:t>
      </w:r>
    </w:p>
    <w:p w14:paraId="146904EA" w14:textId="308689B4" w:rsidR="008D55B4" w:rsidRPr="00476DF1" w:rsidRDefault="004F2813"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One can understand this citation pattern as </w:t>
      </w:r>
      <w:r w:rsidR="003443D3" w:rsidRPr="00476DF1">
        <w:rPr>
          <w:rFonts w:ascii="Times New Roman" w:hAnsi="Times New Roman"/>
          <w:sz w:val="24"/>
          <w:szCs w:val="24"/>
        </w:rPr>
        <w:t xml:space="preserve">the </w:t>
      </w:r>
      <w:r w:rsidRPr="00476DF1">
        <w:rPr>
          <w:rFonts w:ascii="Times New Roman" w:hAnsi="Times New Roman"/>
          <w:sz w:val="24"/>
          <w:szCs w:val="24"/>
        </w:rPr>
        <w:t xml:space="preserve">depreciation rate of patents. </w:t>
      </w:r>
      <w:r w:rsidR="008D55B4" w:rsidRPr="00476DF1">
        <w:rPr>
          <w:rFonts w:ascii="Times New Roman" w:hAnsi="Times New Roman"/>
          <w:sz w:val="24"/>
          <w:szCs w:val="24"/>
        </w:rPr>
        <w:t xml:space="preserve">Therefore, large enterprises can </w:t>
      </w:r>
      <w:r w:rsidRPr="00476DF1">
        <w:rPr>
          <w:rFonts w:ascii="Times New Roman" w:hAnsi="Times New Roman"/>
          <w:sz w:val="24"/>
          <w:szCs w:val="24"/>
        </w:rPr>
        <w:t xml:space="preserve">acquire highly depreciated </w:t>
      </w:r>
      <w:r w:rsidR="008D55B4" w:rsidRPr="00476DF1">
        <w:rPr>
          <w:rFonts w:ascii="Times New Roman" w:hAnsi="Times New Roman"/>
          <w:sz w:val="24"/>
          <w:szCs w:val="24"/>
        </w:rPr>
        <w:t xml:space="preserve">patents </w:t>
      </w:r>
      <w:r w:rsidRPr="00476DF1">
        <w:rPr>
          <w:rFonts w:ascii="Times New Roman" w:hAnsi="Times New Roman"/>
          <w:sz w:val="24"/>
          <w:szCs w:val="24"/>
        </w:rPr>
        <w:t>or not</w:t>
      </w:r>
      <w:r w:rsidR="008D55B4" w:rsidRPr="00476DF1">
        <w:rPr>
          <w:rFonts w:ascii="Times New Roman" w:hAnsi="Times New Roman"/>
          <w:sz w:val="24"/>
          <w:szCs w:val="24"/>
        </w:rPr>
        <w:t xml:space="preserve">. </w:t>
      </w:r>
      <w:r w:rsidR="00B91888" w:rsidRPr="00476DF1">
        <w:rPr>
          <w:rFonts w:ascii="Times New Roman" w:hAnsi="Times New Roman"/>
          <w:sz w:val="24"/>
          <w:szCs w:val="24"/>
        </w:rPr>
        <w:t xml:space="preserve">Figure </w:t>
      </w:r>
      <w:r w:rsidR="009D7A0F" w:rsidRPr="00476DF1">
        <w:rPr>
          <w:rFonts w:ascii="Times New Roman" w:hAnsi="Times New Roman"/>
          <w:sz w:val="24"/>
          <w:szCs w:val="24"/>
        </w:rPr>
        <w:t>1</w:t>
      </w:r>
      <w:r w:rsidR="008D55B4" w:rsidRPr="00476DF1">
        <w:rPr>
          <w:rFonts w:ascii="Times New Roman" w:hAnsi="Times New Roman"/>
          <w:sz w:val="24"/>
          <w:szCs w:val="24"/>
        </w:rPr>
        <w:t xml:space="preserve"> </w:t>
      </w:r>
      <w:r w:rsidR="00C658D9" w:rsidRPr="00476DF1">
        <w:rPr>
          <w:rFonts w:ascii="Times New Roman" w:hAnsi="Times New Roman"/>
          <w:sz w:val="24"/>
          <w:szCs w:val="24"/>
        </w:rPr>
        <w:t>show</w:t>
      </w:r>
      <w:r w:rsidR="00522086" w:rsidRPr="00476DF1">
        <w:rPr>
          <w:rFonts w:ascii="Times New Roman" w:hAnsi="Times New Roman"/>
          <w:sz w:val="24"/>
          <w:szCs w:val="24"/>
        </w:rPr>
        <w:t>s</w:t>
      </w:r>
      <w:r w:rsidR="00B91888" w:rsidRPr="00476DF1">
        <w:rPr>
          <w:rFonts w:ascii="Times New Roman" w:hAnsi="Times New Roman"/>
          <w:sz w:val="24"/>
          <w:szCs w:val="24"/>
        </w:rPr>
        <w:t xml:space="preserve"> this depreciation</w:t>
      </w:r>
      <w:r w:rsidR="00C658D9" w:rsidRPr="00476DF1">
        <w:rPr>
          <w:rFonts w:ascii="Times New Roman" w:hAnsi="Times New Roman"/>
          <w:sz w:val="24"/>
          <w:szCs w:val="24"/>
        </w:rPr>
        <w:t xml:space="preserve"> based on </w:t>
      </w:r>
      <w:r w:rsidR="008D55B4" w:rsidRPr="00476DF1">
        <w:rPr>
          <w:rFonts w:ascii="Times New Roman" w:hAnsi="Times New Roman"/>
          <w:sz w:val="24"/>
          <w:szCs w:val="24"/>
        </w:rPr>
        <w:t xml:space="preserve">the citation lag proposed by </w:t>
      </w:r>
      <w:r w:rsidR="00FA1868" w:rsidRPr="00476DF1">
        <w:rPr>
          <w:rFonts w:ascii="Times New Roman" w:hAnsi="Times New Roman"/>
          <w:noProof/>
          <w:sz w:val="24"/>
          <w:szCs w:val="24"/>
        </w:rPr>
        <w:t>HALL; JAFFE; TRAJTENBERG (2001).</w:t>
      </w:r>
      <w:r w:rsidR="0054103B" w:rsidRPr="00476DF1">
        <w:rPr>
          <w:rFonts w:ascii="Times New Roman" w:hAnsi="Times New Roman"/>
          <w:noProof/>
          <w:sz w:val="24"/>
          <w:szCs w:val="24"/>
        </w:rPr>
        <w:t xml:space="preserve"> </w:t>
      </w:r>
      <w:r w:rsidR="00373B4D" w:rsidRPr="00476DF1">
        <w:rPr>
          <w:rFonts w:ascii="Times New Roman" w:hAnsi="Times New Roman"/>
          <w:noProof/>
          <w:sz w:val="24"/>
          <w:szCs w:val="24"/>
        </w:rPr>
        <w:t xml:space="preserve">The </w:t>
      </w:r>
      <w:r w:rsidR="00B91888" w:rsidRPr="00476DF1">
        <w:rPr>
          <w:rFonts w:ascii="Times New Roman" w:hAnsi="Times New Roman"/>
          <w:noProof/>
          <w:sz w:val="24"/>
          <w:szCs w:val="24"/>
        </w:rPr>
        <w:t xml:space="preserve">figure </w:t>
      </w:r>
      <w:r w:rsidR="002C638D" w:rsidRPr="00476DF1">
        <w:rPr>
          <w:rFonts w:ascii="Times New Roman" w:hAnsi="Times New Roman"/>
          <w:noProof/>
          <w:sz w:val="24"/>
          <w:szCs w:val="24"/>
        </w:rPr>
        <w:t>compile</w:t>
      </w:r>
      <w:r w:rsidR="00373B4D" w:rsidRPr="00476DF1">
        <w:rPr>
          <w:rFonts w:ascii="Times New Roman" w:hAnsi="Times New Roman"/>
          <w:noProof/>
          <w:sz w:val="24"/>
          <w:szCs w:val="24"/>
        </w:rPr>
        <w:t>s</w:t>
      </w:r>
      <w:r w:rsidR="002C638D" w:rsidRPr="00476DF1">
        <w:rPr>
          <w:rFonts w:ascii="Times New Roman" w:hAnsi="Times New Roman"/>
          <w:noProof/>
          <w:sz w:val="24"/>
          <w:szCs w:val="24"/>
        </w:rPr>
        <w:t xml:space="preserve"> </w:t>
      </w:r>
      <w:r w:rsidR="008D55B4" w:rsidRPr="00476DF1">
        <w:rPr>
          <w:rFonts w:ascii="Times New Roman" w:hAnsi="Times New Roman"/>
          <w:sz w:val="24"/>
          <w:szCs w:val="24"/>
        </w:rPr>
        <w:t>all patents filled by the small acquired enterprise</w:t>
      </w:r>
      <w:r w:rsidR="00B91888" w:rsidRPr="00476DF1">
        <w:rPr>
          <w:rFonts w:ascii="Times New Roman" w:hAnsi="Times New Roman"/>
          <w:sz w:val="24"/>
          <w:szCs w:val="24"/>
        </w:rPr>
        <w:t>s</w:t>
      </w:r>
      <w:r w:rsidR="008D55B4" w:rsidRPr="00476DF1">
        <w:rPr>
          <w:rFonts w:ascii="Times New Roman" w:hAnsi="Times New Roman"/>
          <w:sz w:val="24"/>
          <w:szCs w:val="24"/>
        </w:rPr>
        <w:t xml:space="preserve"> that were </w:t>
      </w:r>
      <w:r w:rsidR="00BA4A29" w:rsidRPr="00476DF1">
        <w:rPr>
          <w:rFonts w:ascii="Times New Roman" w:hAnsi="Times New Roman"/>
          <w:sz w:val="24"/>
          <w:szCs w:val="24"/>
        </w:rPr>
        <w:t>cited</w:t>
      </w:r>
      <w:r w:rsidR="008D55B4" w:rsidRPr="00476DF1">
        <w:rPr>
          <w:rFonts w:ascii="Times New Roman" w:hAnsi="Times New Roman"/>
          <w:sz w:val="24"/>
          <w:szCs w:val="24"/>
        </w:rPr>
        <w:t xml:space="preserve"> by the large enterprises</w:t>
      </w:r>
      <w:r w:rsidR="0054103B" w:rsidRPr="00476DF1">
        <w:rPr>
          <w:rFonts w:ascii="Times New Roman" w:hAnsi="Times New Roman"/>
          <w:sz w:val="24"/>
          <w:szCs w:val="24"/>
        </w:rPr>
        <w:t>.</w:t>
      </w:r>
      <w:r w:rsidR="008D55B4" w:rsidRPr="00476DF1">
        <w:rPr>
          <w:rFonts w:ascii="Times New Roman" w:hAnsi="Times New Roman"/>
          <w:sz w:val="24"/>
          <w:szCs w:val="24"/>
        </w:rPr>
        <w:t xml:space="preserve"> </w:t>
      </w:r>
      <w:r w:rsidR="00B91888" w:rsidRPr="00476DF1">
        <w:rPr>
          <w:rFonts w:ascii="Times New Roman" w:hAnsi="Times New Roman"/>
          <w:sz w:val="24"/>
          <w:szCs w:val="24"/>
        </w:rPr>
        <w:t>The left side shows</w:t>
      </w:r>
      <w:r w:rsidR="008D55B4" w:rsidRPr="00476DF1">
        <w:rPr>
          <w:rFonts w:ascii="Times New Roman" w:hAnsi="Times New Roman"/>
          <w:sz w:val="24"/>
          <w:szCs w:val="24"/>
        </w:rPr>
        <w:t xml:space="preserve"> the year in which the patent was granted</w:t>
      </w:r>
      <w:r w:rsidR="00B91888" w:rsidRPr="00476DF1">
        <w:rPr>
          <w:rFonts w:ascii="Times New Roman" w:hAnsi="Times New Roman"/>
          <w:sz w:val="24"/>
          <w:szCs w:val="24"/>
        </w:rPr>
        <w:t xml:space="preserve"> and the</w:t>
      </w:r>
      <w:r w:rsidR="008D55B4" w:rsidRPr="00476DF1">
        <w:rPr>
          <w:rFonts w:ascii="Times New Roman" w:hAnsi="Times New Roman"/>
          <w:sz w:val="24"/>
          <w:szCs w:val="24"/>
        </w:rPr>
        <w:t xml:space="preserve"> right side </w:t>
      </w:r>
      <w:r w:rsidR="00B91888" w:rsidRPr="00476DF1">
        <w:rPr>
          <w:rFonts w:ascii="Times New Roman" w:hAnsi="Times New Roman"/>
          <w:sz w:val="24"/>
          <w:szCs w:val="24"/>
        </w:rPr>
        <w:t>indicates the</w:t>
      </w:r>
      <w:r w:rsidR="008D55B4" w:rsidRPr="00476DF1">
        <w:rPr>
          <w:rFonts w:ascii="Times New Roman" w:hAnsi="Times New Roman"/>
          <w:sz w:val="24"/>
          <w:szCs w:val="24"/>
        </w:rPr>
        <w:t xml:space="preserve"> end of the period. </w:t>
      </w:r>
      <w:r w:rsidR="00B91888" w:rsidRPr="00476DF1">
        <w:rPr>
          <w:rFonts w:ascii="Times New Roman" w:hAnsi="Times New Roman"/>
          <w:sz w:val="24"/>
          <w:szCs w:val="24"/>
        </w:rPr>
        <w:t>The center shows the number</w:t>
      </w:r>
      <w:r w:rsidR="007310C6" w:rsidRPr="00476DF1">
        <w:rPr>
          <w:rFonts w:ascii="Times New Roman" w:hAnsi="Times New Roman"/>
          <w:sz w:val="24"/>
          <w:szCs w:val="24"/>
        </w:rPr>
        <w:t xml:space="preserve"> of citations for the period</w:t>
      </w:r>
      <w:r w:rsidR="008D55B4" w:rsidRPr="00476DF1">
        <w:rPr>
          <w:rFonts w:ascii="Times New Roman" w:hAnsi="Times New Roman"/>
          <w:sz w:val="24"/>
          <w:szCs w:val="24"/>
        </w:rPr>
        <w:t xml:space="preserve"> </w:t>
      </w:r>
      <w:r w:rsidR="009A2FFF" w:rsidRPr="00476DF1">
        <w:rPr>
          <w:rFonts w:ascii="Times New Roman" w:hAnsi="Times New Roman"/>
          <w:sz w:val="24"/>
          <w:szCs w:val="24"/>
        </w:rPr>
        <w:t>a</w:t>
      </w:r>
      <w:r w:rsidR="008D55B4" w:rsidRPr="00476DF1">
        <w:rPr>
          <w:rFonts w:ascii="Times New Roman" w:hAnsi="Times New Roman"/>
          <w:sz w:val="24"/>
          <w:szCs w:val="24"/>
        </w:rPr>
        <w:t>ccording to the citation lag</w:t>
      </w:r>
      <w:r w:rsidR="009A2FFF" w:rsidRPr="00476DF1">
        <w:rPr>
          <w:rFonts w:ascii="Times New Roman" w:hAnsi="Times New Roman"/>
          <w:sz w:val="24"/>
          <w:szCs w:val="24"/>
        </w:rPr>
        <w:t>.</w:t>
      </w:r>
      <w:r w:rsidR="008D55B4" w:rsidRPr="00476DF1">
        <w:rPr>
          <w:rFonts w:ascii="Times New Roman" w:hAnsi="Times New Roman"/>
          <w:sz w:val="24"/>
          <w:szCs w:val="24"/>
        </w:rPr>
        <w:t xml:space="preserve"> </w:t>
      </w:r>
      <w:r w:rsidR="009A2FFF" w:rsidRPr="00476DF1">
        <w:rPr>
          <w:rFonts w:ascii="Times New Roman" w:hAnsi="Times New Roman"/>
          <w:sz w:val="24"/>
          <w:szCs w:val="24"/>
        </w:rPr>
        <w:t>F</w:t>
      </w:r>
      <w:r w:rsidR="008D55B4" w:rsidRPr="00476DF1">
        <w:rPr>
          <w:rFonts w:ascii="Times New Roman" w:hAnsi="Times New Roman"/>
          <w:sz w:val="24"/>
          <w:szCs w:val="24"/>
        </w:rPr>
        <w:t>or example</w:t>
      </w:r>
      <w:r w:rsidR="0054103B" w:rsidRPr="00476DF1">
        <w:rPr>
          <w:rFonts w:ascii="Times New Roman" w:hAnsi="Times New Roman"/>
          <w:sz w:val="24"/>
          <w:szCs w:val="24"/>
        </w:rPr>
        <w:t>,</w:t>
      </w:r>
      <w:r w:rsidR="008D55B4" w:rsidRPr="00476DF1">
        <w:rPr>
          <w:rFonts w:ascii="Times New Roman" w:hAnsi="Times New Roman"/>
          <w:sz w:val="24"/>
          <w:szCs w:val="24"/>
        </w:rPr>
        <w:t xml:space="preserve"> patent</w:t>
      </w:r>
      <w:r w:rsidR="0054103B" w:rsidRPr="00476DF1">
        <w:rPr>
          <w:rFonts w:ascii="Times New Roman" w:hAnsi="Times New Roman"/>
          <w:sz w:val="24"/>
          <w:szCs w:val="24"/>
        </w:rPr>
        <w:t>s</w:t>
      </w:r>
      <w:r w:rsidR="008D55B4" w:rsidRPr="00476DF1">
        <w:rPr>
          <w:rFonts w:ascii="Times New Roman" w:hAnsi="Times New Roman"/>
          <w:sz w:val="24"/>
          <w:szCs w:val="24"/>
        </w:rPr>
        <w:t xml:space="preserve"> granted in 1997 have 78% of all citations possible</w:t>
      </w:r>
      <w:r w:rsidR="00B91888" w:rsidRPr="00476DF1">
        <w:rPr>
          <w:rFonts w:ascii="Times New Roman" w:hAnsi="Times New Roman"/>
          <w:sz w:val="24"/>
          <w:szCs w:val="24"/>
        </w:rPr>
        <w:t>;</w:t>
      </w:r>
      <w:r w:rsidR="007310C6" w:rsidRPr="00476DF1">
        <w:rPr>
          <w:rFonts w:ascii="Times New Roman" w:hAnsi="Times New Roman"/>
          <w:sz w:val="24"/>
          <w:szCs w:val="24"/>
        </w:rPr>
        <w:t xml:space="preserve"> therefore</w:t>
      </w:r>
      <w:r w:rsidR="00B91888" w:rsidRPr="00476DF1">
        <w:rPr>
          <w:rFonts w:ascii="Times New Roman" w:hAnsi="Times New Roman"/>
          <w:sz w:val="24"/>
          <w:szCs w:val="24"/>
        </w:rPr>
        <w:t>,</w:t>
      </w:r>
      <w:r w:rsidR="007310C6" w:rsidRPr="00476DF1">
        <w:rPr>
          <w:rFonts w:ascii="Times New Roman" w:hAnsi="Times New Roman"/>
          <w:sz w:val="24"/>
          <w:szCs w:val="24"/>
        </w:rPr>
        <w:t xml:space="preserve"> 22% of all possible citations </w:t>
      </w:r>
      <w:r w:rsidR="00B91888" w:rsidRPr="00476DF1">
        <w:rPr>
          <w:rFonts w:ascii="Times New Roman" w:hAnsi="Times New Roman"/>
          <w:sz w:val="24"/>
          <w:szCs w:val="24"/>
        </w:rPr>
        <w:t>are yet to occur</w:t>
      </w:r>
      <w:r w:rsidR="008D55B4" w:rsidRPr="00476DF1">
        <w:rPr>
          <w:rFonts w:ascii="Times New Roman" w:hAnsi="Times New Roman"/>
          <w:sz w:val="24"/>
          <w:szCs w:val="24"/>
        </w:rPr>
        <w:t>. In parentheses</w:t>
      </w:r>
      <w:r w:rsidR="00B91888" w:rsidRPr="00476DF1">
        <w:rPr>
          <w:rFonts w:ascii="Times New Roman" w:hAnsi="Times New Roman"/>
          <w:sz w:val="24"/>
          <w:szCs w:val="24"/>
        </w:rPr>
        <w:t>, we indicate</w:t>
      </w:r>
      <w:r w:rsidR="008D55B4" w:rsidRPr="00476DF1">
        <w:rPr>
          <w:rFonts w:ascii="Times New Roman" w:hAnsi="Times New Roman"/>
          <w:sz w:val="24"/>
          <w:szCs w:val="24"/>
        </w:rPr>
        <w:t xml:space="preserve"> the number</w:t>
      </w:r>
      <w:r w:rsidR="007310C6" w:rsidRPr="00476DF1">
        <w:rPr>
          <w:rFonts w:ascii="Times New Roman" w:hAnsi="Times New Roman"/>
          <w:sz w:val="24"/>
          <w:szCs w:val="24"/>
        </w:rPr>
        <w:t>s</w:t>
      </w:r>
      <w:r w:rsidR="008D55B4" w:rsidRPr="00476DF1">
        <w:rPr>
          <w:rFonts w:ascii="Times New Roman" w:hAnsi="Times New Roman"/>
          <w:sz w:val="24"/>
          <w:szCs w:val="24"/>
        </w:rPr>
        <w:t xml:space="preserve"> of patents granted in the year </w:t>
      </w:r>
      <w:r w:rsidR="00405355" w:rsidRPr="00476DF1">
        <w:rPr>
          <w:rFonts w:ascii="Times New Roman" w:hAnsi="Times New Roman"/>
          <w:sz w:val="24"/>
          <w:szCs w:val="24"/>
        </w:rPr>
        <w:t xml:space="preserve">that were </w:t>
      </w:r>
      <w:r w:rsidR="008D55B4" w:rsidRPr="00476DF1">
        <w:rPr>
          <w:rFonts w:ascii="Times New Roman" w:hAnsi="Times New Roman"/>
          <w:sz w:val="24"/>
          <w:szCs w:val="24"/>
        </w:rPr>
        <w:t>cited by the large enterprise</w:t>
      </w:r>
      <w:r w:rsidR="00B91888" w:rsidRPr="00476DF1">
        <w:rPr>
          <w:rFonts w:ascii="Times New Roman" w:hAnsi="Times New Roman"/>
          <w:sz w:val="24"/>
          <w:szCs w:val="24"/>
        </w:rPr>
        <w:t>;</w:t>
      </w:r>
      <w:r w:rsidR="008D55B4" w:rsidRPr="00476DF1">
        <w:rPr>
          <w:rFonts w:ascii="Times New Roman" w:hAnsi="Times New Roman"/>
          <w:sz w:val="24"/>
          <w:szCs w:val="24"/>
        </w:rPr>
        <w:t xml:space="preserve"> for example</w:t>
      </w:r>
      <w:r w:rsidR="00B91888" w:rsidRPr="00476DF1">
        <w:rPr>
          <w:rFonts w:ascii="Times New Roman" w:hAnsi="Times New Roman"/>
          <w:sz w:val="24"/>
          <w:szCs w:val="24"/>
        </w:rPr>
        <w:t>,</w:t>
      </w:r>
      <w:r w:rsidR="00405355" w:rsidRPr="00476DF1">
        <w:rPr>
          <w:rFonts w:ascii="Times New Roman" w:hAnsi="Times New Roman"/>
          <w:sz w:val="24"/>
          <w:szCs w:val="24"/>
        </w:rPr>
        <w:t xml:space="preserve"> in </w:t>
      </w:r>
      <w:r w:rsidR="008D55B4" w:rsidRPr="00476DF1">
        <w:rPr>
          <w:rFonts w:ascii="Times New Roman" w:hAnsi="Times New Roman"/>
          <w:sz w:val="24"/>
          <w:szCs w:val="24"/>
        </w:rPr>
        <w:t>1997</w:t>
      </w:r>
      <w:r w:rsidR="00B91888" w:rsidRPr="00476DF1">
        <w:rPr>
          <w:rFonts w:ascii="Times New Roman" w:hAnsi="Times New Roman"/>
          <w:sz w:val="24"/>
          <w:szCs w:val="24"/>
        </w:rPr>
        <w:t>,</w:t>
      </w:r>
      <w:r w:rsidR="008D55B4" w:rsidRPr="00476DF1">
        <w:rPr>
          <w:rFonts w:ascii="Times New Roman" w:hAnsi="Times New Roman"/>
          <w:sz w:val="24"/>
          <w:szCs w:val="24"/>
        </w:rPr>
        <w:t xml:space="preserve"> </w:t>
      </w:r>
      <w:r w:rsidR="00405355" w:rsidRPr="00476DF1">
        <w:rPr>
          <w:rFonts w:ascii="Times New Roman" w:hAnsi="Times New Roman"/>
          <w:sz w:val="24"/>
          <w:szCs w:val="24"/>
        </w:rPr>
        <w:t>the large enterprises cited 4 patents of their acquired ente</w:t>
      </w:r>
      <w:r w:rsidR="0054103B" w:rsidRPr="00476DF1">
        <w:rPr>
          <w:rFonts w:ascii="Times New Roman" w:hAnsi="Times New Roman"/>
          <w:sz w:val="24"/>
          <w:szCs w:val="24"/>
        </w:rPr>
        <w:t>r</w:t>
      </w:r>
      <w:r w:rsidR="00405355" w:rsidRPr="00476DF1">
        <w:rPr>
          <w:rFonts w:ascii="Times New Roman" w:hAnsi="Times New Roman"/>
          <w:sz w:val="24"/>
          <w:szCs w:val="24"/>
        </w:rPr>
        <w:t>prises</w:t>
      </w:r>
      <w:r w:rsidR="008D55B4" w:rsidRPr="00476DF1">
        <w:rPr>
          <w:rFonts w:ascii="Times New Roman" w:hAnsi="Times New Roman"/>
          <w:sz w:val="24"/>
          <w:szCs w:val="24"/>
        </w:rPr>
        <w:t>.</w:t>
      </w:r>
    </w:p>
    <w:p w14:paraId="0ACAE9C9" w14:textId="77777777" w:rsidR="001A775D" w:rsidRPr="00476DF1" w:rsidRDefault="001A775D" w:rsidP="001A775D">
      <w:pPr>
        <w:spacing w:after="0" w:line="240" w:lineRule="auto"/>
        <w:ind w:firstLine="720"/>
        <w:jc w:val="both"/>
        <w:rPr>
          <w:rFonts w:ascii="Times New Roman" w:hAnsi="Times New Roman"/>
          <w:sz w:val="24"/>
          <w:szCs w:val="24"/>
        </w:rPr>
      </w:pPr>
      <w:r w:rsidRPr="00476DF1">
        <w:rPr>
          <w:rFonts w:ascii="Times New Roman" w:hAnsi="Times New Roman"/>
          <w:sz w:val="24"/>
          <w:szCs w:val="24"/>
        </w:rPr>
        <w:t>All of the Big Pharma firms in the sample cited 196 patents from the small acquired enterprises. To provide a better comprehension of the patents’ potential, we divide the 196 patents into tiers according to their total citations. The first tier includes patents with 0% - 25% of its total citations, the second tier includes patents with 25% - 50% of its total citations, the third tier includes patents with 50% - 75% of its total citations, and the last tier includes patents with 75% - 100% of its total citations. In other words, the patents in the first and second tiers are the ones with greater potential, and the patents in the last tier have a lower potential. Most patents (187) had from 25% to 75% of the possible citations.</w:t>
      </w:r>
    </w:p>
    <w:p w14:paraId="25776F1B" w14:textId="77777777" w:rsidR="001A775D" w:rsidRPr="00476DF1" w:rsidRDefault="001A775D" w:rsidP="001A775D">
      <w:pPr>
        <w:spacing w:after="0" w:line="240" w:lineRule="auto"/>
        <w:ind w:firstLine="720"/>
        <w:jc w:val="both"/>
        <w:rPr>
          <w:rFonts w:ascii="Times New Roman" w:hAnsi="Times New Roman"/>
          <w:sz w:val="24"/>
          <w:szCs w:val="24"/>
        </w:rPr>
      </w:pPr>
      <w:r w:rsidRPr="00476DF1">
        <w:rPr>
          <w:rFonts w:ascii="Times New Roman" w:hAnsi="Times New Roman"/>
          <w:sz w:val="24"/>
          <w:szCs w:val="24"/>
        </w:rPr>
        <w:t>We can better examine the potential of the patents dividing the patents into more tiers, from 25%-40%, 40%-55%, and 55-75% as a share of their total citations. In summary, 57 patents had between 25% to 40% of total citations; 76 patents had from 40% to 55% of all possible citations, and 59 patents had between 55% and 75% of all possible citations. The citation lag data shows that the patents held by the large enterprises still have a good potential to generate new patents. This fact explains why Table 1 shows low patent productivity; that is, a small number of patents created by the small enterprises’ patents. However, the patents still have citation potential, and can thus yield value for the large enterprise (HALL; JAFFE; TRAJTENBERG, 2005)</w:t>
      </w:r>
    </w:p>
    <w:p w14:paraId="71EE234A" w14:textId="77777777" w:rsidR="001A775D" w:rsidRPr="00476DF1" w:rsidRDefault="001A775D" w:rsidP="001A775D">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The direct contribution shown above can indicate the potential and specificities of patents. To broaden the analysis and consider technological capabilities, we also propose a method to observe the indirect contribution. This analysis adds an evolutionary character as the process of constructing new competences is observed over time. As a reminder, this study deals with patents in classes 435 and 800. </w:t>
      </w:r>
    </w:p>
    <w:p w14:paraId="57CCCED5" w14:textId="77777777" w:rsidR="001A775D" w:rsidRPr="00476DF1" w:rsidRDefault="001A775D" w:rsidP="001A775D">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The indirect technical contribution has some potential, because fulfilling it depends on the ability of the large enterprises to develop the same competences held by the small enterprise. For instance, the acquired small enterprise may have patents in several classes that the patents of the large enterprise do not cover. However, this means that the Big Pharma firms will only develop in these classes by creating related patents if it chooses to do so. </w:t>
      </w:r>
    </w:p>
    <w:p w14:paraId="260FE41C" w14:textId="4AAED9F1" w:rsidR="001A775D" w:rsidRPr="00476DF1" w:rsidRDefault="001A775D" w:rsidP="00A23232">
      <w:pPr>
        <w:spacing w:after="0" w:line="240" w:lineRule="auto"/>
        <w:jc w:val="both"/>
        <w:rPr>
          <w:rFonts w:ascii="Times New Roman" w:hAnsi="Times New Roman"/>
          <w:sz w:val="24"/>
          <w:szCs w:val="24"/>
        </w:rPr>
      </w:pPr>
    </w:p>
    <w:p w14:paraId="30EBCF3D" w14:textId="77777777" w:rsidR="001A775D" w:rsidRPr="00476DF1" w:rsidRDefault="001A775D" w:rsidP="00CE4BBE">
      <w:pPr>
        <w:spacing w:after="0" w:line="240" w:lineRule="auto"/>
        <w:ind w:firstLine="720"/>
        <w:jc w:val="both"/>
        <w:rPr>
          <w:rFonts w:ascii="Times New Roman" w:hAnsi="Times New Roman"/>
          <w:sz w:val="24"/>
          <w:szCs w:val="24"/>
        </w:rPr>
      </w:pPr>
    </w:p>
    <w:p w14:paraId="0B6C9F83" w14:textId="77777777" w:rsidR="00100A80" w:rsidRPr="00476DF1" w:rsidRDefault="00100A80" w:rsidP="00CE4BBE">
      <w:pPr>
        <w:spacing w:after="0" w:line="240" w:lineRule="auto"/>
        <w:rPr>
          <w:rFonts w:ascii="Times New Roman" w:hAnsi="Times New Roman"/>
          <w:sz w:val="24"/>
          <w:szCs w:val="24"/>
        </w:rPr>
      </w:pPr>
    </w:p>
    <w:p w14:paraId="613011C5" w14:textId="77777777" w:rsidR="00100A80" w:rsidRPr="00476DF1" w:rsidRDefault="00100A80" w:rsidP="00CE4BBE">
      <w:pPr>
        <w:spacing w:after="0" w:line="240" w:lineRule="auto"/>
        <w:rPr>
          <w:rFonts w:ascii="Times New Roman" w:hAnsi="Times New Roman"/>
          <w:sz w:val="24"/>
          <w:szCs w:val="24"/>
        </w:rPr>
        <w:sectPr w:rsidR="00100A80" w:rsidRPr="00476DF1" w:rsidSect="00CE4BBE">
          <w:pgSz w:w="12240" w:h="15840"/>
          <w:pgMar w:top="1134" w:right="851" w:bottom="1134" w:left="851" w:header="170" w:footer="709" w:gutter="0"/>
          <w:cols w:space="708"/>
          <w:docGrid w:linePitch="360"/>
        </w:sectPr>
      </w:pPr>
    </w:p>
    <w:p w14:paraId="37CC1453" w14:textId="05339F99" w:rsidR="001E63F1" w:rsidRPr="00476DF1" w:rsidRDefault="001E63F1" w:rsidP="00CE4BBE">
      <w:pPr>
        <w:spacing w:after="0" w:line="240" w:lineRule="auto"/>
        <w:ind w:firstLine="720"/>
        <w:jc w:val="both"/>
        <w:rPr>
          <w:rFonts w:ascii="Times New Roman" w:hAnsi="Times New Roman"/>
          <w:b/>
          <w:sz w:val="24"/>
          <w:szCs w:val="24"/>
        </w:rPr>
      </w:pPr>
      <w:r w:rsidRPr="00476DF1">
        <w:rPr>
          <w:rFonts w:ascii="Times New Roman" w:hAnsi="Times New Roman"/>
          <w:b/>
          <w:sz w:val="24"/>
          <w:szCs w:val="24"/>
        </w:rPr>
        <w:lastRenderedPageBreak/>
        <w:t xml:space="preserve">Figure </w:t>
      </w:r>
      <w:r w:rsidR="009D7A0F" w:rsidRPr="00476DF1">
        <w:rPr>
          <w:rFonts w:ascii="Times New Roman" w:hAnsi="Times New Roman"/>
          <w:b/>
          <w:sz w:val="24"/>
          <w:szCs w:val="24"/>
        </w:rPr>
        <w:t>1</w:t>
      </w:r>
      <w:r w:rsidRPr="00476DF1">
        <w:rPr>
          <w:rFonts w:ascii="Times New Roman" w:hAnsi="Times New Roman"/>
          <w:b/>
          <w:sz w:val="24"/>
          <w:szCs w:val="24"/>
        </w:rPr>
        <w:t>: Direct Contribution and Citation Lags</w:t>
      </w:r>
    </w:p>
    <w:p w14:paraId="0A1CA86D" w14:textId="77777777" w:rsidR="001E63F1" w:rsidRPr="00476DF1" w:rsidRDefault="001E63F1" w:rsidP="00CE4BBE">
      <w:pPr>
        <w:spacing w:after="0" w:line="240" w:lineRule="auto"/>
        <w:ind w:firstLine="720"/>
        <w:jc w:val="both"/>
        <w:rPr>
          <w:noProof/>
        </w:rPr>
      </w:pPr>
    </w:p>
    <w:p w14:paraId="4AAAA842" w14:textId="3F3854AB" w:rsidR="00100A80" w:rsidRPr="00476DF1" w:rsidRDefault="00100A80" w:rsidP="00CE4BBE">
      <w:pPr>
        <w:spacing w:after="0" w:line="240" w:lineRule="auto"/>
        <w:ind w:firstLine="720"/>
        <w:jc w:val="both"/>
        <w:rPr>
          <w:rFonts w:ascii="Times New Roman" w:hAnsi="Times New Roman"/>
          <w:b/>
          <w:sz w:val="24"/>
          <w:szCs w:val="24"/>
        </w:rPr>
      </w:pPr>
      <w:r w:rsidRPr="00476DF1">
        <w:rPr>
          <w:noProof/>
        </w:rPr>
        <w:drawing>
          <wp:inline distT="0" distB="0" distL="0" distR="0" wp14:anchorId="138F2B5D" wp14:editId="1C27C704">
            <wp:extent cx="8364535" cy="5472752"/>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72339" cy="5477858"/>
                    </a:xfrm>
                    <a:prstGeom prst="rect">
                      <a:avLst/>
                    </a:prstGeom>
                    <a:noFill/>
                    <a:ln>
                      <a:noFill/>
                    </a:ln>
                  </pic:spPr>
                </pic:pic>
              </a:graphicData>
            </a:graphic>
          </wp:inline>
        </w:drawing>
      </w:r>
    </w:p>
    <w:p w14:paraId="1E3FA153" w14:textId="1B412008" w:rsidR="001E63F1" w:rsidRPr="00476DF1" w:rsidRDefault="001E63F1" w:rsidP="00CE4BBE">
      <w:pPr>
        <w:spacing w:after="0" w:line="240" w:lineRule="auto"/>
        <w:ind w:firstLine="720"/>
        <w:jc w:val="both"/>
        <w:rPr>
          <w:rFonts w:ascii="Times New Roman" w:hAnsi="Times New Roman"/>
          <w:b/>
          <w:sz w:val="24"/>
          <w:szCs w:val="24"/>
        </w:rPr>
      </w:pPr>
      <w:r w:rsidRPr="00476DF1">
        <w:rPr>
          <w:rFonts w:ascii="Times New Roman" w:hAnsi="Times New Roman"/>
          <w:b/>
          <w:sz w:val="16"/>
          <w:szCs w:val="16"/>
        </w:rPr>
        <w:t>Source: Own Elaboration</w:t>
      </w:r>
    </w:p>
    <w:p w14:paraId="48202095" w14:textId="77777777" w:rsidR="00100A80" w:rsidRPr="00476DF1" w:rsidRDefault="00100A80" w:rsidP="00CE4BBE">
      <w:pPr>
        <w:spacing w:after="0" w:line="240" w:lineRule="auto"/>
        <w:ind w:firstLine="720"/>
        <w:jc w:val="both"/>
        <w:rPr>
          <w:rFonts w:ascii="Times New Roman" w:hAnsi="Times New Roman"/>
          <w:b/>
          <w:sz w:val="24"/>
          <w:szCs w:val="24"/>
        </w:rPr>
        <w:sectPr w:rsidR="00100A80" w:rsidRPr="00476DF1" w:rsidSect="00CE4BBE">
          <w:pgSz w:w="15840" w:h="12240" w:orient="landscape"/>
          <w:pgMar w:top="1134" w:right="851" w:bottom="1134" w:left="851" w:header="170" w:footer="709" w:gutter="0"/>
          <w:cols w:space="708"/>
          <w:docGrid w:linePitch="360"/>
        </w:sectPr>
      </w:pPr>
    </w:p>
    <w:p w14:paraId="689BE32A" w14:textId="4853678C" w:rsidR="00D0717C" w:rsidRPr="00476DF1" w:rsidRDefault="00D0717C"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lastRenderedPageBreak/>
        <w:t xml:space="preserve">Another important aspect is to consider that </w:t>
      </w:r>
      <w:r w:rsidR="00726537" w:rsidRPr="00476DF1">
        <w:rPr>
          <w:rFonts w:ascii="Times New Roman" w:hAnsi="Times New Roman"/>
          <w:sz w:val="24"/>
          <w:szCs w:val="24"/>
        </w:rPr>
        <w:t>Big Pharma</w:t>
      </w:r>
      <w:r w:rsidRPr="00476DF1">
        <w:rPr>
          <w:rFonts w:ascii="Times New Roman" w:hAnsi="Times New Roman"/>
          <w:sz w:val="24"/>
          <w:szCs w:val="24"/>
        </w:rPr>
        <w:t xml:space="preserve"> </w:t>
      </w:r>
      <w:r w:rsidR="00C01A84" w:rsidRPr="00476DF1">
        <w:rPr>
          <w:rFonts w:ascii="Times New Roman" w:hAnsi="Times New Roman"/>
          <w:sz w:val="24"/>
          <w:szCs w:val="24"/>
        </w:rPr>
        <w:t xml:space="preserve">firms </w:t>
      </w:r>
      <w:r w:rsidRPr="00476DF1">
        <w:rPr>
          <w:rFonts w:ascii="Times New Roman" w:hAnsi="Times New Roman"/>
          <w:sz w:val="24"/>
          <w:szCs w:val="24"/>
        </w:rPr>
        <w:t>use the small acquired ent</w:t>
      </w:r>
      <w:r w:rsidR="00A7749C" w:rsidRPr="00476DF1">
        <w:rPr>
          <w:rFonts w:ascii="Times New Roman" w:hAnsi="Times New Roman"/>
          <w:sz w:val="24"/>
          <w:szCs w:val="24"/>
        </w:rPr>
        <w:t>erp</w:t>
      </w:r>
      <w:r w:rsidRPr="00476DF1">
        <w:rPr>
          <w:rFonts w:ascii="Times New Roman" w:hAnsi="Times New Roman"/>
          <w:sz w:val="24"/>
          <w:szCs w:val="24"/>
        </w:rPr>
        <w:t xml:space="preserve">rises to </w:t>
      </w:r>
      <w:r w:rsidR="000B0229" w:rsidRPr="00476DF1">
        <w:rPr>
          <w:rFonts w:ascii="Times New Roman" w:hAnsi="Times New Roman"/>
          <w:sz w:val="24"/>
          <w:szCs w:val="24"/>
        </w:rPr>
        <w:t xml:space="preserve">further develop patent classes </w:t>
      </w:r>
      <w:r w:rsidR="00C01A84" w:rsidRPr="00476DF1">
        <w:rPr>
          <w:rFonts w:ascii="Times New Roman" w:hAnsi="Times New Roman"/>
          <w:sz w:val="24"/>
          <w:szCs w:val="24"/>
        </w:rPr>
        <w:t>that the firm began to develop</w:t>
      </w:r>
      <w:r w:rsidR="00A7749C" w:rsidRPr="00476DF1">
        <w:rPr>
          <w:rFonts w:ascii="Times New Roman" w:hAnsi="Times New Roman"/>
          <w:sz w:val="24"/>
          <w:szCs w:val="24"/>
        </w:rPr>
        <w:t xml:space="preserve"> </w:t>
      </w:r>
      <w:r w:rsidR="000B0229" w:rsidRPr="00476DF1">
        <w:rPr>
          <w:rFonts w:ascii="Times New Roman" w:hAnsi="Times New Roman"/>
          <w:sz w:val="24"/>
          <w:szCs w:val="24"/>
        </w:rPr>
        <w:t xml:space="preserve">some time </w:t>
      </w:r>
      <w:r w:rsidR="00C01A84" w:rsidRPr="00476DF1">
        <w:rPr>
          <w:rFonts w:ascii="Times New Roman" w:hAnsi="Times New Roman"/>
          <w:sz w:val="24"/>
          <w:szCs w:val="24"/>
        </w:rPr>
        <w:t>prior</w:t>
      </w:r>
      <w:r w:rsidR="000B0229" w:rsidRPr="00476DF1">
        <w:rPr>
          <w:rFonts w:ascii="Times New Roman" w:hAnsi="Times New Roman"/>
          <w:sz w:val="24"/>
          <w:szCs w:val="24"/>
        </w:rPr>
        <w:t>.</w:t>
      </w:r>
      <w:r w:rsidR="00A7749C" w:rsidRPr="00476DF1">
        <w:rPr>
          <w:rFonts w:ascii="Times New Roman" w:hAnsi="Times New Roman"/>
          <w:sz w:val="24"/>
          <w:szCs w:val="24"/>
        </w:rPr>
        <w:t xml:space="preserve"> This aspect is highly related to the proces</w:t>
      </w:r>
      <w:r w:rsidR="00D21A30" w:rsidRPr="00476DF1">
        <w:rPr>
          <w:rFonts w:ascii="Times New Roman" w:hAnsi="Times New Roman"/>
          <w:sz w:val="24"/>
          <w:szCs w:val="24"/>
        </w:rPr>
        <w:t xml:space="preserve">s of biotechnologies diffusion </w:t>
      </w:r>
      <w:r w:rsidR="00D21A30" w:rsidRPr="00476DF1">
        <w:rPr>
          <w:rFonts w:ascii="Times New Roman" w:hAnsi="Times New Roman"/>
          <w:sz w:val="24"/>
          <w:szCs w:val="24"/>
        </w:rPr>
        <w:fldChar w:fldCharType="begin" w:fldLock="1"/>
      </w:r>
      <w:r w:rsidR="00A50D45" w:rsidRPr="00476DF1">
        <w:rPr>
          <w:rFonts w:ascii="Times New Roman" w:hAnsi="Times New Roman"/>
          <w:sz w:val="24"/>
          <w:szCs w:val="24"/>
        </w:rPr>
        <w:instrText>ADDIN CSL_CITATION { "citationItems" : [ { "id" : "ITEM-1", "itemData" : { "DOI" : "10.1016/j.respol.2007.02.013", "ISBN" : "0048-7333", "ISSN" : "00487333", "abstract" : "This paper argues that despite being widely promoted by academics and consultants, the empirical evidence does not support the existence of a biotech revolution. Nor does the data support the widely held expectations that biotechnology is having a revolutionary impact on healthcare or economic development. The revolutionary model is therefore a misleading basis for policy making as it over-estimates the speed and extent of any changes in productivity or the quality of therapeutics. Instead, the evidence suggests biotechnology is following a well-established incremental pattern of technological change and 'creative accumulation' that builds upon, rather than disrupts, previous drug development heuristics. ?? 2007 Elsevier B.V. All rights reserved.", "author" : [ { "dropping-particle" : "", "family" : "Hopkins", "given" : "Michael M.", "non-dropping-particle" : "", "parse-names" : false, "suffix" : "" }, { "dropping-particle" : "", "family" : "Martin", "given" : "Paul A.", "non-dropping-particle" : "", "parse-names" : false, "suffix" : "" }, { "dropping-particle" : "", "family" : "Nightingale", "given" : "Paul", "non-dropping-particle" : "", "parse-names" : false, "suffix" : "" }, { "dropping-particle" : "", "family" : "Kraft", "given" : "Alison", "non-dropping-particle" : "", "parse-names" : false, "suffix" : "" }, { "dropping-particle" : "", "family" : "Mahdi", "given" : "Surya", "non-dropping-particle" : "", "parse-names" : false, "suffix" : "" } ], "container-title" : "Research Policy", "id" : "ITEM-1", "issue" : "4", "issued" : { "date-parts" : [ [ "2007" ] ] }, "page" : "566-589", "title" : "The myth of the biotech revolution: An assessment of technological, clinical and organisational change", "type" : "article-journal", "volume" : "36" }, "uris" : [ "http://www.mendeley.com/documents/?uuid=457ef10f-c644-4d2a-bd4f-a9e74132ca59" ] }, { "id" : "ITEM-2", "itemData" : { "DOI" : "10.1093/icc/dtt022", "ISBN" : "0960-6491", "ISSN" : "09606491", "abstract" : "This article explores how the UK\u2019s biotech firms have evolved in response to their financial environment. As investors\u2019 expectations about the potential of biotech have changed, funding options have opened up and closed down, leading firms to develop new business models and routes of technology development. After a fa- vorable period, new constraints on stock market funding have forced UK biotech firms to compress their life cycles, constraining their ability to generate the late- stage drug candidates sought by large pharmaceutical firms. These changes are analyzed within a neo-Chandlerian framework in the context of a selection envir- onment where rather than firms of varying inefficiencies being selected by an efficient market, we find entrepreneurs submitting themselves to an inefficient investment-selection process at the intersection of industries attempting to achieve their own scale economies. The article highlights the importance of the scale of investment at the firm and industry level, and suggests that decline in the size of the industry can have adverse consequences for investment and firm per- formance in this setting. JEL", "author" : [ { "dropping-particle" : "", "family" : "Hopkins", "given" : "Michael M.", "non-dropping-particle" : "", "parse-names" : false, "suffix" : "" }, { "dropping-particle" : "", "family" : "Crane", "given" : "Philippa A.", "non-dropping-particle" : "", "parse-names" : false, "suffix" : "" }, { "dropping-particle" : "", "family" : "Nightingaley", "given" : "Paul", "non-dropping-particle" : "", "parse-names" : false, "suffix" : "" }, { "dropping-particle" : "", "family" : "Baden-Fullerz", "given" : "Charles", "non-dropping-particle" : "", "parse-names" : false, "suffix" : "" } ], "container-title" : "Industrial and Corporate Change", "id" : "ITEM-2", "issue" : "4", "issued" : { "date-parts" : [ [ "2013" ] ] }, "page" : "903-952", "title" : "Buying big into biotech: Scale, financing, and the industrial dynamics of UK biotech, 1980-2009", "type" : "article-journal", "volume" : "22" }, "uris" : [ "http://www.mendeley.com/documents/?uuid=3b6ad570-484c-4e2c-b10b-9ffb3d642972" ] }, { "id" : "ITEM-3", "itemData" : { "DOI" : "10.1016/j.tibtech.2004.09.010", "ISBN" : "0167-7799 (Linking)", "ISSN" : "01677799", "PMID" : "15491800", "abstract" : "The existence of a medicinal 'biotech revolution' has been widely accepted and promoted by academics, consultants, industry and government. This has generated expectations about significant improvements in the drug discovery process, healthcare and economic development that influence a considerable amount of policy-making. Here we present empirical evidence, from a variety of indicators, that shows that a range of outputs have failed to keep pace with increased research and development spending. Rather than producing revolutionary changes, medicinal biotechnology is following a well-established pattern of slow and incremental technology diffusion. Consequently, many expectations are wildly optimistic and over-estimate the speed and extent of the impact of biotechnology, suggesting that the assumptions underpinning much contemporary policymaking need to be rethought.", "author" : [ { "dropping-particle" : "", "family" : "Nightingale", "given" : "Paul", "non-dropping-particle" : "", "parse-names" : false, "suffix" : "" }, { "dropping-particle" : "", "family" : "Martin", "given" : "Paul", "non-dropping-particle" : "", "parse-names" : false, "suffix" : "" } ], "container-title" : "Trends in Biotechnology", "id" : "ITEM-3", "issue" : "11", "issued" : { "date-parts" : [ [ "2004" ] ] }, "page" : "564-569", "title" : "The myth of the biotech revolution", "type" : "article-journal", "volume" : "22" }, "uris" : [ "http://www.mendeley.com/documents/?uuid=44f316a6-d101-4a2a-9423-10cf2d800bc2" ] }, { "id" : "ITEM-4", "itemData" : { "author" : [ { "dropping-particle" : "", "family" : "Sharp", "given" : "Margaret", "non-dropping-particle" : "", "parse-names" : false, "suffix" : "" } ], "id" : "ITEM-4", "issue" : "28", "issued" : { "date-parts" : [ [ "1996" ] ] }, "title" : "STEEP Discussion Paper No 28 The Science of Nations : European Multinationals and American Biotechnology", "type" : "article-journal", "volume" : "44" }, "uris" : [ "http://www.mendeley.com/documents/?uuid=133b49b0-020f-41d1-a85d-e955baa2e494" ] } ], "mendeley" : { "formattedCitation" : "(HOPKINS et al., 2007, 2013; NIGHTINGALE; MARTIN, 2004; SHARP, 1996)", "manualFormatting" : "(HOPKINS et al., 2007, 2013)", "plainTextFormattedCitation" : "(HOPKINS et al., 2007, 2013; NIGHTINGALE; MARTIN, 2004; SHARP, 1996)", "previouslyFormattedCitation" : "(HOPKINS et al., 2007, 2013; NIGHTINGALE; MARTIN, 2004; SHARP, 1996)" }, "properties" : {  }, "schema" : "https://github.com/citation-style-language/schema/raw/master/csl-citation.json" }</w:instrText>
      </w:r>
      <w:r w:rsidR="00D21A30" w:rsidRPr="00476DF1">
        <w:rPr>
          <w:rFonts w:ascii="Times New Roman" w:hAnsi="Times New Roman"/>
          <w:sz w:val="24"/>
          <w:szCs w:val="24"/>
        </w:rPr>
        <w:fldChar w:fldCharType="separate"/>
      </w:r>
      <w:r w:rsidR="00D21A30" w:rsidRPr="00476DF1">
        <w:rPr>
          <w:rFonts w:ascii="Times New Roman" w:hAnsi="Times New Roman"/>
          <w:noProof/>
          <w:sz w:val="24"/>
          <w:szCs w:val="24"/>
        </w:rPr>
        <w:t>(HOPKINS et al., 2007, 2013</w:t>
      </w:r>
      <w:r w:rsidR="00A50D45" w:rsidRPr="00476DF1">
        <w:rPr>
          <w:rFonts w:ascii="Times New Roman" w:hAnsi="Times New Roman"/>
          <w:noProof/>
          <w:sz w:val="24"/>
          <w:szCs w:val="24"/>
        </w:rPr>
        <w:t>)</w:t>
      </w:r>
      <w:r w:rsidR="00D21A30" w:rsidRPr="00476DF1">
        <w:rPr>
          <w:rFonts w:ascii="Times New Roman" w:hAnsi="Times New Roman"/>
          <w:sz w:val="24"/>
          <w:szCs w:val="24"/>
        </w:rPr>
        <w:fldChar w:fldCharType="end"/>
      </w:r>
      <w:r w:rsidR="00A50D45" w:rsidRPr="00476DF1">
        <w:rPr>
          <w:rFonts w:ascii="Times New Roman" w:hAnsi="Times New Roman"/>
          <w:sz w:val="24"/>
          <w:szCs w:val="24"/>
        </w:rPr>
        <w:t xml:space="preserve"> </w:t>
      </w:r>
    </w:p>
    <w:p w14:paraId="3F66A0E5" w14:textId="14C88819" w:rsidR="000B0229" w:rsidRPr="00476DF1" w:rsidRDefault="000B0229"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The process of further developing</w:t>
      </w:r>
      <w:r w:rsidR="00523D62" w:rsidRPr="00476DF1">
        <w:rPr>
          <w:rFonts w:ascii="Times New Roman" w:hAnsi="Times New Roman"/>
          <w:sz w:val="24"/>
          <w:szCs w:val="24"/>
        </w:rPr>
        <w:t xml:space="preserve"> patent classes is a process of creating </w:t>
      </w:r>
      <w:r w:rsidR="00D21A30" w:rsidRPr="00476DF1">
        <w:rPr>
          <w:rFonts w:ascii="Times New Roman" w:hAnsi="Times New Roman"/>
          <w:sz w:val="24"/>
          <w:szCs w:val="24"/>
        </w:rPr>
        <w:t>absorptive</w:t>
      </w:r>
      <w:r w:rsidRPr="00476DF1">
        <w:rPr>
          <w:rFonts w:ascii="Times New Roman" w:hAnsi="Times New Roman"/>
          <w:sz w:val="24"/>
          <w:szCs w:val="24"/>
        </w:rPr>
        <w:t xml:space="preserve"> capa</w:t>
      </w:r>
      <w:r w:rsidR="00523D62" w:rsidRPr="00476DF1">
        <w:rPr>
          <w:rFonts w:ascii="Times New Roman" w:hAnsi="Times New Roman"/>
          <w:sz w:val="24"/>
          <w:szCs w:val="24"/>
        </w:rPr>
        <w:t>bilities</w:t>
      </w:r>
      <w:r w:rsidR="00167A77" w:rsidRPr="00476DF1">
        <w:rPr>
          <w:rFonts w:ascii="Times New Roman" w:hAnsi="Times New Roman"/>
          <w:sz w:val="24"/>
          <w:szCs w:val="24"/>
        </w:rPr>
        <w:t>, and by so doing,</w:t>
      </w:r>
      <w:r w:rsidR="00523D62" w:rsidRPr="00476DF1">
        <w:rPr>
          <w:rFonts w:ascii="Times New Roman" w:hAnsi="Times New Roman"/>
          <w:sz w:val="24"/>
          <w:szCs w:val="24"/>
        </w:rPr>
        <w:t xml:space="preserve"> </w:t>
      </w:r>
      <w:r w:rsidRPr="00476DF1">
        <w:rPr>
          <w:rFonts w:ascii="Times New Roman" w:hAnsi="Times New Roman"/>
          <w:sz w:val="24"/>
          <w:szCs w:val="24"/>
        </w:rPr>
        <w:t>th</w:t>
      </w:r>
      <w:r w:rsidR="00523D62" w:rsidRPr="00476DF1">
        <w:rPr>
          <w:rFonts w:ascii="Times New Roman" w:hAnsi="Times New Roman"/>
          <w:sz w:val="24"/>
          <w:szCs w:val="24"/>
        </w:rPr>
        <w:t>e</w:t>
      </w:r>
      <w:r w:rsidR="00D21A30" w:rsidRPr="00476DF1">
        <w:rPr>
          <w:rFonts w:ascii="Times New Roman" w:hAnsi="Times New Roman"/>
          <w:sz w:val="24"/>
          <w:szCs w:val="24"/>
        </w:rPr>
        <w:t xml:space="preserve"> </w:t>
      </w:r>
      <w:r w:rsidR="00726537" w:rsidRPr="00476DF1">
        <w:rPr>
          <w:rFonts w:ascii="Times New Roman" w:hAnsi="Times New Roman"/>
          <w:sz w:val="24"/>
          <w:szCs w:val="24"/>
        </w:rPr>
        <w:t>Big Pharma</w:t>
      </w:r>
      <w:r w:rsidRPr="00476DF1">
        <w:rPr>
          <w:rFonts w:ascii="Times New Roman" w:hAnsi="Times New Roman"/>
          <w:sz w:val="24"/>
          <w:szCs w:val="24"/>
        </w:rPr>
        <w:t xml:space="preserve"> </w:t>
      </w:r>
      <w:r w:rsidR="00167A77" w:rsidRPr="00476DF1">
        <w:rPr>
          <w:rFonts w:ascii="Times New Roman" w:hAnsi="Times New Roman"/>
          <w:sz w:val="24"/>
          <w:szCs w:val="24"/>
        </w:rPr>
        <w:t xml:space="preserve">firms </w:t>
      </w:r>
      <w:r w:rsidR="00D21A30" w:rsidRPr="00476DF1">
        <w:rPr>
          <w:rFonts w:ascii="Times New Roman" w:hAnsi="Times New Roman"/>
          <w:sz w:val="24"/>
          <w:szCs w:val="24"/>
        </w:rPr>
        <w:t xml:space="preserve">become aware of </w:t>
      </w:r>
      <w:r w:rsidR="00270DB5" w:rsidRPr="00476DF1">
        <w:rPr>
          <w:rFonts w:ascii="Times New Roman" w:hAnsi="Times New Roman"/>
          <w:sz w:val="24"/>
          <w:szCs w:val="24"/>
        </w:rPr>
        <w:t>new</w:t>
      </w:r>
      <w:r w:rsidR="00523D62" w:rsidRPr="00476DF1">
        <w:rPr>
          <w:rFonts w:ascii="Times New Roman" w:hAnsi="Times New Roman"/>
          <w:sz w:val="24"/>
          <w:szCs w:val="24"/>
        </w:rPr>
        <w:t xml:space="preserve"> technological</w:t>
      </w:r>
      <w:r w:rsidR="00D21A30" w:rsidRPr="00476DF1">
        <w:rPr>
          <w:rFonts w:ascii="Times New Roman" w:hAnsi="Times New Roman"/>
          <w:sz w:val="24"/>
          <w:szCs w:val="24"/>
        </w:rPr>
        <w:t xml:space="preserve"> </w:t>
      </w:r>
      <w:r w:rsidRPr="00476DF1">
        <w:rPr>
          <w:rFonts w:ascii="Times New Roman" w:hAnsi="Times New Roman"/>
          <w:sz w:val="24"/>
          <w:szCs w:val="24"/>
        </w:rPr>
        <w:t>developments</w:t>
      </w:r>
      <w:r w:rsidR="00523D62" w:rsidRPr="00476DF1">
        <w:rPr>
          <w:rFonts w:ascii="Times New Roman" w:hAnsi="Times New Roman"/>
          <w:sz w:val="24"/>
          <w:szCs w:val="24"/>
        </w:rPr>
        <w:t xml:space="preserve">. </w:t>
      </w:r>
      <w:r w:rsidR="00D21A30" w:rsidRPr="00476DF1">
        <w:rPr>
          <w:rFonts w:ascii="Times New Roman" w:hAnsi="Times New Roman"/>
          <w:sz w:val="24"/>
          <w:szCs w:val="24"/>
        </w:rPr>
        <w:t xml:space="preserve">In addition, </w:t>
      </w:r>
      <w:r w:rsidR="00270DB5" w:rsidRPr="00476DF1">
        <w:rPr>
          <w:rFonts w:ascii="Times New Roman" w:hAnsi="Times New Roman"/>
          <w:sz w:val="24"/>
          <w:szCs w:val="24"/>
        </w:rPr>
        <w:t>t</w:t>
      </w:r>
      <w:r w:rsidR="00523D62" w:rsidRPr="00476DF1">
        <w:rPr>
          <w:rFonts w:ascii="Times New Roman" w:hAnsi="Times New Roman"/>
          <w:sz w:val="24"/>
          <w:szCs w:val="24"/>
        </w:rPr>
        <w:t xml:space="preserve">he increasing understanding about </w:t>
      </w:r>
      <w:r w:rsidR="00167A77" w:rsidRPr="00476DF1">
        <w:rPr>
          <w:rFonts w:ascii="Times New Roman" w:hAnsi="Times New Roman"/>
          <w:sz w:val="24"/>
          <w:szCs w:val="24"/>
        </w:rPr>
        <w:t xml:space="preserve">the </w:t>
      </w:r>
      <w:r w:rsidRPr="00476DF1">
        <w:rPr>
          <w:rFonts w:ascii="Times New Roman" w:hAnsi="Times New Roman"/>
          <w:sz w:val="24"/>
          <w:szCs w:val="24"/>
        </w:rPr>
        <w:t>general principle</w:t>
      </w:r>
      <w:r w:rsidR="00167A77" w:rsidRPr="00476DF1">
        <w:rPr>
          <w:rFonts w:ascii="Times New Roman" w:hAnsi="Times New Roman"/>
          <w:sz w:val="24"/>
          <w:szCs w:val="24"/>
        </w:rPr>
        <w:t>s</w:t>
      </w:r>
      <w:r w:rsidRPr="00476DF1">
        <w:rPr>
          <w:rFonts w:ascii="Times New Roman" w:hAnsi="Times New Roman"/>
          <w:sz w:val="24"/>
          <w:szCs w:val="24"/>
        </w:rPr>
        <w:t xml:space="preserve"> of some technology </w:t>
      </w:r>
      <w:r w:rsidR="00523D62" w:rsidRPr="00476DF1">
        <w:rPr>
          <w:rFonts w:ascii="Times New Roman" w:hAnsi="Times New Roman"/>
          <w:sz w:val="24"/>
          <w:szCs w:val="24"/>
        </w:rPr>
        <w:t xml:space="preserve">allows </w:t>
      </w:r>
      <w:r w:rsidR="00167A77" w:rsidRPr="00476DF1">
        <w:rPr>
          <w:rFonts w:ascii="Times New Roman" w:hAnsi="Times New Roman"/>
          <w:sz w:val="24"/>
          <w:szCs w:val="24"/>
        </w:rPr>
        <w:t>firms to</w:t>
      </w:r>
      <w:r w:rsidR="00523D62" w:rsidRPr="00476DF1">
        <w:rPr>
          <w:rFonts w:ascii="Times New Roman" w:hAnsi="Times New Roman"/>
          <w:sz w:val="24"/>
          <w:szCs w:val="24"/>
        </w:rPr>
        <w:t xml:space="preserve"> choose </w:t>
      </w:r>
      <w:r w:rsidR="00167A77" w:rsidRPr="00476DF1">
        <w:rPr>
          <w:rFonts w:ascii="Times New Roman" w:hAnsi="Times New Roman"/>
          <w:sz w:val="24"/>
          <w:szCs w:val="24"/>
        </w:rPr>
        <w:t xml:space="preserve">more suitable </w:t>
      </w:r>
      <w:r w:rsidR="00523D62" w:rsidRPr="00476DF1">
        <w:rPr>
          <w:rFonts w:ascii="Times New Roman" w:hAnsi="Times New Roman"/>
          <w:sz w:val="24"/>
          <w:szCs w:val="24"/>
        </w:rPr>
        <w:t>techniques for the enterprise</w:t>
      </w:r>
      <w:r w:rsidR="00194A4B" w:rsidRPr="00476DF1">
        <w:rPr>
          <w:rFonts w:ascii="Times New Roman" w:hAnsi="Times New Roman"/>
          <w:sz w:val="24"/>
          <w:szCs w:val="24"/>
        </w:rPr>
        <w:t xml:space="preserve"> </w:t>
      </w:r>
      <w:r w:rsidR="00D21A30" w:rsidRPr="00476DF1">
        <w:rPr>
          <w:rFonts w:ascii="Times New Roman" w:hAnsi="Times New Roman"/>
          <w:sz w:val="24"/>
          <w:szCs w:val="24"/>
        </w:rPr>
        <w:fldChar w:fldCharType="begin" w:fldLock="1"/>
      </w:r>
      <w:r w:rsidR="00D21A30" w:rsidRPr="00476DF1">
        <w:rPr>
          <w:rFonts w:ascii="Times New Roman" w:hAnsi="Times New Roman"/>
          <w:sz w:val="24"/>
          <w:szCs w:val="24"/>
        </w:rPr>
        <w:instrText>ADDIN CSL_CITATION { "citationItems" : [ { "id" : "ITEM-1", "itemData" : { "author" : [ { "dropping-particle" : "", "family" : "Cohen", "given" : "Wesley M", "non-dropping-particle" : "", "parse-names" : false, "suffix" : "" }, { "dropping-particle" : "", "family" : "Levinthal", "given" : "Daniel A", "non-dropping-particle" : "", "parse-names" : false, "suffix" : "" } ], "container-title" : "Administrative Science Quarterly - Special Issue: Technology", "id" : "ITEM-1", "issue" : "1", "issued" : { "date-parts" : [ [ "1990" ] ] }, "page" : "128-152", "title" : "Absorptive Capacity : A New Perspective on and Innovation Learning", "type" : "article-journal", "volume" : "35" }, "uris" : [ "http://www.mendeley.com/documents/?uuid=ac7f837b-40f2-43c3-b305-aa3a684a26ec" ] } ], "mendeley" : { "formattedCitation" : "(COHEN; LEVINTHAL, 1990)", "plainTextFormattedCitation" : "(COHEN; LEVINTHAL, 1990)", "previouslyFormattedCitation" : "(COHEN; LEVINTHAL, 1990)" }, "properties" : {  }, "schema" : "https://github.com/citation-style-language/schema/raw/master/csl-citation.json" }</w:instrText>
      </w:r>
      <w:r w:rsidR="00D21A30" w:rsidRPr="00476DF1">
        <w:rPr>
          <w:rFonts w:ascii="Times New Roman" w:hAnsi="Times New Roman"/>
          <w:sz w:val="24"/>
          <w:szCs w:val="24"/>
        </w:rPr>
        <w:fldChar w:fldCharType="separate"/>
      </w:r>
      <w:r w:rsidR="00D21A30" w:rsidRPr="00476DF1">
        <w:rPr>
          <w:rFonts w:ascii="Times New Roman" w:hAnsi="Times New Roman"/>
          <w:noProof/>
          <w:sz w:val="24"/>
          <w:szCs w:val="24"/>
        </w:rPr>
        <w:t>(COHEN; LEVINTHAL, 1990)</w:t>
      </w:r>
      <w:r w:rsidR="00D21A30" w:rsidRPr="00476DF1">
        <w:rPr>
          <w:rFonts w:ascii="Times New Roman" w:hAnsi="Times New Roman"/>
          <w:sz w:val="24"/>
          <w:szCs w:val="24"/>
        </w:rPr>
        <w:fldChar w:fldCharType="end"/>
      </w:r>
      <w:r w:rsidRPr="00476DF1">
        <w:rPr>
          <w:rFonts w:ascii="Times New Roman" w:hAnsi="Times New Roman"/>
          <w:sz w:val="24"/>
          <w:szCs w:val="24"/>
        </w:rPr>
        <w:t>.</w:t>
      </w:r>
    </w:p>
    <w:p w14:paraId="0A72605D" w14:textId="79DE8B5C" w:rsidR="001A775D" w:rsidRPr="00476DF1" w:rsidRDefault="009C644A">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Figure </w:t>
      </w:r>
      <w:r w:rsidR="009D7A0F" w:rsidRPr="00476DF1">
        <w:rPr>
          <w:rFonts w:ascii="Times New Roman" w:hAnsi="Times New Roman"/>
          <w:sz w:val="24"/>
          <w:szCs w:val="24"/>
        </w:rPr>
        <w:t>2</w:t>
      </w:r>
      <w:r w:rsidR="00397972" w:rsidRPr="00476DF1">
        <w:rPr>
          <w:rFonts w:ascii="Times New Roman" w:hAnsi="Times New Roman"/>
          <w:sz w:val="24"/>
          <w:szCs w:val="24"/>
        </w:rPr>
        <w:t xml:space="preserve"> </w:t>
      </w:r>
      <w:r w:rsidR="000B3645" w:rsidRPr="00476DF1">
        <w:rPr>
          <w:rFonts w:ascii="Times New Roman" w:hAnsi="Times New Roman"/>
          <w:sz w:val="24"/>
          <w:szCs w:val="24"/>
        </w:rPr>
        <w:t xml:space="preserve">illustrates </w:t>
      </w:r>
      <w:r w:rsidR="00397972" w:rsidRPr="00476DF1">
        <w:rPr>
          <w:rFonts w:ascii="Times New Roman" w:hAnsi="Times New Roman"/>
          <w:sz w:val="24"/>
          <w:szCs w:val="24"/>
        </w:rPr>
        <w:t xml:space="preserve">the indirect technical contribution </w:t>
      </w:r>
      <w:r w:rsidR="00726537" w:rsidRPr="00476DF1">
        <w:rPr>
          <w:rFonts w:ascii="Times New Roman" w:hAnsi="Times New Roman"/>
          <w:sz w:val="24"/>
          <w:szCs w:val="24"/>
        </w:rPr>
        <w:t>analysis</w:t>
      </w:r>
      <w:r w:rsidR="00397972" w:rsidRPr="00476DF1">
        <w:rPr>
          <w:rFonts w:ascii="Times New Roman" w:hAnsi="Times New Roman"/>
          <w:sz w:val="24"/>
          <w:szCs w:val="24"/>
        </w:rPr>
        <w:t>.</w:t>
      </w:r>
      <w:r w:rsidR="0066723C" w:rsidRPr="00476DF1">
        <w:rPr>
          <w:rFonts w:ascii="Times New Roman" w:hAnsi="Times New Roman"/>
          <w:sz w:val="24"/>
          <w:szCs w:val="24"/>
        </w:rPr>
        <w:t xml:space="preserve"> </w:t>
      </w:r>
      <w:r w:rsidR="000B3645" w:rsidRPr="00476DF1">
        <w:rPr>
          <w:rFonts w:ascii="Times New Roman" w:hAnsi="Times New Roman"/>
          <w:sz w:val="24"/>
          <w:szCs w:val="24"/>
        </w:rPr>
        <w:t>T</w:t>
      </w:r>
      <w:r w:rsidR="0066723C" w:rsidRPr="00476DF1">
        <w:rPr>
          <w:rFonts w:ascii="Times New Roman" w:hAnsi="Times New Roman"/>
          <w:sz w:val="24"/>
          <w:szCs w:val="24"/>
        </w:rPr>
        <w:t xml:space="preserve">he Y axis </w:t>
      </w:r>
      <w:r w:rsidR="000B3645" w:rsidRPr="00476DF1">
        <w:rPr>
          <w:rFonts w:ascii="Times New Roman" w:hAnsi="Times New Roman"/>
          <w:sz w:val="24"/>
          <w:szCs w:val="24"/>
        </w:rPr>
        <w:t>shows</w:t>
      </w:r>
      <w:r w:rsidR="0066723C" w:rsidRPr="00476DF1">
        <w:rPr>
          <w:rFonts w:ascii="Times New Roman" w:hAnsi="Times New Roman"/>
          <w:sz w:val="24"/>
          <w:szCs w:val="24"/>
        </w:rPr>
        <w:t xml:space="preserve"> the n</w:t>
      </w:r>
      <w:r w:rsidR="00397972" w:rsidRPr="00476DF1">
        <w:rPr>
          <w:rFonts w:ascii="Times New Roman" w:hAnsi="Times New Roman"/>
          <w:sz w:val="24"/>
          <w:szCs w:val="24"/>
        </w:rPr>
        <w:t>u</w:t>
      </w:r>
      <w:r w:rsidR="0066723C" w:rsidRPr="00476DF1">
        <w:rPr>
          <w:rFonts w:ascii="Times New Roman" w:hAnsi="Times New Roman"/>
          <w:sz w:val="24"/>
          <w:szCs w:val="24"/>
        </w:rPr>
        <w:t xml:space="preserve">mber of new classes </w:t>
      </w:r>
      <w:r w:rsidR="00397972" w:rsidRPr="00476DF1">
        <w:rPr>
          <w:rFonts w:ascii="Times New Roman" w:hAnsi="Times New Roman"/>
          <w:sz w:val="24"/>
          <w:szCs w:val="24"/>
        </w:rPr>
        <w:t>developed</w:t>
      </w:r>
      <w:r w:rsidR="00A231AA" w:rsidRPr="00476DF1">
        <w:rPr>
          <w:rFonts w:ascii="Times New Roman" w:hAnsi="Times New Roman"/>
          <w:sz w:val="24"/>
          <w:szCs w:val="24"/>
        </w:rPr>
        <w:t>.</w:t>
      </w:r>
      <w:r w:rsidR="0066723C" w:rsidRPr="00476DF1">
        <w:rPr>
          <w:rFonts w:ascii="Times New Roman" w:hAnsi="Times New Roman"/>
          <w:sz w:val="24"/>
          <w:szCs w:val="24"/>
        </w:rPr>
        <w:t xml:space="preserve"> </w:t>
      </w:r>
      <w:r w:rsidR="00A231AA" w:rsidRPr="00476DF1">
        <w:rPr>
          <w:rFonts w:ascii="Times New Roman" w:hAnsi="Times New Roman"/>
          <w:sz w:val="24"/>
          <w:szCs w:val="24"/>
        </w:rPr>
        <w:t>A</w:t>
      </w:r>
      <w:r w:rsidR="0066723C" w:rsidRPr="00476DF1">
        <w:rPr>
          <w:rFonts w:ascii="Times New Roman" w:hAnsi="Times New Roman"/>
          <w:sz w:val="24"/>
          <w:szCs w:val="24"/>
        </w:rPr>
        <w:t xml:space="preserve"> new class is the first time the large enterprise </w:t>
      </w:r>
      <w:r w:rsidR="00397972" w:rsidRPr="00476DF1">
        <w:rPr>
          <w:rFonts w:ascii="Times New Roman" w:hAnsi="Times New Roman"/>
          <w:sz w:val="24"/>
          <w:szCs w:val="24"/>
        </w:rPr>
        <w:t>filed</w:t>
      </w:r>
      <w:r w:rsidR="0066723C" w:rsidRPr="00476DF1">
        <w:rPr>
          <w:rFonts w:ascii="Times New Roman" w:hAnsi="Times New Roman"/>
          <w:sz w:val="24"/>
          <w:szCs w:val="24"/>
        </w:rPr>
        <w:t xml:space="preserve"> a patent in a pat</w:t>
      </w:r>
      <w:r w:rsidR="00397972" w:rsidRPr="00476DF1">
        <w:rPr>
          <w:rFonts w:ascii="Times New Roman" w:hAnsi="Times New Roman"/>
          <w:sz w:val="24"/>
          <w:szCs w:val="24"/>
        </w:rPr>
        <w:t xml:space="preserve">ent </w:t>
      </w:r>
      <w:r w:rsidR="0066723C" w:rsidRPr="00476DF1">
        <w:rPr>
          <w:rFonts w:ascii="Times New Roman" w:hAnsi="Times New Roman"/>
          <w:sz w:val="24"/>
          <w:szCs w:val="24"/>
        </w:rPr>
        <w:t>subc</w:t>
      </w:r>
      <w:r w:rsidR="00397972" w:rsidRPr="00476DF1">
        <w:rPr>
          <w:rFonts w:ascii="Times New Roman" w:hAnsi="Times New Roman"/>
          <w:sz w:val="24"/>
          <w:szCs w:val="24"/>
        </w:rPr>
        <w:t>l</w:t>
      </w:r>
      <w:r w:rsidR="0066723C" w:rsidRPr="00476DF1">
        <w:rPr>
          <w:rFonts w:ascii="Times New Roman" w:hAnsi="Times New Roman"/>
          <w:sz w:val="24"/>
          <w:szCs w:val="24"/>
        </w:rPr>
        <w:t xml:space="preserve">ass that it </w:t>
      </w:r>
      <w:r w:rsidR="000B3645" w:rsidRPr="00476DF1">
        <w:rPr>
          <w:rFonts w:ascii="Times New Roman" w:hAnsi="Times New Roman"/>
          <w:sz w:val="24"/>
          <w:szCs w:val="24"/>
        </w:rPr>
        <w:t>had not done so previously</w:t>
      </w:r>
      <w:r w:rsidR="0066723C" w:rsidRPr="00476DF1">
        <w:rPr>
          <w:rFonts w:ascii="Times New Roman" w:hAnsi="Times New Roman"/>
          <w:sz w:val="24"/>
          <w:szCs w:val="24"/>
        </w:rPr>
        <w:t>.</w:t>
      </w:r>
      <w:r w:rsidR="000B3645" w:rsidRPr="00476DF1">
        <w:rPr>
          <w:rFonts w:ascii="Times New Roman" w:hAnsi="Times New Roman"/>
          <w:sz w:val="24"/>
          <w:szCs w:val="24"/>
        </w:rPr>
        <w:t xml:space="preserve"> The</w:t>
      </w:r>
      <w:r w:rsidR="0066723C" w:rsidRPr="00476DF1">
        <w:rPr>
          <w:rFonts w:ascii="Times New Roman" w:hAnsi="Times New Roman"/>
          <w:sz w:val="24"/>
          <w:szCs w:val="24"/>
        </w:rPr>
        <w:t xml:space="preserve"> X axis </w:t>
      </w:r>
      <w:r w:rsidR="000B3645" w:rsidRPr="00476DF1">
        <w:rPr>
          <w:rFonts w:ascii="Times New Roman" w:hAnsi="Times New Roman"/>
          <w:sz w:val="24"/>
          <w:szCs w:val="24"/>
        </w:rPr>
        <w:t xml:space="preserve">indicates </w:t>
      </w:r>
      <w:r w:rsidR="00B43CEE" w:rsidRPr="00476DF1">
        <w:rPr>
          <w:rFonts w:ascii="Times New Roman" w:hAnsi="Times New Roman"/>
          <w:sz w:val="24"/>
          <w:szCs w:val="24"/>
        </w:rPr>
        <w:t>the years</w:t>
      </w:r>
      <w:r w:rsidR="0066723C" w:rsidRPr="00476DF1">
        <w:rPr>
          <w:rFonts w:ascii="Times New Roman" w:hAnsi="Times New Roman"/>
          <w:sz w:val="24"/>
          <w:szCs w:val="24"/>
        </w:rPr>
        <w:t>. For example</w:t>
      </w:r>
      <w:r w:rsidR="00F429BA" w:rsidRPr="00476DF1">
        <w:rPr>
          <w:rFonts w:ascii="Times New Roman" w:hAnsi="Times New Roman"/>
          <w:sz w:val="24"/>
          <w:szCs w:val="24"/>
        </w:rPr>
        <w:t>,</w:t>
      </w:r>
      <w:r w:rsidR="0066723C" w:rsidRPr="00476DF1">
        <w:rPr>
          <w:rFonts w:ascii="Times New Roman" w:hAnsi="Times New Roman"/>
          <w:sz w:val="24"/>
          <w:szCs w:val="24"/>
        </w:rPr>
        <w:t xml:space="preserve"> in 1994</w:t>
      </w:r>
      <w:r w:rsidR="000B3645" w:rsidRPr="00476DF1">
        <w:rPr>
          <w:rFonts w:ascii="Times New Roman" w:hAnsi="Times New Roman"/>
          <w:sz w:val="24"/>
          <w:szCs w:val="24"/>
        </w:rPr>
        <w:t>,</w:t>
      </w:r>
      <w:r w:rsidR="0066723C" w:rsidRPr="00476DF1">
        <w:rPr>
          <w:rFonts w:ascii="Times New Roman" w:hAnsi="Times New Roman"/>
          <w:sz w:val="24"/>
          <w:szCs w:val="24"/>
        </w:rPr>
        <w:t xml:space="preserve"> GSK started to </w:t>
      </w:r>
      <w:r w:rsidR="00397972" w:rsidRPr="00476DF1">
        <w:rPr>
          <w:rFonts w:ascii="Times New Roman" w:hAnsi="Times New Roman"/>
          <w:sz w:val="24"/>
          <w:szCs w:val="24"/>
        </w:rPr>
        <w:t>patent</w:t>
      </w:r>
      <w:r w:rsidR="0066723C" w:rsidRPr="00476DF1">
        <w:rPr>
          <w:rFonts w:ascii="Times New Roman" w:hAnsi="Times New Roman"/>
          <w:sz w:val="24"/>
          <w:szCs w:val="24"/>
        </w:rPr>
        <w:t xml:space="preserve"> in </w:t>
      </w:r>
      <w:r w:rsidR="00B43CEE" w:rsidRPr="00476DF1">
        <w:rPr>
          <w:rFonts w:ascii="Times New Roman" w:hAnsi="Times New Roman"/>
          <w:sz w:val="24"/>
          <w:szCs w:val="24"/>
        </w:rPr>
        <w:t>five</w:t>
      </w:r>
      <w:r w:rsidR="0066723C" w:rsidRPr="00476DF1">
        <w:rPr>
          <w:rFonts w:ascii="Times New Roman" w:hAnsi="Times New Roman"/>
          <w:sz w:val="24"/>
          <w:szCs w:val="24"/>
        </w:rPr>
        <w:t xml:space="preserve"> new classes. </w:t>
      </w:r>
    </w:p>
    <w:p w14:paraId="18349378" w14:textId="7CD837A6" w:rsidR="000B3645" w:rsidRPr="00476DF1" w:rsidRDefault="005E427B" w:rsidP="00CE4BBE">
      <w:pPr>
        <w:spacing w:after="0" w:line="240" w:lineRule="auto"/>
        <w:rPr>
          <w:rFonts w:ascii="Times New Roman" w:hAnsi="Times New Roman"/>
          <w:b/>
          <w:sz w:val="24"/>
          <w:szCs w:val="24"/>
        </w:rPr>
      </w:pPr>
      <w:r w:rsidRPr="00476DF1">
        <w:rPr>
          <w:rFonts w:ascii="Times New Roman" w:hAnsi="Times New Roman"/>
          <w:b/>
          <w:sz w:val="24"/>
          <w:szCs w:val="24"/>
        </w:rPr>
        <w:t xml:space="preserve">Figure </w:t>
      </w:r>
      <w:r w:rsidR="009D7A0F" w:rsidRPr="00476DF1">
        <w:rPr>
          <w:rFonts w:ascii="Times New Roman" w:hAnsi="Times New Roman"/>
          <w:b/>
          <w:sz w:val="24"/>
          <w:szCs w:val="24"/>
        </w:rPr>
        <w:t>2</w:t>
      </w:r>
      <w:r w:rsidR="001E63F1" w:rsidRPr="00476DF1">
        <w:rPr>
          <w:rFonts w:ascii="Times New Roman" w:hAnsi="Times New Roman"/>
          <w:b/>
          <w:sz w:val="24"/>
          <w:szCs w:val="24"/>
        </w:rPr>
        <w:t>: Big-pharma’s technical Knowledge set development</w:t>
      </w:r>
    </w:p>
    <w:p w14:paraId="550F4279" w14:textId="77777777" w:rsidR="001E63F1" w:rsidRPr="00476DF1" w:rsidRDefault="001E63F1" w:rsidP="00CE4BBE">
      <w:pPr>
        <w:spacing w:after="0" w:line="240" w:lineRule="auto"/>
        <w:jc w:val="center"/>
        <w:rPr>
          <w:rFonts w:ascii="Times New Roman" w:hAnsi="Times New Roman"/>
          <w:b/>
          <w:sz w:val="24"/>
          <w:szCs w:val="24"/>
        </w:rPr>
      </w:pPr>
    </w:p>
    <w:p w14:paraId="07DF40E7" w14:textId="6F28FF6A" w:rsidR="001E63F1" w:rsidRPr="00476DF1" w:rsidRDefault="001E63F1" w:rsidP="00CE4BBE">
      <w:pPr>
        <w:spacing w:after="0" w:line="240" w:lineRule="auto"/>
        <w:jc w:val="center"/>
        <w:rPr>
          <w:rFonts w:ascii="Times New Roman" w:hAnsi="Times New Roman"/>
          <w:b/>
          <w:sz w:val="24"/>
          <w:szCs w:val="24"/>
        </w:rPr>
      </w:pPr>
      <w:r w:rsidRPr="00476DF1">
        <w:rPr>
          <w:noProof/>
        </w:rPr>
        <w:drawing>
          <wp:inline distT="0" distB="0" distL="0" distR="0" wp14:anchorId="411DE9E6" wp14:editId="37B95142">
            <wp:extent cx="6077873" cy="4575637"/>
            <wp:effectExtent l="0" t="0" r="18415"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6522537" w14:textId="77777777" w:rsidR="00016A93" w:rsidRPr="00476DF1" w:rsidRDefault="00016A93" w:rsidP="00CE4BBE">
      <w:pPr>
        <w:spacing w:after="0" w:line="240" w:lineRule="auto"/>
        <w:jc w:val="both"/>
        <w:rPr>
          <w:rFonts w:ascii="Times New Roman" w:hAnsi="Times New Roman"/>
          <w:sz w:val="16"/>
          <w:szCs w:val="16"/>
        </w:rPr>
      </w:pPr>
    </w:p>
    <w:p w14:paraId="6EE1E600" w14:textId="6D097CB1" w:rsidR="001E63F1" w:rsidRPr="00476DF1" w:rsidRDefault="001E63F1" w:rsidP="00CE4BBE">
      <w:pPr>
        <w:spacing w:after="0" w:line="240" w:lineRule="auto"/>
        <w:jc w:val="both"/>
        <w:rPr>
          <w:rFonts w:ascii="Times New Roman" w:hAnsi="Times New Roman"/>
          <w:sz w:val="16"/>
          <w:szCs w:val="16"/>
        </w:rPr>
      </w:pPr>
      <w:r w:rsidRPr="00476DF1">
        <w:rPr>
          <w:rFonts w:ascii="Times New Roman" w:hAnsi="Times New Roman"/>
          <w:sz w:val="16"/>
          <w:szCs w:val="16"/>
        </w:rPr>
        <w:t xml:space="preserve">                           Source: Own elaboration</w:t>
      </w:r>
    </w:p>
    <w:p w14:paraId="72566A8C" w14:textId="699551D7" w:rsidR="001E63F1" w:rsidRPr="00476DF1" w:rsidRDefault="001A775D" w:rsidP="00A23232">
      <w:pPr>
        <w:spacing w:after="0" w:line="240" w:lineRule="auto"/>
        <w:jc w:val="both"/>
        <w:rPr>
          <w:rFonts w:ascii="Times New Roman" w:hAnsi="Times New Roman"/>
          <w:sz w:val="24"/>
          <w:szCs w:val="24"/>
        </w:rPr>
      </w:pPr>
      <w:r w:rsidRPr="00476DF1">
        <w:rPr>
          <w:rFonts w:ascii="Times New Roman" w:hAnsi="Times New Roman"/>
          <w:sz w:val="24"/>
          <w:szCs w:val="24"/>
        </w:rPr>
        <w:tab/>
      </w:r>
      <w:r w:rsidR="00397972" w:rsidRPr="00476DF1">
        <w:rPr>
          <w:rFonts w:ascii="Times New Roman" w:hAnsi="Times New Roman"/>
          <w:sz w:val="24"/>
          <w:szCs w:val="24"/>
        </w:rPr>
        <w:t>T</w:t>
      </w:r>
      <w:r w:rsidR="0066723C" w:rsidRPr="00476DF1">
        <w:rPr>
          <w:rFonts w:ascii="Times New Roman" w:hAnsi="Times New Roman"/>
          <w:sz w:val="24"/>
          <w:szCs w:val="24"/>
        </w:rPr>
        <w:t>he classes</w:t>
      </w:r>
      <w:r w:rsidR="00397972" w:rsidRPr="00476DF1">
        <w:rPr>
          <w:rFonts w:ascii="Times New Roman" w:hAnsi="Times New Roman"/>
          <w:sz w:val="24"/>
          <w:szCs w:val="24"/>
        </w:rPr>
        <w:t xml:space="preserve"> and subclasses</w:t>
      </w:r>
      <w:r w:rsidR="00A231AA" w:rsidRPr="00476DF1">
        <w:rPr>
          <w:rFonts w:ascii="Times New Roman" w:hAnsi="Times New Roman"/>
          <w:sz w:val="24"/>
          <w:szCs w:val="24"/>
        </w:rPr>
        <w:t xml:space="preserve"> </w:t>
      </w:r>
      <w:r w:rsidR="0066723C" w:rsidRPr="00476DF1">
        <w:rPr>
          <w:rFonts w:ascii="Times New Roman" w:hAnsi="Times New Roman"/>
          <w:sz w:val="24"/>
          <w:szCs w:val="24"/>
        </w:rPr>
        <w:t>considered are th</w:t>
      </w:r>
      <w:r w:rsidR="000B3645" w:rsidRPr="00476DF1">
        <w:rPr>
          <w:rFonts w:ascii="Times New Roman" w:hAnsi="Times New Roman"/>
          <w:sz w:val="24"/>
          <w:szCs w:val="24"/>
        </w:rPr>
        <w:t>ose that comprise</w:t>
      </w:r>
      <w:r w:rsidR="0066723C" w:rsidRPr="00476DF1">
        <w:rPr>
          <w:rFonts w:ascii="Times New Roman" w:hAnsi="Times New Roman"/>
          <w:sz w:val="24"/>
          <w:szCs w:val="24"/>
        </w:rPr>
        <w:t xml:space="preserve"> the small ente</w:t>
      </w:r>
      <w:r w:rsidR="00397972" w:rsidRPr="00476DF1">
        <w:rPr>
          <w:rFonts w:ascii="Times New Roman" w:hAnsi="Times New Roman"/>
          <w:sz w:val="24"/>
          <w:szCs w:val="24"/>
        </w:rPr>
        <w:t>r</w:t>
      </w:r>
      <w:r w:rsidR="0066723C" w:rsidRPr="00476DF1">
        <w:rPr>
          <w:rFonts w:ascii="Times New Roman" w:hAnsi="Times New Roman"/>
          <w:sz w:val="24"/>
          <w:szCs w:val="24"/>
        </w:rPr>
        <w:t>prises</w:t>
      </w:r>
      <w:r w:rsidR="000B3645" w:rsidRPr="00476DF1">
        <w:rPr>
          <w:rFonts w:ascii="Times New Roman" w:hAnsi="Times New Roman"/>
          <w:sz w:val="24"/>
          <w:szCs w:val="24"/>
        </w:rPr>
        <w:t>’</w:t>
      </w:r>
      <w:r w:rsidR="0066723C" w:rsidRPr="00476DF1">
        <w:rPr>
          <w:rFonts w:ascii="Times New Roman" w:hAnsi="Times New Roman"/>
          <w:sz w:val="24"/>
          <w:szCs w:val="24"/>
        </w:rPr>
        <w:t xml:space="preserve"> technical knowledge </w:t>
      </w:r>
      <w:r w:rsidR="00397972" w:rsidRPr="00476DF1">
        <w:rPr>
          <w:rFonts w:ascii="Times New Roman" w:hAnsi="Times New Roman"/>
          <w:sz w:val="24"/>
          <w:szCs w:val="24"/>
        </w:rPr>
        <w:t>set</w:t>
      </w:r>
      <w:r w:rsidR="0066723C" w:rsidRPr="00476DF1">
        <w:rPr>
          <w:rFonts w:ascii="Times New Roman" w:hAnsi="Times New Roman"/>
          <w:sz w:val="24"/>
          <w:szCs w:val="24"/>
        </w:rPr>
        <w:t>. The</w:t>
      </w:r>
      <w:r w:rsidR="00397972" w:rsidRPr="00476DF1">
        <w:rPr>
          <w:rFonts w:ascii="Times New Roman" w:hAnsi="Times New Roman"/>
          <w:sz w:val="24"/>
          <w:szCs w:val="24"/>
        </w:rPr>
        <w:t>re</w:t>
      </w:r>
      <w:r w:rsidR="0066723C" w:rsidRPr="00476DF1">
        <w:rPr>
          <w:rFonts w:ascii="Times New Roman" w:hAnsi="Times New Roman"/>
          <w:sz w:val="24"/>
          <w:szCs w:val="24"/>
        </w:rPr>
        <w:t>fore</w:t>
      </w:r>
      <w:r w:rsidR="00397972" w:rsidRPr="00476DF1">
        <w:rPr>
          <w:rFonts w:ascii="Times New Roman" w:hAnsi="Times New Roman"/>
          <w:sz w:val="24"/>
          <w:szCs w:val="24"/>
        </w:rPr>
        <w:t>,</w:t>
      </w:r>
      <w:r w:rsidR="0066723C" w:rsidRPr="00476DF1">
        <w:rPr>
          <w:rFonts w:ascii="Times New Roman" w:hAnsi="Times New Roman"/>
          <w:sz w:val="24"/>
          <w:szCs w:val="24"/>
        </w:rPr>
        <w:t xml:space="preserve"> this </w:t>
      </w:r>
      <w:r w:rsidR="000B3645" w:rsidRPr="00476DF1">
        <w:rPr>
          <w:rFonts w:ascii="Times New Roman" w:hAnsi="Times New Roman"/>
          <w:sz w:val="24"/>
          <w:szCs w:val="24"/>
        </w:rPr>
        <w:t>figure</w:t>
      </w:r>
      <w:r w:rsidR="0066723C" w:rsidRPr="00476DF1">
        <w:rPr>
          <w:rFonts w:ascii="Times New Roman" w:hAnsi="Times New Roman"/>
          <w:sz w:val="24"/>
          <w:szCs w:val="24"/>
        </w:rPr>
        <w:t xml:space="preserve"> presents </w:t>
      </w:r>
      <w:r w:rsidR="000B3645" w:rsidRPr="00476DF1">
        <w:rPr>
          <w:rFonts w:ascii="Times New Roman" w:hAnsi="Times New Roman"/>
          <w:sz w:val="24"/>
          <w:szCs w:val="24"/>
        </w:rPr>
        <w:t xml:space="preserve">the </w:t>
      </w:r>
      <w:r w:rsidR="0066723C" w:rsidRPr="00476DF1">
        <w:rPr>
          <w:rFonts w:ascii="Times New Roman" w:hAnsi="Times New Roman"/>
          <w:sz w:val="24"/>
          <w:szCs w:val="24"/>
        </w:rPr>
        <w:t>correlation</w:t>
      </w:r>
      <w:r w:rsidR="00397972" w:rsidRPr="00476DF1">
        <w:rPr>
          <w:rFonts w:ascii="Times New Roman" w:hAnsi="Times New Roman"/>
          <w:sz w:val="24"/>
          <w:szCs w:val="24"/>
        </w:rPr>
        <w:t xml:space="preserve"> between</w:t>
      </w:r>
      <w:r w:rsidR="0066723C" w:rsidRPr="00476DF1">
        <w:rPr>
          <w:rFonts w:ascii="Times New Roman" w:hAnsi="Times New Roman"/>
          <w:sz w:val="24"/>
          <w:szCs w:val="24"/>
        </w:rPr>
        <w:t xml:space="preserve"> the </w:t>
      </w:r>
      <w:r w:rsidR="00397972" w:rsidRPr="00476DF1">
        <w:rPr>
          <w:rFonts w:ascii="Times New Roman" w:hAnsi="Times New Roman"/>
          <w:sz w:val="24"/>
          <w:szCs w:val="24"/>
        </w:rPr>
        <w:t>knowledge</w:t>
      </w:r>
      <w:r w:rsidR="00A231AA" w:rsidRPr="00476DF1">
        <w:rPr>
          <w:rFonts w:ascii="Times New Roman" w:hAnsi="Times New Roman"/>
          <w:sz w:val="24"/>
          <w:szCs w:val="24"/>
        </w:rPr>
        <w:t xml:space="preserve"> </w:t>
      </w:r>
      <w:r w:rsidR="00397972" w:rsidRPr="00476DF1">
        <w:rPr>
          <w:rFonts w:ascii="Times New Roman" w:hAnsi="Times New Roman"/>
          <w:sz w:val="24"/>
          <w:szCs w:val="24"/>
        </w:rPr>
        <w:t>developed</w:t>
      </w:r>
      <w:r w:rsidR="0066723C" w:rsidRPr="00476DF1">
        <w:rPr>
          <w:rFonts w:ascii="Times New Roman" w:hAnsi="Times New Roman"/>
          <w:sz w:val="24"/>
          <w:szCs w:val="24"/>
        </w:rPr>
        <w:t xml:space="preserve"> </w:t>
      </w:r>
      <w:r w:rsidR="000B3645" w:rsidRPr="00476DF1">
        <w:rPr>
          <w:rFonts w:ascii="Times New Roman" w:hAnsi="Times New Roman"/>
          <w:sz w:val="24"/>
          <w:szCs w:val="24"/>
        </w:rPr>
        <w:t xml:space="preserve">by </w:t>
      </w:r>
      <w:r w:rsidR="0066723C" w:rsidRPr="00476DF1">
        <w:rPr>
          <w:rFonts w:ascii="Times New Roman" w:hAnsi="Times New Roman"/>
          <w:sz w:val="24"/>
          <w:szCs w:val="24"/>
        </w:rPr>
        <w:t>th</w:t>
      </w:r>
      <w:r w:rsidR="00397972" w:rsidRPr="00476DF1">
        <w:rPr>
          <w:rFonts w:ascii="Times New Roman" w:hAnsi="Times New Roman"/>
          <w:sz w:val="24"/>
          <w:szCs w:val="24"/>
        </w:rPr>
        <w:t>e</w:t>
      </w:r>
      <w:r w:rsidR="0066723C" w:rsidRPr="00476DF1">
        <w:rPr>
          <w:rFonts w:ascii="Times New Roman" w:hAnsi="Times New Roman"/>
          <w:sz w:val="24"/>
          <w:szCs w:val="24"/>
        </w:rPr>
        <w:t xml:space="preserve"> small ente</w:t>
      </w:r>
      <w:r w:rsidR="00397972" w:rsidRPr="00476DF1">
        <w:rPr>
          <w:rFonts w:ascii="Times New Roman" w:hAnsi="Times New Roman"/>
          <w:sz w:val="24"/>
          <w:szCs w:val="24"/>
        </w:rPr>
        <w:t>r</w:t>
      </w:r>
      <w:r w:rsidR="0066723C" w:rsidRPr="00476DF1">
        <w:rPr>
          <w:rFonts w:ascii="Times New Roman" w:hAnsi="Times New Roman"/>
          <w:sz w:val="24"/>
          <w:szCs w:val="24"/>
        </w:rPr>
        <w:t>prises</w:t>
      </w:r>
      <w:r w:rsidR="000B3645" w:rsidRPr="00476DF1">
        <w:rPr>
          <w:rFonts w:ascii="Times New Roman" w:hAnsi="Times New Roman"/>
          <w:sz w:val="24"/>
          <w:szCs w:val="24"/>
        </w:rPr>
        <w:t>,</w:t>
      </w:r>
      <w:r w:rsidR="0066723C" w:rsidRPr="00476DF1">
        <w:rPr>
          <w:rFonts w:ascii="Times New Roman" w:hAnsi="Times New Roman"/>
          <w:sz w:val="24"/>
          <w:szCs w:val="24"/>
        </w:rPr>
        <w:t xml:space="preserve"> and how, </w:t>
      </w:r>
      <w:r w:rsidR="000B3645" w:rsidRPr="00476DF1">
        <w:rPr>
          <w:rFonts w:ascii="Times New Roman" w:hAnsi="Times New Roman"/>
          <w:sz w:val="24"/>
          <w:szCs w:val="24"/>
        </w:rPr>
        <w:t>over time</w:t>
      </w:r>
      <w:r w:rsidR="0066723C" w:rsidRPr="00476DF1">
        <w:rPr>
          <w:rFonts w:ascii="Times New Roman" w:hAnsi="Times New Roman"/>
          <w:sz w:val="24"/>
          <w:szCs w:val="24"/>
        </w:rPr>
        <w:t xml:space="preserve">, </w:t>
      </w:r>
      <w:r w:rsidR="00BE63EA" w:rsidRPr="00476DF1">
        <w:rPr>
          <w:rFonts w:ascii="Times New Roman" w:hAnsi="Times New Roman"/>
          <w:sz w:val="24"/>
          <w:szCs w:val="24"/>
        </w:rPr>
        <w:t xml:space="preserve">this knowledge </w:t>
      </w:r>
      <w:r w:rsidR="0066723C" w:rsidRPr="00476DF1">
        <w:rPr>
          <w:rFonts w:ascii="Times New Roman" w:hAnsi="Times New Roman"/>
          <w:sz w:val="24"/>
          <w:szCs w:val="24"/>
        </w:rPr>
        <w:t xml:space="preserve">was </w:t>
      </w:r>
      <w:r w:rsidR="00397972" w:rsidRPr="00476DF1">
        <w:rPr>
          <w:rFonts w:ascii="Times New Roman" w:hAnsi="Times New Roman"/>
          <w:sz w:val="24"/>
          <w:szCs w:val="24"/>
        </w:rPr>
        <w:t>developed</w:t>
      </w:r>
      <w:r w:rsidR="0066723C" w:rsidRPr="00476DF1">
        <w:rPr>
          <w:rFonts w:ascii="Times New Roman" w:hAnsi="Times New Roman"/>
          <w:sz w:val="24"/>
          <w:szCs w:val="24"/>
        </w:rPr>
        <w:t xml:space="preserve"> by the </w:t>
      </w:r>
      <w:r w:rsidR="00726537" w:rsidRPr="00476DF1">
        <w:rPr>
          <w:rFonts w:ascii="Times New Roman" w:hAnsi="Times New Roman"/>
          <w:sz w:val="24"/>
          <w:szCs w:val="24"/>
        </w:rPr>
        <w:t>Big Pharma</w:t>
      </w:r>
      <w:r w:rsidR="000B3645" w:rsidRPr="00476DF1">
        <w:rPr>
          <w:rFonts w:ascii="Times New Roman" w:hAnsi="Times New Roman"/>
          <w:sz w:val="24"/>
          <w:szCs w:val="24"/>
        </w:rPr>
        <w:t xml:space="preserve"> acquirers</w:t>
      </w:r>
      <w:r w:rsidR="00A50D45" w:rsidRPr="00476DF1">
        <w:rPr>
          <w:rFonts w:ascii="Times New Roman" w:hAnsi="Times New Roman"/>
          <w:sz w:val="24"/>
          <w:szCs w:val="24"/>
        </w:rPr>
        <w:t>.</w:t>
      </w:r>
      <w:r w:rsidR="0066723C" w:rsidRPr="00476DF1">
        <w:rPr>
          <w:rFonts w:ascii="Times New Roman" w:hAnsi="Times New Roman"/>
          <w:sz w:val="24"/>
          <w:szCs w:val="24"/>
        </w:rPr>
        <w:t xml:space="preserve"> </w:t>
      </w:r>
    </w:p>
    <w:p w14:paraId="4F05DF88" w14:textId="78426202" w:rsidR="00A50D45" w:rsidRPr="00476DF1" w:rsidRDefault="006331B7"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This graphic can be divided in three main areas</w:t>
      </w:r>
      <w:r w:rsidR="00A50D45" w:rsidRPr="00476DF1">
        <w:rPr>
          <w:rFonts w:ascii="Times New Roman" w:hAnsi="Times New Roman"/>
          <w:sz w:val="24"/>
          <w:szCs w:val="24"/>
        </w:rPr>
        <w:t>: (i)</w:t>
      </w:r>
      <w:r w:rsidRPr="00476DF1">
        <w:rPr>
          <w:rFonts w:ascii="Times New Roman" w:hAnsi="Times New Roman"/>
          <w:sz w:val="24"/>
          <w:szCs w:val="24"/>
        </w:rPr>
        <w:t xml:space="preserve"> from 1974 to 1988</w:t>
      </w:r>
      <w:r w:rsidR="000B3645" w:rsidRPr="00476DF1">
        <w:rPr>
          <w:rFonts w:ascii="Times New Roman" w:hAnsi="Times New Roman"/>
          <w:sz w:val="24"/>
          <w:szCs w:val="24"/>
        </w:rPr>
        <w:t>,</w:t>
      </w:r>
      <w:r w:rsidR="00A50D45" w:rsidRPr="00476DF1">
        <w:rPr>
          <w:rFonts w:ascii="Times New Roman" w:hAnsi="Times New Roman"/>
          <w:sz w:val="24"/>
          <w:szCs w:val="24"/>
        </w:rPr>
        <w:t xml:space="preserve"> (ii)</w:t>
      </w:r>
      <w:r w:rsidRPr="00476DF1">
        <w:rPr>
          <w:rFonts w:ascii="Times New Roman" w:hAnsi="Times New Roman"/>
          <w:sz w:val="24"/>
          <w:szCs w:val="24"/>
        </w:rPr>
        <w:t xml:space="preserve"> from 1988 to 2004</w:t>
      </w:r>
      <w:r w:rsidR="000B3645" w:rsidRPr="00476DF1">
        <w:rPr>
          <w:rFonts w:ascii="Times New Roman" w:hAnsi="Times New Roman"/>
          <w:sz w:val="24"/>
          <w:szCs w:val="24"/>
        </w:rPr>
        <w:t>,</w:t>
      </w:r>
      <w:r w:rsidRPr="00476DF1">
        <w:rPr>
          <w:rFonts w:ascii="Times New Roman" w:hAnsi="Times New Roman"/>
          <w:sz w:val="24"/>
          <w:szCs w:val="24"/>
        </w:rPr>
        <w:t xml:space="preserve"> and</w:t>
      </w:r>
      <w:r w:rsidR="00A50D45" w:rsidRPr="00476DF1">
        <w:rPr>
          <w:rFonts w:ascii="Times New Roman" w:hAnsi="Times New Roman"/>
          <w:sz w:val="24"/>
          <w:szCs w:val="24"/>
        </w:rPr>
        <w:t xml:space="preserve"> (iii)</w:t>
      </w:r>
      <w:r w:rsidRPr="00476DF1">
        <w:rPr>
          <w:rFonts w:ascii="Times New Roman" w:hAnsi="Times New Roman"/>
          <w:sz w:val="24"/>
          <w:szCs w:val="24"/>
        </w:rPr>
        <w:t xml:space="preserve"> fro</w:t>
      </w:r>
      <w:r w:rsidR="00A50D45" w:rsidRPr="00476DF1">
        <w:rPr>
          <w:rFonts w:ascii="Times New Roman" w:hAnsi="Times New Roman"/>
          <w:sz w:val="24"/>
          <w:szCs w:val="24"/>
        </w:rPr>
        <w:t>m</w:t>
      </w:r>
      <w:r w:rsidRPr="00476DF1">
        <w:rPr>
          <w:rFonts w:ascii="Times New Roman" w:hAnsi="Times New Roman"/>
          <w:sz w:val="24"/>
          <w:szCs w:val="24"/>
        </w:rPr>
        <w:t xml:space="preserve"> 2004 o</w:t>
      </w:r>
      <w:r w:rsidR="00A50D45" w:rsidRPr="00476DF1">
        <w:rPr>
          <w:rFonts w:ascii="Times New Roman" w:hAnsi="Times New Roman"/>
          <w:sz w:val="24"/>
          <w:szCs w:val="24"/>
        </w:rPr>
        <w:t>nwards</w:t>
      </w:r>
      <w:r w:rsidRPr="00476DF1">
        <w:rPr>
          <w:rFonts w:ascii="Times New Roman" w:hAnsi="Times New Roman"/>
          <w:sz w:val="24"/>
          <w:szCs w:val="24"/>
        </w:rPr>
        <w:t>. From 1974 to 1988</w:t>
      </w:r>
      <w:r w:rsidR="000B3645" w:rsidRPr="00476DF1">
        <w:rPr>
          <w:rFonts w:ascii="Times New Roman" w:hAnsi="Times New Roman"/>
          <w:sz w:val="24"/>
          <w:szCs w:val="24"/>
        </w:rPr>
        <w:t>,</w:t>
      </w:r>
      <w:r w:rsidRPr="00476DF1">
        <w:rPr>
          <w:rFonts w:ascii="Times New Roman" w:hAnsi="Times New Roman"/>
          <w:sz w:val="24"/>
          <w:szCs w:val="24"/>
        </w:rPr>
        <w:t xml:space="preserve"> </w:t>
      </w:r>
      <w:r w:rsidR="000B3645" w:rsidRPr="00476DF1">
        <w:rPr>
          <w:rFonts w:ascii="Times New Roman" w:hAnsi="Times New Roman"/>
          <w:sz w:val="24"/>
          <w:szCs w:val="24"/>
        </w:rPr>
        <w:t xml:space="preserve">a few enterprises developed a </w:t>
      </w:r>
      <w:r w:rsidR="00A50D45" w:rsidRPr="00476DF1">
        <w:rPr>
          <w:rFonts w:ascii="Times New Roman" w:hAnsi="Times New Roman"/>
          <w:sz w:val="24"/>
          <w:szCs w:val="24"/>
        </w:rPr>
        <w:t xml:space="preserve">few </w:t>
      </w:r>
      <w:r w:rsidRPr="00476DF1">
        <w:rPr>
          <w:rFonts w:ascii="Times New Roman" w:hAnsi="Times New Roman"/>
          <w:sz w:val="24"/>
          <w:szCs w:val="24"/>
        </w:rPr>
        <w:t>n</w:t>
      </w:r>
      <w:r w:rsidR="00A50D45" w:rsidRPr="00476DF1">
        <w:rPr>
          <w:rFonts w:ascii="Times New Roman" w:hAnsi="Times New Roman"/>
          <w:sz w:val="24"/>
          <w:szCs w:val="24"/>
        </w:rPr>
        <w:t>e</w:t>
      </w:r>
      <w:r w:rsidRPr="00476DF1">
        <w:rPr>
          <w:rFonts w:ascii="Times New Roman" w:hAnsi="Times New Roman"/>
          <w:sz w:val="24"/>
          <w:szCs w:val="24"/>
        </w:rPr>
        <w:t>w classes</w:t>
      </w:r>
      <w:r w:rsidR="000B3645" w:rsidRPr="00476DF1">
        <w:rPr>
          <w:rFonts w:ascii="Times New Roman" w:hAnsi="Times New Roman"/>
          <w:sz w:val="24"/>
          <w:szCs w:val="24"/>
        </w:rPr>
        <w:t>. This</w:t>
      </w:r>
      <w:r w:rsidR="00A50D45" w:rsidRPr="00476DF1">
        <w:rPr>
          <w:rFonts w:ascii="Times New Roman" w:hAnsi="Times New Roman"/>
          <w:sz w:val="24"/>
          <w:szCs w:val="24"/>
        </w:rPr>
        <w:t xml:space="preserve"> period resembles an early period in the development of biotechnologies</w:t>
      </w:r>
      <w:r w:rsidR="000B3645" w:rsidRPr="00476DF1">
        <w:rPr>
          <w:rFonts w:ascii="Times New Roman" w:hAnsi="Times New Roman"/>
          <w:sz w:val="24"/>
          <w:szCs w:val="24"/>
        </w:rPr>
        <w:t>, as</w:t>
      </w:r>
      <w:r w:rsidR="00BC6228" w:rsidRPr="00476DF1">
        <w:rPr>
          <w:rFonts w:ascii="Times New Roman" w:hAnsi="Times New Roman"/>
          <w:sz w:val="24"/>
          <w:szCs w:val="24"/>
        </w:rPr>
        <w:t xml:space="preserve"> SHARP (1996)</w:t>
      </w:r>
      <w:r w:rsidR="000B3645" w:rsidRPr="00476DF1">
        <w:rPr>
          <w:rFonts w:ascii="Times New Roman" w:hAnsi="Times New Roman"/>
          <w:sz w:val="24"/>
          <w:szCs w:val="24"/>
        </w:rPr>
        <w:t xml:space="preserve"> proposes</w:t>
      </w:r>
      <w:r w:rsidR="00A50D45" w:rsidRPr="00476DF1">
        <w:rPr>
          <w:rFonts w:ascii="Times New Roman" w:hAnsi="Times New Roman"/>
          <w:sz w:val="24"/>
          <w:szCs w:val="24"/>
        </w:rPr>
        <w:t>.</w:t>
      </w:r>
      <w:r w:rsidRPr="00476DF1">
        <w:rPr>
          <w:rFonts w:ascii="Times New Roman" w:hAnsi="Times New Roman"/>
          <w:sz w:val="24"/>
          <w:szCs w:val="24"/>
        </w:rPr>
        <w:t xml:space="preserve"> From 1988 to 2004</w:t>
      </w:r>
      <w:r w:rsidR="00A50D45" w:rsidRPr="00476DF1">
        <w:rPr>
          <w:rFonts w:ascii="Times New Roman" w:hAnsi="Times New Roman"/>
          <w:sz w:val="24"/>
          <w:szCs w:val="24"/>
        </w:rPr>
        <w:t>,</w:t>
      </w:r>
      <w:r w:rsidRPr="00476DF1">
        <w:rPr>
          <w:rFonts w:ascii="Times New Roman" w:hAnsi="Times New Roman"/>
          <w:sz w:val="24"/>
          <w:szCs w:val="24"/>
        </w:rPr>
        <w:t xml:space="preserve"> this process </w:t>
      </w:r>
      <w:r w:rsidR="000B3645" w:rsidRPr="00476DF1">
        <w:rPr>
          <w:rFonts w:ascii="Times New Roman" w:hAnsi="Times New Roman"/>
          <w:sz w:val="24"/>
          <w:szCs w:val="24"/>
        </w:rPr>
        <w:t xml:space="preserve">became </w:t>
      </w:r>
      <w:r w:rsidRPr="00476DF1">
        <w:rPr>
          <w:rFonts w:ascii="Times New Roman" w:hAnsi="Times New Roman"/>
          <w:sz w:val="24"/>
          <w:szCs w:val="24"/>
        </w:rPr>
        <w:t>more intensive</w:t>
      </w:r>
      <w:r w:rsidR="00A50D45" w:rsidRPr="00476DF1">
        <w:rPr>
          <w:rFonts w:ascii="Times New Roman" w:hAnsi="Times New Roman"/>
          <w:sz w:val="24"/>
          <w:szCs w:val="24"/>
        </w:rPr>
        <w:t>,</w:t>
      </w:r>
      <w:r w:rsidRPr="00476DF1">
        <w:rPr>
          <w:rFonts w:ascii="Times New Roman" w:hAnsi="Times New Roman"/>
          <w:sz w:val="24"/>
          <w:szCs w:val="24"/>
        </w:rPr>
        <w:t xml:space="preserve"> as more classes and more </w:t>
      </w:r>
      <w:r w:rsidR="00A50D45" w:rsidRPr="00476DF1">
        <w:rPr>
          <w:rFonts w:ascii="Times New Roman" w:hAnsi="Times New Roman"/>
          <w:sz w:val="24"/>
          <w:szCs w:val="24"/>
        </w:rPr>
        <w:t>enterprises</w:t>
      </w:r>
      <w:r w:rsidRPr="00476DF1">
        <w:rPr>
          <w:rFonts w:ascii="Times New Roman" w:hAnsi="Times New Roman"/>
          <w:sz w:val="24"/>
          <w:szCs w:val="24"/>
        </w:rPr>
        <w:t xml:space="preserve"> start</w:t>
      </w:r>
      <w:r w:rsidR="00A50D45" w:rsidRPr="00476DF1">
        <w:rPr>
          <w:rFonts w:ascii="Times New Roman" w:hAnsi="Times New Roman"/>
          <w:sz w:val="24"/>
          <w:szCs w:val="24"/>
        </w:rPr>
        <w:t>ed</w:t>
      </w:r>
      <w:r w:rsidRPr="00476DF1">
        <w:rPr>
          <w:rFonts w:ascii="Times New Roman" w:hAnsi="Times New Roman"/>
          <w:sz w:val="24"/>
          <w:szCs w:val="24"/>
        </w:rPr>
        <w:t xml:space="preserve"> to develop</w:t>
      </w:r>
      <w:r w:rsidR="00A50D45" w:rsidRPr="00476DF1">
        <w:rPr>
          <w:rFonts w:ascii="Times New Roman" w:hAnsi="Times New Roman"/>
          <w:sz w:val="24"/>
          <w:szCs w:val="24"/>
        </w:rPr>
        <w:t>e</w:t>
      </w:r>
      <w:r w:rsidRPr="00476DF1">
        <w:rPr>
          <w:rFonts w:ascii="Times New Roman" w:hAnsi="Times New Roman"/>
          <w:sz w:val="24"/>
          <w:szCs w:val="24"/>
        </w:rPr>
        <w:t>d new classes.</w:t>
      </w:r>
      <w:r w:rsidR="00A50D45" w:rsidRPr="00476DF1">
        <w:rPr>
          <w:rFonts w:ascii="Times New Roman" w:hAnsi="Times New Roman"/>
          <w:sz w:val="24"/>
          <w:szCs w:val="24"/>
        </w:rPr>
        <w:t xml:space="preserve"> </w:t>
      </w:r>
      <w:r w:rsidRPr="00476DF1">
        <w:rPr>
          <w:rFonts w:ascii="Times New Roman" w:hAnsi="Times New Roman"/>
          <w:sz w:val="24"/>
          <w:szCs w:val="24"/>
        </w:rPr>
        <w:t>The</w:t>
      </w:r>
      <w:r w:rsidR="000B3645" w:rsidRPr="00476DF1">
        <w:rPr>
          <w:rFonts w:ascii="Times New Roman" w:hAnsi="Times New Roman"/>
          <w:sz w:val="24"/>
          <w:szCs w:val="24"/>
        </w:rPr>
        <w:t xml:space="preserve"> 1990s</w:t>
      </w:r>
      <w:r w:rsidRPr="00476DF1">
        <w:rPr>
          <w:rFonts w:ascii="Times New Roman" w:hAnsi="Times New Roman"/>
          <w:sz w:val="24"/>
          <w:szCs w:val="24"/>
        </w:rPr>
        <w:t xml:space="preserve"> </w:t>
      </w:r>
      <w:r w:rsidR="00A50D45" w:rsidRPr="00476DF1">
        <w:rPr>
          <w:rFonts w:ascii="Times New Roman" w:hAnsi="Times New Roman"/>
          <w:sz w:val="24"/>
          <w:szCs w:val="24"/>
        </w:rPr>
        <w:t xml:space="preserve">are distinguished by </w:t>
      </w:r>
      <w:r w:rsidR="008B648D" w:rsidRPr="00476DF1">
        <w:rPr>
          <w:rFonts w:ascii="Times New Roman" w:hAnsi="Times New Roman"/>
          <w:sz w:val="24"/>
          <w:szCs w:val="24"/>
        </w:rPr>
        <w:t>new biotechnologies, like</w:t>
      </w:r>
      <w:r w:rsidR="00A50D45" w:rsidRPr="00476DF1">
        <w:rPr>
          <w:rFonts w:ascii="Times New Roman" w:hAnsi="Times New Roman"/>
          <w:sz w:val="24"/>
          <w:szCs w:val="24"/>
        </w:rPr>
        <w:t xml:space="preserve"> High Throughput S</w:t>
      </w:r>
      <w:r w:rsidR="008B648D" w:rsidRPr="00476DF1">
        <w:rPr>
          <w:rFonts w:ascii="Times New Roman" w:hAnsi="Times New Roman"/>
          <w:sz w:val="24"/>
          <w:szCs w:val="24"/>
        </w:rPr>
        <w:t xml:space="preserve">creening, and their results </w:t>
      </w:r>
      <w:r w:rsidR="000B3645" w:rsidRPr="00476DF1">
        <w:rPr>
          <w:rFonts w:ascii="Times New Roman" w:hAnsi="Times New Roman"/>
          <w:sz w:val="24"/>
          <w:szCs w:val="24"/>
        </w:rPr>
        <w:t>appear at</w:t>
      </w:r>
      <w:r w:rsidR="008B648D" w:rsidRPr="00476DF1">
        <w:rPr>
          <w:rFonts w:ascii="Times New Roman" w:hAnsi="Times New Roman"/>
          <w:sz w:val="24"/>
          <w:szCs w:val="24"/>
        </w:rPr>
        <w:t xml:space="preserve"> </w:t>
      </w:r>
      <w:r w:rsidR="008B648D" w:rsidRPr="00476DF1">
        <w:rPr>
          <w:rFonts w:ascii="Times New Roman" w:hAnsi="Times New Roman"/>
          <w:sz w:val="24"/>
          <w:szCs w:val="24"/>
        </w:rPr>
        <w:lastRenderedPageBreak/>
        <w:t>the</w:t>
      </w:r>
      <w:r w:rsidR="00A50D45" w:rsidRPr="00476DF1">
        <w:rPr>
          <w:rFonts w:ascii="Times New Roman" w:hAnsi="Times New Roman"/>
          <w:sz w:val="24"/>
          <w:szCs w:val="24"/>
        </w:rPr>
        <w:t xml:space="preserve"> end of the </w:t>
      </w:r>
      <w:r w:rsidR="000B3645" w:rsidRPr="00476DF1">
        <w:rPr>
          <w:rFonts w:ascii="Times New Roman" w:hAnsi="Times New Roman"/>
          <w:sz w:val="24"/>
          <w:szCs w:val="24"/>
        </w:rPr>
        <w:t xml:space="preserve">1990s </w:t>
      </w:r>
      <w:r w:rsidR="00A50D45" w:rsidRPr="00476DF1">
        <w:rPr>
          <w:rFonts w:ascii="Times New Roman" w:hAnsi="Times New Roman"/>
          <w:sz w:val="24"/>
          <w:szCs w:val="24"/>
        </w:rPr>
        <w:t xml:space="preserve">and </w:t>
      </w:r>
      <w:r w:rsidR="000B3645" w:rsidRPr="00476DF1">
        <w:rPr>
          <w:rFonts w:ascii="Times New Roman" w:hAnsi="Times New Roman"/>
          <w:sz w:val="24"/>
          <w:szCs w:val="24"/>
        </w:rPr>
        <w:t xml:space="preserve">the </w:t>
      </w:r>
      <w:r w:rsidR="00A50D45" w:rsidRPr="00476DF1">
        <w:rPr>
          <w:rFonts w:ascii="Times New Roman" w:hAnsi="Times New Roman"/>
          <w:sz w:val="24"/>
          <w:szCs w:val="24"/>
        </w:rPr>
        <w:t xml:space="preserve">beginning </w:t>
      </w:r>
      <w:r w:rsidR="008B648D" w:rsidRPr="00476DF1">
        <w:rPr>
          <w:rFonts w:ascii="Times New Roman" w:hAnsi="Times New Roman"/>
          <w:sz w:val="24"/>
          <w:szCs w:val="24"/>
        </w:rPr>
        <w:t>of the 2000s (H</w:t>
      </w:r>
      <w:r w:rsidR="00F54B79" w:rsidRPr="00476DF1">
        <w:rPr>
          <w:rFonts w:ascii="Times New Roman" w:hAnsi="Times New Roman"/>
          <w:sz w:val="24"/>
          <w:szCs w:val="24"/>
        </w:rPr>
        <w:t xml:space="preserve">OUNSTON, </w:t>
      </w:r>
      <w:r w:rsidR="008B648D" w:rsidRPr="00476DF1">
        <w:rPr>
          <w:rFonts w:ascii="Times New Roman" w:hAnsi="Times New Roman"/>
          <w:sz w:val="24"/>
          <w:szCs w:val="24"/>
        </w:rPr>
        <w:t>B</w:t>
      </w:r>
      <w:r w:rsidR="00F54B79" w:rsidRPr="00476DF1">
        <w:rPr>
          <w:rFonts w:ascii="Times New Roman" w:hAnsi="Times New Roman"/>
          <w:sz w:val="24"/>
          <w:szCs w:val="24"/>
        </w:rPr>
        <w:t>ANKS</w:t>
      </w:r>
      <w:r w:rsidR="008B648D" w:rsidRPr="00476DF1">
        <w:rPr>
          <w:rFonts w:ascii="Times New Roman" w:hAnsi="Times New Roman"/>
          <w:sz w:val="24"/>
          <w:szCs w:val="24"/>
        </w:rPr>
        <w:t xml:space="preserve">, 1997; </w:t>
      </w:r>
      <w:r w:rsidR="008B648D" w:rsidRPr="00476DF1">
        <w:rPr>
          <w:rFonts w:ascii="Times New Roman" w:hAnsi="Times New Roman"/>
          <w:sz w:val="24"/>
          <w:szCs w:val="24"/>
        </w:rPr>
        <w:fldChar w:fldCharType="begin" w:fldLock="1"/>
      </w:r>
      <w:r w:rsidR="008B648D" w:rsidRPr="00476DF1">
        <w:rPr>
          <w:rFonts w:ascii="Times New Roman" w:hAnsi="Times New Roman"/>
          <w:sz w:val="24"/>
          <w:szCs w:val="24"/>
        </w:rPr>
        <w:instrText>ADDIN CSL_CITATION { "citationItems" : [ { "id" : "ITEM-1", "itemData" : { "DOI" : "10.1038/sj.bjp.0707373", "ISBN" : "0007-1188 (Print)", "ISSN" : "0007-1188", "PMID" : "17603542", "abstract" : "This article reviews the origin and evolution of high throughput screening (HTS) through the experience of an individual pharmaceutical company, revealing some of the mysteries of the early stages of drug discovery to the wider pharmacology audience. HTS in this company (Pfizer, Groton, USA) had its origin in natural products screening in 1986, by substituting fermentation broths with dimethyl sulphoxide solutions of synthetic compounds, using 96-well plates and reduced assay volumes of 50-100 microl. A nominal 30 mM source compound concentration provided high microM assay concentrations. Starting at 800 compounds each week, the process reached a steady state of 7200 compounds per week by 1989. Screening in the Applied Biotechnology and Screening Group was centralized with screens operating in lock-step to maximize efficiency. Initial screens were full files run in triplicate. Autoradiography and image analysis were introduced for (125)I receptor ligand screens. Reverse transcriptase (RT) coupled with quantitative PCR and multiplexing addressed several targets in a single assay. By 1992 HTS produced 'hits' as starting matter for approximately 40% of the Discovery portfolio. In 1995, the HTS methodology was expanded to include ADMET targets. ADME targets required each compound to be physically detected leading to the development of automated high throughput LC-MS. In 1996, 90 compounds/week were screened in microsomal, protein binding and serum stability assays. Subsequently, the mutagenic Ames assay was adapted to a 96-well plate liquid assay and novel algorithms permitted automated image analysis of the micronucleus assay. By 1999 ADME HTS was fully integrated into the discovery cycle.", "author" : [ { "dropping-particle" : "", "family" : "Pereira", "given" : "D A", "non-dropping-particle" : "", "parse-names" : false, "suffix" : "" }, { "dropping-particle" : "", "family" : "Williams", "given" : "J A", "non-dropping-particle" : "", "parse-names" : false, "suffix" : "" } ], "container-title" : "British journal of pharmacology", "id" : "ITEM-1", "issue" : "1", "issued" : { "date-parts" : [ [ "2007" ] ] }, "page" : "53-61", "title" : "Origin and evolution of high throughput screening.", "type" : "article-journal", "volume" : "152" }, "uris" : [ "http://www.mendeley.com/documents/?uuid=8096b0fb-9a6b-4046-9620-a0623341c53c" ] } ], "mendeley" : { "formattedCitation" : "(PEREIRA; WILLIAMS, 2007)", "manualFormatting" : "PEREIRA; WILLIAMS, 2007)", "plainTextFormattedCitation" : "(PEREIRA; WILLIAMS, 2007)", "previouslyFormattedCitation" : "(PEREIRA; WILLIAMS, 2007)" }, "properties" : {  }, "schema" : "https://github.com/citation-style-language/schema/raw/master/csl-citation.json" }</w:instrText>
      </w:r>
      <w:r w:rsidR="008B648D" w:rsidRPr="00476DF1">
        <w:rPr>
          <w:rFonts w:ascii="Times New Roman" w:hAnsi="Times New Roman"/>
          <w:sz w:val="24"/>
          <w:szCs w:val="24"/>
        </w:rPr>
        <w:fldChar w:fldCharType="separate"/>
      </w:r>
      <w:r w:rsidR="008B648D" w:rsidRPr="00476DF1">
        <w:rPr>
          <w:rFonts w:ascii="Times New Roman" w:hAnsi="Times New Roman"/>
          <w:noProof/>
          <w:sz w:val="24"/>
          <w:szCs w:val="24"/>
        </w:rPr>
        <w:t>PEREIRA; WILLIAMS, 2007)</w:t>
      </w:r>
      <w:r w:rsidR="008B648D" w:rsidRPr="00476DF1">
        <w:rPr>
          <w:rFonts w:ascii="Times New Roman" w:hAnsi="Times New Roman"/>
          <w:sz w:val="24"/>
          <w:szCs w:val="24"/>
        </w:rPr>
        <w:fldChar w:fldCharType="end"/>
      </w:r>
      <w:r w:rsidR="000B3645" w:rsidRPr="00476DF1">
        <w:rPr>
          <w:rFonts w:ascii="Times New Roman" w:hAnsi="Times New Roman"/>
          <w:sz w:val="24"/>
          <w:szCs w:val="24"/>
        </w:rPr>
        <w:t>. G</w:t>
      </w:r>
      <w:r w:rsidR="00A50D45" w:rsidRPr="00476DF1">
        <w:rPr>
          <w:rFonts w:ascii="Times New Roman" w:hAnsi="Times New Roman"/>
          <w:sz w:val="24"/>
          <w:szCs w:val="24"/>
        </w:rPr>
        <w:t xml:space="preserve">raphic 1 </w:t>
      </w:r>
      <w:r w:rsidR="000B3645" w:rsidRPr="00476DF1">
        <w:rPr>
          <w:rFonts w:ascii="Times New Roman" w:hAnsi="Times New Roman"/>
          <w:sz w:val="24"/>
          <w:szCs w:val="24"/>
        </w:rPr>
        <w:t>captures this process by showing</w:t>
      </w:r>
      <w:r w:rsidR="00A50D45" w:rsidRPr="00476DF1">
        <w:rPr>
          <w:rFonts w:ascii="Times New Roman" w:hAnsi="Times New Roman"/>
          <w:sz w:val="24"/>
          <w:szCs w:val="24"/>
        </w:rPr>
        <w:t xml:space="preserve"> </w:t>
      </w:r>
      <w:r w:rsidR="000B3645" w:rsidRPr="00476DF1">
        <w:rPr>
          <w:rFonts w:ascii="Times New Roman" w:hAnsi="Times New Roman"/>
          <w:sz w:val="24"/>
          <w:szCs w:val="24"/>
        </w:rPr>
        <w:t xml:space="preserve">the </w:t>
      </w:r>
      <w:r w:rsidR="00A50D45" w:rsidRPr="00476DF1">
        <w:rPr>
          <w:rFonts w:ascii="Times New Roman" w:hAnsi="Times New Roman"/>
          <w:sz w:val="24"/>
          <w:szCs w:val="24"/>
        </w:rPr>
        <w:t>increasing number of new classes</w:t>
      </w:r>
      <w:r w:rsidRPr="00476DF1">
        <w:rPr>
          <w:rFonts w:ascii="Times New Roman" w:hAnsi="Times New Roman"/>
          <w:sz w:val="24"/>
          <w:szCs w:val="24"/>
        </w:rPr>
        <w:t xml:space="preserve">. </w:t>
      </w:r>
      <w:r w:rsidR="00A50D45" w:rsidRPr="00476DF1">
        <w:rPr>
          <w:rFonts w:ascii="Times New Roman" w:hAnsi="Times New Roman"/>
          <w:sz w:val="24"/>
          <w:szCs w:val="24"/>
        </w:rPr>
        <w:t>The development slows down from 2004 onwards</w:t>
      </w:r>
      <w:r w:rsidRPr="00476DF1">
        <w:rPr>
          <w:rFonts w:ascii="Times New Roman" w:hAnsi="Times New Roman"/>
          <w:sz w:val="24"/>
          <w:szCs w:val="24"/>
        </w:rPr>
        <w:t xml:space="preserve">. </w:t>
      </w:r>
    </w:p>
    <w:p w14:paraId="7ED81C00" w14:textId="0E743024" w:rsidR="005F74F8" w:rsidRPr="00476DF1" w:rsidRDefault="00A50D45"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G</w:t>
      </w:r>
      <w:r w:rsidR="006331B7" w:rsidRPr="00476DF1">
        <w:rPr>
          <w:rFonts w:ascii="Times New Roman" w:hAnsi="Times New Roman"/>
          <w:sz w:val="24"/>
          <w:szCs w:val="24"/>
        </w:rPr>
        <w:t>raphic</w:t>
      </w:r>
      <w:r w:rsidRPr="00476DF1">
        <w:rPr>
          <w:rFonts w:ascii="Times New Roman" w:hAnsi="Times New Roman"/>
          <w:sz w:val="24"/>
          <w:szCs w:val="24"/>
        </w:rPr>
        <w:t xml:space="preserve"> 1</w:t>
      </w:r>
      <w:r w:rsidR="006331B7" w:rsidRPr="00476DF1">
        <w:rPr>
          <w:rFonts w:ascii="Times New Roman" w:hAnsi="Times New Roman"/>
          <w:sz w:val="24"/>
          <w:szCs w:val="24"/>
        </w:rPr>
        <w:t xml:space="preserve"> </w:t>
      </w:r>
      <w:r w:rsidRPr="00476DF1">
        <w:rPr>
          <w:rFonts w:ascii="Times New Roman" w:hAnsi="Times New Roman"/>
          <w:sz w:val="24"/>
          <w:szCs w:val="24"/>
        </w:rPr>
        <w:t>summarizes</w:t>
      </w:r>
      <w:r w:rsidR="006331B7" w:rsidRPr="00476DF1">
        <w:rPr>
          <w:rFonts w:ascii="Times New Roman" w:hAnsi="Times New Roman"/>
          <w:sz w:val="24"/>
          <w:szCs w:val="24"/>
        </w:rPr>
        <w:t xml:space="preserve"> the arguments of S</w:t>
      </w:r>
      <w:r w:rsidR="00F54B79" w:rsidRPr="00476DF1">
        <w:rPr>
          <w:rFonts w:ascii="Times New Roman" w:hAnsi="Times New Roman"/>
          <w:sz w:val="24"/>
          <w:szCs w:val="24"/>
        </w:rPr>
        <w:t>HARP</w:t>
      </w:r>
      <w:r w:rsidR="006331B7" w:rsidRPr="00476DF1">
        <w:rPr>
          <w:rFonts w:ascii="Times New Roman" w:hAnsi="Times New Roman"/>
          <w:sz w:val="24"/>
          <w:szCs w:val="24"/>
        </w:rPr>
        <w:t xml:space="preserve"> (1996) and M</w:t>
      </w:r>
      <w:r w:rsidR="00F54B79" w:rsidRPr="00476DF1">
        <w:rPr>
          <w:rFonts w:ascii="Times New Roman" w:hAnsi="Times New Roman"/>
          <w:sz w:val="24"/>
          <w:szCs w:val="24"/>
        </w:rPr>
        <w:t>ALERBA; ORSENIGO</w:t>
      </w:r>
      <w:r w:rsidR="006331B7" w:rsidRPr="00476DF1">
        <w:rPr>
          <w:rFonts w:ascii="Times New Roman" w:hAnsi="Times New Roman"/>
          <w:sz w:val="24"/>
          <w:szCs w:val="24"/>
        </w:rPr>
        <w:t xml:space="preserve"> (2015)</w:t>
      </w:r>
      <w:r w:rsidR="000B3645" w:rsidRPr="00476DF1">
        <w:rPr>
          <w:rFonts w:ascii="Times New Roman" w:hAnsi="Times New Roman"/>
          <w:sz w:val="24"/>
          <w:szCs w:val="24"/>
        </w:rPr>
        <w:t>, who</w:t>
      </w:r>
      <w:r w:rsidR="006331B7" w:rsidRPr="00476DF1">
        <w:rPr>
          <w:rFonts w:ascii="Times New Roman" w:hAnsi="Times New Roman"/>
          <w:sz w:val="24"/>
          <w:szCs w:val="24"/>
        </w:rPr>
        <w:t xml:space="preserve"> point to </w:t>
      </w:r>
      <w:r w:rsidR="000B3645" w:rsidRPr="00476DF1">
        <w:rPr>
          <w:rFonts w:ascii="Times New Roman" w:hAnsi="Times New Roman"/>
          <w:sz w:val="24"/>
          <w:szCs w:val="24"/>
        </w:rPr>
        <w:t xml:space="preserve">the </w:t>
      </w:r>
      <w:r w:rsidR="00787EE9" w:rsidRPr="00476DF1">
        <w:rPr>
          <w:rFonts w:ascii="Times New Roman" w:hAnsi="Times New Roman"/>
          <w:sz w:val="24"/>
          <w:szCs w:val="24"/>
        </w:rPr>
        <w:t xml:space="preserve">scattered </w:t>
      </w:r>
      <w:r w:rsidR="006331B7" w:rsidRPr="00476DF1">
        <w:rPr>
          <w:rFonts w:ascii="Times New Roman" w:hAnsi="Times New Roman"/>
          <w:sz w:val="24"/>
          <w:szCs w:val="24"/>
        </w:rPr>
        <w:t xml:space="preserve">and slow development of </w:t>
      </w:r>
      <w:r w:rsidR="00787EE9" w:rsidRPr="00476DF1">
        <w:rPr>
          <w:rFonts w:ascii="Times New Roman" w:hAnsi="Times New Roman"/>
          <w:sz w:val="24"/>
          <w:szCs w:val="24"/>
        </w:rPr>
        <w:t>biotechnologies</w:t>
      </w:r>
      <w:r w:rsidR="006331B7" w:rsidRPr="00476DF1">
        <w:rPr>
          <w:rFonts w:ascii="Times New Roman" w:hAnsi="Times New Roman"/>
          <w:sz w:val="24"/>
          <w:szCs w:val="24"/>
        </w:rPr>
        <w:t xml:space="preserve"> among the </w:t>
      </w:r>
      <w:r w:rsidR="000B3645" w:rsidRPr="00476DF1">
        <w:rPr>
          <w:rFonts w:ascii="Times New Roman" w:hAnsi="Times New Roman"/>
          <w:sz w:val="24"/>
          <w:szCs w:val="24"/>
        </w:rPr>
        <w:t xml:space="preserve">large </w:t>
      </w:r>
      <w:r w:rsidR="00787EE9" w:rsidRPr="00476DF1">
        <w:rPr>
          <w:rFonts w:ascii="Times New Roman" w:hAnsi="Times New Roman"/>
          <w:sz w:val="24"/>
          <w:szCs w:val="24"/>
        </w:rPr>
        <w:t>e</w:t>
      </w:r>
      <w:r w:rsidR="006331B7" w:rsidRPr="00476DF1">
        <w:rPr>
          <w:rFonts w:ascii="Times New Roman" w:hAnsi="Times New Roman"/>
          <w:sz w:val="24"/>
          <w:szCs w:val="24"/>
        </w:rPr>
        <w:t>nte</w:t>
      </w:r>
      <w:r w:rsidR="00787EE9" w:rsidRPr="00476DF1">
        <w:rPr>
          <w:rFonts w:ascii="Times New Roman" w:hAnsi="Times New Roman"/>
          <w:sz w:val="24"/>
          <w:szCs w:val="24"/>
        </w:rPr>
        <w:t>r</w:t>
      </w:r>
      <w:r w:rsidR="006331B7" w:rsidRPr="00476DF1">
        <w:rPr>
          <w:rFonts w:ascii="Times New Roman" w:hAnsi="Times New Roman"/>
          <w:sz w:val="24"/>
          <w:szCs w:val="24"/>
        </w:rPr>
        <w:t xml:space="preserve">prises. </w:t>
      </w:r>
      <w:r w:rsidR="000B3645" w:rsidRPr="00476DF1">
        <w:rPr>
          <w:rFonts w:ascii="Times New Roman" w:hAnsi="Times New Roman"/>
          <w:sz w:val="24"/>
          <w:szCs w:val="24"/>
        </w:rPr>
        <w:t>Over time, and as</w:t>
      </w:r>
      <w:r w:rsidR="006331B7" w:rsidRPr="00476DF1">
        <w:rPr>
          <w:rFonts w:ascii="Times New Roman" w:hAnsi="Times New Roman"/>
          <w:sz w:val="24"/>
          <w:szCs w:val="24"/>
        </w:rPr>
        <w:t xml:space="preserve"> collaborations between large and small ent</w:t>
      </w:r>
      <w:r w:rsidR="00787EE9" w:rsidRPr="00476DF1">
        <w:rPr>
          <w:rFonts w:ascii="Times New Roman" w:hAnsi="Times New Roman"/>
          <w:sz w:val="24"/>
          <w:szCs w:val="24"/>
        </w:rPr>
        <w:t>er</w:t>
      </w:r>
      <w:r w:rsidR="006331B7" w:rsidRPr="00476DF1">
        <w:rPr>
          <w:rFonts w:ascii="Times New Roman" w:hAnsi="Times New Roman"/>
          <w:sz w:val="24"/>
          <w:szCs w:val="24"/>
        </w:rPr>
        <w:t>prises increase</w:t>
      </w:r>
      <w:r w:rsidR="000B3645" w:rsidRPr="00476DF1">
        <w:rPr>
          <w:rFonts w:ascii="Times New Roman" w:hAnsi="Times New Roman"/>
          <w:sz w:val="24"/>
          <w:szCs w:val="24"/>
        </w:rPr>
        <w:t>d</w:t>
      </w:r>
      <w:r w:rsidR="006331B7" w:rsidRPr="00476DF1">
        <w:rPr>
          <w:rFonts w:ascii="Times New Roman" w:hAnsi="Times New Roman"/>
          <w:sz w:val="24"/>
          <w:szCs w:val="24"/>
        </w:rPr>
        <w:t xml:space="preserve"> (S</w:t>
      </w:r>
      <w:r w:rsidR="00F54B79" w:rsidRPr="00476DF1">
        <w:rPr>
          <w:rFonts w:ascii="Times New Roman" w:hAnsi="Times New Roman"/>
          <w:sz w:val="24"/>
          <w:szCs w:val="24"/>
        </w:rPr>
        <w:t>HARP</w:t>
      </w:r>
      <w:r w:rsidR="006331B7" w:rsidRPr="00476DF1">
        <w:rPr>
          <w:rFonts w:ascii="Times New Roman" w:hAnsi="Times New Roman"/>
          <w:sz w:val="24"/>
          <w:szCs w:val="24"/>
        </w:rPr>
        <w:t>, 1996</w:t>
      </w:r>
      <w:r w:rsidR="00F54B79" w:rsidRPr="00476DF1">
        <w:rPr>
          <w:rFonts w:ascii="Times New Roman" w:hAnsi="Times New Roman"/>
          <w:sz w:val="24"/>
          <w:szCs w:val="24"/>
        </w:rPr>
        <w:t>;</w:t>
      </w:r>
      <w:r w:rsidR="006331B7" w:rsidRPr="00476DF1">
        <w:rPr>
          <w:rFonts w:ascii="Times New Roman" w:hAnsi="Times New Roman"/>
          <w:sz w:val="24"/>
          <w:szCs w:val="24"/>
        </w:rPr>
        <w:t xml:space="preserve"> OECD</w:t>
      </w:r>
      <w:r w:rsidR="00F54B79" w:rsidRPr="00476DF1">
        <w:rPr>
          <w:rFonts w:ascii="Times New Roman" w:hAnsi="Times New Roman"/>
          <w:sz w:val="24"/>
          <w:szCs w:val="24"/>
        </w:rPr>
        <w:t>, 2013</w:t>
      </w:r>
      <w:r w:rsidR="006331B7" w:rsidRPr="00476DF1">
        <w:rPr>
          <w:rFonts w:ascii="Times New Roman" w:hAnsi="Times New Roman"/>
          <w:sz w:val="24"/>
          <w:szCs w:val="24"/>
        </w:rPr>
        <w:t>)</w:t>
      </w:r>
      <w:r w:rsidR="000B3645" w:rsidRPr="00476DF1">
        <w:rPr>
          <w:rFonts w:ascii="Times New Roman" w:hAnsi="Times New Roman"/>
          <w:sz w:val="24"/>
          <w:szCs w:val="24"/>
        </w:rPr>
        <w:t>,</w:t>
      </w:r>
      <w:r w:rsidR="006331B7" w:rsidRPr="00476DF1">
        <w:rPr>
          <w:rFonts w:ascii="Times New Roman" w:hAnsi="Times New Roman"/>
          <w:sz w:val="24"/>
          <w:szCs w:val="24"/>
        </w:rPr>
        <w:t xml:space="preserve"> the development of biotechnologies </w:t>
      </w:r>
      <w:r w:rsidR="000B3645" w:rsidRPr="00476DF1">
        <w:rPr>
          <w:rFonts w:ascii="Times New Roman" w:hAnsi="Times New Roman"/>
          <w:sz w:val="24"/>
          <w:szCs w:val="24"/>
        </w:rPr>
        <w:t>increased</w:t>
      </w:r>
      <w:r w:rsidR="006331B7" w:rsidRPr="00476DF1">
        <w:rPr>
          <w:rFonts w:ascii="Times New Roman" w:hAnsi="Times New Roman"/>
          <w:sz w:val="24"/>
          <w:szCs w:val="24"/>
        </w:rPr>
        <w:t xml:space="preserve">. Another important </w:t>
      </w:r>
      <w:r w:rsidR="00F54B79" w:rsidRPr="00476DF1">
        <w:rPr>
          <w:rFonts w:ascii="Times New Roman" w:hAnsi="Times New Roman"/>
          <w:sz w:val="24"/>
          <w:szCs w:val="24"/>
        </w:rPr>
        <w:t>element</w:t>
      </w:r>
      <w:r w:rsidR="006331B7" w:rsidRPr="00476DF1">
        <w:rPr>
          <w:rFonts w:ascii="Times New Roman" w:hAnsi="Times New Roman"/>
          <w:sz w:val="24"/>
          <w:szCs w:val="24"/>
        </w:rPr>
        <w:t xml:space="preserve"> is the Bay</w:t>
      </w:r>
      <w:r w:rsidR="00F54B79" w:rsidRPr="00476DF1">
        <w:rPr>
          <w:rFonts w:ascii="Times New Roman" w:hAnsi="Times New Roman"/>
          <w:sz w:val="24"/>
          <w:szCs w:val="24"/>
        </w:rPr>
        <w:t>h</w:t>
      </w:r>
      <w:r w:rsidR="006331B7" w:rsidRPr="00476DF1">
        <w:rPr>
          <w:rFonts w:ascii="Times New Roman" w:hAnsi="Times New Roman"/>
          <w:sz w:val="24"/>
          <w:szCs w:val="24"/>
        </w:rPr>
        <w:t>-</w:t>
      </w:r>
      <w:r w:rsidR="00F54B79" w:rsidRPr="00476DF1">
        <w:rPr>
          <w:rFonts w:ascii="Times New Roman" w:hAnsi="Times New Roman"/>
          <w:sz w:val="24"/>
          <w:szCs w:val="24"/>
        </w:rPr>
        <w:t>D</w:t>
      </w:r>
      <w:r w:rsidR="006331B7" w:rsidRPr="00476DF1">
        <w:rPr>
          <w:rFonts w:ascii="Times New Roman" w:hAnsi="Times New Roman"/>
          <w:sz w:val="24"/>
          <w:szCs w:val="24"/>
        </w:rPr>
        <w:t xml:space="preserve">ole act </w:t>
      </w:r>
      <w:r w:rsidR="00F54B79" w:rsidRPr="00476DF1">
        <w:rPr>
          <w:rFonts w:ascii="Times New Roman" w:hAnsi="Times New Roman"/>
          <w:sz w:val="24"/>
          <w:szCs w:val="24"/>
        </w:rPr>
        <w:t>of 1980</w:t>
      </w:r>
      <w:r w:rsidR="000B3645" w:rsidRPr="00476DF1">
        <w:rPr>
          <w:rFonts w:ascii="Times New Roman" w:hAnsi="Times New Roman"/>
          <w:sz w:val="24"/>
          <w:szCs w:val="24"/>
        </w:rPr>
        <w:t>, which</w:t>
      </w:r>
      <w:r w:rsidR="006331B7" w:rsidRPr="00476DF1">
        <w:rPr>
          <w:rFonts w:ascii="Times New Roman" w:hAnsi="Times New Roman"/>
          <w:sz w:val="24"/>
          <w:szCs w:val="24"/>
        </w:rPr>
        <w:t xml:space="preserve"> allow</w:t>
      </w:r>
      <w:r w:rsidR="000B3645" w:rsidRPr="00476DF1">
        <w:rPr>
          <w:rFonts w:ascii="Times New Roman" w:hAnsi="Times New Roman"/>
          <w:sz w:val="24"/>
          <w:szCs w:val="24"/>
        </w:rPr>
        <w:t>s</w:t>
      </w:r>
      <w:r w:rsidR="006331B7" w:rsidRPr="00476DF1">
        <w:rPr>
          <w:rFonts w:ascii="Times New Roman" w:hAnsi="Times New Roman"/>
          <w:sz w:val="24"/>
          <w:szCs w:val="24"/>
        </w:rPr>
        <w:t xml:space="preserve"> research</w:t>
      </w:r>
      <w:r w:rsidR="00F54B79" w:rsidRPr="00476DF1">
        <w:rPr>
          <w:rFonts w:ascii="Times New Roman" w:hAnsi="Times New Roman"/>
          <w:sz w:val="24"/>
          <w:szCs w:val="24"/>
        </w:rPr>
        <w:t>er</w:t>
      </w:r>
      <w:r w:rsidR="006331B7" w:rsidRPr="00476DF1">
        <w:rPr>
          <w:rFonts w:ascii="Times New Roman" w:hAnsi="Times New Roman"/>
          <w:sz w:val="24"/>
          <w:szCs w:val="24"/>
        </w:rPr>
        <w:t>s and universit</w:t>
      </w:r>
      <w:r w:rsidR="00F54B79" w:rsidRPr="00476DF1">
        <w:rPr>
          <w:rFonts w:ascii="Times New Roman" w:hAnsi="Times New Roman"/>
          <w:sz w:val="24"/>
          <w:szCs w:val="24"/>
        </w:rPr>
        <w:t>ies</w:t>
      </w:r>
      <w:r w:rsidR="006331B7" w:rsidRPr="00476DF1">
        <w:rPr>
          <w:rFonts w:ascii="Times New Roman" w:hAnsi="Times New Roman"/>
          <w:sz w:val="24"/>
          <w:szCs w:val="24"/>
        </w:rPr>
        <w:t xml:space="preserve"> to </w:t>
      </w:r>
      <w:r w:rsidR="00F54B79" w:rsidRPr="00476DF1">
        <w:rPr>
          <w:rFonts w:ascii="Times New Roman" w:hAnsi="Times New Roman"/>
          <w:sz w:val="24"/>
          <w:szCs w:val="24"/>
        </w:rPr>
        <w:t>own and commercialize</w:t>
      </w:r>
      <w:r w:rsidR="006331B7" w:rsidRPr="00476DF1">
        <w:rPr>
          <w:rFonts w:ascii="Times New Roman" w:hAnsi="Times New Roman"/>
          <w:sz w:val="24"/>
          <w:szCs w:val="24"/>
        </w:rPr>
        <w:t xml:space="preserve"> their research outputs</w:t>
      </w:r>
      <w:r w:rsidR="00CB5E62" w:rsidRPr="00476DF1">
        <w:rPr>
          <w:rFonts w:ascii="Times New Roman" w:hAnsi="Times New Roman"/>
          <w:sz w:val="24"/>
          <w:szCs w:val="24"/>
        </w:rPr>
        <w:t>.</w:t>
      </w:r>
      <w:r w:rsidR="006331B7" w:rsidRPr="00476DF1">
        <w:rPr>
          <w:rFonts w:ascii="Times New Roman" w:hAnsi="Times New Roman"/>
          <w:sz w:val="24"/>
          <w:szCs w:val="24"/>
        </w:rPr>
        <w:t xml:space="preserve"> </w:t>
      </w:r>
    </w:p>
    <w:p w14:paraId="08F1ED9D" w14:textId="1C94FFCF" w:rsidR="00671FCB" w:rsidRPr="00476DF1" w:rsidRDefault="006331B7"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The </w:t>
      </w:r>
      <w:r w:rsidR="000B3645" w:rsidRPr="00476DF1">
        <w:rPr>
          <w:rFonts w:ascii="Times New Roman" w:hAnsi="Times New Roman"/>
          <w:sz w:val="24"/>
          <w:szCs w:val="24"/>
        </w:rPr>
        <w:t>figure overall shows an</w:t>
      </w:r>
      <w:r w:rsidRPr="00476DF1">
        <w:rPr>
          <w:rFonts w:ascii="Times New Roman" w:hAnsi="Times New Roman"/>
          <w:sz w:val="24"/>
          <w:szCs w:val="24"/>
        </w:rPr>
        <w:t xml:space="preserve"> e</w:t>
      </w:r>
      <w:r w:rsidR="00CB5E62" w:rsidRPr="00476DF1">
        <w:rPr>
          <w:rFonts w:ascii="Times New Roman" w:hAnsi="Times New Roman"/>
          <w:sz w:val="24"/>
          <w:szCs w:val="24"/>
        </w:rPr>
        <w:t>volutionary p</w:t>
      </w:r>
      <w:r w:rsidRPr="00476DF1">
        <w:rPr>
          <w:rFonts w:ascii="Times New Roman" w:hAnsi="Times New Roman"/>
          <w:sz w:val="24"/>
          <w:szCs w:val="24"/>
        </w:rPr>
        <w:t xml:space="preserve">erspective </w:t>
      </w:r>
      <w:r w:rsidR="000B3645" w:rsidRPr="00476DF1">
        <w:rPr>
          <w:rFonts w:ascii="Times New Roman" w:hAnsi="Times New Roman"/>
          <w:sz w:val="24"/>
          <w:szCs w:val="24"/>
        </w:rPr>
        <w:t>indicating</w:t>
      </w:r>
      <w:r w:rsidR="00671FCB" w:rsidRPr="00476DF1">
        <w:rPr>
          <w:rFonts w:ascii="Times New Roman" w:eastAsia="Times New Roman" w:hAnsi="Times New Roman"/>
          <w:sz w:val="24"/>
          <w:szCs w:val="24"/>
          <w:shd w:val="clear" w:color="auto" w:fill="FFFFFF"/>
        </w:rPr>
        <w:t xml:space="preserve"> that biotechnology "follows a well-established, historical pattern of slow and incremental of technological diffusion"</w:t>
      </w:r>
      <w:r w:rsidR="000B3645" w:rsidRPr="00476DF1">
        <w:rPr>
          <w:rFonts w:ascii="Times New Roman" w:eastAsia="Times New Roman" w:hAnsi="Times New Roman"/>
          <w:sz w:val="24"/>
          <w:szCs w:val="24"/>
          <w:shd w:val="clear" w:color="auto" w:fill="FFFFFF"/>
        </w:rPr>
        <w:t xml:space="preserve"> </w:t>
      </w:r>
      <w:r w:rsidR="00671FCB" w:rsidRPr="00476DF1">
        <w:rPr>
          <w:rFonts w:ascii="Times New Roman" w:eastAsia="Times New Roman" w:hAnsi="Times New Roman"/>
          <w:sz w:val="24"/>
          <w:szCs w:val="24"/>
          <w:shd w:val="clear" w:color="auto" w:fill="FFFFFF"/>
        </w:rPr>
        <w:t>(</w:t>
      </w:r>
      <w:r w:rsidR="00780B69" w:rsidRPr="00476DF1">
        <w:rPr>
          <w:rFonts w:ascii="Times New Roman" w:eastAsia="Times New Roman" w:hAnsi="Times New Roman"/>
          <w:sz w:val="24"/>
          <w:szCs w:val="24"/>
          <w:shd w:val="clear" w:color="auto" w:fill="FFFFFF"/>
        </w:rPr>
        <w:t>NIGHTINGALE AND MARTIN</w:t>
      </w:r>
      <w:r w:rsidR="00671FCB" w:rsidRPr="00476DF1">
        <w:rPr>
          <w:rFonts w:ascii="Times New Roman" w:eastAsia="Times New Roman" w:hAnsi="Times New Roman"/>
          <w:sz w:val="24"/>
          <w:szCs w:val="24"/>
          <w:shd w:val="clear" w:color="auto" w:fill="FFFFFF"/>
        </w:rPr>
        <w:t>, 2004, pg. 564)</w:t>
      </w:r>
      <w:r w:rsidR="000B3645" w:rsidRPr="00476DF1">
        <w:rPr>
          <w:rFonts w:ascii="Times New Roman" w:eastAsia="Times New Roman" w:hAnsi="Times New Roman"/>
          <w:sz w:val="24"/>
          <w:szCs w:val="24"/>
          <w:shd w:val="clear" w:color="auto" w:fill="FFFFFF"/>
        </w:rPr>
        <w:t>,</w:t>
      </w:r>
      <w:r w:rsidR="00671FCB" w:rsidRPr="00476DF1">
        <w:rPr>
          <w:rFonts w:ascii="Times New Roman" w:eastAsia="Times New Roman" w:hAnsi="Times New Roman"/>
          <w:sz w:val="24"/>
          <w:szCs w:val="24"/>
          <w:shd w:val="clear" w:color="auto" w:fill="FFFFFF"/>
        </w:rPr>
        <w:t xml:space="preserve"> in which </w:t>
      </w:r>
      <w:r w:rsidR="000B3645" w:rsidRPr="00476DF1">
        <w:rPr>
          <w:rFonts w:ascii="Times New Roman" w:eastAsia="Times New Roman" w:hAnsi="Times New Roman"/>
          <w:sz w:val="24"/>
          <w:szCs w:val="24"/>
          <w:shd w:val="clear" w:color="auto" w:fill="FFFFFF"/>
        </w:rPr>
        <w:t xml:space="preserve">large pharmaceutical companies are gradually incorporating </w:t>
      </w:r>
      <w:r w:rsidR="00671FCB" w:rsidRPr="00476DF1">
        <w:rPr>
          <w:rFonts w:ascii="Times New Roman" w:eastAsia="Times New Roman" w:hAnsi="Times New Roman"/>
          <w:sz w:val="24"/>
          <w:szCs w:val="24"/>
          <w:shd w:val="clear" w:color="auto" w:fill="FFFFFF"/>
        </w:rPr>
        <w:t xml:space="preserve">new technology </w:t>
      </w:r>
      <w:r w:rsidR="00A231AA" w:rsidRPr="00476DF1">
        <w:rPr>
          <w:rFonts w:ascii="Times New Roman" w:eastAsia="Times New Roman" w:hAnsi="Times New Roman"/>
          <w:sz w:val="24"/>
          <w:szCs w:val="24"/>
          <w:shd w:val="clear" w:color="auto" w:fill="FFFFFF"/>
        </w:rPr>
        <w:fldChar w:fldCharType="begin" w:fldLock="1"/>
      </w:r>
      <w:r w:rsidR="00A231AA" w:rsidRPr="00476DF1">
        <w:rPr>
          <w:rFonts w:ascii="Times New Roman" w:eastAsia="Times New Roman" w:hAnsi="Times New Roman"/>
          <w:sz w:val="24"/>
          <w:szCs w:val="24"/>
          <w:shd w:val="clear" w:color="auto" w:fill="FFFFFF"/>
        </w:rPr>
        <w:instrText>ADDIN CSL_CITATION { "citationItems" : [ { "id" : "ITEM-1", "itemData" : { "DOI" : "10.1016/S0048-7333(97)00017-6", "ISBN" : "2-4", "ISSN" : "00487333", "abstract" : "Management of successful incumbent firms experience difficulty in recognizing the need for, and effecting change in the firm's technological identity after an externally generated shift in the industry's technological trajectory. Nonetheless, some large pharmaceutical firms have transformed their technological identity in drug discovery from a chemical/random screening to biological/drug design model. We report how one of the world's most successful incumbents transformed. Technically sophisticated senior management championed the transformation. It was achieved primarily through hiring many new scientists embodying biotechnology; existing personnel acquired the expertise or left. Continual self-transformation is part of the corporate ethos. Some differences in incumbent and entrant technology remain: incumbents use a wider range of techniques consistent with their complementary assets. Publication and incentive compensation policies are driven by the need to attract and retain the best scientists. Professor-firm collaborations are ubiquitous, often non-public, and best identified in quantitative analyses by co-publishing. Collaborations with new biotechnology firms are used primarily to substitute for developing internal expertise judged of marginal value. No drug-discovery collaborations exist with other major incumbents. We identify another seven or eight incumbents similarly transforming as indicated by top scientific talent and patenting success.", "author" : [ { "dropping-particle" : "", "family" : "Zucker", "given" : "Lynne G.", "non-dropping-particle" : "", "parse-names" : false, "suffix" : "" }, { "dropping-particle" : "", "family" : "Darby", "given" : "Michael R.", "non-dropping-particle" : "", "parse-names" : false, "suffix" : "" } ], "container-title" : "Research Policy", "id" : "ITEM-1", "issue" : "4-5", "issued" : { "date-parts" : [ [ "1997" ] ] }, "page" : "429-446", "title" : "Present at the biotechnological revolution: transformation of technological identity for a large incumbent pharmaceutical firm", "type" : "article-journal", "volume" : "26" }, "uris" : [ "http://www.mendeley.com/documents/?uuid=5f5b2663-1896-4913-9df0-9cd63513d0de" ] } ], "mendeley" : { "formattedCitation" : "(ZUCKER; DARBY, 1997)", "plainTextFormattedCitation" : "(ZUCKER; DARBY, 1997)", "previouslyFormattedCitation" : "(ZUCKER; DARBY, 1997)" }, "properties" : {  }, "schema" : "https://github.com/citation-style-language/schema/raw/master/csl-citation.json" }</w:instrText>
      </w:r>
      <w:r w:rsidR="00A231AA" w:rsidRPr="00476DF1">
        <w:rPr>
          <w:rFonts w:ascii="Times New Roman" w:eastAsia="Times New Roman" w:hAnsi="Times New Roman"/>
          <w:sz w:val="24"/>
          <w:szCs w:val="24"/>
          <w:shd w:val="clear" w:color="auto" w:fill="FFFFFF"/>
        </w:rPr>
        <w:fldChar w:fldCharType="separate"/>
      </w:r>
      <w:r w:rsidR="00A231AA" w:rsidRPr="00476DF1">
        <w:rPr>
          <w:rFonts w:ascii="Times New Roman" w:eastAsia="Times New Roman" w:hAnsi="Times New Roman"/>
          <w:noProof/>
          <w:sz w:val="24"/>
          <w:szCs w:val="24"/>
          <w:shd w:val="clear" w:color="auto" w:fill="FFFFFF"/>
        </w:rPr>
        <w:t>(ZUCKER; DARBY, 1997)</w:t>
      </w:r>
      <w:r w:rsidR="00A231AA" w:rsidRPr="00476DF1">
        <w:rPr>
          <w:rFonts w:ascii="Times New Roman" w:eastAsia="Times New Roman" w:hAnsi="Times New Roman"/>
          <w:sz w:val="24"/>
          <w:szCs w:val="24"/>
          <w:shd w:val="clear" w:color="auto" w:fill="FFFFFF"/>
        </w:rPr>
        <w:fldChar w:fldCharType="end"/>
      </w:r>
      <w:r w:rsidR="00671FCB" w:rsidRPr="00476DF1">
        <w:rPr>
          <w:rFonts w:ascii="Times New Roman" w:eastAsia="Times New Roman" w:hAnsi="Times New Roman"/>
          <w:sz w:val="24"/>
          <w:szCs w:val="24"/>
          <w:shd w:val="clear" w:color="auto" w:fill="FFFFFF"/>
        </w:rPr>
        <w:t>.</w:t>
      </w:r>
      <w:r w:rsidR="00FD3FAF" w:rsidRPr="00476DF1">
        <w:rPr>
          <w:rFonts w:ascii="Times New Roman" w:eastAsia="Times New Roman" w:hAnsi="Times New Roman"/>
          <w:sz w:val="24"/>
          <w:szCs w:val="24"/>
          <w:shd w:val="clear" w:color="auto" w:fill="FFFFFF"/>
        </w:rPr>
        <w:t xml:space="preserve"> </w:t>
      </w:r>
    </w:p>
    <w:p w14:paraId="44355B14" w14:textId="1D0524E5" w:rsidR="00CD264E" w:rsidRPr="00476DF1" w:rsidRDefault="00A231AA"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Based </w:t>
      </w:r>
      <w:r w:rsidR="000B3645" w:rsidRPr="00476DF1">
        <w:rPr>
          <w:rFonts w:ascii="Times New Roman" w:hAnsi="Times New Roman"/>
          <w:sz w:val="24"/>
          <w:szCs w:val="24"/>
        </w:rPr>
        <w:t xml:space="preserve">on </w:t>
      </w:r>
      <w:r w:rsidR="00780B69" w:rsidRPr="00476DF1">
        <w:rPr>
          <w:rFonts w:ascii="Times New Roman" w:hAnsi="Times New Roman"/>
          <w:sz w:val="24"/>
          <w:szCs w:val="24"/>
        </w:rPr>
        <w:t>Figure</w:t>
      </w:r>
      <w:r w:rsidR="009D7A0F" w:rsidRPr="00476DF1">
        <w:rPr>
          <w:rFonts w:ascii="Times New Roman" w:hAnsi="Times New Roman"/>
          <w:sz w:val="24"/>
          <w:szCs w:val="24"/>
        </w:rPr>
        <w:t xml:space="preserve"> 2</w:t>
      </w:r>
      <w:r w:rsidRPr="00476DF1">
        <w:rPr>
          <w:rFonts w:ascii="Times New Roman" w:hAnsi="Times New Roman"/>
          <w:sz w:val="24"/>
          <w:szCs w:val="24"/>
        </w:rPr>
        <w:t xml:space="preserve">, the </w:t>
      </w:r>
      <w:r w:rsidR="00B96707" w:rsidRPr="00476DF1">
        <w:rPr>
          <w:rFonts w:ascii="Times New Roman" w:hAnsi="Times New Roman"/>
          <w:sz w:val="24"/>
          <w:szCs w:val="24"/>
        </w:rPr>
        <w:t xml:space="preserve">technical contribution of small enterprises allows the </w:t>
      </w:r>
      <w:r w:rsidR="002D2E66" w:rsidRPr="00476DF1">
        <w:rPr>
          <w:rFonts w:ascii="Times New Roman" w:hAnsi="Times New Roman"/>
          <w:sz w:val="24"/>
          <w:szCs w:val="24"/>
        </w:rPr>
        <w:t>Big P</w:t>
      </w:r>
      <w:r w:rsidR="00B96707" w:rsidRPr="00476DF1">
        <w:rPr>
          <w:rFonts w:ascii="Times New Roman" w:hAnsi="Times New Roman"/>
          <w:sz w:val="24"/>
          <w:szCs w:val="24"/>
        </w:rPr>
        <w:t xml:space="preserve">harma </w:t>
      </w:r>
      <w:r w:rsidR="000B3645" w:rsidRPr="00476DF1">
        <w:rPr>
          <w:rFonts w:ascii="Times New Roman" w:hAnsi="Times New Roman"/>
          <w:sz w:val="24"/>
          <w:szCs w:val="24"/>
        </w:rPr>
        <w:t xml:space="preserve">firms </w:t>
      </w:r>
      <w:r w:rsidR="00F429BA" w:rsidRPr="00476DF1">
        <w:rPr>
          <w:rFonts w:ascii="Times New Roman" w:hAnsi="Times New Roman"/>
          <w:sz w:val="24"/>
          <w:szCs w:val="24"/>
        </w:rPr>
        <w:t xml:space="preserve">to </w:t>
      </w:r>
      <w:r w:rsidR="00B96707" w:rsidRPr="00476DF1">
        <w:rPr>
          <w:rFonts w:ascii="Times New Roman" w:hAnsi="Times New Roman"/>
          <w:sz w:val="24"/>
          <w:szCs w:val="24"/>
        </w:rPr>
        <w:t>further develop elements t</w:t>
      </w:r>
      <w:r w:rsidR="002D2E66" w:rsidRPr="00476DF1">
        <w:rPr>
          <w:rFonts w:ascii="Times New Roman" w:hAnsi="Times New Roman"/>
          <w:sz w:val="24"/>
          <w:szCs w:val="24"/>
        </w:rPr>
        <w:t>ha</w:t>
      </w:r>
      <w:r w:rsidR="00B96707" w:rsidRPr="00476DF1">
        <w:rPr>
          <w:rFonts w:ascii="Times New Roman" w:hAnsi="Times New Roman"/>
          <w:sz w:val="24"/>
          <w:szCs w:val="24"/>
        </w:rPr>
        <w:t>t it started in the past</w:t>
      </w:r>
      <w:r w:rsidR="00574610" w:rsidRPr="00476DF1">
        <w:rPr>
          <w:rFonts w:ascii="Times New Roman" w:hAnsi="Times New Roman"/>
          <w:sz w:val="24"/>
          <w:szCs w:val="24"/>
        </w:rPr>
        <w:t>.</w:t>
      </w:r>
      <w:r w:rsidRPr="00476DF1">
        <w:rPr>
          <w:rFonts w:ascii="Times New Roman" w:hAnsi="Times New Roman"/>
          <w:sz w:val="24"/>
          <w:szCs w:val="24"/>
        </w:rPr>
        <w:t xml:space="preserve"> </w:t>
      </w:r>
      <w:r w:rsidR="00574610" w:rsidRPr="00476DF1">
        <w:rPr>
          <w:rFonts w:ascii="Times New Roman" w:hAnsi="Times New Roman"/>
          <w:sz w:val="24"/>
          <w:szCs w:val="24"/>
        </w:rPr>
        <w:t>T</w:t>
      </w:r>
      <w:r w:rsidR="00C32AEE" w:rsidRPr="00476DF1">
        <w:rPr>
          <w:rFonts w:ascii="Times New Roman" w:hAnsi="Times New Roman"/>
          <w:sz w:val="24"/>
          <w:szCs w:val="24"/>
        </w:rPr>
        <w:t>he gre</w:t>
      </w:r>
      <w:r w:rsidR="00EB185D" w:rsidRPr="00476DF1">
        <w:rPr>
          <w:rFonts w:ascii="Times New Roman" w:hAnsi="Times New Roman"/>
          <w:sz w:val="24"/>
          <w:szCs w:val="24"/>
        </w:rPr>
        <w:t>a</w:t>
      </w:r>
      <w:r w:rsidR="00C32AEE" w:rsidRPr="00476DF1">
        <w:rPr>
          <w:rFonts w:ascii="Times New Roman" w:hAnsi="Times New Roman"/>
          <w:sz w:val="24"/>
          <w:szCs w:val="24"/>
        </w:rPr>
        <w:t>t majority of classes were developed before the acquisition of the</w:t>
      </w:r>
      <w:r w:rsidR="004F2813" w:rsidRPr="00476DF1">
        <w:rPr>
          <w:rFonts w:ascii="Times New Roman" w:hAnsi="Times New Roman"/>
          <w:sz w:val="24"/>
          <w:szCs w:val="24"/>
        </w:rPr>
        <w:t xml:space="preserve"> small </w:t>
      </w:r>
      <w:r w:rsidR="00C32AEE" w:rsidRPr="00476DF1">
        <w:rPr>
          <w:rFonts w:ascii="Times New Roman" w:hAnsi="Times New Roman"/>
          <w:sz w:val="24"/>
          <w:szCs w:val="24"/>
        </w:rPr>
        <w:t>enterprises</w:t>
      </w:r>
      <w:r w:rsidR="004F2813" w:rsidRPr="00476DF1">
        <w:rPr>
          <w:rFonts w:ascii="Times New Roman" w:hAnsi="Times New Roman"/>
          <w:sz w:val="24"/>
          <w:szCs w:val="24"/>
        </w:rPr>
        <w:t xml:space="preserve"> in the sample</w:t>
      </w:r>
      <w:r w:rsidR="00B96707" w:rsidRPr="00476DF1">
        <w:rPr>
          <w:rFonts w:ascii="Times New Roman" w:hAnsi="Times New Roman"/>
          <w:sz w:val="24"/>
          <w:szCs w:val="24"/>
        </w:rPr>
        <w:t xml:space="preserve">. </w:t>
      </w:r>
      <w:r w:rsidR="000B3645" w:rsidRPr="00476DF1">
        <w:rPr>
          <w:rFonts w:ascii="Times New Roman" w:hAnsi="Times New Roman"/>
          <w:sz w:val="24"/>
          <w:szCs w:val="24"/>
        </w:rPr>
        <w:t>Additionally,</w:t>
      </w:r>
      <w:r w:rsidR="00B96707" w:rsidRPr="00476DF1">
        <w:rPr>
          <w:rFonts w:ascii="Times New Roman" w:hAnsi="Times New Roman"/>
          <w:sz w:val="24"/>
          <w:szCs w:val="24"/>
        </w:rPr>
        <w:t xml:space="preserve"> these </w:t>
      </w:r>
      <w:r w:rsidR="00C32AEE" w:rsidRPr="00476DF1">
        <w:rPr>
          <w:rFonts w:ascii="Times New Roman" w:hAnsi="Times New Roman"/>
          <w:sz w:val="24"/>
          <w:szCs w:val="24"/>
        </w:rPr>
        <w:t>enterprises</w:t>
      </w:r>
      <w:r w:rsidR="00B96707" w:rsidRPr="00476DF1">
        <w:rPr>
          <w:rFonts w:ascii="Times New Roman" w:hAnsi="Times New Roman"/>
          <w:sz w:val="24"/>
          <w:szCs w:val="24"/>
        </w:rPr>
        <w:t xml:space="preserve"> were </w:t>
      </w:r>
      <w:r w:rsidR="00C32AEE" w:rsidRPr="00476DF1">
        <w:rPr>
          <w:rFonts w:ascii="Times New Roman" w:hAnsi="Times New Roman"/>
          <w:sz w:val="24"/>
          <w:szCs w:val="24"/>
        </w:rPr>
        <w:t>acquired</w:t>
      </w:r>
      <w:r w:rsidRPr="00476DF1">
        <w:rPr>
          <w:rFonts w:ascii="Times New Roman" w:hAnsi="Times New Roman"/>
          <w:sz w:val="24"/>
          <w:szCs w:val="24"/>
        </w:rPr>
        <w:t xml:space="preserve"> </w:t>
      </w:r>
      <w:r w:rsidR="00C32AEE" w:rsidRPr="00476DF1">
        <w:rPr>
          <w:rFonts w:ascii="Times New Roman" w:hAnsi="Times New Roman"/>
          <w:sz w:val="24"/>
          <w:szCs w:val="24"/>
        </w:rPr>
        <w:t xml:space="preserve">at the </w:t>
      </w:r>
      <w:r w:rsidR="00B96707" w:rsidRPr="00476DF1">
        <w:rPr>
          <w:rFonts w:ascii="Times New Roman" w:hAnsi="Times New Roman"/>
          <w:sz w:val="24"/>
          <w:szCs w:val="24"/>
        </w:rPr>
        <w:t>moment</w:t>
      </w:r>
      <w:r w:rsidR="000B3645" w:rsidRPr="00476DF1">
        <w:rPr>
          <w:rFonts w:ascii="Times New Roman" w:hAnsi="Times New Roman"/>
          <w:sz w:val="24"/>
          <w:szCs w:val="24"/>
        </w:rPr>
        <w:t xml:space="preserve"> when</w:t>
      </w:r>
      <w:r w:rsidR="00B96707" w:rsidRPr="00476DF1">
        <w:rPr>
          <w:rFonts w:ascii="Times New Roman" w:hAnsi="Times New Roman"/>
          <w:sz w:val="24"/>
          <w:szCs w:val="24"/>
        </w:rPr>
        <w:t xml:space="preserve"> the development of new </w:t>
      </w:r>
      <w:r w:rsidR="00C32AEE" w:rsidRPr="00476DF1">
        <w:rPr>
          <w:rFonts w:ascii="Times New Roman" w:hAnsi="Times New Roman"/>
          <w:sz w:val="24"/>
          <w:szCs w:val="24"/>
        </w:rPr>
        <w:t xml:space="preserve">classes </w:t>
      </w:r>
      <w:r w:rsidR="000B3645" w:rsidRPr="00476DF1">
        <w:rPr>
          <w:rFonts w:ascii="Times New Roman" w:hAnsi="Times New Roman"/>
          <w:sz w:val="24"/>
          <w:szCs w:val="24"/>
        </w:rPr>
        <w:t xml:space="preserve">was </w:t>
      </w:r>
      <w:r w:rsidR="00B96707" w:rsidRPr="00476DF1">
        <w:rPr>
          <w:rFonts w:ascii="Times New Roman" w:hAnsi="Times New Roman"/>
          <w:sz w:val="24"/>
          <w:szCs w:val="24"/>
        </w:rPr>
        <w:t>losing its pace</w:t>
      </w:r>
      <w:r w:rsidR="00E14AE8" w:rsidRPr="00476DF1">
        <w:rPr>
          <w:rFonts w:ascii="Times New Roman" w:hAnsi="Times New Roman"/>
          <w:sz w:val="24"/>
          <w:szCs w:val="24"/>
        </w:rPr>
        <w:t>, from 2004</w:t>
      </w:r>
      <w:r w:rsidR="00F429BA" w:rsidRPr="00476DF1">
        <w:rPr>
          <w:rFonts w:ascii="Times New Roman" w:hAnsi="Times New Roman"/>
          <w:sz w:val="24"/>
          <w:szCs w:val="24"/>
        </w:rPr>
        <w:t xml:space="preserve"> to 2012</w:t>
      </w:r>
      <w:r w:rsidR="00B96707" w:rsidRPr="00476DF1">
        <w:rPr>
          <w:rFonts w:ascii="Times New Roman" w:hAnsi="Times New Roman"/>
          <w:sz w:val="24"/>
          <w:szCs w:val="24"/>
        </w:rPr>
        <w:t>.</w:t>
      </w:r>
      <w:r w:rsidR="00CD264E" w:rsidRPr="00476DF1">
        <w:rPr>
          <w:rFonts w:ascii="Times New Roman" w:hAnsi="Times New Roman"/>
          <w:sz w:val="24"/>
          <w:szCs w:val="24"/>
        </w:rPr>
        <w:t xml:space="preserve"> </w:t>
      </w:r>
    </w:p>
    <w:p w14:paraId="171B18F3" w14:textId="59966B4C" w:rsidR="00CB5E62" w:rsidRPr="00476DF1" w:rsidRDefault="00D86935"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Figure </w:t>
      </w:r>
      <w:r w:rsidR="009D7A0F" w:rsidRPr="00476DF1">
        <w:rPr>
          <w:rFonts w:ascii="Times New Roman" w:hAnsi="Times New Roman"/>
          <w:sz w:val="24"/>
          <w:szCs w:val="24"/>
        </w:rPr>
        <w:t>2</w:t>
      </w:r>
      <w:r w:rsidR="00E14AE8" w:rsidRPr="00476DF1">
        <w:rPr>
          <w:rFonts w:ascii="Times New Roman" w:hAnsi="Times New Roman"/>
          <w:sz w:val="24"/>
          <w:szCs w:val="24"/>
        </w:rPr>
        <w:t xml:space="preserve"> can be further explored in terms of potential. As cita</w:t>
      </w:r>
      <w:r w:rsidR="00CB5E62" w:rsidRPr="00476DF1">
        <w:rPr>
          <w:rFonts w:ascii="Times New Roman" w:hAnsi="Times New Roman"/>
          <w:sz w:val="24"/>
          <w:szCs w:val="24"/>
        </w:rPr>
        <w:t>tion</w:t>
      </w:r>
      <w:r w:rsidR="00E14AE8" w:rsidRPr="00476DF1">
        <w:rPr>
          <w:rFonts w:ascii="Times New Roman" w:hAnsi="Times New Roman"/>
          <w:sz w:val="24"/>
          <w:szCs w:val="24"/>
        </w:rPr>
        <w:t xml:space="preserve"> lags can measure </w:t>
      </w:r>
      <w:r w:rsidR="000B3645" w:rsidRPr="00476DF1">
        <w:rPr>
          <w:rFonts w:ascii="Times New Roman" w:hAnsi="Times New Roman"/>
          <w:sz w:val="24"/>
          <w:szCs w:val="24"/>
        </w:rPr>
        <w:t xml:space="preserve">a </w:t>
      </w:r>
      <w:r w:rsidR="00E14AE8" w:rsidRPr="00476DF1">
        <w:rPr>
          <w:rFonts w:ascii="Times New Roman" w:hAnsi="Times New Roman"/>
          <w:sz w:val="24"/>
          <w:szCs w:val="24"/>
        </w:rPr>
        <w:t>patent</w:t>
      </w:r>
      <w:r w:rsidR="000B3645" w:rsidRPr="00476DF1">
        <w:rPr>
          <w:rFonts w:ascii="Times New Roman" w:hAnsi="Times New Roman"/>
          <w:sz w:val="24"/>
          <w:szCs w:val="24"/>
        </w:rPr>
        <w:t>’</w:t>
      </w:r>
      <w:r w:rsidR="00E14AE8" w:rsidRPr="00476DF1">
        <w:rPr>
          <w:rFonts w:ascii="Times New Roman" w:hAnsi="Times New Roman"/>
          <w:sz w:val="24"/>
          <w:szCs w:val="24"/>
        </w:rPr>
        <w:t>s potential, patent classes</w:t>
      </w:r>
      <w:r w:rsidR="00CB5E62" w:rsidRPr="00476DF1">
        <w:rPr>
          <w:rFonts w:ascii="Times New Roman" w:hAnsi="Times New Roman"/>
          <w:sz w:val="24"/>
          <w:szCs w:val="24"/>
        </w:rPr>
        <w:t xml:space="preserve"> can offer a similar measurement of potential</w:t>
      </w:r>
      <w:r w:rsidR="00E14AE8" w:rsidRPr="00476DF1">
        <w:rPr>
          <w:rFonts w:ascii="Times New Roman" w:hAnsi="Times New Roman"/>
          <w:sz w:val="24"/>
          <w:szCs w:val="24"/>
        </w:rPr>
        <w:t>. The idea is rather simple. By considering that the small enterprises</w:t>
      </w:r>
      <w:r w:rsidR="000B3645" w:rsidRPr="00476DF1">
        <w:rPr>
          <w:rFonts w:ascii="Times New Roman" w:hAnsi="Times New Roman"/>
          <w:sz w:val="24"/>
          <w:szCs w:val="24"/>
        </w:rPr>
        <w:t>’</w:t>
      </w:r>
      <w:r w:rsidR="00E14AE8" w:rsidRPr="00476DF1">
        <w:rPr>
          <w:rFonts w:ascii="Times New Roman" w:hAnsi="Times New Roman"/>
          <w:sz w:val="24"/>
          <w:szCs w:val="24"/>
        </w:rPr>
        <w:t xml:space="preserve"> knowledge set are their pool of </w:t>
      </w:r>
      <w:r w:rsidR="00CB5E62" w:rsidRPr="00476DF1">
        <w:rPr>
          <w:rFonts w:ascii="Times New Roman" w:hAnsi="Times New Roman"/>
          <w:sz w:val="24"/>
          <w:szCs w:val="24"/>
        </w:rPr>
        <w:t>competences</w:t>
      </w:r>
      <w:r w:rsidR="00E14AE8" w:rsidRPr="00476DF1">
        <w:rPr>
          <w:rFonts w:ascii="Times New Roman" w:hAnsi="Times New Roman"/>
          <w:sz w:val="24"/>
          <w:szCs w:val="24"/>
        </w:rPr>
        <w:t xml:space="preserve"> (</w:t>
      </w:r>
      <w:r w:rsidR="00460118" w:rsidRPr="00476DF1">
        <w:rPr>
          <w:rFonts w:ascii="Times New Roman" w:hAnsi="Times New Roman"/>
          <w:sz w:val="24"/>
          <w:szCs w:val="24"/>
        </w:rPr>
        <w:t>AUTHOR</w:t>
      </w:r>
      <w:r w:rsidR="00E14AE8" w:rsidRPr="00476DF1">
        <w:rPr>
          <w:rFonts w:ascii="Times New Roman" w:hAnsi="Times New Roman"/>
          <w:sz w:val="24"/>
          <w:szCs w:val="24"/>
        </w:rPr>
        <w:t xml:space="preserve">, 2016) </w:t>
      </w:r>
      <w:r w:rsidR="000B3645" w:rsidRPr="00476DF1">
        <w:rPr>
          <w:rFonts w:ascii="Times New Roman" w:hAnsi="Times New Roman"/>
          <w:sz w:val="24"/>
          <w:szCs w:val="24"/>
        </w:rPr>
        <w:t>with</w:t>
      </w:r>
      <w:r w:rsidR="00E14AE8" w:rsidRPr="00476DF1">
        <w:rPr>
          <w:rFonts w:ascii="Times New Roman" w:hAnsi="Times New Roman"/>
          <w:sz w:val="24"/>
          <w:szCs w:val="24"/>
        </w:rPr>
        <w:t xml:space="preserve"> patent classes</w:t>
      </w:r>
      <w:r w:rsidR="00CB5E62" w:rsidRPr="00476DF1">
        <w:rPr>
          <w:rFonts w:ascii="Times New Roman" w:hAnsi="Times New Roman"/>
          <w:sz w:val="24"/>
          <w:szCs w:val="24"/>
        </w:rPr>
        <w:t xml:space="preserve"> as </w:t>
      </w:r>
      <w:r w:rsidR="00CB5E62" w:rsidRPr="00476DF1">
        <w:rPr>
          <w:rFonts w:ascii="Times New Roman" w:hAnsi="Times New Roman"/>
          <w:i/>
          <w:sz w:val="24"/>
          <w:szCs w:val="24"/>
        </w:rPr>
        <w:t>proxies</w:t>
      </w:r>
      <w:r w:rsidR="00E14AE8" w:rsidRPr="00476DF1">
        <w:rPr>
          <w:rFonts w:ascii="Times New Roman" w:hAnsi="Times New Roman"/>
          <w:sz w:val="24"/>
          <w:szCs w:val="24"/>
        </w:rPr>
        <w:t xml:space="preserve"> </w:t>
      </w:r>
      <w:r w:rsidR="00E14AE8" w:rsidRPr="00476DF1">
        <w:rPr>
          <w:rFonts w:ascii="Times New Roman" w:hAnsi="Times New Roman"/>
          <w:sz w:val="24"/>
          <w:szCs w:val="24"/>
        </w:rPr>
        <w:fldChar w:fldCharType="begin" w:fldLock="1"/>
      </w:r>
      <w:r w:rsidR="00E14AE8" w:rsidRPr="00476DF1">
        <w:rPr>
          <w:rFonts w:ascii="Times New Roman" w:hAnsi="Times New Roman"/>
          <w:sz w:val="24"/>
          <w:szCs w:val="24"/>
        </w:rPr>
        <w:instrText>ADDIN CSL_CITATION { "citationItems" : [ { "id" : "ITEM-1", "itemData" : { "DOI" : "10.1016/j.respol.2015.05.008", "ISSN" : "0048-7333", "author" : [ { "dropping-particle" : "", "family" : "Strumsky", "given" : "Deborah", "non-dropping-particle" : "", "parse-names" : false, "suffix" : "" }, { "dropping-particle" : "", "family" : "Lobo", "given" : "Jos\u00e9", "non-dropping-particle" : "", "parse-names" : false, "suffix" : "" } ], "container-title" : "Research Policy", "id" : "ITEM-1", "issue" : "8", "issued" : { "date-parts" : [ [ "2015" ] ] }, "page" : "1445-1461", "publisher" : "Elsevier B.V.", "title" : "Identifying the sources of technological novelty in the process of invention", "type" : "article-journal", "volume" : "44" }, "uris" : [ "http://www.mendeley.com/documents/?uuid=68b6bb54-b698-4d44-8867-3122a2f68c3a" ] }, { "id" : "ITEM-2", "itemData" : { "DOI" : "10.1016/j.respol.2015.11.010", "ISSN" : "00487333", "abstract" : "This study provides a new, more comprehensive measurement of technological novelty. Integrating insights from the existing economics and management literature, we characterize inventions ex ante along two dimensions of technological novelty: Novelty in Recombination and Novelty in Knowledge Origins. For the latter dimension we distinguish between Novel Technological and Novel Scientific Origins. For each dimension we propose an operationalization using patent classification and citation information. Results indicate that the proposed measures for the different dimensions of technological novelty are correlated, but each conveys different information. We perform a series of analyses to assess the validity of the proposed measures and compare them with other indicators used in the literature. Moreover, an analysis of the technological impact of inventions identified as novel shows that technological novelty increases the variance of technological impact and the likelihood of being among the positive outliers with respect to impact. This holds particularly for those inventions that combine Novelty in Recombination with Novelty in Technological and Scientific Origins. Overall, the results support our indicator as ex ante measure of technological novelty with the potential to drive radical technological change.", "author" : [ { "dropping-particle" : "", "family" : "Verhoeven", "given" : "Dennis", "non-dropping-particle" : "", "parse-names" : false, "suffix" : "" }, { "dropping-particle" : "", "family" : "Bakker", "given" : "Jurri??n", "non-dropping-particle" : "", "parse-names" : false, "suffix" : "" }, { "dropping-particle" : "", "family" : "Veugelers", "given" : "Reinhilde", "non-dropping-particle" : "", "parse-names" : false, "suffix" : "" } ], "container-title" : "Research Policy", "id" : "ITEM-2", "issue" : "3", "issued" : { "date-parts" : [ [ "2016" ] ] }, "page" : "707-723", "publisher" : "Elsevier B.V.", "title" : "Measuring technological novelty with patent-based indicators", "type" : "article-journal", "volume" : "45" }, "uris" : [ "http://www.mendeley.com/documents/?uuid=af29bceb-2634-4ab9-8bbc-99120f670b5c" ] } ], "mendeley" : { "formattedCitation" : "(STRUMSKY; LOBO, 2015; VERHOEVEN; BAKKER; VEUGELERS, 2016)", "plainTextFormattedCitation" : "(STRUMSKY; LOBO, 2015; VERHOEVEN; BAKKER; VEUGELERS, 2016)", "previouslyFormattedCitation" : "(STRUMSKY; LOBO, 2015; VERHOEVEN; BAKKER; VEUGELERS, 2016)" }, "properties" : {  }, "schema" : "https://github.com/citation-style-language/schema/raw/master/csl-citation.json" }</w:instrText>
      </w:r>
      <w:r w:rsidR="00E14AE8" w:rsidRPr="00476DF1">
        <w:rPr>
          <w:rFonts w:ascii="Times New Roman" w:hAnsi="Times New Roman"/>
          <w:sz w:val="24"/>
          <w:szCs w:val="24"/>
        </w:rPr>
        <w:fldChar w:fldCharType="separate"/>
      </w:r>
      <w:r w:rsidR="00E14AE8" w:rsidRPr="00476DF1">
        <w:rPr>
          <w:rFonts w:ascii="Times New Roman" w:hAnsi="Times New Roman"/>
          <w:noProof/>
          <w:sz w:val="24"/>
          <w:szCs w:val="24"/>
        </w:rPr>
        <w:t>(STRUMSKY; LOBO, 2015; VERHOEVEN; BAKKER; VEUGELERS, 2016)</w:t>
      </w:r>
      <w:r w:rsidR="00E14AE8" w:rsidRPr="00476DF1">
        <w:rPr>
          <w:rFonts w:ascii="Times New Roman" w:hAnsi="Times New Roman"/>
          <w:sz w:val="24"/>
          <w:szCs w:val="24"/>
        </w:rPr>
        <w:fldChar w:fldCharType="end"/>
      </w:r>
      <w:r w:rsidR="000B3645" w:rsidRPr="00476DF1">
        <w:rPr>
          <w:rFonts w:ascii="Times New Roman" w:hAnsi="Times New Roman"/>
          <w:sz w:val="24"/>
          <w:szCs w:val="24"/>
        </w:rPr>
        <w:t>,</w:t>
      </w:r>
      <w:r w:rsidR="00E14AE8" w:rsidRPr="00476DF1">
        <w:rPr>
          <w:rFonts w:ascii="Times New Roman" w:hAnsi="Times New Roman"/>
          <w:sz w:val="24"/>
          <w:szCs w:val="24"/>
        </w:rPr>
        <w:t xml:space="preserve"> </w:t>
      </w:r>
      <w:r w:rsidR="000B3645" w:rsidRPr="00476DF1">
        <w:rPr>
          <w:rFonts w:ascii="Times New Roman" w:hAnsi="Times New Roman"/>
          <w:sz w:val="24"/>
          <w:szCs w:val="24"/>
        </w:rPr>
        <w:t xml:space="preserve">Big Pharma can develop </w:t>
      </w:r>
      <w:r w:rsidR="00E14AE8" w:rsidRPr="00476DF1">
        <w:rPr>
          <w:rFonts w:ascii="Times New Roman" w:hAnsi="Times New Roman"/>
          <w:sz w:val="24"/>
          <w:szCs w:val="24"/>
        </w:rPr>
        <w:t>the same pool of competences</w:t>
      </w:r>
      <w:r w:rsidR="00BC6228" w:rsidRPr="00476DF1">
        <w:rPr>
          <w:rFonts w:ascii="Times New Roman" w:hAnsi="Times New Roman"/>
          <w:sz w:val="24"/>
          <w:szCs w:val="24"/>
        </w:rPr>
        <w:t xml:space="preserve"> and </w:t>
      </w:r>
      <w:r w:rsidR="00E14AE8" w:rsidRPr="00476DF1">
        <w:rPr>
          <w:rFonts w:ascii="Times New Roman" w:hAnsi="Times New Roman"/>
          <w:sz w:val="24"/>
          <w:szCs w:val="24"/>
        </w:rPr>
        <w:t>enhance</w:t>
      </w:r>
      <w:r w:rsidR="000B3645" w:rsidRPr="00476DF1">
        <w:rPr>
          <w:rFonts w:ascii="Times New Roman" w:hAnsi="Times New Roman"/>
          <w:sz w:val="24"/>
          <w:szCs w:val="24"/>
        </w:rPr>
        <w:t xml:space="preserve"> them via</w:t>
      </w:r>
      <w:r w:rsidR="00E14AE8" w:rsidRPr="00476DF1">
        <w:rPr>
          <w:rFonts w:ascii="Times New Roman" w:hAnsi="Times New Roman"/>
          <w:sz w:val="24"/>
          <w:szCs w:val="24"/>
        </w:rPr>
        <w:t xml:space="preserve"> acquisitions (</w:t>
      </w:r>
      <w:r w:rsidR="00E14AE8" w:rsidRPr="00476DF1">
        <w:rPr>
          <w:rFonts w:ascii="Times New Roman" w:hAnsi="Times New Roman"/>
          <w:sz w:val="24"/>
          <w:szCs w:val="24"/>
        </w:rPr>
        <w:fldChar w:fldCharType="begin" w:fldLock="1"/>
      </w:r>
      <w:r w:rsidR="00CB5E62" w:rsidRPr="00476DF1">
        <w:rPr>
          <w:rFonts w:ascii="Times New Roman" w:hAnsi="Times New Roman"/>
          <w:sz w:val="24"/>
          <w:szCs w:val="24"/>
        </w:rPr>
        <w:instrText>ADDIN CSL_CITATION { "citationItems" : [ { "id" : "ITEM-1", "itemData" : { "DOI" : "10.1002/smj.157", "ISBN" : "0143-2095", "ISSN" : "1097-0266", "PMID" : "4446656", "abstract" : "This paper examines the impact of acquisitions on the subsequent innovation performance of acquiring firms in the chemicals industry. We distinguish between technological acquisitions, acquisitions in which technology is a component of the acquiredfirm's assets, and nontechnologi- cal acquisitions: acquisitions that do not involve a technological component. We develop a framework relating acquisitions to jirm innovation performance and develop a set of measures for quantihing the technological inputs ajirm obtains through acquisitions. WeJind that within technological acquisitions absolute size of the acquired knowledge base enhances innovation performance, while relative size of the acquired knowledge base reduces innovation output. The relatedness of acquired and acquiring knowledge bases has a nonlinear impact on innovation output. Nontechnological acquisitions do not have a signijcant effect on subsequent innovation output.", "author" : [ { "dropping-particle" : "", "family" : "Ahuja", "given" : "Gautam", "non-dropping-particle" : "", "parse-names" : false, "suffix" : "" }, { "dropping-particle" : "", "family" : "Katila", "given" : "Riitta", "non-dropping-particle" : "", "parse-names" : false, "suffix" : "" } ], "container-title" : "Strategic Management Journal", "id" : "ITEM-1", "issue" : "3", "issued" : { "date-parts" : [ [ "2001" ] ] }, "page" : "197-220", "title" : "Technological Acquisition and the Innovation Performance of Acquiring Firms: A Longitudinal Study", "type" : "article-journal", "volume" : "22" }, "uris" : [ "http://www.mendeley.com/documents/?uuid=9b0d52ab-dc60-40b9-b237-2383d62b12a3" ] }, { "id" : "ITEM-2", "itemData" : { "DOI" : "10.1016/j.respol.2010.05.005", "ISBN" : "0048-7333", "ISSN" : "00487333", "PMID" : "15374672", "abstract" : "Drawing on organizational, managerial and financial theories, we explore whether acquirers become more innovative and the factors that can enhance their absorptive and financial capacity to benefit from acquisition. Over a 3-year post-acquisition window, our sample of 2624 high technology US acquisitions records early reverses followed by positive R&amp;D-intensity changes and insignificant R&amp;D productivity changes. Controlling for acquisition endogeneity and deal-specific effects, significant acquirer characteristic effects emerge. In related acquisitions, a large knowledge base tends to increase R&amp;D productivity, consistent with an enhanced capacity to select and absorb targets. In unrelated acquisitions, however, this relationship becomes increasingly negative as knowledge base concentration increases, consistent with arguments for an impaired peripheral vision and core rigidities. High leverage levels raise R&amp;D productivity gains, consistent with enhanced monitoring induced efficiency. However, high leverage growth reduces R&amp;D-intensity, consistent with increased financial constraints and short-termism. ?? 2010 Elsevier B.V. All rights reserved.", "author" : [ { "dropping-particle" : "", "family" : "Desyllas", "given" : "Panos", "non-dropping-particle" : "", "parse-names" : false, "suffix" : "" }, { "dropping-particle" : "", "family" : "Hughes", "given" : "Alan", "non-dropping-particle" : "", "parse-names" : false, "suffix" : "" } ], "container-title" : "Research Policy", "id" : "ITEM-2", "issue" : "8", "issued" : { "date-parts" : [ [ "2010" ] ] }, "page" : "1105-1121", "publisher" : "Elsevier B.V.", "title" : "Do high technology acquirers become more innovative?", "type" : "article-journal", "volume" : "39" }, "uris" : [ "http://www.mendeley.com/documents/?uuid=c425c43c-ae2f-47ed-b83b-6e2acc843449" ] }, { "id" : "ITEM-3", "itemData" : { "DOI" : "10.1016/j.respol.2015.10.002", "ISBN" : "0048-7333", "ISSN" : "00487333", "abstract" : "We analyze the frequency and nature by which new firms are acquired by established businesses. Acquisitions are often considered to reflect a technology transfer process and to also constitute one way in which a \"symbiosis\" between new technology-based firms (NTBFs) and established businesses is realized. Using a micro-level dataset for Sweden in which we follow new entrants up to 18 years after entry, we show that acquisitions of recent start-ups are rare and restricted to a small group of entrants with defining characteristics. Estimates from competing risks models show that acquired start-ups, in particular by multinational enterprises (MNEs), stand out from entrants that either remain independent or exit by being much more likely to be spin-offs operating in high-tech sectors, having strong technological competence, and having weak internal financial resources. Our overall findings support the argument that acquisitions primarily concern NTBFs in market contexts where entry costs are large, access to finance is important and incumbents have valuable complementary capabilities and resources.", "author" : [ { "dropping-particle" : "", "family" : "Andersson", "given" : "Martin", "non-dropping-particle" : "", "parse-names" : false, "suffix" : "" }, { "dropping-particle" : "", "family" : "Xiao", "given" : "Jing", "non-dropping-particle" : "", "parse-names" : false, "suffix" : "" } ], "container-title" : "Research Policy", "id" : "ITEM-3", "issue" : "1", "issued" : { "date-parts" : [ [ "2016" ] ] }, "page" : "272-290", "publisher" : "Elsevier B.V.", "title" : "Acquisitions of start-ups by incumbent businesses: A market selection process of \"high-quality\" entrants?", "type" : "article-journal", "volume" : "45" }, "uris" : [ "http://www.mendeley.com/documents/?uuid=f19c254c-7521-4b64-b966-1993964fea35" ] } ], "mendeley" : { "formattedCitation" : "(AHUJA; KATILA, 2001; ANDERSSON; XIAO, 2016; DESYLLAS; HUGHES, 2010)", "manualFormatting" : "AHUJA; KATILA, 2001; DESYLLAS; HUGHES,2010)", "plainTextFormattedCitation" : "(AHUJA; KATILA, 2001; ANDERSSON; XIAO, 2016; DESYLLAS; HUGHES, 2010)", "previouslyFormattedCitation" : "(AHUJA; KATILA, 2001; ANDERSSON; XIAO, 2016; DESYLLAS; HUGHES, 2010)" }, "properties" : {  }, "schema" : "https://github.com/citation-style-language/schema/raw/master/csl-citation.json" }</w:instrText>
      </w:r>
      <w:r w:rsidR="00E14AE8" w:rsidRPr="00476DF1">
        <w:rPr>
          <w:rFonts w:ascii="Times New Roman" w:hAnsi="Times New Roman"/>
          <w:sz w:val="24"/>
          <w:szCs w:val="24"/>
        </w:rPr>
        <w:fldChar w:fldCharType="separate"/>
      </w:r>
      <w:r w:rsidR="00E14AE8" w:rsidRPr="00476DF1">
        <w:rPr>
          <w:rFonts w:ascii="Times New Roman" w:hAnsi="Times New Roman"/>
          <w:noProof/>
          <w:sz w:val="24"/>
          <w:szCs w:val="24"/>
        </w:rPr>
        <w:t>AHUJA; KATILA, 2001;</w:t>
      </w:r>
      <w:r w:rsidR="00CB5E62" w:rsidRPr="00476DF1">
        <w:rPr>
          <w:rFonts w:ascii="Times New Roman" w:hAnsi="Times New Roman"/>
          <w:noProof/>
          <w:sz w:val="24"/>
          <w:szCs w:val="24"/>
        </w:rPr>
        <w:t xml:space="preserve"> DESYLLAS; HUGHES,2010</w:t>
      </w:r>
      <w:r w:rsidR="00E14AE8" w:rsidRPr="00476DF1">
        <w:rPr>
          <w:rFonts w:ascii="Times New Roman" w:hAnsi="Times New Roman"/>
          <w:noProof/>
          <w:sz w:val="24"/>
          <w:szCs w:val="24"/>
        </w:rPr>
        <w:t>)</w:t>
      </w:r>
      <w:r w:rsidR="00E14AE8" w:rsidRPr="00476DF1">
        <w:rPr>
          <w:rFonts w:ascii="Times New Roman" w:hAnsi="Times New Roman"/>
          <w:sz w:val="24"/>
          <w:szCs w:val="24"/>
        </w:rPr>
        <w:fldChar w:fldCharType="end"/>
      </w:r>
      <w:r w:rsidR="00E14AE8" w:rsidRPr="00476DF1">
        <w:rPr>
          <w:rFonts w:ascii="Times New Roman" w:hAnsi="Times New Roman"/>
          <w:sz w:val="24"/>
          <w:szCs w:val="24"/>
        </w:rPr>
        <w:t>.</w:t>
      </w:r>
    </w:p>
    <w:p w14:paraId="36865A9B" w14:textId="7977351E" w:rsidR="00E14AE8" w:rsidRPr="00476DF1" w:rsidRDefault="00CB5E62"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Arguably, as the small ente</w:t>
      </w:r>
      <w:r w:rsidR="001D4E1F" w:rsidRPr="00476DF1">
        <w:rPr>
          <w:rFonts w:ascii="Times New Roman" w:hAnsi="Times New Roman"/>
          <w:sz w:val="24"/>
          <w:szCs w:val="24"/>
        </w:rPr>
        <w:t>r</w:t>
      </w:r>
      <w:r w:rsidRPr="00476DF1">
        <w:rPr>
          <w:rFonts w:ascii="Times New Roman" w:hAnsi="Times New Roman"/>
          <w:sz w:val="24"/>
          <w:szCs w:val="24"/>
        </w:rPr>
        <w:t>prise is incorporate</w:t>
      </w:r>
      <w:r w:rsidR="000B3645" w:rsidRPr="00476DF1">
        <w:rPr>
          <w:rFonts w:ascii="Times New Roman" w:hAnsi="Times New Roman"/>
          <w:sz w:val="24"/>
          <w:szCs w:val="24"/>
        </w:rPr>
        <w:t>d</w:t>
      </w:r>
      <w:r w:rsidR="00BC6228" w:rsidRPr="00476DF1">
        <w:rPr>
          <w:rFonts w:ascii="Times New Roman" w:hAnsi="Times New Roman"/>
          <w:sz w:val="24"/>
          <w:szCs w:val="24"/>
        </w:rPr>
        <w:t>,</w:t>
      </w:r>
      <w:r w:rsidRPr="00476DF1">
        <w:rPr>
          <w:rFonts w:ascii="Times New Roman" w:hAnsi="Times New Roman"/>
          <w:sz w:val="24"/>
          <w:szCs w:val="24"/>
        </w:rPr>
        <w:t xml:space="preserve"> the </w:t>
      </w:r>
      <w:r w:rsidR="00726537" w:rsidRPr="00476DF1">
        <w:rPr>
          <w:rFonts w:ascii="Times New Roman" w:hAnsi="Times New Roman"/>
          <w:sz w:val="24"/>
          <w:szCs w:val="24"/>
        </w:rPr>
        <w:t>Big Pharma</w:t>
      </w:r>
      <w:r w:rsidRPr="00476DF1">
        <w:rPr>
          <w:rFonts w:ascii="Times New Roman" w:hAnsi="Times New Roman"/>
          <w:sz w:val="24"/>
          <w:szCs w:val="24"/>
        </w:rPr>
        <w:t xml:space="preserve"> </w:t>
      </w:r>
      <w:r w:rsidR="000B3645" w:rsidRPr="00476DF1">
        <w:rPr>
          <w:rFonts w:ascii="Times New Roman" w:hAnsi="Times New Roman"/>
          <w:sz w:val="24"/>
          <w:szCs w:val="24"/>
        </w:rPr>
        <w:t xml:space="preserve">firm </w:t>
      </w:r>
      <w:r w:rsidRPr="00476DF1">
        <w:rPr>
          <w:rFonts w:ascii="Times New Roman" w:hAnsi="Times New Roman"/>
          <w:sz w:val="24"/>
          <w:szCs w:val="24"/>
        </w:rPr>
        <w:t xml:space="preserve">may develop the same knowledge set. As the two </w:t>
      </w:r>
      <w:r w:rsidR="00924F66" w:rsidRPr="00476DF1">
        <w:rPr>
          <w:rFonts w:ascii="Times New Roman" w:hAnsi="Times New Roman"/>
          <w:sz w:val="24"/>
          <w:szCs w:val="24"/>
        </w:rPr>
        <w:t>enterprises</w:t>
      </w:r>
      <w:r w:rsidRPr="00476DF1">
        <w:rPr>
          <w:rFonts w:ascii="Times New Roman" w:hAnsi="Times New Roman"/>
          <w:sz w:val="24"/>
          <w:szCs w:val="24"/>
        </w:rPr>
        <w:t xml:space="preserve"> </w:t>
      </w:r>
      <w:r w:rsidR="00924F66" w:rsidRPr="00476DF1">
        <w:rPr>
          <w:rFonts w:ascii="Times New Roman" w:hAnsi="Times New Roman"/>
          <w:sz w:val="24"/>
          <w:szCs w:val="24"/>
        </w:rPr>
        <w:t>knowledge</w:t>
      </w:r>
      <w:r w:rsidRPr="00476DF1">
        <w:rPr>
          <w:rFonts w:ascii="Times New Roman" w:hAnsi="Times New Roman"/>
          <w:sz w:val="24"/>
          <w:szCs w:val="24"/>
        </w:rPr>
        <w:t xml:space="preserve"> set</w:t>
      </w:r>
      <w:r w:rsidR="000B3645" w:rsidRPr="00476DF1">
        <w:rPr>
          <w:rFonts w:ascii="Times New Roman" w:hAnsi="Times New Roman"/>
          <w:sz w:val="24"/>
          <w:szCs w:val="24"/>
        </w:rPr>
        <w:t>s</w:t>
      </w:r>
      <w:r w:rsidRPr="00476DF1">
        <w:rPr>
          <w:rFonts w:ascii="Times New Roman" w:hAnsi="Times New Roman"/>
          <w:sz w:val="24"/>
          <w:szCs w:val="24"/>
        </w:rPr>
        <w:t xml:space="preserve"> became similar</w:t>
      </w:r>
      <w:r w:rsidR="000B3645" w:rsidRPr="00476DF1">
        <w:rPr>
          <w:rFonts w:ascii="Times New Roman" w:hAnsi="Times New Roman"/>
          <w:sz w:val="24"/>
          <w:szCs w:val="24"/>
        </w:rPr>
        <w:t>,</w:t>
      </w:r>
      <w:r w:rsidRPr="00476DF1">
        <w:rPr>
          <w:rFonts w:ascii="Times New Roman" w:hAnsi="Times New Roman"/>
          <w:sz w:val="24"/>
          <w:szCs w:val="24"/>
        </w:rPr>
        <w:t xml:space="preserve"> the possibility </w:t>
      </w:r>
      <w:r w:rsidR="00924F66" w:rsidRPr="00476DF1">
        <w:rPr>
          <w:rFonts w:ascii="Times New Roman" w:hAnsi="Times New Roman"/>
          <w:sz w:val="24"/>
          <w:szCs w:val="24"/>
        </w:rPr>
        <w:t>o</w:t>
      </w:r>
      <w:r w:rsidRPr="00476DF1">
        <w:rPr>
          <w:rFonts w:ascii="Times New Roman" w:hAnsi="Times New Roman"/>
          <w:sz w:val="24"/>
          <w:szCs w:val="24"/>
        </w:rPr>
        <w:t xml:space="preserve">f creating new patent classes </w:t>
      </w:r>
      <w:r w:rsidR="000B3645" w:rsidRPr="00476DF1">
        <w:rPr>
          <w:rFonts w:ascii="Times New Roman" w:hAnsi="Times New Roman"/>
          <w:sz w:val="24"/>
          <w:szCs w:val="24"/>
        </w:rPr>
        <w:t>decreases</w:t>
      </w:r>
      <w:r w:rsidR="00924F66" w:rsidRPr="00476DF1">
        <w:rPr>
          <w:rFonts w:ascii="Times New Roman" w:hAnsi="Times New Roman"/>
          <w:sz w:val="24"/>
          <w:szCs w:val="24"/>
        </w:rPr>
        <w:t>. The other way is also true, the less similar is both enterprises</w:t>
      </w:r>
      <w:r w:rsidR="00AF5BCB" w:rsidRPr="00476DF1">
        <w:rPr>
          <w:rFonts w:ascii="Times New Roman" w:hAnsi="Times New Roman"/>
          <w:sz w:val="24"/>
          <w:szCs w:val="24"/>
        </w:rPr>
        <w:t>’</w:t>
      </w:r>
      <w:r w:rsidR="00924F66" w:rsidRPr="00476DF1">
        <w:rPr>
          <w:rFonts w:ascii="Times New Roman" w:hAnsi="Times New Roman"/>
          <w:sz w:val="24"/>
          <w:szCs w:val="24"/>
        </w:rPr>
        <w:t xml:space="preserve"> knowledge set</w:t>
      </w:r>
      <w:r w:rsidR="00AF5BCB" w:rsidRPr="00476DF1">
        <w:rPr>
          <w:rFonts w:ascii="Times New Roman" w:hAnsi="Times New Roman"/>
          <w:sz w:val="24"/>
          <w:szCs w:val="24"/>
        </w:rPr>
        <w:t>s</w:t>
      </w:r>
      <w:r w:rsidR="00924F66" w:rsidRPr="00476DF1">
        <w:rPr>
          <w:rFonts w:ascii="Times New Roman" w:hAnsi="Times New Roman"/>
          <w:sz w:val="24"/>
          <w:szCs w:val="24"/>
        </w:rPr>
        <w:t xml:space="preserve">, the more opportunities the </w:t>
      </w:r>
      <w:r w:rsidR="00726537" w:rsidRPr="00476DF1">
        <w:rPr>
          <w:rFonts w:ascii="Times New Roman" w:hAnsi="Times New Roman"/>
          <w:sz w:val="24"/>
          <w:szCs w:val="24"/>
        </w:rPr>
        <w:t>Big Pharma</w:t>
      </w:r>
      <w:r w:rsidR="00924F66" w:rsidRPr="00476DF1">
        <w:rPr>
          <w:rFonts w:ascii="Times New Roman" w:hAnsi="Times New Roman"/>
          <w:sz w:val="24"/>
          <w:szCs w:val="24"/>
        </w:rPr>
        <w:t xml:space="preserve"> </w:t>
      </w:r>
      <w:r w:rsidR="00AF5BCB" w:rsidRPr="00476DF1">
        <w:rPr>
          <w:rFonts w:ascii="Times New Roman" w:hAnsi="Times New Roman"/>
          <w:sz w:val="24"/>
          <w:szCs w:val="24"/>
        </w:rPr>
        <w:t xml:space="preserve">firm </w:t>
      </w:r>
      <w:r w:rsidR="00924F66" w:rsidRPr="00476DF1">
        <w:rPr>
          <w:rFonts w:ascii="Times New Roman" w:hAnsi="Times New Roman"/>
          <w:sz w:val="24"/>
          <w:szCs w:val="24"/>
        </w:rPr>
        <w:t>has to developed new patent classes</w:t>
      </w:r>
      <w:r w:rsidR="004203AF" w:rsidRPr="00476DF1">
        <w:rPr>
          <w:rFonts w:ascii="Times New Roman" w:hAnsi="Times New Roman"/>
          <w:sz w:val="24"/>
          <w:szCs w:val="24"/>
        </w:rPr>
        <w:t xml:space="preserve"> Therefore, in </w:t>
      </w:r>
      <w:r w:rsidR="00AF5BCB" w:rsidRPr="00476DF1">
        <w:rPr>
          <w:rFonts w:ascii="Times New Roman" w:hAnsi="Times New Roman"/>
          <w:sz w:val="24"/>
          <w:szCs w:val="24"/>
        </w:rPr>
        <w:t xml:space="preserve">the </w:t>
      </w:r>
      <w:r w:rsidR="004203AF" w:rsidRPr="00476DF1">
        <w:rPr>
          <w:rFonts w:ascii="Times New Roman" w:hAnsi="Times New Roman"/>
          <w:sz w:val="24"/>
          <w:szCs w:val="24"/>
        </w:rPr>
        <w:t>process of acquisition</w:t>
      </w:r>
      <w:r w:rsidR="00AF5BCB" w:rsidRPr="00476DF1">
        <w:rPr>
          <w:rFonts w:ascii="Times New Roman" w:hAnsi="Times New Roman"/>
          <w:sz w:val="24"/>
          <w:szCs w:val="24"/>
        </w:rPr>
        <w:t>,</w:t>
      </w:r>
      <w:r w:rsidR="004203AF" w:rsidRPr="00476DF1">
        <w:rPr>
          <w:rFonts w:ascii="Times New Roman" w:hAnsi="Times New Roman"/>
          <w:sz w:val="24"/>
          <w:szCs w:val="24"/>
        </w:rPr>
        <w:t xml:space="preserve"> the s</w:t>
      </w:r>
      <w:r w:rsidRPr="00476DF1">
        <w:rPr>
          <w:rFonts w:ascii="Times New Roman" w:hAnsi="Times New Roman"/>
          <w:sz w:val="24"/>
          <w:szCs w:val="24"/>
        </w:rPr>
        <w:t>m</w:t>
      </w:r>
      <w:r w:rsidR="004203AF" w:rsidRPr="00476DF1">
        <w:rPr>
          <w:rFonts w:ascii="Times New Roman" w:hAnsi="Times New Roman"/>
          <w:sz w:val="24"/>
          <w:szCs w:val="24"/>
        </w:rPr>
        <w:t xml:space="preserve">all </w:t>
      </w:r>
      <w:r w:rsidRPr="00476DF1">
        <w:rPr>
          <w:rFonts w:ascii="Times New Roman" w:hAnsi="Times New Roman"/>
          <w:sz w:val="24"/>
          <w:szCs w:val="24"/>
        </w:rPr>
        <w:t>enterprises</w:t>
      </w:r>
      <w:r w:rsidR="00AF5BCB" w:rsidRPr="00476DF1">
        <w:rPr>
          <w:rFonts w:ascii="Times New Roman" w:hAnsi="Times New Roman"/>
          <w:sz w:val="24"/>
          <w:szCs w:val="24"/>
        </w:rPr>
        <w:t>’</w:t>
      </w:r>
      <w:r w:rsidRPr="00476DF1">
        <w:rPr>
          <w:rFonts w:ascii="Times New Roman" w:hAnsi="Times New Roman"/>
          <w:sz w:val="24"/>
          <w:szCs w:val="24"/>
        </w:rPr>
        <w:t xml:space="preserve"> indirect contribution is li</w:t>
      </w:r>
      <w:r w:rsidR="004203AF" w:rsidRPr="00476DF1">
        <w:rPr>
          <w:rFonts w:ascii="Times New Roman" w:hAnsi="Times New Roman"/>
          <w:sz w:val="24"/>
          <w:szCs w:val="24"/>
        </w:rPr>
        <w:t xml:space="preserve">nked to the patent classes not </w:t>
      </w:r>
      <w:r w:rsidRPr="00476DF1">
        <w:rPr>
          <w:rFonts w:ascii="Times New Roman" w:hAnsi="Times New Roman"/>
          <w:sz w:val="24"/>
          <w:szCs w:val="24"/>
        </w:rPr>
        <w:t>developed</w:t>
      </w:r>
      <w:r w:rsidR="004203AF" w:rsidRPr="00476DF1">
        <w:rPr>
          <w:rFonts w:ascii="Times New Roman" w:hAnsi="Times New Roman"/>
          <w:sz w:val="24"/>
          <w:szCs w:val="24"/>
        </w:rPr>
        <w:t xml:space="preserve"> by the </w:t>
      </w:r>
      <w:r w:rsidR="00726537" w:rsidRPr="00476DF1">
        <w:rPr>
          <w:rFonts w:ascii="Times New Roman" w:hAnsi="Times New Roman"/>
          <w:sz w:val="24"/>
          <w:szCs w:val="24"/>
        </w:rPr>
        <w:t>Big Pharma</w:t>
      </w:r>
      <w:r w:rsidR="00AF5BCB" w:rsidRPr="00476DF1">
        <w:rPr>
          <w:rFonts w:ascii="Times New Roman" w:hAnsi="Times New Roman"/>
          <w:sz w:val="24"/>
          <w:szCs w:val="24"/>
        </w:rPr>
        <w:t xml:space="preserve"> firm</w:t>
      </w:r>
      <w:r w:rsidR="004203AF" w:rsidRPr="00476DF1">
        <w:rPr>
          <w:rFonts w:ascii="Times New Roman" w:hAnsi="Times New Roman"/>
          <w:sz w:val="24"/>
          <w:szCs w:val="24"/>
        </w:rPr>
        <w:t xml:space="preserve"> (</w:t>
      </w:r>
      <w:r w:rsidR="00460118" w:rsidRPr="00476DF1">
        <w:rPr>
          <w:rFonts w:ascii="Times New Roman" w:hAnsi="Times New Roman"/>
          <w:sz w:val="24"/>
          <w:szCs w:val="24"/>
        </w:rPr>
        <w:t>AUTHOR</w:t>
      </w:r>
      <w:r w:rsidR="004203AF" w:rsidRPr="00476DF1">
        <w:rPr>
          <w:rFonts w:ascii="Times New Roman" w:hAnsi="Times New Roman"/>
          <w:sz w:val="24"/>
          <w:szCs w:val="24"/>
        </w:rPr>
        <w:t>, 2016)</w:t>
      </w:r>
      <w:r w:rsidR="00E14AE8" w:rsidRPr="00476DF1">
        <w:rPr>
          <w:rFonts w:ascii="Times New Roman" w:hAnsi="Times New Roman"/>
          <w:sz w:val="24"/>
          <w:szCs w:val="24"/>
        </w:rPr>
        <w:t xml:space="preserve"> </w:t>
      </w:r>
    </w:p>
    <w:p w14:paraId="5B4EC459" w14:textId="2071840B" w:rsidR="00E14AE8" w:rsidRPr="00476DF1" w:rsidRDefault="004203AF"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In order to observe this potential</w:t>
      </w:r>
      <w:r w:rsidR="00FD280D" w:rsidRPr="00476DF1">
        <w:rPr>
          <w:rFonts w:ascii="Times New Roman" w:hAnsi="Times New Roman"/>
          <w:sz w:val="24"/>
          <w:szCs w:val="24"/>
        </w:rPr>
        <w:t xml:space="preserve">, Table </w:t>
      </w:r>
      <w:r w:rsidR="001A775D" w:rsidRPr="00476DF1">
        <w:rPr>
          <w:rFonts w:ascii="Times New Roman" w:hAnsi="Times New Roman"/>
          <w:sz w:val="24"/>
          <w:szCs w:val="24"/>
        </w:rPr>
        <w:t>3</w:t>
      </w:r>
      <w:r w:rsidR="00AF5BCB" w:rsidRPr="00476DF1">
        <w:rPr>
          <w:rFonts w:ascii="Times New Roman" w:hAnsi="Times New Roman"/>
          <w:sz w:val="24"/>
          <w:szCs w:val="24"/>
        </w:rPr>
        <w:t xml:space="preserve"> traces the undeveloped classes.</w:t>
      </w:r>
    </w:p>
    <w:p w14:paraId="2D2F364C" w14:textId="3DE352CB" w:rsidR="001E63F1" w:rsidRPr="00476DF1" w:rsidRDefault="001E63F1" w:rsidP="00CE4BBE">
      <w:pPr>
        <w:spacing w:after="0" w:line="240" w:lineRule="auto"/>
        <w:jc w:val="both"/>
        <w:rPr>
          <w:rFonts w:ascii="Times New Roman" w:hAnsi="Times New Roman"/>
          <w:b/>
          <w:sz w:val="24"/>
          <w:szCs w:val="24"/>
        </w:rPr>
      </w:pPr>
      <w:r w:rsidRPr="00476DF1">
        <w:rPr>
          <w:rFonts w:ascii="Times New Roman" w:hAnsi="Times New Roman"/>
          <w:b/>
          <w:sz w:val="24"/>
          <w:szCs w:val="24"/>
        </w:rPr>
        <w:t xml:space="preserve">Table </w:t>
      </w:r>
      <w:r w:rsidR="001A775D" w:rsidRPr="00476DF1">
        <w:rPr>
          <w:rFonts w:ascii="Times New Roman" w:hAnsi="Times New Roman"/>
          <w:b/>
          <w:sz w:val="24"/>
          <w:szCs w:val="24"/>
        </w:rPr>
        <w:t>3</w:t>
      </w:r>
      <w:r w:rsidRPr="00476DF1">
        <w:rPr>
          <w:rFonts w:ascii="Times New Roman" w:hAnsi="Times New Roman"/>
          <w:b/>
          <w:sz w:val="24"/>
          <w:szCs w:val="24"/>
        </w:rPr>
        <w:t>: The portion of not developed technical knowledge set</w:t>
      </w:r>
    </w:p>
    <w:p w14:paraId="0742D1A3" w14:textId="77777777" w:rsidR="001E63F1" w:rsidRPr="00476DF1" w:rsidRDefault="001E63F1" w:rsidP="00CE4BBE">
      <w:pPr>
        <w:spacing w:after="0" w:line="240" w:lineRule="auto"/>
        <w:ind w:firstLine="720"/>
        <w:jc w:val="both"/>
        <w:rPr>
          <w:rFonts w:ascii="Times New Roman" w:hAnsi="Times New Roman"/>
          <w:sz w:val="24"/>
          <w:szCs w:val="24"/>
        </w:rPr>
      </w:pPr>
    </w:p>
    <w:tbl>
      <w:tblPr>
        <w:tblpPr w:leftFromText="180" w:rightFromText="180" w:vertAnchor="text" w:horzAnchor="page" w:tblpX="3354" w:tblpY="5"/>
        <w:tblW w:w="5082" w:type="dxa"/>
        <w:tblLook w:val="04A0" w:firstRow="1" w:lastRow="0" w:firstColumn="1" w:lastColumn="0" w:noHBand="0" w:noVBand="1"/>
      </w:tblPr>
      <w:tblGrid>
        <w:gridCol w:w="2608"/>
        <w:gridCol w:w="2474"/>
      </w:tblGrid>
      <w:tr w:rsidR="00FD280D" w:rsidRPr="00476DF1" w14:paraId="23F9295C" w14:textId="77777777" w:rsidTr="00016A93">
        <w:trPr>
          <w:trHeight w:val="311"/>
        </w:trPr>
        <w:tc>
          <w:tcPr>
            <w:tcW w:w="2608" w:type="dxa"/>
            <w:vMerge w:val="restart"/>
            <w:tcBorders>
              <w:top w:val="single" w:sz="4" w:space="0" w:color="auto"/>
              <w:left w:val="nil"/>
              <w:bottom w:val="single" w:sz="4" w:space="0" w:color="000000"/>
              <w:right w:val="nil"/>
            </w:tcBorders>
            <w:shd w:val="clear" w:color="000000" w:fill="FFFFFF"/>
            <w:noWrap/>
            <w:vAlign w:val="center"/>
            <w:hideMark/>
          </w:tcPr>
          <w:p w14:paraId="7346C571" w14:textId="77777777" w:rsidR="00FD280D" w:rsidRPr="00476DF1" w:rsidRDefault="00FD280D" w:rsidP="00191B56">
            <w:pPr>
              <w:spacing w:after="0" w:line="240" w:lineRule="auto"/>
              <w:jc w:val="center"/>
              <w:rPr>
                <w:rFonts w:ascii="Times New Roman" w:eastAsia="Times New Roman" w:hAnsi="Times New Roman"/>
                <w:b/>
                <w:bCs/>
                <w:color w:val="000000"/>
                <w:sz w:val="16"/>
                <w:szCs w:val="16"/>
              </w:rPr>
            </w:pPr>
            <w:r w:rsidRPr="00476DF1">
              <w:rPr>
                <w:rFonts w:ascii="Times New Roman" w:eastAsia="Times New Roman" w:hAnsi="Times New Roman"/>
                <w:b/>
                <w:bCs/>
                <w:color w:val="000000"/>
                <w:sz w:val="16"/>
                <w:szCs w:val="16"/>
              </w:rPr>
              <w:t>Enterprise</w:t>
            </w:r>
          </w:p>
        </w:tc>
        <w:tc>
          <w:tcPr>
            <w:tcW w:w="2474" w:type="dxa"/>
            <w:vMerge w:val="restart"/>
            <w:tcBorders>
              <w:top w:val="single" w:sz="4" w:space="0" w:color="auto"/>
              <w:left w:val="nil"/>
              <w:bottom w:val="single" w:sz="4" w:space="0" w:color="000000"/>
              <w:right w:val="nil"/>
            </w:tcBorders>
            <w:shd w:val="clear" w:color="000000" w:fill="FFFFFF"/>
            <w:noWrap/>
            <w:vAlign w:val="center"/>
            <w:hideMark/>
          </w:tcPr>
          <w:p w14:paraId="7D1183C5" w14:textId="77777777" w:rsidR="00FD280D" w:rsidRPr="00476DF1" w:rsidRDefault="00FD280D" w:rsidP="00191B56">
            <w:pPr>
              <w:spacing w:after="0" w:line="240" w:lineRule="auto"/>
              <w:jc w:val="center"/>
              <w:rPr>
                <w:rFonts w:ascii="Times New Roman" w:eastAsia="Times New Roman" w:hAnsi="Times New Roman"/>
                <w:b/>
                <w:bCs/>
                <w:color w:val="000000"/>
                <w:sz w:val="16"/>
                <w:szCs w:val="16"/>
              </w:rPr>
            </w:pPr>
            <w:r w:rsidRPr="00476DF1">
              <w:rPr>
                <w:rFonts w:ascii="Times New Roman" w:eastAsia="Times New Roman" w:hAnsi="Times New Roman"/>
                <w:b/>
                <w:bCs/>
                <w:color w:val="000000"/>
                <w:sz w:val="16"/>
                <w:szCs w:val="16"/>
              </w:rPr>
              <w:t>Percentage</w:t>
            </w:r>
          </w:p>
        </w:tc>
      </w:tr>
      <w:tr w:rsidR="00FD280D" w:rsidRPr="00476DF1" w14:paraId="333EBF68" w14:textId="77777777" w:rsidTr="00016A93">
        <w:trPr>
          <w:trHeight w:val="269"/>
        </w:trPr>
        <w:tc>
          <w:tcPr>
            <w:tcW w:w="2608" w:type="dxa"/>
            <w:vMerge/>
            <w:tcBorders>
              <w:top w:val="single" w:sz="4" w:space="0" w:color="auto"/>
              <w:left w:val="nil"/>
              <w:bottom w:val="single" w:sz="4" w:space="0" w:color="000000"/>
              <w:right w:val="nil"/>
            </w:tcBorders>
            <w:vAlign w:val="center"/>
            <w:hideMark/>
          </w:tcPr>
          <w:p w14:paraId="28B46D97" w14:textId="77777777" w:rsidR="00FD280D" w:rsidRPr="00476DF1" w:rsidRDefault="00FD280D" w:rsidP="00191B56">
            <w:pPr>
              <w:spacing w:after="0" w:line="240" w:lineRule="auto"/>
              <w:jc w:val="center"/>
              <w:rPr>
                <w:rFonts w:ascii="Times New Roman" w:eastAsia="Times New Roman" w:hAnsi="Times New Roman"/>
                <w:b/>
                <w:bCs/>
                <w:color w:val="000000"/>
                <w:sz w:val="16"/>
                <w:szCs w:val="16"/>
              </w:rPr>
            </w:pPr>
          </w:p>
        </w:tc>
        <w:tc>
          <w:tcPr>
            <w:tcW w:w="2474" w:type="dxa"/>
            <w:vMerge/>
            <w:tcBorders>
              <w:top w:val="single" w:sz="4" w:space="0" w:color="auto"/>
              <w:left w:val="nil"/>
              <w:bottom w:val="single" w:sz="4" w:space="0" w:color="000000"/>
              <w:right w:val="nil"/>
            </w:tcBorders>
            <w:vAlign w:val="center"/>
            <w:hideMark/>
          </w:tcPr>
          <w:p w14:paraId="2CDCF20E" w14:textId="77777777" w:rsidR="00FD280D" w:rsidRPr="00476DF1" w:rsidRDefault="00FD280D" w:rsidP="00191B56">
            <w:pPr>
              <w:spacing w:after="0" w:line="240" w:lineRule="auto"/>
              <w:jc w:val="center"/>
              <w:rPr>
                <w:rFonts w:ascii="Times New Roman" w:eastAsia="Times New Roman" w:hAnsi="Times New Roman"/>
                <w:b/>
                <w:bCs/>
                <w:color w:val="000000"/>
                <w:sz w:val="16"/>
                <w:szCs w:val="16"/>
              </w:rPr>
            </w:pPr>
          </w:p>
        </w:tc>
      </w:tr>
      <w:tr w:rsidR="00FD280D" w:rsidRPr="00476DF1" w14:paraId="12E44458" w14:textId="77777777" w:rsidTr="00016A93">
        <w:trPr>
          <w:trHeight w:val="311"/>
        </w:trPr>
        <w:tc>
          <w:tcPr>
            <w:tcW w:w="2608" w:type="dxa"/>
            <w:tcBorders>
              <w:top w:val="single" w:sz="4" w:space="0" w:color="auto"/>
              <w:left w:val="nil"/>
              <w:bottom w:val="single" w:sz="4" w:space="0" w:color="auto"/>
              <w:right w:val="nil"/>
            </w:tcBorders>
            <w:shd w:val="clear" w:color="000000" w:fill="FFFFFF"/>
            <w:noWrap/>
            <w:vAlign w:val="center"/>
            <w:hideMark/>
          </w:tcPr>
          <w:p w14:paraId="0941B4BA" w14:textId="77777777" w:rsidR="00FD280D" w:rsidRPr="00476DF1" w:rsidRDefault="00FD280D" w:rsidP="00191B56">
            <w:pPr>
              <w:spacing w:after="0" w:line="240" w:lineRule="auto"/>
              <w:jc w:val="center"/>
              <w:rPr>
                <w:rFonts w:ascii="Times New Roman" w:eastAsia="Times New Roman" w:hAnsi="Times New Roman"/>
                <w:color w:val="000000"/>
                <w:sz w:val="16"/>
                <w:szCs w:val="16"/>
              </w:rPr>
            </w:pPr>
            <w:r w:rsidRPr="00476DF1">
              <w:rPr>
                <w:rFonts w:ascii="Times New Roman" w:eastAsia="Times New Roman" w:hAnsi="Times New Roman"/>
                <w:color w:val="000000"/>
                <w:sz w:val="16"/>
                <w:szCs w:val="16"/>
              </w:rPr>
              <w:t>J&amp;J</w:t>
            </w:r>
          </w:p>
        </w:tc>
        <w:tc>
          <w:tcPr>
            <w:tcW w:w="2474" w:type="dxa"/>
            <w:tcBorders>
              <w:top w:val="single" w:sz="4" w:space="0" w:color="auto"/>
              <w:left w:val="nil"/>
              <w:bottom w:val="single" w:sz="4" w:space="0" w:color="auto"/>
              <w:right w:val="nil"/>
            </w:tcBorders>
            <w:shd w:val="clear" w:color="000000" w:fill="FFFFFF"/>
            <w:noWrap/>
            <w:vAlign w:val="center"/>
            <w:hideMark/>
          </w:tcPr>
          <w:p w14:paraId="38BF0309" w14:textId="77777777" w:rsidR="00FD280D" w:rsidRPr="00476DF1" w:rsidRDefault="00FD280D" w:rsidP="00191B56">
            <w:pPr>
              <w:spacing w:after="0" w:line="240" w:lineRule="auto"/>
              <w:jc w:val="center"/>
              <w:rPr>
                <w:rFonts w:ascii="Times New Roman" w:eastAsia="Times New Roman" w:hAnsi="Times New Roman"/>
                <w:color w:val="000000"/>
                <w:sz w:val="16"/>
                <w:szCs w:val="16"/>
              </w:rPr>
            </w:pPr>
            <w:r w:rsidRPr="00476DF1">
              <w:rPr>
                <w:rFonts w:ascii="Times New Roman" w:eastAsia="Times New Roman" w:hAnsi="Times New Roman"/>
                <w:color w:val="000000"/>
                <w:sz w:val="16"/>
                <w:szCs w:val="16"/>
              </w:rPr>
              <w:t>66%</w:t>
            </w:r>
          </w:p>
        </w:tc>
      </w:tr>
      <w:tr w:rsidR="00FD280D" w:rsidRPr="00476DF1" w14:paraId="75A86E88" w14:textId="77777777" w:rsidTr="00016A93">
        <w:trPr>
          <w:trHeight w:val="311"/>
        </w:trPr>
        <w:tc>
          <w:tcPr>
            <w:tcW w:w="2608" w:type="dxa"/>
            <w:tcBorders>
              <w:top w:val="single" w:sz="4" w:space="0" w:color="auto"/>
              <w:left w:val="nil"/>
              <w:bottom w:val="single" w:sz="4" w:space="0" w:color="auto"/>
              <w:right w:val="nil"/>
            </w:tcBorders>
            <w:shd w:val="clear" w:color="000000" w:fill="FFFFFF"/>
            <w:noWrap/>
            <w:vAlign w:val="center"/>
            <w:hideMark/>
          </w:tcPr>
          <w:p w14:paraId="5A1E8FCD" w14:textId="77777777" w:rsidR="00FD280D" w:rsidRPr="00476DF1" w:rsidRDefault="00FD280D" w:rsidP="00191B56">
            <w:pPr>
              <w:spacing w:after="0" w:line="240" w:lineRule="auto"/>
              <w:jc w:val="center"/>
              <w:rPr>
                <w:rFonts w:ascii="Times New Roman" w:eastAsia="Times New Roman" w:hAnsi="Times New Roman"/>
                <w:color w:val="000000"/>
                <w:sz w:val="16"/>
                <w:szCs w:val="16"/>
              </w:rPr>
            </w:pPr>
            <w:r w:rsidRPr="00476DF1">
              <w:rPr>
                <w:rFonts w:ascii="Times New Roman" w:eastAsia="Times New Roman" w:hAnsi="Times New Roman"/>
                <w:color w:val="000000"/>
                <w:sz w:val="16"/>
                <w:szCs w:val="16"/>
              </w:rPr>
              <w:t>Astra-Zeneca</w:t>
            </w:r>
          </w:p>
        </w:tc>
        <w:tc>
          <w:tcPr>
            <w:tcW w:w="2474" w:type="dxa"/>
            <w:tcBorders>
              <w:top w:val="single" w:sz="4" w:space="0" w:color="auto"/>
              <w:left w:val="nil"/>
              <w:bottom w:val="single" w:sz="4" w:space="0" w:color="auto"/>
              <w:right w:val="nil"/>
            </w:tcBorders>
            <w:shd w:val="clear" w:color="000000" w:fill="FFFFFF"/>
            <w:noWrap/>
            <w:vAlign w:val="center"/>
            <w:hideMark/>
          </w:tcPr>
          <w:p w14:paraId="617F8F47" w14:textId="77777777" w:rsidR="00FD280D" w:rsidRPr="00476DF1" w:rsidRDefault="00FD280D" w:rsidP="00191B56">
            <w:pPr>
              <w:spacing w:after="0" w:line="240" w:lineRule="auto"/>
              <w:jc w:val="center"/>
              <w:rPr>
                <w:rFonts w:ascii="Times New Roman" w:eastAsia="Times New Roman" w:hAnsi="Times New Roman"/>
                <w:color w:val="000000"/>
                <w:sz w:val="16"/>
                <w:szCs w:val="16"/>
              </w:rPr>
            </w:pPr>
            <w:r w:rsidRPr="00476DF1">
              <w:rPr>
                <w:rFonts w:ascii="Times New Roman" w:eastAsia="Times New Roman" w:hAnsi="Times New Roman"/>
                <w:color w:val="000000"/>
                <w:sz w:val="16"/>
                <w:szCs w:val="16"/>
              </w:rPr>
              <w:t>32%</w:t>
            </w:r>
          </w:p>
        </w:tc>
      </w:tr>
      <w:tr w:rsidR="00FD280D" w:rsidRPr="00476DF1" w14:paraId="4BA8F8D4" w14:textId="77777777" w:rsidTr="00016A93">
        <w:trPr>
          <w:trHeight w:val="311"/>
        </w:trPr>
        <w:tc>
          <w:tcPr>
            <w:tcW w:w="2608" w:type="dxa"/>
            <w:tcBorders>
              <w:top w:val="single" w:sz="4" w:space="0" w:color="auto"/>
              <w:left w:val="nil"/>
              <w:bottom w:val="single" w:sz="4" w:space="0" w:color="auto"/>
              <w:right w:val="nil"/>
            </w:tcBorders>
            <w:shd w:val="clear" w:color="000000" w:fill="FFFFFF"/>
            <w:noWrap/>
            <w:vAlign w:val="center"/>
            <w:hideMark/>
          </w:tcPr>
          <w:p w14:paraId="59A54C25" w14:textId="77777777" w:rsidR="00FD280D" w:rsidRPr="00476DF1" w:rsidRDefault="00FD280D" w:rsidP="00191B56">
            <w:pPr>
              <w:spacing w:after="0" w:line="240" w:lineRule="auto"/>
              <w:jc w:val="center"/>
              <w:rPr>
                <w:rFonts w:ascii="Times New Roman" w:eastAsia="Times New Roman" w:hAnsi="Times New Roman"/>
                <w:color w:val="000000"/>
                <w:sz w:val="16"/>
                <w:szCs w:val="16"/>
              </w:rPr>
            </w:pPr>
            <w:r w:rsidRPr="00476DF1">
              <w:rPr>
                <w:rFonts w:ascii="Times New Roman" w:eastAsia="Times New Roman" w:hAnsi="Times New Roman"/>
                <w:color w:val="000000"/>
                <w:sz w:val="16"/>
                <w:szCs w:val="16"/>
              </w:rPr>
              <w:t>Abbott-Laboratories</w:t>
            </w:r>
          </w:p>
        </w:tc>
        <w:tc>
          <w:tcPr>
            <w:tcW w:w="2474" w:type="dxa"/>
            <w:tcBorders>
              <w:top w:val="single" w:sz="4" w:space="0" w:color="auto"/>
              <w:left w:val="nil"/>
              <w:bottom w:val="single" w:sz="4" w:space="0" w:color="auto"/>
              <w:right w:val="nil"/>
            </w:tcBorders>
            <w:shd w:val="clear" w:color="000000" w:fill="FFFFFF"/>
            <w:noWrap/>
            <w:vAlign w:val="center"/>
            <w:hideMark/>
          </w:tcPr>
          <w:p w14:paraId="35670148" w14:textId="77777777" w:rsidR="00FD280D" w:rsidRPr="00476DF1" w:rsidRDefault="00FD280D" w:rsidP="00191B56">
            <w:pPr>
              <w:spacing w:after="0" w:line="240" w:lineRule="auto"/>
              <w:jc w:val="center"/>
              <w:rPr>
                <w:rFonts w:ascii="Times New Roman" w:eastAsia="Times New Roman" w:hAnsi="Times New Roman"/>
                <w:color w:val="000000"/>
                <w:sz w:val="16"/>
                <w:szCs w:val="16"/>
              </w:rPr>
            </w:pPr>
            <w:r w:rsidRPr="00476DF1">
              <w:rPr>
                <w:rFonts w:ascii="Times New Roman" w:eastAsia="Times New Roman" w:hAnsi="Times New Roman"/>
                <w:color w:val="000000"/>
                <w:sz w:val="16"/>
                <w:szCs w:val="16"/>
              </w:rPr>
              <w:t>27%</w:t>
            </w:r>
          </w:p>
        </w:tc>
      </w:tr>
      <w:tr w:rsidR="00FD280D" w:rsidRPr="00476DF1" w14:paraId="37F0527B" w14:textId="77777777" w:rsidTr="00016A93">
        <w:trPr>
          <w:trHeight w:val="311"/>
        </w:trPr>
        <w:tc>
          <w:tcPr>
            <w:tcW w:w="2608" w:type="dxa"/>
            <w:tcBorders>
              <w:top w:val="single" w:sz="4" w:space="0" w:color="auto"/>
              <w:left w:val="nil"/>
              <w:bottom w:val="single" w:sz="4" w:space="0" w:color="auto"/>
              <w:right w:val="nil"/>
            </w:tcBorders>
            <w:shd w:val="clear" w:color="000000" w:fill="FFFFFF"/>
            <w:vAlign w:val="center"/>
            <w:hideMark/>
          </w:tcPr>
          <w:p w14:paraId="2C5EB668" w14:textId="77777777" w:rsidR="00FD280D" w:rsidRPr="00476DF1" w:rsidRDefault="00FD280D" w:rsidP="00191B56">
            <w:pPr>
              <w:spacing w:after="0" w:line="240" w:lineRule="auto"/>
              <w:jc w:val="center"/>
              <w:rPr>
                <w:rFonts w:ascii="Times New Roman" w:eastAsia="Times New Roman" w:hAnsi="Times New Roman"/>
                <w:color w:val="000000"/>
                <w:sz w:val="16"/>
                <w:szCs w:val="16"/>
              </w:rPr>
            </w:pPr>
            <w:r w:rsidRPr="00476DF1">
              <w:rPr>
                <w:rFonts w:ascii="Times New Roman" w:eastAsia="Times New Roman" w:hAnsi="Times New Roman"/>
                <w:color w:val="000000"/>
                <w:sz w:val="16"/>
                <w:szCs w:val="16"/>
              </w:rPr>
              <w:t>GSK</w:t>
            </w:r>
          </w:p>
        </w:tc>
        <w:tc>
          <w:tcPr>
            <w:tcW w:w="2474" w:type="dxa"/>
            <w:tcBorders>
              <w:top w:val="single" w:sz="4" w:space="0" w:color="auto"/>
              <w:left w:val="nil"/>
              <w:bottom w:val="single" w:sz="4" w:space="0" w:color="auto"/>
              <w:right w:val="nil"/>
            </w:tcBorders>
            <w:shd w:val="clear" w:color="000000" w:fill="FFFFFF"/>
            <w:noWrap/>
            <w:vAlign w:val="center"/>
            <w:hideMark/>
          </w:tcPr>
          <w:p w14:paraId="48888202" w14:textId="77777777" w:rsidR="00FD280D" w:rsidRPr="00476DF1" w:rsidRDefault="00FD280D" w:rsidP="00191B56">
            <w:pPr>
              <w:spacing w:after="0" w:line="240" w:lineRule="auto"/>
              <w:jc w:val="center"/>
              <w:rPr>
                <w:rFonts w:ascii="Times New Roman" w:eastAsia="Times New Roman" w:hAnsi="Times New Roman"/>
                <w:color w:val="000000"/>
                <w:sz w:val="16"/>
                <w:szCs w:val="16"/>
              </w:rPr>
            </w:pPr>
            <w:r w:rsidRPr="00476DF1">
              <w:rPr>
                <w:rFonts w:ascii="Times New Roman" w:eastAsia="Times New Roman" w:hAnsi="Times New Roman"/>
                <w:color w:val="000000"/>
                <w:sz w:val="16"/>
                <w:szCs w:val="16"/>
              </w:rPr>
              <w:t>14%</w:t>
            </w:r>
          </w:p>
        </w:tc>
      </w:tr>
      <w:tr w:rsidR="00FD280D" w:rsidRPr="00476DF1" w14:paraId="30C88050" w14:textId="77777777" w:rsidTr="00016A93">
        <w:trPr>
          <w:trHeight w:val="311"/>
        </w:trPr>
        <w:tc>
          <w:tcPr>
            <w:tcW w:w="2608" w:type="dxa"/>
            <w:tcBorders>
              <w:top w:val="single" w:sz="4" w:space="0" w:color="auto"/>
              <w:left w:val="nil"/>
              <w:bottom w:val="single" w:sz="4" w:space="0" w:color="auto"/>
              <w:right w:val="nil"/>
            </w:tcBorders>
            <w:shd w:val="clear" w:color="000000" w:fill="FFFFFF"/>
            <w:noWrap/>
            <w:vAlign w:val="center"/>
            <w:hideMark/>
          </w:tcPr>
          <w:p w14:paraId="199904AA" w14:textId="77777777" w:rsidR="00FD280D" w:rsidRPr="00476DF1" w:rsidRDefault="00FD280D" w:rsidP="00191B56">
            <w:pPr>
              <w:spacing w:after="0" w:line="240" w:lineRule="auto"/>
              <w:jc w:val="center"/>
              <w:rPr>
                <w:rFonts w:ascii="Times New Roman" w:eastAsia="Times New Roman" w:hAnsi="Times New Roman"/>
                <w:color w:val="000000"/>
                <w:sz w:val="16"/>
                <w:szCs w:val="16"/>
              </w:rPr>
            </w:pPr>
            <w:r w:rsidRPr="00476DF1">
              <w:rPr>
                <w:rFonts w:ascii="Times New Roman" w:eastAsia="Times New Roman" w:hAnsi="Times New Roman"/>
                <w:color w:val="000000"/>
                <w:sz w:val="16"/>
                <w:szCs w:val="16"/>
              </w:rPr>
              <w:t>Pfizer</w:t>
            </w:r>
          </w:p>
        </w:tc>
        <w:tc>
          <w:tcPr>
            <w:tcW w:w="2474" w:type="dxa"/>
            <w:tcBorders>
              <w:top w:val="single" w:sz="4" w:space="0" w:color="auto"/>
              <w:left w:val="nil"/>
              <w:bottom w:val="single" w:sz="4" w:space="0" w:color="auto"/>
              <w:right w:val="nil"/>
            </w:tcBorders>
            <w:shd w:val="clear" w:color="000000" w:fill="FFFFFF"/>
            <w:noWrap/>
            <w:vAlign w:val="center"/>
            <w:hideMark/>
          </w:tcPr>
          <w:p w14:paraId="1E54A847" w14:textId="77777777" w:rsidR="00FD280D" w:rsidRPr="00476DF1" w:rsidRDefault="00FD280D" w:rsidP="00191B56">
            <w:pPr>
              <w:spacing w:after="0" w:line="240" w:lineRule="auto"/>
              <w:jc w:val="center"/>
              <w:rPr>
                <w:rFonts w:ascii="Times New Roman" w:eastAsia="Times New Roman" w:hAnsi="Times New Roman"/>
                <w:color w:val="000000"/>
                <w:sz w:val="16"/>
                <w:szCs w:val="16"/>
              </w:rPr>
            </w:pPr>
            <w:r w:rsidRPr="00476DF1">
              <w:rPr>
                <w:rFonts w:ascii="Times New Roman" w:eastAsia="Times New Roman" w:hAnsi="Times New Roman"/>
                <w:color w:val="000000"/>
                <w:sz w:val="16"/>
                <w:szCs w:val="16"/>
              </w:rPr>
              <w:t>12%</w:t>
            </w:r>
          </w:p>
        </w:tc>
      </w:tr>
      <w:tr w:rsidR="00FD280D" w:rsidRPr="00476DF1" w14:paraId="44DA295E" w14:textId="77777777" w:rsidTr="00016A93">
        <w:trPr>
          <w:trHeight w:val="311"/>
        </w:trPr>
        <w:tc>
          <w:tcPr>
            <w:tcW w:w="2608" w:type="dxa"/>
            <w:tcBorders>
              <w:top w:val="single" w:sz="4" w:space="0" w:color="auto"/>
              <w:left w:val="nil"/>
              <w:bottom w:val="single" w:sz="4" w:space="0" w:color="auto"/>
              <w:right w:val="nil"/>
            </w:tcBorders>
            <w:shd w:val="clear" w:color="000000" w:fill="FFFFFF"/>
            <w:noWrap/>
            <w:vAlign w:val="center"/>
            <w:hideMark/>
          </w:tcPr>
          <w:p w14:paraId="16EF52B5" w14:textId="77777777" w:rsidR="00FD280D" w:rsidRPr="00476DF1" w:rsidRDefault="00FD280D" w:rsidP="00191B56">
            <w:pPr>
              <w:spacing w:after="0" w:line="240" w:lineRule="auto"/>
              <w:jc w:val="center"/>
              <w:rPr>
                <w:rFonts w:ascii="Times New Roman" w:eastAsia="Times New Roman" w:hAnsi="Times New Roman"/>
                <w:color w:val="000000"/>
                <w:sz w:val="16"/>
                <w:szCs w:val="16"/>
              </w:rPr>
            </w:pPr>
            <w:r w:rsidRPr="00476DF1">
              <w:rPr>
                <w:rFonts w:ascii="Times New Roman" w:eastAsia="Times New Roman" w:hAnsi="Times New Roman"/>
                <w:color w:val="000000"/>
                <w:sz w:val="16"/>
                <w:szCs w:val="16"/>
              </w:rPr>
              <w:t>Roche</w:t>
            </w:r>
          </w:p>
        </w:tc>
        <w:tc>
          <w:tcPr>
            <w:tcW w:w="2474" w:type="dxa"/>
            <w:tcBorders>
              <w:top w:val="single" w:sz="4" w:space="0" w:color="auto"/>
              <w:left w:val="nil"/>
              <w:bottom w:val="single" w:sz="4" w:space="0" w:color="auto"/>
              <w:right w:val="nil"/>
            </w:tcBorders>
            <w:shd w:val="clear" w:color="000000" w:fill="FFFFFF"/>
            <w:noWrap/>
            <w:vAlign w:val="center"/>
            <w:hideMark/>
          </w:tcPr>
          <w:p w14:paraId="7644B4D4" w14:textId="77777777" w:rsidR="00FD280D" w:rsidRPr="00476DF1" w:rsidRDefault="00FD280D" w:rsidP="00191B56">
            <w:pPr>
              <w:spacing w:after="0" w:line="240" w:lineRule="auto"/>
              <w:jc w:val="center"/>
              <w:rPr>
                <w:rFonts w:ascii="Times New Roman" w:eastAsia="Times New Roman" w:hAnsi="Times New Roman"/>
                <w:color w:val="000000"/>
                <w:sz w:val="16"/>
                <w:szCs w:val="16"/>
              </w:rPr>
            </w:pPr>
            <w:r w:rsidRPr="00476DF1">
              <w:rPr>
                <w:rFonts w:ascii="Times New Roman" w:eastAsia="Times New Roman" w:hAnsi="Times New Roman"/>
                <w:color w:val="000000"/>
                <w:sz w:val="16"/>
                <w:szCs w:val="16"/>
              </w:rPr>
              <w:t>10%</w:t>
            </w:r>
          </w:p>
        </w:tc>
      </w:tr>
      <w:tr w:rsidR="00FD280D" w:rsidRPr="00476DF1" w14:paraId="2CAAD3FE" w14:textId="77777777" w:rsidTr="00016A93">
        <w:trPr>
          <w:trHeight w:val="311"/>
        </w:trPr>
        <w:tc>
          <w:tcPr>
            <w:tcW w:w="2608" w:type="dxa"/>
            <w:tcBorders>
              <w:top w:val="single" w:sz="4" w:space="0" w:color="auto"/>
              <w:left w:val="nil"/>
              <w:bottom w:val="single" w:sz="4" w:space="0" w:color="auto"/>
              <w:right w:val="nil"/>
            </w:tcBorders>
            <w:shd w:val="clear" w:color="000000" w:fill="FFFFFF"/>
            <w:noWrap/>
            <w:vAlign w:val="center"/>
            <w:hideMark/>
          </w:tcPr>
          <w:p w14:paraId="0071DAD6" w14:textId="77777777" w:rsidR="00FD280D" w:rsidRPr="00476DF1" w:rsidRDefault="00FD280D" w:rsidP="00191B56">
            <w:pPr>
              <w:spacing w:after="0" w:line="240" w:lineRule="auto"/>
              <w:jc w:val="center"/>
              <w:rPr>
                <w:rFonts w:ascii="Times New Roman" w:eastAsia="Times New Roman" w:hAnsi="Times New Roman"/>
                <w:color w:val="000000"/>
                <w:sz w:val="16"/>
                <w:szCs w:val="16"/>
              </w:rPr>
            </w:pPr>
            <w:r w:rsidRPr="00476DF1">
              <w:rPr>
                <w:rFonts w:ascii="Times New Roman" w:eastAsia="Times New Roman" w:hAnsi="Times New Roman"/>
                <w:color w:val="000000"/>
                <w:sz w:val="16"/>
                <w:szCs w:val="16"/>
              </w:rPr>
              <w:t>Sanofi</w:t>
            </w:r>
          </w:p>
        </w:tc>
        <w:tc>
          <w:tcPr>
            <w:tcW w:w="2474" w:type="dxa"/>
            <w:tcBorders>
              <w:top w:val="single" w:sz="4" w:space="0" w:color="auto"/>
              <w:left w:val="nil"/>
              <w:bottom w:val="single" w:sz="4" w:space="0" w:color="auto"/>
              <w:right w:val="nil"/>
            </w:tcBorders>
            <w:shd w:val="clear" w:color="000000" w:fill="FFFFFF"/>
            <w:noWrap/>
            <w:vAlign w:val="center"/>
            <w:hideMark/>
          </w:tcPr>
          <w:p w14:paraId="2AE4F57F" w14:textId="77777777" w:rsidR="00FD280D" w:rsidRPr="00476DF1" w:rsidRDefault="00FD280D" w:rsidP="00191B56">
            <w:pPr>
              <w:spacing w:after="0" w:line="240" w:lineRule="auto"/>
              <w:jc w:val="center"/>
              <w:rPr>
                <w:rFonts w:ascii="Times New Roman" w:eastAsia="Times New Roman" w:hAnsi="Times New Roman"/>
                <w:color w:val="000000"/>
                <w:sz w:val="16"/>
                <w:szCs w:val="16"/>
              </w:rPr>
            </w:pPr>
            <w:r w:rsidRPr="00476DF1">
              <w:rPr>
                <w:rFonts w:ascii="Times New Roman" w:eastAsia="Times New Roman" w:hAnsi="Times New Roman"/>
                <w:color w:val="000000"/>
                <w:sz w:val="16"/>
                <w:szCs w:val="16"/>
              </w:rPr>
              <w:t>6%</w:t>
            </w:r>
          </w:p>
        </w:tc>
      </w:tr>
    </w:tbl>
    <w:p w14:paraId="0801FFB0" w14:textId="77777777" w:rsidR="001E63F1" w:rsidRPr="00476DF1" w:rsidRDefault="001E63F1" w:rsidP="00CE4BBE">
      <w:pPr>
        <w:spacing w:after="0" w:line="240" w:lineRule="auto"/>
        <w:ind w:firstLine="720"/>
        <w:jc w:val="both"/>
        <w:rPr>
          <w:rFonts w:ascii="Times New Roman" w:hAnsi="Times New Roman"/>
          <w:sz w:val="18"/>
          <w:szCs w:val="18"/>
        </w:rPr>
      </w:pPr>
    </w:p>
    <w:p w14:paraId="4FBABBE2" w14:textId="77777777" w:rsidR="001E63F1" w:rsidRPr="00476DF1" w:rsidRDefault="001E63F1" w:rsidP="00CE4BBE">
      <w:pPr>
        <w:spacing w:after="0" w:line="240" w:lineRule="auto"/>
        <w:ind w:firstLine="720"/>
        <w:jc w:val="both"/>
        <w:rPr>
          <w:rFonts w:ascii="Times New Roman" w:hAnsi="Times New Roman"/>
          <w:sz w:val="18"/>
          <w:szCs w:val="18"/>
        </w:rPr>
      </w:pPr>
    </w:p>
    <w:p w14:paraId="49C6A8BD" w14:textId="77777777" w:rsidR="001E63F1" w:rsidRPr="00476DF1" w:rsidRDefault="001E63F1" w:rsidP="00CE4BBE">
      <w:pPr>
        <w:spacing w:after="0" w:line="240" w:lineRule="auto"/>
        <w:ind w:firstLine="720"/>
        <w:jc w:val="both"/>
        <w:rPr>
          <w:rFonts w:ascii="Times New Roman" w:hAnsi="Times New Roman"/>
          <w:sz w:val="18"/>
          <w:szCs w:val="18"/>
        </w:rPr>
      </w:pPr>
    </w:p>
    <w:p w14:paraId="65443A1E" w14:textId="77777777" w:rsidR="001E63F1" w:rsidRPr="00476DF1" w:rsidRDefault="001E63F1" w:rsidP="00CE4BBE">
      <w:pPr>
        <w:spacing w:after="0" w:line="240" w:lineRule="auto"/>
        <w:ind w:firstLine="720"/>
        <w:jc w:val="both"/>
        <w:rPr>
          <w:rFonts w:ascii="Times New Roman" w:hAnsi="Times New Roman"/>
          <w:sz w:val="24"/>
          <w:szCs w:val="24"/>
        </w:rPr>
      </w:pPr>
    </w:p>
    <w:p w14:paraId="1904297E" w14:textId="77777777" w:rsidR="001E63F1" w:rsidRPr="00476DF1" w:rsidRDefault="001E63F1" w:rsidP="00CE4BBE">
      <w:pPr>
        <w:spacing w:after="0" w:line="240" w:lineRule="auto"/>
        <w:ind w:firstLine="720"/>
        <w:jc w:val="both"/>
        <w:rPr>
          <w:rFonts w:ascii="Times New Roman" w:hAnsi="Times New Roman"/>
          <w:sz w:val="16"/>
          <w:szCs w:val="16"/>
        </w:rPr>
      </w:pPr>
    </w:p>
    <w:p w14:paraId="38C68C07" w14:textId="77777777" w:rsidR="004A1D4E" w:rsidRPr="00476DF1" w:rsidRDefault="004A1D4E" w:rsidP="00CE4BBE">
      <w:pPr>
        <w:spacing w:after="0" w:line="240" w:lineRule="auto"/>
        <w:ind w:firstLine="720"/>
        <w:jc w:val="both"/>
        <w:rPr>
          <w:rFonts w:ascii="Times New Roman" w:hAnsi="Times New Roman"/>
          <w:sz w:val="16"/>
          <w:szCs w:val="16"/>
        </w:rPr>
      </w:pPr>
    </w:p>
    <w:p w14:paraId="5BABB370" w14:textId="77777777" w:rsidR="00191B56" w:rsidRPr="00476DF1" w:rsidRDefault="00191B56" w:rsidP="00CE4BBE">
      <w:pPr>
        <w:spacing w:after="0" w:line="240" w:lineRule="auto"/>
        <w:ind w:firstLine="720"/>
        <w:jc w:val="both"/>
        <w:rPr>
          <w:rFonts w:ascii="Times New Roman" w:hAnsi="Times New Roman"/>
          <w:sz w:val="16"/>
          <w:szCs w:val="16"/>
        </w:rPr>
      </w:pPr>
    </w:p>
    <w:p w14:paraId="650FC6F9" w14:textId="77777777" w:rsidR="00191B56" w:rsidRPr="00476DF1" w:rsidRDefault="00191B56" w:rsidP="00CE4BBE">
      <w:pPr>
        <w:spacing w:after="0" w:line="240" w:lineRule="auto"/>
        <w:ind w:firstLine="720"/>
        <w:jc w:val="both"/>
        <w:rPr>
          <w:rFonts w:ascii="Times New Roman" w:hAnsi="Times New Roman"/>
          <w:sz w:val="16"/>
          <w:szCs w:val="16"/>
        </w:rPr>
      </w:pPr>
    </w:p>
    <w:p w14:paraId="4BF6CF2B" w14:textId="77777777" w:rsidR="00191B56" w:rsidRPr="00476DF1" w:rsidRDefault="00191B56" w:rsidP="00CE4BBE">
      <w:pPr>
        <w:spacing w:after="0" w:line="240" w:lineRule="auto"/>
        <w:ind w:firstLine="720"/>
        <w:jc w:val="both"/>
        <w:rPr>
          <w:rFonts w:ascii="Times New Roman" w:hAnsi="Times New Roman"/>
          <w:sz w:val="16"/>
          <w:szCs w:val="16"/>
        </w:rPr>
      </w:pPr>
    </w:p>
    <w:p w14:paraId="56767ADD" w14:textId="77777777" w:rsidR="00191B56" w:rsidRPr="00476DF1" w:rsidRDefault="00191B56" w:rsidP="00CE4BBE">
      <w:pPr>
        <w:spacing w:after="0" w:line="240" w:lineRule="auto"/>
        <w:ind w:firstLine="720"/>
        <w:jc w:val="both"/>
        <w:rPr>
          <w:rFonts w:ascii="Times New Roman" w:hAnsi="Times New Roman"/>
          <w:sz w:val="16"/>
          <w:szCs w:val="16"/>
        </w:rPr>
      </w:pPr>
    </w:p>
    <w:p w14:paraId="1A544CC0" w14:textId="77777777" w:rsidR="00191B56" w:rsidRPr="00476DF1" w:rsidRDefault="00191B56" w:rsidP="00CE4BBE">
      <w:pPr>
        <w:spacing w:after="0" w:line="240" w:lineRule="auto"/>
        <w:ind w:firstLine="720"/>
        <w:jc w:val="both"/>
        <w:rPr>
          <w:rFonts w:ascii="Times New Roman" w:hAnsi="Times New Roman"/>
          <w:sz w:val="16"/>
          <w:szCs w:val="16"/>
        </w:rPr>
      </w:pPr>
    </w:p>
    <w:p w14:paraId="2F111AC6" w14:textId="77777777" w:rsidR="00191B56" w:rsidRPr="00476DF1" w:rsidRDefault="00191B56" w:rsidP="00CE4BBE">
      <w:pPr>
        <w:spacing w:after="0" w:line="240" w:lineRule="auto"/>
        <w:ind w:firstLine="720"/>
        <w:jc w:val="both"/>
        <w:rPr>
          <w:rFonts w:ascii="Times New Roman" w:hAnsi="Times New Roman"/>
          <w:sz w:val="16"/>
          <w:szCs w:val="16"/>
        </w:rPr>
      </w:pPr>
    </w:p>
    <w:p w14:paraId="3E3CDA2C" w14:textId="2511F1F2" w:rsidR="00191B56" w:rsidRPr="00476DF1" w:rsidRDefault="00016A93" w:rsidP="00CE4BBE">
      <w:pPr>
        <w:spacing w:after="0" w:line="240" w:lineRule="auto"/>
        <w:ind w:firstLine="720"/>
        <w:jc w:val="both"/>
        <w:rPr>
          <w:rFonts w:ascii="Times New Roman" w:hAnsi="Times New Roman"/>
          <w:sz w:val="16"/>
          <w:szCs w:val="16"/>
        </w:rPr>
      </w:pPr>
      <w:r w:rsidRPr="00476DF1">
        <w:rPr>
          <w:rFonts w:ascii="Times New Roman" w:hAnsi="Times New Roman"/>
          <w:noProof/>
          <w:sz w:val="16"/>
          <w:szCs w:val="16"/>
        </w:rPr>
        <mc:AlternateContent>
          <mc:Choice Requires="wps">
            <w:drawing>
              <wp:anchor distT="0" distB="0" distL="114300" distR="114300" simplePos="0" relativeHeight="251659264" behindDoc="0" locked="0" layoutInCell="1" allowOverlap="1" wp14:anchorId="5CC0E356" wp14:editId="0F40D784">
                <wp:simplePos x="0" y="0"/>
                <wp:positionH relativeFrom="column">
                  <wp:posOffset>1632799</wp:posOffset>
                </wp:positionH>
                <wp:positionV relativeFrom="paragraph">
                  <wp:posOffset>370097</wp:posOffset>
                </wp:positionV>
                <wp:extent cx="3206338" cy="261257"/>
                <wp:effectExtent l="0" t="0" r="13335" b="24765"/>
                <wp:wrapNone/>
                <wp:docPr id="4" name="Caixa de texto 4"/>
                <wp:cNvGraphicFramePr/>
                <a:graphic xmlns:a="http://schemas.openxmlformats.org/drawingml/2006/main">
                  <a:graphicData uri="http://schemas.microsoft.com/office/word/2010/wordprocessingShape">
                    <wps:wsp>
                      <wps:cNvSpPr txBox="1"/>
                      <wps:spPr>
                        <a:xfrm>
                          <a:off x="0" y="0"/>
                          <a:ext cx="3206338" cy="26125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2EFF2C4" w14:textId="77777777" w:rsidR="00016A93" w:rsidRPr="00A5311D" w:rsidRDefault="00016A93" w:rsidP="00016A93">
                            <w:pPr>
                              <w:spacing w:after="0" w:line="240" w:lineRule="auto"/>
                              <w:jc w:val="both"/>
                              <w:rPr>
                                <w:rFonts w:ascii="Times New Roman" w:hAnsi="Times New Roman"/>
                                <w:sz w:val="16"/>
                                <w:szCs w:val="16"/>
                              </w:rPr>
                            </w:pPr>
                            <w:r w:rsidRPr="00A5311D">
                              <w:rPr>
                                <w:rFonts w:ascii="Times New Roman" w:hAnsi="Times New Roman"/>
                                <w:sz w:val="16"/>
                                <w:szCs w:val="16"/>
                              </w:rPr>
                              <w:t>Source:</w:t>
                            </w:r>
                            <w:r>
                              <w:rPr>
                                <w:rFonts w:ascii="Times New Roman" w:hAnsi="Times New Roman"/>
                                <w:sz w:val="16"/>
                                <w:szCs w:val="16"/>
                              </w:rPr>
                              <w:t xml:space="preserve"> </w:t>
                            </w:r>
                            <w:r w:rsidRPr="00A5311D">
                              <w:rPr>
                                <w:rFonts w:ascii="Times New Roman" w:hAnsi="Times New Roman"/>
                                <w:sz w:val="16"/>
                                <w:szCs w:val="16"/>
                              </w:rPr>
                              <w:t>Own elaboration</w:t>
                            </w:r>
                          </w:p>
                          <w:p w14:paraId="1BE66BAA" w14:textId="77777777" w:rsidR="00016A93" w:rsidRDefault="00016A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CC0E356" id="_x0000_t202" coordsize="21600,21600" o:spt="202" path="m,l,21600r21600,l21600,xe">
                <v:stroke joinstyle="miter"/>
                <v:path gradientshapeok="t" o:connecttype="rect"/>
              </v:shapetype>
              <v:shape id="Caixa de texto 4" o:spid="_x0000_s1026" type="#_x0000_t202" style="position:absolute;left:0;text-align:left;margin-left:128.55pt;margin-top:29.15pt;width:252.45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" fillcolor="white [3201]" strokecolor="white [3212]" strokeweight=".5pt">
                <v:textbox>
                  <w:txbxContent>
                    <w:p w14:paraId="42EFF2C4" w14:textId="77777777" w:rsidR="00016A93" w:rsidRPr="00A5311D" w:rsidRDefault="00016A93" w:rsidP="00016A93">
                      <w:pPr>
                        <w:spacing w:after="0" w:line="240" w:lineRule="auto"/>
                        <w:jc w:val="both"/>
                        <w:rPr>
                          <w:rFonts w:ascii="Times New Roman" w:hAnsi="Times New Roman"/>
                          <w:sz w:val="16"/>
                          <w:szCs w:val="16"/>
                        </w:rPr>
                      </w:pPr>
                      <w:r w:rsidRPr="00A5311D">
                        <w:rPr>
                          <w:rFonts w:ascii="Times New Roman" w:hAnsi="Times New Roman"/>
                          <w:sz w:val="16"/>
                          <w:szCs w:val="16"/>
                        </w:rPr>
                        <w:t>Source:</w:t>
                      </w:r>
                      <w:r>
                        <w:rPr>
                          <w:rFonts w:ascii="Times New Roman" w:hAnsi="Times New Roman"/>
                          <w:sz w:val="16"/>
                          <w:szCs w:val="16"/>
                        </w:rPr>
                        <w:t xml:space="preserve"> </w:t>
                      </w:r>
                      <w:r w:rsidRPr="00A5311D">
                        <w:rPr>
                          <w:rFonts w:ascii="Times New Roman" w:hAnsi="Times New Roman"/>
                          <w:sz w:val="16"/>
                          <w:szCs w:val="16"/>
                        </w:rPr>
                        <w:t>Own elaboration</w:t>
                      </w:r>
                    </w:p>
                    <w:p w14:paraId="1BE66BAA" w14:textId="77777777" w:rsidR="00016A93" w:rsidRDefault="00016A93"/>
                  </w:txbxContent>
                </v:textbox>
              </v:shape>
            </w:pict>
          </mc:Fallback>
        </mc:AlternateContent>
      </w:r>
    </w:p>
    <w:p w14:paraId="31A54665" w14:textId="77777777" w:rsidR="00016A93" w:rsidRPr="00476DF1" w:rsidRDefault="00016A93" w:rsidP="00CE4BBE">
      <w:pPr>
        <w:spacing w:after="0" w:line="240" w:lineRule="auto"/>
        <w:ind w:firstLine="720"/>
        <w:jc w:val="both"/>
        <w:rPr>
          <w:rFonts w:ascii="Times New Roman" w:hAnsi="Times New Roman"/>
          <w:sz w:val="24"/>
          <w:szCs w:val="24"/>
        </w:rPr>
      </w:pPr>
    </w:p>
    <w:p w14:paraId="2C8A59E6" w14:textId="77777777" w:rsidR="00016A93" w:rsidRPr="00476DF1" w:rsidRDefault="00016A93" w:rsidP="00CE4BBE">
      <w:pPr>
        <w:spacing w:after="0" w:line="240" w:lineRule="auto"/>
        <w:ind w:firstLine="720"/>
        <w:jc w:val="both"/>
        <w:rPr>
          <w:rFonts w:ascii="Times New Roman" w:hAnsi="Times New Roman"/>
          <w:sz w:val="24"/>
          <w:szCs w:val="24"/>
        </w:rPr>
      </w:pPr>
    </w:p>
    <w:p w14:paraId="52A791CA" w14:textId="77777777" w:rsidR="00016A93" w:rsidRPr="00476DF1" w:rsidRDefault="00016A93" w:rsidP="00A23232">
      <w:pPr>
        <w:spacing w:after="0" w:line="240" w:lineRule="auto"/>
        <w:jc w:val="both"/>
        <w:rPr>
          <w:rFonts w:ascii="Times New Roman" w:hAnsi="Times New Roman"/>
          <w:sz w:val="24"/>
          <w:szCs w:val="24"/>
        </w:rPr>
      </w:pPr>
    </w:p>
    <w:p w14:paraId="77F0916C" w14:textId="7D4D141D" w:rsidR="00924F66" w:rsidRPr="00476DF1" w:rsidRDefault="00924F66"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In</w:t>
      </w:r>
      <w:r w:rsidRPr="00476DF1">
        <w:rPr>
          <w:rFonts w:ascii="Times New Roman" w:hAnsi="Times New Roman"/>
          <w:i/>
          <w:sz w:val="24"/>
          <w:szCs w:val="24"/>
        </w:rPr>
        <w:t xml:space="preserve"> </w:t>
      </w:r>
      <w:r w:rsidR="00A92DC8" w:rsidRPr="00476DF1">
        <w:rPr>
          <w:rFonts w:ascii="Times New Roman" w:hAnsi="Times New Roman"/>
          <w:sz w:val="24"/>
          <w:szCs w:val="24"/>
        </w:rPr>
        <w:t>Table</w:t>
      </w:r>
      <w:r w:rsidR="00FD280D" w:rsidRPr="00476DF1">
        <w:rPr>
          <w:rFonts w:ascii="Times New Roman" w:hAnsi="Times New Roman"/>
          <w:sz w:val="24"/>
          <w:szCs w:val="24"/>
        </w:rPr>
        <w:t xml:space="preserve"> </w:t>
      </w:r>
      <w:r w:rsidR="001A775D" w:rsidRPr="00476DF1">
        <w:rPr>
          <w:rFonts w:ascii="Times New Roman" w:hAnsi="Times New Roman"/>
          <w:sz w:val="24"/>
          <w:szCs w:val="24"/>
        </w:rPr>
        <w:t>3</w:t>
      </w:r>
      <w:r w:rsidRPr="00476DF1">
        <w:rPr>
          <w:rFonts w:ascii="Times New Roman" w:hAnsi="Times New Roman"/>
          <w:sz w:val="24"/>
          <w:szCs w:val="24"/>
        </w:rPr>
        <w:t xml:space="preserve">, for instance, if the </w:t>
      </w:r>
      <w:r w:rsidR="00726537" w:rsidRPr="00476DF1">
        <w:rPr>
          <w:rFonts w:ascii="Times New Roman" w:hAnsi="Times New Roman"/>
          <w:sz w:val="24"/>
          <w:szCs w:val="24"/>
        </w:rPr>
        <w:t>Big Pharma</w:t>
      </w:r>
      <w:r w:rsidRPr="00476DF1">
        <w:rPr>
          <w:rFonts w:ascii="Times New Roman" w:hAnsi="Times New Roman"/>
          <w:sz w:val="24"/>
          <w:szCs w:val="24"/>
        </w:rPr>
        <w:t xml:space="preserve"> </w:t>
      </w:r>
      <w:r w:rsidR="00A92DC8" w:rsidRPr="00476DF1">
        <w:rPr>
          <w:rFonts w:ascii="Times New Roman" w:hAnsi="Times New Roman"/>
          <w:sz w:val="24"/>
          <w:szCs w:val="24"/>
        </w:rPr>
        <w:t xml:space="preserve">firm already </w:t>
      </w:r>
      <w:r w:rsidRPr="00476DF1">
        <w:rPr>
          <w:rFonts w:ascii="Times New Roman" w:hAnsi="Times New Roman"/>
          <w:sz w:val="24"/>
          <w:szCs w:val="24"/>
        </w:rPr>
        <w:t>developed a large portion of the small enterprise</w:t>
      </w:r>
      <w:r w:rsidR="00A92DC8" w:rsidRPr="00476DF1">
        <w:rPr>
          <w:rFonts w:ascii="Times New Roman" w:hAnsi="Times New Roman"/>
          <w:sz w:val="24"/>
          <w:szCs w:val="24"/>
        </w:rPr>
        <w:t>’</w:t>
      </w:r>
      <w:r w:rsidRPr="00476DF1">
        <w:rPr>
          <w:rFonts w:ascii="Times New Roman" w:hAnsi="Times New Roman"/>
          <w:sz w:val="24"/>
          <w:szCs w:val="24"/>
        </w:rPr>
        <w:t xml:space="preserve">s technical knowledge set, </w:t>
      </w:r>
      <w:r w:rsidR="00A92DC8" w:rsidRPr="00476DF1">
        <w:rPr>
          <w:rFonts w:ascii="Times New Roman" w:hAnsi="Times New Roman"/>
          <w:sz w:val="24"/>
          <w:szCs w:val="24"/>
        </w:rPr>
        <w:t xml:space="preserve">then </w:t>
      </w:r>
      <w:r w:rsidRPr="00476DF1">
        <w:rPr>
          <w:rFonts w:ascii="Times New Roman" w:hAnsi="Times New Roman"/>
          <w:sz w:val="24"/>
          <w:szCs w:val="24"/>
        </w:rPr>
        <w:t xml:space="preserve">this same small enterprise can contribute much less, technically, to creating new competences in the large enterprise. A large portion of the contribution, in this case, will be linked to enhancing </w:t>
      </w:r>
      <w:r w:rsidR="00A92DC8" w:rsidRPr="00476DF1">
        <w:rPr>
          <w:rFonts w:ascii="Times New Roman" w:hAnsi="Times New Roman"/>
          <w:sz w:val="24"/>
          <w:szCs w:val="24"/>
        </w:rPr>
        <w:t>existing</w:t>
      </w:r>
      <w:r w:rsidRPr="00476DF1">
        <w:rPr>
          <w:rFonts w:ascii="Times New Roman" w:hAnsi="Times New Roman"/>
          <w:sz w:val="24"/>
          <w:szCs w:val="24"/>
        </w:rPr>
        <w:t xml:space="preserve"> competences</w:t>
      </w:r>
      <w:r w:rsidR="00A92DC8" w:rsidRPr="00476DF1">
        <w:rPr>
          <w:rFonts w:ascii="Times New Roman" w:hAnsi="Times New Roman"/>
          <w:sz w:val="24"/>
          <w:szCs w:val="24"/>
        </w:rPr>
        <w:t>.</w:t>
      </w:r>
    </w:p>
    <w:p w14:paraId="73140D26" w14:textId="1109855D" w:rsidR="00D5574F" w:rsidRPr="00476DF1" w:rsidRDefault="00F429BA"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lastRenderedPageBreak/>
        <w:t xml:space="preserve">Table </w:t>
      </w:r>
      <w:r w:rsidR="001A775D" w:rsidRPr="00476DF1">
        <w:rPr>
          <w:rFonts w:ascii="Times New Roman" w:hAnsi="Times New Roman"/>
          <w:sz w:val="24"/>
          <w:szCs w:val="24"/>
        </w:rPr>
        <w:t>3</w:t>
      </w:r>
      <w:r w:rsidRPr="00476DF1">
        <w:rPr>
          <w:rFonts w:ascii="Times New Roman" w:hAnsi="Times New Roman"/>
          <w:sz w:val="24"/>
          <w:szCs w:val="24"/>
        </w:rPr>
        <w:t xml:space="preserve"> shows </w:t>
      </w:r>
      <w:r w:rsidR="00A92DC8" w:rsidRPr="00476DF1">
        <w:rPr>
          <w:rFonts w:ascii="Times New Roman" w:hAnsi="Times New Roman"/>
          <w:sz w:val="24"/>
          <w:szCs w:val="24"/>
        </w:rPr>
        <w:t xml:space="preserve">the </w:t>
      </w:r>
      <w:r w:rsidR="00D5574F" w:rsidRPr="00476DF1">
        <w:rPr>
          <w:rFonts w:ascii="Times New Roman" w:hAnsi="Times New Roman"/>
          <w:sz w:val="24"/>
          <w:szCs w:val="24"/>
        </w:rPr>
        <w:t xml:space="preserve">different </w:t>
      </w:r>
      <w:r w:rsidR="00924F66" w:rsidRPr="00476DF1">
        <w:rPr>
          <w:rFonts w:ascii="Times New Roman" w:hAnsi="Times New Roman"/>
          <w:sz w:val="24"/>
          <w:szCs w:val="24"/>
        </w:rPr>
        <w:t xml:space="preserve">potential. J&amp;J has a very high </w:t>
      </w:r>
      <w:r w:rsidR="00D5574F" w:rsidRPr="00476DF1">
        <w:rPr>
          <w:rFonts w:ascii="Times New Roman" w:hAnsi="Times New Roman"/>
          <w:sz w:val="24"/>
          <w:szCs w:val="24"/>
        </w:rPr>
        <w:t>potential</w:t>
      </w:r>
      <w:r w:rsidR="00A92DC8" w:rsidRPr="00476DF1">
        <w:rPr>
          <w:rFonts w:ascii="Times New Roman" w:hAnsi="Times New Roman"/>
          <w:sz w:val="24"/>
          <w:szCs w:val="24"/>
        </w:rPr>
        <w:t>; e</w:t>
      </w:r>
      <w:r w:rsidR="00D5574F" w:rsidRPr="00476DF1">
        <w:rPr>
          <w:rFonts w:ascii="Times New Roman" w:hAnsi="Times New Roman"/>
          <w:sz w:val="24"/>
          <w:szCs w:val="24"/>
        </w:rPr>
        <w:t>ven Astra-Zeneca and Abbott-Labo</w:t>
      </w:r>
      <w:r w:rsidR="00924F66" w:rsidRPr="00476DF1">
        <w:rPr>
          <w:rFonts w:ascii="Times New Roman" w:hAnsi="Times New Roman"/>
          <w:sz w:val="24"/>
          <w:szCs w:val="24"/>
        </w:rPr>
        <w:t xml:space="preserve">ratories have an intermediate </w:t>
      </w:r>
      <w:r w:rsidR="00D5574F" w:rsidRPr="00476DF1">
        <w:rPr>
          <w:rFonts w:ascii="Times New Roman" w:hAnsi="Times New Roman"/>
          <w:sz w:val="24"/>
          <w:szCs w:val="24"/>
        </w:rPr>
        <w:t>poten</w:t>
      </w:r>
      <w:r w:rsidR="00924F66" w:rsidRPr="00476DF1">
        <w:rPr>
          <w:rFonts w:ascii="Times New Roman" w:hAnsi="Times New Roman"/>
          <w:sz w:val="24"/>
          <w:szCs w:val="24"/>
        </w:rPr>
        <w:t>tial</w:t>
      </w:r>
      <w:r w:rsidR="00D5574F" w:rsidRPr="00476DF1">
        <w:rPr>
          <w:rFonts w:ascii="Times New Roman" w:hAnsi="Times New Roman"/>
          <w:sz w:val="24"/>
          <w:szCs w:val="24"/>
        </w:rPr>
        <w:t xml:space="preserve">, but </w:t>
      </w:r>
      <w:r w:rsidR="00924F66" w:rsidRPr="00476DF1">
        <w:rPr>
          <w:rFonts w:ascii="Times New Roman" w:hAnsi="Times New Roman"/>
          <w:sz w:val="24"/>
          <w:szCs w:val="24"/>
        </w:rPr>
        <w:t xml:space="preserve">all </w:t>
      </w:r>
      <w:r w:rsidR="00D5574F" w:rsidRPr="00476DF1">
        <w:rPr>
          <w:rFonts w:ascii="Times New Roman" w:hAnsi="Times New Roman"/>
          <w:sz w:val="24"/>
          <w:szCs w:val="24"/>
        </w:rPr>
        <w:t>other ente</w:t>
      </w:r>
      <w:r w:rsidR="00DE34A4" w:rsidRPr="00476DF1">
        <w:rPr>
          <w:rFonts w:ascii="Times New Roman" w:hAnsi="Times New Roman"/>
          <w:sz w:val="24"/>
          <w:szCs w:val="24"/>
        </w:rPr>
        <w:t>r</w:t>
      </w:r>
      <w:r w:rsidR="00D5574F" w:rsidRPr="00476DF1">
        <w:rPr>
          <w:rFonts w:ascii="Times New Roman" w:hAnsi="Times New Roman"/>
          <w:sz w:val="24"/>
          <w:szCs w:val="24"/>
        </w:rPr>
        <w:t>prises</w:t>
      </w:r>
      <w:r w:rsidR="00A92DC8" w:rsidRPr="00476DF1">
        <w:rPr>
          <w:rFonts w:ascii="Times New Roman" w:hAnsi="Times New Roman"/>
          <w:sz w:val="24"/>
          <w:szCs w:val="24"/>
        </w:rPr>
        <w:t xml:space="preserve"> do not</w:t>
      </w:r>
      <w:r w:rsidR="00D5574F" w:rsidRPr="00476DF1">
        <w:rPr>
          <w:rFonts w:ascii="Times New Roman" w:hAnsi="Times New Roman"/>
          <w:sz w:val="24"/>
          <w:szCs w:val="24"/>
        </w:rPr>
        <w:t xml:space="preserve">. </w:t>
      </w:r>
      <w:r w:rsidR="00A92DC8" w:rsidRPr="00476DF1">
        <w:rPr>
          <w:rFonts w:ascii="Times New Roman" w:hAnsi="Times New Roman"/>
          <w:sz w:val="24"/>
          <w:szCs w:val="24"/>
        </w:rPr>
        <w:t>However, low potential</w:t>
      </w:r>
      <w:r w:rsidR="00D5574F" w:rsidRPr="00476DF1">
        <w:rPr>
          <w:rFonts w:ascii="Times New Roman" w:hAnsi="Times New Roman"/>
          <w:sz w:val="24"/>
          <w:szCs w:val="24"/>
        </w:rPr>
        <w:t xml:space="preserve"> </w:t>
      </w:r>
      <w:r w:rsidR="00BD6D8E" w:rsidRPr="00476DF1">
        <w:rPr>
          <w:rFonts w:ascii="Times New Roman" w:hAnsi="Times New Roman"/>
          <w:sz w:val="24"/>
          <w:szCs w:val="24"/>
        </w:rPr>
        <w:t>has an i</w:t>
      </w:r>
      <w:r w:rsidR="001D4E1F" w:rsidRPr="00476DF1">
        <w:rPr>
          <w:rFonts w:ascii="Times New Roman" w:hAnsi="Times New Roman"/>
          <w:sz w:val="24"/>
          <w:szCs w:val="24"/>
        </w:rPr>
        <w:t>m</w:t>
      </w:r>
      <w:r w:rsidR="00BD6D8E" w:rsidRPr="00476DF1">
        <w:rPr>
          <w:rFonts w:ascii="Times New Roman" w:hAnsi="Times New Roman"/>
          <w:sz w:val="24"/>
          <w:szCs w:val="24"/>
        </w:rPr>
        <w:t>port</w:t>
      </w:r>
      <w:r w:rsidR="001D4E1F" w:rsidRPr="00476DF1">
        <w:rPr>
          <w:rFonts w:ascii="Times New Roman" w:hAnsi="Times New Roman"/>
          <w:sz w:val="24"/>
          <w:szCs w:val="24"/>
        </w:rPr>
        <w:t>a</w:t>
      </w:r>
      <w:r w:rsidR="00BD6D8E" w:rsidRPr="00476DF1">
        <w:rPr>
          <w:rFonts w:ascii="Times New Roman" w:hAnsi="Times New Roman"/>
          <w:sz w:val="24"/>
          <w:szCs w:val="24"/>
        </w:rPr>
        <w:t>n</w:t>
      </w:r>
      <w:r w:rsidR="00BC6228" w:rsidRPr="00476DF1">
        <w:rPr>
          <w:rFonts w:ascii="Times New Roman" w:hAnsi="Times New Roman"/>
          <w:sz w:val="24"/>
          <w:szCs w:val="24"/>
        </w:rPr>
        <w:t>t</w:t>
      </w:r>
      <w:r w:rsidR="00BD6D8E" w:rsidRPr="00476DF1">
        <w:rPr>
          <w:rFonts w:ascii="Times New Roman" w:hAnsi="Times New Roman"/>
          <w:sz w:val="24"/>
          <w:szCs w:val="24"/>
        </w:rPr>
        <w:t xml:space="preserve"> aspect</w:t>
      </w:r>
      <w:r w:rsidR="00A92DC8" w:rsidRPr="00476DF1">
        <w:rPr>
          <w:rFonts w:ascii="Times New Roman" w:hAnsi="Times New Roman"/>
          <w:sz w:val="24"/>
          <w:szCs w:val="24"/>
        </w:rPr>
        <w:t>;</w:t>
      </w:r>
      <w:r w:rsidR="00BD6D8E" w:rsidRPr="00476DF1">
        <w:rPr>
          <w:rFonts w:ascii="Times New Roman" w:hAnsi="Times New Roman"/>
          <w:sz w:val="24"/>
          <w:szCs w:val="24"/>
        </w:rPr>
        <w:t xml:space="preserve"> it may </w:t>
      </w:r>
      <w:r w:rsidR="00D5574F" w:rsidRPr="00476DF1">
        <w:rPr>
          <w:rFonts w:ascii="Times New Roman" w:hAnsi="Times New Roman"/>
          <w:sz w:val="24"/>
          <w:szCs w:val="24"/>
        </w:rPr>
        <w:t>indica</w:t>
      </w:r>
      <w:r w:rsidR="00DE34A4" w:rsidRPr="00476DF1">
        <w:rPr>
          <w:rFonts w:ascii="Times New Roman" w:hAnsi="Times New Roman"/>
          <w:sz w:val="24"/>
          <w:szCs w:val="24"/>
        </w:rPr>
        <w:t>te</w:t>
      </w:r>
      <w:r w:rsidR="00D5574F" w:rsidRPr="00476DF1">
        <w:rPr>
          <w:rFonts w:ascii="Times New Roman" w:hAnsi="Times New Roman"/>
          <w:sz w:val="24"/>
          <w:szCs w:val="24"/>
        </w:rPr>
        <w:t xml:space="preserve"> that these small ente</w:t>
      </w:r>
      <w:r w:rsidR="00DE34A4" w:rsidRPr="00476DF1">
        <w:rPr>
          <w:rFonts w:ascii="Times New Roman" w:hAnsi="Times New Roman"/>
          <w:sz w:val="24"/>
          <w:szCs w:val="24"/>
        </w:rPr>
        <w:t>r</w:t>
      </w:r>
      <w:r w:rsidR="00D5574F" w:rsidRPr="00476DF1">
        <w:rPr>
          <w:rFonts w:ascii="Times New Roman" w:hAnsi="Times New Roman"/>
          <w:sz w:val="24"/>
          <w:szCs w:val="24"/>
        </w:rPr>
        <w:t xml:space="preserve">prises </w:t>
      </w:r>
      <w:r w:rsidR="00A92DC8" w:rsidRPr="00476DF1">
        <w:rPr>
          <w:rFonts w:ascii="Times New Roman" w:hAnsi="Times New Roman"/>
          <w:sz w:val="24"/>
          <w:szCs w:val="24"/>
        </w:rPr>
        <w:t>contribute toward improvements to</w:t>
      </w:r>
      <w:r w:rsidR="00D5574F" w:rsidRPr="00476DF1">
        <w:rPr>
          <w:rFonts w:ascii="Times New Roman" w:hAnsi="Times New Roman"/>
          <w:sz w:val="24"/>
          <w:szCs w:val="24"/>
        </w:rPr>
        <w:t xml:space="preserve"> </w:t>
      </w:r>
      <w:r w:rsidR="00BD6D8E" w:rsidRPr="00476DF1">
        <w:rPr>
          <w:rFonts w:ascii="Times New Roman" w:hAnsi="Times New Roman"/>
          <w:sz w:val="24"/>
          <w:szCs w:val="24"/>
        </w:rPr>
        <w:t>already developed classes. In oth</w:t>
      </w:r>
      <w:r w:rsidR="00D5574F" w:rsidRPr="00476DF1">
        <w:rPr>
          <w:rFonts w:ascii="Times New Roman" w:hAnsi="Times New Roman"/>
          <w:sz w:val="24"/>
          <w:szCs w:val="24"/>
        </w:rPr>
        <w:t>er words, in</w:t>
      </w:r>
      <w:r w:rsidR="00BD6D8E" w:rsidRPr="00476DF1">
        <w:rPr>
          <w:rFonts w:ascii="Times New Roman" w:hAnsi="Times New Roman"/>
          <w:sz w:val="24"/>
          <w:szCs w:val="24"/>
        </w:rPr>
        <w:t xml:space="preserve"> </w:t>
      </w:r>
      <w:r w:rsidR="00D5574F" w:rsidRPr="00476DF1">
        <w:rPr>
          <w:rFonts w:ascii="Times New Roman" w:hAnsi="Times New Roman"/>
          <w:sz w:val="24"/>
          <w:szCs w:val="24"/>
        </w:rPr>
        <w:t>terms of technologies</w:t>
      </w:r>
      <w:r w:rsidR="00BD6D8E" w:rsidRPr="00476DF1">
        <w:rPr>
          <w:rFonts w:ascii="Times New Roman" w:hAnsi="Times New Roman"/>
          <w:sz w:val="24"/>
          <w:szCs w:val="24"/>
        </w:rPr>
        <w:t>,</w:t>
      </w:r>
      <w:r w:rsidR="00D5574F" w:rsidRPr="00476DF1">
        <w:rPr>
          <w:rFonts w:ascii="Times New Roman" w:hAnsi="Times New Roman"/>
          <w:sz w:val="24"/>
          <w:szCs w:val="24"/>
        </w:rPr>
        <w:t xml:space="preserve"> the small ente</w:t>
      </w:r>
      <w:r w:rsidR="00BD6D8E" w:rsidRPr="00476DF1">
        <w:rPr>
          <w:rFonts w:ascii="Times New Roman" w:hAnsi="Times New Roman"/>
          <w:sz w:val="24"/>
          <w:szCs w:val="24"/>
        </w:rPr>
        <w:t>r</w:t>
      </w:r>
      <w:r w:rsidR="00D5574F" w:rsidRPr="00476DF1">
        <w:rPr>
          <w:rFonts w:ascii="Times New Roman" w:hAnsi="Times New Roman"/>
          <w:sz w:val="24"/>
          <w:szCs w:val="24"/>
        </w:rPr>
        <w:t xml:space="preserve">prises are much more </w:t>
      </w:r>
      <w:r w:rsidR="00BD6D8E" w:rsidRPr="00476DF1">
        <w:rPr>
          <w:rFonts w:ascii="Times New Roman" w:hAnsi="Times New Roman"/>
          <w:sz w:val="24"/>
          <w:szCs w:val="24"/>
        </w:rPr>
        <w:t>prominent</w:t>
      </w:r>
      <w:r w:rsidR="00D5574F" w:rsidRPr="00476DF1">
        <w:rPr>
          <w:rFonts w:ascii="Times New Roman" w:hAnsi="Times New Roman"/>
          <w:sz w:val="24"/>
          <w:szCs w:val="24"/>
        </w:rPr>
        <w:t xml:space="preserve"> </w:t>
      </w:r>
      <w:r w:rsidR="00A92DC8" w:rsidRPr="00476DF1">
        <w:rPr>
          <w:rFonts w:ascii="Times New Roman" w:hAnsi="Times New Roman"/>
          <w:sz w:val="24"/>
          <w:szCs w:val="24"/>
        </w:rPr>
        <w:t xml:space="preserve">in </w:t>
      </w:r>
      <w:r w:rsidR="00BD6D8E" w:rsidRPr="00476DF1">
        <w:rPr>
          <w:rFonts w:ascii="Times New Roman" w:hAnsi="Times New Roman"/>
          <w:sz w:val="24"/>
          <w:szCs w:val="24"/>
        </w:rPr>
        <w:t>improving</w:t>
      </w:r>
      <w:r w:rsidR="00D5574F" w:rsidRPr="00476DF1">
        <w:rPr>
          <w:rFonts w:ascii="Times New Roman" w:hAnsi="Times New Roman"/>
          <w:sz w:val="24"/>
          <w:szCs w:val="24"/>
        </w:rPr>
        <w:t xml:space="preserve"> </w:t>
      </w:r>
      <w:r w:rsidR="00A92DC8" w:rsidRPr="00476DF1">
        <w:rPr>
          <w:rFonts w:ascii="Times New Roman" w:hAnsi="Times New Roman"/>
          <w:sz w:val="24"/>
          <w:szCs w:val="24"/>
        </w:rPr>
        <w:t xml:space="preserve">existing </w:t>
      </w:r>
      <w:r w:rsidR="00D5574F" w:rsidRPr="00476DF1">
        <w:rPr>
          <w:rFonts w:ascii="Times New Roman" w:hAnsi="Times New Roman"/>
          <w:sz w:val="24"/>
          <w:szCs w:val="24"/>
        </w:rPr>
        <w:t>competences.</w:t>
      </w:r>
    </w:p>
    <w:p w14:paraId="2F596F87" w14:textId="434B666A" w:rsidR="007C6DE5" w:rsidRPr="00476DF1" w:rsidRDefault="00FD280D" w:rsidP="00CE4BBE">
      <w:pPr>
        <w:pStyle w:val="Ttulo2"/>
        <w:numPr>
          <w:ilvl w:val="0"/>
          <w:numId w:val="0"/>
        </w:numPr>
        <w:spacing w:line="240" w:lineRule="auto"/>
      </w:pPr>
      <w:r w:rsidRPr="00476DF1">
        <w:t>3.2</w:t>
      </w:r>
      <w:r w:rsidRPr="00476DF1">
        <w:tab/>
      </w:r>
      <w:r w:rsidR="00E77663" w:rsidRPr="00476DF1">
        <w:t>Skill Knowledge An</w:t>
      </w:r>
      <w:r w:rsidR="007C6DE5" w:rsidRPr="00476DF1">
        <w:t>alys</w:t>
      </w:r>
      <w:r w:rsidR="00A92DC8" w:rsidRPr="00476DF1">
        <w:t>i</w:t>
      </w:r>
      <w:r w:rsidR="007C6DE5" w:rsidRPr="00476DF1">
        <w:t>s</w:t>
      </w:r>
    </w:p>
    <w:p w14:paraId="64F71387" w14:textId="689A88A7" w:rsidR="0078215E" w:rsidRPr="00476DF1" w:rsidRDefault="00864824"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The other important elem</w:t>
      </w:r>
      <w:r w:rsidR="0078215E" w:rsidRPr="00476DF1">
        <w:rPr>
          <w:rFonts w:ascii="Times New Roman" w:hAnsi="Times New Roman"/>
          <w:sz w:val="24"/>
          <w:szCs w:val="24"/>
        </w:rPr>
        <w:t>ent</w:t>
      </w:r>
      <w:r w:rsidRPr="00476DF1">
        <w:rPr>
          <w:rFonts w:ascii="Times New Roman" w:hAnsi="Times New Roman"/>
          <w:sz w:val="24"/>
          <w:szCs w:val="24"/>
        </w:rPr>
        <w:t xml:space="preserve"> is the skills contribution</w:t>
      </w:r>
      <w:r w:rsidR="00280907" w:rsidRPr="00476DF1">
        <w:rPr>
          <w:rFonts w:ascii="Times New Roman" w:hAnsi="Times New Roman"/>
          <w:sz w:val="24"/>
          <w:szCs w:val="24"/>
        </w:rPr>
        <w:t>,</w:t>
      </w:r>
      <w:r w:rsidR="004E1346" w:rsidRPr="00476DF1">
        <w:rPr>
          <w:rFonts w:ascii="Times New Roman" w:hAnsi="Times New Roman"/>
          <w:sz w:val="24"/>
          <w:szCs w:val="24"/>
        </w:rPr>
        <w:t xml:space="preserve"> </w:t>
      </w:r>
      <w:r w:rsidR="00140AE5" w:rsidRPr="00476DF1">
        <w:rPr>
          <w:rFonts w:ascii="Times New Roman" w:hAnsi="Times New Roman"/>
          <w:sz w:val="24"/>
          <w:szCs w:val="24"/>
        </w:rPr>
        <w:t>which we consider to be the</w:t>
      </w:r>
      <w:r w:rsidRPr="00476DF1">
        <w:rPr>
          <w:rFonts w:ascii="Times New Roman" w:hAnsi="Times New Roman"/>
          <w:sz w:val="24"/>
          <w:szCs w:val="24"/>
        </w:rPr>
        <w:t xml:space="preserve"> knowledge embedded in the </w:t>
      </w:r>
      <w:r w:rsidR="004B1C9F" w:rsidRPr="00476DF1">
        <w:rPr>
          <w:rFonts w:ascii="Times New Roman" w:hAnsi="Times New Roman"/>
          <w:sz w:val="24"/>
          <w:szCs w:val="24"/>
        </w:rPr>
        <w:t>agents that</w:t>
      </w:r>
      <w:r w:rsidR="00636566" w:rsidRPr="00476DF1">
        <w:rPr>
          <w:rFonts w:ascii="Times New Roman" w:hAnsi="Times New Roman"/>
          <w:sz w:val="24"/>
          <w:szCs w:val="24"/>
        </w:rPr>
        <w:t xml:space="preserve"> </w:t>
      </w:r>
      <w:r w:rsidR="00140AE5" w:rsidRPr="00476DF1">
        <w:rPr>
          <w:rFonts w:ascii="Times New Roman" w:hAnsi="Times New Roman"/>
          <w:sz w:val="24"/>
          <w:szCs w:val="24"/>
        </w:rPr>
        <w:t>deal with</w:t>
      </w:r>
      <w:r w:rsidR="004B1C9F" w:rsidRPr="00476DF1">
        <w:rPr>
          <w:rFonts w:ascii="Times New Roman" w:hAnsi="Times New Roman"/>
          <w:sz w:val="24"/>
          <w:szCs w:val="24"/>
        </w:rPr>
        <w:t xml:space="preserve"> R&amp;D. Therefore</w:t>
      </w:r>
      <w:r w:rsidR="0078215E" w:rsidRPr="00476DF1">
        <w:rPr>
          <w:rFonts w:ascii="Times New Roman" w:hAnsi="Times New Roman"/>
          <w:sz w:val="24"/>
          <w:szCs w:val="24"/>
        </w:rPr>
        <w:t>,</w:t>
      </w:r>
      <w:r w:rsidR="004B1C9F" w:rsidRPr="00476DF1">
        <w:rPr>
          <w:rFonts w:ascii="Times New Roman" w:hAnsi="Times New Roman"/>
          <w:sz w:val="24"/>
          <w:szCs w:val="24"/>
        </w:rPr>
        <w:t xml:space="preserve"> when large ente</w:t>
      </w:r>
      <w:r w:rsidR="0078215E" w:rsidRPr="00476DF1">
        <w:rPr>
          <w:rFonts w:ascii="Times New Roman" w:hAnsi="Times New Roman"/>
          <w:sz w:val="24"/>
          <w:szCs w:val="24"/>
        </w:rPr>
        <w:t>r</w:t>
      </w:r>
      <w:r w:rsidR="004B1C9F" w:rsidRPr="00476DF1">
        <w:rPr>
          <w:rFonts w:ascii="Times New Roman" w:hAnsi="Times New Roman"/>
          <w:sz w:val="24"/>
          <w:szCs w:val="24"/>
        </w:rPr>
        <w:t xml:space="preserve">prises acquire small </w:t>
      </w:r>
      <w:r w:rsidR="0078215E" w:rsidRPr="00476DF1">
        <w:rPr>
          <w:rFonts w:ascii="Times New Roman" w:hAnsi="Times New Roman"/>
          <w:sz w:val="24"/>
          <w:szCs w:val="24"/>
        </w:rPr>
        <w:t>firms</w:t>
      </w:r>
      <w:r w:rsidR="00140AE5" w:rsidRPr="00476DF1">
        <w:rPr>
          <w:rFonts w:ascii="Times New Roman" w:hAnsi="Times New Roman"/>
          <w:sz w:val="24"/>
          <w:szCs w:val="24"/>
        </w:rPr>
        <w:t>, they can keep the</w:t>
      </w:r>
      <w:r w:rsidR="004B1C9F" w:rsidRPr="00476DF1">
        <w:rPr>
          <w:rFonts w:ascii="Times New Roman" w:hAnsi="Times New Roman"/>
          <w:sz w:val="24"/>
          <w:szCs w:val="24"/>
        </w:rPr>
        <w:t xml:space="preserve"> key people dedicated </w:t>
      </w:r>
      <w:r w:rsidR="00AD645F" w:rsidRPr="00476DF1">
        <w:rPr>
          <w:rFonts w:ascii="Times New Roman" w:hAnsi="Times New Roman"/>
          <w:sz w:val="24"/>
          <w:szCs w:val="24"/>
        </w:rPr>
        <w:t>to</w:t>
      </w:r>
      <w:r w:rsidR="004B1C9F" w:rsidRPr="00476DF1">
        <w:rPr>
          <w:rFonts w:ascii="Times New Roman" w:hAnsi="Times New Roman"/>
          <w:sz w:val="24"/>
          <w:szCs w:val="24"/>
        </w:rPr>
        <w:t xml:space="preserve"> R&amp;D</w:t>
      </w:r>
      <w:r w:rsidR="00140AE5" w:rsidRPr="00476DF1">
        <w:rPr>
          <w:rFonts w:ascii="Times New Roman" w:hAnsi="Times New Roman"/>
          <w:sz w:val="24"/>
          <w:szCs w:val="24"/>
        </w:rPr>
        <w:t>, and thus</w:t>
      </w:r>
      <w:r w:rsidR="0078215E" w:rsidRPr="00476DF1">
        <w:rPr>
          <w:rFonts w:ascii="Times New Roman" w:hAnsi="Times New Roman"/>
          <w:sz w:val="24"/>
          <w:szCs w:val="24"/>
        </w:rPr>
        <w:t xml:space="preserve"> keep the skills</w:t>
      </w:r>
      <w:r w:rsidR="004E1346" w:rsidRPr="00476DF1">
        <w:rPr>
          <w:rFonts w:ascii="Times New Roman" w:hAnsi="Times New Roman"/>
          <w:sz w:val="24"/>
          <w:szCs w:val="24"/>
        </w:rPr>
        <w:t xml:space="preserve"> (</w:t>
      </w:r>
      <w:r w:rsidR="004E1346" w:rsidRPr="00476DF1">
        <w:rPr>
          <w:rFonts w:ascii="Times New Roman" w:hAnsi="Times New Roman"/>
          <w:sz w:val="24"/>
          <w:szCs w:val="24"/>
        </w:rPr>
        <w:fldChar w:fldCharType="begin" w:fldLock="1"/>
      </w:r>
      <w:r w:rsidR="00280907" w:rsidRPr="00476DF1">
        <w:rPr>
          <w:rFonts w:ascii="Times New Roman" w:hAnsi="Times New Roman"/>
          <w:sz w:val="24"/>
          <w:szCs w:val="24"/>
        </w:rPr>
        <w:instrText>ADDIN CSL_CITATION { "citationItems" : [ { "id" : "ITEM-1", "itemData" : { "DOI" : "10.5465/AMJ.2005.19573109", "ISBN" : "00014273", "ISSN" : "00014273", "PMID" : "19573109", "abstract" : "This analysis of the postacquisition integration of biotechnology companies by pharmaceutical companies addresses new issues in the pharmaceutical and biotechnology industries and includes five in-depth case studies. The guiding research question is how a biotech company is integrated into a pharmaceutical company seeking access to the biotech company's know-how, technologies, and innovative capabilities. I conclude that given the complexity and multifaceted nature of mergers and acquisitions, pharmaceutical companies need to apply a hybrid postacquisition integration approach with simultaneous short- and long-term motives/orientations and segmentation at a different pace across different value chain components. ", "author" : [ { "dropping-particle" : "", "family" : "Schweizer", "given" : "Lars", "non-dropping-particle" : "", "parse-names" : false, "suffix" : "" } ], "container-title" : "Academy of Management Journal", "id" : "ITEM-1", "issue" : "6", "issued" : { "date-parts" : [ [ "2005" ] ] }, "page" : "1051-1074", "title" : "Organizational integration of acquired biotechnology companies into pharmaceutical companies: The need for a hybrid approach", "type" : "article-journal", "volume" : "48" }, "uris" : [ "http://www.mendeley.com/documents/?uuid=f3068e08-6a8e-495d-ad01-662052a26006" ] } ], "mendeley" : { "formattedCitation" : "(SCHWEIZER, 2005)", "manualFormatting" : "SCHWEIZER, 2005)", "plainTextFormattedCitation" : "(SCHWEIZER, 2005)", "previouslyFormattedCitation" : "(SCHWEIZER, 2005)" }, "properties" : {  }, "schema" : "https://github.com/citation-style-language/schema/raw/master/csl-citation.json" }</w:instrText>
      </w:r>
      <w:r w:rsidR="004E1346" w:rsidRPr="00476DF1">
        <w:rPr>
          <w:rFonts w:ascii="Times New Roman" w:hAnsi="Times New Roman"/>
          <w:sz w:val="24"/>
          <w:szCs w:val="24"/>
        </w:rPr>
        <w:fldChar w:fldCharType="separate"/>
      </w:r>
      <w:r w:rsidR="004E1346" w:rsidRPr="00476DF1">
        <w:rPr>
          <w:rFonts w:ascii="Times New Roman" w:hAnsi="Times New Roman"/>
          <w:noProof/>
          <w:sz w:val="24"/>
          <w:szCs w:val="24"/>
        </w:rPr>
        <w:t>SCHWEIZER, 2005)</w:t>
      </w:r>
      <w:r w:rsidR="004E1346" w:rsidRPr="00476DF1">
        <w:rPr>
          <w:rFonts w:ascii="Times New Roman" w:hAnsi="Times New Roman"/>
          <w:sz w:val="24"/>
          <w:szCs w:val="24"/>
        </w:rPr>
        <w:fldChar w:fldCharType="end"/>
      </w:r>
      <w:r w:rsidR="004B1C9F" w:rsidRPr="00476DF1">
        <w:rPr>
          <w:rFonts w:ascii="Times New Roman" w:hAnsi="Times New Roman"/>
          <w:sz w:val="24"/>
          <w:szCs w:val="24"/>
        </w:rPr>
        <w:t xml:space="preserve">. </w:t>
      </w:r>
    </w:p>
    <w:p w14:paraId="75B52131" w14:textId="354DF8C2" w:rsidR="00883F4E" w:rsidRPr="00476DF1" w:rsidRDefault="0078215E"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The </w:t>
      </w:r>
      <w:r w:rsidR="004B1C9F" w:rsidRPr="00476DF1">
        <w:rPr>
          <w:rFonts w:ascii="Times New Roman" w:hAnsi="Times New Roman"/>
          <w:sz w:val="24"/>
          <w:szCs w:val="24"/>
        </w:rPr>
        <w:t>skill</w:t>
      </w:r>
      <w:r w:rsidR="00AD645F" w:rsidRPr="00476DF1">
        <w:rPr>
          <w:rFonts w:ascii="Times New Roman" w:hAnsi="Times New Roman"/>
          <w:sz w:val="24"/>
          <w:szCs w:val="24"/>
        </w:rPr>
        <w:t>s</w:t>
      </w:r>
      <w:r w:rsidR="004B1C9F" w:rsidRPr="00476DF1">
        <w:rPr>
          <w:rFonts w:ascii="Times New Roman" w:hAnsi="Times New Roman"/>
          <w:sz w:val="24"/>
          <w:szCs w:val="24"/>
        </w:rPr>
        <w:t xml:space="preserve"> contribution</w:t>
      </w:r>
      <w:r w:rsidR="00280907" w:rsidRPr="00476DF1">
        <w:rPr>
          <w:rFonts w:ascii="Times New Roman" w:hAnsi="Times New Roman"/>
          <w:sz w:val="24"/>
          <w:szCs w:val="24"/>
        </w:rPr>
        <w:t xml:space="preserve"> </w:t>
      </w:r>
      <w:r w:rsidR="0059073D" w:rsidRPr="00476DF1">
        <w:rPr>
          <w:rFonts w:ascii="Times New Roman" w:hAnsi="Times New Roman"/>
          <w:sz w:val="24"/>
          <w:szCs w:val="24"/>
        </w:rPr>
        <w:t>is based on pat</w:t>
      </w:r>
      <w:r w:rsidR="00280907" w:rsidRPr="00476DF1">
        <w:rPr>
          <w:rFonts w:ascii="Times New Roman" w:hAnsi="Times New Roman"/>
          <w:sz w:val="24"/>
          <w:szCs w:val="24"/>
        </w:rPr>
        <w:t>en</w:t>
      </w:r>
      <w:r w:rsidR="0059073D" w:rsidRPr="00476DF1">
        <w:rPr>
          <w:rFonts w:ascii="Times New Roman" w:hAnsi="Times New Roman"/>
          <w:sz w:val="24"/>
          <w:szCs w:val="24"/>
        </w:rPr>
        <w:t xml:space="preserve">t information. </w:t>
      </w:r>
      <w:r w:rsidR="00140AE5" w:rsidRPr="00476DF1">
        <w:rPr>
          <w:rFonts w:ascii="Times New Roman" w:hAnsi="Times New Roman"/>
          <w:sz w:val="24"/>
          <w:szCs w:val="24"/>
        </w:rPr>
        <w:t>We compile all</w:t>
      </w:r>
      <w:r w:rsidR="0059073D" w:rsidRPr="00476DF1">
        <w:rPr>
          <w:rFonts w:ascii="Times New Roman" w:hAnsi="Times New Roman"/>
          <w:sz w:val="24"/>
          <w:szCs w:val="24"/>
        </w:rPr>
        <w:t xml:space="preserve"> inventors that fil</w:t>
      </w:r>
      <w:r w:rsidR="00BA5564" w:rsidRPr="00476DF1">
        <w:rPr>
          <w:rFonts w:ascii="Times New Roman" w:hAnsi="Times New Roman"/>
          <w:sz w:val="24"/>
          <w:szCs w:val="24"/>
        </w:rPr>
        <w:t>led at least on patent for the</w:t>
      </w:r>
      <w:r w:rsidR="0059073D" w:rsidRPr="00476DF1">
        <w:rPr>
          <w:rFonts w:ascii="Times New Roman" w:hAnsi="Times New Roman"/>
          <w:sz w:val="24"/>
          <w:szCs w:val="24"/>
        </w:rPr>
        <w:t xml:space="preserve"> acquired small ente</w:t>
      </w:r>
      <w:r w:rsidR="00636566" w:rsidRPr="00476DF1">
        <w:rPr>
          <w:rFonts w:ascii="Times New Roman" w:hAnsi="Times New Roman"/>
          <w:sz w:val="24"/>
          <w:szCs w:val="24"/>
        </w:rPr>
        <w:t>r</w:t>
      </w:r>
      <w:r w:rsidR="0059073D" w:rsidRPr="00476DF1">
        <w:rPr>
          <w:rFonts w:ascii="Times New Roman" w:hAnsi="Times New Roman"/>
          <w:sz w:val="24"/>
          <w:szCs w:val="24"/>
        </w:rPr>
        <w:t>prise</w:t>
      </w:r>
      <w:r w:rsidR="00B43CEE" w:rsidRPr="00476DF1">
        <w:rPr>
          <w:rFonts w:ascii="Times New Roman" w:hAnsi="Times New Roman"/>
          <w:sz w:val="24"/>
          <w:szCs w:val="24"/>
        </w:rPr>
        <w:t>.</w:t>
      </w:r>
      <w:r w:rsidR="00883F4E" w:rsidRPr="00476DF1">
        <w:rPr>
          <w:rFonts w:ascii="Times New Roman" w:hAnsi="Times New Roman"/>
          <w:sz w:val="24"/>
          <w:szCs w:val="24"/>
        </w:rPr>
        <w:t xml:space="preserve"> </w:t>
      </w:r>
      <w:r w:rsidR="00140AE5" w:rsidRPr="00476DF1">
        <w:rPr>
          <w:rFonts w:ascii="Times New Roman" w:hAnsi="Times New Roman"/>
          <w:sz w:val="24"/>
          <w:szCs w:val="24"/>
        </w:rPr>
        <w:t>We refer to this</w:t>
      </w:r>
      <w:r w:rsidR="00883F4E" w:rsidRPr="00476DF1">
        <w:rPr>
          <w:rFonts w:ascii="Times New Roman" w:hAnsi="Times New Roman"/>
          <w:sz w:val="24"/>
          <w:szCs w:val="24"/>
        </w:rPr>
        <w:t xml:space="preserve"> group of inventors </w:t>
      </w:r>
      <w:r w:rsidR="00140AE5" w:rsidRPr="00476DF1">
        <w:rPr>
          <w:rFonts w:ascii="Times New Roman" w:hAnsi="Times New Roman"/>
          <w:sz w:val="24"/>
          <w:szCs w:val="24"/>
        </w:rPr>
        <w:t>as the</w:t>
      </w:r>
      <w:r w:rsidR="00883F4E" w:rsidRPr="00476DF1">
        <w:rPr>
          <w:rFonts w:ascii="Times New Roman" w:hAnsi="Times New Roman"/>
          <w:sz w:val="24"/>
          <w:szCs w:val="24"/>
        </w:rPr>
        <w:t xml:space="preserve"> skill knowledge set. After</w:t>
      </w:r>
      <w:r w:rsidR="00AD645F" w:rsidRPr="00476DF1">
        <w:rPr>
          <w:rFonts w:ascii="Times New Roman" w:hAnsi="Times New Roman"/>
          <w:sz w:val="24"/>
          <w:szCs w:val="24"/>
        </w:rPr>
        <w:t xml:space="preserve"> establishing the skill knowledge set</w:t>
      </w:r>
      <w:r w:rsidR="00B43CEE" w:rsidRPr="00476DF1">
        <w:rPr>
          <w:rFonts w:ascii="Times New Roman" w:hAnsi="Times New Roman"/>
          <w:sz w:val="24"/>
          <w:szCs w:val="24"/>
        </w:rPr>
        <w:t>,</w:t>
      </w:r>
      <w:r w:rsidR="00AD645F" w:rsidRPr="00476DF1">
        <w:rPr>
          <w:rFonts w:ascii="Times New Roman" w:hAnsi="Times New Roman"/>
          <w:sz w:val="24"/>
          <w:szCs w:val="24"/>
        </w:rPr>
        <w:t xml:space="preserve"> </w:t>
      </w:r>
      <w:r w:rsidR="00636566" w:rsidRPr="00476DF1">
        <w:rPr>
          <w:rFonts w:ascii="Times New Roman" w:hAnsi="Times New Roman"/>
          <w:sz w:val="24"/>
          <w:szCs w:val="24"/>
        </w:rPr>
        <w:t>we search for the same</w:t>
      </w:r>
      <w:r w:rsidR="00BA5564" w:rsidRPr="00476DF1">
        <w:rPr>
          <w:rFonts w:ascii="Times New Roman" w:hAnsi="Times New Roman"/>
          <w:sz w:val="24"/>
          <w:szCs w:val="24"/>
        </w:rPr>
        <w:t xml:space="preserve"> </w:t>
      </w:r>
      <w:r w:rsidR="00883F4E" w:rsidRPr="00476DF1">
        <w:rPr>
          <w:rFonts w:ascii="Times New Roman" w:hAnsi="Times New Roman"/>
          <w:sz w:val="24"/>
          <w:szCs w:val="24"/>
        </w:rPr>
        <w:t>inventor</w:t>
      </w:r>
      <w:r w:rsidR="00BA5564" w:rsidRPr="00476DF1">
        <w:rPr>
          <w:rFonts w:ascii="Times New Roman" w:hAnsi="Times New Roman"/>
          <w:sz w:val="24"/>
          <w:szCs w:val="24"/>
        </w:rPr>
        <w:t xml:space="preserve">s </w:t>
      </w:r>
      <w:r w:rsidR="00636566" w:rsidRPr="00476DF1">
        <w:rPr>
          <w:rFonts w:ascii="Times New Roman" w:hAnsi="Times New Roman"/>
          <w:sz w:val="24"/>
          <w:szCs w:val="24"/>
        </w:rPr>
        <w:t xml:space="preserve">in the </w:t>
      </w:r>
      <w:r w:rsidR="00726537" w:rsidRPr="00476DF1">
        <w:rPr>
          <w:rFonts w:ascii="Times New Roman" w:hAnsi="Times New Roman"/>
          <w:sz w:val="24"/>
          <w:szCs w:val="24"/>
        </w:rPr>
        <w:t>Big Pharma</w:t>
      </w:r>
      <w:r w:rsidR="00140AE5" w:rsidRPr="00476DF1">
        <w:rPr>
          <w:rFonts w:ascii="Times New Roman" w:hAnsi="Times New Roman"/>
          <w:sz w:val="24"/>
          <w:szCs w:val="24"/>
        </w:rPr>
        <w:t xml:space="preserve"> acquirer</w:t>
      </w:r>
      <w:r w:rsidR="00636566" w:rsidRPr="00476DF1">
        <w:rPr>
          <w:rFonts w:ascii="Times New Roman" w:hAnsi="Times New Roman"/>
          <w:sz w:val="24"/>
          <w:szCs w:val="24"/>
        </w:rPr>
        <w:t>’s patent</w:t>
      </w:r>
      <w:r w:rsidR="00140AE5" w:rsidRPr="00476DF1">
        <w:rPr>
          <w:rFonts w:ascii="Times New Roman" w:hAnsi="Times New Roman"/>
          <w:sz w:val="24"/>
          <w:szCs w:val="24"/>
        </w:rPr>
        <w:t>s</w:t>
      </w:r>
      <w:r w:rsidR="00883F4E" w:rsidRPr="00476DF1">
        <w:rPr>
          <w:rFonts w:ascii="Times New Roman" w:hAnsi="Times New Roman"/>
          <w:sz w:val="24"/>
          <w:szCs w:val="24"/>
        </w:rPr>
        <w:t xml:space="preserve">. </w:t>
      </w:r>
      <w:r w:rsidR="00140AE5" w:rsidRPr="00476DF1">
        <w:rPr>
          <w:rFonts w:ascii="Times New Roman" w:hAnsi="Times New Roman"/>
          <w:sz w:val="24"/>
          <w:szCs w:val="24"/>
        </w:rPr>
        <w:t>Thereby, we can</w:t>
      </w:r>
      <w:r w:rsidR="00AD645F" w:rsidRPr="00476DF1">
        <w:rPr>
          <w:rFonts w:ascii="Times New Roman" w:hAnsi="Times New Roman"/>
          <w:sz w:val="24"/>
          <w:szCs w:val="24"/>
        </w:rPr>
        <w:t xml:space="preserve"> </w:t>
      </w:r>
      <w:r w:rsidR="00140AE5" w:rsidRPr="00476DF1">
        <w:rPr>
          <w:rFonts w:ascii="Times New Roman" w:hAnsi="Times New Roman"/>
          <w:sz w:val="24"/>
          <w:szCs w:val="24"/>
        </w:rPr>
        <w:t>e</w:t>
      </w:r>
      <w:r w:rsidR="00883F4E" w:rsidRPr="00476DF1">
        <w:rPr>
          <w:rFonts w:ascii="Times New Roman" w:hAnsi="Times New Roman"/>
          <w:sz w:val="24"/>
          <w:szCs w:val="24"/>
        </w:rPr>
        <w:t>stablish a relation</w:t>
      </w:r>
      <w:r w:rsidR="00140AE5" w:rsidRPr="00476DF1">
        <w:rPr>
          <w:rFonts w:ascii="Times New Roman" w:hAnsi="Times New Roman"/>
          <w:sz w:val="24"/>
          <w:szCs w:val="24"/>
        </w:rPr>
        <w:t>ship</w:t>
      </w:r>
      <w:r w:rsidR="00883F4E" w:rsidRPr="00476DF1">
        <w:rPr>
          <w:rFonts w:ascii="Times New Roman" w:hAnsi="Times New Roman"/>
          <w:sz w:val="24"/>
          <w:szCs w:val="24"/>
        </w:rPr>
        <w:t xml:space="preserve"> called </w:t>
      </w:r>
      <w:r w:rsidR="00AD645F" w:rsidRPr="00476DF1">
        <w:rPr>
          <w:rFonts w:ascii="Times New Roman" w:hAnsi="Times New Roman"/>
          <w:sz w:val="24"/>
          <w:szCs w:val="24"/>
        </w:rPr>
        <w:t>inventor</w:t>
      </w:r>
      <w:r w:rsidR="00883F4E" w:rsidRPr="00476DF1">
        <w:rPr>
          <w:rFonts w:ascii="Times New Roman" w:hAnsi="Times New Roman"/>
          <w:sz w:val="24"/>
          <w:szCs w:val="24"/>
        </w:rPr>
        <w:t xml:space="preserve"> use</w:t>
      </w:r>
      <w:r w:rsidR="00140AE5" w:rsidRPr="00476DF1">
        <w:rPr>
          <w:rFonts w:ascii="Times New Roman" w:hAnsi="Times New Roman"/>
          <w:sz w:val="24"/>
          <w:szCs w:val="24"/>
        </w:rPr>
        <w:t xml:space="preserve"> as the</w:t>
      </w:r>
      <w:r w:rsidR="00883F4E" w:rsidRPr="00476DF1">
        <w:rPr>
          <w:rFonts w:ascii="Times New Roman" w:hAnsi="Times New Roman"/>
          <w:sz w:val="24"/>
          <w:szCs w:val="24"/>
        </w:rPr>
        <w:t xml:space="preserve"> percentage of the ac</w:t>
      </w:r>
      <w:r w:rsidR="00AD645F" w:rsidRPr="00476DF1">
        <w:rPr>
          <w:rFonts w:ascii="Times New Roman" w:hAnsi="Times New Roman"/>
          <w:sz w:val="24"/>
          <w:szCs w:val="24"/>
        </w:rPr>
        <w:t xml:space="preserve">quired </w:t>
      </w:r>
      <w:r w:rsidR="00883F4E" w:rsidRPr="00476DF1">
        <w:rPr>
          <w:rFonts w:ascii="Times New Roman" w:hAnsi="Times New Roman"/>
          <w:sz w:val="24"/>
          <w:szCs w:val="24"/>
        </w:rPr>
        <w:t xml:space="preserve">small </w:t>
      </w:r>
      <w:r w:rsidR="00AD645F" w:rsidRPr="00476DF1">
        <w:rPr>
          <w:rFonts w:ascii="Times New Roman" w:hAnsi="Times New Roman"/>
          <w:sz w:val="24"/>
          <w:szCs w:val="24"/>
        </w:rPr>
        <w:t>enterprise</w:t>
      </w:r>
      <w:r w:rsidR="00140AE5" w:rsidRPr="00476DF1">
        <w:rPr>
          <w:rFonts w:ascii="Times New Roman" w:hAnsi="Times New Roman"/>
          <w:sz w:val="24"/>
          <w:szCs w:val="24"/>
        </w:rPr>
        <w:t>’</w:t>
      </w:r>
      <w:r w:rsidR="00AD645F" w:rsidRPr="00476DF1">
        <w:rPr>
          <w:rFonts w:ascii="Times New Roman" w:hAnsi="Times New Roman"/>
          <w:sz w:val="24"/>
          <w:szCs w:val="24"/>
        </w:rPr>
        <w:t>s</w:t>
      </w:r>
      <w:r w:rsidR="00883F4E" w:rsidRPr="00476DF1">
        <w:rPr>
          <w:rFonts w:ascii="Times New Roman" w:hAnsi="Times New Roman"/>
          <w:sz w:val="24"/>
          <w:szCs w:val="24"/>
        </w:rPr>
        <w:t xml:space="preserve"> skill </w:t>
      </w:r>
      <w:r w:rsidR="00AD645F" w:rsidRPr="00476DF1">
        <w:rPr>
          <w:rFonts w:ascii="Times New Roman" w:hAnsi="Times New Roman"/>
          <w:sz w:val="24"/>
          <w:szCs w:val="24"/>
        </w:rPr>
        <w:t>knowledge</w:t>
      </w:r>
      <w:r w:rsidR="00883F4E" w:rsidRPr="00476DF1">
        <w:rPr>
          <w:rFonts w:ascii="Times New Roman" w:hAnsi="Times New Roman"/>
          <w:sz w:val="24"/>
          <w:szCs w:val="24"/>
        </w:rPr>
        <w:t xml:space="preserve"> </w:t>
      </w:r>
      <w:r w:rsidR="00140AE5" w:rsidRPr="00476DF1">
        <w:rPr>
          <w:rFonts w:ascii="Times New Roman" w:hAnsi="Times New Roman"/>
          <w:sz w:val="24"/>
          <w:szCs w:val="24"/>
        </w:rPr>
        <w:t xml:space="preserve">set that the </w:t>
      </w:r>
      <w:r w:rsidR="00883F4E" w:rsidRPr="00476DF1">
        <w:rPr>
          <w:rFonts w:ascii="Times New Roman" w:hAnsi="Times New Roman"/>
          <w:sz w:val="24"/>
          <w:szCs w:val="24"/>
        </w:rPr>
        <w:t>large enterprise</w:t>
      </w:r>
      <w:r w:rsidR="00140AE5" w:rsidRPr="00476DF1">
        <w:rPr>
          <w:rFonts w:ascii="Times New Roman" w:hAnsi="Times New Roman"/>
          <w:sz w:val="24"/>
          <w:szCs w:val="24"/>
        </w:rPr>
        <w:t xml:space="preserve"> used</w:t>
      </w:r>
      <w:r w:rsidR="00883F4E" w:rsidRPr="00476DF1">
        <w:rPr>
          <w:rFonts w:ascii="Times New Roman" w:hAnsi="Times New Roman"/>
          <w:sz w:val="24"/>
          <w:szCs w:val="24"/>
        </w:rPr>
        <w:t xml:space="preserve">. </w:t>
      </w:r>
      <w:r w:rsidR="00140AE5" w:rsidRPr="00476DF1">
        <w:rPr>
          <w:rFonts w:ascii="Times New Roman" w:hAnsi="Times New Roman"/>
          <w:sz w:val="24"/>
          <w:szCs w:val="24"/>
        </w:rPr>
        <w:t xml:space="preserve">Table </w:t>
      </w:r>
      <w:r w:rsidR="001A775D" w:rsidRPr="00476DF1">
        <w:rPr>
          <w:rFonts w:ascii="Times New Roman" w:hAnsi="Times New Roman"/>
          <w:sz w:val="24"/>
          <w:szCs w:val="24"/>
        </w:rPr>
        <w:t>4</w:t>
      </w:r>
      <w:r w:rsidR="00883F4E" w:rsidRPr="00476DF1">
        <w:rPr>
          <w:rFonts w:ascii="Times New Roman" w:hAnsi="Times New Roman"/>
          <w:sz w:val="24"/>
          <w:szCs w:val="24"/>
        </w:rPr>
        <w:t xml:space="preserve"> </w:t>
      </w:r>
      <w:r w:rsidR="00AD645F" w:rsidRPr="00476DF1">
        <w:rPr>
          <w:rFonts w:ascii="Times New Roman" w:hAnsi="Times New Roman"/>
          <w:sz w:val="24"/>
          <w:szCs w:val="24"/>
        </w:rPr>
        <w:t>summarize</w:t>
      </w:r>
      <w:r w:rsidR="00140AE5" w:rsidRPr="00476DF1">
        <w:rPr>
          <w:rFonts w:ascii="Times New Roman" w:hAnsi="Times New Roman"/>
          <w:sz w:val="24"/>
          <w:szCs w:val="24"/>
        </w:rPr>
        <w:t>s</w:t>
      </w:r>
      <w:r w:rsidR="00883F4E" w:rsidRPr="00476DF1">
        <w:rPr>
          <w:rFonts w:ascii="Times New Roman" w:hAnsi="Times New Roman"/>
          <w:sz w:val="24"/>
          <w:szCs w:val="24"/>
        </w:rPr>
        <w:t xml:space="preserve"> th</w:t>
      </w:r>
      <w:r w:rsidR="00AD645F" w:rsidRPr="00476DF1">
        <w:rPr>
          <w:rFonts w:ascii="Times New Roman" w:hAnsi="Times New Roman"/>
          <w:sz w:val="24"/>
          <w:szCs w:val="24"/>
        </w:rPr>
        <w:t xml:space="preserve">e </w:t>
      </w:r>
      <w:r w:rsidR="00883F4E" w:rsidRPr="00476DF1">
        <w:rPr>
          <w:rFonts w:ascii="Times New Roman" w:hAnsi="Times New Roman"/>
          <w:sz w:val="24"/>
          <w:szCs w:val="24"/>
        </w:rPr>
        <w:t>findings</w:t>
      </w:r>
      <w:r w:rsidR="00140AE5" w:rsidRPr="00476DF1">
        <w:rPr>
          <w:rFonts w:ascii="Times New Roman" w:hAnsi="Times New Roman"/>
          <w:sz w:val="24"/>
          <w:szCs w:val="24"/>
        </w:rPr>
        <w:t>.</w:t>
      </w:r>
    </w:p>
    <w:p w14:paraId="4EE708A6" w14:textId="0B4CF841" w:rsidR="00FD280D" w:rsidRPr="00476DF1" w:rsidRDefault="00FD280D" w:rsidP="00CE4BBE">
      <w:pPr>
        <w:spacing w:after="0" w:line="240" w:lineRule="auto"/>
        <w:rPr>
          <w:rFonts w:ascii="Times New Roman" w:hAnsi="Times New Roman"/>
          <w:b/>
          <w:sz w:val="24"/>
          <w:szCs w:val="24"/>
        </w:rPr>
      </w:pPr>
      <w:r w:rsidRPr="00476DF1">
        <w:rPr>
          <w:rFonts w:ascii="Times New Roman" w:hAnsi="Times New Roman"/>
          <w:b/>
          <w:sz w:val="24"/>
          <w:szCs w:val="24"/>
        </w:rPr>
        <w:t xml:space="preserve">Table </w:t>
      </w:r>
      <w:r w:rsidR="001A775D" w:rsidRPr="00476DF1">
        <w:rPr>
          <w:rFonts w:ascii="Times New Roman" w:hAnsi="Times New Roman"/>
          <w:b/>
          <w:sz w:val="24"/>
          <w:szCs w:val="24"/>
        </w:rPr>
        <w:t>4</w:t>
      </w:r>
      <w:r w:rsidRPr="00476DF1">
        <w:rPr>
          <w:rFonts w:ascii="Times New Roman" w:hAnsi="Times New Roman"/>
          <w:b/>
          <w:sz w:val="24"/>
          <w:szCs w:val="24"/>
        </w:rPr>
        <w:t xml:space="preserve">: Skill Contribution Summary Table </w:t>
      </w:r>
    </w:p>
    <w:tbl>
      <w:tblPr>
        <w:tblW w:w="9974" w:type="dxa"/>
        <w:jc w:val="center"/>
        <w:tblLook w:val="04A0" w:firstRow="1" w:lastRow="0" w:firstColumn="1" w:lastColumn="0" w:noHBand="0" w:noVBand="1"/>
      </w:tblPr>
      <w:tblGrid>
        <w:gridCol w:w="1354"/>
        <w:gridCol w:w="3464"/>
        <w:gridCol w:w="2260"/>
        <w:gridCol w:w="1793"/>
        <w:gridCol w:w="1103"/>
      </w:tblGrid>
      <w:tr w:rsidR="00FD280D" w:rsidRPr="00476DF1" w14:paraId="0DFB9518" w14:textId="77777777" w:rsidTr="00A23232">
        <w:trPr>
          <w:trHeight w:val="879"/>
          <w:jc w:val="center"/>
        </w:trPr>
        <w:tc>
          <w:tcPr>
            <w:tcW w:w="1354" w:type="dxa"/>
            <w:tcBorders>
              <w:top w:val="single" w:sz="4" w:space="0" w:color="auto"/>
              <w:left w:val="nil"/>
              <w:bottom w:val="single" w:sz="4" w:space="0" w:color="auto"/>
              <w:right w:val="nil"/>
            </w:tcBorders>
            <w:shd w:val="clear" w:color="000000" w:fill="FFFFFF"/>
            <w:vAlign w:val="center"/>
            <w:hideMark/>
          </w:tcPr>
          <w:p w14:paraId="1043B52E" w14:textId="77777777" w:rsidR="00FD280D" w:rsidRPr="00476DF1" w:rsidRDefault="00FD280D"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t>Large Enterprises</w:t>
            </w:r>
          </w:p>
        </w:tc>
        <w:tc>
          <w:tcPr>
            <w:tcW w:w="3464" w:type="dxa"/>
            <w:tcBorders>
              <w:top w:val="single" w:sz="4" w:space="0" w:color="auto"/>
              <w:left w:val="nil"/>
              <w:bottom w:val="single" w:sz="4" w:space="0" w:color="auto"/>
              <w:right w:val="nil"/>
            </w:tcBorders>
            <w:shd w:val="clear" w:color="000000" w:fill="FFFFFF"/>
            <w:vAlign w:val="center"/>
            <w:hideMark/>
          </w:tcPr>
          <w:p w14:paraId="108A5645" w14:textId="77777777" w:rsidR="00FD280D" w:rsidRPr="00476DF1" w:rsidRDefault="00FD280D"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t xml:space="preserve">  Small acquired enterprises </w:t>
            </w:r>
          </w:p>
        </w:tc>
        <w:tc>
          <w:tcPr>
            <w:tcW w:w="2260" w:type="dxa"/>
            <w:tcBorders>
              <w:top w:val="single" w:sz="4" w:space="0" w:color="auto"/>
              <w:left w:val="nil"/>
              <w:bottom w:val="single" w:sz="4" w:space="0" w:color="auto"/>
              <w:right w:val="nil"/>
            </w:tcBorders>
            <w:shd w:val="clear" w:color="000000" w:fill="FFFFFF"/>
            <w:vAlign w:val="center"/>
            <w:hideMark/>
          </w:tcPr>
          <w:p w14:paraId="261C3D28" w14:textId="77777777" w:rsidR="00FD280D" w:rsidRPr="00476DF1" w:rsidRDefault="00FD280D"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t>Total of inventors in the acquired companies (B)</w:t>
            </w:r>
          </w:p>
        </w:tc>
        <w:tc>
          <w:tcPr>
            <w:tcW w:w="1793" w:type="dxa"/>
            <w:tcBorders>
              <w:top w:val="single" w:sz="4" w:space="0" w:color="auto"/>
              <w:left w:val="nil"/>
              <w:bottom w:val="single" w:sz="4" w:space="0" w:color="auto"/>
              <w:right w:val="nil"/>
            </w:tcBorders>
            <w:shd w:val="clear" w:color="000000" w:fill="FFFFFF"/>
            <w:vAlign w:val="center"/>
            <w:hideMark/>
          </w:tcPr>
          <w:p w14:paraId="2462E1D4" w14:textId="77777777" w:rsidR="00FD280D" w:rsidRPr="00476DF1" w:rsidRDefault="00FD280D"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t>Inventors that started to patent  for the acquiring enterprise</w:t>
            </w:r>
          </w:p>
          <w:p w14:paraId="007E41A2" w14:textId="77777777" w:rsidR="00FD280D" w:rsidRPr="00476DF1" w:rsidRDefault="00FD280D"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t xml:space="preserve">( C) </w:t>
            </w:r>
          </w:p>
        </w:tc>
        <w:tc>
          <w:tcPr>
            <w:tcW w:w="1103" w:type="dxa"/>
            <w:tcBorders>
              <w:top w:val="single" w:sz="4" w:space="0" w:color="auto"/>
              <w:left w:val="nil"/>
              <w:bottom w:val="single" w:sz="4" w:space="0" w:color="auto"/>
              <w:right w:val="nil"/>
            </w:tcBorders>
            <w:shd w:val="clear" w:color="000000" w:fill="FFFFFF"/>
            <w:vAlign w:val="center"/>
            <w:hideMark/>
          </w:tcPr>
          <w:p w14:paraId="06A89F80" w14:textId="77777777" w:rsidR="00FD280D" w:rsidRPr="00476DF1" w:rsidRDefault="00FD280D"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t>Use of Inventors (C/B)</w:t>
            </w:r>
          </w:p>
        </w:tc>
      </w:tr>
      <w:tr w:rsidR="00FD280D" w:rsidRPr="00476DF1" w14:paraId="60EA85CE" w14:textId="77777777" w:rsidTr="00A23232">
        <w:trPr>
          <w:trHeight w:val="438"/>
          <w:jc w:val="center"/>
        </w:trPr>
        <w:tc>
          <w:tcPr>
            <w:tcW w:w="1354" w:type="dxa"/>
            <w:vMerge w:val="restart"/>
            <w:tcBorders>
              <w:top w:val="single" w:sz="4" w:space="0" w:color="auto"/>
              <w:left w:val="nil"/>
              <w:bottom w:val="single" w:sz="4" w:space="0" w:color="auto"/>
              <w:right w:val="nil"/>
            </w:tcBorders>
            <w:shd w:val="clear" w:color="000000" w:fill="FFFFFF"/>
            <w:vAlign w:val="center"/>
            <w:hideMark/>
          </w:tcPr>
          <w:p w14:paraId="07938369"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Pfizer</w:t>
            </w:r>
          </w:p>
        </w:tc>
        <w:tc>
          <w:tcPr>
            <w:tcW w:w="3464" w:type="dxa"/>
            <w:tcBorders>
              <w:top w:val="single" w:sz="4" w:space="0" w:color="auto"/>
              <w:left w:val="nil"/>
              <w:bottom w:val="single" w:sz="4" w:space="0" w:color="auto"/>
              <w:right w:val="nil"/>
            </w:tcBorders>
            <w:shd w:val="clear" w:color="000000" w:fill="FFFFFF"/>
            <w:vAlign w:val="center"/>
            <w:hideMark/>
          </w:tcPr>
          <w:p w14:paraId="41250481"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Rinat Neurosicence </w:t>
            </w:r>
          </w:p>
        </w:tc>
        <w:tc>
          <w:tcPr>
            <w:tcW w:w="2260" w:type="dxa"/>
            <w:tcBorders>
              <w:top w:val="single" w:sz="4" w:space="0" w:color="auto"/>
              <w:left w:val="nil"/>
              <w:bottom w:val="single" w:sz="4" w:space="0" w:color="auto"/>
              <w:right w:val="nil"/>
            </w:tcBorders>
            <w:shd w:val="clear" w:color="000000" w:fill="FFFFFF"/>
            <w:vAlign w:val="center"/>
            <w:hideMark/>
          </w:tcPr>
          <w:p w14:paraId="442A9F16"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35</w:t>
            </w:r>
          </w:p>
        </w:tc>
        <w:tc>
          <w:tcPr>
            <w:tcW w:w="1793" w:type="dxa"/>
            <w:tcBorders>
              <w:top w:val="single" w:sz="4" w:space="0" w:color="auto"/>
              <w:left w:val="nil"/>
              <w:bottom w:val="single" w:sz="4" w:space="0" w:color="auto"/>
              <w:right w:val="nil"/>
            </w:tcBorders>
            <w:shd w:val="clear" w:color="000000" w:fill="FFFFFF"/>
            <w:vAlign w:val="center"/>
            <w:hideMark/>
          </w:tcPr>
          <w:p w14:paraId="3225F353"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18</w:t>
            </w:r>
          </w:p>
        </w:tc>
        <w:tc>
          <w:tcPr>
            <w:tcW w:w="1103" w:type="dxa"/>
            <w:tcBorders>
              <w:top w:val="single" w:sz="4" w:space="0" w:color="auto"/>
              <w:left w:val="nil"/>
              <w:bottom w:val="single" w:sz="4" w:space="0" w:color="auto"/>
              <w:right w:val="nil"/>
            </w:tcBorders>
            <w:shd w:val="clear" w:color="000000" w:fill="FFFFFF"/>
            <w:vAlign w:val="center"/>
            <w:hideMark/>
          </w:tcPr>
          <w:p w14:paraId="74F472F1"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51%</w:t>
            </w:r>
          </w:p>
        </w:tc>
      </w:tr>
      <w:tr w:rsidR="00FD280D" w:rsidRPr="00476DF1" w14:paraId="3AE022BF" w14:textId="77777777" w:rsidTr="00A23232">
        <w:trPr>
          <w:trHeight w:val="257"/>
          <w:jc w:val="center"/>
        </w:trPr>
        <w:tc>
          <w:tcPr>
            <w:tcW w:w="1354" w:type="dxa"/>
            <w:vMerge/>
            <w:tcBorders>
              <w:top w:val="single" w:sz="4" w:space="0" w:color="auto"/>
              <w:left w:val="nil"/>
              <w:bottom w:val="single" w:sz="4" w:space="0" w:color="auto"/>
              <w:right w:val="nil"/>
            </w:tcBorders>
            <w:vAlign w:val="center"/>
            <w:hideMark/>
          </w:tcPr>
          <w:p w14:paraId="201C0C3A" w14:textId="77777777" w:rsidR="00FD280D" w:rsidRPr="00476DF1" w:rsidRDefault="00FD280D" w:rsidP="00CE4BBE">
            <w:pPr>
              <w:spacing w:after="0" w:line="240" w:lineRule="auto"/>
              <w:rPr>
                <w:rFonts w:ascii="Times New Roman" w:eastAsia="Times New Roman" w:hAnsi="Times New Roman"/>
                <w:color w:val="000000"/>
                <w:sz w:val="20"/>
                <w:szCs w:val="20"/>
              </w:rPr>
            </w:pPr>
          </w:p>
        </w:tc>
        <w:tc>
          <w:tcPr>
            <w:tcW w:w="3464" w:type="dxa"/>
            <w:tcBorders>
              <w:top w:val="nil"/>
              <w:left w:val="nil"/>
              <w:bottom w:val="single" w:sz="4" w:space="0" w:color="auto"/>
              <w:right w:val="nil"/>
            </w:tcBorders>
            <w:shd w:val="clear" w:color="000000" w:fill="FFFFFF"/>
            <w:vAlign w:val="center"/>
            <w:hideMark/>
          </w:tcPr>
          <w:p w14:paraId="6F0DBF1F"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Encysive </w:t>
            </w:r>
          </w:p>
        </w:tc>
        <w:tc>
          <w:tcPr>
            <w:tcW w:w="2260" w:type="dxa"/>
            <w:tcBorders>
              <w:top w:val="nil"/>
              <w:left w:val="nil"/>
              <w:bottom w:val="single" w:sz="4" w:space="0" w:color="auto"/>
              <w:right w:val="nil"/>
            </w:tcBorders>
            <w:shd w:val="clear" w:color="000000" w:fill="FFFFFF"/>
            <w:vAlign w:val="center"/>
            <w:hideMark/>
          </w:tcPr>
          <w:p w14:paraId="7D69EEFC"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25</w:t>
            </w:r>
          </w:p>
        </w:tc>
        <w:tc>
          <w:tcPr>
            <w:tcW w:w="1793" w:type="dxa"/>
            <w:tcBorders>
              <w:top w:val="nil"/>
              <w:left w:val="nil"/>
              <w:bottom w:val="single" w:sz="4" w:space="0" w:color="auto"/>
              <w:right w:val="nil"/>
            </w:tcBorders>
            <w:shd w:val="clear" w:color="000000" w:fill="FFFFFF"/>
            <w:vAlign w:val="center"/>
            <w:hideMark/>
          </w:tcPr>
          <w:p w14:paraId="64023AF2"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8</w:t>
            </w:r>
          </w:p>
        </w:tc>
        <w:tc>
          <w:tcPr>
            <w:tcW w:w="1103" w:type="dxa"/>
            <w:tcBorders>
              <w:top w:val="nil"/>
              <w:left w:val="nil"/>
              <w:bottom w:val="single" w:sz="4" w:space="0" w:color="auto"/>
              <w:right w:val="nil"/>
            </w:tcBorders>
            <w:shd w:val="clear" w:color="000000" w:fill="FFFFFF"/>
            <w:vAlign w:val="center"/>
            <w:hideMark/>
          </w:tcPr>
          <w:p w14:paraId="449C4A6D"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32%</w:t>
            </w:r>
          </w:p>
        </w:tc>
      </w:tr>
      <w:tr w:rsidR="00FD280D" w:rsidRPr="00476DF1" w14:paraId="58C91FDD" w14:textId="77777777" w:rsidTr="00A23232">
        <w:trPr>
          <w:trHeight w:val="257"/>
          <w:jc w:val="center"/>
        </w:trPr>
        <w:tc>
          <w:tcPr>
            <w:tcW w:w="1354" w:type="dxa"/>
            <w:vMerge/>
            <w:tcBorders>
              <w:top w:val="single" w:sz="4" w:space="0" w:color="auto"/>
              <w:left w:val="nil"/>
              <w:bottom w:val="single" w:sz="4" w:space="0" w:color="auto"/>
              <w:right w:val="nil"/>
            </w:tcBorders>
            <w:vAlign w:val="center"/>
            <w:hideMark/>
          </w:tcPr>
          <w:p w14:paraId="43A1C97C" w14:textId="77777777" w:rsidR="00FD280D" w:rsidRPr="00476DF1" w:rsidRDefault="00FD280D" w:rsidP="00CE4BBE">
            <w:pPr>
              <w:spacing w:after="0" w:line="240" w:lineRule="auto"/>
              <w:rPr>
                <w:rFonts w:ascii="Times New Roman" w:eastAsia="Times New Roman" w:hAnsi="Times New Roman"/>
                <w:color w:val="000000"/>
                <w:sz w:val="20"/>
                <w:szCs w:val="20"/>
              </w:rPr>
            </w:pPr>
          </w:p>
        </w:tc>
        <w:tc>
          <w:tcPr>
            <w:tcW w:w="3464" w:type="dxa"/>
            <w:tcBorders>
              <w:top w:val="nil"/>
              <w:left w:val="nil"/>
              <w:bottom w:val="single" w:sz="4" w:space="0" w:color="auto"/>
              <w:right w:val="nil"/>
            </w:tcBorders>
            <w:shd w:val="clear" w:color="000000" w:fill="FFFFFF"/>
            <w:vAlign w:val="center"/>
            <w:hideMark/>
          </w:tcPr>
          <w:p w14:paraId="30BB7A8E"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Coley </w:t>
            </w:r>
          </w:p>
        </w:tc>
        <w:tc>
          <w:tcPr>
            <w:tcW w:w="2260" w:type="dxa"/>
            <w:tcBorders>
              <w:top w:val="nil"/>
              <w:left w:val="nil"/>
              <w:bottom w:val="single" w:sz="4" w:space="0" w:color="auto"/>
              <w:right w:val="nil"/>
            </w:tcBorders>
            <w:shd w:val="clear" w:color="000000" w:fill="FFFFFF"/>
            <w:vAlign w:val="center"/>
            <w:hideMark/>
          </w:tcPr>
          <w:p w14:paraId="235971A1"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61</w:t>
            </w:r>
          </w:p>
        </w:tc>
        <w:tc>
          <w:tcPr>
            <w:tcW w:w="1793" w:type="dxa"/>
            <w:tcBorders>
              <w:top w:val="nil"/>
              <w:left w:val="nil"/>
              <w:bottom w:val="single" w:sz="4" w:space="0" w:color="auto"/>
              <w:right w:val="nil"/>
            </w:tcBorders>
            <w:shd w:val="clear" w:color="000000" w:fill="FFFFFF"/>
            <w:vAlign w:val="center"/>
            <w:hideMark/>
          </w:tcPr>
          <w:p w14:paraId="3968F160"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9</w:t>
            </w:r>
          </w:p>
        </w:tc>
        <w:tc>
          <w:tcPr>
            <w:tcW w:w="1103" w:type="dxa"/>
            <w:tcBorders>
              <w:top w:val="nil"/>
              <w:left w:val="nil"/>
              <w:bottom w:val="single" w:sz="4" w:space="0" w:color="auto"/>
              <w:right w:val="nil"/>
            </w:tcBorders>
            <w:shd w:val="clear" w:color="000000" w:fill="FFFFFF"/>
            <w:vAlign w:val="center"/>
            <w:hideMark/>
          </w:tcPr>
          <w:p w14:paraId="0A00B915"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15%</w:t>
            </w:r>
          </w:p>
        </w:tc>
      </w:tr>
      <w:tr w:rsidR="00FD280D" w:rsidRPr="00476DF1" w14:paraId="7D283D8F" w14:textId="77777777" w:rsidTr="00A23232">
        <w:trPr>
          <w:trHeight w:val="257"/>
          <w:jc w:val="center"/>
        </w:trPr>
        <w:tc>
          <w:tcPr>
            <w:tcW w:w="1354" w:type="dxa"/>
            <w:vMerge/>
            <w:tcBorders>
              <w:top w:val="single" w:sz="4" w:space="0" w:color="auto"/>
              <w:left w:val="nil"/>
              <w:bottom w:val="single" w:sz="4" w:space="0" w:color="auto"/>
              <w:right w:val="nil"/>
            </w:tcBorders>
            <w:vAlign w:val="center"/>
            <w:hideMark/>
          </w:tcPr>
          <w:p w14:paraId="36D834D5" w14:textId="77777777" w:rsidR="00FD280D" w:rsidRPr="00476DF1" w:rsidRDefault="00FD280D" w:rsidP="00CE4BBE">
            <w:pPr>
              <w:spacing w:after="0" w:line="240" w:lineRule="auto"/>
              <w:rPr>
                <w:rFonts w:ascii="Times New Roman" w:eastAsia="Times New Roman" w:hAnsi="Times New Roman"/>
                <w:color w:val="000000"/>
                <w:sz w:val="20"/>
                <w:szCs w:val="20"/>
              </w:rPr>
            </w:pPr>
          </w:p>
        </w:tc>
        <w:tc>
          <w:tcPr>
            <w:tcW w:w="3464" w:type="dxa"/>
            <w:tcBorders>
              <w:top w:val="nil"/>
              <w:left w:val="nil"/>
              <w:bottom w:val="single" w:sz="4" w:space="0" w:color="auto"/>
              <w:right w:val="nil"/>
            </w:tcBorders>
            <w:shd w:val="clear" w:color="000000" w:fill="FFFFFF"/>
            <w:vAlign w:val="center"/>
            <w:hideMark/>
          </w:tcPr>
          <w:p w14:paraId="1F6F972A"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Vicuron </w:t>
            </w:r>
          </w:p>
        </w:tc>
        <w:tc>
          <w:tcPr>
            <w:tcW w:w="2260" w:type="dxa"/>
            <w:tcBorders>
              <w:top w:val="nil"/>
              <w:left w:val="nil"/>
              <w:bottom w:val="single" w:sz="4" w:space="0" w:color="auto"/>
              <w:right w:val="nil"/>
            </w:tcBorders>
            <w:shd w:val="clear" w:color="000000" w:fill="FFFFFF"/>
            <w:vAlign w:val="center"/>
            <w:hideMark/>
          </w:tcPr>
          <w:p w14:paraId="1706DA30"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47</w:t>
            </w:r>
          </w:p>
        </w:tc>
        <w:tc>
          <w:tcPr>
            <w:tcW w:w="1793" w:type="dxa"/>
            <w:tcBorders>
              <w:top w:val="nil"/>
              <w:left w:val="nil"/>
              <w:bottom w:val="single" w:sz="4" w:space="0" w:color="auto"/>
              <w:right w:val="nil"/>
            </w:tcBorders>
            <w:shd w:val="clear" w:color="000000" w:fill="FFFFFF"/>
            <w:vAlign w:val="center"/>
            <w:hideMark/>
          </w:tcPr>
          <w:p w14:paraId="7CED1230"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6</w:t>
            </w:r>
          </w:p>
        </w:tc>
        <w:tc>
          <w:tcPr>
            <w:tcW w:w="1103" w:type="dxa"/>
            <w:tcBorders>
              <w:top w:val="nil"/>
              <w:left w:val="nil"/>
              <w:bottom w:val="single" w:sz="4" w:space="0" w:color="auto"/>
              <w:right w:val="nil"/>
            </w:tcBorders>
            <w:shd w:val="clear" w:color="000000" w:fill="FFFFFF"/>
            <w:vAlign w:val="center"/>
            <w:hideMark/>
          </w:tcPr>
          <w:p w14:paraId="2DDFC8D4"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13%</w:t>
            </w:r>
          </w:p>
        </w:tc>
      </w:tr>
      <w:tr w:rsidR="00FD280D" w:rsidRPr="00476DF1" w14:paraId="614F7F37" w14:textId="77777777" w:rsidTr="00A23232">
        <w:trPr>
          <w:trHeight w:val="308"/>
          <w:jc w:val="center"/>
        </w:trPr>
        <w:tc>
          <w:tcPr>
            <w:tcW w:w="1354" w:type="dxa"/>
            <w:vMerge/>
            <w:tcBorders>
              <w:top w:val="single" w:sz="4" w:space="0" w:color="auto"/>
              <w:left w:val="nil"/>
              <w:bottom w:val="single" w:sz="4" w:space="0" w:color="auto"/>
              <w:right w:val="nil"/>
            </w:tcBorders>
            <w:vAlign w:val="center"/>
            <w:hideMark/>
          </w:tcPr>
          <w:p w14:paraId="0BCEA145" w14:textId="77777777" w:rsidR="00FD280D" w:rsidRPr="00476DF1" w:rsidRDefault="00FD280D" w:rsidP="00CE4BBE">
            <w:pPr>
              <w:spacing w:after="0" w:line="240" w:lineRule="auto"/>
              <w:rPr>
                <w:rFonts w:ascii="Times New Roman" w:eastAsia="Times New Roman" w:hAnsi="Times New Roman"/>
                <w:color w:val="000000"/>
                <w:sz w:val="20"/>
                <w:szCs w:val="20"/>
              </w:rPr>
            </w:pPr>
          </w:p>
        </w:tc>
        <w:tc>
          <w:tcPr>
            <w:tcW w:w="3464" w:type="dxa"/>
            <w:tcBorders>
              <w:top w:val="nil"/>
              <w:left w:val="nil"/>
              <w:bottom w:val="single" w:sz="4" w:space="0" w:color="auto"/>
              <w:right w:val="nil"/>
            </w:tcBorders>
            <w:shd w:val="clear" w:color="000000" w:fill="FFFFFF"/>
            <w:vAlign w:val="center"/>
            <w:hideMark/>
          </w:tcPr>
          <w:p w14:paraId="110D9389"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Icagen </w:t>
            </w:r>
          </w:p>
        </w:tc>
        <w:tc>
          <w:tcPr>
            <w:tcW w:w="2260" w:type="dxa"/>
            <w:tcBorders>
              <w:top w:val="nil"/>
              <w:left w:val="nil"/>
              <w:bottom w:val="single" w:sz="4" w:space="0" w:color="auto"/>
              <w:right w:val="nil"/>
            </w:tcBorders>
            <w:shd w:val="clear" w:color="000000" w:fill="FFFFFF"/>
            <w:vAlign w:val="center"/>
            <w:hideMark/>
          </w:tcPr>
          <w:p w14:paraId="50E19C7A"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68</w:t>
            </w:r>
          </w:p>
        </w:tc>
        <w:tc>
          <w:tcPr>
            <w:tcW w:w="1793" w:type="dxa"/>
            <w:tcBorders>
              <w:top w:val="nil"/>
              <w:left w:val="nil"/>
              <w:bottom w:val="single" w:sz="4" w:space="0" w:color="auto"/>
              <w:right w:val="nil"/>
            </w:tcBorders>
            <w:shd w:val="clear" w:color="000000" w:fill="FFFFFF"/>
            <w:vAlign w:val="center"/>
            <w:hideMark/>
          </w:tcPr>
          <w:p w14:paraId="7A3CC683"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8</w:t>
            </w:r>
          </w:p>
        </w:tc>
        <w:tc>
          <w:tcPr>
            <w:tcW w:w="1103" w:type="dxa"/>
            <w:tcBorders>
              <w:top w:val="nil"/>
              <w:left w:val="nil"/>
              <w:bottom w:val="single" w:sz="4" w:space="0" w:color="auto"/>
              <w:right w:val="nil"/>
            </w:tcBorders>
            <w:shd w:val="clear" w:color="000000" w:fill="FFFFFF"/>
            <w:vAlign w:val="center"/>
            <w:hideMark/>
          </w:tcPr>
          <w:p w14:paraId="089899C3"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12%</w:t>
            </w:r>
          </w:p>
        </w:tc>
      </w:tr>
      <w:tr w:rsidR="00FD280D" w:rsidRPr="00476DF1" w14:paraId="0A7874D6" w14:textId="77777777" w:rsidTr="00A23232">
        <w:trPr>
          <w:trHeight w:val="449"/>
          <w:jc w:val="center"/>
        </w:trPr>
        <w:tc>
          <w:tcPr>
            <w:tcW w:w="1354" w:type="dxa"/>
            <w:vMerge/>
            <w:tcBorders>
              <w:top w:val="single" w:sz="4" w:space="0" w:color="auto"/>
              <w:left w:val="nil"/>
              <w:bottom w:val="single" w:sz="4" w:space="0" w:color="auto"/>
              <w:right w:val="nil"/>
            </w:tcBorders>
            <w:vAlign w:val="center"/>
            <w:hideMark/>
          </w:tcPr>
          <w:p w14:paraId="41D055B8" w14:textId="77777777" w:rsidR="00FD280D" w:rsidRPr="00476DF1" w:rsidRDefault="00FD280D" w:rsidP="00CE4BBE">
            <w:pPr>
              <w:spacing w:after="0" w:line="240" w:lineRule="auto"/>
              <w:rPr>
                <w:rFonts w:ascii="Times New Roman" w:eastAsia="Times New Roman" w:hAnsi="Times New Roman"/>
                <w:color w:val="000000"/>
                <w:sz w:val="20"/>
                <w:szCs w:val="20"/>
              </w:rPr>
            </w:pPr>
          </w:p>
        </w:tc>
        <w:tc>
          <w:tcPr>
            <w:tcW w:w="3464" w:type="dxa"/>
            <w:tcBorders>
              <w:top w:val="nil"/>
              <w:left w:val="nil"/>
              <w:bottom w:val="single" w:sz="4" w:space="0" w:color="auto"/>
              <w:right w:val="nil"/>
            </w:tcBorders>
            <w:shd w:val="clear" w:color="000000" w:fill="FFFFFF"/>
            <w:vAlign w:val="center"/>
            <w:hideMark/>
          </w:tcPr>
          <w:p w14:paraId="70754D88"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Idun Pharmaceuticals </w:t>
            </w:r>
          </w:p>
        </w:tc>
        <w:tc>
          <w:tcPr>
            <w:tcW w:w="2260" w:type="dxa"/>
            <w:tcBorders>
              <w:top w:val="nil"/>
              <w:left w:val="nil"/>
              <w:bottom w:val="single" w:sz="4" w:space="0" w:color="auto"/>
              <w:right w:val="nil"/>
            </w:tcBorders>
            <w:shd w:val="clear" w:color="000000" w:fill="FFFFFF"/>
            <w:vAlign w:val="center"/>
            <w:hideMark/>
          </w:tcPr>
          <w:p w14:paraId="5F2C4481"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25</w:t>
            </w:r>
          </w:p>
        </w:tc>
        <w:tc>
          <w:tcPr>
            <w:tcW w:w="1793" w:type="dxa"/>
            <w:tcBorders>
              <w:top w:val="nil"/>
              <w:left w:val="nil"/>
              <w:bottom w:val="single" w:sz="4" w:space="0" w:color="auto"/>
              <w:right w:val="nil"/>
            </w:tcBorders>
            <w:shd w:val="clear" w:color="000000" w:fill="FFFFFF"/>
            <w:vAlign w:val="center"/>
            <w:hideMark/>
          </w:tcPr>
          <w:p w14:paraId="404CEA7F"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103" w:type="dxa"/>
            <w:tcBorders>
              <w:top w:val="nil"/>
              <w:left w:val="nil"/>
              <w:bottom w:val="single" w:sz="4" w:space="0" w:color="auto"/>
              <w:right w:val="nil"/>
            </w:tcBorders>
            <w:shd w:val="clear" w:color="000000" w:fill="FFFFFF"/>
            <w:vAlign w:val="center"/>
            <w:hideMark/>
          </w:tcPr>
          <w:p w14:paraId="61CCD79C"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FD280D" w:rsidRPr="00476DF1" w14:paraId="3FFE929A" w14:textId="77777777" w:rsidTr="00A23232">
        <w:trPr>
          <w:trHeight w:val="321"/>
          <w:jc w:val="center"/>
        </w:trPr>
        <w:tc>
          <w:tcPr>
            <w:tcW w:w="1354" w:type="dxa"/>
            <w:vMerge/>
            <w:tcBorders>
              <w:top w:val="single" w:sz="4" w:space="0" w:color="auto"/>
              <w:left w:val="nil"/>
              <w:bottom w:val="single" w:sz="4" w:space="0" w:color="auto"/>
              <w:right w:val="nil"/>
            </w:tcBorders>
            <w:vAlign w:val="center"/>
            <w:hideMark/>
          </w:tcPr>
          <w:p w14:paraId="4A26DE34" w14:textId="77777777" w:rsidR="00FD280D" w:rsidRPr="00476DF1" w:rsidRDefault="00FD280D" w:rsidP="00CE4BBE">
            <w:pPr>
              <w:spacing w:after="0" w:line="240" w:lineRule="auto"/>
              <w:rPr>
                <w:rFonts w:ascii="Times New Roman" w:eastAsia="Times New Roman" w:hAnsi="Times New Roman"/>
                <w:color w:val="000000"/>
                <w:sz w:val="20"/>
                <w:szCs w:val="20"/>
              </w:rPr>
            </w:pPr>
          </w:p>
        </w:tc>
        <w:tc>
          <w:tcPr>
            <w:tcW w:w="3464" w:type="dxa"/>
            <w:tcBorders>
              <w:top w:val="nil"/>
              <w:left w:val="nil"/>
              <w:bottom w:val="single" w:sz="4" w:space="0" w:color="auto"/>
              <w:right w:val="nil"/>
            </w:tcBorders>
            <w:shd w:val="clear" w:color="000000" w:fill="FFFFFF"/>
            <w:vAlign w:val="center"/>
            <w:hideMark/>
          </w:tcPr>
          <w:p w14:paraId="50274E07"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Biorexis </w:t>
            </w:r>
          </w:p>
        </w:tc>
        <w:tc>
          <w:tcPr>
            <w:tcW w:w="2260" w:type="dxa"/>
            <w:tcBorders>
              <w:top w:val="nil"/>
              <w:left w:val="nil"/>
              <w:bottom w:val="single" w:sz="4" w:space="0" w:color="auto"/>
              <w:right w:val="nil"/>
            </w:tcBorders>
            <w:shd w:val="clear" w:color="000000" w:fill="FFFFFF"/>
            <w:vAlign w:val="center"/>
            <w:hideMark/>
          </w:tcPr>
          <w:p w14:paraId="0EE933EB"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w:t>
            </w:r>
          </w:p>
        </w:tc>
        <w:tc>
          <w:tcPr>
            <w:tcW w:w="1793" w:type="dxa"/>
            <w:tcBorders>
              <w:top w:val="nil"/>
              <w:left w:val="nil"/>
              <w:bottom w:val="single" w:sz="4" w:space="0" w:color="auto"/>
              <w:right w:val="nil"/>
            </w:tcBorders>
            <w:shd w:val="clear" w:color="000000" w:fill="FFFFFF"/>
            <w:vAlign w:val="center"/>
            <w:hideMark/>
          </w:tcPr>
          <w:p w14:paraId="23797BE4"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103" w:type="dxa"/>
            <w:tcBorders>
              <w:top w:val="nil"/>
              <w:left w:val="nil"/>
              <w:bottom w:val="single" w:sz="4" w:space="0" w:color="auto"/>
              <w:right w:val="nil"/>
            </w:tcBorders>
            <w:shd w:val="clear" w:color="000000" w:fill="FFFFFF"/>
            <w:vAlign w:val="center"/>
            <w:hideMark/>
          </w:tcPr>
          <w:p w14:paraId="0692922E"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FD280D" w:rsidRPr="00476DF1" w14:paraId="518BBECE" w14:textId="77777777" w:rsidTr="00A23232">
        <w:trPr>
          <w:trHeight w:val="321"/>
          <w:jc w:val="center"/>
        </w:trPr>
        <w:tc>
          <w:tcPr>
            <w:tcW w:w="1354" w:type="dxa"/>
            <w:vMerge/>
            <w:tcBorders>
              <w:top w:val="single" w:sz="4" w:space="0" w:color="auto"/>
              <w:left w:val="nil"/>
              <w:bottom w:val="single" w:sz="4" w:space="0" w:color="auto"/>
              <w:right w:val="nil"/>
            </w:tcBorders>
            <w:vAlign w:val="center"/>
            <w:hideMark/>
          </w:tcPr>
          <w:p w14:paraId="244AF803" w14:textId="77777777" w:rsidR="00FD280D" w:rsidRPr="00476DF1" w:rsidRDefault="00FD280D" w:rsidP="00CE4BBE">
            <w:pPr>
              <w:spacing w:after="0" w:line="240" w:lineRule="auto"/>
              <w:rPr>
                <w:rFonts w:ascii="Times New Roman" w:eastAsia="Times New Roman" w:hAnsi="Times New Roman"/>
                <w:color w:val="000000"/>
                <w:sz w:val="20"/>
                <w:szCs w:val="20"/>
              </w:rPr>
            </w:pPr>
          </w:p>
        </w:tc>
        <w:tc>
          <w:tcPr>
            <w:tcW w:w="3464" w:type="dxa"/>
            <w:tcBorders>
              <w:top w:val="nil"/>
              <w:left w:val="nil"/>
              <w:bottom w:val="single" w:sz="4" w:space="0" w:color="auto"/>
              <w:right w:val="nil"/>
            </w:tcBorders>
            <w:shd w:val="clear" w:color="000000" w:fill="FFFFFF"/>
            <w:vAlign w:val="center"/>
            <w:hideMark/>
          </w:tcPr>
          <w:p w14:paraId="6B194B4D"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CovX </w:t>
            </w:r>
          </w:p>
        </w:tc>
        <w:tc>
          <w:tcPr>
            <w:tcW w:w="2260" w:type="dxa"/>
            <w:tcBorders>
              <w:top w:val="nil"/>
              <w:left w:val="nil"/>
              <w:bottom w:val="single" w:sz="4" w:space="0" w:color="auto"/>
              <w:right w:val="nil"/>
            </w:tcBorders>
            <w:shd w:val="clear" w:color="000000" w:fill="FFFFFF"/>
            <w:vAlign w:val="center"/>
            <w:hideMark/>
          </w:tcPr>
          <w:p w14:paraId="446ABC5D"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27</w:t>
            </w:r>
          </w:p>
        </w:tc>
        <w:tc>
          <w:tcPr>
            <w:tcW w:w="1793" w:type="dxa"/>
            <w:tcBorders>
              <w:top w:val="nil"/>
              <w:left w:val="nil"/>
              <w:bottom w:val="single" w:sz="4" w:space="0" w:color="auto"/>
              <w:right w:val="nil"/>
            </w:tcBorders>
            <w:shd w:val="clear" w:color="000000" w:fill="FFFFFF"/>
            <w:vAlign w:val="center"/>
            <w:hideMark/>
          </w:tcPr>
          <w:p w14:paraId="4DC90B22"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103" w:type="dxa"/>
            <w:tcBorders>
              <w:top w:val="nil"/>
              <w:left w:val="nil"/>
              <w:bottom w:val="single" w:sz="4" w:space="0" w:color="auto"/>
              <w:right w:val="nil"/>
            </w:tcBorders>
            <w:shd w:val="clear" w:color="000000" w:fill="FFFFFF"/>
            <w:vAlign w:val="center"/>
            <w:hideMark/>
          </w:tcPr>
          <w:p w14:paraId="34BCFEE7"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FD280D" w:rsidRPr="00476DF1" w14:paraId="07256C73" w14:textId="77777777" w:rsidTr="00A23232">
        <w:trPr>
          <w:trHeight w:val="321"/>
          <w:jc w:val="center"/>
        </w:trPr>
        <w:tc>
          <w:tcPr>
            <w:tcW w:w="1354" w:type="dxa"/>
            <w:vMerge/>
            <w:tcBorders>
              <w:top w:val="single" w:sz="4" w:space="0" w:color="auto"/>
              <w:left w:val="nil"/>
              <w:bottom w:val="single" w:sz="4" w:space="0" w:color="auto"/>
              <w:right w:val="nil"/>
            </w:tcBorders>
            <w:vAlign w:val="center"/>
            <w:hideMark/>
          </w:tcPr>
          <w:p w14:paraId="7923CB56" w14:textId="77777777" w:rsidR="00FD280D" w:rsidRPr="00476DF1" w:rsidRDefault="00FD280D" w:rsidP="00CE4BBE">
            <w:pPr>
              <w:spacing w:after="0" w:line="240" w:lineRule="auto"/>
              <w:rPr>
                <w:rFonts w:ascii="Times New Roman" w:eastAsia="Times New Roman" w:hAnsi="Times New Roman"/>
                <w:color w:val="000000"/>
                <w:sz w:val="20"/>
                <w:szCs w:val="20"/>
              </w:rPr>
            </w:pPr>
          </w:p>
        </w:tc>
        <w:tc>
          <w:tcPr>
            <w:tcW w:w="3464" w:type="dxa"/>
            <w:tcBorders>
              <w:top w:val="nil"/>
              <w:left w:val="nil"/>
              <w:bottom w:val="single" w:sz="4" w:space="0" w:color="auto"/>
              <w:right w:val="nil"/>
            </w:tcBorders>
            <w:shd w:val="clear" w:color="000000" w:fill="FFFFFF"/>
            <w:vAlign w:val="center"/>
            <w:hideMark/>
          </w:tcPr>
          <w:p w14:paraId="6D3C8EA9"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Serenex </w:t>
            </w:r>
          </w:p>
        </w:tc>
        <w:tc>
          <w:tcPr>
            <w:tcW w:w="2260" w:type="dxa"/>
            <w:tcBorders>
              <w:top w:val="nil"/>
              <w:left w:val="nil"/>
              <w:bottom w:val="single" w:sz="4" w:space="0" w:color="auto"/>
              <w:right w:val="nil"/>
            </w:tcBorders>
            <w:shd w:val="clear" w:color="000000" w:fill="FFFFFF"/>
            <w:vAlign w:val="center"/>
            <w:hideMark/>
          </w:tcPr>
          <w:p w14:paraId="4739E34E"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25</w:t>
            </w:r>
          </w:p>
        </w:tc>
        <w:tc>
          <w:tcPr>
            <w:tcW w:w="1793" w:type="dxa"/>
            <w:tcBorders>
              <w:top w:val="nil"/>
              <w:left w:val="nil"/>
              <w:bottom w:val="single" w:sz="4" w:space="0" w:color="auto"/>
              <w:right w:val="nil"/>
            </w:tcBorders>
            <w:shd w:val="clear" w:color="000000" w:fill="FFFFFF"/>
            <w:vAlign w:val="center"/>
            <w:hideMark/>
          </w:tcPr>
          <w:p w14:paraId="12D1EF32"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103" w:type="dxa"/>
            <w:tcBorders>
              <w:top w:val="nil"/>
              <w:left w:val="nil"/>
              <w:bottom w:val="single" w:sz="4" w:space="0" w:color="auto"/>
              <w:right w:val="nil"/>
            </w:tcBorders>
            <w:shd w:val="clear" w:color="000000" w:fill="FFFFFF"/>
            <w:vAlign w:val="center"/>
            <w:hideMark/>
          </w:tcPr>
          <w:p w14:paraId="1AD20C0F"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FD280D" w:rsidRPr="00476DF1" w14:paraId="79A90A3E" w14:textId="77777777" w:rsidTr="00A23232">
        <w:trPr>
          <w:trHeight w:val="334"/>
          <w:jc w:val="center"/>
        </w:trPr>
        <w:tc>
          <w:tcPr>
            <w:tcW w:w="1354" w:type="dxa"/>
            <w:vMerge/>
            <w:tcBorders>
              <w:top w:val="single" w:sz="4" w:space="0" w:color="auto"/>
              <w:left w:val="nil"/>
              <w:bottom w:val="single" w:sz="4" w:space="0" w:color="auto"/>
              <w:right w:val="nil"/>
            </w:tcBorders>
            <w:vAlign w:val="center"/>
            <w:hideMark/>
          </w:tcPr>
          <w:p w14:paraId="41BE38D1" w14:textId="77777777" w:rsidR="00FD280D" w:rsidRPr="00476DF1" w:rsidRDefault="00FD280D" w:rsidP="00CE4BBE">
            <w:pPr>
              <w:spacing w:after="0" w:line="240" w:lineRule="auto"/>
              <w:rPr>
                <w:rFonts w:ascii="Times New Roman" w:eastAsia="Times New Roman" w:hAnsi="Times New Roman"/>
                <w:color w:val="000000"/>
                <w:sz w:val="20"/>
                <w:szCs w:val="20"/>
              </w:rPr>
            </w:pPr>
          </w:p>
        </w:tc>
        <w:tc>
          <w:tcPr>
            <w:tcW w:w="3464" w:type="dxa"/>
            <w:tcBorders>
              <w:top w:val="nil"/>
              <w:left w:val="nil"/>
              <w:bottom w:val="single" w:sz="4" w:space="0" w:color="auto"/>
              <w:right w:val="nil"/>
            </w:tcBorders>
            <w:shd w:val="clear" w:color="000000" w:fill="FFFFFF"/>
            <w:vAlign w:val="center"/>
            <w:hideMark/>
          </w:tcPr>
          <w:p w14:paraId="399676E1"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FoldRx </w:t>
            </w:r>
          </w:p>
        </w:tc>
        <w:tc>
          <w:tcPr>
            <w:tcW w:w="2260" w:type="dxa"/>
            <w:tcBorders>
              <w:top w:val="nil"/>
              <w:left w:val="nil"/>
              <w:bottom w:val="single" w:sz="4" w:space="0" w:color="auto"/>
              <w:right w:val="nil"/>
            </w:tcBorders>
            <w:shd w:val="clear" w:color="000000" w:fill="FFFFFF"/>
            <w:vAlign w:val="center"/>
            <w:hideMark/>
          </w:tcPr>
          <w:p w14:paraId="5C5B5E1E"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w:t>
            </w:r>
          </w:p>
        </w:tc>
        <w:tc>
          <w:tcPr>
            <w:tcW w:w="1793" w:type="dxa"/>
            <w:tcBorders>
              <w:top w:val="nil"/>
              <w:left w:val="nil"/>
              <w:bottom w:val="single" w:sz="4" w:space="0" w:color="auto"/>
              <w:right w:val="nil"/>
            </w:tcBorders>
            <w:shd w:val="clear" w:color="000000" w:fill="FFFFFF"/>
            <w:vAlign w:val="center"/>
            <w:hideMark/>
          </w:tcPr>
          <w:p w14:paraId="38369092"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103" w:type="dxa"/>
            <w:tcBorders>
              <w:top w:val="nil"/>
              <w:left w:val="nil"/>
              <w:bottom w:val="single" w:sz="4" w:space="0" w:color="auto"/>
              <w:right w:val="nil"/>
            </w:tcBorders>
            <w:shd w:val="clear" w:color="000000" w:fill="FFFFFF"/>
            <w:vAlign w:val="center"/>
            <w:hideMark/>
          </w:tcPr>
          <w:p w14:paraId="20550B8E"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FD280D" w:rsidRPr="00476DF1" w14:paraId="699443E8" w14:textId="77777777" w:rsidTr="00A23232">
        <w:trPr>
          <w:trHeight w:val="373"/>
          <w:jc w:val="center"/>
        </w:trPr>
        <w:tc>
          <w:tcPr>
            <w:tcW w:w="1354" w:type="dxa"/>
            <w:vMerge/>
            <w:tcBorders>
              <w:top w:val="single" w:sz="4" w:space="0" w:color="auto"/>
              <w:left w:val="nil"/>
              <w:bottom w:val="single" w:sz="4" w:space="0" w:color="auto"/>
              <w:right w:val="nil"/>
            </w:tcBorders>
            <w:vAlign w:val="center"/>
            <w:hideMark/>
          </w:tcPr>
          <w:p w14:paraId="64FAED8C" w14:textId="77777777" w:rsidR="00FD280D" w:rsidRPr="00476DF1" w:rsidRDefault="00FD280D" w:rsidP="00CE4BBE">
            <w:pPr>
              <w:spacing w:after="0" w:line="240" w:lineRule="auto"/>
              <w:rPr>
                <w:rFonts w:ascii="Times New Roman" w:eastAsia="Times New Roman" w:hAnsi="Times New Roman"/>
                <w:color w:val="000000"/>
                <w:sz w:val="20"/>
                <w:szCs w:val="20"/>
              </w:rPr>
            </w:pPr>
          </w:p>
        </w:tc>
        <w:tc>
          <w:tcPr>
            <w:tcW w:w="3464" w:type="dxa"/>
            <w:tcBorders>
              <w:top w:val="nil"/>
              <w:left w:val="nil"/>
              <w:bottom w:val="single" w:sz="4" w:space="0" w:color="auto"/>
              <w:right w:val="nil"/>
            </w:tcBorders>
            <w:shd w:val="clear" w:color="000000" w:fill="FFFFFF"/>
            <w:vAlign w:val="center"/>
            <w:hideMark/>
          </w:tcPr>
          <w:p w14:paraId="09780BF9"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Excaliard </w:t>
            </w:r>
          </w:p>
        </w:tc>
        <w:tc>
          <w:tcPr>
            <w:tcW w:w="2260" w:type="dxa"/>
            <w:tcBorders>
              <w:top w:val="nil"/>
              <w:left w:val="nil"/>
              <w:bottom w:val="single" w:sz="4" w:space="0" w:color="auto"/>
              <w:right w:val="nil"/>
            </w:tcBorders>
            <w:shd w:val="clear" w:color="000000" w:fill="FFFFFF"/>
            <w:vAlign w:val="center"/>
            <w:hideMark/>
          </w:tcPr>
          <w:p w14:paraId="5D700973"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8</w:t>
            </w:r>
          </w:p>
        </w:tc>
        <w:tc>
          <w:tcPr>
            <w:tcW w:w="1793" w:type="dxa"/>
            <w:tcBorders>
              <w:top w:val="nil"/>
              <w:left w:val="nil"/>
              <w:bottom w:val="single" w:sz="4" w:space="0" w:color="auto"/>
              <w:right w:val="nil"/>
            </w:tcBorders>
            <w:shd w:val="clear" w:color="000000" w:fill="FFFFFF"/>
            <w:vAlign w:val="center"/>
            <w:hideMark/>
          </w:tcPr>
          <w:p w14:paraId="2E27713F"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103" w:type="dxa"/>
            <w:tcBorders>
              <w:top w:val="nil"/>
              <w:left w:val="nil"/>
              <w:bottom w:val="single" w:sz="4" w:space="0" w:color="auto"/>
              <w:right w:val="nil"/>
            </w:tcBorders>
            <w:shd w:val="clear" w:color="000000" w:fill="FFFFFF"/>
            <w:vAlign w:val="center"/>
            <w:hideMark/>
          </w:tcPr>
          <w:p w14:paraId="3A304A04"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FD280D" w:rsidRPr="00476DF1" w14:paraId="0D1178F1" w14:textId="77777777" w:rsidTr="00A23232">
        <w:trPr>
          <w:trHeight w:val="345"/>
          <w:jc w:val="center"/>
        </w:trPr>
        <w:tc>
          <w:tcPr>
            <w:tcW w:w="1354" w:type="dxa"/>
            <w:vMerge w:val="restart"/>
            <w:tcBorders>
              <w:top w:val="single" w:sz="4" w:space="0" w:color="auto"/>
              <w:left w:val="nil"/>
              <w:bottom w:val="single" w:sz="4" w:space="0" w:color="auto"/>
              <w:right w:val="nil"/>
            </w:tcBorders>
            <w:shd w:val="clear" w:color="000000" w:fill="FFFFFF"/>
            <w:vAlign w:val="center"/>
            <w:hideMark/>
          </w:tcPr>
          <w:p w14:paraId="77FE0DEB"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Roche</w:t>
            </w:r>
          </w:p>
        </w:tc>
        <w:tc>
          <w:tcPr>
            <w:tcW w:w="3464" w:type="dxa"/>
            <w:tcBorders>
              <w:top w:val="single" w:sz="4" w:space="0" w:color="auto"/>
              <w:left w:val="nil"/>
              <w:bottom w:val="single" w:sz="4" w:space="0" w:color="auto"/>
              <w:right w:val="nil"/>
            </w:tcBorders>
            <w:shd w:val="clear" w:color="000000" w:fill="FFFFFF"/>
            <w:vAlign w:val="center"/>
            <w:hideMark/>
          </w:tcPr>
          <w:p w14:paraId="6868ED20"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Piramed </w:t>
            </w:r>
          </w:p>
        </w:tc>
        <w:tc>
          <w:tcPr>
            <w:tcW w:w="2260" w:type="dxa"/>
            <w:tcBorders>
              <w:top w:val="single" w:sz="4" w:space="0" w:color="auto"/>
              <w:left w:val="nil"/>
              <w:bottom w:val="single" w:sz="4" w:space="0" w:color="auto"/>
              <w:right w:val="nil"/>
            </w:tcBorders>
            <w:shd w:val="clear" w:color="000000" w:fill="FFFFFF"/>
            <w:vAlign w:val="center"/>
            <w:hideMark/>
          </w:tcPr>
          <w:p w14:paraId="1C5DCF1A"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24</w:t>
            </w:r>
          </w:p>
        </w:tc>
        <w:tc>
          <w:tcPr>
            <w:tcW w:w="1793" w:type="dxa"/>
            <w:tcBorders>
              <w:top w:val="single" w:sz="4" w:space="0" w:color="auto"/>
              <w:left w:val="nil"/>
              <w:bottom w:val="single" w:sz="4" w:space="0" w:color="auto"/>
              <w:right w:val="nil"/>
            </w:tcBorders>
            <w:shd w:val="clear" w:color="000000" w:fill="FFFFFF"/>
            <w:vAlign w:val="center"/>
            <w:hideMark/>
          </w:tcPr>
          <w:p w14:paraId="55DED031"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24</w:t>
            </w:r>
          </w:p>
        </w:tc>
        <w:tc>
          <w:tcPr>
            <w:tcW w:w="1103" w:type="dxa"/>
            <w:tcBorders>
              <w:top w:val="single" w:sz="4" w:space="0" w:color="auto"/>
              <w:left w:val="nil"/>
              <w:bottom w:val="single" w:sz="4" w:space="0" w:color="auto"/>
              <w:right w:val="nil"/>
            </w:tcBorders>
            <w:shd w:val="clear" w:color="000000" w:fill="FFFFFF"/>
            <w:vAlign w:val="center"/>
            <w:hideMark/>
          </w:tcPr>
          <w:p w14:paraId="5FE5C708"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100%</w:t>
            </w:r>
          </w:p>
        </w:tc>
      </w:tr>
      <w:tr w:rsidR="00FD280D" w:rsidRPr="00476DF1" w14:paraId="3F39B85D" w14:textId="77777777" w:rsidTr="00A23232">
        <w:trPr>
          <w:trHeight w:val="334"/>
          <w:jc w:val="center"/>
        </w:trPr>
        <w:tc>
          <w:tcPr>
            <w:tcW w:w="1354" w:type="dxa"/>
            <w:vMerge/>
            <w:tcBorders>
              <w:top w:val="single" w:sz="4" w:space="0" w:color="auto"/>
              <w:left w:val="nil"/>
              <w:bottom w:val="single" w:sz="4" w:space="0" w:color="auto"/>
              <w:right w:val="nil"/>
            </w:tcBorders>
            <w:vAlign w:val="center"/>
            <w:hideMark/>
          </w:tcPr>
          <w:p w14:paraId="725972C4" w14:textId="77777777" w:rsidR="00FD280D" w:rsidRPr="00476DF1" w:rsidRDefault="00FD280D" w:rsidP="00CE4BBE">
            <w:pPr>
              <w:spacing w:after="0" w:line="240" w:lineRule="auto"/>
              <w:rPr>
                <w:rFonts w:ascii="Times New Roman" w:eastAsia="Times New Roman" w:hAnsi="Times New Roman"/>
                <w:color w:val="000000"/>
                <w:sz w:val="20"/>
                <w:szCs w:val="20"/>
              </w:rPr>
            </w:pPr>
          </w:p>
        </w:tc>
        <w:tc>
          <w:tcPr>
            <w:tcW w:w="3464" w:type="dxa"/>
            <w:tcBorders>
              <w:top w:val="nil"/>
              <w:left w:val="nil"/>
              <w:bottom w:val="single" w:sz="4" w:space="0" w:color="auto"/>
              <w:right w:val="nil"/>
            </w:tcBorders>
            <w:shd w:val="clear" w:color="000000" w:fill="FFFFFF"/>
            <w:vAlign w:val="center"/>
            <w:hideMark/>
          </w:tcPr>
          <w:p w14:paraId="6C94B266"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Mirus-Bio </w:t>
            </w:r>
          </w:p>
        </w:tc>
        <w:tc>
          <w:tcPr>
            <w:tcW w:w="2260" w:type="dxa"/>
            <w:tcBorders>
              <w:top w:val="nil"/>
              <w:left w:val="nil"/>
              <w:bottom w:val="single" w:sz="4" w:space="0" w:color="auto"/>
              <w:right w:val="nil"/>
            </w:tcBorders>
            <w:shd w:val="clear" w:color="000000" w:fill="FFFFFF"/>
            <w:vAlign w:val="center"/>
            <w:hideMark/>
          </w:tcPr>
          <w:p w14:paraId="1F8CF429"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25</w:t>
            </w:r>
          </w:p>
        </w:tc>
        <w:tc>
          <w:tcPr>
            <w:tcW w:w="1793" w:type="dxa"/>
            <w:tcBorders>
              <w:top w:val="nil"/>
              <w:left w:val="nil"/>
              <w:bottom w:val="single" w:sz="4" w:space="0" w:color="auto"/>
              <w:right w:val="nil"/>
            </w:tcBorders>
            <w:shd w:val="clear" w:color="000000" w:fill="FFFFFF"/>
            <w:vAlign w:val="center"/>
            <w:hideMark/>
          </w:tcPr>
          <w:p w14:paraId="7D7F7B2B"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19</w:t>
            </w:r>
          </w:p>
        </w:tc>
        <w:tc>
          <w:tcPr>
            <w:tcW w:w="1103" w:type="dxa"/>
            <w:tcBorders>
              <w:top w:val="nil"/>
              <w:left w:val="nil"/>
              <w:bottom w:val="single" w:sz="4" w:space="0" w:color="auto"/>
              <w:right w:val="nil"/>
            </w:tcBorders>
            <w:shd w:val="clear" w:color="000000" w:fill="FFFFFF"/>
            <w:vAlign w:val="center"/>
            <w:hideMark/>
          </w:tcPr>
          <w:p w14:paraId="1EA51C41"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76%</w:t>
            </w:r>
          </w:p>
        </w:tc>
      </w:tr>
      <w:tr w:rsidR="00FD280D" w:rsidRPr="00476DF1" w14:paraId="1A8A47B7" w14:textId="77777777" w:rsidTr="00A23232">
        <w:trPr>
          <w:trHeight w:val="361"/>
          <w:jc w:val="center"/>
        </w:trPr>
        <w:tc>
          <w:tcPr>
            <w:tcW w:w="1354" w:type="dxa"/>
            <w:vMerge/>
            <w:tcBorders>
              <w:top w:val="single" w:sz="4" w:space="0" w:color="auto"/>
              <w:left w:val="nil"/>
              <w:bottom w:val="single" w:sz="4" w:space="0" w:color="auto"/>
              <w:right w:val="nil"/>
            </w:tcBorders>
            <w:vAlign w:val="center"/>
            <w:hideMark/>
          </w:tcPr>
          <w:p w14:paraId="24629DF4" w14:textId="77777777" w:rsidR="00FD280D" w:rsidRPr="00476DF1" w:rsidRDefault="00FD280D" w:rsidP="00CE4BBE">
            <w:pPr>
              <w:spacing w:after="0" w:line="240" w:lineRule="auto"/>
              <w:rPr>
                <w:rFonts w:ascii="Times New Roman" w:eastAsia="Times New Roman" w:hAnsi="Times New Roman"/>
                <w:color w:val="000000"/>
                <w:sz w:val="20"/>
                <w:szCs w:val="20"/>
              </w:rPr>
            </w:pPr>
          </w:p>
        </w:tc>
        <w:tc>
          <w:tcPr>
            <w:tcW w:w="3464" w:type="dxa"/>
            <w:tcBorders>
              <w:top w:val="nil"/>
              <w:left w:val="nil"/>
              <w:bottom w:val="single" w:sz="4" w:space="0" w:color="auto"/>
              <w:right w:val="nil"/>
            </w:tcBorders>
            <w:shd w:val="clear" w:color="000000" w:fill="FFFFFF"/>
            <w:vAlign w:val="center"/>
            <w:hideMark/>
          </w:tcPr>
          <w:p w14:paraId="76526F21"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Arius </w:t>
            </w:r>
          </w:p>
        </w:tc>
        <w:tc>
          <w:tcPr>
            <w:tcW w:w="2260" w:type="dxa"/>
            <w:tcBorders>
              <w:top w:val="nil"/>
              <w:left w:val="nil"/>
              <w:bottom w:val="single" w:sz="4" w:space="0" w:color="auto"/>
              <w:right w:val="nil"/>
            </w:tcBorders>
            <w:shd w:val="clear" w:color="000000" w:fill="FFFFFF"/>
            <w:vAlign w:val="center"/>
            <w:hideMark/>
          </w:tcPr>
          <w:p w14:paraId="537E4EDB"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14</w:t>
            </w:r>
          </w:p>
        </w:tc>
        <w:tc>
          <w:tcPr>
            <w:tcW w:w="1793" w:type="dxa"/>
            <w:tcBorders>
              <w:top w:val="nil"/>
              <w:left w:val="nil"/>
              <w:bottom w:val="single" w:sz="4" w:space="0" w:color="auto"/>
              <w:right w:val="nil"/>
            </w:tcBorders>
            <w:shd w:val="clear" w:color="000000" w:fill="FFFFFF"/>
            <w:vAlign w:val="center"/>
            <w:hideMark/>
          </w:tcPr>
          <w:p w14:paraId="2FA409CA"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w:t>
            </w:r>
          </w:p>
        </w:tc>
        <w:tc>
          <w:tcPr>
            <w:tcW w:w="1103" w:type="dxa"/>
            <w:tcBorders>
              <w:top w:val="nil"/>
              <w:left w:val="nil"/>
              <w:bottom w:val="single" w:sz="4" w:space="0" w:color="auto"/>
              <w:right w:val="nil"/>
            </w:tcBorders>
            <w:shd w:val="clear" w:color="000000" w:fill="FFFFFF"/>
            <w:vAlign w:val="center"/>
            <w:hideMark/>
          </w:tcPr>
          <w:p w14:paraId="4318693E"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36%</w:t>
            </w:r>
          </w:p>
        </w:tc>
      </w:tr>
      <w:tr w:rsidR="00FD280D" w:rsidRPr="00476DF1" w14:paraId="447B1EE0" w14:textId="77777777" w:rsidTr="00A23232">
        <w:trPr>
          <w:trHeight w:val="484"/>
          <w:jc w:val="center"/>
        </w:trPr>
        <w:tc>
          <w:tcPr>
            <w:tcW w:w="1354" w:type="dxa"/>
            <w:vMerge/>
            <w:tcBorders>
              <w:top w:val="single" w:sz="4" w:space="0" w:color="auto"/>
              <w:left w:val="nil"/>
              <w:bottom w:val="single" w:sz="4" w:space="0" w:color="auto"/>
              <w:right w:val="nil"/>
            </w:tcBorders>
            <w:vAlign w:val="center"/>
            <w:hideMark/>
          </w:tcPr>
          <w:p w14:paraId="45EE094D" w14:textId="77777777" w:rsidR="00FD280D" w:rsidRPr="00476DF1" w:rsidRDefault="00FD280D" w:rsidP="00CE4BBE">
            <w:pPr>
              <w:spacing w:after="0" w:line="240" w:lineRule="auto"/>
              <w:rPr>
                <w:rFonts w:ascii="Times New Roman" w:eastAsia="Times New Roman" w:hAnsi="Times New Roman"/>
                <w:color w:val="000000"/>
                <w:sz w:val="20"/>
                <w:szCs w:val="20"/>
              </w:rPr>
            </w:pPr>
          </w:p>
        </w:tc>
        <w:tc>
          <w:tcPr>
            <w:tcW w:w="3464" w:type="dxa"/>
            <w:tcBorders>
              <w:top w:val="nil"/>
              <w:left w:val="nil"/>
              <w:bottom w:val="single" w:sz="4" w:space="0" w:color="auto"/>
              <w:right w:val="nil"/>
            </w:tcBorders>
            <w:shd w:val="clear" w:color="000000" w:fill="FFFFFF"/>
            <w:vAlign w:val="center"/>
            <w:hideMark/>
          </w:tcPr>
          <w:p w14:paraId="57E7B64C"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Therapeutic Human Polyclonals </w:t>
            </w:r>
          </w:p>
        </w:tc>
        <w:tc>
          <w:tcPr>
            <w:tcW w:w="2260" w:type="dxa"/>
            <w:tcBorders>
              <w:top w:val="nil"/>
              <w:left w:val="nil"/>
              <w:bottom w:val="single" w:sz="4" w:space="0" w:color="auto"/>
              <w:right w:val="nil"/>
            </w:tcBorders>
            <w:shd w:val="clear" w:color="000000" w:fill="FFFFFF"/>
            <w:vAlign w:val="center"/>
            <w:hideMark/>
          </w:tcPr>
          <w:p w14:paraId="6F496DF4"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w:t>
            </w:r>
          </w:p>
        </w:tc>
        <w:tc>
          <w:tcPr>
            <w:tcW w:w="1793" w:type="dxa"/>
            <w:tcBorders>
              <w:top w:val="nil"/>
              <w:left w:val="nil"/>
              <w:bottom w:val="single" w:sz="4" w:space="0" w:color="auto"/>
              <w:right w:val="nil"/>
            </w:tcBorders>
            <w:shd w:val="clear" w:color="000000" w:fill="FFFFFF"/>
            <w:vAlign w:val="center"/>
            <w:hideMark/>
          </w:tcPr>
          <w:p w14:paraId="6F0C1C81"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103" w:type="dxa"/>
            <w:tcBorders>
              <w:top w:val="nil"/>
              <w:left w:val="nil"/>
              <w:bottom w:val="single" w:sz="4" w:space="0" w:color="auto"/>
              <w:right w:val="nil"/>
            </w:tcBorders>
            <w:shd w:val="clear" w:color="000000" w:fill="FFFFFF"/>
            <w:vAlign w:val="center"/>
            <w:hideMark/>
          </w:tcPr>
          <w:p w14:paraId="3EAE6C3C"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FD280D" w:rsidRPr="00476DF1" w14:paraId="6E30CE43" w14:textId="77777777" w:rsidTr="00A23232">
        <w:trPr>
          <w:trHeight w:val="438"/>
          <w:jc w:val="center"/>
        </w:trPr>
        <w:tc>
          <w:tcPr>
            <w:tcW w:w="1354" w:type="dxa"/>
            <w:vMerge/>
            <w:tcBorders>
              <w:top w:val="single" w:sz="4" w:space="0" w:color="auto"/>
              <w:left w:val="nil"/>
              <w:bottom w:val="single" w:sz="4" w:space="0" w:color="auto"/>
              <w:right w:val="nil"/>
            </w:tcBorders>
            <w:vAlign w:val="center"/>
            <w:hideMark/>
          </w:tcPr>
          <w:p w14:paraId="425C527D" w14:textId="77777777" w:rsidR="00FD280D" w:rsidRPr="00476DF1" w:rsidRDefault="00FD280D" w:rsidP="00CE4BBE">
            <w:pPr>
              <w:spacing w:after="0" w:line="240" w:lineRule="auto"/>
              <w:rPr>
                <w:rFonts w:ascii="Times New Roman" w:eastAsia="Times New Roman" w:hAnsi="Times New Roman"/>
                <w:color w:val="000000"/>
                <w:sz w:val="20"/>
                <w:szCs w:val="20"/>
              </w:rPr>
            </w:pPr>
          </w:p>
        </w:tc>
        <w:tc>
          <w:tcPr>
            <w:tcW w:w="3464" w:type="dxa"/>
            <w:tcBorders>
              <w:top w:val="nil"/>
              <w:left w:val="nil"/>
              <w:bottom w:val="single" w:sz="4" w:space="0" w:color="auto"/>
              <w:right w:val="nil"/>
            </w:tcBorders>
            <w:shd w:val="clear" w:color="000000" w:fill="FFFFFF"/>
            <w:vAlign w:val="center"/>
            <w:hideMark/>
          </w:tcPr>
          <w:p w14:paraId="6AD55A74"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Memory Pharmaceuticals </w:t>
            </w:r>
          </w:p>
        </w:tc>
        <w:tc>
          <w:tcPr>
            <w:tcW w:w="2260" w:type="dxa"/>
            <w:tcBorders>
              <w:top w:val="nil"/>
              <w:left w:val="nil"/>
              <w:bottom w:val="single" w:sz="4" w:space="0" w:color="auto"/>
              <w:right w:val="nil"/>
            </w:tcBorders>
            <w:shd w:val="clear" w:color="000000" w:fill="FFFFFF"/>
            <w:vAlign w:val="center"/>
            <w:hideMark/>
          </w:tcPr>
          <w:p w14:paraId="15FBF434"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26</w:t>
            </w:r>
          </w:p>
        </w:tc>
        <w:tc>
          <w:tcPr>
            <w:tcW w:w="1793" w:type="dxa"/>
            <w:tcBorders>
              <w:top w:val="nil"/>
              <w:left w:val="nil"/>
              <w:bottom w:val="single" w:sz="4" w:space="0" w:color="auto"/>
              <w:right w:val="nil"/>
            </w:tcBorders>
            <w:shd w:val="clear" w:color="000000" w:fill="FFFFFF"/>
            <w:vAlign w:val="center"/>
            <w:hideMark/>
          </w:tcPr>
          <w:p w14:paraId="7DD41D45"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103" w:type="dxa"/>
            <w:tcBorders>
              <w:top w:val="nil"/>
              <w:left w:val="nil"/>
              <w:bottom w:val="single" w:sz="4" w:space="0" w:color="auto"/>
              <w:right w:val="nil"/>
            </w:tcBorders>
            <w:shd w:val="clear" w:color="000000" w:fill="FFFFFF"/>
            <w:vAlign w:val="center"/>
            <w:hideMark/>
          </w:tcPr>
          <w:p w14:paraId="4D73CA9D"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FD280D" w:rsidRPr="00476DF1" w14:paraId="6CDFD655" w14:textId="77777777" w:rsidTr="00A23232">
        <w:trPr>
          <w:trHeight w:val="377"/>
          <w:jc w:val="center"/>
        </w:trPr>
        <w:tc>
          <w:tcPr>
            <w:tcW w:w="1354" w:type="dxa"/>
            <w:vMerge/>
            <w:tcBorders>
              <w:top w:val="single" w:sz="4" w:space="0" w:color="auto"/>
              <w:left w:val="nil"/>
              <w:bottom w:val="single" w:sz="4" w:space="0" w:color="auto"/>
              <w:right w:val="nil"/>
            </w:tcBorders>
            <w:vAlign w:val="center"/>
            <w:hideMark/>
          </w:tcPr>
          <w:p w14:paraId="6165C963" w14:textId="77777777" w:rsidR="00FD280D" w:rsidRPr="00476DF1" w:rsidRDefault="00FD280D" w:rsidP="00CE4BBE">
            <w:pPr>
              <w:spacing w:after="0" w:line="240" w:lineRule="auto"/>
              <w:rPr>
                <w:rFonts w:ascii="Times New Roman" w:eastAsia="Times New Roman" w:hAnsi="Times New Roman"/>
                <w:color w:val="000000"/>
                <w:sz w:val="20"/>
                <w:szCs w:val="20"/>
              </w:rPr>
            </w:pPr>
          </w:p>
        </w:tc>
        <w:tc>
          <w:tcPr>
            <w:tcW w:w="3464" w:type="dxa"/>
            <w:tcBorders>
              <w:top w:val="nil"/>
              <w:left w:val="nil"/>
              <w:bottom w:val="single" w:sz="4" w:space="0" w:color="auto"/>
              <w:right w:val="nil"/>
            </w:tcBorders>
            <w:shd w:val="clear" w:color="000000" w:fill="FFFFFF"/>
            <w:vAlign w:val="center"/>
            <w:hideMark/>
          </w:tcPr>
          <w:p w14:paraId="18EBCE48"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Macardia </w:t>
            </w:r>
          </w:p>
        </w:tc>
        <w:tc>
          <w:tcPr>
            <w:tcW w:w="2260" w:type="dxa"/>
            <w:tcBorders>
              <w:top w:val="nil"/>
              <w:left w:val="nil"/>
              <w:bottom w:val="single" w:sz="4" w:space="0" w:color="auto"/>
              <w:right w:val="nil"/>
            </w:tcBorders>
            <w:shd w:val="clear" w:color="000000" w:fill="FFFFFF"/>
            <w:vAlign w:val="center"/>
            <w:hideMark/>
          </w:tcPr>
          <w:p w14:paraId="2955688A"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w:t>
            </w:r>
          </w:p>
        </w:tc>
        <w:tc>
          <w:tcPr>
            <w:tcW w:w="1793" w:type="dxa"/>
            <w:tcBorders>
              <w:top w:val="nil"/>
              <w:left w:val="nil"/>
              <w:bottom w:val="single" w:sz="4" w:space="0" w:color="auto"/>
              <w:right w:val="nil"/>
            </w:tcBorders>
            <w:shd w:val="clear" w:color="000000" w:fill="FFFFFF"/>
            <w:vAlign w:val="center"/>
            <w:hideMark/>
          </w:tcPr>
          <w:p w14:paraId="4C983B71"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103" w:type="dxa"/>
            <w:tcBorders>
              <w:top w:val="nil"/>
              <w:left w:val="nil"/>
              <w:bottom w:val="single" w:sz="4" w:space="0" w:color="auto"/>
              <w:right w:val="nil"/>
            </w:tcBorders>
            <w:shd w:val="clear" w:color="000000" w:fill="FFFFFF"/>
            <w:vAlign w:val="center"/>
            <w:hideMark/>
          </w:tcPr>
          <w:p w14:paraId="072D3891"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FD280D" w:rsidRPr="00476DF1" w14:paraId="0BB3E229" w14:textId="77777777" w:rsidTr="00A23232">
        <w:trPr>
          <w:trHeight w:val="386"/>
          <w:jc w:val="center"/>
        </w:trPr>
        <w:tc>
          <w:tcPr>
            <w:tcW w:w="1354" w:type="dxa"/>
            <w:vMerge w:val="restart"/>
            <w:tcBorders>
              <w:top w:val="single" w:sz="4" w:space="0" w:color="auto"/>
              <w:left w:val="nil"/>
              <w:bottom w:val="single" w:sz="4" w:space="0" w:color="auto"/>
              <w:right w:val="nil"/>
            </w:tcBorders>
            <w:shd w:val="clear" w:color="000000" w:fill="FFFFFF"/>
            <w:vAlign w:val="center"/>
            <w:hideMark/>
          </w:tcPr>
          <w:p w14:paraId="622E7BE7"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Abbott-Laboratories</w:t>
            </w:r>
          </w:p>
        </w:tc>
        <w:tc>
          <w:tcPr>
            <w:tcW w:w="3464" w:type="dxa"/>
            <w:tcBorders>
              <w:top w:val="single" w:sz="4" w:space="0" w:color="auto"/>
              <w:left w:val="nil"/>
              <w:bottom w:val="single" w:sz="4" w:space="0" w:color="auto"/>
              <w:right w:val="nil"/>
            </w:tcBorders>
            <w:shd w:val="clear" w:color="000000" w:fill="FFFFFF"/>
            <w:vAlign w:val="center"/>
            <w:hideMark/>
          </w:tcPr>
          <w:p w14:paraId="2C544508"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Facet-Biotech</w:t>
            </w:r>
          </w:p>
        </w:tc>
        <w:tc>
          <w:tcPr>
            <w:tcW w:w="2260" w:type="dxa"/>
            <w:tcBorders>
              <w:top w:val="single" w:sz="4" w:space="0" w:color="auto"/>
              <w:left w:val="nil"/>
              <w:bottom w:val="single" w:sz="4" w:space="0" w:color="auto"/>
              <w:right w:val="nil"/>
            </w:tcBorders>
            <w:shd w:val="clear" w:color="000000" w:fill="FFFFFF"/>
            <w:vAlign w:val="center"/>
            <w:hideMark/>
          </w:tcPr>
          <w:p w14:paraId="37E8FDE7"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30</w:t>
            </w:r>
          </w:p>
        </w:tc>
        <w:tc>
          <w:tcPr>
            <w:tcW w:w="1793" w:type="dxa"/>
            <w:tcBorders>
              <w:top w:val="single" w:sz="4" w:space="0" w:color="auto"/>
              <w:left w:val="nil"/>
              <w:bottom w:val="single" w:sz="4" w:space="0" w:color="auto"/>
              <w:right w:val="nil"/>
            </w:tcBorders>
            <w:shd w:val="clear" w:color="000000" w:fill="FFFFFF"/>
            <w:vAlign w:val="center"/>
            <w:hideMark/>
          </w:tcPr>
          <w:p w14:paraId="00615107"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18</w:t>
            </w:r>
          </w:p>
        </w:tc>
        <w:tc>
          <w:tcPr>
            <w:tcW w:w="1103" w:type="dxa"/>
            <w:tcBorders>
              <w:top w:val="single" w:sz="4" w:space="0" w:color="auto"/>
              <w:left w:val="nil"/>
              <w:bottom w:val="single" w:sz="4" w:space="0" w:color="auto"/>
              <w:right w:val="nil"/>
            </w:tcBorders>
            <w:shd w:val="clear" w:color="000000" w:fill="FFFFFF"/>
            <w:vAlign w:val="center"/>
            <w:hideMark/>
          </w:tcPr>
          <w:p w14:paraId="306E1F4F"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60%</w:t>
            </w:r>
          </w:p>
        </w:tc>
      </w:tr>
      <w:tr w:rsidR="00FD280D" w:rsidRPr="00476DF1" w14:paraId="46DBFAED" w14:textId="77777777" w:rsidTr="00A23232">
        <w:trPr>
          <w:trHeight w:val="503"/>
          <w:jc w:val="center"/>
        </w:trPr>
        <w:tc>
          <w:tcPr>
            <w:tcW w:w="1354" w:type="dxa"/>
            <w:vMerge/>
            <w:tcBorders>
              <w:top w:val="single" w:sz="4" w:space="0" w:color="auto"/>
              <w:left w:val="nil"/>
              <w:bottom w:val="single" w:sz="4" w:space="0" w:color="auto"/>
              <w:right w:val="nil"/>
            </w:tcBorders>
            <w:vAlign w:val="center"/>
            <w:hideMark/>
          </w:tcPr>
          <w:p w14:paraId="0EF7F333" w14:textId="77777777" w:rsidR="00FD280D" w:rsidRPr="00476DF1" w:rsidRDefault="00FD280D" w:rsidP="00CE4BBE">
            <w:pPr>
              <w:spacing w:after="0" w:line="240" w:lineRule="auto"/>
              <w:rPr>
                <w:rFonts w:ascii="Times New Roman" w:eastAsia="Times New Roman" w:hAnsi="Times New Roman"/>
                <w:color w:val="000000"/>
                <w:sz w:val="20"/>
                <w:szCs w:val="20"/>
              </w:rPr>
            </w:pPr>
          </w:p>
        </w:tc>
        <w:tc>
          <w:tcPr>
            <w:tcW w:w="3464" w:type="dxa"/>
            <w:tcBorders>
              <w:top w:val="single" w:sz="4" w:space="0" w:color="auto"/>
              <w:left w:val="nil"/>
              <w:bottom w:val="single" w:sz="4" w:space="0" w:color="auto"/>
              <w:right w:val="nil"/>
            </w:tcBorders>
            <w:shd w:val="clear" w:color="000000" w:fill="FFFFFF"/>
            <w:vAlign w:val="center"/>
            <w:hideMark/>
          </w:tcPr>
          <w:p w14:paraId="593996C2"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 xml:space="preserve">KOS-Pharmaceuthicals </w:t>
            </w:r>
          </w:p>
        </w:tc>
        <w:tc>
          <w:tcPr>
            <w:tcW w:w="2260" w:type="dxa"/>
            <w:tcBorders>
              <w:top w:val="single" w:sz="4" w:space="0" w:color="auto"/>
              <w:left w:val="nil"/>
              <w:bottom w:val="single" w:sz="4" w:space="0" w:color="auto"/>
              <w:right w:val="nil"/>
            </w:tcBorders>
            <w:shd w:val="clear" w:color="000000" w:fill="FFFFFF"/>
            <w:vAlign w:val="center"/>
            <w:hideMark/>
          </w:tcPr>
          <w:p w14:paraId="11598944"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14</w:t>
            </w:r>
          </w:p>
        </w:tc>
        <w:tc>
          <w:tcPr>
            <w:tcW w:w="1793" w:type="dxa"/>
            <w:tcBorders>
              <w:top w:val="single" w:sz="4" w:space="0" w:color="auto"/>
              <w:left w:val="nil"/>
              <w:bottom w:val="single" w:sz="4" w:space="0" w:color="auto"/>
              <w:right w:val="nil"/>
            </w:tcBorders>
            <w:shd w:val="clear" w:color="000000" w:fill="FFFFFF"/>
            <w:vAlign w:val="center"/>
            <w:hideMark/>
          </w:tcPr>
          <w:p w14:paraId="32F3A1B0"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c>
          <w:tcPr>
            <w:tcW w:w="1103" w:type="dxa"/>
            <w:tcBorders>
              <w:top w:val="single" w:sz="4" w:space="0" w:color="auto"/>
              <w:left w:val="nil"/>
              <w:bottom w:val="single" w:sz="4" w:space="0" w:color="auto"/>
              <w:right w:val="nil"/>
            </w:tcBorders>
            <w:shd w:val="clear" w:color="000000" w:fill="FFFFFF"/>
            <w:vAlign w:val="center"/>
            <w:hideMark/>
          </w:tcPr>
          <w:p w14:paraId="478EA851" w14:textId="77777777" w:rsidR="00FD280D" w:rsidRPr="00476DF1" w:rsidRDefault="00FD280D"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7%</w:t>
            </w:r>
          </w:p>
        </w:tc>
      </w:tr>
    </w:tbl>
    <w:p w14:paraId="4B789EE5" w14:textId="77777777" w:rsidR="00581667" w:rsidRPr="00476DF1" w:rsidRDefault="00581667" w:rsidP="00CE4BBE">
      <w:pPr>
        <w:spacing w:after="0" w:line="240" w:lineRule="auto"/>
        <w:rPr>
          <w:rFonts w:ascii="Times New Roman" w:hAnsi="Times New Roman"/>
          <w:b/>
          <w:sz w:val="24"/>
          <w:szCs w:val="24"/>
        </w:rPr>
      </w:pPr>
    </w:p>
    <w:p w14:paraId="439C2F07" w14:textId="77777777" w:rsidR="00A23232" w:rsidRPr="00476DF1" w:rsidRDefault="00A23232" w:rsidP="00CE4BBE">
      <w:pPr>
        <w:spacing w:after="0" w:line="240" w:lineRule="auto"/>
        <w:rPr>
          <w:rFonts w:ascii="Times New Roman" w:hAnsi="Times New Roman"/>
          <w:b/>
          <w:sz w:val="24"/>
          <w:szCs w:val="24"/>
        </w:rPr>
      </w:pPr>
    </w:p>
    <w:p w14:paraId="28F2183B" w14:textId="77777777" w:rsidR="00581667" w:rsidRPr="00476DF1" w:rsidRDefault="00581667" w:rsidP="00CE4BBE">
      <w:pPr>
        <w:spacing w:after="0" w:line="240" w:lineRule="auto"/>
        <w:rPr>
          <w:rFonts w:ascii="Times New Roman" w:hAnsi="Times New Roman"/>
          <w:b/>
          <w:sz w:val="24"/>
          <w:szCs w:val="24"/>
        </w:rPr>
      </w:pPr>
    </w:p>
    <w:p w14:paraId="129A3143" w14:textId="22DC9DEC" w:rsidR="00416240" w:rsidRPr="00476DF1" w:rsidRDefault="00416240" w:rsidP="00CE4BBE">
      <w:pPr>
        <w:spacing w:after="0" w:line="240" w:lineRule="auto"/>
        <w:rPr>
          <w:rFonts w:ascii="Times New Roman" w:hAnsi="Times New Roman"/>
          <w:b/>
          <w:sz w:val="24"/>
          <w:szCs w:val="24"/>
        </w:rPr>
      </w:pPr>
      <w:r w:rsidRPr="00476DF1">
        <w:rPr>
          <w:rFonts w:ascii="Times New Roman" w:hAnsi="Times New Roman"/>
          <w:b/>
          <w:sz w:val="24"/>
          <w:szCs w:val="24"/>
        </w:rPr>
        <w:t xml:space="preserve">Table </w:t>
      </w:r>
      <w:r w:rsidR="001A775D" w:rsidRPr="00476DF1">
        <w:rPr>
          <w:rFonts w:ascii="Times New Roman" w:hAnsi="Times New Roman"/>
          <w:b/>
          <w:sz w:val="24"/>
          <w:szCs w:val="24"/>
        </w:rPr>
        <w:t>4</w:t>
      </w:r>
      <w:r w:rsidRPr="00476DF1">
        <w:rPr>
          <w:rFonts w:ascii="Times New Roman" w:hAnsi="Times New Roman"/>
          <w:b/>
          <w:sz w:val="24"/>
          <w:szCs w:val="24"/>
        </w:rPr>
        <w:t>: Continuation</w:t>
      </w:r>
    </w:p>
    <w:tbl>
      <w:tblPr>
        <w:tblW w:w="9634" w:type="dxa"/>
        <w:tblLook w:val="04A0" w:firstRow="1" w:lastRow="0" w:firstColumn="1" w:lastColumn="0" w:noHBand="0" w:noVBand="1"/>
      </w:tblPr>
      <w:tblGrid>
        <w:gridCol w:w="1276"/>
        <w:gridCol w:w="2552"/>
        <w:gridCol w:w="275"/>
        <w:gridCol w:w="1908"/>
        <w:gridCol w:w="2078"/>
        <w:gridCol w:w="1545"/>
      </w:tblGrid>
      <w:tr w:rsidR="00416240" w:rsidRPr="00476DF1" w14:paraId="319687FF" w14:textId="77777777" w:rsidTr="00016A93">
        <w:trPr>
          <w:trHeight w:val="505"/>
        </w:trPr>
        <w:tc>
          <w:tcPr>
            <w:tcW w:w="1276" w:type="dxa"/>
            <w:tcBorders>
              <w:top w:val="single" w:sz="4" w:space="0" w:color="auto"/>
              <w:left w:val="nil"/>
              <w:bottom w:val="single" w:sz="4" w:space="0" w:color="auto"/>
              <w:right w:val="nil"/>
            </w:tcBorders>
            <w:shd w:val="clear" w:color="000000" w:fill="FFFFFF"/>
            <w:vAlign w:val="center"/>
            <w:hideMark/>
          </w:tcPr>
          <w:p w14:paraId="6BF10483" w14:textId="77777777" w:rsidR="00416240" w:rsidRPr="00476DF1" w:rsidRDefault="00416240"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lastRenderedPageBreak/>
              <w:t>Large Enterprises</w:t>
            </w:r>
          </w:p>
        </w:tc>
        <w:tc>
          <w:tcPr>
            <w:tcW w:w="2552" w:type="dxa"/>
            <w:tcBorders>
              <w:top w:val="single" w:sz="4" w:space="0" w:color="auto"/>
              <w:left w:val="nil"/>
              <w:bottom w:val="single" w:sz="4" w:space="0" w:color="auto"/>
              <w:right w:val="nil"/>
            </w:tcBorders>
            <w:shd w:val="clear" w:color="000000" w:fill="FFFFFF"/>
            <w:vAlign w:val="center"/>
            <w:hideMark/>
          </w:tcPr>
          <w:p w14:paraId="1846F354" w14:textId="77777777" w:rsidR="00416240" w:rsidRPr="00476DF1" w:rsidRDefault="00416240"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t xml:space="preserve">  Small acquired enterprises </w:t>
            </w:r>
          </w:p>
        </w:tc>
        <w:tc>
          <w:tcPr>
            <w:tcW w:w="2183" w:type="dxa"/>
            <w:gridSpan w:val="2"/>
            <w:tcBorders>
              <w:top w:val="single" w:sz="4" w:space="0" w:color="auto"/>
              <w:left w:val="nil"/>
              <w:bottom w:val="single" w:sz="4" w:space="0" w:color="auto"/>
              <w:right w:val="nil"/>
            </w:tcBorders>
            <w:shd w:val="clear" w:color="000000" w:fill="FFFFFF"/>
            <w:vAlign w:val="center"/>
            <w:hideMark/>
          </w:tcPr>
          <w:p w14:paraId="74F199FB" w14:textId="77777777" w:rsidR="00416240" w:rsidRPr="00476DF1" w:rsidRDefault="00416240"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t>Total of inventors in the acquired companies (B)</w:t>
            </w:r>
          </w:p>
        </w:tc>
        <w:tc>
          <w:tcPr>
            <w:tcW w:w="2078" w:type="dxa"/>
            <w:tcBorders>
              <w:top w:val="single" w:sz="4" w:space="0" w:color="auto"/>
              <w:left w:val="nil"/>
              <w:bottom w:val="single" w:sz="4" w:space="0" w:color="auto"/>
              <w:right w:val="nil"/>
            </w:tcBorders>
            <w:shd w:val="clear" w:color="000000" w:fill="FFFFFF"/>
            <w:vAlign w:val="center"/>
            <w:hideMark/>
          </w:tcPr>
          <w:p w14:paraId="73AD226C" w14:textId="77777777" w:rsidR="00416240" w:rsidRPr="00476DF1" w:rsidRDefault="00416240"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t>Inventors that started to patent  for the acquiring enterprise</w:t>
            </w:r>
          </w:p>
          <w:p w14:paraId="540E8D55" w14:textId="77777777" w:rsidR="00416240" w:rsidRPr="00476DF1" w:rsidRDefault="00416240"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t xml:space="preserve">(C) </w:t>
            </w:r>
          </w:p>
        </w:tc>
        <w:tc>
          <w:tcPr>
            <w:tcW w:w="1545" w:type="dxa"/>
            <w:tcBorders>
              <w:top w:val="single" w:sz="4" w:space="0" w:color="auto"/>
              <w:left w:val="nil"/>
              <w:bottom w:val="single" w:sz="4" w:space="0" w:color="auto"/>
              <w:right w:val="nil"/>
            </w:tcBorders>
            <w:shd w:val="clear" w:color="000000" w:fill="FFFFFF"/>
            <w:vAlign w:val="center"/>
            <w:hideMark/>
          </w:tcPr>
          <w:p w14:paraId="4D50D8B5" w14:textId="77777777" w:rsidR="00416240" w:rsidRPr="00476DF1" w:rsidRDefault="00416240" w:rsidP="00CE4BBE">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b/>
                <w:bCs/>
                <w:color w:val="000000"/>
                <w:sz w:val="20"/>
                <w:szCs w:val="20"/>
              </w:rPr>
              <w:t>Use of Inventors (C/B)</w:t>
            </w:r>
          </w:p>
        </w:tc>
      </w:tr>
      <w:tr w:rsidR="00A23232" w:rsidRPr="00476DF1" w14:paraId="13802E10" w14:textId="77777777" w:rsidTr="00F72D19">
        <w:trPr>
          <w:trHeight w:val="505"/>
        </w:trPr>
        <w:tc>
          <w:tcPr>
            <w:tcW w:w="1276" w:type="dxa"/>
            <w:vMerge w:val="restart"/>
            <w:tcBorders>
              <w:top w:val="single" w:sz="4" w:space="0" w:color="auto"/>
              <w:left w:val="nil"/>
              <w:right w:val="nil"/>
            </w:tcBorders>
            <w:shd w:val="clear" w:color="000000" w:fill="FFFFFF"/>
            <w:vAlign w:val="center"/>
          </w:tcPr>
          <w:p w14:paraId="3856AF1F" w14:textId="30E3C0C6" w:rsidR="00A23232" w:rsidRPr="00476DF1" w:rsidRDefault="00A23232" w:rsidP="00A23232">
            <w:pPr>
              <w:spacing w:after="0" w:line="240" w:lineRule="auto"/>
              <w:jc w:val="center"/>
              <w:rPr>
                <w:rFonts w:ascii="Times New Roman" w:eastAsia="Times New Roman" w:hAnsi="Times New Roman"/>
                <w:bCs/>
                <w:color w:val="000000"/>
                <w:sz w:val="20"/>
                <w:szCs w:val="20"/>
              </w:rPr>
            </w:pPr>
            <w:r w:rsidRPr="00476DF1">
              <w:rPr>
                <w:rFonts w:ascii="Times New Roman" w:eastAsia="Times New Roman" w:hAnsi="Times New Roman"/>
                <w:bCs/>
                <w:color w:val="000000"/>
                <w:sz w:val="20"/>
                <w:szCs w:val="20"/>
              </w:rPr>
              <w:t>J&amp;J</w:t>
            </w:r>
          </w:p>
        </w:tc>
        <w:tc>
          <w:tcPr>
            <w:tcW w:w="2552" w:type="dxa"/>
            <w:tcBorders>
              <w:top w:val="single" w:sz="4" w:space="0" w:color="auto"/>
              <w:left w:val="nil"/>
              <w:bottom w:val="single" w:sz="4" w:space="0" w:color="auto"/>
              <w:right w:val="nil"/>
            </w:tcBorders>
            <w:shd w:val="clear" w:color="000000" w:fill="FFFFFF"/>
            <w:vAlign w:val="center"/>
          </w:tcPr>
          <w:p w14:paraId="708902E3" w14:textId="14FAA99A"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 xml:space="preserve">TransForm Pharmaceuticals </w:t>
            </w:r>
          </w:p>
        </w:tc>
        <w:tc>
          <w:tcPr>
            <w:tcW w:w="2183" w:type="dxa"/>
            <w:gridSpan w:val="2"/>
            <w:tcBorders>
              <w:top w:val="single" w:sz="4" w:space="0" w:color="auto"/>
              <w:left w:val="nil"/>
              <w:bottom w:val="single" w:sz="4" w:space="0" w:color="auto"/>
              <w:right w:val="nil"/>
            </w:tcBorders>
            <w:shd w:val="clear" w:color="000000" w:fill="FFFFFF"/>
            <w:vAlign w:val="center"/>
          </w:tcPr>
          <w:p w14:paraId="5340BB5F" w14:textId="6F49375C"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33</w:t>
            </w:r>
          </w:p>
        </w:tc>
        <w:tc>
          <w:tcPr>
            <w:tcW w:w="2078" w:type="dxa"/>
            <w:tcBorders>
              <w:top w:val="single" w:sz="4" w:space="0" w:color="auto"/>
              <w:left w:val="nil"/>
              <w:bottom w:val="single" w:sz="4" w:space="0" w:color="auto"/>
              <w:right w:val="nil"/>
            </w:tcBorders>
            <w:shd w:val="clear" w:color="000000" w:fill="FFFFFF"/>
            <w:vAlign w:val="center"/>
          </w:tcPr>
          <w:p w14:paraId="7560FD8E" w14:textId="66DDC107"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8</w:t>
            </w:r>
          </w:p>
        </w:tc>
        <w:tc>
          <w:tcPr>
            <w:tcW w:w="1545" w:type="dxa"/>
            <w:tcBorders>
              <w:top w:val="single" w:sz="4" w:space="0" w:color="auto"/>
              <w:left w:val="nil"/>
              <w:bottom w:val="single" w:sz="4" w:space="0" w:color="auto"/>
              <w:right w:val="nil"/>
            </w:tcBorders>
            <w:shd w:val="clear" w:color="000000" w:fill="FFFFFF"/>
            <w:vAlign w:val="center"/>
          </w:tcPr>
          <w:p w14:paraId="24EC2CD2" w14:textId="64430614"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24%</w:t>
            </w:r>
          </w:p>
        </w:tc>
      </w:tr>
      <w:tr w:rsidR="00A23232" w:rsidRPr="00476DF1" w14:paraId="00E4804F" w14:textId="77777777" w:rsidTr="00A23232">
        <w:trPr>
          <w:trHeight w:val="441"/>
        </w:trPr>
        <w:tc>
          <w:tcPr>
            <w:tcW w:w="1276" w:type="dxa"/>
            <w:vMerge/>
            <w:tcBorders>
              <w:left w:val="nil"/>
              <w:right w:val="nil"/>
            </w:tcBorders>
            <w:shd w:val="clear" w:color="000000" w:fill="FFFFFF"/>
            <w:vAlign w:val="center"/>
          </w:tcPr>
          <w:p w14:paraId="19ADC072" w14:textId="77777777" w:rsidR="00A23232" w:rsidRPr="00476DF1" w:rsidRDefault="00A23232" w:rsidP="00A23232">
            <w:pPr>
              <w:spacing w:after="0" w:line="240" w:lineRule="auto"/>
              <w:jc w:val="center"/>
              <w:rPr>
                <w:rFonts w:ascii="Times New Roman" w:eastAsia="Times New Roman" w:hAnsi="Times New Roman"/>
                <w:b/>
                <w:bCs/>
                <w:color w:val="000000"/>
                <w:sz w:val="20"/>
                <w:szCs w:val="20"/>
              </w:rPr>
            </w:pPr>
          </w:p>
        </w:tc>
        <w:tc>
          <w:tcPr>
            <w:tcW w:w="2552" w:type="dxa"/>
            <w:tcBorders>
              <w:top w:val="single" w:sz="4" w:space="0" w:color="auto"/>
              <w:left w:val="nil"/>
              <w:bottom w:val="single" w:sz="4" w:space="0" w:color="auto"/>
              <w:right w:val="nil"/>
            </w:tcBorders>
            <w:shd w:val="clear" w:color="000000" w:fill="FFFFFF"/>
            <w:vAlign w:val="center"/>
          </w:tcPr>
          <w:p w14:paraId="39BC95C7" w14:textId="7A4D139D"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 xml:space="preserve">Crucell </w:t>
            </w:r>
          </w:p>
        </w:tc>
        <w:tc>
          <w:tcPr>
            <w:tcW w:w="2183" w:type="dxa"/>
            <w:gridSpan w:val="2"/>
            <w:tcBorders>
              <w:top w:val="single" w:sz="4" w:space="0" w:color="auto"/>
              <w:left w:val="nil"/>
              <w:bottom w:val="single" w:sz="4" w:space="0" w:color="auto"/>
              <w:right w:val="nil"/>
            </w:tcBorders>
            <w:shd w:val="clear" w:color="000000" w:fill="FFFFFF"/>
            <w:vAlign w:val="center"/>
          </w:tcPr>
          <w:p w14:paraId="12CACE42" w14:textId="79F672E1"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81</w:t>
            </w:r>
          </w:p>
        </w:tc>
        <w:tc>
          <w:tcPr>
            <w:tcW w:w="2078" w:type="dxa"/>
            <w:tcBorders>
              <w:top w:val="single" w:sz="4" w:space="0" w:color="auto"/>
              <w:left w:val="nil"/>
              <w:bottom w:val="single" w:sz="4" w:space="0" w:color="auto"/>
              <w:right w:val="nil"/>
            </w:tcBorders>
            <w:shd w:val="clear" w:color="000000" w:fill="FFFFFF"/>
            <w:vAlign w:val="center"/>
          </w:tcPr>
          <w:p w14:paraId="09578116" w14:textId="7EA223E3"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1</w:t>
            </w:r>
          </w:p>
        </w:tc>
        <w:tc>
          <w:tcPr>
            <w:tcW w:w="1545" w:type="dxa"/>
            <w:tcBorders>
              <w:top w:val="single" w:sz="4" w:space="0" w:color="auto"/>
              <w:left w:val="nil"/>
              <w:bottom w:val="single" w:sz="4" w:space="0" w:color="auto"/>
              <w:right w:val="nil"/>
            </w:tcBorders>
            <w:shd w:val="clear" w:color="000000" w:fill="FFFFFF"/>
            <w:vAlign w:val="center"/>
          </w:tcPr>
          <w:p w14:paraId="7CFFEAED" w14:textId="2D47A8F0"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1%</w:t>
            </w:r>
          </w:p>
        </w:tc>
      </w:tr>
      <w:tr w:rsidR="00A23232" w:rsidRPr="00476DF1" w14:paraId="0C09F59C" w14:textId="77777777" w:rsidTr="00A23232">
        <w:trPr>
          <w:trHeight w:val="364"/>
        </w:trPr>
        <w:tc>
          <w:tcPr>
            <w:tcW w:w="1276" w:type="dxa"/>
            <w:vMerge/>
            <w:tcBorders>
              <w:left w:val="nil"/>
              <w:right w:val="nil"/>
            </w:tcBorders>
            <w:shd w:val="clear" w:color="000000" w:fill="FFFFFF"/>
            <w:vAlign w:val="center"/>
          </w:tcPr>
          <w:p w14:paraId="5D838B81" w14:textId="77777777" w:rsidR="00A23232" w:rsidRPr="00476DF1" w:rsidRDefault="00A23232" w:rsidP="00A23232">
            <w:pPr>
              <w:spacing w:after="0" w:line="240" w:lineRule="auto"/>
              <w:jc w:val="center"/>
              <w:rPr>
                <w:rFonts w:ascii="Times New Roman" w:eastAsia="Times New Roman" w:hAnsi="Times New Roman"/>
                <w:b/>
                <w:bCs/>
                <w:color w:val="000000"/>
                <w:sz w:val="20"/>
                <w:szCs w:val="20"/>
              </w:rPr>
            </w:pPr>
          </w:p>
        </w:tc>
        <w:tc>
          <w:tcPr>
            <w:tcW w:w="2552" w:type="dxa"/>
            <w:tcBorders>
              <w:top w:val="single" w:sz="4" w:space="0" w:color="auto"/>
              <w:left w:val="nil"/>
              <w:bottom w:val="single" w:sz="4" w:space="0" w:color="auto"/>
              <w:right w:val="nil"/>
            </w:tcBorders>
            <w:shd w:val="clear" w:color="000000" w:fill="FFFFFF"/>
            <w:vAlign w:val="center"/>
          </w:tcPr>
          <w:p w14:paraId="1A8BBF63" w14:textId="3128C133"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 xml:space="preserve">Omrix </w:t>
            </w:r>
          </w:p>
        </w:tc>
        <w:tc>
          <w:tcPr>
            <w:tcW w:w="2183" w:type="dxa"/>
            <w:gridSpan w:val="2"/>
            <w:tcBorders>
              <w:top w:val="single" w:sz="4" w:space="0" w:color="auto"/>
              <w:left w:val="nil"/>
              <w:bottom w:val="single" w:sz="4" w:space="0" w:color="auto"/>
              <w:right w:val="nil"/>
            </w:tcBorders>
            <w:shd w:val="clear" w:color="000000" w:fill="FFFFFF"/>
            <w:vAlign w:val="center"/>
          </w:tcPr>
          <w:p w14:paraId="7E3A058A" w14:textId="03889C58"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22</w:t>
            </w:r>
          </w:p>
        </w:tc>
        <w:tc>
          <w:tcPr>
            <w:tcW w:w="2078" w:type="dxa"/>
            <w:tcBorders>
              <w:top w:val="single" w:sz="4" w:space="0" w:color="auto"/>
              <w:left w:val="nil"/>
              <w:bottom w:val="single" w:sz="4" w:space="0" w:color="auto"/>
              <w:right w:val="nil"/>
            </w:tcBorders>
            <w:shd w:val="clear" w:color="000000" w:fill="FFFFFF"/>
            <w:vAlign w:val="center"/>
          </w:tcPr>
          <w:p w14:paraId="12F37167" w14:textId="2AE29524"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0</w:t>
            </w:r>
          </w:p>
        </w:tc>
        <w:tc>
          <w:tcPr>
            <w:tcW w:w="1545" w:type="dxa"/>
            <w:tcBorders>
              <w:top w:val="single" w:sz="4" w:space="0" w:color="auto"/>
              <w:left w:val="nil"/>
              <w:bottom w:val="single" w:sz="4" w:space="0" w:color="auto"/>
              <w:right w:val="nil"/>
            </w:tcBorders>
            <w:shd w:val="clear" w:color="000000" w:fill="FFFFFF"/>
            <w:vAlign w:val="center"/>
          </w:tcPr>
          <w:p w14:paraId="2052300C" w14:textId="51805042"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0%</w:t>
            </w:r>
          </w:p>
        </w:tc>
      </w:tr>
      <w:tr w:rsidR="00A23232" w:rsidRPr="00476DF1" w14:paraId="1F688311" w14:textId="77777777" w:rsidTr="00A23232">
        <w:trPr>
          <w:trHeight w:val="272"/>
        </w:trPr>
        <w:tc>
          <w:tcPr>
            <w:tcW w:w="1276" w:type="dxa"/>
            <w:vMerge/>
            <w:tcBorders>
              <w:left w:val="nil"/>
              <w:right w:val="nil"/>
            </w:tcBorders>
            <w:shd w:val="clear" w:color="000000" w:fill="FFFFFF"/>
            <w:vAlign w:val="center"/>
          </w:tcPr>
          <w:p w14:paraId="43C46671" w14:textId="77777777" w:rsidR="00A23232" w:rsidRPr="00476DF1" w:rsidRDefault="00A23232" w:rsidP="00A23232">
            <w:pPr>
              <w:spacing w:after="0" w:line="240" w:lineRule="auto"/>
              <w:jc w:val="center"/>
              <w:rPr>
                <w:rFonts w:ascii="Times New Roman" w:eastAsia="Times New Roman" w:hAnsi="Times New Roman"/>
                <w:b/>
                <w:bCs/>
                <w:color w:val="000000"/>
                <w:sz w:val="20"/>
                <w:szCs w:val="20"/>
              </w:rPr>
            </w:pPr>
          </w:p>
        </w:tc>
        <w:tc>
          <w:tcPr>
            <w:tcW w:w="2552" w:type="dxa"/>
            <w:tcBorders>
              <w:top w:val="single" w:sz="4" w:space="0" w:color="auto"/>
              <w:left w:val="nil"/>
              <w:bottom w:val="single" w:sz="4" w:space="0" w:color="auto"/>
              <w:right w:val="nil"/>
            </w:tcBorders>
            <w:shd w:val="clear" w:color="000000" w:fill="FFFFFF"/>
            <w:vAlign w:val="center"/>
          </w:tcPr>
          <w:p w14:paraId="609AD8C3" w14:textId="4293C712"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 xml:space="preserve">Respivert </w:t>
            </w:r>
          </w:p>
        </w:tc>
        <w:tc>
          <w:tcPr>
            <w:tcW w:w="2183" w:type="dxa"/>
            <w:gridSpan w:val="2"/>
            <w:tcBorders>
              <w:top w:val="single" w:sz="4" w:space="0" w:color="auto"/>
              <w:left w:val="nil"/>
              <w:bottom w:val="single" w:sz="4" w:space="0" w:color="auto"/>
              <w:right w:val="nil"/>
            </w:tcBorders>
            <w:shd w:val="clear" w:color="000000" w:fill="FFFFFF"/>
            <w:vAlign w:val="center"/>
          </w:tcPr>
          <w:p w14:paraId="2F7A9745" w14:textId="3A48E83D"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15</w:t>
            </w:r>
          </w:p>
        </w:tc>
        <w:tc>
          <w:tcPr>
            <w:tcW w:w="2078" w:type="dxa"/>
            <w:tcBorders>
              <w:top w:val="single" w:sz="4" w:space="0" w:color="auto"/>
              <w:left w:val="nil"/>
              <w:bottom w:val="single" w:sz="4" w:space="0" w:color="auto"/>
              <w:right w:val="nil"/>
            </w:tcBorders>
            <w:shd w:val="clear" w:color="000000" w:fill="FFFFFF"/>
            <w:vAlign w:val="center"/>
          </w:tcPr>
          <w:p w14:paraId="0D09F129" w14:textId="1A0238D0"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0</w:t>
            </w:r>
          </w:p>
        </w:tc>
        <w:tc>
          <w:tcPr>
            <w:tcW w:w="1545" w:type="dxa"/>
            <w:tcBorders>
              <w:top w:val="single" w:sz="4" w:space="0" w:color="auto"/>
              <w:left w:val="nil"/>
              <w:bottom w:val="single" w:sz="4" w:space="0" w:color="auto"/>
              <w:right w:val="nil"/>
            </w:tcBorders>
            <w:shd w:val="clear" w:color="000000" w:fill="FFFFFF"/>
            <w:vAlign w:val="center"/>
          </w:tcPr>
          <w:p w14:paraId="5175631F" w14:textId="624A566E"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0%</w:t>
            </w:r>
          </w:p>
        </w:tc>
      </w:tr>
      <w:tr w:rsidR="00A23232" w:rsidRPr="00476DF1" w14:paraId="68964849" w14:textId="77777777" w:rsidTr="00A23232">
        <w:trPr>
          <w:trHeight w:val="180"/>
        </w:trPr>
        <w:tc>
          <w:tcPr>
            <w:tcW w:w="1276" w:type="dxa"/>
            <w:vMerge/>
            <w:tcBorders>
              <w:left w:val="nil"/>
              <w:bottom w:val="single" w:sz="4" w:space="0" w:color="auto"/>
              <w:right w:val="nil"/>
            </w:tcBorders>
            <w:shd w:val="clear" w:color="000000" w:fill="FFFFFF"/>
            <w:vAlign w:val="center"/>
          </w:tcPr>
          <w:p w14:paraId="1A7F3C2B" w14:textId="77777777" w:rsidR="00A23232" w:rsidRPr="00476DF1" w:rsidRDefault="00A23232" w:rsidP="00A23232">
            <w:pPr>
              <w:spacing w:after="0" w:line="240" w:lineRule="auto"/>
              <w:jc w:val="center"/>
              <w:rPr>
                <w:rFonts w:ascii="Times New Roman" w:eastAsia="Times New Roman" w:hAnsi="Times New Roman"/>
                <w:b/>
                <w:bCs/>
                <w:color w:val="000000"/>
                <w:sz w:val="20"/>
                <w:szCs w:val="20"/>
              </w:rPr>
            </w:pPr>
          </w:p>
        </w:tc>
        <w:tc>
          <w:tcPr>
            <w:tcW w:w="2552" w:type="dxa"/>
            <w:tcBorders>
              <w:top w:val="single" w:sz="4" w:space="0" w:color="auto"/>
              <w:left w:val="nil"/>
              <w:bottom w:val="single" w:sz="4" w:space="0" w:color="auto"/>
              <w:right w:val="nil"/>
            </w:tcBorders>
            <w:shd w:val="clear" w:color="000000" w:fill="FFFFFF"/>
            <w:vAlign w:val="center"/>
          </w:tcPr>
          <w:p w14:paraId="1E340195" w14:textId="58E2B61E"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 xml:space="preserve">Corimmun </w:t>
            </w:r>
          </w:p>
        </w:tc>
        <w:tc>
          <w:tcPr>
            <w:tcW w:w="2183" w:type="dxa"/>
            <w:gridSpan w:val="2"/>
            <w:tcBorders>
              <w:top w:val="single" w:sz="4" w:space="0" w:color="auto"/>
              <w:left w:val="nil"/>
              <w:bottom w:val="single" w:sz="4" w:space="0" w:color="auto"/>
              <w:right w:val="nil"/>
            </w:tcBorders>
            <w:shd w:val="clear" w:color="000000" w:fill="FFFFFF"/>
            <w:vAlign w:val="center"/>
          </w:tcPr>
          <w:p w14:paraId="4C2D814D" w14:textId="0C7175EB"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5</w:t>
            </w:r>
          </w:p>
        </w:tc>
        <w:tc>
          <w:tcPr>
            <w:tcW w:w="2078" w:type="dxa"/>
            <w:tcBorders>
              <w:top w:val="single" w:sz="4" w:space="0" w:color="auto"/>
              <w:left w:val="nil"/>
              <w:bottom w:val="single" w:sz="4" w:space="0" w:color="auto"/>
              <w:right w:val="nil"/>
            </w:tcBorders>
            <w:shd w:val="clear" w:color="000000" w:fill="FFFFFF"/>
            <w:vAlign w:val="center"/>
          </w:tcPr>
          <w:p w14:paraId="08C64E74" w14:textId="77C563C0"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0</w:t>
            </w:r>
          </w:p>
        </w:tc>
        <w:tc>
          <w:tcPr>
            <w:tcW w:w="1545" w:type="dxa"/>
            <w:tcBorders>
              <w:top w:val="single" w:sz="4" w:space="0" w:color="auto"/>
              <w:left w:val="nil"/>
              <w:bottom w:val="single" w:sz="4" w:space="0" w:color="auto"/>
              <w:right w:val="nil"/>
            </w:tcBorders>
            <w:shd w:val="clear" w:color="000000" w:fill="FFFFFF"/>
            <w:vAlign w:val="center"/>
          </w:tcPr>
          <w:p w14:paraId="3ABC65B3" w14:textId="6A90C378" w:rsidR="00A23232" w:rsidRPr="00476DF1" w:rsidRDefault="00A23232" w:rsidP="00A23232">
            <w:pPr>
              <w:spacing w:after="0" w:line="240" w:lineRule="auto"/>
              <w:jc w:val="center"/>
              <w:rPr>
                <w:rFonts w:ascii="Times New Roman" w:eastAsia="Times New Roman" w:hAnsi="Times New Roman"/>
                <w:b/>
                <w:bCs/>
                <w:color w:val="000000"/>
                <w:sz w:val="20"/>
                <w:szCs w:val="20"/>
              </w:rPr>
            </w:pPr>
            <w:r w:rsidRPr="00476DF1">
              <w:rPr>
                <w:rFonts w:ascii="Times New Roman" w:eastAsia="Times New Roman" w:hAnsi="Times New Roman"/>
                <w:color w:val="000000"/>
                <w:sz w:val="20"/>
                <w:szCs w:val="20"/>
              </w:rPr>
              <w:t>0%</w:t>
            </w:r>
          </w:p>
        </w:tc>
      </w:tr>
      <w:tr w:rsidR="00A23232" w:rsidRPr="00476DF1" w14:paraId="5FE62710" w14:textId="77777777" w:rsidTr="00016A93">
        <w:trPr>
          <w:trHeight w:val="304"/>
        </w:trPr>
        <w:tc>
          <w:tcPr>
            <w:tcW w:w="1276" w:type="dxa"/>
            <w:vMerge w:val="restart"/>
            <w:tcBorders>
              <w:top w:val="nil"/>
              <w:left w:val="nil"/>
              <w:bottom w:val="single" w:sz="4" w:space="0" w:color="auto"/>
              <w:right w:val="nil"/>
            </w:tcBorders>
            <w:shd w:val="clear" w:color="000000" w:fill="FFFFFF"/>
            <w:vAlign w:val="center"/>
            <w:hideMark/>
          </w:tcPr>
          <w:p w14:paraId="2D3D5AAB"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Merck</w:t>
            </w:r>
          </w:p>
        </w:tc>
        <w:tc>
          <w:tcPr>
            <w:tcW w:w="2827" w:type="dxa"/>
            <w:gridSpan w:val="2"/>
            <w:tcBorders>
              <w:top w:val="nil"/>
              <w:left w:val="nil"/>
              <w:bottom w:val="single" w:sz="4" w:space="0" w:color="auto"/>
              <w:right w:val="nil"/>
            </w:tcBorders>
            <w:shd w:val="clear" w:color="000000" w:fill="FFFFFF"/>
            <w:noWrap/>
            <w:vAlign w:val="center"/>
            <w:hideMark/>
          </w:tcPr>
          <w:p w14:paraId="25CC1110"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Glycofi</w:t>
            </w:r>
          </w:p>
        </w:tc>
        <w:tc>
          <w:tcPr>
            <w:tcW w:w="1908" w:type="dxa"/>
            <w:tcBorders>
              <w:top w:val="nil"/>
              <w:left w:val="nil"/>
              <w:bottom w:val="single" w:sz="4" w:space="0" w:color="auto"/>
              <w:right w:val="nil"/>
            </w:tcBorders>
            <w:shd w:val="clear" w:color="000000" w:fill="FFFFFF"/>
            <w:noWrap/>
            <w:vAlign w:val="center"/>
            <w:hideMark/>
          </w:tcPr>
          <w:p w14:paraId="20B75C78"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13</w:t>
            </w:r>
          </w:p>
        </w:tc>
        <w:tc>
          <w:tcPr>
            <w:tcW w:w="2078" w:type="dxa"/>
            <w:tcBorders>
              <w:top w:val="nil"/>
              <w:left w:val="nil"/>
              <w:bottom w:val="single" w:sz="4" w:space="0" w:color="auto"/>
              <w:right w:val="nil"/>
            </w:tcBorders>
            <w:shd w:val="clear" w:color="000000" w:fill="FFFFFF"/>
            <w:noWrap/>
            <w:vAlign w:val="center"/>
            <w:hideMark/>
          </w:tcPr>
          <w:p w14:paraId="35633046"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10</w:t>
            </w:r>
          </w:p>
        </w:tc>
        <w:tc>
          <w:tcPr>
            <w:tcW w:w="1545" w:type="dxa"/>
            <w:tcBorders>
              <w:top w:val="nil"/>
              <w:left w:val="nil"/>
              <w:bottom w:val="single" w:sz="4" w:space="0" w:color="auto"/>
              <w:right w:val="nil"/>
            </w:tcBorders>
            <w:shd w:val="clear" w:color="000000" w:fill="FFFFFF"/>
            <w:noWrap/>
            <w:vAlign w:val="center"/>
            <w:hideMark/>
          </w:tcPr>
          <w:p w14:paraId="393FCE9D"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77%</w:t>
            </w:r>
          </w:p>
        </w:tc>
      </w:tr>
      <w:tr w:rsidR="00A23232" w:rsidRPr="00476DF1" w14:paraId="262A0388" w14:textId="77777777" w:rsidTr="00016A93">
        <w:trPr>
          <w:trHeight w:val="317"/>
        </w:trPr>
        <w:tc>
          <w:tcPr>
            <w:tcW w:w="1276" w:type="dxa"/>
            <w:vMerge/>
            <w:tcBorders>
              <w:top w:val="nil"/>
              <w:left w:val="nil"/>
              <w:bottom w:val="single" w:sz="4" w:space="0" w:color="auto"/>
              <w:right w:val="nil"/>
            </w:tcBorders>
            <w:vAlign w:val="center"/>
            <w:hideMark/>
          </w:tcPr>
          <w:p w14:paraId="1B757C56"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noWrap/>
            <w:vAlign w:val="center"/>
            <w:hideMark/>
          </w:tcPr>
          <w:p w14:paraId="052FBBD3"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Abmaxis</w:t>
            </w:r>
          </w:p>
        </w:tc>
        <w:tc>
          <w:tcPr>
            <w:tcW w:w="1908" w:type="dxa"/>
            <w:tcBorders>
              <w:top w:val="nil"/>
              <w:left w:val="nil"/>
              <w:bottom w:val="single" w:sz="4" w:space="0" w:color="auto"/>
              <w:right w:val="nil"/>
            </w:tcBorders>
            <w:shd w:val="clear" w:color="000000" w:fill="FFFFFF"/>
            <w:noWrap/>
            <w:vAlign w:val="center"/>
            <w:hideMark/>
          </w:tcPr>
          <w:p w14:paraId="13453332"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10</w:t>
            </w:r>
          </w:p>
        </w:tc>
        <w:tc>
          <w:tcPr>
            <w:tcW w:w="2078" w:type="dxa"/>
            <w:tcBorders>
              <w:top w:val="nil"/>
              <w:left w:val="nil"/>
              <w:bottom w:val="single" w:sz="4" w:space="0" w:color="auto"/>
              <w:right w:val="nil"/>
            </w:tcBorders>
            <w:shd w:val="clear" w:color="000000" w:fill="FFFFFF"/>
            <w:noWrap/>
            <w:vAlign w:val="center"/>
            <w:hideMark/>
          </w:tcPr>
          <w:p w14:paraId="60C9B8B7"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6</w:t>
            </w:r>
          </w:p>
        </w:tc>
        <w:tc>
          <w:tcPr>
            <w:tcW w:w="1545" w:type="dxa"/>
            <w:tcBorders>
              <w:top w:val="nil"/>
              <w:left w:val="nil"/>
              <w:bottom w:val="single" w:sz="4" w:space="0" w:color="auto"/>
              <w:right w:val="nil"/>
            </w:tcBorders>
            <w:shd w:val="clear" w:color="000000" w:fill="FFFFFF"/>
            <w:noWrap/>
            <w:vAlign w:val="center"/>
            <w:hideMark/>
          </w:tcPr>
          <w:p w14:paraId="35C01D1F"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60%</w:t>
            </w:r>
          </w:p>
        </w:tc>
      </w:tr>
      <w:tr w:rsidR="00A23232" w:rsidRPr="00476DF1" w14:paraId="2613295D" w14:textId="77777777" w:rsidTr="00016A93">
        <w:trPr>
          <w:trHeight w:val="309"/>
        </w:trPr>
        <w:tc>
          <w:tcPr>
            <w:tcW w:w="1276" w:type="dxa"/>
            <w:vMerge/>
            <w:tcBorders>
              <w:top w:val="nil"/>
              <w:left w:val="nil"/>
              <w:bottom w:val="single" w:sz="4" w:space="0" w:color="auto"/>
              <w:right w:val="nil"/>
            </w:tcBorders>
            <w:vAlign w:val="center"/>
            <w:hideMark/>
          </w:tcPr>
          <w:p w14:paraId="34D64702"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1B6EDFF6"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Sirna (Ribozyme)</w:t>
            </w:r>
          </w:p>
        </w:tc>
        <w:tc>
          <w:tcPr>
            <w:tcW w:w="1908" w:type="dxa"/>
            <w:tcBorders>
              <w:top w:val="nil"/>
              <w:left w:val="nil"/>
              <w:bottom w:val="single" w:sz="4" w:space="0" w:color="auto"/>
              <w:right w:val="nil"/>
            </w:tcBorders>
            <w:shd w:val="clear" w:color="000000" w:fill="FFFFFF"/>
            <w:noWrap/>
            <w:vAlign w:val="center"/>
            <w:hideMark/>
          </w:tcPr>
          <w:p w14:paraId="079297BE"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112</w:t>
            </w:r>
          </w:p>
        </w:tc>
        <w:tc>
          <w:tcPr>
            <w:tcW w:w="2078" w:type="dxa"/>
            <w:tcBorders>
              <w:top w:val="nil"/>
              <w:left w:val="nil"/>
              <w:bottom w:val="single" w:sz="4" w:space="0" w:color="auto"/>
              <w:right w:val="nil"/>
            </w:tcBorders>
            <w:shd w:val="clear" w:color="000000" w:fill="FFFFFF"/>
            <w:noWrap/>
            <w:vAlign w:val="center"/>
            <w:hideMark/>
          </w:tcPr>
          <w:p w14:paraId="1DD4106B"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12</w:t>
            </w:r>
          </w:p>
        </w:tc>
        <w:tc>
          <w:tcPr>
            <w:tcW w:w="1545" w:type="dxa"/>
            <w:tcBorders>
              <w:top w:val="nil"/>
              <w:left w:val="nil"/>
              <w:bottom w:val="single" w:sz="4" w:space="0" w:color="auto"/>
              <w:right w:val="nil"/>
            </w:tcBorders>
            <w:shd w:val="clear" w:color="000000" w:fill="FFFFFF"/>
            <w:noWrap/>
            <w:vAlign w:val="center"/>
            <w:hideMark/>
          </w:tcPr>
          <w:p w14:paraId="6B869BC8"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11%</w:t>
            </w:r>
          </w:p>
        </w:tc>
      </w:tr>
      <w:tr w:rsidR="00A23232" w:rsidRPr="00476DF1" w14:paraId="05664DF2" w14:textId="77777777" w:rsidTr="00016A93">
        <w:trPr>
          <w:trHeight w:val="312"/>
        </w:trPr>
        <w:tc>
          <w:tcPr>
            <w:tcW w:w="1276" w:type="dxa"/>
            <w:vMerge/>
            <w:tcBorders>
              <w:top w:val="nil"/>
              <w:left w:val="nil"/>
              <w:bottom w:val="single" w:sz="4" w:space="0" w:color="auto"/>
              <w:right w:val="nil"/>
            </w:tcBorders>
            <w:vAlign w:val="center"/>
            <w:hideMark/>
          </w:tcPr>
          <w:p w14:paraId="4826A93B"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noWrap/>
            <w:vAlign w:val="center"/>
            <w:hideMark/>
          </w:tcPr>
          <w:p w14:paraId="0E370B1D"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Inspire</w:t>
            </w:r>
          </w:p>
        </w:tc>
        <w:tc>
          <w:tcPr>
            <w:tcW w:w="1908" w:type="dxa"/>
            <w:tcBorders>
              <w:top w:val="nil"/>
              <w:left w:val="nil"/>
              <w:bottom w:val="single" w:sz="4" w:space="0" w:color="auto"/>
              <w:right w:val="nil"/>
            </w:tcBorders>
            <w:shd w:val="clear" w:color="000000" w:fill="FFFFFF"/>
            <w:noWrap/>
            <w:vAlign w:val="center"/>
            <w:hideMark/>
          </w:tcPr>
          <w:p w14:paraId="70B2005E"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80</w:t>
            </w:r>
          </w:p>
        </w:tc>
        <w:tc>
          <w:tcPr>
            <w:tcW w:w="2078" w:type="dxa"/>
            <w:tcBorders>
              <w:top w:val="nil"/>
              <w:left w:val="nil"/>
              <w:bottom w:val="single" w:sz="4" w:space="0" w:color="auto"/>
              <w:right w:val="nil"/>
            </w:tcBorders>
            <w:shd w:val="clear" w:color="000000" w:fill="FFFFFF"/>
            <w:noWrap/>
            <w:vAlign w:val="center"/>
            <w:hideMark/>
          </w:tcPr>
          <w:p w14:paraId="77C5161F"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w:t>
            </w:r>
          </w:p>
        </w:tc>
        <w:tc>
          <w:tcPr>
            <w:tcW w:w="1545" w:type="dxa"/>
            <w:tcBorders>
              <w:top w:val="nil"/>
              <w:left w:val="nil"/>
              <w:bottom w:val="single" w:sz="4" w:space="0" w:color="auto"/>
              <w:right w:val="nil"/>
            </w:tcBorders>
            <w:shd w:val="clear" w:color="000000" w:fill="FFFFFF"/>
            <w:noWrap/>
            <w:vAlign w:val="center"/>
            <w:hideMark/>
          </w:tcPr>
          <w:p w14:paraId="5EEEACC1"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w:t>
            </w:r>
          </w:p>
        </w:tc>
      </w:tr>
      <w:tr w:rsidR="00A23232" w:rsidRPr="00476DF1" w14:paraId="6921D1C9" w14:textId="77777777" w:rsidTr="00016A93">
        <w:trPr>
          <w:trHeight w:val="193"/>
        </w:trPr>
        <w:tc>
          <w:tcPr>
            <w:tcW w:w="1276" w:type="dxa"/>
            <w:vMerge/>
            <w:tcBorders>
              <w:top w:val="nil"/>
              <w:left w:val="nil"/>
              <w:bottom w:val="single" w:sz="4" w:space="0" w:color="auto"/>
              <w:right w:val="nil"/>
            </w:tcBorders>
            <w:vAlign w:val="center"/>
            <w:hideMark/>
          </w:tcPr>
          <w:p w14:paraId="40C8EA9F"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noWrap/>
            <w:vAlign w:val="center"/>
            <w:hideMark/>
          </w:tcPr>
          <w:p w14:paraId="76DDA7F4"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Insmed</w:t>
            </w:r>
          </w:p>
        </w:tc>
        <w:tc>
          <w:tcPr>
            <w:tcW w:w="1908" w:type="dxa"/>
            <w:tcBorders>
              <w:top w:val="nil"/>
              <w:left w:val="nil"/>
              <w:bottom w:val="single" w:sz="4" w:space="0" w:color="auto"/>
              <w:right w:val="nil"/>
            </w:tcBorders>
            <w:shd w:val="clear" w:color="000000" w:fill="FFFFFF"/>
            <w:noWrap/>
            <w:vAlign w:val="center"/>
            <w:hideMark/>
          </w:tcPr>
          <w:p w14:paraId="308145CF"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27</w:t>
            </w:r>
          </w:p>
        </w:tc>
        <w:tc>
          <w:tcPr>
            <w:tcW w:w="2078" w:type="dxa"/>
            <w:tcBorders>
              <w:top w:val="nil"/>
              <w:left w:val="nil"/>
              <w:bottom w:val="single" w:sz="4" w:space="0" w:color="auto"/>
              <w:right w:val="nil"/>
            </w:tcBorders>
            <w:shd w:val="clear" w:color="000000" w:fill="FFFFFF"/>
            <w:noWrap/>
            <w:vAlign w:val="center"/>
            <w:hideMark/>
          </w:tcPr>
          <w:p w14:paraId="6A5FEDF0"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c>
          <w:tcPr>
            <w:tcW w:w="1545" w:type="dxa"/>
            <w:tcBorders>
              <w:top w:val="nil"/>
              <w:left w:val="nil"/>
              <w:bottom w:val="single" w:sz="4" w:space="0" w:color="auto"/>
              <w:right w:val="nil"/>
            </w:tcBorders>
            <w:shd w:val="clear" w:color="000000" w:fill="FFFFFF"/>
            <w:noWrap/>
            <w:vAlign w:val="center"/>
            <w:hideMark/>
          </w:tcPr>
          <w:p w14:paraId="7D3804EC"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w:t>
            </w:r>
          </w:p>
        </w:tc>
      </w:tr>
      <w:tr w:rsidR="00A23232" w:rsidRPr="00476DF1" w14:paraId="0EA059AC" w14:textId="77777777" w:rsidTr="00016A93">
        <w:trPr>
          <w:trHeight w:val="308"/>
        </w:trPr>
        <w:tc>
          <w:tcPr>
            <w:tcW w:w="1276" w:type="dxa"/>
            <w:vMerge/>
            <w:tcBorders>
              <w:top w:val="nil"/>
              <w:left w:val="nil"/>
              <w:bottom w:val="single" w:sz="4" w:space="0" w:color="auto"/>
              <w:right w:val="nil"/>
            </w:tcBorders>
            <w:vAlign w:val="center"/>
            <w:hideMark/>
          </w:tcPr>
          <w:p w14:paraId="5179F631"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noWrap/>
            <w:vAlign w:val="center"/>
            <w:hideMark/>
          </w:tcPr>
          <w:p w14:paraId="4EE69E66"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Novacardia</w:t>
            </w:r>
          </w:p>
        </w:tc>
        <w:tc>
          <w:tcPr>
            <w:tcW w:w="1908" w:type="dxa"/>
            <w:tcBorders>
              <w:top w:val="nil"/>
              <w:left w:val="nil"/>
              <w:bottom w:val="single" w:sz="4" w:space="0" w:color="auto"/>
              <w:right w:val="nil"/>
            </w:tcBorders>
            <w:shd w:val="clear" w:color="000000" w:fill="FFFFFF"/>
            <w:noWrap/>
            <w:vAlign w:val="center"/>
            <w:hideMark/>
          </w:tcPr>
          <w:p w14:paraId="00579EC7"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w:t>
            </w:r>
          </w:p>
        </w:tc>
        <w:tc>
          <w:tcPr>
            <w:tcW w:w="2078" w:type="dxa"/>
            <w:tcBorders>
              <w:top w:val="nil"/>
              <w:left w:val="nil"/>
              <w:bottom w:val="single" w:sz="4" w:space="0" w:color="auto"/>
              <w:right w:val="nil"/>
            </w:tcBorders>
            <w:shd w:val="clear" w:color="000000" w:fill="FFFFFF"/>
            <w:noWrap/>
            <w:vAlign w:val="center"/>
            <w:hideMark/>
          </w:tcPr>
          <w:p w14:paraId="3C72E51A"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545" w:type="dxa"/>
            <w:tcBorders>
              <w:top w:val="nil"/>
              <w:left w:val="nil"/>
              <w:bottom w:val="single" w:sz="4" w:space="0" w:color="auto"/>
              <w:right w:val="nil"/>
            </w:tcBorders>
            <w:shd w:val="clear" w:color="000000" w:fill="FFFFFF"/>
            <w:noWrap/>
            <w:vAlign w:val="center"/>
            <w:hideMark/>
          </w:tcPr>
          <w:p w14:paraId="1ECBE1C1"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A23232" w:rsidRPr="00476DF1" w14:paraId="0146E6DD" w14:textId="77777777" w:rsidTr="00016A93">
        <w:trPr>
          <w:trHeight w:val="321"/>
        </w:trPr>
        <w:tc>
          <w:tcPr>
            <w:tcW w:w="1276" w:type="dxa"/>
            <w:vMerge/>
            <w:tcBorders>
              <w:top w:val="nil"/>
              <w:left w:val="nil"/>
              <w:bottom w:val="single" w:sz="4" w:space="0" w:color="auto"/>
              <w:right w:val="nil"/>
            </w:tcBorders>
            <w:vAlign w:val="center"/>
            <w:hideMark/>
          </w:tcPr>
          <w:p w14:paraId="389CC392"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noWrap/>
            <w:vAlign w:val="center"/>
            <w:hideMark/>
          </w:tcPr>
          <w:p w14:paraId="710798B2"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Smartcells</w:t>
            </w:r>
          </w:p>
        </w:tc>
        <w:tc>
          <w:tcPr>
            <w:tcW w:w="1908" w:type="dxa"/>
            <w:tcBorders>
              <w:top w:val="nil"/>
              <w:left w:val="nil"/>
              <w:bottom w:val="single" w:sz="4" w:space="0" w:color="auto"/>
              <w:right w:val="nil"/>
            </w:tcBorders>
            <w:shd w:val="clear" w:color="000000" w:fill="FFFFFF"/>
            <w:noWrap/>
            <w:vAlign w:val="center"/>
            <w:hideMark/>
          </w:tcPr>
          <w:p w14:paraId="4B79CAA4"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8</w:t>
            </w:r>
          </w:p>
        </w:tc>
        <w:tc>
          <w:tcPr>
            <w:tcW w:w="2078" w:type="dxa"/>
            <w:tcBorders>
              <w:top w:val="nil"/>
              <w:left w:val="nil"/>
              <w:bottom w:val="single" w:sz="4" w:space="0" w:color="auto"/>
              <w:right w:val="nil"/>
            </w:tcBorders>
            <w:shd w:val="clear" w:color="000000" w:fill="FFFFFF"/>
            <w:noWrap/>
            <w:vAlign w:val="center"/>
            <w:hideMark/>
          </w:tcPr>
          <w:p w14:paraId="1A5FD7A9"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545" w:type="dxa"/>
            <w:tcBorders>
              <w:top w:val="nil"/>
              <w:left w:val="nil"/>
              <w:bottom w:val="single" w:sz="4" w:space="0" w:color="auto"/>
              <w:right w:val="nil"/>
            </w:tcBorders>
            <w:shd w:val="clear" w:color="000000" w:fill="FFFFFF"/>
            <w:noWrap/>
            <w:vAlign w:val="center"/>
            <w:hideMark/>
          </w:tcPr>
          <w:p w14:paraId="69E13F51"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A23232" w:rsidRPr="00476DF1" w14:paraId="678B1EA8" w14:textId="77777777" w:rsidTr="00016A93">
        <w:trPr>
          <w:trHeight w:val="324"/>
        </w:trPr>
        <w:tc>
          <w:tcPr>
            <w:tcW w:w="1276" w:type="dxa"/>
            <w:vMerge w:val="restart"/>
            <w:tcBorders>
              <w:top w:val="nil"/>
              <w:left w:val="nil"/>
              <w:bottom w:val="single" w:sz="4" w:space="0" w:color="auto"/>
              <w:right w:val="nil"/>
            </w:tcBorders>
            <w:shd w:val="clear" w:color="000000" w:fill="FFFFFF"/>
            <w:vAlign w:val="center"/>
            <w:hideMark/>
          </w:tcPr>
          <w:p w14:paraId="181356FF"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Sanofi</w:t>
            </w:r>
          </w:p>
        </w:tc>
        <w:tc>
          <w:tcPr>
            <w:tcW w:w="2827" w:type="dxa"/>
            <w:gridSpan w:val="2"/>
            <w:tcBorders>
              <w:top w:val="nil"/>
              <w:left w:val="nil"/>
              <w:bottom w:val="single" w:sz="4" w:space="0" w:color="auto"/>
              <w:right w:val="nil"/>
            </w:tcBorders>
            <w:shd w:val="clear" w:color="000000" w:fill="FFFFFF"/>
            <w:vAlign w:val="center"/>
            <w:hideMark/>
          </w:tcPr>
          <w:p w14:paraId="38FD3CA5"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VaxDesign</w:t>
            </w:r>
          </w:p>
        </w:tc>
        <w:tc>
          <w:tcPr>
            <w:tcW w:w="1908" w:type="dxa"/>
            <w:tcBorders>
              <w:top w:val="nil"/>
              <w:left w:val="nil"/>
              <w:bottom w:val="single" w:sz="4" w:space="0" w:color="auto"/>
              <w:right w:val="nil"/>
            </w:tcBorders>
            <w:shd w:val="clear" w:color="000000" w:fill="FFFFFF"/>
            <w:noWrap/>
            <w:vAlign w:val="center"/>
            <w:hideMark/>
          </w:tcPr>
          <w:p w14:paraId="660C5A45"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28</w:t>
            </w:r>
          </w:p>
        </w:tc>
        <w:tc>
          <w:tcPr>
            <w:tcW w:w="2078" w:type="dxa"/>
            <w:tcBorders>
              <w:top w:val="nil"/>
              <w:left w:val="nil"/>
              <w:bottom w:val="single" w:sz="4" w:space="0" w:color="auto"/>
              <w:right w:val="nil"/>
            </w:tcBorders>
            <w:shd w:val="clear" w:color="000000" w:fill="FFFFFF"/>
            <w:noWrap/>
            <w:vAlign w:val="center"/>
            <w:hideMark/>
          </w:tcPr>
          <w:p w14:paraId="02F006CD"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28</w:t>
            </w:r>
          </w:p>
        </w:tc>
        <w:tc>
          <w:tcPr>
            <w:tcW w:w="1545" w:type="dxa"/>
            <w:tcBorders>
              <w:top w:val="nil"/>
              <w:left w:val="nil"/>
              <w:bottom w:val="single" w:sz="4" w:space="0" w:color="auto"/>
              <w:right w:val="nil"/>
            </w:tcBorders>
            <w:shd w:val="clear" w:color="000000" w:fill="FFFFFF"/>
            <w:noWrap/>
            <w:vAlign w:val="center"/>
            <w:hideMark/>
          </w:tcPr>
          <w:p w14:paraId="4D419201"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100%</w:t>
            </w:r>
          </w:p>
        </w:tc>
      </w:tr>
      <w:tr w:rsidR="00A23232" w:rsidRPr="00476DF1" w14:paraId="11786DC5" w14:textId="77777777" w:rsidTr="00016A93">
        <w:trPr>
          <w:trHeight w:val="500"/>
        </w:trPr>
        <w:tc>
          <w:tcPr>
            <w:tcW w:w="1276" w:type="dxa"/>
            <w:vMerge/>
            <w:tcBorders>
              <w:top w:val="nil"/>
              <w:left w:val="nil"/>
              <w:bottom w:val="single" w:sz="4" w:space="0" w:color="auto"/>
              <w:right w:val="nil"/>
            </w:tcBorders>
            <w:vAlign w:val="center"/>
            <w:hideMark/>
          </w:tcPr>
          <w:p w14:paraId="5F241242"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05DD5827"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Acambis (ex Peptide Therapeutics)</w:t>
            </w:r>
          </w:p>
        </w:tc>
        <w:tc>
          <w:tcPr>
            <w:tcW w:w="1908" w:type="dxa"/>
            <w:tcBorders>
              <w:top w:val="nil"/>
              <w:left w:val="nil"/>
              <w:bottom w:val="single" w:sz="4" w:space="0" w:color="auto"/>
              <w:right w:val="nil"/>
            </w:tcBorders>
            <w:shd w:val="clear" w:color="000000" w:fill="FFFFFF"/>
            <w:noWrap/>
            <w:vAlign w:val="center"/>
            <w:hideMark/>
          </w:tcPr>
          <w:p w14:paraId="178B9268"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30</w:t>
            </w:r>
          </w:p>
        </w:tc>
        <w:tc>
          <w:tcPr>
            <w:tcW w:w="2078" w:type="dxa"/>
            <w:tcBorders>
              <w:top w:val="nil"/>
              <w:left w:val="nil"/>
              <w:bottom w:val="single" w:sz="4" w:space="0" w:color="auto"/>
              <w:right w:val="nil"/>
            </w:tcBorders>
            <w:shd w:val="clear" w:color="000000" w:fill="FFFFFF"/>
            <w:noWrap/>
            <w:vAlign w:val="center"/>
            <w:hideMark/>
          </w:tcPr>
          <w:p w14:paraId="607C6922"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12</w:t>
            </w:r>
          </w:p>
        </w:tc>
        <w:tc>
          <w:tcPr>
            <w:tcW w:w="1545" w:type="dxa"/>
            <w:tcBorders>
              <w:top w:val="nil"/>
              <w:left w:val="nil"/>
              <w:bottom w:val="single" w:sz="4" w:space="0" w:color="auto"/>
              <w:right w:val="nil"/>
            </w:tcBorders>
            <w:shd w:val="clear" w:color="000000" w:fill="FFFFFF"/>
            <w:noWrap/>
            <w:vAlign w:val="center"/>
            <w:hideMark/>
          </w:tcPr>
          <w:p w14:paraId="1FDA36E3"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40%</w:t>
            </w:r>
          </w:p>
        </w:tc>
      </w:tr>
      <w:tr w:rsidR="00A23232" w:rsidRPr="00476DF1" w14:paraId="3C65CDC5" w14:textId="77777777" w:rsidTr="00016A93">
        <w:trPr>
          <w:trHeight w:val="319"/>
        </w:trPr>
        <w:tc>
          <w:tcPr>
            <w:tcW w:w="1276" w:type="dxa"/>
            <w:vMerge/>
            <w:tcBorders>
              <w:top w:val="nil"/>
              <w:left w:val="nil"/>
              <w:bottom w:val="single" w:sz="4" w:space="0" w:color="auto"/>
              <w:right w:val="nil"/>
            </w:tcBorders>
            <w:vAlign w:val="center"/>
            <w:hideMark/>
          </w:tcPr>
          <w:p w14:paraId="5417E719"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34097D54"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Fovea</w:t>
            </w:r>
          </w:p>
        </w:tc>
        <w:tc>
          <w:tcPr>
            <w:tcW w:w="1908" w:type="dxa"/>
            <w:tcBorders>
              <w:top w:val="nil"/>
              <w:left w:val="nil"/>
              <w:bottom w:val="single" w:sz="4" w:space="0" w:color="auto"/>
              <w:right w:val="nil"/>
            </w:tcBorders>
            <w:shd w:val="clear" w:color="000000" w:fill="FFFFFF"/>
            <w:noWrap/>
            <w:vAlign w:val="center"/>
            <w:hideMark/>
          </w:tcPr>
          <w:p w14:paraId="6B19D1C9"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6</w:t>
            </w:r>
          </w:p>
        </w:tc>
        <w:tc>
          <w:tcPr>
            <w:tcW w:w="2078" w:type="dxa"/>
            <w:tcBorders>
              <w:top w:val="nil"/>
              <w:left w:val="nil"/>
              <w:bottom w:val="single" w:sz="4" w:space="0" w:color="auto"/>
              <w:right w:val="nil"/>
            </w:tcBorders>
            <w:shd w:val="clear" w:color="000000" w:fill="FFFFFF"/>
            <w:noWrap/>
            <w:vAlign w:val="center"/>
            <w:hideMark/>
          </w:tcPr>
          <w:p w14:paraId="5891F6CB"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w:t>
            </w:r>
          </w:p>
        </w:tc>
        <w:tc>
          <w:tcPr>
            <w:tcW w:w="1545" w:type="dxa"/>
            <w:tcBorders>
              <w:top w:val="nil"/>
              <w:left w:val="nil"/>
              <w:bottom w:val="single" w:sz="4" w:space="0" w:color="auto"/>
              <w:right w:val="nil"/>
            </w:tcBorders>
            <w:shd w:val="clear" w:color="000000" w:fill="FFFFFF"/>
            <w:noWrap/>
            <w:vAlign w:val="center"/>
            <w:hideMark/>
          </w:tcPr>
          <w:p w14:paraId="72B59D70"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33%</w:t>
            </w:r>
          </w:p>
        </w:tc>
      </w:tr>
      <w:tr w:rsidR="00A23232" w:rsidRPr="00476DF1" w14:paraId="164C7F05" w14:textId="77777777" w:rsidTr="00016A93">
        <w:trPr>
          <w:trHeight w:val="291"/>
        </w:trPr>
        <w:tc>
          <w:tcPr>
            <w:tcW w:w="1276" w:type="dxa"/>
            <w:vMerge/>
            <w:tcBorders>
              <w:top w:val="nil"/>
              <w:left w:val="nil"/>
              <w:bottom w:val="single" w:sz="4" w:space="0" w:color="auto"/>
              <w:right w:val="nil"/>
            </w:tcBorders>
            <w:vAlign w:val="center"/>
            <w:hideMark/>
          </w:tcPr>
          <w:p w14:paraId="2893D09D"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49B6ECE7"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Zentiva</w:t>
            </w:r>
          </w:p>
        </w:tc>
        <w:tc>
          <w:tcPr>
            <w:tcW w:w="1908" w:type="dxa"/>
            <w:tcBorders>
              <w:top w:val="nil"/>
              <w:left w:val="nil"/>
              <w:bottom w:val="single" w:sz="4" w:space="0" w:color="auto"/>
              <w:right w:val="nil"/>
            </w:tcBorders>
            <w:shd w:val="clear" w:color="000000" w:fill="FFFFFF"/>
            <w:noWrap/>
            <w:vAlign w:val="center"/>
            <w:hideMark/>
          </w:tcPr>
          <w:p w14:paraId="09AB39E8"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42</w:t>
            </w:r>
          </w:p>
        </w:tc>
        <w:tc>
          <w:tcPr>
            <w:tcW w:w="2078" w:type="dxa"/>
            <w:tcBorders>
              <w:top w:val="nil"/>
              <w:left w:val="nil"/>
              <w:bottom w:val="single" w:sz="4" w:space="0" w:color="auto"/>
              <w:right w:val="nil"/>
            </w:tcBorders>
            <w:shd w:val="clear" w:color="000000" w:fill="FFFFFF"/>
            <w:noWrap/>
            <w:vAlign w:val="center"/>
            <w:hideMark/>
          </w:tcPr>
          <w:p w14:paraId="08D9208C"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545" w:type="dxa"/>
            <w:tcBorders>
              <w:top w:val="nil"/>
              <w:left w:val="nil"/>
              <w:bottom w:val="single" w:sz="4" w:space="0" w:color="auto"/>
              <w:right w:val="nil"/>
            </w:tcBorders>
            <w:shd w:val="clear" w:color="000000" w:fill="FFFFFF"/>
            <w:noWrap/>
            <w:vAlign w:val="center"/>
            <w:hideMark/>
          </w:tcPr>
          <w:p w14:paraId="0CC2553B"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A23232" w:rsidRPr="00476DF1" w14:paraId="46AF4976" w14:textId="77777777" w:rsidTr="00016A93">
        <w:trPr>
          <w:trHeight w:val="306"/>
        </w:trPr>
        <w:tc>
          <w:tcPr>
            <w:tcW w:w="1276" w:type="dxa"/>
            <w:vMerge/>
            <w:tcBorders>
              <w:top w:val="nil"/>
              <w:left w:val="nil"/>
              <w:bottom w:val="single" w:sz="4" w:space="0" w:color="auto"/>
              <w:right w:val="nil"/>
            </w:tcBorders>
            <w:vAlign w:val="center"/>
            <w:hideMark/>
          </w:tcPr>
          <w:p w14:paraId="0FB19A57"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2B7AC5F0"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BiPar Sciences</w:t>
            </w:r>
          </w:p>
        </w:tc>
        <w:tc>
          <w:tcPr>
            <w:tcW w:w="1908" w:type="dxa"/>
            <w:tcBorders>
              <w:top w:val="nil"/>
              <w:left w:val="nil"/>
              <w:bottom w:val="single" w:sz="4" w:space="0" w:color="auto"/>
              <w:right w:val="nil"/>
            </w:tcBorders>
            <w:shd w:val="clear" w:color="000000" w:fill="FFFFFF"/>
            <w:noWrap/>
            <w:vAlign w:val="center"/>
            <w:hideMark/>
          </w:tcPr>
          <w:p w14:paraId="200842DC"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12</w:t>
            </w:r>
          </w:p>
        </w:tc>
        <w:tc>
          <w:tcPr>
            <w:tcW w:w="2078" w:type="dxa"/>
            <w:tcBorders>
              <w:top w:val="nil"/>
              <w:left w:val="nil"/>
              <w:bottom w:val="single" w:sz="4" w:space="0" w:color="auto"/>
              <w:right w:val="nil"/>
            </w:tcBorders>
            <w:shd w:val="clear" w:color="000000" w:fill="FFFFFF"/>
            <w:noWrap/>
            <w:vAlign w:val="center"/>
            <w:hideMark/>
          </w:tcPr>
          <w:p w14:paraId="77F9AE03"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545" w:type="dxa"/>
            <w:tcBorders>
              <w:top w:val="nil"/>
              <w:left w:val="nil"/>
              <w:bottom w:val="single" w:sz="4" w:space="0" w:color="auto"/>
              <w:right w:val="nil"/>
            </w:tcBorders>
            <w:shd w:val="clear" w:color="000000" w:fill="FFFFFF"/>
            <w:noWrap/>
            <w:vAlign w:val="center"/>
            <w:hideMark/>
          </w:tcPr>
          <w:p w14:paraId="40959CDB"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A23232" w:rsidRPr="00476DF1" w14:paraId="4CDFD47A" w14:textId="77777777" w:rsidTr="00016A93">
        <w:trPr>
          <w:trHeight w:val="300"/>
        </w:trPr>
        <w:tc>
          <w:tcPr>
            <w:tcW w:w="1276" w:type="dxa"/>
            <w:vMerge/>
            <w:tcBorders>
              <w:top w:val="nil"/>
              <w:left w:val="nil"/>
              <w:bottom w:val="single" w:sz="4" w:space="0" w:color="auto"/>
              <w:right w:val="nil"/>
            </w:tcBorders>
            <w:vAlign w:val="center"/>
            <w:hideMark/>
          </w:tcPr>
          <w:p w14:paraId="4DA20DC8"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5CF78A4C"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TargeGen Inc.</w:t>
            </w:r>
          </w:p>
        </w:tc>
        <w:tc>
          <w:tcPr>
            <w:tcW w:w="1908" w:type="dxa"/>
            <w:tcBorders>
              <w:top w:val="nil"/>
              <w:left w:val="nil"/>
              <w:bottom w:val="single" w:sz="4" w:space="0" w:color="auto"/>
              <w:right w:val="nil"/>
            </w:tcBorders>
            <w:shd w:val="clear" w:color="000000" w:fill="FFFFFF"/>
            <w:noWrap/>
            <w:vAlign w:val="center"/>
            <w:hideMark/>
          </w:tcPr>
          <w:p w14:paraId="1F815AE1"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19</w:t>
            </w:r>
          </w:p>
        </w:tc>
        <w:tc>
          <w:tcPr>
            <w:tcW w:w="2078" w:type="dxa"/>
            <w:tcBorders>
              <w:top w:val="nil"/>
              <w:left w:val="nil"/>
              <w:bottom w:val="single" w:sz="4" w:space="0" w:color="auto"/>
              <w:right w:val="nil"/>
            </w:tcBorders>
            <w:shd w:val="clear" w:color="000000" w:fill="FFFFFF"/>
            <w:noWrap/>
            <w:vAlign w:val="center"/>
            <w:hideMark/>
          </w:tcPr>
          <w:p w14:paraId="40883857"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545" w:type="dxa"/>
            <w:tcBorders>
              <w:top w:val="nil"/>
              <w:left w:val="nil"/>
              <w:bottom w:val="single" w:sz="4" w:space="0" w:color="auto"/>
              <w:right w:val="nil"/>
            </w:tcBorders>
            <w:shd w:val="clear" w:color="000000" w:fill="FFFFFF"/>
            <w:noWrap/>
            <w:vAlign w:val="center"/>
            <w:hideMark/>
          </w:tcPr>
          <w:p w14:paraId="44E629D6"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A23232" w:rsidRPr="00476DF1" w14:paraId="20C77ED5" w14:textId="77777777" w:rsidTr="00016A93">
        <w:trPr>
          <w:trHeight w:val="293"/>
        </w:trPr>
        <w:tc>
          <w:tcPr>
            <w:tcW w:w="1276" w:type="dxa"/>
            <w:vMerge w:val="restart"/>
            <w:tcBorders>
              <w:top w:val="nil"/>
              <w:left w:val="nil"/>
              <w:bottom w:val="single" w:sz="4" w:space="0" w:color="auto"/>
              <w:right w:val="nil"/>
            </w:tcBorders>
            <w:shd w:val="clear" w:color="000000" w:fill="FFFFFF"/>
            <w:vAlign w:val="center"/>
            <w:hideMark/>
          </w:tcPr>
          <w:p w14:paraId="41E72F13"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Astra-Zeneca</w:t>
            </w:r>
          </w:p>
        </w:tc>
        <w:tc>
          <w:tcPr>
            <w:tcW w:w="2827" w:type="dxa"/>
            <w:gridSpan w:val="2"/>
            <w:tcBorders>
              <w:top w:val="nil"/>
              <w:left w:val="nil"/>
              <w:bottom w:val="single" w:sz="4" w:space="0" w:color="auto"/>
              <w:right w:val="nil"/>
            </w:tcBorders>
            <w:shd w:val="clear" w:color="000000" w:fill="FFFFFF"/>
            <w:vAlign w:val="center"/>
            <w:hideMark/>
          </w:tcPr>
          <w:p w14:paraId="5D05D52D"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Novexel</w:t>
            </w:r>
          </w:p>
        </w:tc>
        <w:tc>
          <w:tcPr>
            <w:tcW w:w="1908" w:type="dxa"/>
            <w:tcBorders>
              <w:top w:val="nil"/>
              <w:left w:val="nil"/>
              <w:bottom w:val="single" w:sz="4" w:space="0" w:color="auto"/>
              <w:right w:val="nil"/>
            </w:tcBorders>
            <w:shd w:val="clear" w:color="000000" w:fill="FFFFFF"/>
            <w:noWrap/>
            <w:vAlign w:val="center"/>
            <w:hideMark/>
          </w:tcPr>
          <w:p w14:paraId="43D0010E"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21</w:t>
            </w:r>
          </w:p>
        </w:tc>
        <w:tc>
          <w:tcPr>
            <w:tcW w:w="2078" w:type="dxa"/>
            <w:tcBorders>
              <w:top w:val="nil"/>
              <w:left w:val="nil"/>
              <w:bottom w:val="single" w:sz="4" w:space="0" w:color="auto"/>
              <w:right w:val="nil"/>
            </w:tcBorders>
            <w:shd w:val="clear" w:color="000000" w:fill="FFFFFF"/>
            <w:noWrap/>
            <w:vAlign w:val="center"/>
            <w:hideMark/>
          </w:tcPr>
          <w:p w14:paraId="1DC54A88"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7</w:t>
            </w:r>
          </w:p>
        </w:tc>
        <w:tc>
          <w:tcPr>
            <w:tcW w:w="1545" w:type="dxa"/>
            <w:tcBorders>
              <w:top w:val="nil"/>
              <w:left w:val="nil"/>
              <w:bottom w:val="single" w:sz="4" w:space="0" w:color="auto"/>
              <w:right w:val="nil"/>
            </w:tcBorders>
            <w:shd w:val="clear" w:color="000000" w:fill="FFFFFF"/>
            <w:noWrap/>
            <w:vAlign w:val="center"/>
            <w:hideMark/>
          </w:tcPr>
          <w:p w14:paraId="34C91215"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33%</w:t>
            </w:r>
          </w:p>
        </w:tc>
      </w:tr>
      <w:tr w:rsidR="00A23232" w:rsidRPr="00476DF1" w14:paraId="44D93EE7" w14:textId="77777777" w:rsidTr="00016A93">
        <w:trPr>
          <w:trHeight w:val="299"/>
        </w:trPr>
        <w:tc>
          <w:tcPr>
            <w:tcW w:w="1276" w:type="dxa"/>
            <w:vMerge/>
            <w:tcBorders>
              <w:top w:val="nil"/>
              <w:left w:val="nil"/>
              <w:bottom w:val="single" w:sz="4" w:space="0" w:color="auto"/>
              <w:right w:val="nil"/>
            </w:tcBorders>
            <w:vAlign w:val="center"/>
            <w:hideMark/>
          </w:tcPr>
          <w:p w14:paraId="205964A2"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2076579F"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Kudos</w:t>
            </w:r>
          </w:p>
        </w:tc>
        <w:tc>
          <w:tcPr>
            <w:tcW w:w="1908" w:type="dxa"/>
            <w:tcBorders>
              <w:top w:val="nil"/>
              <w:left w:val="nil"/>
              <w:bottom w:val="single" w:sz="4" w:space="0" w:color="auto"/>
              <w:right w:val="nil"/>
            </w:tcBorders>
            <w:shd w:val="clear" w:color="000000" w:fill="FFFFFF"/>
            <w:noWrap/>
            <w:vAlign w:val="center"/>
            <w:hideMark/>
          </w:tcPr>
          <w:p w14:paraId="770C2E26"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52</w:t>
            </w:r>
          </w:p>
        </w:tc>
        <w:tc>
          <w:tcPr>
            <w:tcW w:w="2078" w:type="dxa"/>
            <w:tcBorders>
              <w:top w:val="nil"/>
              <w:left w:val="nil"/>
              <w:bottom w:val="single" w:sz="4" w:space="0" w:color="auto"/>
              <w:right w:val="nil"/>
            </w:tcBorders>
            <w:shd w:val="clear" w:color="000000" w:fill="FFFFFF"/>
            <w:noWrap/>
            <w:vAlign w:val="center"/>
            <w:hideMark/>
          </w:tcPr>
          <w:p w14:paraId="29535B45"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10</w:t>
            </w:r>
          </w:p>
        </w:tc>
        <w:tc>
          <w:tcPr>
            <w:tcW w:w="1545" w:type="dxa"/>
            <w:tcBorders>
              <w:top w:val="nil"/>
              <w:left w:val="nil"/>
              <w:bottom w:val="single" w:sz="4" w:space="0" w:color="auto"/>
              <w:right w:val="nil"/>
            </w:tcBorders>
            <w:shd w:val="clear" w:color="000000" w:fill="FFFFFF"/>
            <w:noWrap/>
            <w:vAlign w:val="center"/>
            <w:hideMark/>
          </w:tcPr>
          <w:p w14:paraId="7DE13C75"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19%</w:t>
            </w:r>
          </w:p>
        </w:tc>
      </w:tr>
      <w:tr w:rsidR="00A23232" w:rsidRPr="00476DF1" w14:paraId="4F51F0F9" w14:textId="77777777" w:rsidTr="00016A93">
        <w:trPr>
          <w:trHeight w:val="304"/>
        </w:trPr>
        <w:tc>
          <w:tcPr>
            <w:tcW w:w="1276" w:type="dxa"/>
            <w:vMerge/>
            <w:tcBorders>
              <w:top w:val="nil"/>
              <w:left w:val="nil"/>
              <w:bottom w:val="single" w:sz="4" w:space="0" w:color="auto"/>
              <w:right w:val="nil"/>
            </w:tcBorders>
            <w:vAlign w:val="center"/>
            <w:hideMark/>
          </w:tcPr>
          <w:p w14:paraId="5D4EFB0F"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3A0251CE"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Medimmune</w:t>
            </w:r>
          </w:p>
        </w:tc>
        <w:tc>
          <w:tcPr>
            <w:tcW w:w="1908" w:type="dxa"/>
            <w:tcBorders>
              <w:top w:val="nil"/>
              <w:left w:val="nil"/>
              <w:bottom w:val="single" w:sz="4" w:space="0" w:color="auto"/>
              <w:right w:val="nil"/>
            </w:tcBorders>
            <w:shd w:val="clear" w:color="000000" w:fill="FFFFFF"/>
            <w:noWrap/>
            <w:vAlign w:val="center"/>
            <w:hideMark/>
          </w:tcPr>
          <w:p w14:paraId="06092022"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105</w:t>
            </w:r>
          </w:p>
        </w:tc>
        <w:tc>
          <w:tcPr>
            <w:tcW w:w="2078" w:type="dxa"/>
            <w:tcBorders>
              <w:top w:val="nil"/>
              <w:left w:val="nil"/>
              <w:bottom w:val="single" w:sz="4" w:space="0" w:color="auto"/>
              <w:right w:val="nil"/>
            </w:tcBorders>
            <w:shd w:val="clear" w:color="000000" w:fill="FFFFFF"/>
            <w:noWrap/>
            <w:vAlign w:val="center"/>
            <w:hideMark/>
          </w:tcPr>
          <w:p w14:paraId="27227917"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w:t>
            </w:r>
          </w:p>
        </w:tc>
        <w:tc>
          <w:tcPr>
            <w:tcW w:w="1545" w:type="dxa"/>
            <w:tcBorders>
              <w:top w:val="nil"/>
              <w:left w:val="nil"/>
              <w:bottom w:val="single" w:sz="4" w:space="0" w:color="auto"/>
              <w:right w:val="nil"/>
            </w:tcBorders>
            <w:shd w:val="clear" w:color="000000" w:fill="FFFFFF"/>
            <w:noWrap/>
            <w:vAlign w:val="center"/>
            <w:hideMark/>
          </w:tcPr>
          <w:p w14:paraId="708C3ECB"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w:t>
            </w:r>
          </w:p>
        </w:tc>
      </w:tr>
      <w:tr w:rsidR="00A23232" w:rsidRPr="00476DF1" w14:paraId="2766DCC8" w14:textId="77777777" w:rsidTr="00016A93">
        <w:trPr>
          <w:trHeight w:val="500"/>
        </w:trPr>
        <w:tc>
          <w:tcPr>
            <w:tcW w:w="1276" w:type="dxa"/>
            <w:vMerge/>
            <w:tcBorders>
              <w:top w:val="nil"/>
              <w:left w:val="nil"/>
              <w:bottom w:val="single" w:sz="4" w:space="0" w:color="auto"/>
              <w:right w:val="nil"/>
            </w:tcBorders>
            <w:vAlign w:val="center"/>
            <w:hideMark/>
          </w:tcPr>
          <w:p w14:paraId="15966AC8"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468B4AD4"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Cambridge Antibody Technology</w:t>
            </w:r>
          </w:p>
        </w:tc>
        <w:tc>
          <w:tcPr>
            <w:tcW w:w="1908" w:type="dxa"/>
            <w:tcBorders>
              <w:top w:val="nil"/>
              <w:left w:val="nil"/>
              <w:bottom w:val="single" w:sz="4" w:space="0" w:color="auto"/>
              <w:right w:val="nil"/>
            </w:tcBorders>
            <w:shd w:val="clear" w:color="000000" w:fill="FFFFFF"/>
            <w:noWrap/>
            <w:vAlign w:val="center"/>
            <w:hideMark/>
          </w:tcPr>
          <w:p w14:paraId="68C28E7D"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45</w:t>
            </w:r>
          </w:p>
        </w:tc>
        <w:tc>
          <w:tcPr>
            <w:tcW w:w="2078" w:type="dxa"/>
            <w:tcBorders>
              <w:top w:val="nil"/>
              <w:left w:val="nil"/>
              <w:bottom w:val="single" w:sz="4" w:space="0" w:color="auto"/>
              <w:right w:val="nil"/>
            </w:tcBorders>
            <w:shd w:val="clear" w:color="000000" w:fill="FFFFFF"/>
            <w:noWrap/>
            <w:vAlign w:val="center"/>
            <w:hideMark/>
          </w:tcPr>
          <w:p w14:paraId="0AE14BB2"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545" w:type="dxa"/>
            <w:tcBorders>
              <w:top w:val="nil"/>
              <w:left w:val="nil"/>
              <w:bottom w:val="single" w:sz="4" w:space="0" w:color="auto"/>
              <w:right w:val="nil"/>
            </w:tcBorders>
            <w:shd w:val="clear" w:color="000000" w:fill="FFFFFF"/>
            <w:noWrap/>
            <w:vAlign w:val="center"/>
            <w:hideMark/>
          </w:tcPr>
          <w:p w14:paraId="0021AFEE"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A23232" w:rsidRPr="00476DF1" w14:paraId="39272CFB" w14:textId="77777777" w:rsidTr="00016A93">
        <w:trPr>
          <w:trHeight w:val="333"/>
        </w:trPr>
        <w:tc>
          <w:tcPr>
            <w:tcW w:w="1276" w:type="dxa"/>
            <w:vMerge/>
            <w:tcBorders>
              <w:top w:val="nil"/>
              <w:left w:val="nil"/>
              <w:bottom w:val="single" w:sz="4" w:space="0" w:color="auto"/>
              <w:right w:val="nil"/>
            </w:tcBorders>
            <w:vAlign w:val="center"/>
            <w:hideMark/>
          </w:tcPr>
          <w:p w14:paraId="3030BBA7"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589BB31C"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Arrow Therapeutics</w:t>
            </w:r>
          </w:p>
        </w:tc>
        <w:tc>
          <w:tcPr>
            <w:tcW w:w="1908" w:type="dxa"/>
            <w:tcBorders>
              <w:top w:val="nil"/>
              <w:left w:val="nil"/>
              <w:bottom w:val="single" w:sz="4" w:space="0" w:color="auto"/>
              <w:right w:val="nil"/>
            </w:tcBorders>
            <w:shd w:val="clear" w:color="000000" w:fill="FFFFFF"/>
            <w:noWrap/>
            <w:vAlign w:val="center"/>
            <w:hideMark/>
          </w:tcPr>
          <w:p w14:paraId="683310E9"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10</w:t>
            </w:r>
          </w:p>
        </w:tc>
        <w:tc>
          <w:tcPr>
            <w:tcW w:w="2078" w:type="dxa"/>
            <w:tcBorders>
              <w:top w:val="nil"/>
              <w:left w:val="nil"/>
              <w:bottom w:val="single" w:sz="4" w:space="0" w:color="auto"/>
              <w:right w:val="nil"/>
            </w:tcBorders>
            <w:shd w:val="clear" w:color="000000" w:fill="FFFFFF"/>
            <w:noWrap/>
            <w:vAlign w:val="center"/>
            <w:hideMark/>
          </w:tcPr>
          <w:p w14:paraId="0A1CAF63"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545" w:type="dxa"/>
            <w:tcBorders>
              <w:top w:val="nil"/>
              <w:left w:val="nil"/>
              <w:bottom w:val="single" w:sz="4" w:space="0" w:color="auto"/>
              <w:right w:val="nil"/>
            </w:tcBorders>
            <w:shd w:val="clear" w:color="000000" w:fill="FFFFFF"/>
            <w:noWrap/>
            <w:vAlign w:val="center"/>
            <w:hideMark/>
          </w:tcPr>
          <w:p w14:paraId="09811C4B"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A23232" w:rsidRPr="00476DF1" w14:paraId="34AF07E8" w14:textId="77777777" w:rsidTr="00016A93">
        <w:trPr>
          <w:trHeight w:val="324"/>
        </w:trPr>
        <w:tc>
          <w:tcPr>
            <w:tcW w:w="1276" w:type="dxa"/>
            <w:vMerge/>
            <w:tcBorders>
              <w:top w:val="nil"/>
              <w:left w:val="nil"/>
              <w:bottom w:val="single" w:sz="4" w:space="0" w:color="auto"/>
              <w:right w:val="nil"/>
            </w:tcBorders>
            <w:vAlign w:val="center"/>
            <w:hideMark/>
          </w:tcPr>
          <w:p w14:paraId="2EF57AD1"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1A757167"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Ardea Biosciences</w:t>
            </w:r>
          </w:p>
        </w:tc>
        <w:tc>
          <w:tcPr>
            <w:tcW w:w="1908" w:type="dxa"/>
            <w:tcBorders>
              <w:top w:val="nil"/>
              <w:left w:val="nil"/>
              <w:bottom w:val="single" w:sz="4" w:space="0" w:color="auto"/>
              <w:right w:val="nil"/>
            </w:tcBorders>
            <w:shd w:val="clear" w:color="000000" w:fill="FFFFFF"/>
            <w:noWrap/>
            <w:vAlign w:val="center"/>
            <w:hideMark/>
          </w:tcPr>
          <w:p w14:paraId="268C4F37"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34</w:t>
            </w:r>
          </w:p>
        </w:tc>
        <w:tc>
          <w:tcPr>
            <w:tcW w:w="2078" w:type="dxa"/>
            <w:tcBorders>
              <w:top w:val="nil"/>
              <w:left w:val="nil"/>
              <w:bottom w:val="single" w:sz="4" w:space="0" w:color="auto"/>
              <w:right w:val="nil"/>
            </w:tcBorders>
            <w:shd w:val="clear" w:color="000000" w:fill="FFFFFF"/>
            <w:noWrap/>
            <w:vAlign w:val="center"/>
            <w:hideMark/>
          </w:tcPr>
          <w:p w14:paraId="6FC7BFCD"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545" w:type="dxa"/>
            <w:tcBorders>
              <w:top w:val="nil"/>
              <w:left w:val="nil"/>
              <w:bottom w:val="single" w:sz="4" w:space="0" w:color="auto"/>
              <w:right w:val="nil"/>
            </w:tcBorders>
            <w:shd w:val="clear" w:color="000000" w:fill="FFFFFF"/>
            <w:noWrap/>
            <w:vAlign w:val="center"/>
            <w:hideMark/>
          </w:tcPr>
          <w:p w14:paraId="5D161EF8"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A23232" w:rsidRPr="00476DF1" w14:paraId="3C914E85" w14:textId="77777777" w:rsidTr="00016A93">
        <w:trPr>
          <w:trHeight w:val="193"/>
        </w:trPr>
        <w:tc>
          <w:tcPr>
            <w:tcW w:w="1276" w:type="dxa"/>
            <w:vMerge/>
            <w:tcBorders>
              <w:top w:val="nil"/>
              <w:left w:val="nil"/>
              <w:bottom w:val="single" w:sz="4" w:space="0" w:color="auto"/>
              <w:right w:val="nil"/>
            </w:tcBorders>
            <w:vAlign w:val="center"/>
            <w:hideMark/>
          </w:tcPr>
          <w:p w14:paraId="39CF13C4"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583620CA"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Pearl Therapeutics</w:t>
            </w:r>
          </w:p>
        </w:tc>
        <w:tc>
          <w:tcPr>
            <w:tcW w:w="1908" w:type="dxa"/>
            <w:tcBorders>
              <w:top w:val="nil"/>
              <w:left w:val="nil"/>
              <w:bottom w:val="single" w:sz="4" w:space="0" w:color="auto"/>
              <w:right w:val="nil"/>
            </w:tcBorders>
            <w:shd w:val="clear" w:color="000000" w:fill="FFFFFF"/>
            <w:noWrap/>
            <w:vAlign w:val="center"/>
            <w:hideMark/>
          </w:tcPr>
          <w:p w14:paraId="2F94D660"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8</w:t>
            </w:r>
          </w:p>
        </w:tc>
        <w:tc>
          <w:tcPr>
            <w:tcW w:w="2078" w:type="dxa"/>
            <w:tcBorders>
              <w:top w:val="nil"/>
              <w:left w:val="nil"/>
              <w:bottom w:val="single" w:sz="4" w:space="0" w:color="auto"/>
              <w:right w:val="nil"/>
            </w:tcBorders>
            <w:shd w:val="clear" w:color="000000" w:fill="FFFFFF"/>
            <w:noWrap/>
            <w:vAlign w:val="center"/>
            <w:hideMark/>
          </w:tcPr>
          <w:p w14:paraId="7BF0F76A"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545" w:type="dxa"/>
            <w:tcBorders>
              <w:top w:val="nil"/>
              <w:left w:val="nil"/>
              <w:bottom w:val="single" w:sz="4" w:space="0" w:color="auto"/>
              <w:right w:val="nil"/>
            </w:tcBorders>
            <w:shd w:val="clear" w:color="000000" w:fill="FFFFFF"/>
            <w:noWrap/>
            <w:vAlign w:val="center"/>
            <w:hideMark/>
          </w:tcPr>
          <w:p w14:paraId="665095D7"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A23232" w:rsidRPr="00476DF1" w14:paraId="4CF3DAB8" w14:textId="77777777" w:rsidTr="00016A93">
        <w:trPr>
          <w:trHeight w:val="333"/>
        </w:trPr>
        <w:tc>
          <w:tcPr>
            <w:tcW w:w="1276" w:type="dxa"/>
            <w:vMerge w:val="restart"/>
            <w:tcBorders>
              <w:top w:val="nil"/>
              <w:left w:val="nil"/>
              <w:right w:val="nil"/>
            </w:tcBorders>
            <w:shd w:val="clear" w:color="auto" w:fill="auto"/>
            <w:vAlign w:val="center"/>
            <w:hideMark/>
          </w:tcPr>
          <w:p w14:paraId="2D7E0FFF" w14:textId="1F098679"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GSK</w:t>
            </w:r>
          </w:p>
        </w:tc>
        <w:tc>
          <w:tcPr>
            <w:tcW w:w="2827" w:type="dxa"/>
            <w:gridSpan w:val="2"/>
            <w:tcBorders>
              <w:top w:val="nil"/>
              <w:left w:val="nil"/>
              <w:bottom w:val="single" w:sz="4" w:space="0" w:color="auto"/>
              <w:right w:val="nil"/>
            </w:tcBorders>
            <w:shd w:val="clear" w:color="000000" w:fill="FFFFFF"/>
            <w:vAlign w:val="center"/>
            <w:hideMark/>
          </w:tcPr>
          <w:p w14:paraId="58386EA5"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Reliant Pharmaceuticals</w:t>
            </w:r>
          </w:p>
        </w:tc>
        <w:tc>
          <w:tcPr>
            <w:tcW w:w="1908" w:type="dxa"/>
            <w:tcBorders>
              <w:top w:val="nil"/>
              <w:left w:val="nil"/>
              <w:bottom w:val="single" w:sz="4" w:space="0" w:color="auto"/>
              <w:right w:val="nil"/>
            </w:tcBorders>
            <w:shd w:val="clear" w:color="000000" w:fill="FFFFFF"/>
            <w:noWrap/>
            <w:vAlign w:val="center"/>
            <w:hideMark/>
          </w:tcPr>
          <w:p w14:paraId="07F994F3"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w:t>
            </w:r>
          </w:p>
        </w:tc>
        <w:tc>
          <w:tcPr>
            <w:tcW w:w="2078" w:type="dxa"/>
            <w:tcBorders>
              <w:top w:val="nil"/>
              <w:left w:val="nil"/>
              <w:bottom w:val="single" w:sz="4" w:space="0" w:color="auto"/>
              <w:right w:val="nil"/>
            </w:tcBorders>
            <w:shd w:val="clear" w:color="000000" w:fill="FFFFFF"/>
            <w:noWrap/>
            <w:vAlign w:val="center"/>
            <w:hideMark/>
          </w:tcPr>
          <w:p w14:paraId="0CD3DC10"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w:t>
            </w:r>
          </w:p>
        </w:tc>
        <w:tc>
          <w:tcPr>
            <w:tcW w:w="1545" w:type="dxa"/>
            <w:tcBorders>
              <w:top w:val="nil"/>
              <w:left w:val="nil"/>
              <w:bottom w:val="single" w:sz="4" w:space="0" w:color="auto"/>
              <w:right w:val="nil"/>
            </w:tcBorders>
            <w:shd w:val="clear" w:color="000000" w:fill="FFFFFF"/>
            <w:noWrap/>
            <w:vAlign w:val="center"/>
            <w:hideMark/>
          </w:tcPr>
          <w:p w14:paraId="36AE049D"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67%</w:t>
            </w:r>
          </w:p>
        </w:tc>
      </w:tr>
      <w:tr w:rsidR="00A23232" w:rsidRPr="00476DF1" w14:paraId="654B5E2B" w14:textId="77777777" w:rsidTr="00016A93">
        <w:trPr>
          <w:trHeight w:val="270"/>
        </w:trPr>
        <w:tc>
          <w:tcPr>
            <w:tcW w:w="1276" w:type="dxa"/>
            <w:vMerge/>
            <w:tcBorders>
              <w:left w:val="nil"/>
              <w:right w:val="nil"/>
            </w:tcBorders>
            <w:shd w:val="clear" w:color="auto" w:fill="auto"/>
            <w:vAlign w:val="center"/>
            <w:hideMark/>
          </w:tcPr>
          <w:p w14:paraId="421A9CF6"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12045439"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Praecis</w:t>
            </w:r>
          </w:p>
        </w:tc>
        <w:tc>
          <w:tcPr>
            <w:tcW w:w="1908" w:type="dxa"/>
            <w:tcBorders>
              <w:top w:val="nil"/>
              <w:left w:val="nil"/>
              <w:bottom w:val="single" w:sz="4" w:space="0" w:color="auto"/>
              <w:right w:val="nil"/>
            </w:tcBorders>
            <w:shd w:val="clear" w:color="000000" w:fill="FFFFFF"/>
            <w:noWrap/>
            <w:vAlign w:val="center"/>
            <w:hideMark/>
          </w:tcPr>
          <w:p w14:paraId="4B1FD3CA"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75</w:t>
            </w:r>
          </w:p>
        </w:tc>
        <w:tc>
          <w:tcPr>
            <w:tcW w:w="2078" w:type="dxa"/>
            <w:tcBorders>
              <w:top w:val="nil"/>
              <w:left w:val="nil"/>
              <w:bottom w:val="single" w:sz="4" w:space="0" w:color="auto"/>
              <w:right w:val="nil"/>
            </w:tcBorders>
            <w:shd w:val="clear" w:color="000000" w:fill="FFFFFF"/>
            <w:noWrap/>
            <w:vAlign w:val="center"/>
            <w:hideMark/>
          </w:tcPr>
          <w:p w14:paraId="1F0CD85B"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18</w:t>
            </w:r>
          </w:p>
        </w:tc>
        <w:tc>
          <w:tcPr>
            <w:tcW w:w="1545" w:type="dxa"/>
            <w:tcBorders>
              <w:top w:val="nil"/>
              <w:left w:val="nil"/>
              <w:bottom w:val="single" w:sz="4" w:space="0" w:color="auto"/>
              <w:right w:val="nil"/>
            </w:tcBorders>
            <w:shd w:val="clear" w:color="000000" w:fill="FFFFFF"/>
            <w:noWrap/>
            <w:vAlign w:val="center"/>
            <w:hideMark/>
          </w:tcPr>
          <w:p w14:paraId="4AD4EB15"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24%</w:t>
            </w:r>
          </w:p>
        </w:tc>
      </w:tr>
      <w:tr w:rsidR="00A23232" w:rsidRPr="00476DF1" w14:paraId="14F5C159" w14:textId="77777777" w:rsidTr="00016A93">
        <w:trPr>
          <w:trHeight w:val="316"/>
        </w:trPr>
        <w:tc>
          <w:tcPr>
            <w:tcW w:w="1276" w:type="dxa"/>
            <w:vMerge/>
            <w:tcBorders>
              <w:left w:val="nil"/>
              <w:right w:val="nil"/>
            </w:tcBorders>
            <w:shd w:val="clear" w:color="auto" w:fill="auto"/>
            <w:vAlign w:val="center"/>
            <w:hideMark/>
          </w:tcPr>
          <w:p w14:paraId="176873C9"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1D2EA988"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Domantis</w:t>
            </w:r>
          </w:p>
        </w:tc>
        <w:tc>
          <w:tcPr>
            <w:tcW w:w="1908" w:type="dxa"/>
            <w:tcBorders>
              <w:top w:val="nil"/>
              <w:left w:val="nil"/>
              <w:bottom w:val="single" w:sz="4" w:space="0" w:color="auto"/>
              <w:right w:val="nil"/>
            </w:tcBorders>
            <w:shd w:val="clear" w:color="000000" w:fill="FFFFFF"/>
            <w:noWrap/>
            <w:vAlign w:val="center"/>
            <w:hideMark/>
          </w:tcPr>
          <w:p w14:paraId="222A9323"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41</w:t>
            </w:r>
          </w:p>
        </w:tc>
        <w:tc>
          <w:tcPr>
            <w:tcW w:w="2078" w:type="dxa"/>
            <w:tcBorders>
              <w:top w:val="nil"/>
              <w:left w:val="nil"/>
              <w:bottom w:val="single" w:sz="4" w:space="0" w:color="auto"/>
              <w:right w:val="nil"/>
            </w:tcBorders>
            <w:shd w:val="clear" w:color="000000" w:fill="FFFFFF"/>
            <w:noWrap/>
            <w:vAlign w:val="center"/>
            <w:hideMark/>
          </w:tcPr>
          <w:p w14:paraId="565B5931"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6</w:t>
            </w:r>
          </w:p>
        </w:tc>
        <w:tc>
          <w:tcPr>
            <w:tcW w:w="1545" w:type="dxa"/>
            <w:tcBorders>
              <w:top w:val="nil"/>
              <w:left w:val="nil"/>
              <w:bottom w:val="single" w:sz="4" w:space="0" w:color="auto"/>
              <w:right w:val="nil"/>
            </w:tcBorders>
            <w:shd w:val="clear" w:color="000000" w:fill="FFFFFF"/>
            <w:noWrap/>
            <w:vAlign w:val="center"/>
            <w:hideMark/>
          </w:tcPr>
          <w:p w14:paraId="09797E7A"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15%</w:t>
            </w:r>
          </w:p>
        </w:tc>
      </w:tr>
      <w:tr w:rsidR="00A23232" w:rsidRPr="00476DF1" w14:paraId="41CB141D" w14:textId="77777777" w:rsidTr="00016A93">
        <w:trPr>
          <w:trHeight w:val="234"/>
        </w:trPr>
        <w:tc>
          <w:tcPr>
            <w:tcW w:w="1276" w:type="dxa"/>
            <w:vMerge/>
            <w:tcBorders>
              <w:left w:val="nil"/>
              <w:right w:val="nil"/>
            </w:tcBorders>
            <w:shd w:val="clear" w:color="auto" w:fill="auto"/>
            <w:vAlign w:val="center"/>
            <w:hideMark/>
          </w:tcPr>
          <w:p w14:paraId="3307418F"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386AD6B4"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Corixa</w:t>
            </w:r>
          </w:p>
        </w:tc>
        <w:tc>
          <w:tcPr>
            <w:tcW w:w="1908" w:type="dxa"/>
            <w:tcBorders>
              <w:top w:val="nil"/>
              <w:left w:val="nil"/>
              <w:bottom w:val="single" w:sz="4" w:space="0" w:color="auto"/>
              <w:right w:val="nil"/>
            </w:tcBorders>
            <w:shd w:val="clear" w:color="000000" w:fill="FFFFFF"/>
            <w:noWrap/>
            <w:vAlign w:val="center"/>
            <w:hideMark/>
          </w:tcPr>
          <w:p w14:paraId="75BB835D"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124</w:t>
            </w:r>
          </w:p>
        </w:tc>
        <w:tc>
          <w:tcPr>
            <w:tcW w:w="2078" w:type="dxa"/>
            <w:tcBorders>
              <w:top w:val="nil"/>
              <w:left w:val="nil"/>
              <w:bottom w:val="single" w:sz="4" w:space="0" w:color="auto"/>
              <w:right w:val="nil"/>
            </w:tcBorders>
            <w:shd w:val="clear" w:color="000000" w:fill="FFFFFF"/>
            <w:noWrap/>
            <w:vAlign w:val="center"/>
            <w:hideMark/>
          </w:tcPr>
          <w:p w14:paraId="35AB8E08"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17</w:t>
            </w:r>
          </w:p>
        </w:tc>
        <w:tc>
          <w:tcPr>
            <w:tcW w:w="1545" w:type="dxa"/>
            <w:tcBorders>
              <w:top w:val="nil"/>
              <w:left w:val="nil"/>
              <w:bottom w:val="single" w:sz="4" w:space="0" w:color="auto"/>
              <w:right w:val="nil"/>
            </w:tcBorders>
            <w:shd w:val="clear" w:color="000000" w:fill="FFFFFF"/>
            <w:noWrap/>
            <w:vAlign w:val="center"/>
            <w:hideMark/>
          </w:tcPr>
          <w:p w14:paraId="11749D81"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14%</w:t>
            </w:r>
          </w:p>
        </w:tc>
      </w:tr>
      <w:tr w:rsidR="00A23232" w:rsidRPr="00476DF1" w14:paraId="25379959" w14:textId="77777777" w:rsidTr="00016A93">
        <w:trPr>
          <w:trHeight w:val="238"/>
        </w:trPr>
        <w:tc>
          <w:tcPr>
            <w:tcW w:w="1276" w:type="dxa"/>
            <w:vMerge/>
            <w:tcBorders>
              <w:left w:val="nil"/>
              <w:right w:val="nil"/>
            </w:tcBorders>
            <w:shd w:val="clear" w:color="auto" w:fill="auto"/>
            <w:vAlign w:val="center"/>
            <w:hideMark/>
          </w:tcPr>
          <w:p w14:paraId="26CF637E"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7D28B322"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ID Biomedical</w:t>
            </w:r>
          </w:p>
        </w:tc>
        <w:tc>
          <w:tcPr>
            <w:tcW w:w="1908" w:type="dxa"/>
            <w:tcBorders>
              <w:top w:val="nil"/>
              <w:left w:val="nil"/>
              <w:bottom w:val="single" w:sz="4" w:space="0" w:color="auto"/>
              <w:right w:val="nil"/>
            </w:tcBorders>
            <w:shd w:val="clear" w:color="000000" w:fill="FFFFFF"/>
            <w:noWrap/>
            <w:vAlign w:val="center"/>
            <w:hideMark/>
          </w:tcPr>
          <w:p w14:paraId="1D6D21CE"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46</w:t>
            </w:r>
          </w:p>
        </w:tc>
        <w:tc>
          <w:tcPr>
            <w:tcW w:w="2078" w:type="dxa"/>
            <w:tcBorders>
              <w:top w:val="nil"/>
              <w:left w:val="nil"/>
              <w:bottom w:val="single" w:sz="4" w:space="0" w:color="auto"/>
              <w:right w:val="nil"/>
            </w:tcBorders>
            <w:shd w:val="clear" w:color="000000" w:fill="FFFFFF"/>
            <w:noWrap/>
            <w:vAlign w:val="center"/>
            <w:hideMark/>
          </w:tcPr>
          <w:p w14:paraId="7EB69873"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w:t>
            </w:r>
          </w:p>
        </w:tc>
        <w:tc>
          <w:tcPr>
            <w:tcW w:w="1545" w:type="dxa"/>
            <w:tcBorders>
              <w:top w:val="nil"/>
              <w:left w:val="nil"/>
              <w:bottom w:val="single" w:sz="4" w:space="0" w:color="auto"/>
              <w:right w:val="nil"/>
            </w:tcBorders>
            <w:shd w:val="clear" w:color="000000" w:fill="FFFFFF"/>
            <w:noWrap/>
            <w:vAlign w:val="center"/>
            <w:hideMark/>
          </w:tcPr>
          <w:p w14:paraId="3E0371F5"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11%</w:t>
            </w:r>
          </w:p>
        </w:tc>
      </w:tr>
      <w:tr w:rsidR="00A23232" w:rsidRPr="00476DF1" w14:paraId="46DEC8F1" w14:textId="77777777" w:rsidTr="00016A93">
        <w:trPr>
          <w:trHeight w:val="350"/>
        </w:trPr>
        <w:tc>
          <w:tcPr>
            <w:tcW w:w="1276" w:type="dxa"/>
            <w:vMerge/>
            <w:tcBorders>
              <w:left w:val="nil"/>
              <w:right w:val="nil"/>
            </w:tcBorders>
            <w:shd w:val="clear" w:color="auto" w:fill="auto"/>
            <w:vAlign w:val="center"/>
            <w:hideMark/>
          </w:tcPr>
          <w:p w14:paraId="6102C0E6"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41AF2207"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Cellzome</w:t>
            </w:r>
          </w:p>
        </w:tc>
        <w:tc>
          <w:tcPr>
            <w:tcW w:w="1908" w:type="dxa"/>
            <w:tcBorders>
              <w:top w:val="nil"/>
              <w:left w:val="nil"/>
              <w:bottom w:val="single" w:sz="4" w:space="0" w:color="auto"/>
              <w:right w:val="nil"/>
            </w:tcBorders>
            <w:shd w:val="clear" w:color="000000" w:fill="FFFFFF"/>
            <w:noWrap/>
            <w:vAlign w:val="center"/>
            <w:hideMark/>
          </w:tcPr>
          <w:p w14:paraId="76B944A6"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41</w:t>
            </w:r>
          </w:p>
        </w:tc>
        <w:tc>
          <w:tcPr>
            <w:tcW w:w="2078" w:type="dxa"/>
            <w:tcBorders>
              <w:top w:val="nil"/>
              <w:left w:val="nil"/>
              <w:bottom w:val="single" w:sz="4" w:space="0" w:color="auto"/>
              <w:right w:val="nil"/>
            </w:tcBorders>
            <w:shd w:val="clear" w:color="000000" w:fill="FFFFFF"/>
            <w:noWrap/>
            <w:vAlign w:val="center"/>
            <w:hideMark/>
          </w:tcPr>
          <w:p w14:paraId="3C8B99E7"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w:t>
            </w:r>
          </w:p>
        </w:tc>
        <w:tc>
          <w:tcPr>
            <w:tcW w:w="1545" w:type="dxa"/>
            <w:tcBorders>
              <w:top w:val="nil"/>
              <w:left w:val="nil"/>
              <w:bottom w:val="single" w:sz="4" w:space="0" w:color="auto"/>
              <w:right w:val="nil"/>
            </w:tcBorders>
            <w:shd w:val="clear" w:color="000000" w:fill="FFFFFF"/>
            <w:noWrap/>
            <w:vAlign w:val="center"/>
            <w:hideMark/>
          </w:tcPr>
          <w:p w14:paraId="529C07A9"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10%</w:t>
            </w:r>
          </w:p>
        </w:tc>
      </w:tr>
      <w:tr w:rsidR="00A23232" w:rsidRPr="00476DF1" w14:paraId="4B83288C" w14:textId="77777777" w:rsidTr="00016A93">
        <w:trPr>
          <w:trHeight w:val="355"/>
        </w:trPr>
        <w:tc>
          <w:tcPr>
            <w:tcW w:w="1276" w:type="dxa"/>
            <w:vMerge/>
            <w:tcBorders>
              <w:left w:val="nil"/>
              <w:right w:val="nil"/>
            </w:tcBorders>
            <w:shd w:val="clear" w:color="auto" w:fill="auto"/>
            <w:vAlign w:val="center"/>
            <w:hideMark/>
          </w:tcPr>
          <w:p w14:paraId="6BCFAAA0"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18D1BD9B"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Genelabs Techn.</w:t>
            </w:r>
          </w:p>
        </w:tc>
        <w:tc>
          <w:tcPr>
            <w:tcW w:w="1908" w:type="dxa"/>
            <w:tcBorders>
              <w:top w:val="nil"/>
              <w:left w:val="nil"/>
              <w:bottom w:val="single" w:sz="4" w:space="0" w:color="auto"/>
              <w:right w:val="nil"/>
            </w:tcBorders>
            <w:shd w:val="clear" w:color="000000" w:fill="FFFFFF"/>
            <w:noWrap/>
            <w:vAlign w:val="center"/>
            <w:hideMark/>
          </w:tcPr>
          <w:p w14:paraId="416391FD"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101</w:t>
            </w:r>
          </w:p>
        </w:tc>
        <w:tc>
          <w:tcPr>
            <w:tcW w:w="2078" w:type="dxa"/>
            <w:tcBorders>
              <w:top w:val="nil"/>
              <w:left w:val="nil"/>
              <w:bottom w:val="single" w:sz="4" w:space="0" w:color="auto"/>
              <w:right w:val="nil"/>
            </w:tcBorders>
            <w:shd w:val="clear" w:color="000000" w:fill="FFFFFF"/>
            <w:noWrap/>
            <w:vAlign w:val="center"/>
            <w:hideMark/>
          </w:tcPr>
          <w:p w14:paraId="23E476F8"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w:t>
            </w:r>
          </w:p>
        </w:tc>
        <w:tc>
          <w:tcPr>
            <w:tcW w:w="1545" w:type="dxa"/>
            <w:tcBorders>
              <w:top w:val="nil"/>
              <w:left w:val="nil"/>
              <w:bottom w:val="single" w:sz="4" w:space="0" w:color="auto"/>
              <w:right w:val="nil"/>
            </w:tcBorders>
            <w:shd w:val="clear" w:color="000000" w:fill="FFFFFF"/>
            <w:noWrap/>
            <w:vAlign w:val="center"/>
            <w:hideMark/>
          </w:tcPr>
          <w:p w14:paraId="0EB4DCB1"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w:t>
            </w:r>
          </w:p>
        </w:tc>
      </w:tr>
      <w:tr w:rsidR="00A23232" w:rsidRPr="00476DF1" w14:paraId="57272AD4" w14:textId="77777777" w:rsidTr="00016A93">
        <w:trPr>
          <w:trHeight w:val="333"/>
        </w:trPr>
        <w:tc>
          <w:tcPr>
            <w:tcW w:w="1276" w:type="dxa"/>
            <w:vMerge/>
            <w:tcBorders>
              <w:left w:val="nil"/>
              <w:right w:val="nil"/>
            </w:tcBorders>
            <w:shd w:val="clear" w:color="auto" w:fill="auto"/>
            <w:vAlign w:val="center"/>
            <w:hideMark/>
          </w:tcPr>
          <w:p w14:paraId="01B7702F"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75576F12"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Human Genome Science</w:t>
            </w:r>
          </w:p>
        </w:tc>
        <w:tc>
          <w:tcPr>
            <w:tcW w:w="1908" w:type="dxa"/>
            <w:tcBorders>
              <w:top w:val="nil"/>
              <w:left w:val="nil"/>
              <w:bottom w:val="single" w:sz="4" w:space="0" w:color="auto"/>
              <w:right w:val="nil"/>
            </w:tcBorders>
            <w:shd w:val="clear" w:color="000000" w:fill="FFFFFF"/>
            <w:noWrap/>
            <w:vAlign w:val="center"/>
            <w:hideMark/>
          </w:tcPr>
          <w:p w14:paraId="364D07FE"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214</w:t>
            </w:r>
          </w:p>
        </w:tc>
        <w:tc>
          <w:tcPr>
            <w:tcW w:w="2078" w:type="dxa"/>
            <w:tcBorders>
              <w:top w:val="nil"/>
              <w:left w:val="nil"/>
              <w:bottom w:val="single" w:sz="4" w:space="0" w:color="auto"/>
              <w:right w:val="nil"/>
            </w:tcBorders>
            <w:shd w:val="clear" w:color="000000" w:fill="FFFFFF"/>
            <w:noWrap/>
            <w:vAlign w:val="center"/>
            <w:hideMark/>
          </w:tcPr>
          <w:p w14:paraId="44386ED2"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w:t>
            </w:r>
          </w:p>
        </w:tc>
        <w:tc>
          <w:tcPr>
            <w:tcW w:w="1545" w:type="dxa"/>
            <w:tcBorders>
              <w:top w:val="nil"/>
              <w:left w:val="nil"/>
              <w:bottom w:val="single" w:sz="4" w:space="0" w:color="auto"/>
              <w:right w:val="nil"/>
            </w:tcBorders>
            <w:shd w:val="clear" w:color="000000" w:fill="FFFFFF"/>
            <w:noWrap/>
            <w:vAlign w:val="center"/>
            <w:hideMark/>
          </w:tcPr>
          <w:p w14:paraId="44003612"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r>
      <w:tr w:rsidR="00A23232" w:rsidRPr="00476DF1" w14:paraId="33F67CA5" w14:textId="77777777" w:rsidTr="00016A93">
        <w:trPr>
          <w:trHeight w:val="289"/>
        </w:trPr>
        <w:tc>
          <w:tcPr>
            <w:tcW w:w="1276" w:type="dxa"/>
            <w:vMerge/>
            <w:tcBorders>
              <w:left w:val="nil"/>
              <w:right w:val="nil"/>
            </w:tcBorders>
            <w:shd w:val="clear" w:color="auto" w:fill="auto"/>
            <w:vAlign w:val="center"/>
            <w:hideMark/>
          </w:tcPr>
          <w:p w14:paraId="14A2DC23"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nil"/>
              <w:left w:val="nil"/>
              <w:bottom w:val="single" w:sz="4" w:space="0" w:color="auto"/>
              <w:right w:val="nil"/>
            </w:tcBorders>
            <w:shd w:val="clear" w:color="000000" w:fill="FFFFFF"/>
            <w:vAlign w:val="center"/>
            <w:hideMark/>
          </w:tcPr>
          <w:p w14:paraId="46E3EB61"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Stiefel Laboratories</w:t>
            </w:r>
          </w:p>
        </w:tc>
        <w:tc>
          <w:tcPr>
            <w:tcW w:w="1908" w:type="dxa"/>
            <w:tcBorders>
              <w:top w:val="nil"/>
              <w:left w:val="nil"/>
              <w:bottom w:val="single" w:sz="4" w:space="0" w:color="auto"/>
              <w:right w:val="nil"/>
            </w:tcBorders>
            <w:shd w:val="clear" w:color="000000" w:fill="FFFFFF"/>
            <w:noWrap/>
            <w:vAlign w:val="center"/>
            <w:hideMark/>
          </w:tcPr>
          <w:p w14:paraId="30C9B8B6"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35</w:t>
            </w:r>
          </w:p>
        </w:tc>
        <w:tc>
          <w:tcPr>
            <w:tcW w:w="2078" w:type="dxa"/>
            <w:tcBorders>
              <w:top w:val="nil"/>
              <w:left w:val="nil"/>
              <w:bottom w:val="single" w:sz="4" w:space="0" w:color="auto"/>
              <w:right w:val="nil"/>
            </w:tcBorders>
            <w:shd w:val="clear" w:color="000000" w:fill="FFFFFF"/>
            <w:noWrap/>
            <w:vAlign w:val="center"/>
            <w:hideMark/>
          </w:tcPr>
          <w:p w14:paraId="45BFFB1A"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545" w:type="dxa"/>
            <w:tcBorders>
              <w:top w:val="nil"/>
              <w:left w:val="nil"/>
              <w:bottom w:val="single" w:sz="4" w:space="0" w:color="auto"/>
              <w:right w:val="nil"/>
            </w:tcBorders>
            <w:shd w:val="clear" w:color="000000" w:fill="FFFFFF"/>
            <w:noWrap/>
            <w:vAlign w:val="center"/>
            <w:hideMark/>
          </w:tcPr>
          <w:p w14:paraId="7110FE3E"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A23232" w:rsidRPr="00476DF1" w14:paraId="6BCD63EB" w14:textId="77777777" w:rsidTr="00016A93">
        <w:trPr>
          <w:trHeight w:val="289"/>
        </w:trPr>
        <w:tc>
          <w:tcPr>
            <w:tcW w:w="1276" w:type="dxa"/>
            <w:vMerge/>
            <w:tcBorders>
              <w:left w:val="nil"/>
              <w:bottom w:val="single" w:sz="4" w:space="0" w:color="auto"/>
              <w:right w:val="nil"/>
            </w:tcBorders>
            <w:shd w:val="clear" w:color="auto" w:fill="auto"/>
            <w:vAlign w:val="center"/>
          </w:tcPr>
          <w:p w14:paraId="1218A3FB" w14:textId="77777777" w:rsidR="00A23232" w:rsidRPr="00476DF1" w:rsidRDefault="00A23232" w:rsidP="00A23232">
            <w:pPr>
              <w:spacing w:after="0" w:line="240" w:lineRule="auto"/>
              <w:rPr>
                <w:rFonts w:ascii="Times New Roman" w:eastAsia="Times New Roman" w:hAnsi="Times New Roman"/>
                <w:color w:val="000000"/>
                <w:sz w:val="20"/>
                <w:szCs w:val="20"/>
              </w:rPr>
            </w:pPr>
          </w:p>
        </w:tc>
        <w:tc>
          <w:tcPr>
            <w:tcW w:w="2827" w:type="dxa"/>
            <w:gridSpan w:val="2"/>
            <w:tcBorders>
              <w:top w:val="single" w:sz="4" w:space="0" w:color="auto"/>
              <w:left w:val="nil"/>
              <w:bottom w:val="single" w:sz="4" w:space="0" w:color="auto"/>
              <w:right w:val="nil"/>
            </w:tcBorders>
            <w:shd w:val="clear" w:color="000000" w:fill="FFFFFF"/>
            <w:vAlign w:val="center"/>
          </w:tcPr>
          <w:p w14:paraId="56578616"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Sirtirs</w:t>
            </w:r>
          </w:p>
        </w:tc>
        <w:tc>
          <w:tcPr>
            <w:tcW w:w="1908" w:type="dxa"/>
            <w:tcBorders>
              <w:top w:val="single" w:sz="4" w:space="0" w:color="auto"/>
              <w:left w:val="nil"/>
              <w:bottom w:val="single" w:sz="4" w:space="0" w:color="auto"/>
              <w:right w:val="nil"/>
            </w:tcBorders>
            <w:shd w:val="clear" w:color="000000" w:fill="FFFFFF"/>
            <w:noWrap/>
            <w:vAlign w:val="center"/>
          </w:tcPr>
          <w:p w14:paraId="76BFD2C7"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23</w:t>
            </w:r>
          </w:p>
        </w:tc>
        <w:tc>
          <w:tcPr>
            <w:tcW w:w="2078" w:type="dxa"/>
            <w:tcBorders>
              <w:top w:val="single" w:sz="4" w:space="0" w:color="auto"/>
              <w:left w:val="nil"/>
              <w:bottom w:val="single" w:sz="4" w:space="0" w:color="auto"/>
              <w:right w:val="nil"/>
            </w:tcBorders>
            <w:shd w:val="clear" w:color="000000" w:fill="FFFFFF"/>
            <w:noWrap/>
            <w:vAlign w:val="center"/>
          </w:tcPr>
          <w:p w14:paraId="380625DD"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c>
          <w:tcPr>
            <w:tcW w:w="1545" w:type="dxa"/>
            <w:tcBorders>
              <w:top w:val="single" w:sz="4" w:space="0" w:color="auto"/>
              <w:left w:val="nil"/>
              <w:bottom w:val="single" w:sz="4" w:space="0" w:color="auto"/>
              <w:right w:val="nil"/>
            </w:tcBorders>
            <w:shd w:val="clear" w:color="000000" w:fill="FFFFFF"/>
            <w:noWrap/>
            <w:vAlign w:val="center"/>
          </w:tcPr>
          <w:p w14:paraId="5EE755A4" w14:textId="77777777" w:rsidR="00A23232" w:rsidRPr="00476DF1" w:rsidRDefault="00A23232" w:rsidP="00A23232">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bl>
    <w:p w14:paraId="7B5AF835" w14:textId="0765D117" w:rsidR="00416240" w:rsidRPr="00476DF1" w:rsidRDefault="00416240" w:rsidP="00CE4BBE">
      <w:pPr>
        <w:spacing w:after="0" w:line="240" w:lineRule="auto"/>
        <w:rPr>
          <w:rFonts w:ascii="Times New Roman" w:hAnsi="Times New Roman"/>
          <w:sz w:val="16"/>
          <w:szCs w:val="16"/>
        </w:rPr>
      </w:pPr>
      <w:r w:rsidRPr="00476DF1">
        <w:rPr>
          <w:rFonts w:ascii="Times New Roman" w:hAnsi="Times New Roman"/>
          <w:sz w:val="16"/>
          <w:szCs w:val="16"/>
        </w:rPr>
        <w:t>Source: Own elaboration</w:t>
      </w:r>
    </w:p>
    <w:p w14:paraId="2E05CB16" w14:textId="4F07D7E1" w:rsidR="00007EBA" w:rsidRPr="00476DF1" w:rsidRDefault="002C3F12"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The skills contribution </w:t>
      </w:r>
      <w:r w:rsidR="00140AE5" w:rsidRPr="00476DF1">
        <w:rPr>
          <w:rFonts w:ascii="Times New Roman" w:hAnsi="Times New Roman"/>
          <w:sz w:val="24"/>
          <w:szCs w:val="24"/>
        </w:rPr>
        <w:t xml:space="preserve">is </w:t>
      </w:r>
      <w:r w:rsidRPr="00476DF1">
        <w:rPr>
          <w:rFonts w:ascii="Times New Roman" w:hAnsi="Times New Roman"/>
          <w:sz w:val="24"/>
          <w:szCs w:val="24"/>
        </w:rPr>
        <w:t xml:space="preserve">relevant when </w:t>
      </w:r>
      <w:r w:rsidR="00140AE5" w:rsidRPr="00476DF1">
        <w:rPr>
          <w:rFonts w:ascii="Times New Roman" w:hAnsi="Times New Roman"/>
          <w:sz w:val="24"/>
          <w:szCs w:val="24"/>
        </w:rPr>
        <w:t>considering that the group of acquirers (the</w:t>
      </w:r>
      <w:r w:rsidR="00BA5564" w:rsidRPr="00476DF1">
        <w:rPr>
          <w:rFonts w:ascii="Times New Roman" w:hAnsi="Times New Roman"/>
          <w:sz w:val="24"/>
          <w:szCs w:val="24"/>
        </w:rPr>
        <w:t xml:space="preserve"> 8 </w:t>
      </w:r>
      <w:r w:rsidR="00726537" w:rsidRPr="00476DF1">
        <w:rPr>
          <w:rFonts w:ascii="Times New Roman" w:hAnsi="Times New Roman"/>
          <w:sz w:val="24"/>
          <w:szCs w:val="24"/>
        </w:rPr>
        <w:t>Big Pharma</w:t>
      </w:r>
      <w:r w:rsidR="00636566" w:rsidRPr="00476DF1">
        <w:rPr>
          <w:rFonts w:ascii="Times New Roman" w:hAnsi="Times New Roman"/>
          <w:sz w:val="24"/>
          <w:szCs w:val="24"/>
        </w:rPr>
        <w:t xml:space="preserve"> </w:t>
      </w:r>
      <w:r w:rsidR="00140AE5" w:rsidRPr="00476DF1">
        <w:rPr>
          <w:rFonts w:ascii="Times New Roman" w:hAnsi="Times New Roman"/>
          <w:sz w:val="24"/>
          <w:szCs w:val="24"/>
        </w:rPr>
        <w:t>firms)</w:t>
      </w:r>
      <w:r w:rsidRPr="00476DF1">
        <w:rPr>
          <w:rFonts w:ascii="Times New Roman" w:hAnsi="Times New Roman"/>
          <w:sz w:val="24"/>
          <w:szCs w:val="24"/>
        </w:rPr>
        <w:t xml:space="preserve"> </w:t>
      </w:r>
      <w:r w:rsidR="00BA5564" w:rsidRPr="00476DF1">
        <w:rPr>
          <w:rFonts w:ascii="Times New Roman" w:hAnsi="Times New Roman"/>
          <w:sz w:val="24"/>
          <w:szCs w:val="24"/>
        </w:rPr>
        <w:t xml:space="preserve">incorporated inventors from </w:t>
      </w:r>
      <w:r w:rsidR="00636566" w:rsidRPr="00476DF1">
        <w:rPr>
          <w:rFonts w:ascii="Times New Roman" w:hAnsi="Times New Roman"/>
          <w:sz w:val="24"/>
          <w:szCs w:val="24"/>
        </w:rPr>
        <w:t xml:space="preserve">some of </w:t>
      </w:r>
      <w:r w:rsidR="00BA5564" w:rsidRPr="00476DF1">
        <w:rPr>
          <w:rFonts w:ascii="Times New Roman" w:hAnsi="Times New Roman"/>
          <w:sz w:val="24"/>
          <w:szCs w:val="24"/>
        </w:rPr>
        <w:t>its acquisitions targets.</w:t>
      </w:r>
      <w:r w:rsidRPr="00476DF1">
        <w:rPr>
          <w:rFonts w:ascii="Times New Roman" w:hAnsi="Times New Roman"/>
          <w:sz w:val="24"/>
          <w:szCs w:val="24"/>
        </w:rPr>
        <w:t xml:space="preserve"> </w:t>
      </w:r>
      <w:r w:rsidR="00BA5564" w:rsidRPr="00476DF1">
        <w:rPr>
          <w:rFonts w:ascii="Times New Roman" w:hAnsi="Times New Roman"/>
          <w:sz w:val="24"/>
          <w:szCs w:val="24"/>
        </w:rPr>
        <w:t xml:space="preserve">Among all </w:t>
      </w:r>
      <w:r w:rsidR="00140AE5" w:rsidRPr="00476DF1">
        <w:rPr>
          <w:rFonts w:ascii="Times New Roman" w:hAnsi="Times New Roman"/>
          <w:sz w:val="24"/>
          <w:szCs w:val="24"/>
        </w:rPr>
        <w:t xml:space="preserve">of </w:t>
      </w:r>
      <w:r w:rsidR="00BA5564" w:rsidRPr="00476DF1">
        <w:rPr>
          <w:rFonts w:ascii="Times New Roman" w:hAnsi="Times New Roman"/>
          <w:sz w:val="24"/>
          <w:szCs w:val="24"/>
        </w:rPr>
        <w:t xml:space="preserve">the small enterprises acquired, 40% </w:t>
      </w:r>
      <w:r w:rsidRPr="00476DF1">
        <w:rPr>
          <w:rFonts w:ascii="Times New Roman" w:hAnsi="Times New Roman"/>
          <w:sz w:val="24"/>
          <w:szCs w:val="24"/>
        </w:rPr>
        <w:lastRenderedPageBreak/>
        <w:t>contributed skills</w:t>
      </w:r>
      <w:r w:rsidR="00BA5564" w:rsidRPr="00476DF1">
        <w:rPr>
          <w:rFonts w:ascii="Times New Roman" w:hAnsi="Times New Roman"/>
          <w:sz w:val="24"/>
          <w:szCs w:val="24"/>
        </w:rPr>
        <w:t xml:space="preserve"> </w:t>
      </w:r>
      <w:r w:rsidR="00140AE5" w:rsidRPr="00476DF1">
        <w:rPr>
          <w:rFonts w:ascii="Times New Roman" w:hAnsi="Times New Roman"/>
          <w:sz w:val="24"/>
          <w:szCs w:val="24"/>
        </w:rPr>
        <w:t xml:space="preserve">to </w:t>
      </w:r>
      <w:r w:rsidR="00BA5564" w:rsidRPr="00476DF1">
        <w:rPr>
          <w:rFonts w:ascii="Times New Roman" w:hAnsi="Times New Roman"/>
          <w:sz w:val="24"/>
          <w:szCs w:val="24"/>
        </w:rPr>
        <w:t>some degree</w:t>
      </w:r>
      <w:r w:rsidRPr="00476DF1">
        <w:rPr>
          <w:rFonts w:ascii="Times New Roman" w:hAnsi="Times New Roman"/>
          <w:sz w:val="24"/>
          <w:szCs w:val="24"/>
        </w:rPr>
        <w:t xml:space="preserve">. </w:t>
      </w:r>
      <w:r w:rsidR="00140AE5" w:rsidRPr="00476DF1">
        <w:rPr>
          <w:rFonts w:ascii="Times New Roman" w:hAnsi="Times New Roman"/>
          <w:sz w:val="24"/>
          <w:szCs w:val="24"/>
        </w:rPr>
        <w:t xml:space="preserve">Figure </w:t>
      </w:r>
      <w:r w:rsidR="009D7A0F" w:rsidRPr="00476DF1">
        <w:rPr>
          <w:rFonts w:ascii="Times New Roman" w:hAnsi="Times New Roman"/>
          <w:sz w:val="24"/>
          <w:szCs w:val="24"/>
        </w:rPr>
        <w:t>3</w:t>
      </w:r>
      <w:r w:rsidR="00140AE5" w:rsidRPr="00476DF1">
        <w:rPr>
          <w:rFonts w:ascii="Times New Roman" w:hAnsi="Times New Roman"/>
          <w:sz w:val="24"/>
          <w:szCs w:val="24"/>
        </w:rPr>
        <w:t xml:space="preserve"> provides a broader</w:t>
      </w:r>
      <w:r w:rsidR="00BA5564" w:rsidRPr="00476DF1">
        <w:rPr>
          <w:rFonts w:ascii="Times New Roman" w:hAnsi="Times New Roman"/>
          <w:sz w:val="24"/>
          <w:szCs w:val="24"/>
        </w:rPr>
        <w:t xml:space="preserve"> vie</w:t>
      </w:r>
      <w:r w:rsidR="006D1DF1" w:rsidRPr="00476DF1">
        <w:rPr>
          <w:rFonts w:ascii="Times New Roman" w:hAnsi="Times New Roman"/>
          <w:sz w:val="24"/>
          <w:szCs w:val="24"/>
        </w:rPr>
        <w:t>w</w:t>
      </w:r>
      <w:r w:rsidR="00BA5564" w:rsidRPr="00476DF1">
        <w:rPr>
          <w:rFonts w:ascii="Times New Roman" w:hAnsi="Times New Roman"/>
          <w:sz w:val="24"/>
          <w:szCs w:val="24"/>
        </w:rPr>
        <w:t xml:space="preserve"> of skill</w:t>
      </w:r>
      <w:r w:rsidR="00140AE5" w:rsidRPr="00476DF1">
        <w:rPr>
          <w:rFonts w:ascii="Times New Roman" w:hAnsi="Times New Roman"/>
          <w:sz w:val="24"/>
          <w:szCs w:val="24"/>
        </w:rPr>
        <w:t>s</w:t>
      </w:r>
      <w:r w:rsidR="00BA5564" w:rsidRPr="00476DF1">
        <w:rPr>
          <w:rFonts w:ascii="Times New Roman" w:hAnsi="Times New Roman"/>
          <w:sz w:val="24"/>
          <w:szCs w:val="24"/>
        </w:rPr>
        <w:t xml:space="preserve"> contribution</w:t>
      </w:r>
      <w:r w:rsidR="00140AE5" w:rsidRPr="00476DF1">
        <w:rPr>
          <w:rFonts w:ascii="Times New Roman" w:hAnsi="Times New Roman"/>
          <w:sz w:val="24"/>
          <w:szCs w:val="24"/>
        </w:rPr>
        <w:t xml:space="preserve"> by comparing</w:t>
      </w:r>
      <w:r w:rsidR="00AC3223" w:rsidRPr="00476DF1">
        <w:rPr>
          <w:rFonts w:ascii="Times New Roman" w:hAnsi="Times New Roman"/>
          <w:sz w:val="24"/>
          <w:szCs w:val="24"/>
        </w:rPr>
        <w:t xml:space="preserve"> the </w:t>
      </w:r>
      <w:r w:rsidR="00636566" w:rsidRPr="00476DF1">
        <w:rPr>
          <w:rFonts w:ascii="Times New Roman" w:hAnsi="Times New Roman"/>
          <w:sz w:val="24"/>
          <w:szCs w:val="24"/>
        </w:rPr>
        <w:t xml:space="preserve">sample’s </w:t>
      </w:r>
      <w:r w:rsidR="00AC3223" w:rsidRPr="00476DF1">
        <w:rPr>
          <w:rFonts w:ascii="Times New Roman" w:hAnsi="Times New Roman"/>
          <w:sz w:val="24"/>
          <w:szCs w:val="24"/>
        </w:rPr>
        <w:t>average use of invento</w:t>
      </w:r>
      <w:r w:rsidR="006D1DF1" w:rsidRPr="00476DF1">
        <w:rPr>
          <w:rFonts w:ascii="Times New Roman" w:hAnsi="Times New Roman"/>
          <w:sz w:val="24"/>
          <w:szCs w:val="24"/>
        </w:rPr>
        <w:t>r</w:t>
      </w:r>
      <w:r w:rsidR="00AC3223" w:rsidRPr="00476DF1">
        <w:rPr>
          <w:rFonts w:ascii="Times New Roman" w:hAnsi="Times New Roman"/>
          <w:sz w:val="24"/>
          <w:szCs w:val="24"/>
        </w:rPr>
        <w:t xml:space="preserve">s </w:t>
      </w:r>
      <w:r w:rsidR="00636566" w:rsidRPr="00476DF1">
        <w:rPr>
          <w:rFonts w:ascii="Times New Roman" w:hAnsi="Times New Roman"/>
          <w:sz w:val="24"/>
          <w:szCs w:val="24"/>
        </w:rPr>
        <w:t xml:space="preserve">with each </w:t>
      </w:r>
      <w:r w:rsidR="00726537" w:rsidRPr="00476DF1">
        <w:rPr>
          <w:rFonts w:ascii="Times New Roman" w:hAnsi="Times New Roman"/>
          <w:sz w:val="24"/>
          <w:szCs w:val="24"/>
        </w:rPr>
        <w:t>Big Pharma</w:t>
      </w:r>
      <w:r w:rsidR="006D1DF1" w:rsidRPr="00476DF1">
        <w:rPr>
          <w:rFonts w:ascii="Times New Roman" w:hAnsi="Times New Roman"/>
          <w:sz w:val="24"/>
          <w:szCs w:val="24"/>
        </w:rPr>
        <w:t xml:space="preserve"> </w:t>
      </w:r>
      <w:r w:rsidR="00636566" w:rsidRPr="00476DF1">
        <w:rPr>
          <w:rFonts w:ascii="Times New Roman" w:hAnsi="Times New Roman"/>
          <w:sz w:val="24"/>
          <w:szCs w:val="24"/>
        </w:rPr>
        <w:t>average use of inventors</w:t>
      </w:r>
      <w:r w:rsidR="006D1DF1" w:rsidRPr="00476DF1">
        <w:rPr>
          <w:rFonts w:ascii="Times New Roman" w:hAnsi="Times New Roman"/>
          <w:sz w:val="24"/>
          <w:szCs w:val="24"/>
        </w:rPr>
        <w:t>.</w:t>
      </w:r>
    </w:p>
    <w:p w14:paraId="49BA7C83" w14:textId="77777777" w:rsidR="00581667" w:rsidRPr="00476DF1" w:rsidRDefault="00581667" w:rsidP="00A23232">
      <w:pPr>
        <w:spacing w:after="0" w:line="240" w:lineRule="auto"/>
        <w:jc w:val="both"/>
        <w:rPr>
          <w:rFonts w:ascii="Times New Roman" w:hAnsi="Times New Roman"/>
          <w:b/>
          <w:sz w:val="24"/>
          <w:szCs w:val="24"/>
        </w:rPr>
      </w:pPr>
    </w:p>
    <w:p w14:paraId="528B5455" w14:textId="267064AE" w:rsidR="00811741" w:rsidRPr="00476DF1" w:rsidRDefault="00140AE5" w:rsidP="00CE4BBE">
      <w:pPr>
        <w:spacing w:after="0" w:line="240" w:lineRule="auto"/>
        <w:ind w:firstLine="720"/>
        <w:jc w:val="both"/>
        <w:rPr>
          <w:rFonts w:ascii="Times New Roman" w:hAnsi="Times New Roman"/>
          <w:b/>
          <w:sz w:val="24"/>
          <w:szCs w:val="24"/>
        </w:rPr>
      </w:pPr>
      <w:r w:rsidRPr="00476DF1">
        <w:rPr>
          <w:rFonts w:ascii="Times New Roman" w:hAnsi="Times New Roman"/>
          <w:b/>
          <w:sz w:val="24"/>
          <w:szCs w:val="24"/>
        </w:rPr>
        <w:t xml:space="preserve">Figure </w:t>
      </w:r>
      <w:r w:rsidR="009D7A0F" w:rsidRPr="00476DF1">
        <w:rPr>
          <w:rFonts w:ascii="Times New Roman" w:hAnsi="Times New Roman"/>
          <w:b/>
          <w:sz w:val="24"/>
          <w:szCs w:val="24"/>
        </w:rPr>
        <w:t>3</w:t>
      </w:r>
      <w:r w:rsidR="00811741" w:rsidRPr="00476DF1">
        <w:rPr>
          <w:rFonts w:ascii="Times New Roman" w:hAnsi="Times New Roman"/>
          <w:b/>
          <w:sz w:val="24"/>
          <w:szCs w:val="24"/>
        </w:rPr>
        <w:t>: - Inventors Use</w:t>
      </w:r>
    </w:p>
    <w:p w14:paraId="1934CA1A" w14:textId="72F2C997" w:rsidR="00811741" w:rsidRPr="00476DF1" w:rsidRDefault="009D7A0F" w:rsidP="00581667">
      <w:pPr>
        <w:pStyle w:val="Legenda"/>
        <w:jc w:val="center"/>
        <w:rPr>
          <w:rFonts w:ascii="Times New Roman" w:hAnsi="Times New Roman"/>
          <w:i w:val="0"/>
          <w:color w:val="auto"/>
        </w:rPr>
      </w:pPr>
      <w:r w:rsidRPr="00476DF1">
        <w:rPr>
          <w:noProof/>
        </w:rPr>
        <w:drawing>
          <wp:inline distT="0" distB="0" distL="0" distR="0" wp14:anchorId="032545CE" wp14:editId="36E4BBEE">
            <wp:extent cx="4572000" cy="283845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CB6E95" w14:textId="0F791E55" w:rsidR="009D7A0F" w:rsidRPr="00476DF1" w:rsidRDefault="00581667" w:rsidP="009D7A0F">
      <w:pPr>
        <w:rPr>
          <w:rFonts w:ascii="Times New Roman" w:hAnsi="Times New Roman"/>
          <w:sz w:val="16"/>
          <w:szCs w:val="16"/>
        </w:rPr>
      </w:pPr>
      <w:r w:rsidRPr="00476DF1">
        <w:rPr>
          <w:rFonts w:ascii="Times New Roman" w:hAnsi="Times New Roman"/>
          <w:sz w:val="16"/>
          <w:szCs w:val="16"/>
        </w:rPr>
        <w:t xml:space="preserve">                                            Source: own elaboration</w:t>
      </w:r>
    </w:p>
    <w:p w14:paraId="65771A16" w14:textId="2B9D3C81" w:rsidR="003E7547" w:rsidRPr="00476DF1" w:rsidRDefault="00AD645F" w:rsidP="00CE4BBE">
      <w:pPr>
        <w:spacing w:after="0" w:line="240" w:lineRule="auto"/>
        <w:jc w:val="both"/>
        <w:rPr>
          <w:rFonts w:ascii="Times New Roman" w:hAnsi="Times New Roman"/>
          <w:sz w:val="24"/>
          <w:szCs w:val="24"/>
        </w:rPr>
      </w:pPr>
      <w:r w:rsidRPr="00476DF1">
        <w:rPr>
          <w:rFonts w:ascii="Times New Roman" w:hAnsi="Times New Roman"/>
          <w:sz w:val="24"/>
          <w:szCs w:val="24"/>
        </w:rPr>
        <w:tab/>
      </w:r>
      <w:r w:rsidR="003E7547" w:rsidRPr="00476DF1">
        <w:rPr>
          <w:rFonts w:ascii="Times New Roman" w:hAnsi="Times New Roman"/>
          <w:sz w:val="24"/>
          <w:szCs w:val="24"/>
        </w:rPr>
        <w:t xml:space="preserve">One declared objective of </w:t>
      </w:r>
      <w:r w:rsidR="00726537" w:rsidRPr="00476DF1">
        <w:rPr>
          <w:rFonts w:ascii="Times New Roman" w:hAnsi="Times New Roman"/>
          <w:sz w:val="24"/>
          <w:szCs w:val="24"/>
        </w:rPr>
        <w:t>Big Pharma</w:t>
      </w:r>
      <w:r w:rsidR="003E7547" w:rsidRPr="00476DF1">
        <w:rPr>
          <w:rFonts w:ascii="Times New Roman" w:hAnsi="Times New Roman"/>
          <w:sz w:val="24"/>
          <w:szCs w:val="24"/>
        </w:rPr>
        <w:t xml:space="preserve"> </w:t>
      </w:r>
      <w:r w:rsidR="00140AE5" w:rsidRPr="00476DF1">
        <w:rPr>
          <w:rFonts w:ascii="Times New Roman" w:hAnsi="Times New Roman"/>
          <w:sz w:val="24"/>
          <w:szCs w:val="24"/>
        </w:rPr>
        <w:t xml:space="preserve">firms </w:t>
      </w:r>
      <w:r w:rsidR="003E7547" w:rsidRPr="00476DF1">
        <w:rPr>
          <w:rFonts w:ascii="Times New Roman" w:hAnsi="Times New Roman"/>
          <w:sz w:val="24"/>
          <w:szCs w:val="24"/>
        </w:rPr>
        <w:t>is t</w:t>
      </w:r>
      <w:r w:rsidRPr="00476DF1">
        <w:rPr>
          <w:rFonts w:ascii="Times New Roman" w:hAnsi="Times New Roman"/>
          <w:sz w:val="24"/>
          <w:szCs w:val="24"/>
        </w:rPr>
        <w:t xml:space="preserve">o </w:t>
      </w:r>
      <w:r w:rsidR="00140AE5" w:rsidRPr="00476DF1">
        <w:rPr>
          <w:rFonts w:ascii="Times New Roman" w:hAnsi="Times New Roman"/>
          <w:sz w:val="24"/>
          <w:szCs w:val="24"/>
        </w:rPr>
        <w:t xml:space="preserve">retain </w:t>
      </w:r>
      <w:r w:rsidRPr="00476DF1">
        <w:rPr>
          <w:rFonts w:ascii="Times New Roman" w:hAnsi="Times New Roman"/>
          <w:sz w:val="24"/>
          <w:szCs w:val="24"/>
        </w:rPr>
        <w:t xml:space="preserve">key </w:t>
      </w:r>
      <w:r w:rsidR="00140AE5" w:rsidRPr="00476DF1">
        <w:rPr>
          <w:rFonts w:ascii="Times New Roman" w:hAnsi="Times New Roman"/>
          <w:sz w:val="24"/>
          <w:szCs w:val="24"/>
        </w:rPr>
        <w:t>employees</w:t>
      </w:r>
      <w:r w:rsidRPr="00476DF1">
        <w:rPr>
          <w:rFonts w:ascii="Times New Roman" w:hAnsi="Times New Roman"/>
          <w:sz w:val="24"/>
          <w:szCs w:val="24"/>
        </w:rPr>
        <w:t xml:space="preserve"> (</w:t>
      </w:r>
      <w:r w:rsidR="00460118" w:rsidRPr="00476DF1">
        <w:rPr>
          <w:rFonts w:ascii="Times New Roman" w:hAnsi="Times New Roman"/>
          <w:sz w:val="24"/>
          <w:szCs w:val="24"/>
        </w:rPr>
        <w:t>AUTHOR</w:t>
      </w:r>
      <w:r w:rsidRPr="00476DF1">
        <w:rPr>
          <w:rFonts w:ascii="Times New Roman" w:hAnsi="Times New Roman"/>
          <w:sz w:val="24"/>
          <w:szCs w:val="24"/>
        </w:rPr>
        <w:t xml:space="preserve">, 2016). </w:t>
      </w:r>
      <w:r w:rsidR="00920024" w:rsidRPr="00476DF1">
        <w:rPr>
          <w:rFonts w:ascii="Times New Roman" w:hAnsi="Times New Roman"/>
          <w:sz w:val="24"/>
          <w:szCs w:val="24"/>
        </w:rPr>
        <w:t>In addition, i</w:t>
      </w:r>
      <w:r w:rsidR="00AC3223" w:rsidRPr="00476DF1">
        <w:rPr>
          <w:rFonts w:ascii="Times New Roman" w:hAnsi="Times New Roman"/>
          <w:sz w:val="24"/>
          <w:szCs w:val="24"/>
        </w:rPr>
        <w:t xml:space="preserve">nventors do not </w:t>
      </w:r>
      <w:r w:rsidR="00CA7A8E" w:rsidRPr="00476DF1">
        <w:rPr>
          <w:rFonts w:ascii="Times New Roman" w:hAnsi="Times New Roman"/>
          <w:sz w:val="24"/>
          <w:szCs w:val="24"/>
        </w:rPr>
        <w:t>m</w:t>
      </w:r>
      <w:r w:rsidR="00AC3223" w:rsidRPr="00476DF1">
        <w:rPr>
          <w:rFonts w:ascii="Times New Roman" w:hAnsi="Times New Roman"/>
          <w:sz w:val="24"/>
          <w:szCs w:val="24"/>
        </w:rPr>
        <w:t xml:space="preserve">ove alone </w:t>
      </w:r>
      <w:r w:rsidR="003E7547" w:rsidRPr="00476DF1">
        <w:rPr>
          <w:rFonts w:ascii="Times New Roman" w:hAnsi="Times New Roman"/>
          <w:sz w:val="24"/>
          <w:szCs w:val="24"/>
        </w:rPr>
        <w:t xml:space="preserve">from </w:t>
      </w:r>
      <w:r w:rsidR="00AC3223" w:rsidRPr="00476DF1">
        <w:rPr>
          <w:rFonts w:ascii="Times New Roman" w:hAnsi="Times New Roman"/>
          <w:sz w:val="24"/>
          <w:szCs w:val="24"/>
        </w:rPr>
        <w:t>one ente</w:t>
      </w:r>
      <w:r w:rsidR="00F56B11" w:rsidRPr="00476DF1">
        <w:rPr>
          <w:rFonts w:ascii="Times New Roman" w:hAnsi="Times New Roman"/>
          <w:sz w:val="24"/>
          <w:szCs w:val="24"/>
        </w:rPr>
        <w:t>r</w:t>
      </w:r>
      <w:r w:rsidR="00AC3223" w:rsidRPr="00476DF1">
        <w:rPr>
          <w:rFonts w:ascii="Times New Roman" w:hAnsi="Times New Roman"/>
          <w:sz w:val="24"/>
          <w:szCs w:val="24"/>
        </w:rPr>
        <w:t>prise to another</w:t>
      </w:r>
      <w:r w:rsidR="003E7547" w:rsidRPr="00476DF1">
        <w:rPr>
          <w:rFonts w:ascii="Times New Roman" w:hAnsi="Times New Roman"/>
          <w:sz w:val="24"/>
          <w:szCs w:val="24"/>
        </w:rPr>
        <w:t xml:space="preserve">, it is rare to see just one inventor of </w:t>
      </w:r>
      <w:r w:rsidR="00140AE5" w:rsidRPr="00476DF1">
        <w:rPr>
          <w:rFonts w:ascii="Times New Roman" w:hAnsi="Times New Roman"/>
          <w:sz w:val="24"/>
          <w:szCs w:val="24"/>
        </w:rPr>
        <w:t xml:space="preserve">a </w:t>
      </w:r>
      <w:r w:rsidR="003E7547" w:rsidRPr="00476DF1">
        <w:rPr>
          <w:rFonts w:ascii="Times New Roman" w:hAnsi="Times New Roman"/>
          <w:sz w:val="24"/>
          <w:szCs w:val="24"/>
        </w:rPr>
        <w:t>patent start patenting for the large enterprise</w:t>
      </w:r>
      <w:r w:rsidR="00140AE5" w:rsidRPr="00476DF1">
        <w:rPr>
          <w:rFonts w:ascii="Times New Roman" w:hAnsi="Times New Roman"/>
          <w:sz w:val="24"/>
          <w:szCs w:val="24"/>
        </w:rPr>
        <w:t>; typically the</w:t>
      </w:r>
      <w:r w:rsidR="00AC3223" w:rsidRPr="00476DF1">
        <w:rPr>
          <w:rFonts w:ascii="Times New Roman" w:hAnsi="Times New Roman"/>
          <w:sz w:val="24"/>
          <w:szCs w:val="24"/>
        </w:rPr>
        <w:t xml:space="preserve"> inventor</w:t>
      </w:r>
      <w:r w:rsidR="00920024" w:rsidRPr="00476DF1">
        <w:rPr>
          <w:rFonts w:ascii="Times New Roman" w:hAnsi="Times New Roman"/>
          <w:sz w:val="24"/>
          <w:szCs w:val="24"/>
        </w:rPr>
        <w:t xml:space="preserve"> group</w:t>
      </w:r>
      <w:r w:rsidR="00AC3223" w:rsidRPr="00476DF1">
        <w:rPr>
          <w:rFonts w:ascii="Times New Roman" w:hAnsi="Times New Roman"/>
          <w:sz w:val="24"/>
          <w:szCs w:val="24"/>
        </w:rPr>
        <w:t xml:space="preserve"> of </w:t>
      </w:r>
      <w:r w:rsidR="00920024" w:rsidRPr="00476DF1">
        <w:rPr>
          <w:rFonts w:ascii="Times New Roman" w:hAnsi="Times New Roman"/>
          <w:sz w:val="24"/>
          <w:szCs w:val="24"/>
        </w:rPr>
        <w:t xml:space="preserve">a </w:t>
      </w:r>
      <w:r w:rsidR="00AC3223" w:rsidRPr="00476DF1">
        <w:rPr>
          <w:rFonts w:ascii="Times New Roman" w:hAnsi="Times New Roman"/>
          <w:sz w:val="24"/>
          <w:szCs w:val="24"/>
        </w:rPr>
        <w:t xml:space="preserve">patent </w:t>
      </w:r>
      <w:r w:rsidR="00920024" w:rsidRPr="00476DF1">
        <w:rPr>
          <w:rFonts w:ascii="Times New Roman" w:hAnsi="Times New Roman"/>
          <w:sz w:val="24"/>
          <w:szCs w:val="24"/>
        </w:rPr>
        <w:t>m</w:t>
      </w:r>
      <w:r w:rsidR="00AC3223" w:rsidRPr="00476DF1">
        <w:rPr>
          <w:rFonts w:ascii="Times New Roman" w:hAnsi="Times New Roman"/>
          <w:sz w:val="24"/>
          <w:szCs w:val="24"/>
        </w:rPr>
        <w:t>ove together</w:t>
      </w:r>
      <w:r w:rsidR="003E7547" w:rsidRPr="00476DF1">
        <w:rPr>
          <w:rFonts w:ascii="Times New Roman" w:hAnsi="Times New Roman"/>
          <w:sz w:val="24"/>
          <w:szCs w:val="24"/>
        </w:rPr>
        <w:t>.</w:t>
      </w:r>
      <w:r w:rsidR="00AC3223" w:rsidRPr="00476DF1">
        <w:rPr>
          <w:rFonts w:ascii="Times New Roman" w:hAnsi="Times New Roman"/>
          <w:sz w:val="24"/>
          <w:szCs w:val="24"/>
        </w:rPr>
        <w:t xml:space="preserve"> </w:t>
      </w:r>
      <w:r w:rsidR="003E7547" w:rsidRPr="00476DF1">
        <w:rPr>
          <w:rFonts w:ascii="Times New Roman" w:hAnsi="Times New Roman"/>
          <w:sz w:val="24"/>
          <w:szCs w:val="24"/>
        </w:rPr>
        <w:t>T</w:t>
      </w:r>
      <w:r w:rsidR="00AC3223" w:rsidRPr="00476DF1">
        <w:rPr>
          <w:rFonts w:ascii="Times New Roman" w:hAnsi="Times New Roman"/>
          <w:sz w:val="24"/>
          <w:szCs w:val="24"/>
        </w:rPr>
        <w:t xml:space="preserve">his point </w:t>
      </w:r>
      <w:r w:rsidR="00920024" w:rsidRPr="00476DF1">
        <w:rPr>
          <w:rFonts w:ascii="Times New Roman" w:hAnsi="Times New Roman"/>
          <w:sz w:val="24"/>
          <w:szCs w:val="24"/>
        </w:rPr>
        <w:t>further confirm</w:t>
      </w:r>
      <w:r w:rsidR="00140AE5" w:rsidRPr="00476DF1">
        <w:rPr>
          <w:rFonts w:ascii="Times New Roman" w:hAnsi="Times New Roman"/>
          <w:sz w:val="24"/>
          <w:szCs w:val="24"/>
        </w:rPr>
        <w:t>s</w:t>
      </w:r>
      <w:r w:rsidR="00920024" w:rsidRPr="00476DF1">
        <w:rPr>
          <w:rFonts w:ascii="Times New Roman" w:hAnsi="Times New Roman"/>
          <w:sz w:val="24"/>
          <w:szCs w:val="24"/>
        </w:rPr>
        <w:t xml:space="preserve"> the importa</w:t>
      </w:r>
      <w:r w:rsidR="00140AE5" w:rsidRPr="00476DF1">
        <w:rPr>
          <w:rFonts w:ascii="Times New Roman" w:hAnsi="Times New Roman"/>
          <w:sz w:val="24"/>
          <w:szCs w:val="24"/>
        </w:rPr>
        <w:t xml:space="preserve">nce </w:t>
      </w:r>
      <w:r w:rsidR="00920024" w:rsidRPr="00476DF1">
        <w:rPr>
          <w:rFonts w:ascii="Times New Roman" w:hAnsi="Times New Roman"/>
          <w:sz w:val="24"/>
          <w:szCs w:val="24"/>
        </w:rPr>
        <w:t xml:space="preserve">of </w:t>
      </w:r>
      <w:r w:rsidR="00140AE5" w:rsidRPr="00476DF1">
        <w:rPr>
          <w:rFonts w:ascii="Times New Roman" w:hAnsi="Times New Roman"/>
          <w:sz w:val="24"/>
          <w:szCs w:val="24"/>
        </w:rPr>
        <w:t xml:space="preserve">the relationships among </w:t>
      </w:r>
      <w:r w:rsidR="00920024" w:rsidRPr="00476DF1">
        <w:rPr>
          <w:rFonts w:ascii="Times New Roman" w:hAnsi="Times New Roman"/>
          <w:sz w:val="24"/>
          <w:szCs w:val="24"/>
        </w:rPr>
        <w:t xml:space="preserve">inventors </w:t>
      </w:r>
      <w:r w:rsidR="00140AE5" w:rsidRPr="00476DF1">
        <w:rPr>
          <w:rFonts w:ascii="Times New Roman" w:hAnsi="Times New Roman"/>
          <w:sz w:val="24"/>
          <w:szCs w:val="24"/>
        </w:rPr>
        <w:t>within their own groups, as</w:t>
      </w:r>
      <w:r w:rsidR="00920024" w:rsidRPr="00476DF1">
        <w:rPr>
          <w:rFonts w:ascii="Times New Roman" w:hAnsi="Times New Roman"/>
          <w:sz w:val="24"/>
          <w:szCs w:val="24"/>
        </w:rPr>
        <w:t xml:space="preserve"> stated </w:t>
      </w:r>
      <w:r w:rsidR="00AC3223" w:rsidRPr="00476DF1">
        <w:rPr>
          <w:rFonts w:ascii="Times New Roman" w:hAnsi="Times New Roman"/>
          <w:sz w:val="24"/>
          <w:szCs w:val="24"/>
        </w:rPr>
        <w:t xml:space="preserve">by </w:t>
      </w:r>
      <w:r w:rsidR="00AC3223" w:rsidRPr="00476DF1">
        <w:rPr>
          <w:rFonts w:ascii="Times New Roman" w:hAnsi="Times New Roman"/>
          <w:noProof/>
          <w:sz w:val="24"/>
          <w:szCs w:val="24"/>
        </w:rPr>
        <w:t xml:space="preserve">OETTL (2012) and </w:t>
      </w:r>
      <w:r w:rsidR="00AC3223" w:rsidRPr="00476DF1">
        <w:rPr>
          <w:rFonts w:ascii="Times New Roman" w:hAnsi="Times New Roman"/>
          <w:noProof/>
          <w:sz w:val="24"/>
          <w:szCs w:val="24"/>
        </w:rPr>
        <w:fldChar w:fldCharType="begin" w:fldLock="1"/>
      </w:r>
      <w:r w:rsidR="00AC3223" w:rsidRPr="00476DF1">
        <w:rPr>
          <w:rFonts w:ascii="Times New Roman" w:hAnsi="Times New Roman"/>
          <w:noProof/>
          <w:sz w:val="24"/>
          <w:szCs w:val="24"/>
        </w:rPr>
        <w:instrText>ADDIN CSL_CITATION { "citationItems" : [ { "id" : "ITEM-1", "itemData" : { "DOI" : "10.1177/0149206313513612", "ISBN" : "0149-2063", "ISSN" : "0149-2063", "abstract" : "Conceptualizing new knowledge development as a process of search and recombination, we suggest that a focus on individual productivity alone presents an undersocialized view of human capital. Rather, we emphasize the importance of embedded relationships by individuals to effectively perform knowledge-generating activities. We rely on intraorganizational knowledge networks emerging through individual collaboration to identify actors who can positively influence their organization's knowledge outcomes. We study two types of such relational stars: integrators (outliers in centrality) and connectors (outliers in bridging behavior). We test our ideas using the patenting portfolios of 106 pharmaceutical firms from 1974 to 1998 predicting the effect of relational stars on their firm's quantity and quality of inventive output-proxies for the firm's capacity to develop more and better new knowledge stocks. We find that the presence of relational stars results in firm-level knowledge advantages not only through their own superior recombinant efforts, but also through their capacity to make others around them more effective at knowledge recombination. Relational stars are firm-specific, and their advantages are socially complex and causally ambiguous because they rely on a network of within-firm interactions. Relational stars, therefore, are prime candidates to be a source of sustainable firm-level knowledge advantage.", "author" : [ { "dropping-particle" : "", "family" : "Grigoriou", "given" : "K", "non-dropping-particle" : "", "parse-names" : false, "suffix" : "" }, { "dropping-particle" : "", "family" : "Rothaermel", "given" : "F T", "non-dropping-particle" : "", "parse-names" : false, "suffix" : "" } ], "container-title" : "Journal of Management", "id" : "ITEM-1", "issue" : "2", "issued" : { "date-parts" : [ [ "2014" ] ] }, "page" : "586-615", "title" : "Structural Microfoundations of Innovation: The Role of Relational Stars", "type" : "article-journal", "volume" : "40" }, "uris" : [ "http://www.mendeley.com/documents/?uuid=2fed0ba5-c78d-48f5-bd74-0823cff4c90e" ] } ], "mendeley" : { "formattedCitation" : "(GRIGORIOU; ROTHAERMEL, 2014)", "plainTextFormattedCitation" : "(GRIGORIOU; ROTHAERMEL, 2014)", "previouslyFormattedCitation" : "(GRIGORIOU; ROTHAERMEL, 2014)" }, "properties" : {  }, "schema" : "https://github.com/citation-style-language/schema/raw/master/csl-citation.json" }</w:instrText>
      </w:r>
      <w:r w:rsidR="00AC3223" w:rsidRPr="00476DF1">
        <w:rPr>
          <w:rFonts w:ascii="Times New Roman" w:hAnsi="Times New Roman"/>
          <w:noProof/>
          <w:sz w:val="24"/>
          <w:szCs w:val="24"/>
        </w:rPr>
        <w:fldChar w:fldCharType="separate"/>
      </w:r>
      <w:r w:rsidR="00AC3223" w:rsidRPr="00476DF1">
        <w:rPr>
          <w:rFonts w:ascii="Times New Roman" w:hAnsi="Times New Roman"/>
          <w:noProof/>
          <w:sz w:val="24"/>
          <w:szCs w:val="24"/>
        </w:rPr>
        <w:t>(GRIGORIOU; ROTHAERMEL, 2014)</w:t>
      </w:r>
      <w:r w:rsidR="00AC3223" w:rsidRPr="00476DF1">
        <w:rPr>
          <w:rFonts w:ascii="Times New Roman" w:hAnsi="Times New Roman"/>
          <w:noProof/>
          <w:sz w:val="24"/>
          <w:szCs w:val="24"/>
        </w:rPr>
        <w:fldChar w:fldCharType="end"/>
      </w:r>
      <w:r w:rsidR="00AC3223" w:rsidRPr="00476DF1">
        <w:rPr>
          <w:rFonts w:ascii="Times New Roman" w:hAnsi="Times New Roman"/>
          <w:noProof/>
          <w:sz w:val="24"/>
          <w:szCs w:val="24"/>
        </w:rPr>
        <w:t>.</w:t>
      </w:r>
      <w:r w:rsidR="00403C0F" w:rsidRPr="00476DF1">
        <w:rPr>
          <w:rFonts w:ascii="Times New Roman" w:hAnsi="Times New Roman"/>
          <w:sz w:val="24"/>
          <w:szCs w:val="24"/>
        </w:rPr>
        <w:t xml:space="preserve"> </w:t>
      </w:r>
    </w:p>
    <w:p w14:paraId="3105C1D3" w14:textId="652847CD" w:rsidR="003E7547" w:rsidRPr="00476DF1" w:rsidRDefault="003E7547"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Another extremely relevant point is the advantage that skills may have </w:t>
      </w:r>
      <w:r w:rsidR="00403C0F" w:rsidRPr="00476DF1">
        <w:rPr>
          <w:rFonts w:ascii="Times New Roman" w:hAnsi="Times New Roman"/>
          <w:sz w:val="24"/>
          <w:szCs w:val="24"/>
        </w:rPr>
        <w:t xml:space="preserve">due to </w:t>
      </w:r>
      <w:r w:rsidR="00140AE5" w:rsidRPr="00476DF1">
        <w:rPr>
          <w:rFonts w:ascii="Times New Roman" w:hAnsi="Times New Roman"/>
          <w:sz w:val="24"/>
          <w:szCs w:val="24"/>
        </w:rPr>
        <w:t>the path dependence of the</w:t>
      </w:r>
      <w:r w:rsidR="00403C0F" w:rsidRPr="00476DF1">
        <w:rPr>
          <w:rFonts w:ascii="Times New Roman" w:hAnsi="Times New Roman"/>
          <w:sz w:val="24"/>
          <w:szCs w:val="24"/>
        </w:rPr>
        <w:t xml:space="preserve"> scientist</w:t>
      </w:r>
      <w:r w:rsidR="00140AE5" w:rsidRPr="00476DF1">
        <w:rPr>
          <w:rFonts w:ascii="Times New Roman" w:hAnsi="Times New Roman"/>
          <w:sz w:val="24"/>
          <w:szCs w:val="24"/>
        </w:rPr>
        <w:t>s</w:t>
      </w:r>
      <w:r w:rsidR="00403C0F" w:rsidRPr="00476DF1">
        <w:rPr>
          <w:rFonts w:ascii="Times New Roman" w:hAnsi="Times New Roman"/>
          <w:sz w:val="24"/>
          <w:szCs w:val="24"/>
        </w:rPr>
        <w:t xml:space="preserve"> </w:t>
      </w:r>
      <w:r w:rsidR="00403C0F" w:rsidRPr="00476DF1">
        <w:rPr>
          <w:rFonts w:ascii="Times New Roman" w:hAnsi="Times New Roman"/>
          <w:sz w:val="24"/>
          <w:szCs w:val="24"/>
        </w:rPr>
        <w:fldChar w:fldCharType="begin" w:fldLock="1"/>
      </w:r>
      <w:r w:rsidR="00403C0F" w:rsidRPr="00476DF1">
        <w:rPr>
          <w:rFonts w:ascii="Times New Roman" w:hAnsi="Times New Roman"/>
          <w:sz w:val="24"/>
          <w:szCs w:val="24"/>
        </w:rPr>
        <w:instrText>ADDIN CSL_CITATION { "citationItems" : [ { "id" : "ITEM-1", "itemData" : { "DOI" : "10.1016/j.respol.2015.12.003", "ISSN" : "00487333", "abstract" : "Previous research has highlighted the importance of star inventors for invention success and firm performance. However, we have limited knowledge regarding the indirect influence of star inventors on knowledge generation and how the ideas of star inventors influence subsequent invention performance. Therefore, this study uses biotechnology patents to investigate the extent to which star inventors influence the value of subsequent inventions. It explores whether non-star inventors can build, just as successfully, on the ideas of star inventors as star inventors. The results show that having a star directly involved in the generation of an invention, and building upon other star invention/s, is positively related to invention performance. However, stars are not better than non-stars at building upon earlier star inventions, and in fact, stars building upon their own, previous, inventions negatively affects the outcome/s of their future inventions. Furthermore, these results hold true for both general and high-value inventions. Overall, this study highlights the importance of stars in cumulative knowledge generation, but also shows the limits of self-referencing and individual path-dependency.", "author" : [ { "dropping-particle" : "", "family" : "Hohberger", "given" : "Jan", "non-dropping-particle" : "", "parse-names" : false, "suffix" : "" } ], "container-title" : "Research Policy", "id" : "ITEM-1", "issue" : "3", "issued" : { "date-parts" : [ [ "2016" ] ] }, "page" : "682-698", "publisher" : "Elsevier B.V.", "title" : "Does it pay to stand on the shoulders of giants? An analysis of the inventions of star inventors in the biotechnology sector", "type" : "article-journal", "volume" : "45" }, "uris" : [ "http://www.mendeley.com/documents/?uuid=32c24e1e-302f-479e-8fc2-ceb736462521" ] } ], "mendeley" : { "formattedCitation" : "(HOHBERGER, 2016)", "plainTextFormattedCitation" : "(HOHBERGER, 2016)", "previouslyFormattedCitation" : "(HOHBERGER, 2016)" }, "properties" : {  }, "schema" : "https://github.com/citation-style-language/schema/raw/master/csl-citation.json" }</w:instrText>
      </w:r>
      <w:r w:rsidR="00403C0F" w:rsidRPr="00476DF1">
        <w:rPr>
          <w:rFonts w:ascii="Times New Roman" w:hAnsi="Times New Roman"/>
          <w:sz w:val="24"/>
          <w:szCs w:val="24"/>
        </w:rPr>
        <w:fldChar w:fldCharType="separate"/>
      </w:r>
      <w:r w:rsidR="00403C0F" w:rsidRPr="00476DF1">
        <w:rPr>
          <w:rFonts w:ascii="Times New Roman" w:hAnsi="Times New Roman"/>
          <w:noProof/>
          <w:sz w:val="24"/>
          <w:szCs w:val="24"/>
        </w:rPr>
        <w:t>(HOHBERGER, 2016)</w:t>
      </w:r>
      <w:r w:rsidR="00403C0F" w:rsidRPr="00476DF1">
        <w:rPr>
          <w:rFonts w:ascii="Times New Roman" w:hAnsi="Times New Roman"/>
          <w:sz w:val="24"/>
          <w:szCs w:val="24"/>
        </w:rPr>
        <w:fldChar w:fldCharType="end"/>
      </w:r>
      <w:r w:rsidRPr="00476DF1">
        <w:rPr>
          <w:rFonts w:ascii="Times New Roman" w:hAnsi="Times New Roman"/>
          <w:sz w:val="24"/>
          <w:szCs w:val="24"/>
        </w:rPr>
        <w:t xml:space="preserve">. </w:t>
      </w:r>
      <w:r w:rsidR="00493CF5" w:rsidRPr="00476DF1">
        <w:rPr>
          <w:rFonts w:ascii="Times New Roman" w:hAnsi="Times New Roman"/>
          <w:sz w:val="24"/>
          <w:szCs w:val="24"/>
        </w:rPr>
        <w:t xml:space="preserve">Therefore, scientists that move from the small to the large enterprise allow the </w:t>
      </w:r>
      <w:r w:rsidR="00726537" w:rsidRPr="00476DF1">
        <w:rPr>
          <w:rFonts w:ascii="Times New Roman" w:hAnsi="Times New Roman"/>
          <w:sz w:val="24"/>
          <w:szCs w:val="24"/>
        </w:rPr>
        <w:t>Big Pharma</w:t>
      </w:r>
      <w:r w:rsidR="00493CF5" w:rsidRPr="00476DF1">
        <w:rPr>
          <w:rFonts w:ascii="Times New Roman" w:hAnsi="Times New Roman"/>
          <w:sz w:val="24"/>
          <w:szCs w:val="24"/>
        </w:rPr>
        <w:t xml:space="preserve"> </w:t>
      </w:r>
      <w:r w:rsidR="00140AE5" w:rsidRPr="00476DF1">
        <w:rPr>
          <w:rFonts w:ascii="Times New Roman" w:hAnsi="Times New Roman"/>
          <w:sz w:val="24"/>
          <w:szCs w:val="24"/>
        </w:rPr>
        <w:t xml:space="preserve">firm </w:t>
      </w:r>
      <w:r w:rsidR="00493CF5" w:rsidRPr="00476DF1">
        <w:rPr>
          <w:rFonts w:ascii="Times New Roman" w:hAnsi="Times New Roman"/>
          <w:sz w:val="24"/>
          <w:szCs w:val="24"/>
        </w:rPr>
        <w:t xml:space="preserve">to internalize </w:t>
      </w:r>
      <w:r w:rsidR="00A15A29" w:rsidRPr="00476DF1">
        <w:rPr>
          <w:rFonts w:ascii="Times New Roman" w:hAnsi="Times New Roman"/>
          <w:sz w:val="24"/>
          <w:szCs w:val="24"/>
        </w:rPr>
        <w:t xml:space="preserve">prior </w:t>
      </w:r>
      <w:r w:rsidR="00493CF5" w:rsidRPr="00476DF1">
        <w:rPr>
          <w:rFonts w:ascii="Times New Roman" w:hAnsi="Times New Roman"/>
          <w:sz w:val="24"/>
          <w:szCs w:val="24"/>
        </w:rPr>
        <w:t>research and its future results, because</w:t>
      </w:r>
      <w:r w:rsidR="00A15A29" w:rsidRPr="00476DF1">
        <w:rPr>
          <w:rFonts w:ascii="Times New Roman" w:hAnsi="Times New Roman"/>
          <w:sz w:val="24"/>
          <w:szCs w:val="24"/>
        </w:rPr>
        <w:t>,</w:t>
      </w:r>
      <w:r w:rsidR="00493CF5" w:rsidRPr="00476DF1">
        <w:rPr>
          <w:rFonts w:ascii="Times New Roman" w:hAnsi="Times New Roman"/>
          <w:sz w:val="24"/>
          <w:szCs w:val="24"/>
        </w:rPr>
        <w:t xml:space="preserve"> HOHBERGER (2016) </w:t>
      </w:r>
      <w:r w:rsidR="00A15A29" w:rsidRPr="00476DF1">
        <w:rPr>
          <w:rFonts w:ascii="Times New Roman" w:hAnsi="Times New Roman"/>
          <w:sz w:val="24"/>
          <w:szCs w:val="24"/>
        </w:rPr>
        <w:t xml:space="preserve">stresses, </w:t>
      </w:r>
      <w:r w:rsidR="00493CF5" w:rsidRPr="00476DF1">
        <w:rPr>
          <w:rFonts w:ascii="Times New Roman" w:hAnsi="Times New Roman"/>
          <w:sz w:val="24"/>
          <w:szCs w:val="24"/>
        </w:rPr>
        <w:t xml:space="preserve">scientists tend to research the same agenda. </w:t>
      </w:r>
      <w:r w:rsidR="00A15A29" w:rsidRPr="00476DF1">
        <w:rPr>
          <w:rFonts w:ascii="Times New Roman" w:hAnsi="Times New Roman"/>
          <w:sz w:val="24"/>
          <w:szCs w:val="24"/>
        </w:rPr>
        <w:t>We can extrapolate t</w:t>
      </w:r>
      <w:r w:rsidR="00493CF5" w:rsidRPr="00476DF1">
        <w:rPr>
          <w:rFonts w:ascii="Times New Roman" w:hAnsi="Times New Roman"/>
          <w:sz w:val="24"/>
          <w:szCs w:val="24"/>
        </w:rPr>
        <w:t>his line of thought: if the scientist</w:t>
      </w:r>
      <w:r w:rsidR="00A15A29" w:rsidRPr="00476DF1">
        <w:rPr>
          <w:rFonts w:ascii="Times New Roman" w:hAnsi="Times New Roman"/>
          <w:sz w:val="24"/>
          <w:szCs w:val="24"/>
        </w:rPr>
        <w:t>’s</w:t>
      </w:r>
      <w:r w:rsidR="00493CF5" w:rsidRPr="00476DF1">
        <w:rPr>
          <w:rFonts w:ascii="Times New Roman" w:hAnsi="Times New Roman"/>
          <w:sz w:val="24"/>
          <w:szCs w:val="24"/>
        </w:rPr>
        <w:t xml:space="preserve"> research agenda </w:t>
      </w:r>
      <w:r w:rsidR="00A15A29" w:rsidRPr="00476DF1">
        <w:rPr>
          <w:rFonts w:ascii="Times New Roman" w:hAnsi="Times New Roman"/>
          <w:sz w:val="24"/>
          <w:szCs w:val="24"/>
        </w:rPr>
        <w:t>drew attention from a</w:t>
      </w:r>
      <w:r w:rsidR="00493CF5" w:rsidRPr="00476DF1">
        <w:rPr>
          <w:rFonts w:ascii="Times New Roman" w:hAnsi="Times New Roman"/>
          <w:sz w:val="24"/>
          <w:szCs w:val="24"/>
        </w:rPr>
        <w:t xml:space="preserve"> </w:t>
      </w:r>
      <w:r w:rsidR="00726537" w:rsidRPr="00476DF1">
        <w:rPr>
          <w:rFonts w:ascii="Times New Roman" w:hAnsi="Times New Roman"/>
          <w:sz w:val="24"/>
          <w:szCs w:val="24"/>
        </w:rPr>
        <w:t>Big Pharma</w:t>
      </w:r>
      <w:r w:rsidR="00A15A29" w:rsidRPr="00476DF1">
        <w:rPr>
          <w:rFonts w:ascii="Times New Roman" w:hAnsi="Times New Roman"/>
          <w:sz w:val="24"/>
          <w:szCs w:val="24"/>
        </w:rPr>
        <w:t xml:space="preserve"> firm, then incorporating this</w:t>
      </w:r>
      <w:r w:rsidR="00493CF5" w:rsidRPr="00476DF1">
        <w:rPr>
          <w:rFonts w:ascii="Times New Roman" w:hAnsi="Times New Roman"/>
          <w:sz w:val="24"/>
          <w:szCs w:val="24"/>
        </w:rPr>
        <w:t xml:space="preserve"> scientist is also </w:t>
      </w:r>
      <w:r w:rsidR="00A15A29" w:rsidRPr="00476DF1">
        <w:rPr>
          <w:rFonts w:ascii="Times New Roman" w:hAnsi="Times New Roman"/>
          <w:sz w:val="24"/>
          <w:szCs w:val="24"/>
        </w:rPr>
        <w:t>to incorporate the scientist’s</w:t>
      </w:r>
      <w:r w:rsidR="00493CF5" w:rsidRPr="00476DF1">
        <w:rPr>
          <w:rFonts w:ascii="Times New Roman" w:hAnsi="Times New Roman"/>
          <w:sz w:val="24"/>
          <w:szCs w:val="24"/>
        </w:rPr>
        <w:t xml:space="preserve"> research agenda. </w:t>
      </w:r>
    </w:p>
    <w:p w14:paraId="4AA65408" w14:textId="357E1B8D" w:rsidR="00581667" w:rsidRPr="00476DF1" w:rsidRDefault="00581667" w:rsidP="00581667">
      <w:pPr>
        <w:spacing w:after="0" w:line="240" w:lineRule="auto"/>
        <w:jc w:val="both"/>
        <w:rPr>
          <w:rFonts w:ascii="Times New Roman" w:hAnsi="Times New Roman"/>
          <w:b/>
          <w:sz w:val="24"/>
          <w:szCs w:val="24"/>
        </w:rPr>
      </w:pPr>
      <w:r w:rsidRPr="00476DF1">
        <w:rPr>
          <w:rFonts w:ascii="Times New Roman" w:hAnsi="Times New Roman"/>
          <w:b/>
          <w:sz w:val="24"/>
          <w:szCs w:val="24"/>
        </w:rPr>
        <w:t xml:space="preserve">Table </w:t>
      </w:r>
      <w:r w:rsidR="001A775D" w:rsidRPr="00476DF1">
        <w:rPr>
          <w:rFonts w:ascii="Times New Roman" w:hAnsi="Times New Roman"/>
          <w:b/>
          <w:sz w:val="24"/>
          <w:szCs w:val="24"/>
        </w:rPr>
        <w:t>5</w:t>
      </w:r>
      <w:r w:rsidRPr="00476DF1">
        <w:rPr>
          <w:rFonts w:ascii="Times New Roman" w:hAnsi="Times New Roman"/>
          <w:b/>
          <w:sz w:val="24"/>
          <w:szCs w:val="24"/>
        </w:rPr>
        <w:t>: Comparison between Patents Reference and Inventors Use</w:t>
      </w:r>
    </w:p>
    <w:tbl>
      <w:tblPr>
        <w:tblW w:w="7416" w:type="dxa"/>
        <w:jc w:val="center"/>
        <w:tblLook w:val="04A0" w:firstRow="1" w:lastRow="0" w:firstColumn="1" w:lastColumn="0" w:noHBand="0" w:noVBand="1"/>
      </w:tblPr>
      <w:tblGrid>
        <w:gridCol w:w="1515"/>
        <w:gridCol w:w="2062"/>
        <w:gridCol w:w="2126"/>
        <w:gridCol w:w="1713"/>
      </w:tblGrid>
      <w:tr w:rsidR="00581667" w:rsidRPr="00476DF1" w14:paraId="2C0A46ED" w14:textId="77777777" w:rsidTr="00581667">
        <w:trPr>
          <w:trHeight w:val="876"/>
          <w:jc w:val="center"/>
        </w:trPr>
        <w:tc>
          <w:tcPr>
            <w:tcW w:w="1515" w:type="dxa"/>
            <w:tcBorders>
              <w:top w:val="single" w:sz="4" w:space="0" w:color="auto"/>
              <w:left w:val="nil"/>
              <w:bottom w:val="single" w:sz="4" w:space="0" w:color="auto"/>
              <w:right w:val="nil"/>
            </w:tcBorders>
            <w:shd w:val="clear" w:color="000000" w:fill="FFFFFF"/>
            <w:vAlign w:val="center"/>
            <w:hideMark/>
          </w:tcPr>
          <w:p w14:paraId="69F286DA" w14:textId="77777777" w:rsidR="00581667" w:rsidRPr="00476DF1" w:rsidRDefault="00581667" w:rsidP="00B811C9">
            <w:pPr>
              <w:spacing w:after="0" w:line="240" w:lineRule="auto"/>
              <w:jc w:val="center"/>
              <w:rPr>
                <w:rFonts w:ascii="Times New Roman" w:eastAsia="Times New Roman" w:hAnsi="Times New Roman"/>
                <w:b/>
                <w:bCs/>
                <w:color w:val="000000"/>
                <w:sz w:val="18"/>
                <w:szCs w:val="18"/>
              </w:rPr>
            </w:pPr>
            <w:r w:rsidRPr="00476DF1">
              <w:rPr>
                <w:rFonts w:ascii="Times New Roman" w:eastAsia="Times New Roman" w:hAnsi="Times New Roman"/>
                <w:b/>
                <w:bCs/>
                <w:color w:val="000000"/>
                <w:sz w:val="18"/>
                <w:szCs w:val="18"/>
              </w:rPr>
              <w:t>Large Enterprises</w:t>
            </w:r>
          </w:p>
        </w:tc>
        <w:tc>
          <w:tcPr>
            <w:tcW w:w="2062" w:type="dxa"/>
            <w:tcBorders>
              <w:top w:val="single" w:sz="4" w:space="0" w:color="auto"/>
              <w:left w:val="nil"/>
              <w:bottom w:val="single" w:sz="4" w:space="0" w:color="auto"/>
              <w:right w:val="nil"/>
            </w:tcBorders>
            <w:shd w:val="clear" w:color="000000" w:fill="FFFFFF"/>
            <w:vAlign w:val="center"/>
            <w:hideMark/>
          </w:tcPr>
          <w:p w14:paraId="182C5222" w14:textId="77777777" w:rsidR="00581667" w:rsidRPr="00476DF1" w:rsidRDefault="00581667" w:rsidP="00B811C9">
            <w:pPr>
              <w:spacing w:after="0" w:line="240" w:lineRule="auto"/>
              <w:jc w:val="center"/>
              <w:rPr>
                <w:rFonts w:ascii="Times New Roman" w:eastAsia="Times New Roman" w:hAnsi="Times New Roman"/>
                <w:b/>
                <w:bCs/>
                <w:color w:val="000000"/>
                <w:sz w:val="18"/>
                <w:szCs w:val="18"/>
              </w:rPr>
            </w:pPr>
            <w:r w:rsidRPr="00476DF1">
              <w:rPr>
                <w:rFonts w:ascii="Times New Roman" w:eastAsia="Times New Roman" w:hAnsi="Times New Roman"/>
                <w:b/>
                <w:bCs/>
                <w:color w:val="000000"/>
                <w:sz w:val="18"/>
                <w:szCs w:val="18"/>
              </w:rPr>
              <w:t xml:space="preserve">Small Enterprises Acquired </w:t>
            </w:r>
          </w:p>
        </w:tc>
        <w:tc>
          <w:tcPr>
            <w:tcW w:w="2126" w:type="dxa"/>
            <w:tcBorders>
              <w:top w:val="single" w:sz="4" w:space="0" w:color="auto"/>
              <w:left w:val="nil"/>
              <w:bottom w:val="single" w:sz="4" w:space="0" w:color="auto"/>
              <w:right w:val="nil"/>
            </w:tcBorders>
            <w:shd w:val="clear" w:color="000000" w:fill="FFFFFF"/>
            <w:vAlign w:val="center"/>
            <w:hideMark/>
          </w:tcPr>
          <w:p w14:paraId="77579C45" w14:textId="77777777" w:rsidR="00581667" w:rsidRPr="00476DF1" w:rsidRDefault="00581667" w:rsidP="00B811C9">
            <w:pPr>
              <w:spacing w:after="0" w:line="240" w:lineRule="auto"/>
              <w:jc w:val="center"/>
              <w:rPr>
                <w:rFonts w:ascii="Times New Roman" w:eastAsia="Times New Roman" w:hAnsi="Times New Roman"/>
                <w:b/>
                <w:bCs/>
                <w:color w:val="000000"/>
                <w:sz w:val="18"/>
                <w:szCs w:val="18"/>
              </w:rPr>
            </w:pPr>
            <w:r w:rsidRPr="00476DF1">
              <w:rPr>
                <w:rFonts w:ascii="Times New Roman" w:eastAsia="Times New Roman" w:hAnsi="Times New Roman"/>
                <w:b/>
                <w:bCs/>
                <w:color w:val="000000"/>
                <w:sz w:val="18"/>
                <w:szCs w:val="18"/>
              </w:rPr>
              <w:t xml:space="preserve"> Patents Used as Reference                      (small enteprise's patents used)</w:t>
            </w:r>
          </w:p>
        </w:tc>
        <w:tc>
          <w:tcPr>
            <w:tcW w:w="1713" w:type="dxa"/>
            <w:tcBorders>
              <w:top w:val="single" w:sz="4" w:space="0" w:color="auto"/>
              <w:left w:val="nil"/>
              <w:bottom w:val="single" w:sz="4" w:space="0" w:color="auto"/>
              <w:right w:val="nil"/>
            </w:tcBorders>
            <w:shd w:val="clear" w:color="000000" w:fill="FFFFFF"/>
            <w:vAlign w:val="center"/>
            <w:hideMark/>
          </w:tcPr>
          <w:p w14:paraId="7712EC90" w14:textId="77777777" w:rsidR="00581667" w:rsidRPr="00476DF1" w:rsidRDefault="00581667" w:rsidP="00B811C9">
            <w:pPr>
              <w:spacing w:after="0" w:line="240" w:lineRule="auto"/>
              <w:jc w:val="center"/>
              <w:rPr>
                <w:rFonts w:ascii="Times New Roman" w:eastAsia="Times New Roman" w:hAnsi="Times New Roman"/>
                <w:b/>
                <w:bCs/>
                <w:color w:val="000000"/>
                <w:sz w:val="18"/>
                <w:szCs w:val="18"/>
              </w:rPr>
            </w:pPr>
            <w:r w:rsidRPr="00476DF1">
              <w:rPr>
                <w:rFonts w:ascii="Times New Roman" w:eastAsia="Times New Roman" w:hAnsi="Times New Roman"/>
                <w:b/>
                <w:bCs/>
                <w:color w:val="000000"/>
                <w:sz w:val="18"/>
                <w:szCs w:val="18"/>
              </w:rPr>
              <w:t xml:space="preserve">Use of Inventors </w:t>
            </w:r>
          </w:p>
        </w:tc>
      </w:tr>
      <w:tr w:rsidR="00581667" w:rsidRPr="00476DF1" w14:paraId="4740D28D" w14:textId="77777777" w:rsidTr="00581667">
        <w:trPr>
          <w:trHeight w:val="272"/>
          <w:jc w:val="center"/>
        </w:trPr>
        <w:tc>
          <w:tcPr>
            <w:tcW w:w="1515" w:type="dxa"/>
            <w:vMerge w:val="restart"/>
            <w:tcBorders>
              <w:top w:val="nil"/>
              <w:left w:val="nil"/>
              <w:bottom w:val="nil"/>
              <w:right w:val="nil"/>
            </w:tcBorders>
            <w:shd w:val="clear" w:color="000000" w:fill="FFFFFF"/>
            <w:vAlign w:val="center"/>
            <w:hideMark/>
          </w:tcPr>
          <w:p w14:paraId="214FBA41"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Astra-Zeneca</w:t>
            </w:r>
          </w:p>
        </w:tc>
        <w:tc>
          <w:tcPr>
            <w:tcW w:w="2062" w:type="dxa"/>
            <w:tcBorders>
              <w:top w:val="nil"/>
              <w:left w:val="nil"/>
              <w:bottom w:val="single" w:sz="4" w:space="0" w:color="auto"/>
              <w:right w:val="nil"/>
            </w:tcBorders>
            <w:shd w:val="clear" w:color="000000" w:fill="FFFFFF"/>
            <w:vAlign w:val="center"/>
            <w:hideMark/>
          </w:tcPr>
          <w:p w14:paraId="0AA92662"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Kudos</w:t>
            </w:r>
          </w:p>
        </w:tc>
        <w:tc>
          <w:tcPr>
            <w:tcW w:w="2126" w:type="dxa"/>
            <w:tcBorders>
              <w:top w:val="single" w:sz="4" w:space="0" w:color="auto"/>
              <w:left w:val="nil"/>
              <w:bottom w:val="single" w:sz="4" w:space="0" w:color="auto"/>
              <w:right w:val="nil"/>
            </w:tcBorders>
            <w:shd w:val="clear" w:color="000000" w:fill="FFFFFF"/>
            <w:vAlign w:val="center"/>
            <w:hideMark/>
          </w:tcPr>
          <w:p w14:paraId="16323E1E"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5</w:t>
            </w:r>
          </w:p>
        </w:tc>
        <w:tc>
          <w:tcPr>
            <w:tcW w:w="1713" w:type="dxa"/>
            <w:tcBorders>
              <w:top w:val="single" w:sz="4" w:space="0" w:color="auto"/>
              <w:left w:val="nil"/>
              <w:bottom w:val="single" w:sz="4" w:space="0" w:color="auto"/>
              <w:right w:val="nil"/>
            </w:tcBorders>
            <w:shd w:val="clear" w:color="000000" w:fill="FFFFFF"/>
            <w:noWrap/>
            <w:vAlign w:val="center"/>
            <w:hideMark/>
          </w:tcPr>
          <w:p w14:paraId="2085C770" w14:textId="77777777" w:rsidR="00581667" w:rsidRPr="00476DF1" w:rsidRDefault="00581667" w:rsidP="00B811C9">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19%</w:t>
            </w:r>
          </w:p>
        </w:tc>
      </w:tr>
      <w:tr w:rsidR="00581667" w:rsidRPr="00476DF1" w14:paraId="6BDAE8BD" w14:textId="77777777" w:rsidTr="00581667">
        <w:trPr>
          <w:trHeight w:val="437"/>
          <w:jc w:val="center"/>
        </w:trPr>
        <w:tc>
          <w:tcPr>
            <w:tcW w:w="1515" w:type="dxa"/>
            <w:vMerge/>
            <w:tcBorders>
              <w:top w:val="nil"/>
              <w:left w:val="nil"/>
              <w:bottom w:val="nil"/>
              <w:right w:val="nil"/>
            </w:tcBorders>
            <w:vAlign w:val="center"/>
            <w:hideMark/>
          </w:tcPr>
          <w:p w14:paraId="1CDA5446" w14:textId="77777777" w:rsidR="00581667" w:rsidRPr="00476DF1" w:rsidRDefault="00581667" w:rsidP="00B811C9">
            <w:pPr>
              <w:spacing w:after="0" w:line="240" w:lineRule="auto"/>
              <w:rPr>
                <w:rFonts w:ascii="Times New Roman" w:eastAsia="Times New Roman" w:hAnsi="Times New Roman"/>
                <w:color w:val="000000"/>
                <w:sz w:val="18"/>
                <w:szCs w:val="18"/>
              </w:rPr>
            </w:pPr>
          </w:p>
        </w:tc>
        <w:tc>
          <w:tcPr>
            <w:tcW w:w="2062" w:type="dxa"/>
            <w:tcBorders>
              <w:top w:val="nil"/>
              <w:left w:val="nil"/>
              <w:bottom w:val="single" w:sz="4" w:space="0" w:color="auto"/>
              <w:right w:val="nil"/>
            </w:tcBorders>
            <w:shd w:val="clear" w:color="000000" w:fill="FFFFFF"/>
            <w:vAlign w:val="center"/>
            <w:hideMark/>
          </w:tcPr>
          <w:p w14:paraId="7EDFCE3A"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Medimmune</w:t>
            </w:r>
          </w:p>
        </w:tc>
        <w:tc>
          <w:tcPr>
            <w:tcW w:w="2126" w:type="dxa"/>
            <w:tcBorders>
              <w:top w:val="nil"/>
              <w:left w:val="nil"/>
              <w:bottom w:val="single" w:sz="4" w:space="0" w:color="auto"/>
              <w:right w:val="nil"/>
            </w:tcBorders>
            <w:shd w:val="clear" w:color="000000" w:fill="FFFFFF"/>
            <w:vAlign w:val="center"/>
            <w:hideMark/>
          </w:tcPr>
          <w:p w14:paraId="6AF78E3D"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1</w:t>
            </w:r>
          </w:p>
        </w:tc>
        <w:tc>
          <w:tcPr>
            <w:tcW w:w="1713" w:type="dxa"/>
            <w:tcBorders>
              <w:top w:val="nil"/>
              <w:left w:val="nil"/>
              <w:bottom w:val="single" w:sz="4" w:space="0" w:color="auto"/>
              <w:right w:val="nil"/>
            </w:tcBorders>
            <w:shd w:val="clear" w:color="000000" w:fill="FFFFFF"/>
            <w:noWrap/>
            <w:vAlign w:val="center"/>
            <w:hideMark/>
          </w:tcPr>
          <w:p w14:paraId="3618AE13" w14:textId="77777777" w:rsidR="00581667" w:rsidRPr="00476DF1" w:rsidRDefault="00581667" w:rsidP="00B811C9">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w:t>
            </w:r>
          </w:p>
        </w:tc>
      </w:tr>
      <w:tr w:rsidR="00581667" w:rsidRPr="00476DF1" w14:paraId="6FB3550C" w14:textId="77777777" w:rsidTr="00581667">
        <w:trPr>
          <w:trHeight w:val="272"/>
          <w:jc w:val="center"/>
        </w:trPr>
        <w:tc>
          <w:tcPr>
            <w:tcW w:w="1515" w:type="dxa"/>
            <w:vMerge/>
            <w:tcBorders>
              <w:top w:val="nil"/>
              <w:left w:val="nil"/>
              <w:bottom w:val="nil"/>
              <w:right w:val="nil"/>
            </w:tcBorders>
            <w:vAlign w:val="center"/>
            <w:hideMark/>
          </w:tcPr>
          <w:p w14:paraId="481F92B2" w14:textId="77777777" w:rsidR="00581667" w:rsidRPr="00476DF1" w:rsidRDefault="00581667" w:rsidP="00B811C9">
            <w:pPr>
              <w:spacing w:after="0" w:line="240" w:lineRule="auto"/>
              <w:rPr>
                <w:rFonts w:ascii="Times New Roman" w:eastAsia="Times New Roman" w:hAnsi="Times New Roman"/>
                <w:color w:val="000000"/>
                <w:sz w:val="18"/>
                <w:szCs w:val="18"/>
              </w:rPr>
            </w:pPr>
          </w:p>
        </w:tc>
        <w:tc>
          <w:tcPr>
            <w:tcW w:w="2062" w:type="dxa"/>
            <w:tcBorders>
              <w:top w:val="nil"/>
              <w:left w:val="nil"/>
              <w:bottom w:val="nil"/>
              <w:right w:val="nil"/>
            </w:tcBorders>
            <w:shd w:val="clear" w:color="000000" w:fill="FFFFFF"/>
            <w:vAlign w:val="center"/>
            <w:hideMark/>
          </w:tcPr>
          <w:p w14:paraId="7E4B9033"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Novexel</w:t>
            </w:r>
          </w:p>
        </w:tc>
        <w:tc>
          <w:tcPr>
            <w:tcW w:w="2126" w:type="dxa"/>
            <w:tcBorders>
              <w:top w:val="nil"/>
              <w:left w:val="nil"/>
              <w:bottom w:val="nil"/>
              <w:right w:val="nil"/>
            </w:tcBorders>
            <w:shd w:val="clear" w:color="000000" w:fill="FFFFFF"/>
            <w:vAlign w:val="center"/>
            <w:hideMark/>
          </w:tcPr>
          <w:p w14:paraId="33E7F70E"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3</w:t>
            </w:r>
          </w:p>
        </w:tc>
        <w:tc>
          <w:tcPr>
            <w:tcW w:w="1713" w:type="dxa"/>
            <w:tcBorders>
              <w:top w:val="nil"/>
              <w:left w:val="nil"/>
              <w:bottom w:val="single" w:sz="4" w:space="0" w:color="auto"/>
              <w:right w:val="nil"/>
            </w:tcBorders>
            <w:shd w:val="clear" w:color="000000" w:fill="FFFFFF"/>
            <w:noWrap/>
            <w:vAlign w:val="center"/>
            <w:hideMark/>
          </w:tcPr>
          <w:p w14:paraId="64FD97BF" w14:textId="77777777" w:rsidR="00581667" w:rsidRPr="00476DF1" w:rsidRDefault="00581667" w:rsidP="00B811C9">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33%</w:t>
            </w:r>
          </w:p>
        </w:tc>
      </w:tr>
      <w:tr w:rsidR="00581667" w:rsidRPr="00476DF1" w14:paraId="1158B6E0" w14:textId="77777777" w:rsidTr="00581667">
        <w:trPr>
          <w:trHeight w:val="272"/>
          <w:jc w:val="center"/>
        </w:trPr>
        <w:tc>
          <w:tcPr>
            <w:tcW w:w="1515" w:type="dxa"/>
            <w:vMerge w:val="restart"/>
            <w:tcBorders>
              <w:top w:val="single" w:sz="4" w:space="0" w:color="auto"/>
              <w:left w:val="nil"/>
              <w:bottom w:val="single" w:sz="4" w:space="0" w:color="000000"/>
              <w:right w:val="nil"/>
            </w:tcBorders>
            <w:shd w:val="clear" w:color="000000" w:fill="FFFFFF"/>
            <w:vAlign w:val="center"/>
            <w:hideMark/>
          </w:tcPr>
          <w:p w14:paraId="4DD2A552"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Sanofi</w:t>
            </w:r>
          </w:p>
        </w:tc>
        <w:tc>
          <w:tcPr>
            <w:tcW w:w="2062" w:type="dxa"/>
            <w:tcBorders>
              <w:top w:val="single" w:sz="4" w:space="0" w:color="auto"/>
              <w:left w:val="nil"/>
              <w:bottom w:val="single" w:sz="4" w:space="0" w:color="auto"/>
              <w:right w:val="nil"/>
            </w:tcBorders>
            <w:shd w:val="clear" w:color="000000" w:fill="FFFFFF"/>
            <w:vAlign w:val="center"/>
            <w:hideMark/>
          </w:tcPr>
          <w:p w14:paraId="251D0D49"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Fovea</w:t>
            </w:r>
          </w:p>
        </w:tc>
        <w:tc>
          <w:tcPr>
            <w:tcW w:w="2126" w:type="dxa"/>
            <w:tcBorders>
              <w:top w:val="single" w:sz="4" w:space="0" w:color="auto"/>
              <w:left w:val="nil"/>
              <w:bottom w:val="single" w:sz="4" w:space="0" w:color="auto"/>
              <w:right w:val="nil"/>
            </w:tcBorders>
            <w:shd w:val="clear" w:color="000000" w:fill="FFFFFF"/>
            <w:vAlign w:val="center"/>
            <w:hideMark/>
          </w:tcPr>
          <w:p w14:paraId="669382D5"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1</w:t>
            </w:r>
          </w:p>
        </w:tc>
        <w:tc>
          <w:tcPr>
            <w:tcW w:w="1713" w:type="dxa"/>
            <w:tcBorders>
              <w:top w:val="nil"/>
              <w:left w:val="nil"/>
              <w:bottom w:val="single" w:sz="4" w:space="0" w:color="auto"/>
              <w:right w:val="nil"/>
            </w:tcBorders>
            <w:shd w:val="clear" w:color="000000" w:fill="FFFFFF"/>
            <w:noWrap/>
            <w:vAlign w:val="center"/>
            <w:hideMark/>
          </w:tcPr>
          <w:p w14:paraId="440F1300" w14:textId="77777777" w:rsidR="00581667" w:rsidRPr="00476DF1" w:rsidRDefault="00581667" w:rsidP="00B811C9">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33%</w:t>
            </w:r>
          </w:p>
        </w:tc>
      </w:tr>
      <w:tr w:rsidR="00581667" w:rsidRPr="00476DF1" w14:paraId="26259D7E" w14:textId="77777777" w:rsidTr="00581667">
        <w:trPr>
          <w:trHeight w:val="272"/>
          <w:jc w:val="center"/>
        </w:trPr>
        <w:tc>
          <w:tcPr>
            <w:tcW w:w="1515" w:type="dxa"/>
            <w:vMerge/>
            <w:tcBorders>
              <w:top w:val="single" w:sz="4" w:space="0" w:color="auto"/>
              <w:left w:val="nil"/>
              <w:bottom w:val="single" w:sz="4" w:space="0" w:color="000000"/>
              <w:right w:val="nil"/>
            </w:tcBorders>
            <w:vAlign w:val="center"/>
            <w:hideMark/>
          </w:tcPr>
          <w:p w14:paraId="136C7AFB" w14:textId="77777777" w:rsidR="00581667" w:rsidRPr="00476DF1" w:rsidRDefault="00581667" w:rsidP="00B811C9">
            <w:pPr>
              <w:spacing w:after="0" w:line="240" w:lineRule="auto"/>
              <w:rPr>
                <w:rFonts w:ascii="Times New Roman" w:eastAsia="Times New Roman" w:hAnsi="Times New Roman"/>
                <w:color w:val="000000"/>
                <w:sz w:val="18"/>
                <w:szCs w:val="18"/>
              </w:rPr>
            </w:pPr>
          </w:p>
        </w:tc>
        <w:tc>
          <w:tcPr>
            <w:tcW w:w="2062" w:type="dxa"/>
            <w:tcBorders>
              <w:top w:val="nil"/>
              <w:left w:val="nil"/>
              <w:bottom w:val="single" w:sz="4" w:space="0" w:color="auto"/>
              <w:right w:val="nil"/>
            </w:tcBorders>
            <w:shd w:val="clear" w:color="000000" w:fill="FFFFFF"/>
            <w:vAlign w:val="center"/>
            <w:hideMark/>
          </w:tcPr>
          <w:p w14:paraId="43B6AD39"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VaxDesign</w:t>
            </w:r>
          </w:p>
        </w:tc>
        <w:tc>
          <w:tcPr>
            <w:tcW w:w="2126" w:type="dxa"/>
            <w:tcBorders>
              <w:top w:val="nil"/>
              <w:left w:val="nil"/>
              <w:bottom w:val="single" w:sz="4" w:space="0" w:color="auto"/>
              <w:right w:val="nil"/>
            </w:tcBorders>
            <w:shd w:val="clear" w:color="000000" w:fill="FFFFFF"/>
            <w:vAlign w:val="center"/>
            <w:hideMark/>
          </w:tcPr>
          <w:p w14:paraId="52204CD5"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3</w:t>
            </w:r>
          </w:p>
        </w:tc>
        <w:tc>
          <w:tcPr>
            <w:tcW w:w="1713" w:type="dxa"/>
            <w:tcBorders>
              <w:top w:val="nil"/>
              <w:left w:val="nil"/>
              <w:bottom w:val="single" w:sz="4" w:space="0" w:color="auto"/>
              <w:right w:val="nil"/>
            </w:tcBorders>
            <w:shd w:val="clear" w:color="000000" w:fill="FFFFFF"/>
            <w:noWrap/>
            <w:vAlign w:val="center"/>
            <w:hideMark/>
          </w:tcPr>
          <w:p w14:paraId="3C305B26" w14:textId="77777777" w:rsidR="00581667" w:rsidRPr="00476DF1" w:rsidRDefault="00581667" w:rsidP="00B811C9">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100%</w:t>
            </w:r>
          </w:p>
        </w:tc>
      </w:tr>
      <w:tr w:rsidR="00581667" w:rsidRPr="00476DF1" w14:paraId="66DD0C3C" w14:textId="77777777" w:rsidTr="00581667">
        <w:trPr>
          <w:trHeight w:val="294"/>
          <w:jc w:val="center"/>
        </w:trPr>
        <w:tc>
          <w:tcPr>
            <w:tcW w:w="1515" w:type="dxa"/>
            <w:vMerge w:val="restart"/>
            <w:tcBorders>
              <w:top w:val="nil"/>
              <w:left w:val="nil"/>
              <w:bottom w:val="single" w:sz="4" w:space="0" w:color="000000"/>
              <w:right w:val="nil"/>
            </w:tcBorders>
            <w:shd w:val="clear" w:color="000000" w:fill="FFFFFF"/>
            <w:vAlign w:val="center"/>
            <w:hideMark/>
          </w:tcPr>
          <w:p w14:paraId="7DBA6ADF"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Roche</w:t>
            </w:r>
          </w:p>
        </w:tc>
        <w:tc>
          <w:tcPr>
            <w:tcW w:w="2062" w:type="dxa"/>
            <w:tcBorders>
              <w:top w:val="nil"/>
              <w:left w:val="nil"/>
              <w:bottom w:val="single" w:sz="4" w:space="0" w:color="auto"/>
              <w:right w:val="nil"/>
            </w:tcBorders>
            <w:shd w:val="clear" w:color="000000" w:fill="FFFFFF"/>
            <w:vAlign w:val="center"/>
            <w:hideMark/>
          </w:tcPr>
          <w:p w14:paraId="73A2EFAF"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Piramed</w:t>
            </w:r>
          </w:p>
        </w:tc>
        <w:tc>
          <w:tcPr>
            <w:tcW w:w="2126" w:type="dxa"/>
            <w:tcBorders>
              <w:top w:val="nil"/>
              <w:left w:val="nil"/>
              <w:bottom w:val="single" w:sz="4" w:space="0" w:color="auto"/>
              <w:right w:val="nil"/>
            </w:tcBorders>
            <w:shd w:val="clear" w:color="000000" w:fill="FFFFFF"/>
            <w:vAlign w:val="center"/>
            <w:hideMark/>
          </w:tcPr>
          <w:p w14:paraId="4CD20462"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4</w:t>
            </w:r>
          </w:p>
        </w:tc>
        <w:tc>
          <w:tcPr>
            <w:tcW w:w="1713" w:type="dxa"/>
            <w:tcBorders>
              <w:top w:val="nil"/>
              <w:left w:val="nil"/>
              <w:bottom w:val="single" w:sz="4" w:space="0" w:color="auto"/>
              <w:right w:val="nil"/>
            </w:tcBorders>
            <w:shd w:val="clear" w:color="000000" w:fill="FFFFFF"/>
            <w:vAlign w:val="center"/>
            <w:hideMark/>
          </w:tcPr>
          <w:p w14:paraId="2FFF0E87" w14:textId="77777777" w:rsidR="00581667" w:rsidRPr="00476DF1" w:rsidRDefault="00581667" w:rsidP="00B811C9">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100%</w:t>
            </w:r>
          </w:p>
        </w:tc>
      </w:tr>
      <w:tr w:rsidR="00581667" w:rsidRPr="00476DF1" w14:paraId="5FD5BB7F" w14:textId="77777777" w:rsidTr="00581667">
        <w:trPr>
          <w:trHeight w:val="294"/>
          <w:jc w:val="center"/>
        </w:trPr>
        <w:tc>
          <w:tcPr>
            <w:tcW w:w="1515" w:type="dxa"/>
            <w:vMerge/>
            <w:tcBorders>
              <w:top w:val="nil"/>
              <w:left w:val="nil"/>
              <w:bottom w:val="single" w:sz="4" w:space="0" w:color="000000"/>
              <w:right w:val="nil"/>
            </w:tcBorders>
            <w:vAlign w:val="center"/>
            <w:hideMark/>
          </w:tcPr>
          <w:p w14:paraId="492B46AB" w14:textId="77777777" w:rsidR="00581667" w:rsidRPr="00476DF1" w:rsidRDefault="00581667" w:rsidP="00B811C9">
            <w:pPr>
              <w:spacing w:after="0" w:line="240" w:lineRule="auto"/>
              <w:rPr>
                <w:rFonts w:ascii="Times New Roman" w:eastAsia="Times New Roman" w:hAnsi="Times New Roman"/>
                <w:color w:val="000000"/>
                <w:sz w:val="18"/>
                <w:szCs w:val="18"/>
              </w:rPr>
            </w:pPr>
          </w:p>
        </w:tc>
        <w:tc>
          <w:tcPr>
            <w:tcW w:w="2062" w:type="dxa"/>
            <w:tcBorders>
              <w:top w:val="nil"/>
              <w:left w:val="nil"/>
              <w:bottom w:val="single" w:sz="4" w:space="0" w:color="auto"/>
              <w:right w:val="nil"/>
            </w:tcBorders>
            <w:shd w:val="clear" w:color="000000" w:fill="FFFFFF"/>
            <w:vAlign w:val="center"/>
            <w:hideMark/>
          </w:tcPr>
          <w:p w14:paraId="1C42E50A"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Arius</w:t>
            </w:r>
          </w:p>
        </w:tc>
        <w:tc>
          <w:tcPr>
            <w:tcW w:w="2126" w:type="dxa"/>
            <w:tcBorders>
              <w:top w:val="nil"/>
              <w:left w:val="nil"/>
              <w:bottom w:val="single" w:sz="4" w:space="0" w:color="auto"/>
              <w:right w:val="nil"/>
            </w:tcBorders>
            <w:shd w:val="clear" w:color="000000" w:fill="FFFFFF"/>
            <w:vAlign w:val="center"/>
            <w:hideMark/>
          </w:tcPr>
          <w:p w14:paraId="4D597F15"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5</w:t>
            </w:r>
          </w:p>
        </w:tc>
        <w:tc>
          <w:tcPr>
            <w:tcW w:w="1713" w:type="dxa"/>
            <w:tcBorders>
              <w:top w:val="nil"/>
              <w:left w:val="nil"/>
              <w:bottom w:val="single" w:sz="4" w:space="0" w:color="auto"/>
              <w:right w:val="nil"/>
            </w:tcBorders>
            <w:shd w:val="clear" w:color="000000" w:fill="FFFFFF"/>
            <w:vAlign w:val="center"/>
            <w:hideMark/>
          </w:tcPr>
          <w:p w14:paraId="7D6D2948" w14:textId="77777777" w:rsidR="00581667" w:rsidRPr="00476DF1" w:rsidRDefault="00581667" w:rsidP="00B811C9">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36%</w:t>
            </w:r>
          </w:p>
        </w:tc>
      </w:tr>
      <w:tr w:rsidR="00581667" w:rsidRPr="00476DF1" w14:paraId="66D60B63" w14:textId="77777777" w:rsidTr="00581667">
        <w:trPr>
          <w:trHeight w:val="294"/>
          <w:jc w:val="center"/>
        </w:trPr>
        <w:tc>
          <w:tcPr>
            <w:tcW w:w="1515" w:type="dxa"/>
            <w:vMerge/>
            <w:tcBorders>
              <w:top w:val="nil"/>
              <w:left w:val="nil"/>
              <w:bottom w:val="single" w:sz="4" w:space="0" w:color="auto"/>
              <w:right w:val="nil"/>
            </w:tcBorders>
            <w:vAlign w:val="center"/>
            <w:hideMark/>
          </w:tcPr>
          <w:p w14:paraId="2586D938" w14:textId="77777777" w:rsidR="00581667" w:rsidRPr="00476DF1" w:rsidRDefault="00581667" w:rsidP="00B811C9">
            <w:pPr>
              <w:spacing w:after="0" w:line="240" w:lineRule="auto"/>
              <w:rPr>
                <w:rFonts w:ascii="Times New Roman" w:eastAsia="Times New Roman" w:hAnsi="Times New Roman"/>
                <w:color w:val="000000"/>
                <w:sz w:val="18"/>
                <w:szCs w:val="18"/>
              </w:rPr>
            </w:pPr>
          </w:p>
        </w:tc>
        <w:tc>
          <w:tcPr>
            <w:tcW w:w="2062" w:type="dxa"/>
            <w:tcBorders>
              <w:top w:val="nil"/>
              <w:left w:val="nil"/>
              <w:bottom w:val="single" w:sz="4" w:space="0" w:color="auto"/>
              <w:right w:val="nil"/>
            </w:tcBorders>
            <w:shd w:val="clear" w:color="000000" w:fill="FFFFFF"/>
            <w:vAlign w:val="center"/>
            <w:hideMark/>
          </w:tcPr>
          <w:p w14:paraId="41480A44"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Mirus-bio</w:t>
            </w:r>
          </w:p>
        </w:tc>
        <w:tc>
          <w:tcPr>
            <w:tcW w:w="2126" w:type="dxa"/>
            <w:tcBorders>
              <w:top w:val="nil"/>
              <w:left w:val="nil"/>
              <w:bottom w:val="single" w:sz="4" w:space="0" w:color="auto"/>
              <w:right w:val="nil"/>
            </w:tcBorders>
            <w:shd w:val="clear" w:color="000000" w:fill="FFFFFF"/>
            <w:vAlign w:val="center"/>
            <w:hideMark/>
          </w:tcPr>
          <w:p w14:paraId="03BEB324"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12</w:t>
            </w:r>
          </w:p>
        </w:tc>
        <w:tc>
          <w:tcPr>
            <w:tcW w:w="1713" w:type="dxa"/>
            <w:tcBorders>
              <w:top w:val="nil"/>
              <w:left w:val="nil"/>
              <w:bottom w:val="single" w:sz="4" w:space="0" w:color="auto"/>
              <w:right w:val="nil"/>
            </w:tcBorders>
            <w:shd w:val="clear" w:color="000000" w:fill="FFFFFF"/>
            <w:vAlign w:val="center"/>
            <w:hideMark/>
          </w:tcPr>
          <w:p w14:paraId="45EB16CA" w14:textId="77777777" w:rsidR="00581667" w:rsidRPr="00476DF1" w:rsidRDefault="00581667" w:rsidP="00B811C9">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76%</w:t>
            </w:r>
          </w:p>
        </w:tc>
      </w:tr>
    </w:tbl>
    <w:p w14:paraId="5B5D2D11" w14:textId="77777777" w:rsidR="00581667" w:rsidRPr="00476DF1" w:rsidRDefault="00581667" w:rsidP="00581667">
      <w:pPr>
        <w:spacing w:after="0" w:line="240" w:lineRule="auto"/>
        <w:jc w:val="both"/>
        <w:rPr>
          <w:rFonts w:ascii="Times New Roman" w:hAnsi="Times New Roman"/>
          <w:b/>
          <w:sz w:val="24"/>
          <w:szCs w:val="24"/>
        </w:rPr>
      </w:pPr>
    </w:p>
    <w:p w14:paraId="7322B468" w14:textId="41F3CD0F" w:rsidR="00581667" w:rsidRPr="00476DF1" w:rsidRDefault="00581667" w:rsidP="00581667">
      <w:pPr>
        <w:spacing w:after="0" w:line="240" w:lineRule="auto"/>
        <w:jc w:val="both"/>
        <w:rPr>
          <w:rFonts w:ascii="Times New Roman" w:hAnsi="Times New Roman"/>
          <w:b/>
          <w:sz w:val="24"/>
          <w:szCs w:val="24"/>
        </w:rPr>
      </w:pPr>
      <w:r w:rsidRPr="00476DF1">
        <w:rPr>
          <w:rFonts w:ascii="Times New Roman" w:hAnsi="Times New Roman"/>
          <w:b/>
          <w:sz w:val="24"/>
          <w:szCs w:val="24"/>
        </w:rPr>
        <w:t xml:space="preserve">Table </w:t>
      </w:r>
      <w:r w:rsidR="001A775D" w:rsidRPr="00476DF1">
        <w:rPr>
          <w:rFonts w:ascii="Times New Roman" w:hAnsi="Times New Roman"/>
          <w:b/>
          <w:sz w:val="24"/>
          <w:szCs w:val="24"/>
        </w:rPr>
        <w:t>5</w:t>
      </w:r>
      <w:r w:rsidRPr="00476DF1">
        <w:rPr>
          <w:rFonts w:ascii="Times New Roman" w:hAnsi="Times New Roman"/>
          <w:b/>
          <w:sz w:val="24"/>
          <w:szCs w:val="24"/>
        </w:rPr>
        <w:t>: Continuation</w:t>
      </w:r>
    </w:p>
    <w:tbl>
      <w:tblPr>
        <w:tblW w:w="8039" w:type="dxa"/>
        <w:jc w:val="center"/>
        <w:tblLook w:val="04A0" w:firstRow="1" w:lastRow="0" w:firstColumn="1" w:lastColumn="0" w:noHBand="0" w:noVBand="1"/>
      </w:tblPr>
      <w:tblGrid>
        <w:gridCol w:w="1624"/>
        <w:gridCol w:w="18"/>
        <w:gridCol w:w="2192"/>
        <w:gridCol w:w="43"/>
        <w:gridCol w:w="2236"/>
        <w:gridCol w:w="69"/>
        <w:gridCol w:w="1767"/>
        <w:gridCol w:w="90"/>
      </w:tblGrid>
      <w:tr w:rsidR="00581667" w:rsidRPr="00476DF1" w14:paraId="58563C8A" w14:textId="77777777" w:rsidTr="00581667">
        <w:trPr>
          <w:trHeight w:val="702"/>
          <w:jc w:val="center"/>
        </w:trPr>
        <w:tc>
          <w:tcPr>
            <w:tcW w:w="1642" w:type="dxa"/>
            <w:gridSpan w:val="2"/>
            <w:tcBorders>
              <w:top w:val="single" w:sz="4" w:space="0" w:color="auto"/>
              <w:left w:val="nil"/>
              <w:bottom w:val="single" w:sz="4" w:space="0" w:color="auto"/>
              <w:right w:val="nil"/>
            </w:tcBorders>
            <w:shd w:val="clear" w:color="000000" w:fill="FFFFFF"/>
            <w:vAlign w:val="center"/>
            <w:hideMark/>
          </w:tcPr>
          <w:p w14:paraId="156FE801" w14:textId="77777777" w:rsidR="00581667" w:rsidRPr="00476DF1" w:rsidRDefault="00581667" w:rsidP="00B811C9">
            <w:pPr>
              <w:spacing w:after="0" w:line="240" w:lineRule="auto"/>
              <w:jc w:val="center"/>
              <w:rPr>
                <w:rFonts w:ascii="Times New Roman" w:eastAsia="Times New Roman" w:hAnsi="Times New Roman"/>
                <w:b/>
                <w:bCs/>
                <w:color w:val="000000"/>
                <w:sz w:val="18"/>
                <w:szCs w:val="18"/>
              </w:rPr>
            </w:pPr>
            <w:r w:rsidRPr="00476DF1">
              <w:rPr>
                <w:rFonts w:ascii="Times New Roman" w:eastAsia="Times New Roman" w:hAnsi="Times New Roman"/>
                <w:b/>
                <w:bCs/>
                <w:color w:val="000000"/>
                <w:sz w:val="18"/>
                <w:szCs w:val="18"/>
              </w:rPr>
              <w:lastRenderedPageBreak/>
              <w:t>Large Enterprises</w:t>
            </w:r>
          </w:p>
        </w:tc>
        <w:tc>
          <w:tcPr>
            <w:tcW w:w="2235" w:type="dxa"/>
            <w:gridSpan w:val="2"/>
            <w:tcBorders>
              <w:top w:val="single" w:sz="4" w:space="0" w:color="auto"/>
              <w:left w:val="nil"/>
              <w:bottom w:val="single" w:sz="4" w:space="0" w:color="auto"/>
              <w:right w:val="nil"/>
            </w:tcBorders>
            <w:shd w:val="clear" w:color="000000" w:fill="FFFFFF"/>
            <w:vAlign w:val="center"/>
            <w:hideMark/>
          </w:tcPr>
          <w:p w14:paraId="01242956" w14:textId="77777777" w:rsidR="00581667" w:rsidRPr="00476DF1" w:rsidRDefault="00581667" w:rsidP="00B811C9">
            <w:pPr>
              <w:spacing w:after="0" w:line="240" w:lineRule="auto"/>
              <w:jc w:val="center"/>
              <w:rPr>
                <w:rFonts w:ascii="Times New Roman" w:eastAsia="Times New Roman" w:hAnsi="Times New Roman"/>
                <w:b/>
                <w:bCs/>
                <w:color w:val="000000"/>
                <w:sz w:val="18"/>
                <w:szCs w:val="18"/>
              </w:rPr>
            </w:pPr>
            <w:r w:rsidRPr="00476DF1">
              <w:rPr>
                <w:rFonts w:ascii="Times New Roman" w:eastAsia="Times New Roman" w:hAnsi="Times New Roman"/>
                <w:b/>
                <w:bCs/>
                <w:color w:val="000000"/>
                <w:sz w:val="18"/>
                <w:szCs w:val="18"/>
              </w:rPr>
              <w:t xml:space="preserve">Small Enterprises Acquired </w:t>
            </w:r>
          </w:p>
        </w:tc>
        <w:tc>
          <w:tcPr>
            <w:tcW w:w="2305" w:type="dxa"/>
            <w:gridSpan w:val="2"/>
            <w:tcBorders>
              <w:top w:val="single" w:sz="4" w:space="0" w:color="auto"/>
              <w:left w:val="nil"/>
              <w:bottom w:val="single" w:sz="4" w:space="0" w:color="auto"/>
              <w:right w:val="nil"/>
            </w:tcBorders>
            <w:shd w:val="clear" w:color="000000" w:fill="FFFFFF"/>
            <w:vAlign w:val="center"/>
            <w:hideMark/>
          </w:tcPr>
          <w:p w14:paraId="635279D8" w14:textId="77777777" w:rsidR="00581667" w:rsidRPr="00476DF1" w:rsidRDefault="00581667" w:rsidP="00B811C9">
            <w:pPr>
              <w:spacing w:after="0" w:line="240" w:lineRule="auto"/>
              <w:jc w:val="center"/>
              <w:rPr>
                <w:rFonts w:ascii="Times New Roman" w:eastAsia="Times New Roman" w:hAnsi="Times New Roman"/>
                <w:b/>
                <w:bCs/>
                <w:color w:val="000000"/>
                <w:sz w:val="18"/>
                <w:szCs w:val="18"/>
              </w:rPr>
            </w:pPr>
            <w:r w:rsidRPr="00476DF1">
              <w:rPr>
                <w:rFonts w:ascii="Times New Roman" w:eastAsia="Times New Roman" w:hAnsi="Times New Roman"/>
                <w:b/>
                <w:bCs/>
                <w:color w:val="000000"/>
                <w:sz w:val="18"/>
                <w:szCs w:val="18"/>
              </w:rPr>
              <w:t xml:space="preserve"> Patents Used as Reference                      (small enteprise's patents used)</w:t>
            </w:r>
          </w:p>
        </w:tc>
        <w:tc>
          <w:tcPr>
            <w:tcW w:w="1857" w:type="dxa"/>
            <w:gridSpan w:val="2"/>
            <w:tcBorders>
              <w:top w:val="single" w:sz="4" w:space="0" w:color="auto"/>
              <w:left w:val="nil"/>
              <w:bottom w:val="single" w:sz="4" w:space="0" w:color="auto"/>
              <w:right w:val="nil"/>
            </w:tcBorders>
            <w:shd w:val="clear" w:color="000000" w:fill="FFFFFF"/>
            <w:vAlign w:val="center"/>
            <w:hideMark/>
          </w:tcPr>
          <w:p w14:paraId="6E1936BF" w14:textId="77777777" w:rsidR="00581667" w:rsidRPr="00476DF1" w:rsidRDefault="00581667" w:rsidP="00B811C9">
            <w:pPr>
              <w:spacing w:after="0" w:line="240" w:lineRule="auto"/>
              <w:jc w:val="center"/>
              <w:rPr>
                <w:rFonts w:ascii="Times New Roman" w:eastAsia="Times New Roman" w:hAnsi="Times New Roman"/>
                <w:b/>
                <w:bCs/>
                <w:color w:val="000000"/>
                <w:sz w:val="18"/>
                <w:szCs w:val="18"/>
              </w:rPr>
            </w:pPr>
            <w:r w:rsidRPr="00476DF1">
              <w:rPr>
                <w:rFonts w:ascii="Times New Roman" w:eastAsia="Times New Roman" w:hAnsi="Times New Roman"/>
                <w:b/>
                <w:bCs/>
                <w:color w:val="000000"/>
                <w:sz w:val="18"/>
                <w:szCs w:val="18"/>
              </w:rPr>
              <w:t xml:space="preserve">Use of Inventors </w:t>
            </w:r>
          </w:p>
        </w:tc>
      </w:tr>
      <w:tr w:rsidR="00581667" w:rsidRPr="00476DF1" w14:paraId="4CF7A1E1" w14:textId="77777777" w:rsidTr="00581667">
        <w:trPr>
          <w:gridAfter w:val="1"/>
          <w:wAfter w:w="90" w:type="dxa"/>
          <w:trHeight w:val="414"/>
          <w:jc w:val="center"/>
        </w:trPr>
        <w:tc>
          <w:tcPr>
            <w:tcW w:w="1624" w:type="dxa"/>
            <w:vMerge w:val="restart"/>
            <w:tcBorders>
              <w:top w:val="nil"/>
              <w:left w:val="nil"/>
              <w:bottom w:val="single" w:sz="4" w:space="0" w:color="000000"/>
              <w:right w:val="nil"/>
            </w:tcBorders>
            <w:shd w:val="clear" w:color="000000" w:fill="FFFFFF"/>
            <w:vAlign w:val="center"/>
            <w:hideMark/>
          </w:tcPr>
          <w:p w14:paraId="7E6CC35A"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GSK</w:t>
            </w:r>
          </w:p>
        </w:tc>
        <w:tc>
          <w:tcPr>
            <w:tcW w:w="2210" w:type="dxa"/>
            <w:gridSpan w:val="2"/>
            <w:tcBorders>
              <w:top w:val="nil"/>
              <w:left w:val="nil"/>
              <w:bottom w:val="single" w:sz="4" w:space="0" w:color="auto"/>
              <w:right w:val="nil"/>
            </w:tcBorders>
            <w:shd w:val="clear" w:color="000000" w:fill="FFFFFF"/>
            <w:vAlign w:val="center"/>
            <w:hideMark/>
          </w:tcPr>
          <w:p w14:paraId="2D8F54E0"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Human Genome Science</w:t>
            </w:r>
          </w:p>
        </w:tc>
        <w:tc>
          <w:tcPr>
            <w:tcW w:w="2279" w:type="dxa"/>
            <w:gridSpan w:val="2"/>
            <w:tcBorders>
              <w:top w:val="nil"/>
              <w:left w:val="nil"/>
              <w:bottom w:val="single" w:sz="4" w:space="0" w:color="auto"/>
              <w:right w:val="nil"/>
            </w:tcBorders>
            <w:shd w:val="clear" w:color="000000" w:fill="FFFFFF"/>
            <w:vAlign w:val="center"/>
            <w:hideMark/>
          </w:tcPr>
          <w:p w14:paraId="6EB7CE8B"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14</w:t>
            </w:r>
          </w:p>
        </w:tc>
        <w:tc>
          <w:tcPr>
            <w:tcW w:w="1836" w:type="dxa"/>
            <w:gridSpan w:val="2"/>
            <w:tcBorders>
              <w:top w:val="nil"/>
              <w:left w:val="nil"/>
              <w:bottom w:val="single" w:sz="4" w:space="0" w:color="auto"/>
              <w:right w:val="nil"/>
            </w:tcBorders>
            <w:shd w:val="clear" w:color="000000" w:fill="FFFFFF"/>
            <w:noWrap/>
            <w:vAlign w:val="center"/>
            <w:hideMark/>
          </w:tcPr>
          <w:p w14:paraId="1C7B9B0A" w14:textId="77777777" w:rsidR="00581667" w:rsidRPr="00476DF1" w:rsidRDefault="00581667" w:rsidP="00B811C9">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w:t>
            </w:r>
          </w:p>
        </w:tc>
      </w:tr>
      <w:tr w:rsidR="00581667" w:rsidRPr="00476DF1" w14:paraId="5672C942" w14:textId="77777777" w:rsidTr="00581667">
        <w:trPr>
          <w:gridAfter w:val="1"/>
          <w:wAfter w:w="90" w:type="dxa"/>
          <w:trHeight w:val="422"/>
          <w:jc w:val="center"/>
        </w:trPr>
        <w:tc>
          <w:tcPr>
            <w:tcW w:w="1624" w:type="dxa"/>
            <w:vMerge/>
            <w:tcBorders>
              <w:top w:val="nil"/>
              <w:left w:val="nil"/>
              <w:bottom w:val="single" w:sz="4" w:space="0" w:color="000000"/>
              <w:right w:val="nil"/>
            </w:tcBorders>
            <w:vAlign w:val="center"/>
            <w:hideMark/>
          </w:tcPr>
          <w:p w14:paraId="530A0702" w14:textId="77777777" w:rsidR="00581667" w:rsidRPr="00476DF1" w:rsidRDefault="00581667" w:rsidP="00B811C9">
            <w:pPr>
              <w:spacing w:after="0" w:line="240" w:lineRule="auto"/>
              <w:rPr>
                <w:rFonts w:ascii="Times New Roman" w:eastAsia="Times New Roman" w:hAnsi="Times New Roman"/>
                <w:color w:val="000000"/>
                <w:sz w:val="18"/>
                <w:szCs w:val="18"/>
              </w:rPr>
            </w:pPr>
          </w:p>
        </w:tc>
        <w:tc>
          <w:tcPr>
            <w:tcW w:w="2210" w:type="dxa"/>
            <w:gridSpan w:val="2"/>
            <w:tcBorders>
              <w:top w:val="nil"/>
              <w:left w:val="nil"/>
              <w:bottom w:val="single" w:sz="4" w:space="0" w:color="auto"/>
              <w:right w:val="nil"/>
            </w:tcBorders>
            <w:shd w:val="clear" w:color="000000" w:fill="FFFFFF"/>
            <w:vAlign w:val="center"/>
            <w:hideMark/>
          </w:tcPr>
          <w:p w14:paraId="42BBC280"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ID Biomedical</w:t>
            </w:r>
          </w:p>
        </w:tc>
        <w:tc>
          <w:tcPr>
            <w:tcW w:w="2279" w:type="dxa"/>
            <w:gridSpan w:val="2"/>
            <w:tcBorders>
              <w:top w:val="nil"/>
              <w:left w:val="nil"/>
              <w:bottom w:val="single" w:sz="4" w:space="0" w:color="auto"/>
              <w:right w:val="nil"/>
            </w:tcBorders>
            <w:shd w:val="clear" w:color="000000" w:fill="FFFFFF"/>
            <w:vAlign w:val="center"/>
            <w:hideMark/>
          </w:tcPr>
          <w:p w14:paraId="38217C1F"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3</w:t>
            </w:r>
          </w:p>
        </w:tc>
        <w:tc>
          <w:tcPr>
            <w:tcW w:w="1836" w:type="dxa"/>
            <w:gridSpan w:val="2"/>
            <w:tcBorders>
              <w:top w:val="nil"/>
              <w:left w:val="nil"/>
              <w:bottom w:val="single" w:sz="4" w:space="0" w:color="auto"/>
              <w:right w:val="nil"/>
            </w:tcBorders>
            <w:shd w:val="clear" w:color="000000" w:fill="FFFFFF"/>
            <w:noWrap/>
            <w:vAlign w:val="center"/>
            <w:hideMark/>
          </w:tcPr>
          <w:p w14:paraId="77A38002" w14:textId="77777777" w:rsidR="00581667" w:rsidRPr="00476DF1" w:rsidRDefault="00581667" w:rsidP="00B811C9">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11%</w:t>
            </w:r>
          </w:p>
        </w:tc>
      </w:tr>
      <w:tr w:rsidR="00581667" w:rsidRPr="00476DF1" w14:paraId="1D9555AB" w14:textId="77777777" w:rsidTr="00581667">
        <w:trPr>
          <w:gridAfter w:val="1"/>
          <w:wAfter w:w="90" w:type="dxa"/>
          <w:trHeight w:val="303"/>
          <w:jc w:val="center"/>
        </w:trPr>
        <w:tc>
          <w:tcPr>
            <w:tcW w:w="1624" w:type="dxa"/>
            <w:vMerge/>
            <w:tcBorders>
              <w:top w:val="nil"/>
              <w:left w:val="nil"/>
              <w:bottom w:val="single" w:sz="4" w:space="0" w:color="000000"/>
              <w:right w:val="nil"/>
            </w:tcBorders>
            <w:vAlign w:val="center"/>
            <w:hideMark/>
          </w:tcPr>
          <w:p w14:paraId="0C9FBEA0" w14:textId="77777777" w:rsidR="00581667" w:rsidRPr="00476DF1" w:rsidRDefault="00581667" w:rsidP="00B811C9">
            <w:pPr>
              <w:spacing w:after="0" w:line="240" w:lineRule="auto"/>
              <w:rPr>
                <w:rFonts w:ascii="Times New Roman" w:eastAsia="Times New Roman" w:hAnsi="Times New Roman"/>
                <w:color w:val="000000"/>
                <w:sz w:val="18"/>
                <w:szCs w:val="18"/>
              </w:rPr>
            </w:pPr>
          </w:p>
        </w:tc>
        <w:tc>
          <w:tcPr>
            <w:tcW w:w="2210" w:type="dxa"/>
            <w:gridSpan w:val="2"/>
            <w:tcBorders>
              <w:top w:val="nil"/>
              <w:left w:val="nil"/>
              <w:bottom w:val="single" w:sz="4" w:space="0" w:color="auto"/>
              <w:right w:val="nil"/>
            </w:tcBorders>
            <w:shd w:val="clear" w:color="000000" w:fill="FFFFFF"/>
            <w:vAlign w:val="center"/>
            <w:hideMark/>
          </w:tcPr>
          <w:p w14:paraId="6760A4D6"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Corixa</w:t>
            </w:r>
          </w:p>
        </w:tc>
        <w:tc>
          <w:tcPr>
            <w:tcW w:w="2279" w:type="dxa"/>
            <w:gridSpan w:val="2"/>
            <w:tcBorders>
              <w:top w:val="nil"/>
              <w:left w:val="nil"/>
              <w:bottom w:val="single" w:sz="4" w:space="0" w:color="auto"/>
              <w:right w:val="nil"/>
            </w:tcBorders>
            <w:shd w:val="clear" w:color="000000" w:fill="FFFFFF"/>
            <w:vAlign w:val="center"/>
            <w:hideMark/>
          </w:tcPr>
          <w:p w14:paraId="01A0A619"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33</w:t>
            </w:r>
          </w:p>
        </w:tc>
        <w:tc>
          <w:tcPr>
            <w:tcW w:w="1836" w:type="dxa"/>
            <w:gridSpan w:val="2"/>
            <w:tcBorders>
              <w:top w:val="nil"/>
              <w:left w:val="nil"/>
              <w:bottom w:val="single" w:sz="4" w:space="0" w:color="auto"/>
              <w:right w:val="nil"/>
            </w:tcBorders>
            <w:shd w:val="clear" w:color="000000" w:fill="FFFFFF"/>
            <w:noWrap/>
            <w:vAlign w:val="center"/>
            <w:hideMark/>
          </w:tcPr>
          <w:p w14:paraId="0B10C655" w14:textId="77777777" w:rsidR="00581667" w:rsidRPr="00476DF1" w:rsidRDefault="00581667" w:rsidP="00B811C9">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14%</w:t>
            </w:r>
          </w:p>
        </w:tc>
      </w:tr>
      <w:tr w:rsidR="00581667" w:rsidRPr="00476DF1" w14:paraId="59E3F548" w14:textId="77777777" w:rsidTr="00581667">
        <w:trPr>
          <w:gridAfter w:val="1"/>
          <w:wAfter w:w="90" w:type="dxa"/>
          <w:trHeight w:val="303"/>
          <w:jc w:val="center"/>
        </w:trPr>
        <w:tc>
          <w:tcPr>
            <w:tcW w:w="1624" w:type="dxa"/>
            <w:vMerge/>
            <w:tcBorders>
              <w:top w:val="nil"/>
              <w:left w:val="nil"/>
              <w:bottom w:val="single" w:sz="4" w:space="0" w:color="000000"/>
              <w:right w:val="nil"/>
            </w:tcBorders>
            <w:vAlign w:val="center"/>
            <w:hideMark/>
          </w:tcPr>
          <w:p w14:paraId="0504353D" w14:textId="77777777" w:rsidR="00581667" w:rsidRPr="00476DF1" w:rsidRDefault="00581667" w:rsidP="00B811C9">
            <w:pPr>
              <w:spacing w:after="0" w:line="240" w:lineRule="auto"/>
              <w:rPr>
                <w:rFonts w:ascii="Times New Roman" w:eastAsia="Times New Roman" w:hAnsi="Times New Roman"/>
                <w:color w:val="000000"/>
                <w:sz w:val="18"/>
                <w:szCs w:val="18"/>
              </w:rPr>
            </w:pPr>
          </w:p>
        </w:tc>
        <w:tc>
          <w:tcPr>
            <w:tcW w:w="2210" w:type="dxa"/>
            <w:gridSpan w:val="2"/>
            <w:tcBorders>
              <w:top w:val="nil"/>
              <w:left w:val="nil"/>
              <w:bottom w:val="single" w:sz="4" w:space="0" w:color="auto"/>
              <w:right w:val="nil"/>
            </w:tcBorders>
            <w:shd w:val="clear" w:color="000000" w:fill="FFFFFF"/>
            <w:vAlign w:val="center"/>
            <w:hideMark/>
          </w:tcPr>
          <w:p w14:paraId="0D7B1228"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Praecis</w:t>
            </w:r>
          </w:p>
        </w:tc>
        <w:tc>
          <w:tcPr>
            <w:tcW w:w="2279" w:type="dxa"/>
            <w:gridSpan w:val="2"/>
            <w:tcBorders>
              <w:top w:val="nil"/>
              <w:left w:val="nil"/>
              <w:bottom w:val="single" w:sz="4" w:space="0" w:color="auto"/>
              <w:right w:val="nil"/>
            </w:tcBorders>
            <w:shd w:val="clear" w:color="000000" w:fill="FFFFFF"/>
            <w:vAlign w:val="center"/>
            <w:hideMark/>
          </w:tcPr>
          <w:p w14:paraId="45745213"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3</w:t>
            </w:r>
          </w:p>
        </w:tc>
        <w:tc>
          <w:tcPr>
            <w:tcW w:w="1836" w:type="dxa"/>
            <w:gridSpan w:val="2"/>
            <w:tcBorders>
              <w:top w:val="nil"/>
              <w:left w:val="nil"/>
              <w:bottom w:val="single" w:sz="4" w:space="0" w:color="auto"/>
              <w:right w:val="nil"/>
            </w:tcBorders>
            <w:shd w:val="clear" w:color="000000" w:fill="FFFFFF"/>
            <w:noWrap/>
            <w:vAlign w:val="center"/>
            <w:hideMark/>
          </w:tcPr>
          <w:p w14:paraId="1A7D7451" w14:textId="77777777" w:rsidR="00581667" w:rsidRPr="00476DF1" w:rsidRDefault="00581667" w:rsidP="00B811C9">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24%</w:t>
            </w:r>
          </w:p>
        </w:tc>
      </w:tr>
      <w:tr w:rsidR="00581667" w:rsidRPr="00476DF1" w14:paraId="7BB946E0" w14:textId="77777777" w:rsidTr="00581667">
        <w:trPr>
          <w:gridAfter w:val="1"/>
          <w:wAfter w:w="90" w:type="dxa"/>
          <w:trHeight w:val="365"/>
          <w:jc w:val="center"/>
        </w:trPr>
        <w:tc>
          <w:tcPr>
            <w:tcW w:w="1624" w:type="dxa"/>
            <w:vMerge/>
            <w:tcBorders>
              <w:top w:val="nil"/>
              <w:left w:val="nil"/>
              <w:bottom w:val="single" w:sz="4" w:space="0" w:color="000000"/>
              <w:right w:val="nil"/>
            </w:tcBorders>
            <w:vAlign w:val="center"/>
            <w:hideMark/>
          </w:tcPr>
          <w:p w14:paraId="1945AB4B" w14:textId="77777777" w:rsidR="00581667" w:rsidRPr="00476DF1" w:rsidRDefault="00581667" w:rsidP="00B811C9">
            <w:pPr>
              <w:spacing w:after="0" w:line="240" w:lineRule="auto"/>
              <w:rPr>
                <w:rFonts w:ascii="Times New Roman" w:eastAsia="Times New Roman" w:hAnsi="Times New Roman"/>
                <w:color w:val="000000"/>
                <w:sz w:val="18"/>
                <w:szCs w:val="18"/>
              </w:rPr>
            </w:pPr>
          </w:p>
        </w:tc>
        <w:tc>
          <w:tcPr>
            <w:tcW w:w="2210" w:type="dxa"/>
            <w:gridSpan w:val="2"/>
            <w:tcBorders>
              <w:top w:val="nil"/>
              <w:left w:val="nil"/>
              <w:bottom w:val="single" w:sz="4" w:space="0" w:color="auto"/>
              <w:right w:val="nil"/>
            </w:tcBorders>
            <w:shd w:val="clear" w:color="000000" w:fill="FFFFFF"/>
            <w:vAlign w:val="center"/>
            <w:hideMark/>
          </w:tcPr>
          <w:p w14:paraId="20C91173"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Sirtirs</w:t>
            </w:r>
          </w:p>
        </w:tc>
        <w:tc>
          <w:tcPr>
            <w:tcW w:w="2279" w:type="dxa"/>
            <w:gridSpan w:val="2"/>
            <w:tcBorders>
              <w:top w:val="nil"/>
              <w:left w:val="nil"/>
              <w:bottom w:val="single" w:sz="4" w:space="0" w:color="auto"/>
              <w:right w:val="nil"/>
            </w:tcBorders>
            <w:shd w:val="clear" w:color="000000" w:fill="FFFFFF"/>
            <w:vAlign w:val="center"/>
            <w:hideMark/>
          </w:tcPr>
          <w:p w14:paraId="5CAF1AE7" w14:textId="77777777" w:rsidR="00581667" w:rsidRPr="00476DF1" w:rsidRDefault="00581667" w:rsidP="00B811C9">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9</w:t>
            </w:r>
          </w:p>
        </w:tc>
        <w:tc>
          <w:tcPr>
            <w:tcW w:w="1836" w:type="dxa"/>
            <w:gridSpan w:val="2"/>
            <w:tcBorders>
              <w:top w:val="nil"/>
              <w:left w:val="nil"/>
              <w:bottom w:val="nil"/>
              <w:right w:val="nil"/>
            </w:tcBorders>
            <w:shd w:val="clear" w:color="000000" w:fill="FFFFFF"/>
            <w:noWrap/>
            <w:vAlign w:val="center"/>
            <w:hideMark/>
          </w:tcPr>
          <w:p w14:paraId="44A7FD9D" w14:textId="77777777" w:rsidR="00581667" w:rsidRPr="00476DF1" w:rsidRDefault="00581667" w:rsidP="00B811C9">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811741" w:rsidRPr="00476DF1" w14:paraId="768B69E7" w14:textId="77777777" w:rsidTr="00581667">
        <w:trPr>
          <w:gridAfter w:val="1"/>
          <w:wAfter w:w="90" w:type="dxa"/>
          <w:trHeight w:val="415"/>
          <w:jc w:val="center"/>
        </w:trPr>
        <w:tc>
          <w:tcPr>
            <w:tcW w:w="1624" w:type="dxa"/>
            <w:vMerge w:val="restart"/>
            <w:tcBorders>
              <w:top w:val="nil"/>
              <w:left w:val="nil"/>
              <w:bottom w:val="nil"/>
              <w:right w:val="nil"/>
            </w:tcBorders>
            <w:shd w:val="clear" w:color="000000" w:fill="FFFFFF"/>
            <w:vAlign w:val="center"/>
            <w:hideMark/>
          </w:tcPr>
          <w:p w14:paraId="7E0A0687" w14:textId="5F810ED0"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fizer</w:t>
            </w:r>
          </w:p>
        </w:tc>
        <w:tc>
          <w:tcPr>
            <w:tcW w:w="2210" w:type="dxa"/>
            <w:gridSpan w:val="2"/>
            <w:tcBorders>
              <w:top w:val="nil"/>
              <w:left w:val="nil"/>
              <w:bottom w:val="single" w:sz="4" w:space="0" w:color="auto"/>
              <w:right w:val="nil"/>
            </w:tcBorders>
            <w:shd w:val="clear" w:color="000000" w:fill="FFFFFF"/>
            <w:vAlign w:val="center"/>
            <w:hideMark/>
          </w:tcPr>
          <w:p w14:paraId="61A976A8"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Idun Pharmaceuticals</w:t>
            </w:r>
          </w:p>
        </w:tc>
        <w:tc>
          <w:tcPr>
            <w:tcW w:w="2279" w:type="dxa"/>
            <w:gridSpan w:val="2"/>
            <w:tcBorders>
              <w:top w:val="nil"/>
              <w:left w:val="nil"/>
              <w:bottom w:val="single" w:sz="4" w:space="0" w:color="auto"/>
              <w:right w:val="nil"/>
            </w:tcBorders>
            <w:shd w:val="clear" w:color="000000" w:fill="FFFFFF"/>
            <w:vAlign w:val="center"/>
            <w:hideMark/>
          </w:tcPr>
          <w:p w14:paraId="3D39F08F"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1</w:t>
            </w:r>
          </w:p>
        </w:tc>
        <w:tc>
          <w:tcPr>
            <w:tcW w:w="1836" w:type="dxa"/>
            <w:gridSpan w:val="2"/>
            <w:tcBorders>
              <w:top w:val="single" w:sz="4" w:space="0" w:color="auto"/>
              <w:left w:val="nil"/>
              <w:bottom w:val="single" w:sz="4" w:space="0" w:color="auto"/>
              <w:right w:val="nil"/>
            </w:tcBorders>
            <w:shd w:val="clear" w:color="000000" w:fill="FFFFFF"/>
            <w:vAlign w:val="center"/>
            <w:hideMark/>
          </w:tcPr>
          <w:p w14:paraId="72CE7C82" w14:textId="77777777" w:rsidR="00811741" w:rsidRPr="00476DF1" w:rsidRDefault="00811741"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811741" w:rsidRPr="00476DF1" w14:paraId="2B4B4C47" w14:textId="77777777" w:rsidTr="00581667">
        <w:trPr>
          <w:gridAfter w:val="1"/>
          <w:wAfter w:w="90" w:type="dxa"/>
          <w:trHeight w:val="366"/>
          <w:jc w:val="center"/>
        </w:trPr>
        <w:tc>
          <w:tcPr>
            <w:tcW w:w="1624" w:type="dxa"/>
            <w:vMerge/>
            <w:tcBorders>
              <w:top w:val="nil"/>
              <w:left w:val="nil"/>
              <w:bottom w:val="nil"/>
              <w:right w:val="nil"/>
            </w:tcBorders>
            <w:vAlign w:val="center"/>
            <w:hideMark/>
          </w:tcPr>
          <w:p w14:paraId="5D6ACBA9" w14:textId="77777777" w:rsidR="00811741" w:rsidRPr="00476DF1" w:rsidRDefault="00811741" w:rsidP="00CE4BBE">
            <w:pPr>
              <w:spacing w:after="0" w:line="240" w:lineRule="auto"/>
              <w:rPr>
                <w:rFonts w:ascii="Times New Roman" w:eastAsia="Times New Roman" w:hAnsi="Times New Roman"/>
                <w:color w:val="000000"/>
                <w:sz w:val="18"/>
                <w:szCs w:val="18"/>
              </w:rPr>
            </w:pPr>
          </w:p>
        </w:tc>
        <w:tc>
          <w:tcPr>
            <w:tcW w:w="2210" w:type="dxa"/>
            <w:gridSpan w:val="2"/>
            <w:tcBorders>
              <w:top w:val="nil"/>
              <w:left w:val="nil"/>
              <w:bottom w:val="single" w:sz="4" w:space="0" w:color="auto"/>
              <w:right w:val="nil"/>
            </w:tcBorders>
            <w:shd w:val="clear" w:color="000000" w:fill="FFFFFF"/>
            <w:vAlign w:val="center"/>
            <w:hideMark/>
          </w:tcPr>
          <w:p w14:paraId="6513FF43"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Rinat Neuroscience</w:t>
            </w:r>
          </w:p>
        </w:tc>
        <w:tc>
          <w:tcPr>
            <w:tcW w:w="2279" w:type="dxa"/>
            <w:gridSpan w:val="2"/>
            <w:tcBorders>
              <w:top w:val="nil"/>
              <w:left w:val="nil"/>
              <w:bottom w:val="single" w:sz="4" w:space="0" w:color="auto"/>
              <w:right w:val="nil"/>
            </w:tcBorders>
            <w:shd w:val="clear" w:color="000000" w:fill="FFFFFF"/>
            <w:vAlign w:val="center"/>
            <w:hideMark/>
          </w:tcPr>
          <w:p w14:paraId="4B34AA9F"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2</w:t>
            </w:r>
          </w:p>
        </w:tc>
        <w:tc>
          <w:tcPr>
            <w:tcW w:w="1836" w:type="dxa"/>
            <w:gridSpan w:val="2"/>
            <w:tcBorders>
              <w:top w:val="nil"/>
              <w:left w:val="nil"/>
              <w:bottom w:val="single" w:sz="4" w:space="0" w:color="auto"/>
              <w:right w:val="nil"/>
            </w:tcBorders>
            <w:shd w:val="clear" w:color="000000" w:fill="FFFFFF"/>
            <w:vAlign w:val="center"/>
            <w:hideMark/>
          </w:tcPr>
          <w:p w14:paraId="3E826436" w14:textId="77777777" w:rsidR="00811741" w:rsidRPr="00476DF1" w:rsidRDefault="00811741"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51%</w:t>
            </w:r>
          </w:p>
        </w:tc>
      </w:tr>
      <w:tr w:rsidR="00811741" w:rsidRPr="00476DF1" w14:paraId="635F6F1A" w14:textId="77777777" w:rsidTr="00581667">
        <w:trPr>
          <w:gridAfter w:val="1"/>
          <w:wAfter w:w="90" w:type="dxa"/>
          <w:trHeight w:val="303"/>
          <w:jc w:val="center"/>
        </w:trPr>
        <w:tc>
          <w:tcPr>
            <w:tcW w:w="1624" w:type="dxa"/>
            <w:vMerge/>
            <w:tcBorders>
              <w:top w:val="nil"/>
              <w:left w:val="nil"/>
              <w:bottom w:val="nil"/>
              <w:right w:val="nil"/>
            </w:tcBorders>
            <w:vAlign w:val="center"/>
            <w:hideMark/>
          </w:tcPr>
          <w:p w14:paraId="02B9FF69" w14:textId="77777777" w:rsidR="00811741" w:rsidRPr="00476DF1" w:rsidRDefault="00811741" w:rsidP="00CE4BBE">
            <w:pPr>
              <w:spacing w:after="0" w:line="240" w:lineRule="auto"/>
              <w:rPr>
                <w:rFonts w:ascii="Times New Roman" w:eastAsia="Times New Roman" w:hAnsi="Times New Roman"/>
                <w:color w:val="000000"/>
                <w:sz w:val="18"/>
                <w:szCs w:val="18"/>
              </w:rPr>
            </w:pPr>
          </w:p>
        </w:tc>
        <w:tc>
          <w:tcPr>
            <w:tcW w:w="2210" w:type="dxa"/>
            <w:gridSpan w:val="2"/>
            <w:tcBorders>
              <w:top w:val="nil"/>
              <w:left w:val="nil"/>
              <w:bottom w:val="single" w:sz="4" w:space="0" w:color="auto"/>
              <w:right w:val="nil"/>
            </w:tcBorders>
            <w:shd w:val="clear" w:color="000000" w:fill="FFFFFF"/>
            <w:vAlign w:val="center"/>
            <w:hideMark/>
          </w:tcPr>
          <w:p w14:paraId="34881ACA"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Coley</w:t>
            </w:r>
          </w:p>
        </w:tc>
        <w:tc>
          <w:tcPr>
            <w:tcW w:w="2279" w:type="dxa"/>
            <w:gridSpan w:val="2"/>
            <w:tcBorders>
              <w:top w:val="nil"/>
              <w:left w:val="nil"/>
              <w:bottom w:val="single" w:sz="4" w:space="0" w:color="auto"/>
              <w:right w:val="nil"/>
            </w:tcBorders>
            <w:shd w:val="clear" w:color="000000" w:fill="FFFFFF"/>
            <w:vAlign w:val="center"/>
            <w:hideMark/>
          </w:tcPr>
          <w:p w14:paraId="64788156"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34</w:t>
            </w:r>
          </w:p>
        </w:tc>
        <w:tc>
          <w:tcPr>
            <w:tcW w:w="1836" w:type="dxa"/>
            <w:gridSpan w:val="2"/>
            <w:tcBorders>
              <w:top w:val="nil"/>
              <w:left w:val="nil"/>
              <w:bottom w:val="single" w:sz="4" w:space="0" w:color="auto"/>
              <w:right w:val="nil"/>
            </w:tcBorders>
            <w:shd w:val="clear" w:color="000000" w:fill="FFFFFF"/>
            <w:vAlign w:val="center"/>
            <w:hideMark/>
          </w:tcPr>
          <w:p w14:paraId="7E06BBCC" w14:textId="77777777" w:rsidR="00811741" w:rsidRPr="00476DF1" w:rsidRDefault="00811741"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15%</w:t>
            </w:r>
          </w:p>
        </w:tc>
      </w:tr>
      <w:tr w:rsidR="00811741" w:rsidRPr="00476DF1" w14:paraId="7B0BE9CC" w14:textId="77777777" w:rsidTr="00581667">
        <w:trPr>
          <w:gridAfter w:val="1"/>
          <w:wAfter w:w="90" w:type="dxa"/>
          <w:trHeight w:val="303"/>
          <w:jc w:val="center"/>
        </w:trPr>
        <w:tc>
          <w:tcPr>
            <w:tcW w:w="1624" w:type="dxa"/>
            <w:vMerge/>
            <w:tcBorders>
              <w:top w:val="nil"/>
              <w:left w:val="nil"/>
              <w:bottom w:val="nil"/>
              <w:right w:val="nil"/>
            </w:tcBorders>
            <w:vAlign w:val="center"/>
            <w:hideMark/>
          </w:tcPr>
          <w:p w14:paraId="5F362B29" w14:textId="77777777" w:rsidR="00811741" w:rsidRPr="00476DF1" w:rsidRDefault="00811741" w:rsidP="00CE4BBE">
            <w:pPr>
              <w:spacing w:after="0" w:line="240" w:lineRule="auto"/>
              <w:rPr>
                <w:rFonts w:ascii="Times New Roman" w:eastAsia="Times New Roman" w:hAnsi="Times New Roman"/>
                <w:color w:val="000000"/>
                <w:sz w:val="18"/>
                <w:szCs w:val="18"/>
              </w:rPr>
            </w:pPr>
          </w:p>
        </w:tc>
        <w:tc>
          <w:tcPr>
            <w:tcW w:w="2210" w:type="dxa"/>
            <w:gridSpan w:val="2"/>
            <w:tcBorders>
              <w:top w:val="nil"/>
              <w:left w:val="nil"/>
              <w:bottom w:val="single" w:sz="4" w:space="0" w:color="auto"/>
              <w:right w:val="nil"/>
            </w:tcBorders>
            <w:shd w:val="clear" w:color="000000" w:fill="FFFFFF"/>
            <w:vAlign w:val="center"/>
            <w:hideMark/>
          </w:tcPr>
          <w:p w14:paraId="3C22A141"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Covx</w:t>
            </w:r>
          </w:p>
        </w:tc>
        <w:tc>
          <w:tcPr>
            <w:tcW w:w="2279" w:type="dxa"/>
            <w:gridSpan w:val="2"/>
            <w:tcBorders>
              <w:top w:val="nil"/>
              <w:left w:val="nil"/>
              <w:bottom w:val="single" w:sz="4" w:space="0" w:color="auto"/>
              <w:right w:val="nil"/>
            </w:tcBorders>
            <w:shd w:val="clear" w:color="000000" w:fill="FFFFFF"/>
            <w:vAlign w:val="center"/>
            <w:hideMark/>
          </w:tcPr>
          <w:p w14:paraId="179120E5"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1</w:t>
            </w:r>
          </w:p>
        </w:tc>
        <w:tc>
          <w:tcPr>
            <w:tcW w:w="1836" w:type="dxa"/>
            <w:gridSpan w:val="2"/>
            <w:tcBorders>
              <w:top w:val="nil"/>
              <w:left w:val="nil"/>
              <w:bottom w:val="single" w:sz="4" w:space="0" w:color="auto"/>
              <w:right w:val="nil"/>
            </w:tcBorders>
            <w:shd w:val="clear" w:color="000000" w:fill="FFFFFF"/>
            <w:vAlign w:val="center"/>
            <w:hideMark/>
          </w:tcPr>
          <w:p w14:paraId="35A7A258" w14:textId="77777777" w:rsidR="00811741" w:rsidRPr="00476DF1" w:rsidRDefault="00811741"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811741" w:rsidRPr="00476DF1" w14:paraId="0EE96891" w14:textId="77777777" w:rsidTr="00581667">
        <w:trPr>
          <w:gridAfter w:val="1"/>
          <w:wAfter w:w="90" w:type="dxa"/>
          <w:trHeight w:val="303"/>
          <w:jc w:val="center"/>
        </w:trPr>
        <w:tc>
          <w:tcPr>
            <w:tcW w:w="1624" w:type="dxa"/>
            <w:vMerge/>
            <w:tcBorders>
              <w:top w:val="nil"/>
              <w:left w:val="nil"/>
              <w:bottom w:val="nil"/>
              <w:right w:val="nil"/>
            </w:tcBorders>
            <w:vAlign w:val="center"/>
            <w:hideMark/>
          </w:tcPr>
          <w:p w14:paraId="13154387" w14:textId="77777777" w:rsidR="00811741" w:rsidRPr="00476DF1" w:rsidRDefault="00811741" w:rsidP="00CE4BBE">
            <w:pPr>
              <w:spacing w:after="0" w:line="240" w:lineRule="auto"/>
              <w:rPr>
                <w:rFonts w:ascii="Times New Roman" w:eastAsia="Times New Roman" w:hAnsi="Times New Roman"/>
                <w:color w:val="000000"/>
                <w:sz w:val="18"/>
                <w:szCs w:val="18"/>
              </w:rPr>
            </w:pPr>
          </w:p>
        </w:tc>
        <w:tc>
          <w:tcPr>
            <w:tcW w:w="2210" w:type="dxa"/>
            <w:gridSpan w:val="2"/>
            <w:tcBorders>
              <w:top w:val="nil"/>
              <w:left w:val="nil"/>
              <w:bottom w:val="nil"/>
              <w:right w:val="nil"/>
            </w:tcBorders>
            <w:shd w:val="clear" w:color="000000" w:fill="FFFFFF"/>
            <w:vAlign w:val="center"/>
            <w:hideMark/>
          </w:tcPr>
          <w:p w14:paraId="31CC54CE"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Incagen</w:t>
            </w:r>
          </w:p>
        </w:tc>
        <w:tc>
          <w:tcPr>
            <w:tcW w:w="2279" w:type="dxa"/>
            <w:gridSpan w:val="2"/>
            <w:tcBorders>
              <w:top w:val="nil"/>
              <w:left w:val="nil"/>
              <w:bottom w:val="nil"/>
              <w:right w:val="nil"/>
            </w:tcBorders>
            <w:shd w:val="clear" w:color="000000" w:fill="FFFFFF"/>
            <w:vAlign w:val="center"/>
            <w:hideMark/>
          </w:tcPr>
          <w:p w14:paraId="06DE369C"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2</w:t>
            </w:r>
          </w:p>
        </w:tc>
        <w:tc>
          <w:tcPr>
            <w:tcW w:w="1836" w:type="dxa"/>
            <w:gridSpan w:val="2"/>
            <w:tcBorders>
              <w:top w:val="nil"/>
              <w:left w:val="nil"/>
              <w:bottom w:val="single" w:sz="4" w:space="0" w:color="auto"/>
              <w:right w:val="nil"/>
            </w:tcBorders>
            <w:shd w:val="clear" w:color="000000" w:fill="FFFFFF"/>
            <w:vAlign w:val="center"/>
            <w:hideMark/>
          </w:tcPr>
          <w:p w14:paraId="15E1B4FF" w14:textId="77777777" w:rsidR="00811741" w:rsidRPr="00476DF1" w:rsidRDefault="00811741"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12%</w:t>
            </w:r>
          </w:p>
        </w:tc>
      </w:tr>
      <w:tr w:rsidR="00811741" w:rsidRPr="00476DF1" w14:paraId="4A6ED3D3" w14:textId="77777777" w:rsidTr="00581667">
        <w:trPr>
          <w:gridAfter w:val="1"/>
          <w:wAfter w:w="90" w:type="dxa"/>
          <w:trHeight w:val="413"/>
          <w:jc w:val="center"/>
        </w:trPr>
        <w:tc>
          <w:tcPr>
            <w:tcW w:w="1624" w:type="dxa"/>
            <w:vMerge w:val="restart"/>
            <w:tcBorders>
              <w:top w:val="single" w:sz="4" w:space="0" w:color="auto"/>
              <w:left w:val="nil"/>
              <w:bottom w:val="single" w:sz="4" w:space="0" w:color="000000"/>
              <w:right w:val="nil"/>
            </w:tcBorders>
            <w:shd w:val="clear" w:color="000000" w:fill="FFFFFF"/>
            <w:vAlign w:val="center"/>
            <w:hideMark/>
          </w:tcPr>
          <w:p w14:paraId="2B5D328E"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J&amp;J</w:t>
            </w:r>
          </w:p>
        </w:tc>
        <w:tc>
          <w:tcPr>
            <w:tcW w:w="2210" w:type="dxa"/>
            <w:gridSpan w:val="2"/>
            <w:tcBorders>
              <w:top w:val="single" w:sz="4" w:space="0" w:color="auto"/>
              <w:left w:val="nil"/>
              <w:bottom w:val="single" w:sz="4" w:space="0" w:color="auto"/>
              <w:right w:val="nil"/>
            </w:tcBorders>
            <w:shd w:val="clear" w:color="000000" w:fill="FFFFFF"/>
            <w:vAlign w:val="center"/>
            <w:hideMark/>
          </w:tcPr>
          <w:p w14:paraId="31694E0C"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Transform-Pharma</w:t>
            </w:r>
          </w:p>
        </w:tc>
        <w:tc>
          <w:tcPr>
            <w:tcW w:w="2279" w:type="dxa"/>
            <w:gridSpan w:val="2"/>
            <w:tcBorders>
              <w:top w:val="single" w:sz="4" w:space="0" w:color="auto"/>
              <w:left w:val="nil"/>
              <w:bottom w:val="single" w:sz="4" w:space="0" w:color="auto"/>
              <w:right w:val="nil"/>
            </w:tcBorders>
            <w:shd w:val="clear" w:color="000000" w:fill="FFFFFF"/>
            <w:vAlign w:val="center"/>
            <w:hideMark/>
          </w:tcPr>
          <w:p w14:paraId="2FE401BF"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1</w:t>
            </w:r>
          </w:p>
        </w:tc>
        <w:tc>
          <w:tcPr>
            <w:tcW w:w="1836" w:type="dxa"/>
            <w:gridSpan w:val="2"/>
            <w:tcBorders>
              <w:top w:val="nil"/>
              <w:left w:val="nil"/>
              <w:bottom w:val="single" w:sz="4" w:space="0" w:color="auto"/>
              <w:right w:val="nil"/>
            </w:tcBorders>
            <w:shd w:val="clear" w:color="000000" w:fill="FFFFFF"/>
            <w:vAlign w:val="center"/>
            <w:hideMark/>
          </w:tcPr>
          <w:p w14:paraId="5923B8A1" w14:textId="77777777" w:rsidR="00811741" w:rsidRPr="00476DF1" w:rsidRDefault="00811741"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24%</w:t>
            </w:r>
          </w:p>
        </w:tc>
      </w:tr>
      <w:tr w:rsidR="00811741" w:rsidRPr="00476DF1" w14:paraId="197F96FA" w14:textId="77777777" w:rsidTr="00581667">
        <w:trPr>
          <w:gridAfter w:val="1"/>
          <w:wAfter w:w="90" w:type="dxa"/>
          <w:trHeight w:val="303"/>
          <w:jc w:val="center"/>
        </w:trPr>
        <w:tc>
          <w:tcPr>
            <w:tcW w:w="1624" w:type="dxa"/>
            <w:vMerge/>
            <w:tcBorders>
              <w:top w:val="single" w:sz="4" w:space="0" w:color="auto"/>
              <w:left w:val="nil"/>
              <w:bottom w:val="single" w:sz="4" w:space="0" w:color="000000"/>
              <w:right w:val="nil"/>
            </w:tcBorders>
            <w:vAlign w:val="center"/>
            <w:hideMark/>
          </w:tcPr>
          <w:p w14:paraId="18C12F9B" w14:textId="77777777" w:rsidR="00811741" w:rsidRPr="00476DF1" w:rsidRDefault="00811741" w:rsidP="00CE4BBE">
            <w:pPr>
              <w:spacing w:after="0" w:line="240" w:lineRule="auto"/>
              <w:rPr>
                <w:rFonts w:ascii="Times New Roman" w:eastAsia="Times New Roman" w:hAnsi="Times New Roman"/>
                <w:color w:val="000000"/>
                <w:sz w:val="18"/>
                <w:szCs w:val="18"/>
              </w:rPr>
            </w:pPr>
          </w:p>
        </w:tc>
        <w:tc>
          <w:tcPr>
            <w:tcW w:w="2210" w:type="dxa"/>
            <w:gridSpan w:val="2"/>
            <w:tcBorders>
              <w:top w:val="nil"/>
              <w:left w:val="nil"/>
              <w:bottom w:val="single" w:sz="4" w:space="0" w:color="auto"/>
              <w:right w:val="nil"/>
            </w:tcBorders>
            <w:shd w:val="clear" w:color="000000" w:fill="FFFFFF"/>
            <w:vAlign w:val="center"/>
            <w:hideMark/>
          </w:tcPr>
          <w:p w14:paraId="464BFAA4"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Omrix</w:t>
            </w:r>
          </w:p>
        </w:tc>
        <w:tc>
          <w:tcPr>
            <w:tcW w:w="2279" w:type="dxa"/>
            <w:gridSpan w:val="2"/>
            <w:tcBorders>
              <w:top w:val="nil"/>
              <w:left w:val="nil"/>
              <w:bottom w:val="single" w:sz="4" w:space="0" w:color="auto"/>
              <w:right w:val="nil"/>
            </w:tcBorders>
            <w:shd w:val="clear" w:color="000000" w:fill="FFFFFF"/>
            <w:vAlign w:val="center"/>
            <w:hideMark/>
          </w:tcPr>
          <w:p w14:paraId="6BDB3B4B"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6</w:t>
            </w:r>
          </w:p>
        </w:tc>
        <w:tc>
          <w:tcPr>
            <w:tcW w:w="1836" w:type="dxa"/>
            <w:gridSpan w:val="2"/>
            <w:tcBorders>
              <w:top w:val="nil"/>
              <w:left w:val="nil"/>
              <w:bottom w:val="single" w:sz="4" w:space="0" w:color="auto"/>
              <w:right w:val="nil"/>
            </w:tcBorders>
            <w:shd w:val="clear" w:color="000000" w:fill="FFFFFF"/>
            <w:vAlign w:val="center"/>
            <w:hideMark/>
          </w:tcPr>
          <w:p w14:paraId="547EA4A8" w14:textId="77777777" w:rsidR="00811741" w:rsidRPr="00476DF1" w:rsidRDefault="00811741"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0%</w:t>
            </w:r>
          </w:p>
        </w:tc>
      </w:tr>
      <w:tr w:rsidR="00811741" w:rsidRPr="00476DF1" w14:paraId="5C068264" w14:textId="77777777" w:rsidTr="00581667">
        <w:trPr>
          <w:gridAfter w:val="1"/>
          <w:wAfter w:w="90" w:type="dxa"/>
          <w:trHeight w:val="440"/>
          <w:jc w:val="center"/>
        </w:trPr>
        <w:tc>
          <w:tcPr>
            <w:tcW w:w="1624" w:type="dxa"/>
            <w:vMerge w:val="restart"/>
            <w:tcBorders>
              <w:top w:val="nil"/>
              <w:left w:val="nil"/>
              <w:bottom w:val="single" w:sz="4" w:space="0" w:color="000000"/>
              <w:right w:val="nil"/>
            </w:tcBorders>
            <w:shd w:val="clear" w:color="000000" w:fill="FFFFFF"/>
            <w:vAlign w:val="center"/>
            <w:hideMark/>
          </w:tcPr>
          <w:p w14:paraId="4ECFB568"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Merck</w:t>
            </w:r>
          </w:p>
        </w:tc>
        <w:tc>
          <w:tcPr>
            <w:tcW w:w="2210" w:type="dxa"/>
            <w:gridSpan w:val="2"/>
            <w:tcBorders>
              <w:top w:val="nil"/>
              <w:left w:val="nil"/>
              <w:bottom w:val="single" w:sz="4" w:space="0" w:color="auto"/>
              <w:right w:val="nil"/>
            </w:tcBorders>
            <w:shd w:val="clear" w:color="000000" w:fill="FFFFFF"/>
            <w:vAlign w:val="center"/>
            <w:hideMark/>
          </w:tcPr>
          <w:p w14:paraId="116F46A7"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Sirna (Ribozyme)</w:t>
            </w:r>
          </w:p>
        </w:tc>
        <w:tc>
          <w:tcPr>
            <w:tcW w:w="2279" w:type="dxa"/>
            <w:gridSpan w:val="2"/>
            <w:tcBorders>
              <w:top w:val="nil"/>
              <w:left w:val="nil"/>
              <w:bottom w:val="single" w:sz="4" w:space="0" w:color="auto"/>
              <w:right w:val="nil"/>
            </w:tcBorders>
            <w:shd w:val="clear" w:color="000000" w:fill="FFFFFF"/>
            <w:vAlign w:val="center"/>
            <w:hideMark/>
          </w:tcPr>
          <w:p w14:paraId="74F62F69"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35</w:t>
            </w:r>
          </w:p>
        </w:tc>
        <w:tc>
          <w:tcPr>
            <w:tcW w:w="1836" w:type="dxa"/>
            <w:gridSpan w:val="2"/>
            <w:tcBorders>
              <w:top w:val="nil"/>
              <w:left w:val="nil"/>
              <w:bottom w:val="single" w:sz="4" w:space="0" w:color="auto"/>
              <w:right w:val="nil"/>
            </w:tcBorders>
            <w:shd w:val="clear" w:color="000000" w:fill="FFFFFF"/>
            <w:noWrap/>
            <w:vAlign w:val="center"/>
            <w:hideMark/>
          </w:tcPr>
          <w:p w14:paraId="2385B892" w14:textId="77777777" w:rsidR="00811741" w:rsidRPr="00476DF1" w:rsidRDefault="00811741"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11%</w:t>
            </w:r>
          </w:p>
        </w:tc>
      </w:tr>
      <w:tr w:rsidR="00811741" w:rsidRPr="00476DF1" w14:paraId="2314E80A" w14:textId="77777777" w:rsidTr="00581667">
        <w:trPr>
          <w:gridAfter w:val="1"/>
          <w:wAfter w:w="90" w:type="dxa"/>
          <w:trHeight w:val="303"/>
          <w:jc w:val="center"/>
        </w:trPr>
        <w:tc>
          <w:tcPr>
            <w:tcW w:w="1624" w:type="dxa"/>
            <w:vMerge/>
            <w:tcBorders>
              <w:top w:val="nil"/>
              <w:left w:val="nil"/>
              <w:bottom w:val="single" w:sz="4" w:space="0" w:color="000000"/>
              <w:right w:val="nil"/>
            </w:tcBorders>
            <w:vAlign w:val="center"/>
            <w:hideMark/>
          </w:tcPr>
          <w:p w14:paraId="00C52FDE" w14:textId="77777777" w:rsidR="00811741" w:rsidRPr="00476DF1" w:rsidRDefault="00811741" w:rsidP="00CE4BBE">
            <w:pPr>
              <w:spacing w:after="0" w:line="240" w:lineRule="auto"/>
              <w:rPr>
                <w:rFonts w:ascii="Times New Roman" w:eastAsia="Times New Roman" w:hAnsi="Times New Roman"/>
                <w:color w:val="000000"/>
                <w:sz w:val="18"/>
                <w:szCs w:val="18"/>
              </w:rPr>
            </w:pPr>
          </w:p>
        </w:tc>
        <w:tc>
          <w:tcPr>
            <w:tcW w:w="2210" w:type="dxa"/>
            <w:gridSpan w:val="2"/>
            <w:tcBorders>
              <w:top w:val="nil"/>
              <w:left w:val="nil"/>
              <w:bottom w:val="single" w:sz="4" w:space="0" w:color="auto"/>
              <w:right w:val="nil"/>
            </w:tcBorders>
            <w:shd w:val="clear" w:color="000000" w:fill="FFFFFF"/>
            <w:vAlign w:val="center"/>
            <w:hideMark/>
          </w:tcPr>
          <w:p w14:paraId="27C9FC97"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Glycofi</w:t>
            </w:r>
          </w:p>
        </w:tc>
        <w:tc>
          <w:tcPr>
            <w:tcW w:w="2279" w:type="dxa"/>
            <w:gridSpan w:val="2"/>
            <w:tcBorders>
              <w:top w:val="nil"/>
              <w:left w:val="nil"/>
              <w:bottom w:val="single" w:sz="4" w:space="0" w:color="auto"/>
              <w:right w:val="nil"/>
            </w:tcBorders>
            <w:shd w:val="clear" w:color="000000" w:fill="FFFFFF"/>
            <w:vAlign w:val="center"/>
            <w:hideMark/>
          </w:tcPr>
          <w:p w14:paraId="0AEBF564"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26</w:t>
            </w:r>
          </w:p>
        </w:tc>
        <w:tc>
          <w:tcPr>
            <w:tcW w:w="1836" w:type="dxa"/>
            <w:gridSpan w:val="2"/>
            <w:tcBorders>
              <w:top w:val="nil"/>
              <w:left w:val="nil"/>
              <w:bottom w:val="single" w:sz="4" w:space="0" w:color="auto"/>
              <w:right w:val="nil"/>
            </w:tcBorders>
            <w:shd w:val="clear" w:color="000000" w:fill="FFFFFF"/>
            <w:noWrap/>
            <w:vAlign w:val="center"/>
            <w:hideMark/>
          </w:tcPr>
          <w:p w14:paraId="1931B5B7" w14:textId="77777777" w:rsidR="00811741" w:rsidRPr="00476DF1" w:rsidRDefault="00811741"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77%</w:t>
            </w:r>
          </w:p>
        </w:tc>
      </w:tr>
      <w:tr w:rsidR="00811741" w:rsidRPr="00476DF1" w14:paraId="394D0B6D" w14:textId="77777777" w:rsidTr="00581667">
        <w:trPr>
          <w:gridAfter w:val="1"/>
          <w:wAfter w:w="90" w:type="dxa"/>
          <w:trHeight w:val="303"/>
          <w:jc w:val="center"/>
        </w:trPr>
        <w:tc>
          <w:tcPr>
            <w:tcW w:w="1624" w:type="dxa"/>
            <w:vMerge/>
            <w:tcBorders>
              <w:top w:val="nil"/>
              <w:left w:val="nil"/>
              <w:bottom w:val="single" w:sz="4" w:space="0" w:color="000000"/>
              <w:right w:val="nil"/>
            </w:tcBorders>
            <w:vAlign w:val="center"/>
            <w:hideMark/>
          </w:tcPr>
          <w:p w14:paraId="74168C74" w14:textId="77777777" w:rsidR="00811741" w:rsidRPr="00476DF1" w:rsidRDefault="00811741" w:rsidP="00CE4BBE">
            <w:pPr>
              <w:spacing w:after="0" w:line="240" w:lineRule="auto"/>
              <w:rPr>
                <w:rFonts w:ascii="Times New Roman" w:eastAsia="Times New Roman" w:hAnsi="Times New Roman"/>
                <w:color w:val="000000"/>
                <w:sz w:val="18"/>
                <w:szCs w:val="18"/>
              </w:rPr>
            </w:pPr>
          </w:p>
        </w:tc>
        <w:tc>
          <w:tcPr>
            <w:tcW w:w="2210" w:type="dxa"/>
            <w:gridSpan w:val="2"/>
            <w:tcBorders>
              <w:top w:val="nil"/>
              <w:left w:val="nil"/>
              <w:bottom w:val="single" w:sz="4" w:space="0" w:color="auto"/>
              <w:right w:val="nil"/>
            </w:tcBorders>
            <w:shd w:val="clear" w:color="000000" w:fill="FFFFFF"/>
            <w:vAlign w:val="center"/>
            <w:hideMark/>
          </w:tcPr>
          <w:p w14:paraId="201724E8"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Abmaxis</w:t>
            </w:r>
          </w:p>
        </w:tc>
        <w:tc>
          <w:tcPr>
            <w:tcW w:w="2279" w:type="dxa"/>
            <w:gridSpan w:val="2"/>
            <w:tcBorders>
              <w:top w:val="nil"/>
              <w:left w:val="nil"/>
              <w:bottom w:val="single" w:sz="4" w:space="0" w:color="auto"/>
              <w:right w:val="nil"/>
            </w:tcBorders>
            <w:shd w:val="clear" w:color="000000" w:fill="FFFFFF"/>
            <w:vAlign w:val="center"/>
            <w:hideMark/>
          </w:tcPr>
          <w:p w14:paraId="32EFA396"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5</w:t>
            </w:r>
          </w:p>
        </w:tc>
        <w:tc>
          <w:tcPr>
            <w:tcW w:w="1836" w:type="dxa"/>
            <w:gridSpan w:val="2"/>
            <w:tcBorders>
              <w:top w:val="nil"/>
              <w:left w:val="nil"/>
              <w:bottom w:val="single" w:sz="4" w:space="0" w:color="auto"/>
              <w:right w:val="nil"/>
            </w:tcBorders>
            <w:shd w:val="clear" w:color="000000" w:fill="FFFFFF"/>
            <w:noWrap/>
            <w:vAlign w:val="center"/>
            <w:hideMark/>
          </w:tcPr>
          <w:p w14:paraId="2E637A06" w14:textId="77777777" w:rsidR="00811741" w:rsidRPr="00476DF1" w:rsidRDefault="00811741"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60%</w:t>
            </w:r>
          </w:p>
        </w:tc>
      </w:tr>
      <w:tr w:rsidR="00811741" w:rsidRPr="00476DF1" w14:paraId="24304FDE" w14:textId="77777777" w:rsidTr="00581667">
        <w:trPr>
          <w:gridAfter w:val="1"/>
          <w:wAfter w:w="90" w:type="dxa"/>
          <w:trHeight w:val="303"/>
          <w:jc w:val="center"/>
        </w:trPr>
        <w:tc>
          <w:tcPr>
            <w:tcW w:w="1624" w:type="dxa"/>
            <w:vMerge/>
            <w:tcBorders>
              <w:top w:val="nil"/>
              <w:left w:val="nil"/>
              <w:bottom w:val="single" w:sz="4" w:space="0" w:color="000000"/>
              <w:right w:val="nil"/>
            </w:tcBorders>
            <w:vAlign w:val="center"/>
            <w:hideMark/>
          </w:tcPr>
          <w:p w14:paraId="5BBC26DE" w14:textId="77777777" w:rsidR="00811741" w:rsidRPr="00476DF1" w:rsidRDefault="00811741" w:rsidP="00CE4BBE">
            <w:pPr>
              <w:spacing w:after="0" w:line="240" w:lineRule="auto"/>
              <w:rPr>
                <w:rFonts w:ascii="Times New Roman" w:eastAsia="Times New Roman" w:hAnsi="Times New Roman"/>
                <w:color w:val="000000"/>
                <w:sz w:val="18"/>
                <w:szCs w:val="18"/>
              </w:rPr>
            </w:pPr>
          </w:p>
        </w:tc>
        <w:tc>
          <w:tcPr>
            <w:tcW w:w="2210" w:type="dxa"/>
            <w:gridSpan w:val="2"/>
            <w:tcBorders>
              <w:top w:val="nil"/>
              <w:left w:val="nil"/>
              <w:bottom w:val="single" w:sz="4" w:space="0" w:color="auto"/>
              <w:right w:val="nil"/>
            </w:tcBorders>
            <w:shd w:val="clear" w:color="000000" w:fill="FFFFFF"/>
            <w:vAlign w:val="center"/>
            <w:hideMark/>
          </w:tcPr>
          <w:p w14:paraId="5C2BFD6B"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Inspire</w:t>
            </w:r>
          </w:p>
        </w:tc>
        <w:tc>
          <w:tcPr>
            <w:tcW w:w="2279" w:type="dxa"/>
            <w:gridSpan w:val="2"/>
            <w:tcBorders>
              <w:top w:val="nil"/>
              <w:left w:val="nil"/>
              <w:bottom w:val="single" w:sz="4" w:space="0" w:color="auto"/>
              <w:right w:val="nil"/>
            </w:tcBorders>
            <w:shd w:val="clear" w:color="000000" w:fill="FFFFFF"/>
            <w:vAlign w:val="center"/>
            <w:hideMark/>
          </w:tcPr>
          <w:p w14:paraId="1EA5EBDB" w14:textId="77777777" w:rsidR="00811741" w:rsidRPr="00476DF1" w:rsidRDefault="00811741" w:rsidP="00CE4BBE">
            <w:pPr>
              <w:spacing w:after="0" w:line="240" w:lineRule="auto"/>
              <w:jc w:val="center"/>
              <w:rPr>
                <w:rFonts w:ascii="Times New Roman" w:eastAsia="Times New Roman" w:hAnsi="Times New Roman"/>
                <w:color w:val="000000"/>
                <w:sz w:val="18"/>
                <w:szCs w:val="18"/>
              </w:rPr>
            </w:pPr>
            <w:r w:rsidRPr="00476DF1">
              <w:rPr>
                <w:rFonts w:ascii="Times New Roman" w:eastAsia="Times New Roman" w:hAnsi="Times New Roman"/>
                <w:color w:val="000000"/>
                <w:sz w:val="18"/>
                <w:szCs w:val="18"/>
              </w:rPr>
              <w:t>1</w:t>
            </w:r>
          </w:p>
        </w:tc>
        <w:tc>
          <w:tcPr>
            <w:tcW w:w="1836" w:type="dxa"/>
            <w:gridSpan w:val="2"/>
            <w:tcBorders>
              <w:top w:val="nil"/>
              <w:left w:val="nil"/>
              <w:bottom w:val="single" w:sz="4" w:space="0" w:color="auto"/>
              <w:right w:val="nil"/>
            </w:tcBorders>
            <w:shd w:val="clear" w:color="000000" w:fill="FFFFFF"/>
            <w:noWrap/>
            <w:vAlign w:val="center"/>
            <w:hideMark/>
          </w:tcPr>
          <w:p w14:paraId="5E55FF4F" w14:textId="77777777" w:rsidR="00811741" w:rsidRPr="00476DF1" w:rsidRDefault="00811741" w:rsidP="00CE4BBE">
            <w:pPr>
              <w:spacing w:after="0" w:line="240" w:lineRule="auto"/>
              <w:jc w:val="center"/>
              <w:rPr>
                <w:rFonts w:ascii="Times New Roman" w:eastAsia="Times New Roman" w:hAnsi="Times New Roman"/>
                <w:color w:val="000000"/>
                <w:sz w:val="20"/>
                <w:szCs w:val="20"/>
              </w:rPr>
            </w:pPr>
            <w:r w:rsidRPr="00476DF1">
              <w:rPr>
                <w:rFonts w:ascii="Times New Roman" w:eastAsia="Times New Roman" w:hAnsi="Times New Roman"/>
                <w:color w:val="000000"/>
                <w:sz w:val="20"/>
                <w:szCs w:val="20"/>
              </w:rPr>
              <w:t>4%</w:t>
            </w:r>
          </w:p>
        </w:tc>
      </w:tr>
    </w:tbl>
    <w:p w14:paraId="2BE2A5CC" w14:textId="2E8644C8" w:rsidR="00811741" w:rsidRPr="00476DF1" w:rsidRDefault="00811741" w:rsidP="00CE4BBE">
      <w:pPr>
        <w:spacing w:after="0" w:line="240" w:lineRule="auto"/>
        <w:jc w:val="both"/>
        <w:rPr>
          <w:rFonts w:ascii="Times New Roman" w:hAnsi="Times New Roman"/>
          <w:b/>
          <w:sz w:val="24"/>
          <w:szCs w:val="24"/>
        </w:rPr>
      </w:pPr>
      <w:r w:rsidRPr="00476DF1">
        <w:rPr>
          <w:rFonts w:ascii="Times New Roman" w:hAnsi="Times New Roman"/>
          <w:sz w:val="16"/>
          <w:szCs w:val="16"/>
        </w:rPr>
        <w:t xml:space="preserve">                                                       Source: own elaboration</w:t>
      </w:r>
    </w:p>
    <w:p w14:paraId="491B29B3" w14:textId="410E9450" w:rsidR="005F0CBA" w:rsidRPr="00476DF1" w:rsidRDefault="001A775D">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Based on HOHBERGER (2016) and on the analytical variables in this study, we might may say that as inventors move to a Big-Pharma firm, they will reference their past work and generate more patents, creating a research trajectory. Therefore, there must be a correlation between inventors’ use and direct technical contribution. </w:t>
      </w:r>
      <w:r w:rsidR="00994230" w:rsidRPr="00476DF1">
        <w:rPr>
          <w:rFonts w:ascii="Times New Roman" w:hAnsi="Times New Roman"/>
          <w:sz w:val="24"/>
          <w:szCs w:val="24"/>
        </w:rPr>
        <w:t>T</w:t>
      </w:r>
      <w:r w:rsidR="005F0CBA" w:rsidRPr="00476DF1">
        <w:rPr>
          <w:rFonts w:ascii="Times New Roman" w:hAnsi="Times New Roman"/>
          <w:sz w:val="24"/>
          <w:szCs w:val="24"/>
        </w:rPr>
        <w:t>ab</w:t>
      </w:r>
      <w:r w:rsidR="00581667" w:rsidRPr="00476DF1">
        <w:rPr>
          <w:rFonts w:ascii="Times New Roman" w:hAnsi="Times New Roman"/>
          <w:sz w:val="24"/>
          <w:szCs w:val="24"/>
        </w:rPr>
        <w:t xml:space="preserve">le </w:t>
      </w:r>
      <w:r w:rsidRPr="00476DF1">
        <w:rPr>
          <w:rFonts w:ascii="Times New Roman" w:hAnsi="Times New Roman"/>
          <w:sz w:val="24"/>
          <w:szCs w:val="24"/>
        </w:rPr>
        <w:t>5</w:t>
      </w:r>
      <w:r w:rsidR="00994230" w:rsidRPr="00476DF1">
        <w:rPr>
          <w:rFonts w:ascii="Times New Roman" w:hAnsi="Times New Roman"/>
          <w:sz w:val="24"/>
          <w:szCs w:val="24"/>
        </w:rPr>
        <w:t xml:space="preserve"> </w:t>
      </w:r>
      <w:r w:rsidR="005F0CBA" w:rsidRPr="00476DF1">
        <w:rPr>
          <w:rFonts w:ascii="Times New Roman" w:hAnsi="Times New Roman"/>
          <w:sz w:val="24"/>
          <w:szCs w:val="24"/>
        </w:rPr>
        <w:t>shows a clear correlat</w:t>
      </w:r>
      <w:r w:rsidR="00403C0F" w:rsidRPr="00476DF1">
        <w:rPr>
          <w:rFonts w:ascii="Times New Roman" w:hAnsi="Times New Roman"/>
          <w:sz w:val="24"/>
          <w:szCs w:val="24"/>
        </w:rPr>
        <w:t>ion between d</w:t>
      </w:r>
      <w:r w:rsidR="005F0CBA" w:rsidRPr="00476DF1">
        <w:rPr>
          <w:rFonts w:ascii="Times New Roman" w:hAnsi="Times New Roman"/>
          <w:sz w:val="24"/>
          <w:szCs w:val="24"/>
        </w:rPr>
        <w:t xml:space="preserve">irect </w:t>
      </w:r>
      <w:r w:rsidR="00994230" w:rsidRPr="00476DF1">
        <w:rPr>
          <w:rFonts w:ascii="Times New Roman" w:hAnsi="Times New Roman"/>
          <w:sz w:val="24"/>
          <w:szCs w:val="24"/>
        </w:rPr>
        <w:t xml:space="preserve">technical contribution </w:t>
      </w:r>
      <w:r w:rsidR="005F0CBA" w:rsidRPr="00476DF1">
        <w:rPr>
          <w:rFonts w:ascii="Times New Roman" w:hAnsi="Times New Roman"/>
          <w:sz w:val="24"/>
          <w:szCs w:val="24"/>
        </w:rPr>
        <w:t xml:space="preserve">and </w:t>
      </w:r>
      <w:r w:rsidR="00A15A29" w:rsidRPr="00476DF1">
        <w:rPr>
          <w:rFonts w:ascii="Times New Roman" w:hAnsi="Times New Roman"/>
          <w:sz w:val="24"/>
          <w:szCs w:val="24"/>
        </w:rPr>
        <w:t xml:space="preserve">inventors </w:t>
      </w:r>
      <w:r w:rsidR="005F0CBA" w:rsidRPr="00476DF1">
        <w:rPr>
          <w:rFonts w:ascii="Times New Roman" w:hAnsi="Times New Roman"/>
          <w:sz w:val="24"/>
          <w:szCs w:val="24"/>
        </w:rPr>
        <w:t>us</w:t>
      </w:r>
      <w:r w:rsidR="00994230" w:rsidRPr="00476DF1">
        <w:rPr>
          <w:rFonts w:ascii="Times New Roman" w:hAnsi="Times New Roman"/>
          <w:sz w:val="24"/>
          <w:szCs w:val="24"/>
        </w:rPr>
        <w:t>e</w:t>
      </w:r>
      <w:r w:rsidR="005F0CBA" w:rsidRPr="00476DF1">
        <w:rPr>
          <w:rFonts w:ascii="Times New Roman" w:hAnsi="Times New Roman"/>
          <w:sz w:val="24"/>
          <w:szCs w:val="24"/>
        </w:rPr>
        <w:t>, proving HOHBERGER</w:t>
      </w:r>
      <w:r w:rsidR="00A15A29" w:rsidRPr="00476DF1">
        <w:rPr>
          <w:rFonts w:ascii="Times New Roman" w:hAnsi="Times New Roman"/>
          <w:sz w:val="24"/>
          <w:szCs w:val="24"/>
        </w:rPr>
        <w:t>’s (</w:t>
      </w:r>
      <w:r w:rsidR="005F0CBA" w:rsidRPr="00476DF1">
        <w:rPr>
          <w:rFonts w:ascii="Times New Roman" w:hAnsi="Times New Roman"/>
          <w:sz w:val="24"/>
          <w:szCs w:val="24"/>
        </w:rPr>
        <w:t>2016)</w:t>
      </w:r>
      <w:r w:rsidR="00A15A29" w:rsidRPr="00476DF1">
        <w:rPr>
          <w:rFonts w:ascii="Times New Roman" w:hAnsi="Times New Roman"/>
          <w:sz w:val="24"/>
          <w:szCs w:val="24"/>
        </w:rPr>
        <w:t xml:space="preserve"> argument.</w:t>
      </w:r>
    </w:p>
    <w:p w14:paraId="0301F8A8" w14:textId="6D82006C" w:rsidR="00D10627" w:rsidRPr="00476DF1" w:rsidRDefault="00D10627"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One </w:t>
      </w:r>
      <w:r w:rsidR="005F0CBA" w:rsidRPr="00476DF1">
        <w:rPr>
          <w:rFonts w:ascii="Times New Roman" w:hAnsi="Times New Roman"/>
          <w:sz w:val="24"/>
          <w:szCs w:val="24"/>
        </w:rPr>
        <w:t xml:space="preserve">last </w:t>
      </w:r>
      <w:r w:rsidRPr="00476DF1">
        <w:rPr>
          <w:rFonts w:ascii="Times New Roman" w:hAnsi="Times New Roman"/>
          <w:sz w:val="24"/>
          <w:szCs w:val="24"/>
        </w:rPr>
        <w:t xml:space="preserve">important relation stands out when </w:t>
      </w:r>
      <w:r w:rsidR="00A15A29" w:rsidRPr="00476DF1">
        <w:rPr>
          <w:rFonts w:ascii="Times New Roman" w:hAnsi="Times New Roman"/>
          <w:sz w:val="24"/>
          <w:szCs w:val="24"/>
        </w:rPr>
        <w:t>analyzing</w:t>
      </w:r>
      <w:r w:rsidRPr="00476DF1">
        <w:rPr>
          <w:rFonts w:ascii="Times New Roman" w:hAnsi="Times New Roman"/>
          <w:sz w:val="24"/>
          <w:szCs w:val="24"/>
        </w:rPr>
        <w:t xml:space="preserve"> the classes not developed and skills </w:t>
      </w:r>
      <w:r w:rsidR="00D54BBE" w:rsidRPr="00476DF1">
        <w:rPr>
          <w:rFonts w:ascii="Times New Roman" w:hAnsi="Times New Roman"/>
          <w:sz w:val="24"/>
          <w:szCs w:val="24"/>
        </w:rPr>
        <w:t>contribution</w:t>
      </w:r>
      <w:r w:rsidR="00A15A29" w:rsidRPr="00476DF1">
        <w:rPr>
          <w:rFonts w:ascii="Times New Roman" w:hAnsi="Times New Roman"/>
          <w:sz w:val="24"/>
          <w:szCs w:val="24"/>
        </w:rPr>
        <w:t xml:space="preserve"> together</w:t>
      </w:r>
      <w:r w:rsidRPr="00476DF1">
        <w:rPr>
          <w:rFonts w:ascii="Times New Roman" w:hAnsi="Times New Roman"/>
          <w:sz w:val="24"/>
          <w:szCs w:val="24"/>
        </w:rPr>
        <w:t>. The enterprises with a higher rate of non</w:t>
      </w:r>
      <w:r w:rsidR="00574610" w:rsidRPr="00476DF1">
        <w:rPr>
          <w:rFonts w:ascii="Times New Roman" w:hAnsi="Times New Roman"/>
          <w:sz w:val="24"/>
          <w:szCs w:val="24"/>
        </w:rPr>
        <w:t>-</w:t>
      </w:r>
      <w:r w:rsidRPr="00476DF1">
        <w:rPr>
          <w:rFonts w:ascii="Times New Roman" w:hAnsi="Times New Roman"/>
          <w:sz w:val="24"/>
          <w:szCs w:val="24"/>
        </w:rPr>
        <w:t>devel</w:t>
      </w:r>
      <w:r w:rsidR="00574610" w:rsidRPr="00476DF1">
        <w:rPr>
          <w:rFonts w:ascii="Times New Roman" w:hAnsi="Times New Roman"/>
          <w:sz w:val="24"/>
          <w:szCs w:val="24"/>
        </w:rPr>
        <w:t>o</w:t>
      </w:r>
      <w:r w:rsidRPr="00476DF1">
        <w:rPr>
          <w:rFonts w:ascii="Times New Roman" w:hAnsi="Times New Roman"/>
          <w:sz w:val="24"/>
          <w:szCs w:val="24"/>
        </w:rPr>
        <w:t>p</w:t>
      </w:r>
      <w:r w:rsidR="00574610" w:rsidRPr="00476DF1">
        <w:rPr>
          <w:rFonts w:ascii="Times New Roman" w:hAnsi="Times New Roman"/>
          <w:sz w:val="24"/>
          <w:szCs w:val="24"/>
        </w:rPr>
        <w:t>e</w:t>
      </w:r>
      <w:r w:rsidRPr="00476DF1">
        <w:rPr>
          <w:rFonts w:ascii="Times New Roman" w:hAnsi="Times New Roman"/>
          <w:sz w:val="24"/>
          <w:szCs w:val="24"/>
        </w:rPr>
        <w:t>d classe</w:t>
      </w:r>
      <w:r w:rsidR="00D54BBE" w:rsidRPr="00476DF1">
        <w:rPr>
          <w:rFonts w:ascii="Times New Roman" w:hAnsi="Times New Roman"/>
          <w:sz w:val="24"/>
          <w:szCs w:val="24"/>
        </w:rPr>
        <w:t>s</w:t>
      </w:r>
      <w:r w:rsidRPr="00476DF1">
        <w:rPr>
          <w:rFonts w:ascii="Times New Roman" w:hAnsi="Times New Roman"/>
          <w:sz w:val="24"/>
          <w:szCs w:val="24"/>
        </w:rPr>
        <w:t xml:space="preserve"> </w:t>
      </w:r>
      <w:r w:rsidR="00A15A29" w:rsidRPr="00476DF1">
        <w:rPr>
          <w:rFonts w:ascii="Times New Roman" w:hAnsi="Times New Roman"/>
          <w:sz w:val="24"/>
          <w:szCs w:val="24"/>
        </w:rPr>
        <w:t xml:space="preserve">used fewer </w:t>
      </w:r>
      <w:r w:rsidRPr="00476DF1">
        <w:rPr>
          <w:rFonts w:ascii="Times New Roman" w:hAnsi="Times New Roman"/>
          <w:sz w:val="24"/>
          <w:szCs w:val="24"/>
        </w:rPr>
        <w:t>invento</w:t>
      </w:r>
      <w:r w:rsidR="00D54BBE" w:rsidRPr="00476DF1">
        <w:rPr>
          <w:rFonts w:ascii="Times New Roman" w:hAnsi="Times New Roman"/>
          <w:sz w:val="24"/>
          <w:szCs w:val="24"/>
        </w:rPr>
        <w:t>r</w:t>
      </w:r>
      <w:r w:rsidR="00A71532" w:rsidRPr="00476DF1">
        <w:rPr>
          <w:rFonts w:ascii="Times New Roman" w:hAnsi="Times New Roman"/>
          <w:sz w:val="24"/>
          <w:szCs w:val="24"/>
        </w:rPr>
        <w:t>s.</w:t>
      </w:r>
      <w:r w:rsidR="00D54BBE" w:rsidRPr="00476DF1">
        <w:rPr>
          <w:rFonts w:ascii="Times New Roman" w:hAnsi="Times New Roman"/>
          <w:sz w:val="24"/>
          <w:szCs w:val="24"/>
        </w:rPr>
        <w:t xml:space="preserve"> </w:t>
      </w:r>
      <w:r w:rsidR="00A71532" w:rsidRPr="00476DF1">
        <w:rPr>
          <w:rFonts w:ascii="Times New Roman" w:hAnsi="Times New Roman"/>
          <w:sz w:val="24"/>
          <w:szCs w:val="24"/>
        </w:rPr>
        <w:t>F</w:t>
      </w:r>
      <w:r w:rsidRPr="00476DF1">
        <w:rPr>
          <w:rFonts w:ascii="Times New Roman" w:hAnsi="Times New Roman"/>
          <w:sz w:val="24"/>
          <w:szCs w:val="24"/>
        </w:rPr>
        <w:t>or instance</w:t>
      </w:r>
      <w:r w:rsidR="00D54BBE" w:rsidRPr="00476DF1">
        <w:rPr>
          <w:rFonts w:ascii="Times New Roman" w:hAnsi="Times New Roman"/>
          <w:sz w:val="24"/>
          <w:szCs w:val="24"/>
        </w:rPr>
        <w:t>,</w:t>
      </w:r>
      <w:r w:rsidRPr="00476DF1">
        <w:rPr>
          <w:rFonts w:ascii="Times New Roman" w:hAnsi="Times New Roman"/>
          <w:sz w:val="24"/>
          <w:szCs w:val="24"/>
        </w:rPr>
        <w:t xml:space="preserve"> J&amp;J</w:t>
      </w:r>
      <w:r w:rsidR="00A15A29" w:rsidRPr="00476DF1">
        <w:rPr>
          <w:rFonts w:ascii="Times New Roman" w:hAnsi="Times New Roman"/>
          <w:sz w:val="24"/>
          <w:szCs w:val="24"/>
        </w:rPr>
        <w:t xml:space="preserve"> has</w:t>
      </w:r>
      <w:r w:rsidRPr="00476DF1">
        <w:rPr>
          <w:rFonts w:ascii="Times New Roman" w:hAnsi="Times New Roman"/>
          <w:sz w:val="24"/>
          <w:szCs w:val="24"/>
        </w:rPr>
        <w:t xml:space="preserve"> 66% develop</w:t>
      </w:r>
      <w:r w:rsidR="00D54BBE" w:rsidRPr="00476DF1">
        <w:rPr>
          <w:rFonts w:ascii="Times New Roman" w:hAnsi="Times New Roman"/>
          <w:sz w:val="24"/>
          <w:szCs w:val="24"/>
        </w:rPr>
        <w:t>e</w:t>
      </w:r>
      <w:r w:rsidRPr="00476DF1">
        <w:rPr>
          <w:rFonts w:ascii="Times New Roman" w:hAnsi="Times New Roman"/>
          <w:sz w:val="24"/>
          <w:szCs w:val="24"/>
        </w:rPr>
        <w:t xml:space="preserve">d classes and a low </w:t>
      </w:r>
      <w:r w:rsidR="00A15A29" w:rsidRPr="00476DF1">
        <w:rPr>
          <w:rFonts w:ascii="Times New Roman" w:hAnsi="Times New Roman"/>
          <w:sz w:val="24"/>
          <w:szCs w:val="24"/>
        </w:rPr>
        <w:t xml:space="preserve">use of </w:t>
      </w:r>
      <w:r w:rsidRPr="00476DF1">
        <w:rPr>
          <w:rFonts w:ascii="Times New Roman" w:hAnsi="Times New Roman"/>
          <w:sz w:val="24"/>
          <w:szCs w:val="24"/>
        </w:rPr>
        <w:t>inventors.</w:t>
      </w:r>
      <w:r w:rsidR="00A231AA" w:rsidRPr="00476DF1">
        <w:rPr>
          <w:rFonts w:ascii="Times New Roman" w:hAnsi="Times New Roman"/>
          <w:sz w:val="24"/>
          <w:szCs w:val="24"/>
        </w:rPr>
        <w:t xml:space="preserve"> </w:t>
      </w:r>
      <w:r w:rsidRPr="00476DF1">
        <w:rPr>
          <w:rFonts w:ascii="Times New Roman" w:hAnsi="Times New Roman"/>
          <w:sz w:val="24"/>
          <w:szCs w:val="24"/>
        </w:rPr>
        <w:t>This fact may lead to</w:t>
      </w:r>
      <w:r w:rsidR="007D1B22" w:rsidRPr="00476DF1">
        <w:rPr>
          <w:rFonts w:ascii="Times New Roman" w:hAnsi="Times New Roman"/>
          <w:sz w:val="24"/>
          <w:szCs w:val="24"/>
        </w:rPr>
        <w:t xml:space="preserve"> an</w:t>
      </w:r>
      <w:r w:rsidRPr="00476DF1">
        <w:rPr>
          <w:rFonts w:ascii="Times New Roman" w:hAnsi="Times New Roman"/>
          <w:sz w:val="24"/>
          <w:szCs w:val="24"/>
        </w:rPr>
        <w:t xml:space="preserve"> impo</w:t>
      </w:r>
      <w:r w:rsidR="00D54BBE" w:rsidRPr="00476DF1">
        <w:rPr>
          <w:rFonts w:ascii="Times New Roman" w:hAnsi="Times New Roman"/>
          <w:sz w:val="24"/>
          <w:szCs w:val="24"/>
        </w:rPr>
        <w:t>r</w:t>
      </w:r>
      <w:r w:rsidRPr="00476DF1">
        <w:rPr>
          <w:rFonts w:ascii="Times New Roman" w:hAnsi="Times New Roman"/>
          <w:sz w:val="24"/>
          <w:szCs w:val="24"/>
        </w:rPr>
        <w:t>tant relation. The inve</w:t>
      </w:r>
      <w:r w:rsidR="00D54BBE" w:rsidRPr="00476DF1">
        <w:rPr>
          <w:rFonts w:ascii="Times New Roman" w:hAnsi="Times New Roman"/>
          <w:sz w:val="24"/>
          <w:szCs w:val="24"/>
        </w:rPr>
        <w:t xml:space="preserve">ntors are responsible </w:t>
      </w:r>
      <w:r w:rsidRPr="00476DF1">
        <w:rPr>
          <w:rFonts w:ascii="Times New Roman" w:hAnsi="Times New Roman"/>
          <w:sz w:val="24"/>
          <w:szCs w:val="24"/>
        </w:rPr>
        <w:t>for developing new te</w:t>
      </w:r>
      <w:r w:rsidR="00994230" w:rsidRPr="00476DF1">
        <w:rPr>
          <w:rFonts w:ascii="Times New Roman" w:hAnsi="Times New Roman"/>
          <w:sz w:val="24"/>
          <w:szCs w:val="24"/>
        </w:rPr>
        <w:t>chnologies</w:t>
      </w:r>
      <w:r w:rsidR="00A15A29" w:rsidRPr="00476DF1">
        <w:rPr>
          <w:rFonts w:ascii="Times New Roman" w:hAnsi="Times New Roman"/>
          <w:sz w:val="24"/>
          <w:szCs w:val="24"/>
        </w:rPr>
        <w:t>;</w:t>
      </w:r>
      <w:r w:rsidR="00994230" w:rsidRPr="00476DF1">
        <w:rPr>
          <w:rFonts w:ascii="Times New Roman" w:hAnsi="Times New Roman"/>
          <w:sz w:val="24"/>
          <w:szCs w:val="24"/>
        </w:rPr>
        <w:t xml:space="preserve"> therefore</w:t>
      </w:r>
      <w:r w:rsidR="00A15A29" w:rsidRPr="00476DF1">
        <w:rPr>
          <w:rFonts w:ascii="Times New Roman" w:hAnsi="Times New Roman"/>
          <w:sz w:val="24"/>
          <w:szCs w:val="24"/>
        </w:rPr>
        <w:t>,</w:t>
      </w:r>
      <w:r w:rsidR="00994230" w:rsidRPr="00476DF1">
        <w:rPr>
          <w:rFonts w:ascii="Times New Roman" w:hAnsi="Times New Roman"/>
          <w:sz w:val="24"/>
          <w:szCs w:val="24"/>
        </w:rPr>
        <w:t xml:space="preserve"> the higher the rate of </w:t>
      </w:r>
      <w:r w:rsidRPr="00476DF1">
        <w:rPr>
          <w:rFonts w:ascii="Times New Roman" w:hAnsi="Times New Roman"/>
          <w:sz w:val="24"/>
          <w:szCs w:val="24"/>
        </w:rPr>
        <w:t xml:space="preserve">inventor </w:t>
      </w:r>
      <w:r w:rsidR="00994230" w:rsidRPr="00476DF1">
        <w:rPr>
          <w:rFonts w:ascii="Times New Roman" w:hAnsi="Times New Roman"/>
          <w:sz w:val="24"/>
          <w:szCs w:val="24"/>
        </w:rPr>
        <w:t xml:space="preserve">use, the higher is the development of competence by a </w:t>
      </w:r>
      <w:r w:rsidRPr="00476DF1">
        <w:rPr>
          <w:rFonts w:ascii="Times New Roman" w:hAnsi="Times New Roman"/>
          <w:sz w:val="24"/>
          <w:szCs w:val="24"/>
        </w:rPr>
        <w:t>large enterprise. Thus, the effective use of technical contribution depends on the level of skill</w:t>
      </w:r>
      <w:r w:rsidR="00A15A29" w:rsidRPr="00476DF1">
        <w:rPr>
          <w:rFonts w:ascii="Times New Roman" w:hAnsi="Times New Roman"/>
          <w:sz w:val="24"/>
          <w:szCs w:val="24"/>
        </w:rPr>
        <w:t>s</w:t>
      </w:r>
      <w:r w:rsidRPr="00476DF1">
        <w:rPr>
          <w:rFonts w:ascii="Times New Roman" w:hAnsi="Times New Roman"/>
          <w:sz w:val="24"/>
          <w:szCs w:val="24"/>
        </w:rPr>
        <w:t xml:space="preserve"> </w:t>
      </w:r>
      <w:r w:rsidR="00D54BBE" w:rsidRPr="00476DF1">
        <w:rPr>
          <w:rFonts w:ascii="Times New Roman" w:hAnsi="Times New Roman"/>
          <w:sz w:val="24"/>
          <w:szCs w:val="24"/>
        </w:rPr>
        <w:t>contribution</w:t>
      </w:r>
      <w:r w:rsidRPr="00476DF1">
        <w:rPr>
          <w:rFonts w:ascii="Times New Roman" w:hAnsi="Times New Roman"/>
          <w:sz w:val="24"/>
          <w:szCs w:val="24"/>
        </w:rPr>
        <w:t>.</w:t>
      </w:r>
    </w:p>
    <w:p w14:paraId="6CD546C8" w14:textId="77777777" w:rsidR="002C3F12" w:rsidRPr="00476DF1" w:rsidRDefault="00D54BBE" w:rsidP="0055019A">
      <w:pPr>
        <w:pStyle w:val="Ttulo1"/>
        <w:numPr>
          <w:ilvl w:val="0"/>
          <w:numId w:val="0"/>
        </w:numPr>
        <w:spacing w:line="240" w:lineRule="auto"/>
        <w:ind w:left="432"/>
      </w:pPr>
      <w:r w:rsidRPr="00476DF1">
        <w:t>Conclusion</w:t>
      </w:r>
    </w:p>
    <w:p w14:paraId="540C1685" w14:textId="15BABE71" w:rsidR="009B6AF0" w:rsidRPr="00476DF1" w:rsidRDefault="00A15A29"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This study aims to</w:t>
      </w:r>
      <w:r w:rsidR="009B6AF0" w:rsidRPr="00476DF1">
        <w:rPr>
          <w:rFonts w:ascii="Times New Roman" w:hAnsi="Times New Roman"/>
          <w:sz w:val="24"/>
          <w:szCs w:val="24"/>
        </w:rPr>
        <w:t xml:space="preserve"> open the black box </w:t>
      </w:r>
      <w:r w:rsidRPr="00476DF1">
        <w:rPr>
          <w:rFonts w:ascii="Times New Roman" w:hAnsi="Times New Roman"/>
          <w:sz w:val="24"/>
          <w:szCs w:val="24"/>
        </w:rPr>
        <w:t>and reveal</w:t>
      </w:r>
      <w:r w:rsidR="009B6AF0" w:rsidRPr="00476DF1">
        <w:rPr>
          <w:rFonts w:ascii="Times New Roman" w:hAnsi="Times New Roman"/>
          <w:sz w:val="24"/>
          <w:szCs w:val="24"/>
        </w:rPr>
        <w:t xml:space="preserve"> the </w:t>
      </w:r>
      <w:r w:rsidR="00DA1E21" w:rsidRPr="00476DF1">
        <w:rPr>
          <w:rFonts w:ascii="Times New Roman" w:hAnsi="Times New Roman"/>
          <w:sz w:val="24"/>
          <w:szCs w:val="24"/>
        </w:rPr>
        <w:t xml:space="preserve">elements </w:t>
      </w:r>
      <w:r w:rsidRPr="00476DF1">
        <w:rPr>
          <w:rFonts w:ascii="Times New Roman" w:hAnsi="Times New Roman"/>
          <w:sz w:val="24"/>
          <w:szCs w:val="24"/>
        </w:rPr>
        <w:t xml:space="preserve">that </w:t>
      </w:r>
      <w:r w:rsidR="00B43CEE" w:rsidRPr="00476DF1">
        <w:rPr>
          <w:rFonts w:ascii="Times New Roman" w:hAnsi="Times New Roman"/>
          <w:sz w:val="24"/>
          <w:szCs w:val="24"/>
        </w:rPr>
        <w:t>l</w:t>
      </w:r>
      <w:r w:rsidR="00DA1E21" w:rsidRPr="00476DF1">
        <w:rPr>
          <w:rFonts w:ascii="Times New Roman" w:hAnsi="Times New Roman"/>
          <w:sz w:val="24"/>
          <w:szCs w:val="24"/>
        </w:rPr>
        <w:t xml:space="preserve">arge enterprises </w:t>
      </w:r>
      <w:r w:rsidRPr="00476DF1">
        <w:rPr>
          <w:rFonts w:ascii="Times New Roman" w:hAnsi="Times New Roman"/>
          <w:sz w:val="24"/>
          <w:szCs w:val="24"/>
        </w:rPr>
        <w:t>keep in their</w:t>
      </w:r>
      <w:r w:rsidR="00403C0F" w:rsidRPr="00476DF1">
        <w:rPr>
          <w:rFonts w:ascii="Times New Roman" w:hAnsi="Times New Roman"/>
          <w:sz w:val="24"/>
          <w:szCs w:val="24"/>
        </w:rPr>
        <w:t xml:space="preserve"> acquisition</w:t>
      </w:r>
      <w:r w:rsidRPr="00476DF1">
        <w:rPr>
          <w:rFonts w:ascii="Times New Roman" w:hAnsi="Times New Roman"/>
          <w:sz w:val="24"/>
          <w:szCs w:val="24"/>
        </w:rPr>
        <w:t>s</w:t>
      </w:r>
      <w:r w:rsidR="00403C0F" w:rsidRPr="00476DF1">
        <w:rPr>
          <w:rFonts w:ascii="Times New Roman" w:hAnsi="Times New Roman"/>
          <w:sz w:val="24"/>
          <w:szCs w:val="24"/>
        </w:rPr>
        <w:t xml:space="preserve"> of </w:t>
      </w:r>
      <w:r w:rsidR="00DA1E21" w:rsidRPr="00476DF1">
        <w:rPr>
          <w:rFonts w:ascii="Times New Roman" w:hAnsi="Times New Roman"/>
          <w:sz w:val="24"/>
          <w:szCs w:val="24"/>
        </w:rPr>
        <w:t xml:space="preserve">small firms. </w:t>
      </w:r>
      <w:r w:rsidR="009B6AF0" w:rsidRPr="00476DF1">
        <w:rPr>
          <w:rFonts w:ascii="Times New Roman" w:hAnsi="Times New Roman"/>
          <w:sz w:val="24"/>
          <w:szCs w:val="24"/>
        </w:rPr>
        <w:t xml:space="preserve">This </w:t>
      </w:r>
      <w:r w:rsidRPr="00476DF1">
        <w:rPr>
          <w:rFonts w:ascii="Times New Roman" w:hAnsi="Times New Roman"/>
          <w:sz w:val="24"/>
          <w:szCs w:val="24"/>
        </w:rPr>
        <w:t>is only possible by</w:t>
      </w:r>
      <w:r w:rsidR="009B6AF0" w:rsidRPr="00476DF1">
        <w:rPr>
          <w:rFonts w:ascii="Times New Roman" w:hAnsi="Times New Roman"/>
          <w:sz w:val="24"/>
          <w:szCs w:val="24"/>
        </w:rPr>
        <w:t xml:space="preserve"> looking </w:t>
      </w:r>
      <w:r w:rsidR="00403C0F" w:rsidRPr="00476DF1">
        <w:rPr>
          <w:rFonts w:ascii="Times New Roman" w:hAnsi="Times New Roman"/>
          <w:sz w:val="24"/>
          <w:szCs w:val="24"/>
        </w:rPr>
        <w:t xml:space="preserve">in </w:t>
      </w:r>
      <w:r w:rsidR="009B6AF0" w:rsidRPr="00476DF1">
        <w:rPr>
          <w:rFonts w:ascii="Times New Roman" w:hAnsi="Times New Roman"/>
          <w:sz w:val="24"/>
          <w:szCs w:val="24"/>
        </w:rPr>
        <w:t xml:space="preserve">detail </w:t>
      </w:r>
      <w:r w:rsidR="00403C0F" w:rsidRPr="00476DF1">
        <w:rPr>
          <w:rFonts w:ascii="Times New Roman" w:hAnsi="Times New Roman"/>
          <w:sz w:val="24"/>
          <w:szCs w:val="24"/>
        </w:rPr>
        <w:t>at</w:t>
      </w:r>
      <w:r w:rsidR="009B6AF0" w:rsidRPr="00476DF1">
        <w:rPr>
          <w:rFonts w:ascii="Times New Roman" w:hAnsi="Times New Roman"/>
          <w:sz w:val="24"/>
          <w:szCs w:val="24"/>
        </w:rPr>
        <w:t xml:space="preserve"> single </w:t>
      </w:r>
      <w:r w:rsidR="00403C0F" w:rsidRPr="00476DF1">
        <w:rPr>
          <w:rFonts w:ascii="Times New Roman" w:hAnsi="Times New Roman"/>
          <w:sz w:val="24"/>
          <w:szCs w:val="24"/>
        </w:rPr>
        <w:t xml:space="preserve">large </w:t>
      </w:r>
      <w:r w:rsidR="009B6AF0" w:rsidRPr="00476DF1">
        <w:rPr>
          <w:rFonts w:ascii="Times New Roman" w:hAnsi="Times New Roman"/>
          <w:sz w:val="24"/>
          <w:szCs w:val="24"/>
        </w:rPr>
        <w:t>enterprises. Therefore</w:t>
      </w:r>
      <w:r w:rsidR="00403C0F" w:rsidRPr="00476DF1">
        <w:rPr>
          <w:rFonts w:ascii="Times New Roman" w:hAnsi="Times New Roman"/>
          <w:sz w:val="24"/>
          <w:szCs w:val="24"/>
        </w:rPr>
        <w:t>,</w:t>
      </w:r>
      <w:r w:rsidR="009B6AF0" w:rsidRPr="00476DF1">
        <w:rPr>
          <w:rFonts w:ascii="Times New Roman" w:hAnsi="Times New Roman"/>
          <w:sz w:val="24"/>
          <w:szCs w:val="24"/>
        </w:rPr>
        <w:t xml:space="preserve"> </w:t>
      </w:r>
      <w:r w:rsidR="00DA1E21" w:rsidRPr="00476DF1">
        <w:rPr>
          <w:rFonts w:ascii="Times New Roman" w:hAnsi="Times New Roman"/>
          <w:sz w:val="24"/>
          <w:szCs w:val="24"/>
        </w:rPr>
        <w:t xml:space="preserve">this study </w:t>
      </w:r>
      <w:r w:rsidRPr="00476DF1">
        <w:rPr>
          <w:rFonts w:ascii="Times New Roman" w:hAnsi="Times New Roman"/>
          <w:sz w:val="24"/>
          <w:szCs w:val="24"/>
        </w:rPr>
        <w:t xml:space="preserve">is </w:t>
      </w:r>
      <w:r w:rsidR="00DA1E21" w:rsidRPr="00476DF1">
        <w:rPr>
          <w:rFonts w:ascii="Times New Roman" w:hAnsi="Times New Roman"/>
          <w:sz w:val="24"/>
          <w:szCs w:val="24"/>
        </w:rPr>
        <w:t>based on the M&amp;A</w:t>
      </w:r>
      <w:r w:rsidR="000016CA" w:rsidRPr="00476DF1">
        <w:rPr>
          <w:rFonts w:ascii="Times New Roman" w:hAnsi="Times New Roman"/>
          <w:sz w:val="24"/>
          <w:szCs w:val="24"/>
        </w:rPr>
        <w:t xml:space="preserve"> data</w:t>
      </w:r>
      <w:r w:rsidR="00DA1E21" w:rsidRPr="00476DF1">
        <w:rPr>
          <w:rFonts w:ascii="Times New Roman" w:hAnsi="Times New Roman"/>
          <w:sz w:val="24"/>
          <w:szCs w:val="24"/>
        </w:rPr>
        <w:t xml:space="preserve"> </w:t>
      </w:r>
      <w:r w:rsidR="009B6AF0" w:rsidRPr="00476DF1">
        <w:rPr>
          <w:rFonts w:ascii="Times New Roman" w:hAnsi="Times New Roman"/>
          <w:sz w:val="24"/>
          <w:szCs w:val="24"/>
        </w:rPr>
        <w:t xml:space="preserve">of 8 </w:t>
      </w:r>
      <w:r w:rsidR="00726537" w:rsidRPr="00476DF1">
        <w:rPr>
          <w:rFonts w:ascii="Times New Roman" w:hAnsi="Times New Roman"/>
          <w:sz w:val="24"/>
          <w:szCs w:val="24"/>
        </w:rPr>
        <w:t>Big Pharma</w:t>
      </w:r>
      <w:r w:rsidRPr="00476DF1">
        <w:rPr>
          <w:rFonts w:ascii="Times New Roman" w:hAnsi="Times New Roman"/>
          <w:sz w:val="24"/>
          <w:szCs w:val="24"/>
        </w:rPr>
        <w:t xml:space="preserve"> firms</w:t>
      </w:r>
      <w:r w:rsidR="00DA1E21" w:rsidRPr="00476DF1">
        <w:rPr>
          <w:rFonts w:ascii="Times New Roman" w:hAnsi="Times New Roman"/>
          <w:sz w:val="24"/>
          <w:szCs w:val="24"/>
        </w:rPr>
        <w:t xml:space="preserve"> f</w:t>
      </w:r>
      <w:r w:rsidR="000016CA" w:rsidRPr="00476DF1">
        <w:rPr>
          <w:rFonts w:ascii="Times New Roman" w:hAnsi="Times New Roman"/>
          <w:sz w:val="24"/>
          <w:szCs w:val="24"/>
        </w:rPr>
        <w:t>rom</w:t>
      </w:r>
      <w:r w:rsidR="00DA1E21" w:rsidRPr="00476DF1">
        <w:rPr>
          <w:rFonts w:ascii="Times New Roman" w:hAnsi="Times New Roman"/>
          <w:sz w:val="24"/>
          <w:szCs w:val="24"/>
        </w:rPr>
        <w:t xml:space="preserve"> 2005 to 2012.</w:t>
      </w:r>
      <w:r w:rsidR="001C3D84" w:rsidRPr="00476DF1">
        <w:rPr>
          <w:rFonts w:ascii="Times New Roman" w:hAnsi="Times New Roman"/>
          <w:sz w:val="24"/>
          <w:szCs w:val="24"/>
        </w:rPr>
        <w:t xml:space="preserve"> </w:t>
      </w:r>
    </w:p>
    <w:p w14:paraId="7868B698" w14:textId="5A8A9774" w:rsidR="001C3D84" w:rsidRPr="00476DF1" w:rsidRDefault="001C3D84"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Th</w:t>
      </w:r>
      <w:r w:rsidR="00303786" w:rsidRPr="00476DF1">
        <w:rPr>
          <w:rFonts w:ascii="Times New Roman" w:hAnsi="Times New Roman"/>
          <w:sz w:val="24"/>
          <w:szCs w:val="24"/>
        </w:rPr>
        <w:t>is study offers several</w:t>
      </w:r>
      <w:r w:rsidRPr="00476DF1">
        <w:rPr>
          <w:rFonts w:ascii="Times New Roman" w:hAnsi="Times New Roman"/>
          <w:sz w:val="24"/>
          <w:szCs w:val="24"/>
        </w:rPr>
        <w:t xml:space="preserve"> contributions</w:t>
      </w:r>
      <w:r w:rsidR="00303786" w:rsidRPr="00476DF1">
        <w:rPr>
          <w:rFonts w:ascii="Times New Roman" w:hAnsi="Times New Roman"/>
          <w:sz w:val="24"/>
          <w:szCs w:val="24"/>
        </w:rPr>
        <w:t>. F</w:t>
      </w:r>
      <w:r w:rsidRPr="00476DF1">
        <w:rPr>
          <w:rFonts w:ascii="Times New Roman" w:hAnsi="Times New Roman"/>
          <w:sz w:val="24"/>
          <w:szCs w:val="24"/>
        </w:rPr>
        <w:t>irst</w:t>
      </w:r>
      <w:r w:rsidR="00303786" w:rsidRPr="00476DF1">
        <w:rPr>
          <w:rFonts w:ascii="Times New Roman" w:hAnsi="Times New Roman"/>
          <w:sz w:val="24"/>
          <w:szCs w:val="24"/>
        </w:rPr>
        <w:t xml:space="preserve">, the </w:t>
      </w:r>
      <w:r w:rsidRPr="00476DF1">
        <w:rPr>
          <w:rFonts w:ascii="Times New Roman" w:hAnsi="Times New Roman"/>
          <w:sz w:val="24"/>
          <w:szCs w:val="24"/>
        </w:rPr>
        <w:t xml:space="preserve">analyses overcome </w:t>
      </w:r>
      <w:r w:rsidR="00303786" w:rsidRPr="00476DF1">
        <w:rPr>
          <w:rFonts w:ascii="Times New Roman" w:hAnsi="Times New Roman"/>
          <w:sz w:val="24"/>
          <w:szCs w:val="24"/>
        </w:rPr>
        <w:t xml:space="preserve">problems in </w:t>
      </w:r>
      <w:r w:rsidR="009B6AF0" w:rsidRPr="00476DF1">
        <w:rPr>
          <w:rFonts w:ascii="Times New Roman" w:hAnsi="Times New Roman"/>
          <w:sz w:val="24"/>
          <w:szCs w:val="24"/>
        </w:rPr>
        <w:t>past stud</w:t>
      </w:r>
      <w:r w:rsidR="00303786" w:rsidRPr="00476DF1">
        <w:rPr>
          <w:rFonts w:ascii="Times New Roman" w:hAnsi="Times New Roman"/>
          <w:sz w:val="24"/>
          <w:szCs w:val="24"/>
        </w:rPr>
        <w:t>ies. Second, we create</w:t>
      </w:r>
      <w:r w:rsidRPr="00476DF1">
        <w:rPr>
          <w:rFonts w:ascii="Times New Roman" w:hAnsi="Times New Roman"/>
          <w:sz w:val="24"/>
          <w:szCs w:val="24"/>
        </w:rPr>
        <w:t xml:space="preserve"> </w:t>
      </w:r>
      <w:r w:rsidR="00303786" w:rsidRPr="00476DF1">
        <w:rPr>
          <w:rFonts w:ascii="Times New Roman" w:hAnsi="Times New Roman"/>
          <w:sz w:val="24"/>
          <w:szCs w:val="24"/>
        </w:rPr>
        <w:t xml:space="preserve">several </w:t>
      </w:r>
      <w:r w:rsidRPr="00476DF1">
        <w:rPr>
          <w:rFonts w:ascii="Times New Roman" w:hAnsi="Times New Roman"/>
          <w:sz w:val="24"/>
          <w:szCs w:val="24"/>
        </w:rPr>
        <w:t>variables</w:t>
      </w:r>
      <w:r w:rsidR="00403C0F" w:rsidRPr="00476DF1">
        <w:rPr>
          <w:rFonts w:ascii="Times New Roman" w:hAnsi="Times New Roman"/>
          <w:sz w:val="24"/>
          <w:szCs w:val="24"/>
        </w:rPr>
        <w:t xml:space="preserve">: (i) </w:t>
      </w:r>
      <w:r w:rsidR="00FE093D" w:rsidRPr="00476DF1">
        <w:rPr>
          <w:rFonts w:ascii="Times New Roman" w:hAnsi="Times New Roman"/>
          <w:sz w:val="24"/>
          <w:szCs w:val="24"/>
        </w:rPr>
        <w:t>d</w:t>
      </w:r>
      <w:r w:rsidRPr="00476DF1">
        <w:rPr>
          <w:rFonts w:ascii="Times New Roman" w:hAnsi="Times New Roman"/>
          <w:sz w:val="24"/>
          <w:szCs w:val="24"/>
        </w:rPr>
        <w:t xml:space="preserve">irect technical contribution, </w:t>
      </w:r>
      <w:r w:rsidR="00403C0F" w:rsidRPr="00476DF1">
        <w:rPr>
          <w:rFonts w:ascii="Times New Roman" w:hAnsi="Times New Roman"/>
          <w:sz w:val="24"/>
          <w:szCs w:val="24"/>
        </w:rPr>
        <w:t xml:space="preserve">(ii) </w:t>
      </w:r>
      <w:r w:rsidRPr="00476DF1">
        <w:rPr>
          <w:rFonts w:ascii="Times New Roman" w:hAnsi="Times New Roman"/>
          <w:sz w:val="24"/>
          <w:szCs w:val="24"/>
        </w:rPr>
        <w:t>indirect technical contribution</w:t>
      </w:r>
      <w:r w:rsidR="00303786" w:rsidRPr="00476DF1">
        <w:rPr>
          <w:rFonts w:ascii="Times New Roman" w:hAnsi="Times New Roman"/>
          <w:sz w:val="24"/>
          <w:szCs w:val="24"/>
        </w:rPr>
        <w:t>,</w:t>
      </w:r>
      <w:r w:rsidRPr="00476DF1">
        <w:rPr>
          <w:rFonts w:ascii="Times New Roman" w:hAnsi="Times New Roman"/>
          <w:sz w:val="24"/>
          <w:szCs w:val="24"/>
        </w:rPr>
        <w:t xml:space="preserve"> and </w:t>
      </w:r>
      <w:r w:rsidR="00403C0F" w:rsidRPr="00476DF1">
        <w:rPr>
          <w:rFonts w:ascii="Times New Roman" w:hAnsi="Times New Roman"/>
          <w:sz w:val="24"/>
          <w:szCs w:val="24"/>
        </w:rPr>
        <w:t xml:space="preserve">(iii) </w:t>
      </w:r>
      <w:r w:rsidRPr="00476DF1">
        <w:rPr>
          <w:rFonts w:ascii="Times New Roman" w:hAnsi="Times New Roman"/>
          <w:sz w:val="24"/>
          <w:szCs w:val="24"/>
        </w:rPr>
        <w:t>invento</w:t>
      </w:r>
      <w:r w:rsidR="00FE093D" w:rsidRPr="00476DF1">
        <w:rPr>
          <w:rFonts w:ascii="Times New Roman" w:hAnsi="Times New Roman"/>
          <w:sz w:val="24"/>
          <w:szCs w:val="24"/>
        </w:rPr>
        <w:t>r</w:t>
      </w:r>
      <w:r w:rsidRPr="00476DF1">
        <w:rPr>
          <w:rFonts w:ascii="Times New Roman" w:hAnsi="Times New Roman"/>
          <w:sz w:val="24"/>
          <w:szCs w:val="24"/>
        </w:rPr>
        <w:t xml:space="preserve"> use. These variables have a</w:t>
      </w:r>
      <w:r w:rsidR="00FE093D" w:rsidRPr="00476DF1">
        <w:rPr>
          <w:rFonts w:ascii="Times New Roman" w:hAnsi="Times New Roman"/>
          <w:sz w:val="24"/>
          <w:szCs w:val="24"/>
        </w:rPr>
        <w:t>n</w:t>
      </w:r>
      <w:r w:rsidRPr="00476DF1">
        <w:rPr>
          <w:rFonts w:ascii="Times New Roman" w:hAnsi="Times New Roman"/>
          <w:sz w:val="24"/>
          <w:szCs w:val="24"/>
        </w:rPr>
        <w:t xml:space="preserve"> interesting explanatory power </w:t>
      </w:r>
      <w:r w:rsidR="00303786" w:rsidRPr="00476DF1">
        <w:rPr>
          <w:rFonts w:ascii="Times New Roman" w:hAnsi="Times New Roman"/>
          <w:sz w:val="24"/>
          <w:szCs w:val="24"/>
        </w:rPr>
        <w:t xml:space="preserve">for the </w:t>
      </w:r>
      <w:r w:rsidRPr="00476DF1">
        <w:rPr>
          <w:rFonts w:ascii="Times New Roman" w:hAnsi="Times New Roman"/>
          <w:sz w:val="24"/>
          <w:szCs w:val="24"/>
        </w:rPr>
        <w:t>individual cases of ac</w:t>
      </w:r>
      <w:r w:rsidR="00FE093D" w:rsidRPr="00476DF1">
        <w:rPr>
          <w:rFonts w:ascii="Times New Roman" w:hAnsi="Times New Roman"/>
          <w:sz w:val="24"/>
          <w:szCs w:val="24"/>
        </w:rPr>
        <w:t>quisitions</w:t>
      </w:r>
      <w:r w:rsidRPr="00476DF1">
        <w:rPr>
          <w:rFonts w:ascii="Times New Roman" w:hAnsi="Times New Roman"/>
          <w:sz w:val="24"/>
          <w:szCs w:val="24"/>
        </w:rPr>
        <w:t>. By combining these variables</w:t>
      </w:r>
      <w:r w:rsidR="00FE093D" w:rsidRPr="00476DF1">
        <w:rPr>
          <w:rFonts w:ascii="Times New Roman" w:hAnsi="Times New Roman"/>
          <w:sz w:val="24"/>
          <w:szCs w:val="24"/>
        </w:rPr>
        <w:t>,</w:t>
      </w:r>
      <w:r w:rsidRPr="00476DF1">
        <w:rPr>
          <w:rFonts w:ascii="Times New Roman" w:hAnsi="Times New Roman"/>
          <w:sz w:val="24"/>
          <w:szCs w:val="24"/>
        </w:rPr>
        <w:t xml:space="preserve"> </w:t>
      </w:r>
      <w:r w:rsidR="00351C0F" w:rsidRPr="00476DF1">
        <w:rPr>
          <w:rFonts w:ascii="Times New Roman" w:hAnsi="Times New Roman"/>
          <w:sz w:val="24"/>
          <w:szCs w:val="24"/>
        </w:rPr>
        <w:t xml:space="preserve">the </w:t>
      </w:r>
      <w:r w:rsidR="00FE093D" w:rsidRPr="00476DF1">
        <w:rPr>
          <w:rFonts w:ascii="Times New Roman" w:hAnsi="Times New Roman"/>
          <w:sz w:val="24"/>
          <w:szCs w:val="24"/>
        </w:rPr>
        <w:t>analys</w:t>
      </w:r>
      <w:r w:rsidR="00303786" w:rsidRPr="00476DF1">
        <w:rPr>
          <w:rFonts w:ascii="Times New Roman" w:hAnsi="Times New Roman"/>
          <w:sz w:val="24"/>
          <w:szCs w:val="24"/>
        </w:rPr>
        <w:t>is</w:t>
      </w:r>
      <w:r w:rsidR="00351C0F" w:rsidRPr="00476DF1">
        <w:rPr>
          <w:rFonts w:ascii="Times New Roman" w:hAnsi="Times New Roman"/>
          <w:sz w:val="24"/>
          <w:szCs w:val="24"/>
        </w:rPr>
        <w:t xml:space="preserve"> becomes stronger</w:t>
      </w:r>
      <w:r w:rsidR="00303786" w:rsidRPr="00476DF1">
        <w:rPr>
          <w:rFonts w:ascii="Times New Roman" w:hAnsi="Times New Roman"/>
          <w:sz w:val="24"/>
          <w:szCs w:val="24"/>
        </w:rPr>
        <w:t xml:space="preserve"> and leads to</w:t>
      </w:r>
      <w:r w:rsidR="00351C0F" w:rsidRPr="00476DF1">
        <w:rPr>
          <w:rFonts w:ascii="Times New Roman" w:hAnsi="Times New Roman"/>
          <w:sz w:val="24"/>
          <w:szCs w:val="24"/>
        </w:rPr>
        <w:t xml:space="preserve"> new conclusio</w:t>
      </w:r>
      <w:r w:rsidR="00FE093D" w:rsidRPr="00476DF1">
        <w:rPr>
          <w:rFonts w:ascii="Times New Roman" w:hAnsi="Times New Roman"/>
          <w:sz w:val="24"/>
          <w:szCs w:val="24"/>
        </w:rPr>
        <w:t>n</w:t>
      </w:r>
      <w:r w:rsidR="00351C0F" w:rsidRPr="00476DF1">
        <w:rPr>
          <w:rFonts w:ascii="Times New Roman" w:hAnsi="Times New Roman"/>
          <w:sz w:val="24"/>
          <w:szCs w:val="24"/>
        </w:rPr>
        <w:t>s. A final important contr</w:t>
      </w:r>
      <w:r w:rsidR="00FE093D" w:rsidRPr="00476DF1">
        <w:rPr>
          <w:rFonts w:ascii="Times New Roman" w:hAnsi="Times New Roman"/>
          <w:sz w:val="24"/>
          <w:szCs w:val="24"/>
        </w:rPr>
        <w:t>i</w:t>
      </w:r>
      <w:r w:rsidR="00351C0F" w:rsidRPr="00476DF1">
        <w:rPr>
          <w:rFonts w:ascii="Times New Roman" w:hAnsi="Times New Roman"/>
          <w:sz w:val="24"/>
          <w:szCs w:val="24"/>
        </w:rPr>
        <w:t>b</w:t>
      </w:r>
      <w:r w:rsidR="00FE093D" w:rsidRPr="00476DF1">
        <w:rPr>
          <w:rFonts w:ascii="Times New Roman" w:hAnsi="Times New Roman"/>
          <w:sz w:val="24"/>
          <w:szCs w:val="24"/>
        </w:rPr>
        <w:t>u</w:t>
      </w:r>
      <w:r w:rsidR="00351C0F" w:rsidRPr="00476DF1">
        <w:rPr>
          <w:rFonts w:ascii="Times New Roman" w:hAnsi="Times New Roman"/>
          <w:sz w:val="24"/>
          <w:szCs w:val="24"/>
        </w:rPr>
        <w:t xml:space="preserve">tion </w:t>
      </w:r>
      <w:r w:rsidR="00303786" w:rsidRPr="00476DF1">
        <w:rPr>
          <w:rFonts w:ascii="Times New Roman" w:hAnsi="Times New Roman"/>
          <w:sz w:val="24"/>
          <w:szCs w:val="24"/>
        </w:rPr>
        <w:t xml:space="preserve">relates to the </w:t>
      </w:r>
      <w:r w:rsidR="00351C0F" w:rsidRPr="00476DF1">
        <w:rPr>
          <w:rFonts w:ascii="Times New Roman" w:hAnsi="Times New Roman"/>
          <w:sz w:val="24"/>
          <w:szCs w:val="24"/>
        </w:rPr>
        <w:t>relevance of small ente</w:t>
      </w:r>
      <w:r w:rsidR="00FE093D" w:rsidRPr="00476DF1">
        <w:rPr>
          <w:rFonts w:ascii="Times New Roman" w:hAnsi="Times New Roman"/>
          <w:sz w:val="24"/>
          <w:szCs w:val="24"/>
        </w:rPr>
        <w:t>r</w:t>
      </w:r>
      <w:r w:rsidR="00351C0F" w:rsidRPr="00476DF1">
        <w:rPr>
          <w:rFonts w:ascii="Times New Roman" w:hAnsi="Times New Roman"/>
          <w:sz w:val="24"/>
          <w:szCs w:val="24"/>
        </w:rPr>
        <w:t xml:space="preserve">prises in the </w:t>
      </w:r>
      <w:r w:rsidR="00303786" w:rsidRPr="00476DF1">
        <w:rPr>
          <w:rFonts w:ascii="Times New Roman" w:hAnsi="Times New Roman"/>
          <w:sz w:val="24"/>
          <w:szCs w:val="24"/>
        </w:rPr>
        <w:t xml:space="preserve">development of </w:t>
      </w:r>
      <w:r w:rsidR="00351C0F" w:rsidRPr="00476DF1">
        <w:rPr>
          <w:rFonts w:ascii="Times New Roman" w:hAnsi="Times New Roman"/>
          <w:sz w:val="24"/>
          <w:szCs w:val="24"/>
        </w:rPr>
        <w:t>technolog</w:t>
      </w:r>
      <w:r w:rsidR="00303786" w:rsidRPr="00476DF1">
        <w:rPr>
          <w:rFonts w:ascii="Times New Roman" w:hAnsi="Times New Roman"/>
          <w:sz w:val="24"/>
          <w:szCs w:val="24"/>
        </w:rPr>
        <w:t>y</w:t>
      </w:r>
      <w:r w:rsidR="00351C0F" w:rsidRPr="00476DF1">
        <w:rPr>
          <w:rFonts w:ascii="Times New Roman" w:hAnsi="Times New Roman"/>
          <w:sz w:val="24"/>
          <w:szCs w:val="24"/>
        </w:rPr>
        <w:t xml:space="preserve"> and competence</w:t>
      </w:r>
      <w:r w:rsidR="00303786" w:rsidRPr="00476DF1">
        <w:rPr>
          <w:rFonts w:ascii="Times New Roman" w:hAnsi="Times New Roman"/>
          <w:sz w:val="24"/>
          <w:szCs w:val="24"/>
        </w:rPr>
        <w:t xml:space="preserve"> within </w:t>
      </w:r>
      <w:r w:rsidR="00726537" w:rsidRPr="00476DF1">
        <w:rPr>
          <w:rFonts w:ascii="Times New Roman" w:hAnsi="Times New Roman"/>
          <w:sz w:val="24"/>
          <w:szCs w:val="24"/>
        </w:rPr>
        <w:t>Big Pharma</w:t>
      </w:r>
      <w:r w:rsidR="00303786" w:rsidRPr="00476DF1">
        <w:rPr>
          <w:rFonts w:ascii="Times New Roman" w:hAnsi="Times New Roman"/>
          <w:sz w:val="24"/>
          <w:szCs w:val="24"/>
        </w:rPr>
        <w:t xml:space="preserve"> firms</w:t>
      </w:r>
      <w:r w:rsidR="00351C0F" w:rsidRPr="00476DF1">
        <w:rPr>
          <w:rFonts w:ascii="Times New Roman" w:hAnsi="Times New Roman"/>
          <w:sz w:val="24"/>
          <w:szCs w:val="24"/>
        </w:rPr>
        <w:t xml:space="preserve">. </w:t>
      </w:r>
      <w:r w:rsidR="00303786" w:rsidRPr="00476DF1">
        <w:rPr>
          <w:rFonts w:ascii="Times New Roman" w:hAnsi="Times New Roman"/>
          <w:sz w:val="24"/>
          <w:szCs w:val="24"/>
        </w:rPr>
        <w:t>Through the chosen variables, this study shows that</w:t>
      </w:r>
      <w:r w:rsidR="00351C0F" w:rsidRPr="00476DF1">
        <w:rPr>
          <w:rFonts w:ascii="Times New Roman" w:hAnsi="Times New Roman"/>
          <w:sz w:val="24"/>
          <w:szCs w:val="24"/>
        </w:rPr>
        <w:t xml:space="preserve"> small ente</w:t>
      </w:r>
      <w:r w:rsidR="00FE093D" w:rsidRPr="00476DF1">
        <w:rPr>
          <w:rFonts w:ascii="Times New Roman" w:hAnsi="Times New Roman"/>
          <w:sz w:val="24"/>
          <w:szCs w:val="24"/>
        </w:rPr>
        <w:t>r</w:t>
      </w:r>
      <w:r w:rsidR="00351C0F" w:rsidRPr="00476DF1">
        <w:rPr>
          <w:rFonts w:ascii="Times New Roman" w:hAnsi="Times New Roman"/>
          <w:sz w:val="24"/>
          <w:szCs w:val="24"/>
        </w:rPr>
        <w:t xml:space="preserve">prises are relevant for </w:t>
      </w:r>
      <w:r w:rsidR="00FE093D" w:rsidRPr="00476DF1">
        <w:rPr>
          <w:rFonts w:ascii="Times New Roman" w:hAnsi="Times New Roman"/>
          <w:sz w:val="24"/>
          <w:szCs w:val="24"/>
        </w:rPr>
        <w:t>technological</w:t>
      </w:r>
      <w:r w:rsidR="00351C0F" w:rsidRPr="00476DF1">
        <w:rPr>
          <w:rFonts w:ascii="Times New Roman" w:hAnsi="Times New Roman"/>
          <w:sz w:val="24"/>
          <w:szCs w:val="24"/>
        </w:rPr>
        <w:t xml:space="preserve"> development</w:t>
      </w:r>
      <w:r w:rsidR="00303786" w:rsidRPr="00476DF1">
        <w:rPr>
          <w:rFonts w:ascii="Times New Roman" w:hAnsi="Times New Roman"/>
          <w:sz w:val="24"/>
          <w:szCs w:val="24"/>
        </w:rPr>
        <w:t xml:space="preserve"> among the </w:t>
      </w:r>
      <w:r w:rsidR="00726537" w:rsidRPr="00476DF1">
        <w:rPr>
          <w:rFonts w:ascii="Times New Roman" w:hAnsi="Times New Roman"/>
          <w:sz w:val="24"/>
          <w:szCs w:val="24"/>
        </w:rPr>
        <w:t>Big Pharma</w:t>
      </w:r>
      <w:r w:rsidR="00303786" w:rsidRPr="00476DF1">
        <w:rPr>
          <w:rFonts w:ascii="Times New Roman" w:hAnsi="Times New Roman"/>
          <w:sz w:val="24"/>
          <w:szCs w:val="24"/>
        </w:rPr>
        <w:t xml:space="preserve"> firms</w:t>
      </w:r>
      <w:r w:rsidR="00351C0F" w:rsidRPr="00476DF1">
        <w:rPr>
          <w:rFonts w:ascii="Times New Roman" w:hAnsi="Times New Roman"/>
          <w:sz w:val="24"/>
          <w:szCs w:val="24"/>
        </w:rPr>
        <w:t>.</w:t>
      </w:r>
    </w:p>
    <w:p w14:paraId="37E55A59" w14:textId="6A77049F" w:rsidR="00DA1E21" w:rsidRPr="00476DF1" w:rsidRDefault="00303786"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This study first </w:t>
      </w:r>
      <w:r w:rsidR="00DA1E21" w:rsidRPr="00476DF1">
        <w:rPr>
          <w:rFonts w:ascii="Times New Roman" w:hAnsi="Times New Roman"/>
          <w:sz w:val="24"/>
          <w:szCs w:val="24"/>
        </w:rPr>
        <w:t>establish</w:t>
      </w:r>
      <w:r w:rsidRPr="00476DF1">
        <w:rPr>
          <w:rFonts w:ascii="Times New Roman" w:hAnsi="Times New Roman"/>
          <w:sz w:val="24"/>
          <w:szCs w:val="24"/>
        </w:rPr>
        <w:t>ed</w:t>
      </w:r>
      <w:r w:rsidR="00DA1E21" w:rsidRPr="00476DF1">
        <w:rPr>
          <w:rFonts w:ascii="Times New Roman" w:hAnsi="Times New Roman"/>
          <w:sz w:val="24"/>
          <w:szCs w:val="24"/>
        </w:rPr>
        <w:t xml:space="preserve"> that small enterprises can contribute to large enterprises</w:t>
      </w:r>
      <w:r w:rsidR="00F0306F" w:rsidRPr="00476DF1">
        <w:rPr>
          <w:rFonts w:ascii="Times New Roman" w:hAnsi="Times New Roman"/>
          <w:sz w:val="24"/>
          <w:szCs w:val="24"/>
        </w:rPr>
        <w:t>,</w:t>
      </w:r>
      <w:r w:rsidR="00DA1E21" w:rsidRPr="00476DF1">
        <w:rPr>
          <w:rFonts w:ascii="Times New Roman" w:hAnsi="Times New Roman"/>
          <w:sz w:val="24"/>
          <w:szCs w:val="24"/>
        </w:rPr>
        <w:t xml:space="preserve"> incr</w:t>
      </w:r>
      <w:r w:rsidR="000016CA" w:rsidRPr="00476DF1">
        <w:rPr>
          <w:rFonts w:ascii="Times New Roman" w:hAnsi="Times New Roman"/>
          <w:sz w:val="24"/>
          <w:szCs w:val="24"/>
        </w:rPr>
        <w:t>e</w:t>
      </w:r>
      <w:r w:rsidR="00DA1E21" w:rsidRPr="00476DF1">
        <w:rPr>
          <w:rFonts w:ascii="Times New Roman" w:hAnsi="Times New Roman"/>
          <w:sz w:val="24"/>
          <w:szCs w:val="24"/>
        </w:rPr>
        <w:t>as</w:t>
      </w:r>
      <w:r w:rsidR="000016CA" w:rsidRPr="00476DF1">
        <w:rPr>
          <w:rFonts w:ascii="Times New Roman" w:hAnsi="Times New Roman"/>
          <w:sz w:val="24"/>
          <w:szCs w:val="24"/>
        </w:rPr>
        <w:t>ing</w:t>
      </w:r>
      <w:r w:rsidR="00DA1E21" w:rsidRPr="00476DF1">
        <w:rPr>
          <w:rFonts w:ascii="Times New Roman" w:hAnsi="Times New Roman"/>
          <w:sz w:val="24"/>
          <w:szCs w:val="24"/>
        </w:rPr>
        <w:t xml:space="preserve"> their innovative outputs. </w:t>
      </w:r>
      <w:r w:rsidR="00F0306F" w:rsidRPr="00476DF1">
        <w:rPr>
          <w:rFonts w:ascii="Times New Roman" w:hAnsi="Times New Roman"/>
          <w:sz w:val="24"/>
          <w:szCs w:val="24"/>
        </w:rPr>
        <w:t>We</w:t>
      </w:r>
      <w:r w:rsidR="00DA1E21" w:rsidRPr="00476DF1">
        <w:rPr>
          <w:rFonts w:ascii="Times New Roman" w:hAnsi="Times New Roman"/>
          <w:sz w:val="24"/>
          <w:szCs w:val="24"/>
        </w:rPr>
        <w:t xml:space="preserve"> divided the contribution in</w:t>
      </w:r>
      <w:r w:rsidR="00F0306F" w:rsidRPr="00476DF1">
        <w:rPr>
          <w:rFonts w:ascii="Times New Roman" w:hAnsi="Times New Roman"/>
          <w:sz w:val="24"/>
          <w:szCs w:val="24"/>
        </w:rPr>
        <w:t>to</w:t>
      </w:r>
      <w:r w:rsidR="000016CA" w:rsidRPr="00476DF1">
        <w:rPr>
          <w:rFonts w:ascii="Times New Roman" w:hAnsi="Times New Roman"/>
          <w:sz w:val="24"/>
          <w:szCs w:val="24"/>
        </w:rPr>
        <w:t xml:space="preserve"> </w:t>
      </w:r>
      <w:r w:rsidR="00DA1E21" w:rsidRPr="00476DF1">
        <w:rPr>
          <w:rFonts w:ascii="Times New Roman" w:hAnsi="Times New Roman"/>
          <w:sz w:val="24"/>
          <w:szCs w:val="24"/>
        </w:rPr>
        <w:t>t</w:t>
      </w:r>
      <w:r w:rsidR="000016CA" w:rsidRPr="00476DF1">
        <w:rPr>
          <w:rFonts w:ascii="Times New Roman" w:hAnsi="Times New Roman"/>
          <w:sz w:val="24"/>
          <w:szCs w:val="24"/>
        </w:rPr>
        <w:t>w</w:t>
      </w:r>
      <w:r w:rsidR="00DA1E21" w:rsidRPr="00476DF1">
        <w:rPr>
          <w:rFonts w:ascii="Times New Roman" w:hAnsi="Times New Roman"/>
          <w:sz w:val="24"/>
          <w:szCs w:val="24"/>
        </w:rPr>
        <w:t>o main elements</w:t>
      </w:r>
      <w:r w:rsidR="000016CA" w:rsidRPr="00476DF1">
        <w:rPr>
          <w:rFonts w:ascii="Times New Roman" w:hAnsi="Times New Roman"/>
          <w:sz w:val="24"/>
          <w:szCs w:val="24"/>
        </w:rPr>
        <w:t>:</w:t>
      </w:r>
      <w:r w:rsidR="00DA1E21" w:rsidRPr="00476DF1">
        <w:rPr>
          <w:rFonts w:ascii="Times New Roman" w:hAnsi="Times New Roman"/>
          <w:sz w:val="24"/>
          <w:szCs w:val="24"/>
        </w:rPr>
        <w:t xml:space="preserve"> the technical and skill</w:t>
      </w:r>
      <w:r w:rsidR="00F0306F" w:rsidRPr="00476DF1">
        <w:rPr>
          <w:rFonts w:ascii="Times New Roman" w:hAnsi="Times New Roman"/>
          <w:sz w:val="24"/>
          <w:szCs w:val="24"/>
        </w:rPr>
        <w:t>s</w:t>
      </w:r>
      <w:r w:rsidR="00DA1E21" w:rsidRPr="00476DF1">
        <w:rPr>
          <w:rFonts w:ascii="Times New Roman" w:hAnsi="Times New Roman"/>
          <w:sz w:val="24"/>
          <w:szCs w:val="24"/>
        </w:rPr>
        <w:t xml:space="preserve"> contribution. </w:t>
      </w:r>
      <w:r w:rsidR="00DA1E21" w:rsidRPr="00476DF1">
        <w:rPr>
          <w:rFonts w:ascii="Times New Roman" w:hAnsi="Times New Roman"/>
          <w:sz w:val="24"/>
          <w:szCs w:val="24"/>
        </w:rPr>
        <w:lastRenderedPageBreak/>
        <w:t>Both have different sources. Technical contr</w:t>
      </w:r>
      <w:r w:rsidR="000016CA" w:rsidRPr="00476DF1">
        <w:rPr>
          <w:rFonts w:ascii="Times New Roman" w:hAnsi="Times New Roman"/>
          <w:sz w:val="24"/>
          <w:szCs w:val="24"/>
        </w:rPr>
        <w:t>i</w:t>
      </w:r>
      <w:r w:rsidR="00DA1E21" w:rsidRPr="00476DF1">
        <w:rPr>
          <w:rFonts w:ascii="Times New Roman" w:hAnsi="Times New Roman"/>
          <w:sz w:val="24"/>
          <w:szCs w:val="24"/>
        </w:rPr>
        <w:t>b</w:t>
      </w:r>
      <w:r w:rsidR="000016CA" w:rsidRPr="00476DF1">
        <w:rPr>
          <w:rFonts w:ascii="Times New Roman" w:hAnsi="Times New Roman"/>
          <w:sz w:val="24"/>
          <w:szCs w:val="24"/>
        </w:rPr>
        <w:t>u</w:t>
      </w:r>
      <w:r w:rsidR="00DA1E21" w:rsidRPr="00476DF1">
        <w:rPr>
          <w:rFonts w:ascii="Times New Roman" w:hAnsi="Times New Roman"/>
          <w:sz w:val="24"/>
          <w:szCs w:val="24"/>
        </w:rPr>
        <w:t>tion comes f</w:t>
      </w:r>
      <w:r w:rsidR="000016CA" w:rsidRPr="00476DF1">
        <w:rPr>
          <w:rFonts w:ascii="Times New Roman" w:hAnsi="Times New Roman"/>
          <w:sz w:val="24"/>
          <w:szCs w:val="24"/>
        </w:rPr>
        <w:t>rom</w:t>
      </w:r>
      <w:r w:rsidR="00DA1E21" w:rsidRPr="00476DF1">
        <w:rPr>
          <w:rFonts w:ascii="Times New Roman" w:hAnsi="Times New Roman"/>
          <w:sz w:val="24"/>
          <w:szCs w:val="24"/>
        </w:rPr>
        <w:t xml:space="preserve"> the techniques develop</w:t>
      </w:r>
      <w:r w:rsidR="000016CA" w:rsidRPr="00476DF1">
        <w:rPr>
          <w:rFonts w:ascii="Times New Roman" w:hAnsi="Times New Roman"/>
          <w:sz w:val="24"/>
          <w:szCs w:val="24"/>
        </w:rPr>
        <w:t>e</w:t>
      </w:r>
      <w:r w:rsidR="00DA1E21" w:rsidRPr="00476DF1">
        <w:rPr>
          <w:rFonts w:ascii="Times New Roman" w:hAnsi="Times New Roman"/>
          <w:sz w:val="24"/>
          <w:szCs w:val="24"/>
        </w:rPr>
        <w:t xml:space="preserve">d by </w:t>
      </w:r>
      <w:r w:rsidR="000016CA" w:rsidRPr="00476DF1">
        <w:rPr>
          <w:rFonts w:ascii="Times New Roman" w:hAnsi="Times New Roman"/>
          <w:sz w:val="24"/>
          <w:szCs w:val="24"/>
        </w:rPr>
        <w:t>t</w:t>
      </w:r>
      <w:r w:rsidR="00DA1E21" w:rsidRPr="00476DF1">
        <w:rPr>
          <w:rFonts w:ascii="Times New Roman" w:hAnsi="Times New Roman"/>
          <w:sz w:val="24"/>
          <w:szCs w:val="24"/>
        </w:rPr>
        <w:t xml:space="preserve">he small enterprises and </w:t>
      </w:r>
      <w:r w:rsidR="007D1B22" w:rsidRPr="00476DF1">
        <w:rPr>
          <w:rFonts w:ascii="Times New Roman" w:hAnsi="Times New Roman"/>
          <w:sz w:val="24"/>
          <w:szCs w:val="24"/>
        </w:rPr>
        <w:t>s</w:t>
      </w:r>
      <w:r w:rsidR="00DA1E21" w:rsidRPr="00476DF1">
        <w:rPr>
          <w:rFonts w:ascii="Times New Roman" w:hAnsi="Times New Roman"/>
          <w:sz w:val="24"/>
          <w:szCs w:val="24"/>
        </w:rPr>
        <w:t>kill</w:t>
      </w:r>
      <w:r w:rsidR="00F0306F" w:rsidRPr="00476DF1">
        <w:rPr>
          <w:rFonts w:ascii="Times New Roman" w:hAnsi="Times New Roman"/>
          <w:sz w:val="24"/>
          <w:szCs w:val="24"/>
        </w:rPr>
        <w:t>s</w:t>
      </w:r>
      <w:r w:rsidR="00DA1E21" w:rsidRPr="00476DF1">
        <w:rPr>
          <w:rFonts w:ascii="Times New Roman" w:hAnsi="Times New Roman"/>
          <w:sz w:val="24"/>
          <w:szCs w:val="24"/>
        </w:rPr>
        <w:t xml:space="preserve"> contribu</w:t>
      </w:r>
      <w:r w:rsidR="000016CA" w:rsidRPr="00476DF1">
        <w:rPr>
          <w:rFonts w:ascii="Times New Roman" w:hAnsi="Times New Roman"/>
          <w:sz w:val="24"/>
          <w:szCs w:val="24"/>
        </w:rPr>
        <w:t>t</w:t>
      </w:r>
      <w:r w:rsidR="00DA1E21" w:rsidRPr="00476DF1">
        <w:rPr>
          <w:rFonts w:ascii="Times New Roman" w:hAnsi="Times New Roman"/>
          <w:sz w:val="24"/>
          <w:szCs w:val="24"/>
        </w:rPr>
        <w:t>ion comes f</w:t>
      </w:r>
      <w:r w:rsidR="000016CA" w:rsidRPr="00476DF1">
        <w:rPr>
          <w:rFonts w:ascii="Times New Roman" w:hAnsi="Times New Roman"/>
          <w:sz w:val="24"/>
          <w:szCs w:val="24"/>
        </w:rPr>
        <w:t>rom</w:t>
      </w:r>
      <w:r w:rsidR="00DA1E21" w:rsidRPr="00476DF1">
        <w:rPr>
          <w:rFonts w:ascii="Times New Roman" w:hAnsi="Times New Roman"/>
          <w:sz w:val="24"/>
          <w:szCs w:val="24"/>
        </w:rPr>
        <w:t xml:space="preserve"> the</w:t>
      </w:r>
      <w:r w:rsidR="00F0306F" w:rsidRPr="00476DF1">
        <w:rPr>
          <w:rFonts w:ascii="Times New Roman" w:hAnsi="Times New Roman"/>
          <w:sz w:val="24"/>
          <w:szCs w:val="24"/>
        </w:rPr>
        <w:t xml:space="preserve"> employees working on</w:t>
      </w:r>
      <w:r w:rsidR="00DA1E21" w:rsidRPr="00476DF1">
        <w:rPr>
          <w:rFonts w:ascii="Times New Roman" w:hAnsi="Times New Roman"/>
          <w:sz w:val="24"/>
          <w:szCs w:val="24"/>
        </w:rPr>
        <w:t xml:space="preserve"> R&amp;D. By uniting these two elem</w:t>
      </w:r>
      <w:r w:rsidR="000016CA" w:rsidRPr="00476DF1">
        <w:rPr>
          <w:rFonts w:ascii="Times New Roman" w:hAnsi="Times New Roman"/>
          <w:sz w:val="24"/>
          <w:szCs w:val="24"/>
        </w:rPr>
        <w:t>ents</w:t>
      </w:r>
      <w:r w:rsidR="00F0306F" w:rsidRPr="00476DF1">
        <w:rPr>
          <w:rFonts w:ascii="Times New Roman" w:hAnsi="Times New Roman"/>
          <w:sz w:val="24"/>
          <w:szCs w:val="24"/>
        </w:rPr>
        <w:t>, we can then define this as the</w:t>
      </w:r>
      <w:r w:rsidR="00DA1E21" w:rsidRPr="00476DF1">
        <w:rPr>
          <w:rFonts w:ascii="Times New Roman" w:hAnsi="Times New Roman"/>
          <w:sz w:val="24"/>
          <w:szCs w:val="24"/>
        </w:rPr>
        <w:t xml:space="preserve"> overall contribution</w:t>
      </w:r>
      <w:r w:rsidR="000016CA" w:rsidRPr="00476DF1">
        <w:rPr>
          <w:rFonts w:ascii="Times New Roman" w:hAnsi="Times New Roman"/>
          <w:sz w:val="24"/>
          <w:szCs w:val="24"/>
        </w:rPr>
        <w:t>.</w:t>
      </w:r>
    </w:p>
    <w:p w14:paraId="74C7EC5C" w14:textId="394CC834" w:rsidR="007C3841" w:rsidRPr="00476DF1" w:rsidRDefault="00DA1E21"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Therefore</w:t>
      </w:r>
      <w:r w:rsidR="000016CA" w:rsidRPr="00476DF1">
        <w:rPr>
          <w:rFonts w:ascii="Times New Roman" w:hAnsi="Times New Roman"/>
          <w:sz w:val="24"/>
          <w:szCs w:val="24"/>
        </w:rPr>
        <w:t>,</w:t>
      </w:r>
      <w:r w:rsidRPr="00476DF1">
        <w:rPr>
          <w:rFonts w:ascii="Times New Roman" w:hAnsi="Times New Roman"/>
          <w:sz w:val="24"/>
          <w:szCs w:val="24"/>
        </w:rPr>
        <w:t xml:space="preserve"> </w:t>
      </w:r>
      <w:r w:rsidR="00F0306F" w:rsidRPr="00476DF1">
        <w:rPr>
          <w:rFonts w:ascii="Times New Roman" w:hAnsi="Times New Roman"/>
          <w:sz w:val="24"/>
          <w:szCs w:val="24"/>
        </w:rPr>
        <w:t xml:space="preserve">we can trace </w:t>
      </w:r>
      <w:r w:rsidRPr="00476DF1">
        <w:rPr>
          <w:rFonts w:ascii="Times New Roman" w:hAnsi="Times New Roman"/>
          <w:sz w:val="24"/>
          <w:szCs w:val="24"/>
        </w:rPr>
        <w:t>t</w:t>
      </w:r>
      <w:r w:rsidR="00641A1D" w:rsidRPr="00476DF1">
        <w:rPr>
          <w:rFonts w:ascii="Times New Roman" w:hAnsi="Times New Roman"/>
          <w:sz w:val="24"/>
          <w:szCs w:val="24"/>
        </w:rPr>
        <w:t xml:space="preserve">he elements </w:t>
      </w:r>
      <w:r w:rsidR="00F0306F" w:rsidRPr="00476DF1">
        <w:rPr>
          <w:rFonts w:ascii="Times New Roman" w:hAnsi="Times New Roman"/>
          <w:sz w:val="24"/>
          <w:szCs w:val="24"/>
        </w:rPr>
        <w:t xml:space="preserve">that </w:t>
      </w:r>
      <w:r w:rsidR="00726537" w:rsidRPr="00476DF1">
        <w:rPr>
          <w:rFonts w:ascii="Times New Roman" w:hAnsi="Times New Roman"/>
          <w:sz w:val="24"/>
          <w:szCs w:val="24"/>
        </w:rPr>
        <w:t>Big Pharma</w:t>
      </w:r>
      <w:r w:rsidRPr="00476DF1">
        <w:rPr>
          <w:rFonts w:ascii="Times New Roman" w:hAnsi="Times New Roman"/>
          <w:sz w:val="24"/>
          <w:szCs w:val="24"/>
        </w:rPr>
        <w:t xml:space="preserve"> </w:t>
      </w:r>
      <w:r w:rsidR="00F0306F" w:rsidRPr="00476DF1">
        <w:rPr>
          <w:rFonts w:ascii="Times New Roman" w:hAnsi="Times New Roman"/>
          <w:sz w:val="24"/>
          <w:szCs w:val="24"/>
        </w:rPr>
        <w:t xml:space="preserve">firms incorporate from </w:t>
      </w:r>
      <w:r w:rsidRPr="00476DF1">
        <w:rPr>
          <w:rFonts w:ascii="Times New Roman" w:hAnsi="Times New Roman"/>
          <w:sz w:val="24"/>
          <w:szCs w:val="24"/>
        </w:rPr>
        <w:t xml:space="preserve">small firms </w:t>
      </w:r>
      <w:r w:rsidR="00F0306F" w:rsidRPr="00476DF1">
        <w:rPr>
          <w:rFonts w:ascii="Times New Roman" w:hAnsi="Times New Roman"/>
          <w:sz w:val="24"/>
          <w:szCs w:val="24"/>
        </w:rPr>
        <w:t>by analyzing</w:t>
      </w:r>
      <w:r w:rsidRPr="00476DF1">
        <w:rPr>
          <w:rFonts w:ascii="Times New Roman" w:hAnsi="Times New Roman"/>
          <w:sz w:val="24"/>
          <w:szCs w:val="24"/>
        </w:rPr>
        <w:t xml:space="preserve"> technical </w:t>
      </w:r>
      <w:r w:rsidR="00F0306F" w:rsidRPr="00476DF1">
        <w:rPr>
          <w:rFonts w:ascii="Times New Roman" w:hAnsi="Times New Roman"/>
          <w:sz w:val="24"/>
          <w:szCs w:val="24"/>
        </w:rPr>
        <w:t xml:space="preserve">knowledge </w:t>
      </w:r>
      <w:r w:rsidRPr="00476DF1">
        <w:rPr>
          <w:rFonts w:ascii="Times New Roman" w:hAnsi="Times New Roman"/>
          <w:sz w:val="24"/>
          <w:szCs w:val="24"/>
        </w:rPr>
        <w:t>and sk</w:t>
      </w:r>
      <w:r w:rsidR="000016CA" w:rsidRPr="00476DF1">
        <w:rPr>
          <w:rFonts w:ascii="Times New Roman" w:hAnsi="Times New Roman"/>
          <w:sz w:val="24"/>
          <w:szCs w:val="24"/>
        </w:rPr>
        <w:t>ill</w:t>
      </w:r>
      <w:r w:rsidR="00F0306F" w:rsidRPr="00476DF1">
        <w:rPr>
          <w:rFonts w:ascii="Times New Roman" w:hAnsi="Times New Roman"/>
          <w:sz w:val="24"/>
          <w:szCs w:val="24"/>
        </w:rPr>
        <w:t>s</w:t>
      </w:r>
      <w:r w:rsidRPr="00476DF1">
        <w:rPr>
          <w:rFonts w:ascii="Times New Roman" w:hAnsi="Times New Roman"/>
          <w:sz w:val="24"/>
          <w:szCs w:val="24"/>
        </w:rPr>
        <w:t xml:space="preserve">. The technical contribution </w:t>
      </w:r>
      <w:r w:rsidR="00B71F35" w:rsidRPr="00476DF1">
        <w:rPr>
          <w:rFonts w:ascii="Times New Roman" w:hAnsi="Times New Roman"/>
          <w:sz w:val="24"/>
          <w:szCs w:val="24"/>
        </w:rPr>
        <w:t xml:space="preserve">analysis </w:t>
      </w:r>
      <w:r w:rsidR="003009EF" w:rsidRPr="00476DF1">
        <w:rPr>
          <w:rFonts w:ascii="Times New Roman" w:hAnsi="Times New Roman"/>
          <w:sz w:val="24"/>
          <w:szCs w:val="24"/>
        </w:rPr>
        <w:t>examines the</w:t>
      </w:r>
      <w:r w:rsidRPr="00476DF1">
        <w:rPr>
          <w:rFonts w:ascii="Times New Roman" w:hAnsi="Times New Roman"/>
          <w:sz w:val="24"/>
          <w:szCs w:val="24"/>
        </w:rPr>
        <w:t xml:space="preserve"> pa</w:t>
      </w:r>
      <w:r w:rsidR="000016CA" w:rsidRPr="00476DF1">
        <w:rPr>
          <w:rFonts w:ascii="Times New Roman" w:hAnsi="Times New Roman"/>
          <w:sz w:val="24"/>
          <w:szCs w:val="24"/>
        </w:rPr>
        <w:t>t</w:t>
      </w:r>
      <w:r w:rsidRPr="00476DF1">
        <w:rPr>
          <w:rFonts w:ascii="Times New Roman" w:hAnsi="Times New Roman"/>
          <w:sz w:val="24"/>
          <w:szCs w:val="24"/>
        </w:rPr>
        <w:t>ents used as refere</w:t>
      </w:r>
      <w:r w:rsidR="000016CA" w:rsidRPr="00476DF1">
        <w:rPr>
          <w:rFonts w:ascii="Times New Roman" w:hAnsi="Times New Roman"/>
          <w:sz w:val="24"/>
          <w:szCs w:val="24"/>
        </w:rPr>
        <w:t>n</w:t>
      </w:r>
      <w:r w:rsidRPr="00476DF1">
        <w:rPr>
          <w:rFonts w:ascii="Times New Roman" w:hAnsi="Times New Roman"/>
          <w:sz w:val="24"/>
          <w:szCs w:val="24"/>
        </w:rPr>
        <w:t>ce by the large ente</w:t>
      </w:r>
      <w:r w:rsidR="000016CA" w:rsidRPr="00476DF1">
        <w:rPr>
          <w:rFonts w:ascii="Times New Roman" w:hAnsi="Times New Roman"/>
          <w:sz w:val="24"/>
          <w:szCs w:val="24"/>
        </w:rPr>
        <w:t>r</w:t>
      </w:r>
      <w:r w:rsidRPr="00476DF1">
        <w:rPr>
          <w:rFonts w:ascii="Times New Roman" w:hAnsi="Times New Roman"/>
          <w:sz w:val="24"/>
          <w:szCs w:val="24"/>
        </w:rPr>
        <w:t>prise</w:t>
      </w:r>
      <w:r w:rsidR="000016CA" w:rsidRPr="00476DF1">
        <w:rPr>
          <w:rFonts w:ascii="Times New Roman" w:hAnsi="Times New Roman"/>
          <w:sz w:val="24"/>
          <w:szCs w:val="24"/>
        </w:rPr>
        <w:t>s</w:t>
      </w:r>
      <w:r w:rsidRPr="00476DF1">
        <w:rPr>
          <w:rFonts w:ascii="Times New Roman" w:hAnsi="Times New Roman"/>
          <w:sz w:val="24"/>
          <w:szCs w:val="24"/>
        </w:rPr>
        <w:t xml:space="preserve"> and how the </w:t>
      </w:r>
      <w:r w:rsidR="007C3841" w:rsidRPr="00476DF1">
        <w:rPr>
          <w:rFonts w:ascii="Times New Roman" w:hAnsi="Times New Roman"/>
          <w:sz w:val="24"/>
          <w:szCs w:val="24"/>
        </w:rPr>
        <w:t xml:space="preserve">large enterprise’ knowledge set </w:t>
      </w:r>
      <w:r w:rsidR="00641A1D" w:rsidRPr="00476DF1">
        <w:rPr>
          <w:rFonts w:ascii="Times New Roman" w:hAnsi="Times New Roman"/>
          <w:sz w:val="24"/>
          <w:szCs w:val="24"/>
        </w:rPr>
        <w:t>bec</w:t>
      </w:r>
      <w:r w:rsidR="003009EF" w:rsidRPr="00476DF1">
        <w:rPr>
          <w:rFonts w:ascii="Times New Roman" w:hAnsi="Times New Roman"/>
          <w:sz w:val="24"/>
          <w:szCs w:val="24"/>
        </w:rPr>
        <w:t>a</w:t>
      </w:r>
      <w:r w:rsidR="00641A1D" w:rsidRPr="00476DF1">
        <w:rPr>
          <w:rFonts w:ascii="Times New Roman" w:hAnsi="Times New Roman"/>
          <w:sz w:val="24"/>
          <w:szCs w:val="24"/>
        </w:rPr>
        <w:t>me</w:t>
      </w:r>
      <w:r w:rsidR="007C3841" w:rsidRPr="00476DF1">
        <w:rPr>
          <w:rFonts w:ascii="Times New Roman" w:hAnsi="Times New Roman"/>
          <w:sz w:val="24"/>
          <w:szCs w:val="24"/>
        </w:rPr>
        <w:t xml:space="preserve"> more similar to </w:t>
      </w:r>
      <w:r w:rsidR="003009EF" w:rsidRPr="00476DF1">
        <w:rPr>
          <w:rFonts w:ascii="Times New Roman" w:hAnsi="Times New Roman"/>
          <w:sz w:val="24"/>
          <w:szCs w:val="24"/>
        </w:rPr>
        <w:t>that of the</w:t>
      </w:r>
      <w:r w:rsidR="000016CA" w:rsidRPr="00476DF1">
        <w:rPr>
          <w:rFonts w:ascii="Times New Roman" w:hAnsi="Times New Roman"/>
          <w:sz w:val="24"/>
          <w:szCs w:val="24"/>
        </w:rPr>
        <w:t xml:space="preserve"> </w:t>
      </w:r>
      <w:r w:rsidR="007C3841" w:rsidRPr="00476DF1">
        <w:rPr>
          <w:rFonts w:ascii="Times New Roman" w:hAnsi="Times New Roman"/>
          <w:sz w:val="24"/>
          <w:szCs w:val="24"/>
        </w:rPr>
        <w:t xml:space="preserve">small enterprise. </w:t>
      </w:r>
      <w:r w:rsidR="003009EF" w:rsidRPr="00476DF1">
        <w:rPr>
          <w:rFonts w:ascii="Times New Roman" w:hAnsi="Times New Roman"/>
          <w:sz w:val="24"/>
          <w:szCs w:val="24"/>
        </w:rPr>
        <w:t>We do this by</w:t>
      </w:r>
      <w:r w:rsidR="00641A1D" w:rsidRPr="00476DF1">
        <w:rPr>
          <w:rFonts w:ascii="Times New Roman" w:hAnsi="Times New Roman"/>
          <w:sz w:val="24"/>
          <w:szCs w:val="24"/>
        </w:rPr>
        <w:t xml:space="preserve"> </w:t>
      </w:r>
      <w:r w:rsidR="007C3841" w:rsidRPr="00476DF1">
        <w:rPr>
          <w:rFonts w:ascii="Times New Roman" w:hAnsi="Times New Roman"/>
          <w:sz w:val="24"/>
          <w:szCs w:val="24"/>
        </w:rPr>
        <w:t>c</w:t>
      </w:r>
      <w:r w:rsidR="000016CA" w:rsidRPr="00476DF1">
        <w:rPr>
          <w:rFonts w:ascii="Times New Roman" w:hAnsi="Times New Roman"/>
          <w:sz w:val="24"/>
          <w:szCs w:val="24"/>
        </w:rPr>
        <w:t>o</w:t>
      </w:r>
      <w:r w:rsidR="007C3841" w:rsidRPr="00476DF1">
        <w:rPr>
          <w:rFonts w:ascii="Times New Roman" w:hAnsi="Times New Roman"/>
          <w:sz w:val="24"/>
          <w:szCs w:val="24"/>
        </w:rPr>
        <w:t>mp</w:t>
      </w:r>
      <w:r w:rsidR="000016CA" w:rsidRPr="00476DF1">
        <w:rPr>
          <w:rFonts w:ascii="Times New Roman" w:hAnsi="Times New Roman"/>
          <w:sz w:val="24"/>
          <w:szCs w:val="24"/>
        </w:rPr>
        <w:t>iling</w:t>
      </w:r>
      <w:r w:rsidR="007C3841" w:rsidRPr="00476DF1">
        <w:rPr>
          <w:rFonts w:ascii="Times New Roman" w:hAnsi="Times New Roman"/>
          <w:sz w:val="24"/>
          <w:szCs w:val="24"/>
        </w:rPr>
        <w:t xml:space="preserve"> when the large ent</w:t>
      </w:r>
      <w:r w:rsidR="000016CA" w:rsidRPr="00476DF1">
        <w:rPr>
          <w:rFonts w:ascii="Times New Roman" w:hAnsi="Times New Roman"/>
          <w:sz w:val="24"/>
          <w:szCs w:val="24"/>
        </w:rPr>
        <w:t>erprise</w:t>
      </w:r>
      <w:r w:rsidR="007C3841" w:rsidRPr="00476DF1">
        <w:rPr>
          <w:rFonts w:ascii="Times New Roman" w:hAnsi="Times New Roman"/>
          <w:sz w:val="24"/>
          <w:szCs w:val="24"/>
        </w:rPr>
        <w:t xml:space="preserve"> started to file patents </w:t>
      </w:r>
      <w:r w:rsidR="003009EF" w:rsidRPr="00476DF1">
        <w:rPr>
          <w:rFonts w:ascii="Times New Roman" w:hAnsi="Times New Roman"/>
          <w:sz w:val="24"/>
          <w:szCs w:val="24"/>
        </w:rPr>
        <w:t xml:space="preserve">in </w:t>
      </w:r>
      <w:r w:rsidR="007C3841" w:rsidRPr="00476DF1">
        <w:rPr>
          <w:rFonts w:ascii="Times New Roman" w:hAnsi="Times New Roman"/>
          <w:sz w:val="24"/>
          <w:szCs w:val="24"/>
        </w:rPr>
        <w:t>the same patent classes dominated by the small enterprises. As a conclusion</w:t>
      </w:r>
      <w:r w:rsidR="00641A1D" w:rsidRPr="00476DF1">
        <w:rPr>
          <w:rFonts w:ascii="Times New Roman" w:hAnsi="Times New Roman"/>
          <w:sz w:val="24"/>
          <w:szCs w:val="24"/>
        </w:rPr>
        <w:t>,</w:t>
      </w:r>
      <w:r w:rsidR="007C3841" w:rsidRPr="00476DF1">
        <w:rPr>
          <w:rFonts w:ascii="Times New Roman" w:hAnsi="Times New Roman"/>
          <w:sz w:val="24"/>
          <w:szCs w:val="24"/>
        </w:rPr>
        <w:t xml:space="preserve"> </w:t>
      </w:r>
      <w:r w:rsidR="003009EF" w:rsidRPr="00476DF1">
        <w:rPr>
          <w:rFonts w:ascii="Times New Roman" w:hAnsi="Times New Roman"/>
          <w:sz w:val="24"/>
          <w:szCs w:val="24"/>
        </w:rPr>
        <w:t>we</w:t>
      </w:r>
      <w:r w:rsidR="007C3841" w:rsidRPr="00476DF1">
        <w:rPr>
          <w:rFonts w:ascii="Times New Roman" w:hAnsi="Times New Roman"/>
          <w:sz w:val="24"/>
          <w:szCs w:val="24"/>
        </w:rPr>
        <w:t xml:space="preserve"> observed that the </w:t>
      </w:r>
      <w:r w:rsidR="003009EF" w:rsidRPr="00476DF1">
        <w:rPr>
          <w:rFonts w:ascii="Times New Roman" w:hAnsi="Times New Roman"/>
          <w:sz w:val="24"/>
          <w:szCs w:val="24"/>
        </w:rPr>
        <w:t xml:space="preserve">large firms did not use the </w:t>
      </w:r>
      <w:r w:rsidR="007C3841" w:rsidRPr="00476DF1">
        <w:rPr>
          <w:rFonts w:ascii="Times New Roman" w:hAnsi="Times New Roman"/>
          <w:sz w:val="24"/>
          <w:szCs w:val="24"/>
        </w:rPr>
        <w:t>technical contribution to crea</w:t>
      </w:r>
      <w:r w:rsidR="000016CA" w:rsidRPr="00476DF1">
        <w:rPr>
          <w:rFonts w:ascii="Times New Roman" w:hAnsi="Times New Roman"/>
          <w:sz w:val="24"/>
          <w:szCs w:val="24"/>
        </w:rPr>
        <w:t>t</w:t>
      </w:r>
      <w:r w:rsidR="007C3841" w:rsidRPr="00476DF1">
        <w:rPr>
          <w:rFonts w:ascii="Times New Roman" w:hAnsi="Times New Roman"/>
          <w:sz w:val="24"/>
          <w:szCs w:val="24"/>
        </w:rPr>
        <w:t xml:space="preserve">e new competences, but </w:t>
      </w:r>
      <w:r w:rsidR="003009EF" w:rsidRPr="00476DF1">
        <w:rPr>
          <w:rFonts w:ascii="Times New Roman" w:hAnsi="Times New Roman"/>
          <w:sz w:val="24"/>
          <w:szCs w:val="24"/>
        </w:rPr>
        <w:t>rather to improve existing</w:t>
      </w:r>
      <w:r w:rsidR="007C3841" w:rsidRPr="00476DF1">
        <w:rPr>
          <w:rFonts w:ascii="Times New Roman" w:hAnsi="Times New Roman"/>
          <w:sz w:val="24"/>
          <w:szCs w:val="24"/>
        </w:rPr>
        <w:t xml:space="preserve"> competences.</w:t>
      </w:r>
    </w:p>
    <w:p w14:paraId="0EC4BC03" w14:textId="596A558A" w:rsidR="00403C0F" w:rsidRPr="00476DF1" w:rsidRDefault="003009EF"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We analyzed t</w:t>
      </w:r>
      <w:r w:rsidR="007C3841" w:rsidRPr="00476DF1">
        <w:rPr>
          <w:rFonts w:ascii="Times New Roman" w:hAnsi="Times New Roman"/>
          <w:sz w:val="24"/>
          <w:szCs w:val="24"/>
        </w:rPr>
        <w:t>he skill</w:t>
      </w:r>
      <w:r w:rsidRPr="00476DF1">
        <w:rPr>
          <w:rFonts w:ascii="Times New Roman" w:hAnsi="Times New Roman"/>
          <w:sz w:val="24"/>
          <w:szCs w:val="24"/>
        </w:rPr>
        <w:t>s</w:t>
      </w:r>
      <w:r w:rsidR="007C3841" w:rsidRPr="00476DF1">
        <w:rPr>
          <w:rFonts w:ascii="Times New Roman" w:hAnsi="Times New Roman"/>
          <w:sz w:val="24"/>
          <w:szCs w:val="24"/>
        </w:rPr>
        <w:t xml:space="preserve"> </w:t>
      </w:r>
      <w:r w:rsidR="000016CA" w:rsidRPr="00476DF1">
        <w:rPr>
          <w:rFonts w:ascii="Times New Roman" w:hAnsi="Times New Roman"/>
          <w:sz w:val="24"/>
          <w:szCs w:val="24"/>
        </w:rPr>
        <w:t xml:space="preserve">contribution </w:t>
      </w:r>
      <w:r w:rsidR="007C3841" w:rsidRPr="00476DF1">
        <w:rPr>
          <w:rFonts w:ascii="Times New Roman" w:hAnsi="Times New Roman"/>
          <w:sz w:val="24"/>
          <w:szCs w:val="24"/>
        </w:rPr>
        <w:t xml:space="preserve">by </w:t>
      </w:r>
      <w:r w:rsidR="000016CA" w:rsidRPr="00476DF1">
        <w:rPr>
          <w:rFonts w:ascii="Times New Roman" w:hAnsi="Times New Roman"/>
          <w:sz w:val="24"/>
          <w:szCs w:val="24"/>
        </w:rPr>
        <w:t>o</w:t>
      </w:r>
      <w:r w:rsidR="007C3841" w:rsidRPr="00476DF1">
        <w:rPr>
          <w:rFonts w:ascii="Times New Roman" w:hAnsi="Times New Roman"/>
          <w:sz w:val="24"/>
          <w:szCs w:val="24"/>
        </w:rPr>
        <w:t>bse</w:t>
      </w:r>
      <w:r w:rsidR="000016CA" w:rsidRPr="00476DF1">
        <w:rPr>
          <w:rFonts w:ascii="Times New Roman" w:hAnsi="Times New Roman"/>
          <w:sz w:val="24"/>
          <w:szCs w:val="24"/>
        </w:rPr>
        <w:t xml:space="preserve">rving </w:t>
      </w:r>
      <w:r w:rsidRPr="00476DF1">
        <w:rPr>
          <w:rFonts w:ascii="Times New Roman" w:hAnsi="Times New Roman"/>
          <w:sz w:val="24"/>
          <w:szCs w:val="24"/>
        </w:rPr>
        <w:t xml:space="preserve">whether </w:t>
      </w:r>
      <w:r w:rsidR="007C3841" w:rsidRPr="00476DF1">
        <w:rPr>
          <w:rFonts w:ascii="Times New Roman" w:hAnsi="Times New Roman"/>
          <w:sz w:val="24"/>
          <w:szCs w:val="24"/>
        </w:rPr>
        <w:t xml:space="preserve">the </w:t>
      </w:r>
      <w:r w:rsidR="000016CA" w:rsidRPr="00476DF1">
        <w:rPr>
          <w:rFonts w:ascii="Times New Roman" w:hAnsi="Times New Roman"/>
          <w:sz w:val="24"/>
          <w:szCs w:val="24"/>
        </w:rPr>
        <w:t xml:space="preserve">small enterprises’ </w:t>
      </w:r>
      <w:r w:rsidR="007C3841" w:rsidRPr="00476DF1">
        <w:rPr>
          <w:rFonts w:ascii="Times New Roman" w:hAnsi="Times New Roman"/>
          <w:sz w:val="24"/>
          <w:szCs w:val="24"/>
        </w:rPr>
        <w:t>inventors start</w:t>
      </w:r>
      <w:r w:rsidR="000016CA" w:rsidRPr="00476DF1">
        <w:rPr>
          <w:rFonts w:ascii="Times New Roman" w:hAnsi="Times New Roman"/>
          <w:sz w:val="24"/>
          <w:szCs w:val="24"/>
        </w:rPr>
        <w:t>ed</w:t>
      </w:r>
      <w:r w:rsidR="007C3841" w:rsidRPr="00476DF1">
        <w:rPr>
          <w:rFonts w:ascii="Times New Roman" w:hAnsi="Times New Roman"/>
          <w:sz w:val="24"/>
          <w:szCs w:val="24"/>
        </w:rPr>
        <w:t xml:space="preserve"> to file patent</w:t>
      </w:r>
      <w:r w:rsidRPr="00476DF1">
        <w:rPr>
          <w:rFonts w:ascii="Times New Roman" w:hAnsi="Times New Roman"/>
          <w:sz w:val="24"/>
          <w:szCs w:val="24"/>
        </w:rPr>
        <w:t>s</w:t>
      </w:r>
      <w:r w:rsidR="007C3841" w:rsidRPr="00476DF1">
        <w:rPr>
          <w:rFonts w:ascii="Times New Roman" w:hAnsi="Times New Roman"/>
          <w:sz w:val="24"/>
          <w:szCs w:val="24"/>
        </w:rPr>
        <w:t xml:space="preserve"> fo</w:t>
      </w:r>
      <w:r w:rsidR="000016CA" w:rsidRPr="00476DF1">
        <w:rPr>
          <w:rFonts w:ascii="Times New Roman" w:hAnsi="Times New Roman"/>
          <w:sz w:val="24"/>
          <w:szCs w:val="24"/>
        </w:rPr>
        <w:t>r</w:t>
      </w:r>
      <w:r w:rsidR="007C3841" w:rsidRPr="00476DF1">
        <w:rPr>
          <w:rFonts w:ascii="Times New Roman" w:hAnsi="Times New Roman"/>
          <w:sz w:val="24"/>
          <w:szCs w:val="24"/>
        </w:rPr>
        <w:t xml:space="preserve"> the large acquir</w:t>
      </w:r>
      <w:r w:rsidR="000016CA" w:rsidRPr="00476DF1">
        <w:rPr>
          <w:rFonts w:ascii="Times New Roman" w:hAnsi="Times New Roman"/>
          <w:sz w:val="24"/>
          <w:szCs w:val="24"/>
        </w:rPr>
        <w:t xml:space="preserve">ing </w:t>
      </w:r>
      <w:r w:rsidR="007C3841" w:rsidRPr="00476DF1">
        <w:rPr>
          <w:rFonts w:ascii="Times New Roman" w:hAnsi="Times New Roman"/>
          <w:sz w:val="24"/>
          <w:szCs w:val="24"/>
        </w:rPr>
        <w:t>ent</w:t>
      </w:r>
      <w:r w:rsidR="000016CA" w:rsidRPr="00476DF1">
        <w:rPr>
          <w:rFonts w:ascii="Times New Roman" w:hAnsi="Times New Roman"/>
          <w:sz w:val="24"/>
          <w:szCs w:val="24"/>
        </w:rPr>
        <w:t>erprise</w:t>
      </w:r>
      <w:r w:rsidR="007C3841" w:rsidRPr="00476DF1">
        <w:rPr>
          <w:rFonts w:ascii="Times New Roman" w:hAnsi="Times New Roman"/>
          <w:sz w:val="24"/>
          <w:szCs w:val="24"/>
        </w:rPr>
        <w:t xml:space="preserve">. </w:t>
      </w:r>
      <w:r w:rsidRPr="00476DF1">
        <w:rPr>
          <w:rFonts w:ascii="Times New Roman" w:hAnsi="Times New Roman"/>
          <w:sz w:val="24"/>
          <w:szCs w:val="24"/>
        </w:rPr>
        <w:t>We find that</w:t>
      </w:r>
      <w:r w:rsidR="007C3841" w:rsidRPr="00476DF1">
        <w:rPr>
          <w:rFonts w:ascii="Times New Roman" w:hAnsi="Times New Roman"/>
          <w:sz w:val="24"/>
          <w:szCs w:val="24"/>
        </w:rPr>
        <w:t xml:space="preserve"> skills are used much more extensively than techniques,</w:t>
      </w:r>
      <w:r w:rsidRPr="00476DF1">
        <w:rPr>
          <w:rFonts w:ascii="Times New Roman" w:hAnsi="Times New Roman"/>
          <w:sz w:val="24"/>
          <w:szCs w:val="24"/>
        </w:rPr>
        <w:t xml:space="preserve"> as it is</w:t>
      </w:r>
      <w:r w:rsidR="007C3841" w:rsidRPr="00476DF1">
        <w:rPr>
          <w:rFonts w:ascii="Times New Roman" w:hAnsi="Times New Roman"/>
          <w:sz w:val="24"/>
          <w:szCs w:val="24"/>
        </w:rPr>
        <w:t xml:space="preserve"> </w:t>
      </w:r>
      <w:r w:rsidRPr="00476DF1">
        <w:rPr>
          <w:rFonts w:ascii="Times New Roman" w:hAnsi="Times New Roman"/>
          <w:sz w:val="24"/>
          <w:szCs w:val="24"/>
        </w:rPr>
        <w:t xml:space="preserve">the </w:t>
      </w:r>
      <w:r w:rsidR="007C3841" w:rsidRPr="00476DF1">
        <w:rPr>
          <w:rFonts w:ascii="Times New Roman" w:hAnsi="Times New Roman"/>
          <w:sz w:val="24"/>
          <w:szCs w:val="24"/>
        </w:rPr>
        <w:t xml:space="preserve">more </w:t>
      </w:r>
      <w:r w:rsidR="000016CA" w:rsidRPr="00476DF1">
        <w:rPr>
          <w:rFonts w:ascii="Times New Roman" w:hAnsi="Times New Roman"/>
          <w:sz w:val="24"/>
          <w:szCs w:val="24"/>
        </w:rPr>
        <w:t xml:space="preserve">prominent </w:t>
      </w:r>
      <w:r w:rsidR="007C3841" w:rsidRPr="00476DF1">
        <w:rPr>
          <w:rFonts w:ascii="Times New Roman" w:hAnsi="Times New Roman"/>
          <w:sz w:val="24"/>
          <w:szCs w:val="24"/>
        </w:rPr>
        <w:t>element incorporated.</w:t>
      </w:r>
    </w:p>
    <w:p w14:paraId="34C37212" w14:textId="128514AA" w:rsidR="00883F4E" w:rsidRPr="00476DF1" w:rsidRDefault="00403C0F"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When we compared </w:t>
      </w:r>
      <w:r w:rsidR="003009EF" w:rsidRPr="00476DF1">
        <w:rPr>
          <w:rFonts w:ascii="Times New Roman" w:hAnsi="Times New Roman"/>
          <w:sz w:val="24"/>
          <w:szCs w:val="24"/>
        </w:rPr>
        <w:t xml:space="preserve">the </w:t>
      </w:r>
      <w:r w:rsidRPr="00476DF1">
        <w:rPr>
          <w:rFonts w:ascii="Times New Roman" w:hAnsi="Times New Roman"/>
          <w:sz w:val="24"/>
          <w:szCs w:val="24"/>
        </w:rPr>
        <w:t>variables created to measures of potential</w:t>
      </w:r>
      <w:r w:rsidR="003009EF" w:rsidRPr="00476DF1">
        <w:rPr>
          <w:rFonts w:ascii="Times New Roman" w:hAnsi="Times New Roman"/>
          <w:sz w:val="24"/>
          <w:szCs w:val="24"/>
        </w:rPr>
        <w:t xml:space="preserve"> in terms of whether we could</w:t>
      </w:r>
      <w:r w:rsidRPr="00476DF1">
        <w:rPr>
          <w:rFonts w:ascii="Times New Roman" w:hAnsi="Times New Roman"/>
          <w:sz w:val="24"/>
          <w:szCs w:val="24"/>
        </w:rPr>
        <w:t xml:space="preserve"> identify a high potential contribution for these enterprises in the future</w:t>
      </w:r>
      <w:r w:rsidR="003009EF" w:rsidRPr="00476DF1">
        <w:rPr>
          <w:rFonts w:ascii="Times New Roman" w:hAnsi="Times New Roman"/>
          <w:sz w:val="24"/>
          <w:szCs w:val="24"/>
        </w:rPr>
        <w:t>.</w:t>
      </w:r>
      <w:r w:rsidR="007C3841" w:rsidRPr="00476DF1">
        <w:rPr>
          <w:rFonts w:ascii="Times New Roman" w:hAnsi="Times New Roman"/>
          <w:sz w:val="24"/>
          <w:szCs w:val="24"/>
        </w:rPr>
        <w:t xml:space="preserve"> </w:t>
      </w:r>
    </w:p>
    <w:p w14:paraId="23FFC110" w14:textId="41E3BACD" w:rsidR="00A12FE4" w:rsidRPr="00476DF1" w:rsidRDefault="00A12FE4"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Surprisingly, in this study based on patent data and, of course, a technical kind of information, the variables related to skills, a not technical element, are the ones that stands outs. This is another element that points to relevancy of skills in enterprises promising contribution. </w:t>
      </w:r>
    </w:p>
    <w:p w14:paraId="3FEDCDE6" w14:textId="0E01F91A" w:rsidR="004B3F32" w:rsidRPr="00476DF1" w:rsidRDefault="00351C0F"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This study has some limitations. </w:t>
      </w:r>
      <w:r w:rsidR="003009EF" w:rsidRPr="00476DF1">
        <w:rPr>
          <w:rFonts w:ascii="Times New Roman" w:hAnsi="Times New Roman"/>
          <w:sz w:val="24"/>
          <w:szCs w:val="24"/>
        </w:rPr>
        <w:t>The first is t</w:t>
      </w:r>
      <w:r w:rsidRPr="00476DF1">
        <w:rPr>
          <w:rFonts w:ascii="Times New Roman" w:hAnsi="Times New Roman"/>
          <w:sz w:val="24"/>
          <w:szCs w:val="24"/>
        </w:rPr>
        <w:t>he overdependence on patent information</w:t>
      </w:r>
      <w:r w:rsidR="003009EF" w:rsidRPr="00476DF1">
        <w:rPr>
          <w:rFonts w:ascii="Times New Roman" w:hAnsi="Times New Roman"/>
          <w:sz w:val="24"/>
          <w:szCs w:val="24"/>
        </w:rPr>
        <w:t>, along with its related issues, including the debates on</w:t>
      </w:r>
      <w:r w:rsidR="00403C0F" w:rsidRPr="00476DF1">
        <w:rPr>
          <w:rFonts w:ascii="Times New Roman" w:hAnsi="Times New Roman"/>
          <w:sz w:val="24"/>
          <w:szCs w:val="24"/>
        </w:rPr>
        <w:t xml:space="preserve"> patent methodology problems. An interesting </w:t>
      </w:r>
      <w:r w:rsidR="003009EF" w:rsidRPr="00476DF1">
        <w:rPr>
          <w:rFonts w:ascii="Times New Roman" w:hAnsi="Times New Roman"/>
          <w:sz w:val="24"/>
          <w:szCs w:val="24"/>
        </w:rPr>
        <w:t>limitation is that we do not consider</w:t>
      </w:r>
      <w:r w:rsidR="00403C0F" w:rsidRPr="00476DF1">
        <w:rPr>
          <w:rFonts w:ascii="Times New Roman" w:hAnsi="Times New Roman"/>
          <w:sz w:val="24"/>
          <w:szCs w:val="24"/>
        </w:rPr>
        <w:t xml:space="preserve"> </w:t>
      </w:r>
      <w:r w:rsidR="00FE093D" w:rsidRPr="00476DF1">
        <w:rPr>
          <w:rFonts w:ascii="Times New Roman" w:hAnsi="Times New Roman"/>
          <w:sz w:val="24"/>
          <w:szCs w:val="24"/>
        </w:rPr>
        <w:t>any eff</w:t>
      </w:r>
      <w:r w:rsidRPr="00476DF1">
        <w:rPr>
          <w:rFonts w:ascii="Times New Roman" w:hAnsi="Times New Roman"/>
          <w:sz w:val="24"/>
          <w:szCs w:val="24"/>
        </w:rPr>
        <w:t>o</w:t>
      </w:r>
      <w:r w:rsidR="00FE093D" w:rsidRPr="00476DF1">
        <w:rPr>
          <w:rFonts w:ascii="Times New Roman" w:hAnsi="Times New Roman"/>
          <w:sz w:val="24"/>
          <w:szCs w:val="24"/>
        </w:rPr>
        <w:t>r</w:t>
      </w:r>
      <w:r w:rsidRPr="00476DF1">
        <w:rPr>
          <w:rFonts w:ascii="Times New Roman" w:hAnsi="Times New Roman"/>
          <w:sz w:val="24"/>
          <w:szCs w:val="24"/>
        </w:rPr>
        <w:t>t that does lead to patents</w:t>
      </w:r>
      <w:r w:rsidR="003009EF" w:rsidRPr="00476DF1">
        <w:rPr>
          <w:rFonts w:ascii="Times New Roman" w:hAnsi="Times New Roman"/>
          <w:sz w:val="24"/>
          <w:szCs w:val="24"/>
        </w:rPr>
        <w:t>. In addition, we excluded</w:t>
      </w:r>
      <w:r w:rsidR="00403C0F" w:rsidRPr="00476DF1">
        <w:rPr>
          <w:rFonts w:ascii="Times New Roman" w:hAnsi="Times New Roman"/>
          <w:sz w:val="24"/>
          <w:szCs w:val="24"/>
        </w:rPr>
        <w:t xml:space="preserve"> enterprises that have no patents at the USPTO</w:t>
      </w:r>
      <w:r w:rsidRPr="00476DF1">
        <w:rPr>
          <w:rFonts w:ascii="Times New Roman" w:hAnsi="Times New Roman"/>
          <w:sz w:val="24"/>
          <w:szCs w:val="24"/>
        </w:rPr>
        <w:t>.</w:t>
      </w:r>
      <w:r w:rsidR="00403C0F" w:rsidRPr="00476DF1">
        <w:rPr>
          <w:rFonts w:ascii="Times New Roman" w:hAnsi="Times New Roman"/>
          <w:sz w:val="24"/>
          <w:szCs w:val="24"/>
        </w:rPr>
        <w:t xml:space="preserve"> </w:t>
      </w:r>
      <w:r w:rsidR="003009EF" w:rsidRPr="00476DF1">
        <w:rPr>
          <w:rFonts w:ascii="Times New Roman" w:hAnsi="Times New Roman"/>
          <w:sz w:val="24"/>
          <w:szCs w:val="24"/>
        </w:rPr>
        <w:t>Further, collaborations play</w:t>
      </w:r>
      <w:r w:rsidRPr="00476DF1">
        <w:rPr>
          <w:rFonts w:ascii="Times New Roman" w:hAnsi="Times New Roman"/>
          <w:sz w:val="24"/>
          <w:szCs w:val="24"/>
        </w:rPr>
        <w:t xml:space="preserve"> an important role</w:t>
      </w:r>
      <w:r w:rsidR="003009EF" w:rsidRPr="00476DF1">
        <w:rPr>
          <w:rFonts w:ascii="Times New Roman" w:hAnsi="Times New Roman"/>
          <w:sz w:val="24"/>
          <w:szCs w:val="24"/>
        </w:rPr>
        <w:t>, which we also do not</w:t>
      </w:r>
      <w:r w:rsidRPr="00476DF1">
        <w:rPr>
          <w:rFonts w:ascii="Times New Roman" w:hAnsi="Times New Roman"/>
          <w:sz w:val="24"/>
          <w:szCs w:val="24"/>
        </w:rPr>
        <w:t xml:space="preserve"> consider.</w:t>
      </w:r>
      <w:r w:rsidR="009B6AF0" w:rsidRPr="00476DF1">
        <w:rPr>
          <w:rFonts w:ascii="Times New Roman" w:hAnsi="Times New Roman"/>
          <w:sz w:val="24"/>
          <w:szCs w:val="24"/>
        </w:rPr>
        <w:t xml:space="preserve"> The </w:t>
      </w:r>
      <w:r w:rsidR="00403C0F" w:rsidRPr="00476DF1">
        <w:rPr>
          <w:rFonts w:ascii="Times New Roman" w:hAnsi="Times New Roman"/>
          <w:sz w:val="24"/>
          <w:szCs w:val="24"/>
        </w:rPr>
        <w:t>inventor’s</w:t>
      </w:r>
      <w:r w:rsidR="004B3F32" w:rsidRPr="00476DF1">
        <w:rPr>
          <w:rFonts w:ascii="Times New Roman" w:hAnsi="Times New Roman"/>
          <w:sz w:val="24"/>
          <w:szCs w:val="24"/>
        </w:rPr>
        <w:t xml:space="preserve"> information is </w:t>
      </w:r>
      <w:r w:rsidR="00FE093D" w:rsidRPr="00476DF1">
        <w:rPr>
          <w:rFonts w:ascii="Times New Roman" w:hAnsi="Times New Roman"/>
          <w:sz w:val="24"/>
          <w:szCs w:val="24"/>
        </w:rPr>
        <w:t xml:space="preserve">also </w:t>
      </w:r>
      <w:r w:rsidR="004B3F32" w:rsidRPr="00476DF1">
        <w:rPr>
          <w:rFonts w:ascii="Times New Roman" w:hAnsi="Times New Roman"/>
          <w:sz w:val="24"/>
          <w:szCs w:val="24"/>
        </w:rPr>
        <w:t>to</w:t>
      </w:r>
      <w:r w:rsidR="00D47FFD" w:rsidRPr="00476DF1">
        <w:rPr>
          <w:rFonts w:ascii="Times New Roman" w:hAnsi="Times New Roman"/>
          <w:sz w:val="24"/>
          <w:szCs w:val="24"/>
        </w:rPr>
        <w:t>o</w:t>
      </w:r>
      <w:r w:rsidR="004B3F32" w:rsidRPr="00476DF1">
        <w:rPr>
          <w:rFonts w:ascii="Times New Roman" w:hAnsi="Times New Roman"/>
          <w:sz w:val="24"/>
          <w:szCs w:val="24"/>
        </w:rPr>
        <w:t xml:space="preserve"> restrict</w:t>
      </w:r>
      <w:r w:rsidR="00FE093D" w:rsidRPr="00476DF1">
        <w:rPr>
          <w:rFonts w:ascii="Times New Roman" w:hAnsi="Times New Roman"/>
          <w:sz w:val="24"/>
          <w:szCs w:val="24"/>
        </w:rPr>
        <w:t>ive when one looks at skills.</w:t>
      </w:r>
      <w:r w:rsidRPr="00476DF1">
        <w:rPr>
          <w:rFonts w:ascii="Times New Roman" w:hAnsi="Times New Roman"/>
          <w:sz w:val="24"/>
          <w:szCs w:val="24"/>
        </w:rPr>
        <w:t xml:space="preserve"> </w:t>
      </w:r>
    </w:p>
    <w:p w14:paraId="213F5963" w14:textId="2A9B07CC" w:rsidR="00351C0F" w:rsidRPr="00476DF1" w:rsidRDefault="000661F2" w:rsidP="00CE4BBE">
      <w:pPr>
        <w:spacing w:after="0" w:line="240" w:lineRule="auto"/>
        <w:ind w:firstLine="720"/>
        <w:jc w:val="both"/>
        <w:rPr>
          <w:rFonts w:ascii="Times New Roman" w:hAnsi="Times New Roman"/>
          <w:sz w:val="24"/>
          <w:szCs w:val="24"/>
        </w:rPr>
      </w:pPr>
      <w:r w:rsidRPr="00476DF1">
        <w:rPr>
          <w:rFonts w:ascii="Times New Roman" w:hAnsi="Times New Roman"/>
          <w:sz w:val="24"/>
          <w:szCs w:val="24"/>
        </w:rPr>
        <w:t xml:space="preserve">We can identify two paths </w:t>
      </w:r>
      <w:r w:rsidR="003009EF" w:rsidRPr="00476DF1">
        <w:rPr>
          <w:rFonts w:ascii="Times New Roman" w:hAnsi="Times New Roman"/>
          <w:sz w:val="24"/>
          <w:szCs w:val="24"/>
        </w:rPr>
        <w:t xml:space="preserve">to </w:t>
      </w:r>
      <w:r w:rsidRPr="00476DF1">
        <w:rPr>
          <w:rFonts w:ascii="Times New Roman" w:hAnsi="Times New Roman"/>
          <w:sz w:val="24"/>
          <w:szCs w:val="24"/>
        </w:rPr>
        <w:t>overcome this study</w:t>
      </w:r>
      <w:r w:rsidR="003009EF" w:rsidRPr="00476DF1">
        <w:rPr>
          <w:rFonts w:ascii="Times New Roman" w:hAnsi="Times New Roman"/>
          <w:sz w:val="24"/>
          <w:szCs w:val="24"/>
        </w:rPr>
        <w:t>’s</w:t>
      </w:r>
      <w:r w:rsidRPr="00476DF1">
        <w:rPr>
          <w:rFonts w:ascii="Times New Roman" w:hAnsi="Times New Roman"/>
          <w:sz w:val="24"/>
          <w:szCs w:val="24"/>
        </w:rPr>
        <w:t xml:space="preserve"> methodology. The first is to focus on one enterprise and a longer time period. The second path is </w:t>
      </w:r>
      <w:r w:rsidR="00726537" w:rsidRPr="00476DF1">
        <w:rPr>
          <w:rFonts w:ascii="Times New Roman" w:hAnsi="Times New Roman"/>
          <w:sz w:val="24"/>
          <w:szCs w:val="24"/>
        </w:rPr>
        <w:t xml:space="preserve">to </w:t>
      </w:r>
      <w:r w:rsidR="004B3F32" w:rsidRPr="00476DF1">
        <w:rPr>
          <w:rFonts w:ascii="Times New Roman" w:hAnsi="Times New Roman"/>
          <w:sz w:val="24"/>
          <w:szCs w:val="24"/>
        </w:rPr>
        <w:t xml:space="preserve">consider </w:t>
      </w:r>
      <w:r w:rsidR="00726537" w:rsidRPr="00476DF1">
        <w:rPr>
          <w:rFonts w:ascii="Times New Roman" w:hAnsi="Times New Roman"/>
          <w:sz w:val="24"/>
          <w:szCs w:val="24"/>
        </w:rPr>
        <w:t xml:space="preserve">other </w:t>
      </w:r>
      <w:r w:rsidR="004B3F32" w:rsidRPr="00476DF1">
        <w:rPr>
          <w:rFonts w:ascii="Times New Roman" w:hAnsi="Times New Roman"/>
          <w:sz w:val="24"/>
          <w:szCs w:val="24"/>
        </w:rPr>
        <w:t xml:space="preserve">empirical </w:t>
      </w:r>
      <w:r w:rsidR="005257F1" w:rsidRPr="00476DF1">
        <w:rPr>
          <w:rFonts w:ascii="Times New Roman" w:hAnsi="Times New Roman"/>
          <w:sz w:val="24"/>
          <w:szCs w:val="24"/>
        </w:rPr>
        <w:t>methods</w:t>
      </w:r>
      <w:r w:rsidR="00726537" w:rsidRPr="00476DF1">
        <w:rPr>
          <w:rFonts w:ascii="Times New Roman" w:hAnsi="Times New Roman"/>
          <w:sz w:val="24"/>
          <w:szCs w:val="24"/>
        </w:rPr>
        <w:t>;</w:t>
      </w:r>
      <w:r w:rsidR="005257F1" w:rsidRPr="00476DF1">
        <w:rPr>
          <w:rFonts w:ascii="Times New Roman" w:hAnsi="Times New Roman"/>
          <w:sz w:val="24"/>
          <w:szCs w:val="24"/>
        </w:rPr>
        <w:t xml:space="preserve"> unfortunately</w:t>
      </w:r>
      <w:r w:rsidR="00726537" w:rsidRPr="00476DF1">
        <w:rPr>
          <w:rFonts w:ascii="Times New Roman" w:hAnsi="Times New Roman"/>
          <w:sz w:val="24"/>
          <w:szCs w:val="24"/>
        </w:rPr>
        <w:t>,</w:t>
      </w:r>
      <w:r w:rsidR="005257F1" w:rsidRPr="00476DF1">
        <w:rPr>
          <w:rFonts w:ascii="Times New Roman" w:hAnsi="Times New Roman"/>
          <w:sz w:val="24"/>
          <w:szCs w:val="24"/>
        </w:rPr>
        <w:t xml:space="preserve"> this could lead to some black box problems</w:t>
      </w:r>
      <w:r w:rsidR="004B3F32" w:rsidRPr="00476DF1">
        <w:rPr>
          <w:rFonts w:ascii="Times New Roman" w:hAnsi="Times New Roman"/>
          <w:sz w:val="24"/>
          <w:szCs w:val="24"/>
        </w:rPr>
        <w:t>.</w:t>
      </w:r>
      <w:r w:rsidR="00FE093D" w:rsidRPr="00476DF1">
        <w:rPr>
          <w:rFonts w:ascii="Times New Roman" w:hAnsi="Times New Roman"/>
          <w:sz w:val="24"/>
          <w:szCs w:val="24"/>
        </w:rPr>
        <w:t xml:space="preserve"> </w:t>
      </w:r>
      <w:r w:rsidR="00A12FE4" w:rsidRPr="00476DF1">
        <w:rPr>
          <w:rFonts w:ascii="Times New Roman" w:hAnsi="Times New Roman"/>
          <w:sz w:val="24"/>
          <w:szCs w:val="24"/>
        </w:rPr>
        <w:t xml:space="preserve">To overcome the </w:t>
      </w:r>
      <w:r w:rsidR="00400E67" w:rsidRPr="00476DF1">
        <w:rPr>
          <w:rFonts w:ascii="Times New Roman" w:hAnsi="Times New Roman"/>
          <w:sz w:val="24"/>
          <w:szCs w:val="24"/>
        </w:rPr>
        <w:t>skills restrictiveness we could</w:t>
      </w:r>
      <w:r w:rsidR="00726537" w:rsidRPr="00476DF1">
        <w:rPr>
          <w:rFonts w:ascii="Times New Roman" w:hAnsi="Times New Roman"/>
          <w:sz w:val="24"/>
          <w:szCs w:val="24"/>
        </w:rPr>
        <w:t xml:space="preserve"> consider </w:t>
      </w:r>
      <w:r w:rsidR="00FE093D" w:rsidRPr="00476DF1">
        <w:rPr>
          <w:rFonts w:ascii="Times New Roman" w:hAnsi="Times New Roman"/>
          <w:sz w:val="24"/>
          <w:szCs w:val="24"/>
        </w:rPr>
        <w:t xml:space="preserve">the scientific publications of the inventors. </w:t>
      </w:r>
      <w:r w:rsidR="00726537" w:rsidRPr="00476DF1">
        <w:rPr>
          <w:rFonts w:ascii="Times New Roman" w:hAnsi="Times New Roman"/>
          <w:sz w:val="24"/>
          <w:szCs w:val="24"/>
        </w:rPr>
        <w:t xml:space="preserve">A future model should include </w:t>
      </w:r>
      <w:r w:rsidR="00FE093D" w:rsidRPr="00476DF1">
        <w:rPr>
          <w:rFonts w:ascii="Times New Roman" w:hAnsi="Times New Roman"/>
          <w:sz w:val="24"/>
          <w:szCs w:val="24"/>
        </w:rPr>
        <w:t xml:space="preserve">collaborations. Finally, </w:t>
      </w:r>
      <w:r w:rsidR="00726537" w:rsidRPr="00476DF1">
        <w:rPr>
          <w:rFonts w:ascii="Times New Roman" w:hAnsi="Times New Roman"/>
          <w:sz w:val="24"/>
          <w:szCs w:val="24"/>
        </w:rPr>
        <w:t xml:space="preserve">future studies </w:t>
      </w:r>
      <w:r w:rsidR="00FE093D" w:rsidRPr="00476DF1">
        <w:rPr>
          <w:rFonts w:ascii="Times New Roman" w:hAnsi="Times New Roman"/>
          <w:sz w:val="24"/>
          <w:szCs w:val="24"/>
        </w:rPr>
        <w:t xml:space="preserve">should increase the sample </w:t>
      </w:r>
      <w:r w:rsidR="00726537" w:rsidRPr="00476DF1">
        <w:rPr>
          <w:rFonts w:ascii="Times New Roman" w:hAnsi="Times New Roman"/>
          <w:sz w:val="24"/>
          <w:szCs w:val="24"/>
        </w:rPr>
        <w:t xml:space="preserve">size </w:t>
      </w:r>
      <w:r w:rsidR="00FE093D" w:rsidRPr="00476DF1">
        <w:rPr>
          <w:rFonts w:ascii="Times New Roman" w:hAnsi="Times New Roman"/>
          <w:sz w:val="24"/>
          <w:szCs w:val="24"/>
        </w:rPr>
        <w:t xml:space="preserve">and test </w:t>
      </w:r>
      <w:r w:rsidR="00726537" w:rsidRPr="00476DF1">
        <w:rPr>
          <w:rFonts w:ascii="Times New Roman" w:hAnsi="Times New Roman"/>
          <w:sz w:val="24"/>
          <w:szCs w:val="24"/>
        </w:rPr>
        <w:t xml:space="preserve">the results </w:t>
      </w:r>
      <w:r w:rsidR="00FE093D" w:rsidRPr="00476DF1">
        <w:rPr>
          <w:rFonts w:ascii="Times New Roman" w:hAnsi="Times New Roman"/>
          <w:sz w:val="24"/>
          <w:szCs w:val="24"/>
        </w:rPr>
        <w:t>for other sectors</w:t>
      </w:r>
      <w:r w:rsidR="00726537" w:rsidRPr="00476DF1">
        <w:rPr>
          <w:rFonts w:ascii="Times New Roman" w:hAnsi="Times New Roman"/>
          <w:sz w:val="24"/>
          <w:szCs w:val="24"/>
        </w:rPr>
        <w:t>, such as through a comparison</w:t>
      </w:r>
      <w:r w:rsidR="00FE093D" w:rsidRPr="00476DF1">
        <w:rPr>
          <w:rFonts w:ascii="Times New Roman" w:hAnsi="Times New Roman"/>
          <w:sz w:val="24"/>
          <w:szCs w:val="24"/>
        </w:rPr>
        <w:t xml:space="preserve"> with </w:t>
      </w:r>
      <w:r w:rsidR="00726537" w:rsidRPr="00476DF1">
        <w:rPr>
          <w:rFonts w:ascii="Times New Roman" w:hAnsi="Times New Roman"/>
          <w:sz w:val="24"/>
          <w:szCs w:val="24"/>
        </w:rPr>
        <w:t>low-</w:t>
      </w:r>
      <w:r w:rsidR="00FE093D" w:rsidRPr="00476DF1">
        <w:rPr>
          <w:rFonts w:ascii="Times New Roman" w:hAnsi="Times New Roman"/>
          <w:sz w:val="24"/>
          <w:szCs w:val="24"/>
        </w:rPr>
        <w:t>tech sectors.</w:t>
      </w:r>
    </w:p>
    <w:p w14:paraId="4CAEF823" w14:textId="675C8F10" w:rsidR="00016A93" w:rsidRPr="00476DF1" w:rsidRDefault="00016A93" w:rsidP="00016A93">
      <w:pPr>
        <w:spacing w:after="0" w:line="360" w:lineRule="auto"/>
        <w:jc w:val="both"/>
        <w:rPr>
          <w:rFonts w:ascii="Times New Roman" w:hAnsi="Times New Roman"/>
          <w:b/>
          <w:sz w:val="24"/>
          <w:szCs w:val="24"/>
        </w:rPr>
      </w:pPr>
      <w:r w:rsidRPr="00476DF1">
        <w:rPr>
          <w:rFonts w:ascii="Times New Roman" w:hAnsi="Times New Roman"/>
          <w:b/>
          <w:sz w:val="24"/>
          <w:szCs w:val="24"/>
        </w:rPr>
        <w:t>References</w:t>
      </w:r>
    </w:p>
    <w:p w14:paraId="0C4197CD"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b/>
          <w:sz w:val="20"/>
          <w:szCs w:val="20"/>
        </w:rPr>
        <w:fldChar w:fldCharType="begin" w:fldLock="1"/>
      </w:r>
      <w:r w:rsidRPr="00476DF1">
        <w:rPr>
          <w:rFonts w:ascii="Times New Roman" w:hAnsi="Times New Roman"/>
          <w:b/>
          <w:sz w:val="20"/>
          <w:szCs w:val="20"/>
        </w:rPr>
        <w:instrText xml:space="preserve">ADDIN Mendeley Bibliography CSL_BIBLIOGRAPHY </w:instrText>
      </w:r>
      <w:r w:rsidRPr="00476DF1">
        <w:rPr>
          <w:rFonts w:ascii="Times New Roman" w:hAnsi="Times New Roman"/>
          <w:b/>
          <w:sz w:val="20"/>
          <w:szCs w:val="20"/>
        </w:rPr>
        <w:fldChar w:fldCharType="separate"/>
      </w:r>
      <w:r w:rsidRPr="00476DF1">
        <w:rPr>
          <w:rFonts w:ascii="Times New Roman" w:hAnsi="Times New Roman"/>
          <w:noProof/>
          <w:sz w:val="20"/>
          <w:szCs w:val="20"/>
        </w:rPr>
        <w:t xml:space="preserve">ACHILLADELIS, B.; ANTONAKIS, N. The dynamics of technological innovation : the case of the pharmaceutical industry. 2001. </w:t>
      </w:r>
    </w:p>
    <w:p w14:paraId="4B6959AE"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AHUJA, G.; KATILA, R. Technological Acquisition and the Innovation Performance of Acquiring Firms: A Longitudinal Study. </w:t>
      </w:r>
      <w:r w:rsidRPr="00476DF1">
        <w:rPr>
          <w:rFonts w:ascii="Times New Roman" w:hAnsi="Times New Roman"/>
          <w:b/>
          <w:bCs/>
          <w:noProof/>
          <w:sz w:val="20"/>
          <w:szCs w:val="20"/>
        </w:rPr>
        <w:t>Strategic Management Journal</w:t>
      </w:r>
      <w:r w:rsidRPr="00476DF1">
        <w:rPr>
          <w:rFonts w:ascii="Times New Roman" w:hAnsi="Times New Roman"/>
          <w:noProof/>
          <w:sz w:val="20"/>
          <w:szCs w:val="20"/>
        </w:rPr>
        <w:t xml:space="preserve">, v. 22, n. 3, p. 197–220, 2001. </w:t>
      </w:r>
    </w:p>
    <w:p w14:paraId="23A2499F"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AHUJA, G.; LAMPERT, C. M. Entrepreneurship in the large corporation: A longitudinal study of how established firms create breakthrough inventions. </w:t>
      </w:r>
      <w:r w:rsidRPr="00476DF1">
        <w:rPr>
          <w:rFonts w:ascii="Times New Roman" w:hAnsi="Times New Roman"/>
          <w:b/>
          <w:bCs/>
          <w:noProof/>
          <w:sz w:val="20"/>
          <w:szCs w:val="20"/>
        </w:rPr>
        <w:t>Strategic Management Journal</w:t>
      </w:r>
      <w:r w:rsidRPr="00476DF1">
        <w:rPr>
          <w:rFonts w:ascii="Times New Roman" w:hAnsi="Times New Roman"/>
          <w:noProof/>
          <w:sz w:val="20"/>
          <w:szCs w:val="20"/>
        </w:rPr>
        <w:t xml:space="preserve">, v. 22, n. 6–7, p. 521–543, 2001. </w:t>
      </w:r>
    </w:p>
    <w:p w14:paraId="23EF1156"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ALMEIDA, P.; HOHBERGER, J.; PARADA, P. Individual scientific collaborations and firm-level innovation. </w:t>
      </w:r>
      <w:r w:rsidRPr="00476DF1">
        <w:rPr>
          <w:rFonts w:ascii="Times New Roman" w:hAnsi="Times New Roman"/>
          <w:b/>
          <w:bCs/>
          <w:noProof/>
          <w:sz w:val="20"/>
          <w:szCs w:val="20"/>
        </w:rPr>
        <w:t>Industrial and Corporate Change</w:t>
      </w:r>
      <w:r w:rsidRPr="00476DF1">
        <w:rPr>
          <w:rFonts w:ascii="Times New Roman" w:hAnsi="Times New Roman"/>
          <w:noProof/>
          <w:sz w:val="20"/>
          <w:szCs w:val="20"/>
        </w:rPr>
        <w:t xml:space="preserve">, v. 20, n. 6, p. 1571–1599, 2011. </w:t>
      </w:r>
    </w:p>
    <w:p w14:paraId="2578C90A"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ANDERSSON, M.; XIAO, J. Acquisitions of start-ups by incumbent businesses: A market selection process of “high-quality” entrants? </w:t>
      </w:r>
      <w:r w:rsidRPr="00476DF1">
        <w:rPr>
          <w:rFonts w:ascii="Times New Roman" w:hAnsi="Times New Roman"/>
          <w:b/>
          <w:bCs/>
          <w:noProof/>
          <w:sz w:val="20"/>
          <w:szCs w:val="20"/>
        </w:rPr>
        <w:t>Research Policy</w:t>
      </w:r>
      <w:r w:rsidRPr="00476DF1">
        <w:rPr>
          <w:rFonts w:ascii="Times New Roman" w:hAnsi="Times New Roman"/>
          <w:noProof/>
          <w:sz w:val="20"/>
          <w:szCs w:val="20"/>
        </w:rPr>
        <w:t xml:space="preserve">, v. 45, n. 1, p. 272–290, 2016. </w:t>
      </w:r>
    </w:p>
    <w:p w14:paraId="1DF46E95"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CASSIMAN, B.; VEUGELERS, R. Are external technology sourcing strategies substitutes or complements: The case of embodied versus disembodied technology acquisition. v. 3, n. 672, p. 1–22, 2007. </w:t>
      </w:r>
    </w:p>
    <w:p w14:paraId="45430C97"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CLOODT, M.; HAGEDOORN, J.; VAN KRANENBURG, H. Mergers and acquisitions: Their effect on the innovative performance of companies in high-tech industries. </w:t>
      </w:r>
      <w:r w:rsidRPr="00476DF1">
        <w:rPr>
          <w:rFonts w:ascii="Times New Roman" w:hAnsi="Times New Roman"/>
          <w:b/>
          <w:bCs/>
          <w:noProof/>
          <w:sz w:val="20"/>
          <w:szCs w:val="20"/>
        </w:rPr>
        <w:t>Research Policy</w:t>
      </w:r>
      <w:r w:rsidRPr="00476DF1">
        <w:rPr>
          <w:rFonts w:ascii="Times New Roman" w:hAnsi="Times New Roman"/>
          <w:noProof/>
          <w:sz w:val="20"/>
          <w:szCs w:val="20"/>
        </w:rPr>
        <w:t xml:space="preserve">, v. 35, n. 5, p. 642–654, 2006. </w:t>
      </w:r>
    </w:p>
    <w:p w14:paraId="3846DB1E"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COHEN, W. M.; LEVINTHAL, D. A. Absorptive Capacity : A New Perspective on and Innovation Learning. </w:t>
      </w:r>
      <w:r w:rsidRPr="00476DF1">
        <w:rPr>
          <w:rFonts w:ascii="Times New Roman" w:hAnsi="Times New Roman"/>
          <w:b/>
          <w:bCs/>
          <w:noProof/>
          <w:sz w:val="20"/>
          <w:szCs w:val="20"/>
        </w:rPr>
        <w:t>Administrative Science Quarterly - Special Issue: Technology</w:t>
      </w:r>
      <w:r w:rsidRPr="00476DF1">
        <w:rPr>
          <w:rFonts w:ascii="Times New Roman" w:hAnsi="Times New Roman"/>
          <w:noProof/>
          <w:sz w:val="20"/>
          <w:szCs w:val="20"/>
        </w:rPr>
        <w:t xml:space="preserve">, v. 35, n. 1, p. 128–152, 1990. </w:t>
      </w:r>
    </w:p>
    <w:p w14:paraId="1150D4B5"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COLOMBO, M. G.; GRILLI, L. Founders’ human capital and the growth of new technology-based firms: A competence-based view. </w:t>
      </w:r>
      <w:r w:rsidRPr="00476DF1">
        <w:rPr>
          <w:rFonts w:ascii="Times New Roman" w:hAnsi="Times New Roman"/>
          <w:b/>
          <w:bCs/>
          <w:noProof/>
          <w:sz w:val="20"/>
          <w:szCs w:val="20"/>
        </w:rPr>
        <w:t>Research Policy</w:t>
      </w:r>
      <w:r w:rsidRPr="00476DF1">
        <w:rPr>
          <w:rFonts w:ascii="Times New Roman" w:hAnsi="Times New Roman"/>
          <w:noProof/>
          <w:sz w:val="20"/>
          <w:szCs w:val="20"/>
        </w:rPr>
        <w:t xml:space="preserve">, v. 34, n. 6, p. 795–816, 2005. </w:t>
      </w:r>
    </w:p>
    <w:p w14:paraId="64FCF02E"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COLOMBO, M. G.; PIVA, E. Firms’ genetic characteristics and competence-enlarging strategies: A comparison between academic and non-academic high-tech start-ups. </w:t>
      </w:r>
      <w:r w:rsidRPr="00476DF1">
        <w:rPr>
          <w:rFonts w:ascii="Times New Roman" w:hAnsi="Times New Roman"/>
          <w:b/>
          <w:bCs/>
          <w:noProof/>
          <w:sz w:val="20"/>
          <w:szCs w:val="20"/>
        </w:rPr>
        <w:t>Research Policy</w:t>
      </w:r>
      <w:r w:rsidRPr="00476DF1">
        <w:rPr>
          <w:rFonts w:ascii="Times New Roman" w:hAnsi="Times New Roman"/>
          <w:noProof/>
          <w:sz w:val="20"/>
          <w:szCs w:val="20"/>
        </w:rPr>
        <w:t xml:space="preserve">, v. 41, n. 1, p. 79–92, 2012. </w:t>
      </w:r>
    </w:p>
    <w:p w14:paraId="5696F90A"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COMANOR, W. S.; SCHERER, F. M. Mergers and innovation in the pharmaceutical industry. </w:t>
      </w:r>
      <w:r w:rsidRPr="00476DF1">
        <w:rPr>
          <w:rFonts w:ascii="Times New Roman" w:hAnsi="Times New Roman"/>
          <w:b/>
          <w:bCs/>
          <w:noProof/>
          <w:sz w:val="20"/>
          <w:szCs w:val="20"/>
        </w:rPr>
        <w:t>Journal of Health Economics</w:t>
      </w:r>
      <w:r w:rsidRPr="00476DF1">
        <w:rPr>
          <w:rFonts w:ascii="Times New Roman" w:hAnsi="Times New Roman"/>
          <w:noProof/>
          <w:sz w:val="20"/>
          <w:szCs w:val="20"/>
        </w:rPr>
        <w:t xml:space="preserve">, v. 32, n. 1, p. 106–113, 2013. </w:t>
      </w:r>
    </w:p>
    <w:p w14:paraId="78DCD6C9"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DESYLLAS, P.; HUGHES, A. Sourcing technological knowledge through corporate acquisition: Evidence from an international sample of high technology firms. </w:t>
      </w:r>
      <w:r w:rsidRPr="00476DF1">
        <w:rPr>
          <w:rFonts w:ascii="Times New Roman" w:hAnsi="Times New Roman"/>
          <w:b/>
          <w:bCs/>
          <w:noProof/>
          <w:sz w:val="20"/>
          <w:szCs w:val="20"/>
        </w:rPr>
        <w:t>Journal of High Technology Management Research</w:t>
      </w:r>
      <w:r w:rsidRPr="00476DF1">
        <w:rPr>
          <w:rFonts w:ascii="Times New Roman" w:hAnsi="Times New Roman"/>
          <w:noProof/>
          <w:sz w:val="20"/>
          <w:szCs w:val="20"/>
        </w:rPr>
        <w:t xml:space="preserve">, v. 18, n. 2, p. 157–172, 2007. </w:t>
      </w:r>
    </w:p>
    <w:p w14:paraId="4B28DB46"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lastRenderedPageBreak/>
        <w:t xml:space="preserve">DESYLLAS, P.; HUGHES, A. Do high technology acquirers become more innovative? </w:t>
      </w:r>
      <w:r w:rsidRPr="00476DF1">
        <w:rPr>
          <w:rFonts w:ascii="Times New Roman" w:hAnsi="Times New Roman"/>
          <w:b/>
          <w:bCs/>
          <w:noProof/>
          <w:sz w:val="20"/>
          <w:szCs w:val="20"/>
        </w:rPr>
        <w:t>Research Policy</w:t>
      </w:r>
      <w:r w:rsidRPr="00476DF1">
        <w:rPr>
          <w:rFonts w:ascii="Times New Roman" w:hAnsi="Times New Roman"/>
          <w:noProof/>
          <w:sz w:val="20"/>
          <w:szCs w:val="20"/>
        </w:rPr>
        <w:t xml:space="preserve">, v. 39, n. 8, p. 1105–1121, 2010. </w:t>
      </w:r>
    </w:p>
    <w:p w14:paraId="7BA07256"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EJERMO, O.; XIAO, J. Entrepreneurship and survival over the business cycle: How do new technology-based firms differ? </w:t>
      </w:r>
      <w:r w:rsidRPr="00476DF1">
        <w:rPr>
          <w:rFonts w:ascii="Times New Roman" w:hAnsi="Times New Roman"/>
          <w:b/>
          <w:bCs/>
          <w:noProof/>
          <w:sz w:val="20"/>
          <w:szCs w:val="20"/>
        </w:rPr>
        <w:t>Small Business Economics</w:t>
      </w:r>
      <w:r w:rsidRPr="00476DF1">
        <w:rPr>
          <w:rFonts w:ascii="Times New Roman" w:hAnsi="Times New Roman"/>
          <w:noProof/>
          <w:sz w:val="20"/>
          <w:szCs w:val="20"/>
        </w:rPr>
        <w:t xml:space="preserve">, v. 43, n. 2, p. 411–426, 2014. </w:t>
      </w:r>
    </w:p>
    <w:p w14:paraId="554F5A55"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GERPOTT, T. J. Successful integration of R&amp;D functions after acquisitions: An exploratory empirical study. </w:t>
      </w:r>
      <w:r w:rsidRPr="00476DF1">
        <w:rPr>
          <w:rFonts w:ascii="Times New Roman" w:hAnsi="Times New Roman"/>
          <w:b/>
          <w:bCs/>
          <w:noProof/>
          <w:sz w:val="20"/>
          <w:szCs w:val="20"/>
        </w:rPr>
        <w:t>R&amp;D Management</w:t>
      </w:r>
      <w:r w:rsidRPr="00476DF1">
        <w:rPr>
          <w:rFonts w:ascii="Times New Roman" w:hAnsi="Times New Roman"/>
          <w:noProof/>
          <w:sz w:val="20"/>
          <w:szCs w:val="20"/>
        </w:rPr>
        <w:t xml:space="preserve">, v. 25, n. 2, p. 161–178, 1995. </w:t>
      </w:r>
    </w:p>
    <w:p w14:paraId="604949EA"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GRIGORIOU, K.; ROTHAERMEL, F. T. Structural Microfoundations of Innovation: The Role of Relational Stars. </w:t>
      </w:r>
      <w:r w:rsidRPr="00476DF1">
        <w:rPr>
          <w:rFonts w:ascii="Times New Roman" w:hAnsi="Times New Roman"/>
          <w:b/>
          <w:bCs/>
          <w:noProof/>
          <w:sz w:val="20"/>
          <w:szCs w:val="20"/>
        </w:rPr>
        <w:t>Journal of Management</w:t>
      </w:r>
      <w:r w:rsidRPr="00476DF1">
        <w:rPr>
          <w:rFonts w:ascii="Times New Roman" w:hAnsi="Times New Roman"/>
          <w:noProof/>
          <w:sz w:val="20"/>
          <w:szCs w:val="20"/>
        </w:rPr>
        <w:t xml:space="preserve">, v. 40, n. 2, p. 586–615, 2014. </w:t>
      </w:r>
    </w:p>
    <w:p w14:paraId="76A58A72"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HAGEDOORN, J.; DUYSTERS, G. External sources of innovative capabilities: The preference for strategic alliances or mergers and acquisitions. </w:t>
      </w:r>
      <w:r w:rsidRPr="00476DF1">
        <w:rPr>
          <w:rFonts w:ascii="Times New Roman" w:hAnsi="Times New Roman"/>
          <w:b/>
          <w:bCs/>
          <w:noProof/>
          <w:sz w:val="20"/>
          <w:szCs w:val="20"/>
        </w:rPr>
        <w:t>Journal of Management Studies</w:t>
      </w:r>
      <w:r w:rsidRPr="00476DF1">
        <w:rPr>
          <w:rFonts w:ascii="Times New Roman" w:hAnsi="Times New Roman"/>
          <w:noProof/>
          <w:sz w:val="20"/>
          <w:szCs w:val="20"/>
        </w:rPr>
        <w:t xml:space="preserve">, v. 39, n. 2, p. 167–188, 2002. </w:t>
      </w:r>
    </w:p>
    <w:p w14:paraId="47BD1B98"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HALL, B. H.; JAFFE, A. B.; TRAJTENBERG, M. </w:t>
      </w:r>
      <w:r w:rsidRPr="00476DF1">
        <w:rPr>
          <w:rFonts w:ascii="Times New Roman" w:hAnsi="Times New Roman"/>
          <w:b/>
          <w:bCs/>
          <w:noProof/>
          <w:sz w:val="20"/>
          <w:szCs w:val="20"/>
        </w:rPr>
        <w:t>THE NBER PATENT CITATIONS DATA FILE: LESSONS, INSIGHTS AND METHODOLOGICAL TOOLSNo Title</w:t>
      </w:r>
      <w:r w:rsidRPr="00476DF1">
        <w:rPr>
          <w:rFonts w:ascii="Times New Roman" w:hAnsi="Times New Roman"/>
          <w:noProof/>
          <w:sz w:val="20"/>
          <w:szCs w:val="20"/>
        </w:rPr>
        <w:t xml:space="preserve">: Working paper 8498. [s.l: s.n.]. </w:t>
      </w:r>
    </w:p>
    <w:p w14:paraId="3CD86A83"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HENDERSON, R.; JAFFE, A. B.; TRAJTENBERG, M. Universities as a Source of Commercial Technology: A Detailed Analysis of University Patenting, 1965–1988. </w:t>
      </w:r>
      <w:r w:rsidRPr="00476DF1">
        <w:rPr>
          <w:rFonts w:ascii="Times New Roman" w:hAnsi="Times New Roman"/>
          <w:b/>
          <w:bCs/>
          <w:noProof/>
          <w:sz w:val="20"/>
          <w:szCs w:val="20"/>
        </w:rPr>
        <w:t>Review of Economics and Statistics</w:t>
      </w:r>
      <w:r w:rsidRPr="00476DF1">
        <w:rPr>
          <w:rFonts w:ascii="Times New Roman" w:hAnsi="Times New Roman"/>
          <w:noProof/>
          <w:sz w:val="20"/>
          <w:szCs w:val="20"/>
        </w:rPr>
        <w:t xml:space="preserve">, v. 80, n. 1, p. 119–127, 1998. </w:t>
      </w:r>
    </w:p>
    <w:p w14:paraId="557B0AB1"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HOHBERGER, J. Does it pay to stand on the shoulders of giants? An analysis of the inventions of star inventors in the biotechnology sector. </w:t>
      </w:r>
      <w:r w:rsidRPr="00476DF1">
        <w:rPr>
          <w:rFonts w:ascii="Times New Roman" w:hAnsi="Times New Roman"/>
          <w:b/>
          <w:bCs/>
          <w:noProof/>
          <w:sz w:val="20"/>
          <w:szCs w:val="20"/>
        </w:rPr>
        <w:t>Research Policy</w:t>
      </w:r>
      <w:r w:rsidRPr="00476DF1">
        <w:rPr>
          <w:rFonts w:ascii="Times New Roman" w:hAnsi="Times New Roman"/>
          <w:noProof/>
          <w:sz w:val="20"/>
          <w:szCs w:val="20"/>
        </w:rPr>
        <w:t xml:space="preserve">, v. 45, n. 3, p. 682–698, 2016. </w:t>
      </w:r>
    </w:p>
    <w:p w14:paraId="6C55FFBD"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HOPKINS, M. M. et al. The myth of the biotech revolution: An assessment of technological, clinical and organisational change. </w:t>
      </w:r>
      <w:r w:rsidRPr="00476DF1">
        <w:rPr>
          <w:rFonts w:ascii="Times New Roman" w:hAnsi="Times New Roman"/>
          <w:b/>
          <w:bCs/>
          <w:noProof/>
          <w:sz w:val="20"/>
          <w:szCs w:val="20"/>
        </w:rPr>
        <w:t>Research Policy</w:t>
      </w:r>
      <w:r w:rsidRPr="00476DF1">
        <w:rPr>
          <w:rFonts w:ascii="Times New Roman" w:hAnsi="Times New Roman"/>
          <w:noProof/>
          <w:sz w:val="20"/>
          <w:szCs w:val="20"/>
        </w:rPr>
        <w:t xml:space="preserve">, v. 36, n. 4, p. 566–589, 2007. </w:t>
      </w:r>
    </w:p>
    <w:p w14:paraId="3A40F4E4"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HOPKINS, M. M. et al. Buying big into biotech: Scale, financing, and the industrial dynamics of UK biotech, 1980-2009. </w:t>
      </w:r>
      <w:r w:rsidRPr="00476DF1">
        <w:rPr>
          <w:rFonts w:ascii="Times New Roman" w:hAnsi="Times New Roman"/>
          <w:b/>
          <w:bCs/>
          <w:noProof/>
          <w:sz w:val="20"/>
          <w:szCs w:val="20"/>
        </w:rPr>
        <w:t>Industrial and Corporate Change</w:t>
      </w:r>
      <w:r w:rsidRPr="00476DF1">
        <w:rPr>
          <w:rFonts w:ascii="Times New Roman" w:hAnsi="Times New Roman"/>
          <w:noProof/>
          <w:sz w:val="20"/>
          <w:szCs w:val="20"/>
        </w:rPr>
        <w:t xml:space="preserve">, v. 22, n. 4, p. 903–952, 2013. </w:t>
      </w:r>
    </w:p>
    <w:p w14:paraId="68FF92C9"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HUSSINGER, K. On the importance of technological relatedness: SMEs versus large acquisition targets. </w:t>
      </w:r>
      <w:r w:rsidRPr="00476DF1">
        <w:rPr>
          <w:rFonts w:ascii="Times New Roman" w:hAnsi="Times New Roman"/>
          <w:b/>
          <w:bCs/>
          <w:noProof/>
          <w:sz w:val="20"/>
          <w:szCs w:val="20"/>
        </w:rPr>
        <w:t>Technovation</w:t>
      </w:r>
      <w:r w:rsidRPr="00476DF1">
        <w:rPr>
          <w:rFonts w:ascii="Times New Roman" w:hAnsi="Times New Roman"/>
          <w:noProof/>
          <w:sz w:val="20"/>
          <w:szCs w:val="20"/>
        </w:rPr>
        <w:t xml:space="preserve">, v. 30, n. 1, p. 57–64, 2010. </w:t>
      </w:r>
    </w:p>
    <w:p w14:paraId="2FAF1F8F"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LAURSEN, K.; SALTER, A. J. The paradox of openness: Appropriability, external search and collaboration. </w:t>
      </w:r>
      <w:r w:rsidRPr="00476DF1">
        <w:rPr>
          <w:rFonts w:ascii="Times New Roman" w:hAnsi="Times New Roman"/>
          <w:b/>
          <w:bCs/>
          <w:noProof/>
          <w:sz w:val="20"/>
          <w:szCs w:val="20"/>
        </w:rPr>
        <w:t>Research Policy</w:t>
      </w:r>
      <w:r w:rsidRPr="00476DF1">
        <w:rPr>
          <w:rFonts w:ascii="Times New Roman" w:hAnsi="Times New Roman"/>
          <w:noProof/>
          <w:sz w:val="20"/>
          <w:szCs w:val="20"/>
        </w:rPr>
        <w:t xml:space="preserve">, v. 43, n. 5, p. 867–878, 2014. </w:t>
      </w:r>
    </w:p>
    <w:p w14:paraId="64D6A3BB"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NIGHTINGALE, P. Economies of scale in experimentation: knowledge and technology in pharmaceutical R&amp;D. </w:t>
      </w:r>
      <w:r w:rsidRPr="00476DF1">
        <w:rPr>
          <w:rFonts w:ascii="Times New Roman" w:hAnsi="Times New Roman"/>
          <w:b/>
          <w:bCs/>
          <w:noProof/>
          <w:sz w:val="20"/>
          <w:szCs w:val="20"/>
        </w:rPr>
        <w:t>Industrial &amp; Corporate Change</w:t>
      </w:r>
      <w:r w:rsidRPr="00476DF1">
        <w:rPr>
          <w:rFonts w:ascii="Times New Roman" w:hAnsi="Times New Roman"/>
          <w:noProof/>
          <w:sz w:val="20"/>
          <w:szCs w:val="20"/>
        </w:rPr>
        <w:t xml:space="preserve">, v. 9, n. 2, p. 315, 2000. </w:t>
      </w:r>
    </w:p>
    <w:p w14:paraId="1954278F"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NIGHTINGALE, P.; MARTIN, P. The myth of the biotech revolution. </w:t>
      </w:r>
      <w:r w:rsidRPr="00476DF1">
        <w:rPr>
          <w:rFonts w:ascii="Times New Roman" w:hAnsi="Times New Roman"/>
          <w:b/>
          <w:bCs/>
          <w:noProof/>
          <w:sz w:val="20"/>
          <w:szCs w:val="20"/>
        </w:rPr>
        <w:t>Trends in Biotechnology</w:t>
      </w:r>
      <w:r w:rsidRPr="00476DF1">
        <w:rPr>
          <w:rFonts w:ascii="Times New Roman" w:hAnsi="Times New Roman"/>
          <w:noProof/>
          <w:sz w:val="20"/>
          <w:szCs w:val="20"/>
        </w:rPr>
        <w:t xml:space="preserve">, v. 22, n. 11, p. 564–569, 2004. </w:t>
      </w:r>
    </w:p>
    <w:p w14:paraId="4C7E5EA2"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NOVELLI, E. An examination of the antecedents and implications of patent scope. </w:t>
      </w:r>
      <w:r w:rsidRPr="00476DF1">
        <w:rPr>
          <w:rFonts w:ascii="Times New Roman" w:hAnsi="Times New Roman"/>
          <w:b/>
          <w:bCs/>
          <w:noProof/>
          <w:sz w:val="20"/>
          <w:szCs w:val="20"/>
        </w:rPr>
        <w:t>Research Policy</w:t>
      </w:r>
      <w:r w:rsidRPr="00476DF1">
        <w:rPr>
          <w:rFonts w:ascii="Times New Roman" w:hAnsi="Times New Roman"/>
          <w:noProof/>
          <w:sz w:val="20"/>
          <w:szCs w:val="20"/>
        </w:rPr>
        <w:t xml:space="preserve">, v. 44, n. 2, p. 493–507, 2015. </w:t>
      </w:r>
    </w:p>
    <w:p w14:paraId="270143D8"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OETTL, A. Reconceptualizing stars: Scientist helpfulness and peer performance. </w:t>
      </w:r>
      <w:r w:rsidRPr="00476DF1">
        <w:rPr>
          <w:rFonts w:ascii="Times New Roman" w:hAnsi="Times New Roman"/>
          <w:b/>
          <w:bCs/>
          <w:noProof/>
          <w:sz w:val="20"/>
          <w:szCs w:val="20"/>
        </w:rPr>
        <w:t>Management Science</w:t>
      </w:r>
      <w:r w:rsidRPr="00476DF1">
        <w:rPr>
          <w:rFonts w:ascii="Times New Roman" w:hAnsi="Times New Roman"/>
          <w:noProof/>
          <w:sz w:val="20"/>
          <w:szCs w:val="20"/>
        </w:rPr>
        <w:t xml:space="preserve">, v. 58, n. 6, p. 1122–1140, 2012. </w:t>
      </w:r>
    </w:p>
    <w:p w14:paraId="76948AE2"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PEREIRA, D. A.; WILLIAMS, J. A. Origin and evolution of high throughput screening. </w:t>
      </w:r>
      <w:r w:rsidRPr="00476DF1">
        <w:rPr>
          <w:rFonts w:ascii="Times New Roman" w:hAnsi="Times New Roman"/>
          <w:b/>
          <w:bCs/>
          <w:noProof/>
          <w:sz w:val="20"/>
          <w:szCs w:val="20"/>
        </w:rPr>
        <w:t>British journal of pharmacology</w:t>
      </w:r>
      <w:r w:rsidRPr="00476DF1">
        <w:rPr>
          <w:rFonts w:ascii="Times New Roman" w:hAnsi="Times New Roman"/>
          <w:noProof/>
          <w:sz w:val="20"/>
          <w:szCs w:val="20"/>
        </w:rPr>
        <w:t xml:space="preserve">, v. 152, n. 1, p. 53–61, 2007. </w:t>
      </w:r>
    </w:p>
    <w:p w14:paraId="3BA10300"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SCHWARDT, O.; KOLB, H.; ERNST, B. Drug Discovery Today. </w:t>
      </w:r>
      <w:r w:rsidRPr="00476DF1">
        <w:rPr>
          <w:rFonts w:ascii="Times New Roman" w:hAnsi="Times New Roman"/>
          <w:b/>
          <w:bCs/>
          <w:noProof/>
          <w:sz w:val="20"/>
          <w:szCs w:val="20"/>
        </w:rPr>
        <w:t>October</w:t>
      </w:r>
      <w:r w:rsidRPr="00476DF1">
        <w:rPr>
          <w:rFonts w:ascii="Times New Roman" w:hAnsi="Times New Roman"/>
          <w:noProof/>
          <w:sz w:val="20"/>
          <w:szCs w:val="20"/>
        </w:rPr>
        <w:t xml:space="preserve">, n. 3, p. 1–9, 2003. </w:t>
      </w:r>
    </w:p>
    <w:p w14:paraId="2AFCFD6E"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SCHWARTZMAN, D.; COGNAT, A. Has Pharmaceutical Research Become More Scientifk ?*. 1996. </w:t>
      </w:r>
    </w:p>
    <w:p w14:paraId="4693240D"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SCHWEIZER, L. Organizational integration of acquired biotechnology companies into pharmaceutical companies: The need for a hybrid approach. </w:t>
      </w:r>
      <w:r w:rsidRPr="00476DF1">
        <w:rPr>
          <w:rFonts w:ascii="Times New Roman" w:hAnsi="Times New Roman"/>
          <w:b/>
          <w:bCs/>
          <w:noProof/>
          <w:sz w:val="20"/>
          <w:szCs w:val="20"/>
        </w:rPr>
        <w:t>Academy of Management Journal</w:t>
      </w:r>
      <w:r w:rsidRPr="00476DF1">
        <w:rPr>
          <w:rFonts w:ascii="Times New Roman" w:hAnsi="Times New Roman"/>
          <w:noProof/>
          <w:sz w:val="20"/>
          <w:szCs w:val="20"/>
        </w:rPr>
        <w:t xml:space="preserve">, v. 48, n. 6, p. 1051–1074, 2005. </w:t>
      </w:r>
    </w:p>
    <w:p w14:paraId="15DADE51"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SHARP, M. STEEP Discussion Paper No 28 The Science of Nations : European Multinationals and American Biotechnology. v. 44, n. 28, 1996. </w:t>
      </w:r>
    </w:p>
    <w:p w14:paraId="088F89DE"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STRUMSKY, D.; LOBO, J. Identifying the sources of technological novelty in the process of invention. </w:t>
      </w:r>
      <w:r w:rsidRPr="00476DF1">
        <w:rPr>
          <w:rFonts w:ascii="Times New Roman" w:hAnsi="Times New Roman"/>
          <w:b/>
          <w:bCs/>
          <w:noProof/>
          <w:sz w:val="20"/>
          <w:szCs w:val="20"/>
        </w:rPr>
        <w:t>Research Policy</w:t>
      </w:r>
      <w:r w:rsidRPr="00476DF1">
        <w:rPr>
          <w:rFonts w:ascii="Times New Roman" w:hAnsi="Times New Roman"/>
          <w:noProof/>
          <w:sz w:val="20"/>
          <w:szCs w:val="20"/>
        </w:rPr>
        <w:t xml:space="preserve">, v. 44, n. 8, p. 1445–1461, 2015. </w:t>
      </w:r>
    </w:p>
    <w:p w14:paraId="05A8C538"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SZÜCS, F. M&amp;A and R&amp;D: Asymmetric Effects on acquirers and targets? </w:t>
      </w:r>
      <w:r w:rsidRPr="00476DF1">
        <w:rPr>
          <w:rFonts w:ascii="Times New Roman" w:hAnsi="Times New Roman"/>
          <w:b/>
          <w:bCs/>
          <w:noProof/>
          <w:sz w:val="20"/>
          <w:szCs w:val="20"/>
        </w:rPr>
        <w:t>Research Policy</w:t>
      </w:r>
      <w:r w:rsidRPr="00476DF1">
        <w:rPr>
          <w:rFonts w:ascii="Times New Roman" w:hAnsi="Times New Roman"/>
          <w:noProof/>
          <w:sz w:val="20"/>
          <w:szCs w:val="20"/>
        </w:rPr>
        <w:t xml:space="preserve">, v. 43, n. 7, p. 1264–1273, 2014. </w:t>
      </w:r>
    </w:p>
    <w:p w14:paraId="36A2B855"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TRAJTENBERG, M.; HENDERSON, R.; JAFFE, A. University Versus Corporate Patents: A Window On The Basicness Of Invention. </w:t>
      </w:r>
      <w:r w:rsidRPr="00476DF1">
        <w:rPr>
          <w:rFonts w:ascii="Times New Roman" w:hAnsi="Times New Roman"/>
          <w:b/>
          <w:bCs/>
          <w:noProof/>
          <w:sz w:val="20"/>
          <w:szCs w:val="20"/>
        </w:rPr>
        <w:t>Economics of Innovation and New Technology</w:t>
      </w:r>
      <w:r w:rsidRPr="00476DF1">
        <w:rPr>
          <w:rFonts w:ascii="Times New Roman" w:hAnsi="Times New Roman"/>
          <w:noProof/>
          <w:sz w:val="20"/>
          <w:szCs w:val="20"/>
        </w:rPr>
        <w:t xml:space="preserve">, v. 5, n. 1, p. 19–50, 1997. </w:t>
      </w:r>
    </w:p>
    <w:p w14:paraId="1B865731"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VERHOEVEN, D.; BAKKER, J.; VEUGELERS, R. Measuring technological novelty with patent-based indicators. </w:t>
      </w:r>
      <w:r w:rsidRPr="00476DF1">
        <w:rPr>
          <w:rFonts w:ascii="Times New Roman" w:hAnsi="Times New Roman"/>
          <w:b/>
          <w:bCs/>
          <w:noProof/>
          <w:sz w:val="20"/>
          <w:szCs w:val="20"/>
        </w:rPr>
        <w:t>Research Policy</w:t>
      </w:r>
      <w:r w:rsidRPr="00476DF1">
        <w:rPr>
          <w:rFonts w:ascii="Times New Roman" w:hAnsi="Times New Roman"/>
          <w:noProof/>
          <w:sz w:val="20"/>
          <w:szCs w:val="20"/>
        </w:rPr>
        <w:t xml:space="preserve">, v. 45, n. 3, p. 707–723, 2016. </w:t>
      </w:r>
    </w:p>
    <w:p w14:paraId="0BCBC321"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XIAO, J. </w:t>
      </w:r>
      <w:r w:rsidRPr="00476DF1">
        <w:rPr>
          <w:rFonts w:ascii="Times New Roman" w:hAnsi="Times New Roman"/>
          <w:b/>
          <w:bCs/>
          <w:noProof/>
          <w:sz w:val="20"/>
          <w:szCs w:val="20"/>
        </w:rPr>
        <w:t>Ownership Change , Multinationals , and Growth of New Technology - Based Firms Ownership Change , Multinationals , and Growth of New Technology - Based Firms</w:t>
      </w:r>
      <w:r w:rsidRPr="00476DF1">
        <w:rPr>
          <w:rFonts w:ascii="Times New Roman" w:hAnsi="Times New Roman"/>
          <w:noProof/>
          <w:sz w:val="20"/>
          <w:szCs w:val="20"/>
        </w:rPr>
        <w:t xml:space="preserve">. [s.l: s.n.]. </w:t>
      </w:r>
    </w:p>
    <w:p w14:paraId="230971AD"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XIAO, J. The effects of acquisition on the growth of new technology- based firms : Do different types of acquirers matter ? </w:t>
      </w:r>
      <w:r w:rsidRPr="00476DF1">
        <w:rPr>
          <w:rFonts w:ascii="Times New Roman" w:hAnsi="Times New Roman"/>
          <w:b/>
          <w:bCs/>
          <w:noProof/>
          <w:sz w:val="20"/>
          <w:szCs w:val="20"/>
        </w:rPr>
        <w:t>Small Business Economics</w:t>
      </w:r>
      <w:r w:rsidRPr="00476DF1">
        <w:rPr>
          <w:rFonts w:ascii="Times New Roman" w:hAnsi="Times New Roman"/>
          <w:noProof/>
          <w:sz w:val="20"/>
          <w:szCs w:val="20"/>
        </w:rPr>
        <w:t xml:space="preserve">, p. 487–504, 2015. </w:t>
      </w:r>
    </w:p>
    <w:p w14:paraId="3C5AC587"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ZUCKER, L. G.; DARBY, M. R. Present at the biotechnological revolution: transformation of technological identity for a large incumbent pharmaceutical firm. </w:t>
      </w:r>
      <w:r w:rsidRPr="00476DF1">
        <w:rPr>
          <w:rFonts w:ascii="Times New Roman" w:hAnsi="Times New Roman"/>
          <w:b/>
          <w:bCs/>
          <w:noProof/>
          <w:sz w:val="20"/>
          <w:szCs w:val="20"/>
        </w:rPr>
        <w:t>Research Policy</w:t>
      </w:r>
      <w:r w:rsidRPr="00476DF1">
        <w:rPr>
          <w:rFonts w:ascii="Times New Roman" w:hAnsi="Times New Roman"/>
          <w:noProof/>
          <w:sz w:val="20"/>
          <w:szCs w:val="20"/>
        </w:rPr>
        <w:t xml:space="preserve">, v. 26, n. 4–5, p. 429–446, 1997. </w:t>
      </w:r>
    </w:p>
    <w:p w14:paraId="0158910E" w14:textId="77777777" w:rsidR="00016A93" w:rsidRPr="00476DF1" w:rsidRDefault="00016A93" w:rsidP="00016A93">
      <w:pPr>
        <w:widowControl w:val="0"/>
        <w:autoSpaceDE w:val="0"/>
        <w:autoSpaceDN w:val="0"/>
        <w:adjustRightInd w:val="0"/>
        <w:spacing w:after="0" w:line="240" w:lineRule="auto"/>
        <w:jc w:val="both"/>
        <w:rPr>
          <w:rFonts w:ascii="Times New Roman" w:hAnsi="Times New Roman"/>
          <w:noProof/>
          <w:sz w:val="20"/>
          <w:szCs w:val="20"/>
        </w:rPr>
      </w:pPr>
      <w:r w:rsidRPr="00476DF1">
        <w:rPr>
          <w:rFonts w:ascii="Times New Roman" w:hAnsi="Times New Roman"/>
          <w:noProof/>
          <w:sz w:val="20"/>
          <w:szCs w:val="20"/>
        </w:rPr>
        <w:t xml:space="preserve">ZUCKER, L. G.; DARBY, M. R. Star Scientists, Innovation and Regional and National Immigration. </w:t>
      </w:r>
      <w:r w:rsidRPr="00476DF1">
        <w:rPr>
          <w:rFonts w:ascii="Times New Roman" w:hAnsi="Times New Roman"/>
          <w:b/>
          <w:bCs/>
          <w:noProof/>
          <w:sz w:val="20"/>
          <w:szCs w:val="20"/>
        </w:rPr>
        <w:t>Entrepreneurship and Openness Entrepreneurship and Openness Theory and Evidence</w:t>
      </w:r>
      <w:r w:rsidRPr="00476DF1">
        <w:rPr>
          <w:rFonts w:ascii="Times New Roman" w:hAnsi="Times New Roman"/>
          <w:noProof/>
          <w:sz w:val="20"/>
          <w:szCs w:val="20"/>
        </w:rPr>
        <w:t xml:space="preserve">, 2009. </w:t>
      </w:r>
    </w:p>
    <w:p w14:paraId="3D143E83" w14:textId="26503277" w:rsidR="00016A93" w:rsidRPr="00016A93" w:rsidRDefault="00016A93" w:rsidP="00016A93">
      <w:pPr>
        <w:spacing w:after="0" w:line="240" w:lineRule="auto"/>
        <w:jc w:val="both"/>
        <w:rPr>
          <w:rFonts w:ascii="Times New Roman" w:hAnsi="Times New Roman"/>
          <w:b/>
          <w:sz w:val="20"/>
          <w:szCs w:val="20"/>
        </w:rPr>
      </w:pPr>
      <w:r w:rsidRPr="00476DF1">
        <w:rPr>
          <w:rFonts w:ascii="Times New Roman" w:hAnsi="Times New Roman"/>
          <w:b/>
          <w:sz w:val="20"/>
          <w:szCs w:val="20"/>
        </w:rPr>
        <w:fldChar w:fldCharType="end"/>
      </w:r>
    </w:p>
    <w:sectPr w:rsidR="00016A93" w:rsidRPr="00016A93" w:rsidSect="00CE4BBE">
      <w:pgSz w:w="12240" w:h="15840"/>
      <w:pgMar w:top="1134" w:right="851" w:bottom="1134" w:left="851" w:header="17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6BCB0" w14:textId="77777777" w:rsidR="00841FC9" w:rsidRDefault="00841FC9" w:rsidP="001A7103">
      <w:pPr>
        <w:spacing w:after="0" w:line="240" w:lineRule="auto"/>
      </w:pPr>
      <w:r>
        <w:separator/>
      </w:r>
    </w:p>
  </w:endnote>
  <w:endnote w:type="continuationSeparator" w:id="0">
    <w:p w14:paraId="2FFD6C0F" w14:textId="77777777" w:rsidR="00841FC9" w:rsidRDefault="00841FC9" w:rsidP="001A7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8813" w14:textId="77777777" w:rsidR="009006F1" w:rsidRDefault="009006F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49271" w14:textId="77777777" w:rsidR="009D7A0F" w:rsidRPr="009006F1" w:rsidRDefault="009D7A0F" w:rsidP="009006F1">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BB7D7" w14:textId="77777777" w:rsidR="009006F1" w:rsidRDefault="009006F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10AB6" w14:textId="77777777" w:rsidR="00841FC9" w:rsidRDefault="00841FC9" w:rsidP="001A7103">
      <w:pPr>
        <w:spacing w:after="0" w:line="240" w:lineRule="auto"/>
      </w:pPr>
      <w:r>
        <w:separator/>
      </w:r>
    </w:p>
  </w:footnote>
  <w:footnote w:type="continuationSeparator" w:id="0">
    <w:p w14:paraId="5E599925" w14:textId="77777777" w:rsidR="00841FC9" w:rsidRDefault="00841FC9" w:rsidP="001A7103">
      <w:pPr>
        <w:spacing w:after="0" w:line="240" w:lineRule="auto"/>
      </w:pPr>
      <w:r>
        <w:continuationSeparator/>
      </w:r>
    </w:p>
  </w:footnote>
  <w:footnote w:id="1">
    <w:p w14:paraId="64B18D6A" w14:textId="738C3B9B" w:rsidR="004C1142" w:rsidRPr="00C45DEF" w:rsidRDefault="004C1142" w:rsidP="00A23232">
      <w:pPr>
        <w:pStyle w:val="Textodenotaderodap"/>
        <w:jc w:val="both"/>
      </w:pPr>
      <w:r w:rsidRPr="00C45DEF">
        <w:rPr>
          <w:rStyle w:val="Refdenotaderodap"/>
        </w:rPr>
        <w:sym w:font="Symbol" w:char="F02A"/>
      </w:r>
      <w:r w:rsidRPr="00C45DEF">
        <w:t xml:space="preserve"> Pós-doutorando no </w:t>
      </w:r>
      <w:r w:rsidR="001A775D">
        <w:t xml:space="preserve">Programa de Pós-Graduação em Economia do </w:t>
      </w:r>
      <w:r w:rsidRPr="00C45DEF">
        <w:t>Instituto de Economia e Relações Internacionais (IERI)</w:t>
      </w:r>
      <w:r w:rsidR="001A775D">
        <w:t xml:space="preserve"> - </w:t>
      </w:r>
      <w:r w:rsidRPr="00C45DEF">
        <w:t>Universidade Federal de Uberlândia (UFU)</w:t>
      </w:r>
      <w:r w:rsidR="001A775D">
        <w:t>.</w:t>
      </w:r>
    </w:p>
  </w:footnote>
  <w:footnote w:id="2">
    <w:p w14:paraId="0A8AFD5E" w14:textId="1CFF1ECE" w:rsidR="004C1142" w:rsidRPr="00C45DEF" w:rsidRDefault="004C1142" w:rsidP="004C1142">
      <w:pPr>
        <w:pStyle w:val="Textodenotaderodap"/>
      </w:pPr>
      <w:r w:rsidRPr="00C45DEF">
        <w:rPr>
          <w:rStyle w:val="Refdenotaderodap"/>
        </w:rPr>
        <w:t>a</w:t>
      </w:r>
      <w:r w:rsidRPr="00C45DEF">
        <w:t xml:space="preserve"> Professora </w:t>
      </w:r>
      <w:r w:rsidR="001A775D">
        <w:t xml:space="preserve">Associada </w:t>
      </w:r>
      <w:r w:rsidRPr="00C45DEF">
        <w:t xml:space="preserve">do </w:t>
      </w:r>
      <w:r w:rsidR="001A775D">
        <w:t>Instituto</w:t>
      </w:r>
      <w:r w:rsidR="001A775D" w:rsidRPr="00C45DEF">
        <w:t xml:space="preserve"> </w:t>
      </w:r>
      <w:r w:rsidRPr="00C45DEF">
        <w:t>de Economia e Relações Internacionais (IERI)</w:t>
      </w:r>
      <w:r w:rsidR="001A775D">
        <w:t xml:space="preserve"> - </w:t>
      </w:r>
      <w:r w:rsidRPr="00C45DEF">
        <w:t>Universidade Federa de Uberlândia (UFU)</w:t>
      </w:r>
      <w:r w:rsidR="001A775D">
        <w:t>.</w:t>
      </w:r>
    </w:p>
  </w:footnote>
  <w:footnote w:id="3">
    <w:p w14:paraId="7F80B94B" w14:textId="3834AF08" w:rsidR="00CE4BBE" w:rsidRPr="00CF15B9" w:rsidRDefault="00CE4BBE">
      <w:pPr>
        <w:pStyle w:val="Textodenotaderodap"/>
        <w:rPr>
          <w:lang w:val="en-US"/>
        </w:rPr>
      </w:pPr>
      <w:r>
        <w:rPr>
          <w:rStyle w:val="Refdenotaderodap"/>
        </w:rPr>
        <w:footnoteRef/>
      </w:r>
      <w:r w:rsidRPr="00CF15B9">
        <w:rPr>
          <w:lang w:val="en-US"/>
        </w:rPr>
        <w:t xml:space="preserve"> </w:t>
      </w:r>
      <w:r>
        <w:rPr>
          <w:lang w:val="en-US"/>
        </w:rPr>
        <w:t>To</w:t>
      </w:r>
      <w:r w:rsidRPr="00CF15B9">
        <w:rPr>
          <w:lang w:val="en-US"/>
        </w:rPr>
        <w:t xml:space="preserve"> avoid </w:t>
      </w:r>
      <w:r>
        <w:rPr>
          <w:lang w:val="en-US"/>
        </w:rPr>
        <w:t>i</w:t>
      </w:r>
      <w:r w:rsidRPr="00CF15B9">
        <w:rPr>
          <w:lang w:val="en-US"/>
        </w:rPr>
        <w:t>dentification, all self</w:t>
      </w:r>
      <w:r>
        <w:rPr>
          <w:lang w:val="en-US"/>
        </w:rPr>
        <w:t>-</w:t>
      </w:r>
      <w:r w:rsidRPr="00CF15B9">
        <w:rPr>
          <w:lang w:val="en-US"/>
        </w:rPr>
        <w:t>citations</w:t>
      </w:r>
      <w:r>
        <w:rPr>
          <w:lang w:val="en-US"/>
        </w:rPr>
        <w:t xml:space="preserve"> in this version of the article appear as</w:t>
      </w:r>
      <w:r w:rsidRPr="00CF15B9">
        <w:rPr>
          <w:lang w:val="en-US"/>
        </w:rPr>
        <w:t xml:space="preserve"> AUHTOR, YEA</w:t>
      </w:r>
      <w:r>
        <w:rPr>
          <w:lang w:val="en-US"/>
        </w:rPr>
        <w:t>R.</w:t>
      </w:r>
    </w:p>
  </w:footnote>
  <w:footnote w:id="4">
    <w:p w14:paraId="02A1DE7B" w14:textId="7B604520" w:rsidR="00CE4BBE" w:rsidRPr="00100D19" w:rsidRDefault="00CE4BBE" w:rsidP="00E70799">
      <w:pPr>
        <w:pStyle w:val="Default"/>
        <w:jc w:val="both"/>
        <w:rPr>
          <w:sz w:val="20"/>
          <w:szCs w:val="20"/>
        </w:rPr>
      </w:pPr>
      <w:r>
        <w:rPr>
          <w:rStyle w:val="Refdenotaderodap"/>
        </w:rPr>
        <w:footnoteRef/>
      </w:r>
      <w:r w:rsidRPr="00490904">
        <w:t xml:space="preserve"> </w:t>
      </w:r>
      <w:r w:rsidRPr="00476DF1">
        <w:rPr>
          <w:rFonts w:eastAsia="Times New Roman"/>
          <w:sz w:val="20"/>
          <w:szCs w:val="20"/>
          <w:shd w:val="clear" w:color="auto" w:fill="FFFFFF"/>
        </w:rPr>
        <w:t xml:space="preserve">In the pharmaceutical industry, the process that leads to an innovation </w:t>
      </w:r>
      <w:r w:rsidRPr="00476DF1">
        <w:rPr>
          <w:sz w:val="20"/>
          <w:szCs w:val="20"/>
        </w:rPr>
        <w:t xml:space="preserve">can be divided into 4 main stages: (i) target identification, characterization, and validation, followed by assay development; (ii) lead finding and optimization; (iii) and (iv) clinical trials (Schwardt </w:t>
      </w:r>
      <w:r w:rsidRPr="00476DF1">
        <w:rPr>
          <w:i/>
          <w:sz w:val="20"/>
          <w:szCs w:val="20"/>
        </w:rPr>
        <w:t>et al</w:t>
      </w:r>
      <w:r w:rsidRPr="00476DF1">
        <w:rPr>
          <w:sz w:val="20"/>
          <w:szCs w:val="20"/>
        </w:rPr>
        <w:t xml:space="preserve">., 2003, pg. 2). Roughly, in pharmaceutical R&amp;D, the activities conducted before the clinical trials encompass the </w:t>
      </w:r>
      <w:r w:rsidRPr="00476DF1">
        <w:rPr>
          <w:rFonts w:eastAsia="Times New Roman"/>
          <w:sz w:val="20"/>
          <w:szCs w:val="20"/>
          <w:shd w:val="clear" w:color="auto" w:fill="FFFFFF"/>
        </w:rPr>
        <w:t>drug discovery process or activities; a set of activities that are highly focused in science in which large enterprises employ their external sources of innovation.</w:t>
      </w:r>
      <w:bookmarkStart w:id="7" w:name="_GoBack"/>
      <w:bookmarkEnd w:id="7"/>
    </w:p>
  </w:footnote>
  <w:footnote w:id="5">
    <w:p w14:paraId="5F4D0160" w14:textId="18DED940" w:rsidR="00CE4BBE" w:rsidRPr="00891B22" w:rsidRDefault="00CE4BBE" w:rsidP="00DA1FB3">
      <w:pPr>
        <w:pStyle w:val="Textodenotaderodap"/>
        <w:rPr>
          <w:lang w:val="en-US"/>
        </w:rPr>
      </w:pPr>
      <w:r>
        <w:rPr>
          <w:rStyle w:val="Refdenotaderodap"/>
        </w:rPr>
        <w:footnoteRef/>
      </w:r>
      <w:r w:rsidRPr="00891B22">
        <w:rPr>
          <w:lang w:val="en-US"/>
        </w:rPr>
        <w:t xml:space="preserve"> This study used the 2013 edition</w:t>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68762" w14:textId="77777777" w:rsidR="009006F1" w:rsidRDefault="009006F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9936A" w14:textId="77777777" w:rsidR="00CE4BBE" w:rsidRDefault="00CE4BBE" w:rsidP="00301B29">
    <w:pPr>
      <w:pStyle w:val="Cabealh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B8CFD" w14:textId="77777777" w:rsidR="009006F1" w:rsidRDefault="009006F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30336"/>
    <w:multiLevelType w:val="hybridMultilevel"/>
    <w:tmpl w:val="E57A35E6"/>
    <w:lvl w:ilvl="0" w:tplc="9FFADBC6">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E6E6B"/>
    <w:multiLevelType w:val="hybridMultilevel"/>
    <w:tmpl w:val="DF84864C"/>
    <w:lvl w:ilvl="0" w:tplc="2AB48C9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05DCF"/>
    <w:multiLevelType w:val="multilevel"/>
    <w:tmpl w:val="76E495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04E15C7"/>
    <w:multiLevelType w:val="multilevel"/>
    <w:tmpl w:val="290E545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0" w:firstLine="0"/>
      </w:pPr>
      <w:rPr>
        <w:rFonts w:hint="default"/>
        <w:i w:val="0"/>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removePersonalInformation/>
  <w:removeDateAndTime/>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131078" w:nlCheck="1" w:checkStyle="1"/>
  <w:activeWritingStyle w:appName="MSWord" w:lang="pt-BR"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4BC"/>
    <w:rsid w:val="000016CA"/>
    <w:rsid w:val="00007EBA"/>
    <w:rsid w:val="00012A39"/>
    <w:rsid w:val="00013C42"/>
    <w:rsid w:val="000150A6"/>
    <w:rsid w:val="0001697A"/>
    <w:rsid w:val="00016A93"/>
    <w:rsid w:val="00017509"/>
    <w:rsid w:val="000215F5"/>
    <w:rsid w:val="000232BD"/>
    <w:rsid w:val="00025A20"/>
    <w:rsid w:val="00026716"/>
    <w:rsid w:val="00031FB3"/>
    <w:rsid w:val="00032A76"/>
    <w:rsid w:val="00033B1A"/>
    <w:rsid w:val="00033EF7"/>
    <w:rsid w:val="00035488"/>
    <w:rsid w:val="000459C5"/>
    <w:rsid w:val="00046D34"/>
    <w:rsid w:val="00056257"/>
    <w:rsid w:val="000661F2"/>
    <w:rsid w:val="00070871"/>
    <w:rsid w:val="00073D77"/>
    <w:rsid w:val="0008089A"/>
    <w:rsid w:val="0008297B"/>
    <w:rsid w:val="00082E74"/>
    <w:rsid w:val="0009058B"/>
    <w:rsid w:val="00090E2C"/>
    <w:rsid w:val="0009147D"/>
    <w:rsid w:val="00094BD3"/>
    <w:rsid w:val="0009567A"/>
    <w:rsid w:val="000A60C6"/>
    <w:rsid w:val="000A644D"/>
    <w:rsid w:val="000A6DCE"/>
    <w:rsid w:val="000B0229"/>
    <w:rsid w:val="000B2AF4"/>
    <w:rsid w:val="000B3645"/>
    <w:rsid w:val="000C095F"/>
    <w:rsid w:val="000C3ED7"/>
    <w:rsid w:val="000C6818"/>
    <w:rsid w:val="000C6BAE"/>
    <w:rsid w:val="000D33BE"/>
    <w:rsid w:val="000D6CD3"/>
    <w:rsid w:val="000E0E69"/>
    <w:rsid w:val="000E1F9D"/>
    <w:rsid w:val="000E43A5"/>
    <w:rsid w:val="000E4431"/>
    <w:rsid w:val="000E513C"/>
    <w:rsid w:val="000F0186"/>
    <w:rsid w:val="000F6DE1"/>
    <w:rsid w:val="00100A80"/>
    <w:rsid w:val="00100D19"/>
    <w:rsid w:val="001061A1"/>
    <w:rsid w:val="00116103"/>
    <w:rsid w:val="00117D96"/>
    <w:rsid w:val="00121399"/>
    <w:rsid w:val="00124DAB"/>
    <w:rsid w:val="00134F55"/>
    <w:rsid w:val="00140AE5"/>
    <w:rsid w:val="0014444B"/>
    <w:rsid w:val="001640EF"/>
    <w:rsid w:val="00167A77"/>
    <w:rsid w:val="0017020F"/>
    <w:rsid w:val="001706BD"/>
    <w:rsid w:val="00170E4E"/>
    <w:rsid w:val="0017443B"/>
    <w:rsid w:val="00175D95"/>
    <w:rsid w:val="0018295B"/>
    <w:rsid w:val="0018395B"/>
    <w:rsid w:val="001856D4"/>
    <w:rsid w:val="001860C1"/>
    <w:rsid w:val="00191B56"/>
    <w:rsid w:val="00194A4B"/>
    <w:rsid w:val="001A0595"/>
    <w:rsid w:val="001A3B49"/>
    <w:rsid w:val="001A3CBB"/>
    <w:rsid w:val="001A7103"/>
    <w:rsid w:val="001A775D"/>
    <w:rsid w:val="001B2CF6"/>
    <w:rsid w:val="001B36D0"/>
    <w:rsid w:val="001B5690"/>
    <w:rsid w:val="001B7A90"/>
    <w:rsid w:val="001B7D93"/>
    <w:rsid w:val="001C0E9E"/>
    <w:rsid w:val="001C3D84"/>
    <w:rsid w:val="001D350A"/>
    <w:rsid w:val="001D4E1F"/>
    <w:rsid w:val="001D5EB1"/>
    <w:rsid w:val="001D7AEF"/>
    <w:rsid w:val="001E20D5"/>
    <w:rsid w:val="001E30EE"/>
    <w:rsid w:val="001E63F1"/>
    <w:rsid w:val="001F0559"/>
    <w:rsid w:val="001F0B68"/>
    <w:rsid w:val="001F356D"/>
    <w:rsid w:val="001F4076"/>
    <w:rsid w:val="001F7FF3"/>
    <w:rsid w:val="002024D7"/>
    <w:rsid w:val="00207991"/>
    <w:rsid w:val="00210AA3"/>
    <w:rsid w:val="00213112"/>
    <w:rsid w:val="00213AF6"/>
    <w:rsid w:val="00216AC8"/>
    <w:rsid w:val="002214FC"/>
    <w:rsid w:val="0022309C"/>
    <w:rsid w:val="00226E14"/>
    <w:rsid w:val="00227250"/>
    <w:rsid w:val="00227486"/>
    <w:rsid w:val="00227CC2"/>
    <w:rsid w:val="00230DC7"/>
    <w:rsid w:val="00232875"/>
    <w:rsid w:val="00233A77"/>
    <w:rsid w:val="00240F29"/>
    <w:rsid w:val="002533B0"/>
    <w:rsid w:val="0025340A"/>
    <w:rsid w:val="00254DAF"/>
    <w:rsid w:val="00257AB8"/>
    <w:rsid w:val="00260453"/>
    <w:rsid w:val="00262A79"/>
    <w:rsid w:val="00270DB5"/>
    <w:rsid w:val="00270FB6"/>
    <w:rsid w:val="00271317"/>
    <w:rsid w:val="00271FF8"/>
    <w:rsid w:val="00272B59"/>
    <w:rsid w:val="00280907"/>
    <w:rsid w:val="0028775E"/>
    <w:rsid w:val="00292461"/>
    <w:rsid w:val="00294763"/>
    <w:rsid w:val="00295332"/>
    <w:rsid w:val="00295B07"/>
    <w:rsid w:val="002962BC"/>
    <w:rsid w:val="002A17A8"/>
    <w:rsid w:val="002A1D3B"/>
    <w:rsid w:val="002A244D"/>
    <w:rsid w:val="002A47BE"/>
    <w:rsid w:val="002A547D"/>
    <w:rsid w:val="002A7D63"/>
    <w:rsid w:val="002B1DA7"/>
    <w:rsid w:val="002B41A6"/>
    <w:rsid w:val="002C3F12"/>
    <w:rsid w:val="002C42B1"/>
    <w:rsid w:val="002C638D"/>
    <w:rsid w:val="002D2E66"/>
    <w:rsid w:val="002D44BC"/>
    <w:rsid w:val="002D4C61"/>
    <w:rsid w:val="002D573A"/>
    <w:rsid w:val="002E0547"/>
    <w:rsid w:val="002E73D1"/>
    <w:rsid w:val="002E79A1"/>
    <w:rsid w:val="002F28A3"/>
    <w:rsid w:val="002F3EAA"/>
    <w:rsid w:val="002F4BF6"/>
    <w:rsid w:val="002F518D"/>
    <w:rsid w:val="002F523D"/>
    <w:rsid w:val="003009EF"/>
    <w:rsid w:val="00301547"/>
    <w:rsid w:val="00301B29"/>
    <w:rsid w:val="003030E5"/>
    <w:rsid w:val="00303786"/>
    <w:rsid w:val="00304176"/>
    <w:rsid w:val="003058AB"/>
    <w:rsid w:val="003076B9"/>
    <w:rsid w:val="00307B34"/>
    <w:rsid w:val="00311CBD"/>
    <w:rsid w:val="00311F10"/>
    <w:rsid w:val="00312ADF"/>
    <w:rsid w:val="0032025B"/>
    <w:rsid w:val="00320747"/>
    <w:rsid w:val="00330B31"/>
    <w:rsid w:val="003443D3"/>
    <w:rsid w:val="00350615"/>
    <w:rsid w:val="00351C0F"/>
    <w:rsid w:val="0035612B"/>
    <w:rsid w:val="00356A3F"/>
    <w:rsid w:val="003650ED"/>
    <w:rsid w:val="00365C1B"/>
    <w:rsid w:val="00367E17"/>
    <w:rsid w:val="00373B4D"/>
    <w:rsid w:val="00376ED3"/>
    <w:rsid w:val="00380657"/>
    <w:rsid w:val="003915DA"/>
    <w:rsid w:val="003932A3"/>
    <w:rsid w:val="00396DE3"/>
    <w:rsid w:val="003975C3"/>
    <w:rsid w:val="00397972"/>
    <w:rsid w:val="00397D09"/>
    <w:rsid w:val="003A3CB7"/>
    <w:rsid w:val="003A5591"/>
    <w:rsid w:val="003B5B2F"/>
    <w:rsid w:val="003E2B50"/>
    <w:rsid w:val="003E3174"/>
    <w:rsid w:val="003E5946"/>
    <w:rsid w:val="003E7547"/>
    <w:rsid w:val="003E7729"/>
    <w:rsid w:val="003F7FEA"/>
    <w:rsid w:val="00400E67"/>
    <w:rsid w:val="00401BE3"/>
    <w:rsid w:val="00403C0F"/>
    <w:rsid w:val="00405355"/>
    <w:rsid w:val="00416240"/>
    <w:rsid w:val="00417661"/>
    <w:rsid w:val="004179D2"/>
    <w:rsid w:val="004203AF"/>
    <w:rsid w:val="00422788"/>
    <w:rsid w:val="00424135"/>
    <w:rsid w:val="00427296"/>
    <w:rsid w:val="00430361"/>
    <w:rsid w:val="0043037A"/>
    <w:rsid w:val="00441D52"/>
    <w:rsid w:val="00442BAF"/>
    <w:rsid w:val="004445DA"/>
    <w:rsid w:val="00444FD8"/>
    <w:rsid w:val="00445438"/>
    <w:rsid w:val="00447AFA"/>
    <w:rsid w:val="00457899"/>
    <w:rsid w:val="00460118"/>
    <w:rsid w:val="004626CB"/>
    <w:rsid w:val="00473CE4"/>
    <w:rsid w:val="004748FF"/>
    <w:rsid w:val="00476DF1"/>
    <w:rsid w:val="004804C4"/>
    <w:rsid w:val="00483BE2"/>
    <w:rsid w:val="00483FF5"/>
    <w:rsid w:val="004861DD"/>
    <w:rsid w:val="00490904"/>
    <w:rsid w:val="00492665"/>
    <w:rsid w:val="00492E2D"/>
    <w:rsid w:val="00493BB9"/>
    <w:rsid w:val="00493CF5"/>
    <w:rsid w:val="0049553B"/>
    <w:rsid w:val="004A1D4E"/>
    <w:rsid w:val="004A7AD0"/>
    <w:rsid w:val="004A7C87"/>
    <w:rsid w:val="004B1C9F"/>
    <w:rsid w:val="004B3F32"/>
    <w:rsid w:val="004B5449"/>
    <w:rsid w:val="004C1142"/>
    <w:rsid w:val="004C6A9F"/>
    <w:rsid w:val="004D2ADD"/>
    <w:rsid w:val="004D607C"/>
    <w:rsid w:val="004E0F42"/>
    <w:rsid w:val="004E1346"/>
    <w:rsid w:val="004E255A"/>
    <w:rsid w:val="004E3EFB"/>
    <w:rsid w:val="004E5114"/>
    <w:rsid w:val="004E62F6"/>
    <w:rsid w:val="004F1E09"/>
    <w:rsid w:val="004F2813"/>
    <w:rsid w:val="004F77F4"/>
    <w:rsid w:val="00500271"/>
    <w:rsid w:val="00502C6C"/>
    <w:rsid w:val="00503E9C"/>
    <w:rsid w:val="0050783A"/>
    <w:rsid w:val="00517476"/>
    <w:rsid w:val="005211D6"/>
    <w:rsid w:val="00522086"/>
    <w:rsid w:val="00522367"/>
    <w:rsid w:val="005225A6"/>
    <w:rsid w:val="00523D62"/>
    <w:rsid w:val="005244E0"/>
    <w:rsid w:val="005257F1"/>
    <w:rsid w:val="00525B93"/>
    <w:rsid w:val="00525F4E"/>
    <w:rsid w:val="0052774D"/>
    <w:rsid w:val="0054103B"/>
    <w:rsid w:val="005429A2"/>
    <w:rsid w:val="00543050"/>
    <w:rsid w:val="00546E5D"/>
    <w:rsid w:val="0055019A"/>
    <w:rsid w:val="00555429"/>
    <w:rsid w:val="00563EEB"/>
    <w:rsid w:val="005668FD"/>
    <w:rsid w:val="00574610"/>
    <w:rsid w:val="00575037"/>
    <w:rsid w:val="005752EE"/>
    <w:rsid w:val="00581667"/>
    <w:rsid w:val="00583562"/>
    <w:rsid w:val="0058599B"/>
    <w:rsid w:val="00587C15"/>
    <w:rsid w:val="0059073D"/>
    <w:rsid w:val="00591FCB"/>
    <w:rsid w:val="00593C10"/>
    <w:rsid w:val="005A2E71"/>
    <w:rsid w:val="005A300B"/>
    <w:rsid w:val="005A4D1D"/>
    <w:rsid w:val="005B3923"/>
    <w:rsid w:val="005C003E"/>
    <w:rsid w:val="005C2585"/>
    <w:rsid w:val="005D2A5F"/>
    <w:rsid w:val="005D33BD"/>
    <w:rsid w:val="005D581A"/>
    <w:rsid w:val="005E1136"/>
    <w:rsid w:val="005E427B"/>
    <w:rsid w:val="005F0CBA"/>
    <w:rsid w:val="005F2D88"/>
    <w:rsid w:val="005F74F8"/>
    <w:rsid w:val="006105DB"/>
    <w:rsid w:val="006119A0"/>
    <w:rsid w:val="0061516E"/>
    <w:rsid w:val="006253EB"/>
    <w:rsid w:val="00626704"/>
    <w:rsid w:val="0063149A"/>
    <w:rsid w:val="006331B7"/>
    <w:rsid w:val="00636566"/>
    <w:rsid w:val="0063660F"/>
    <w:rsid w:val="00636AC0"/>
    <w:rsid w:val="00641A1D"/>
    <w:rsid w:val="00651523"/>
    <w:rsid w:val="0066290B"/>
    <w:rsid w:val="006631CE"/>
    <w:rsid w:val="00665794"/>
    <w:rsid w:val="0066723C"/>
    <w:rsid w:val="006706EE"/>
    <w:rsid w:val="00670B70"/>
    <w:rsid w:val="006719B0"/>
    <w:rsid w:val="00671FCB"/>
    <w:rsid w:val="00677B30"/>
    <w:rsid w:val="00677E35"/>
    <w:rsid w:val="006812CB"/>
    <w:rsid w:val="00682171"/>
    <w:rsid w:val="0068304D"/>
    <w:rsid w:val="00683A2E"/>
    <w:rsid w:val="0068621C"/>
    <w:rsid w:val="00687998"/>
    <w:rsid w:val="00690DD1"/>
    <w:rsid w:val="00694B61"/>
    <w:rsid w:val="00696FA5"/>
    <w:rsid w:val="0069761C"/>
    <w:rsid w:val="006A0523"/>
    <w:rsid w:val="006A1E77"/>
    <w:rsid w:val="006B145A"/>
    <w:rsid w:val="006B2FDB"/>
    <w:rsid w:val="006B331D"/>
    <w:rsid w:val="006C07BE"/>
    <w:rsid w:val="006C7490"/>
    <w:rsid w:val="006D1DF1"/>
    <w:rsid w:val="006D52FA"/>
    <w:rsid w:val="006D6E68"/>
    <w:rsid w:val="006D729B"/>
    <w:rsid w:val="006E0CB6"/>
    <w:rsid w:val="006E1527"/>
    <w:rsid w:val="006F55B8"/>
    <w:rsid w:val="00702345"/>
    <w:rsid w:val="0070359E"/>
    <w:rsid w:val="007050AC"/>
    <w:rsid w:val="00705A00"/>
    <w:rsid w:val="00705C56"/>
    <w:rsid w:val="00706E25"/>
    <w:rsid w:val="00713A29"/>
    <w:rsid w:val="00725922"/>
    <w:rsid w:val="00726537"/>
    <w:rsid w:val="0072697B"/>
    <w:rsid w:val="007310C6"/>
    <w:rsid w:val="00734638"/>
    <w:rsid w:val="00735895"/>
    <w:rsid w:val="007472C1"/>
    <w:rsid w:val="00747F1E"/>
    <w:rsid w:val="0075015D"/>
    <w:rsid w:val="00755D25"/>
    <w:rsid w:val="007676DA"/>
    <w:rsid w:val="00776012"/>
    <w:rsid w:val="00776DAD"/>
    <w:rsid w:val="00780B69"/>
    <w:rsid w:val="0078215E"/>
    <w:rsid w:val="00782644"/>
    <w:rsid w:val="00782F0D"/>
    <w:rsid w:val="00783ECA"/>
    <w:rsid w:val="00784970"/>
    <w:rsid w:val="00787EE9"/>
    <w:rsid w:val="0079115A"/>
    <w:rsid w:val="007950B5"/>
    <w:rsid w:val="007A29BA"/>
    <w:rsid w:val="007A3A74"/>
    <w:rsid w:val="007B25AF"/>
    <w:rsid w:val="007C0008"/>
    <w:rsid w:val="007C3841"/>
    <w:rsid w:val="007C43FB"/>
    <w:rsid w:val="007C6992"/>
    <w:rsid w:val="007C6DE5"/>
    <w:rsid w:val="007D1B22"/>
    <w:rsid w:val="007D3A12"/>
    <w:rsid w:val="007E0410"/>
    <w:rsid w:val="007E067E"/>
    <w:rsid w:val="007E0778"/>
    <w:rsid w:val="007E2A60"/>
    <w:rsid w:val="007E59E2"/>
    <w:rsid w:val="007F69FF"/>
    <w:rsid w:val="00803BC1"/>
    <w:rsid w:val="00806F6C"/>
    <w:rsid w:val="00811741"/>
    <w:rsid w:val="0082254F"/>
    <w:rsid w:val="0082736E"/>
    <w:rsid w:val="00827FDC"/>
    <w:rsid w:val="00841DBE"/>
    <w:rsid w:val="00841FC9"/>
    <w:rsid w:val="008423D0"/>
    <w:rsid w:val="00846270"/>
    <w:rsid w:val="00846970"/>
    <w:rsid w:val="008538E3"/>
    <w:rsid w:val="0085779F"/>
    <w:rsid w:val="00861F4C"/>
    <w:rsid w:val="00862B4C"/>
    <w:rsid w:val="00864824"/>
    <w:rsid w:val="0086596A"/>
    <w:rsid w:val="00877071"/>
    <w:rsid w:val="00883F4E"/>
    <w:rsid w:val="0088704A"/>
    <w:rsid w:val="00891442"/>
    <w:rsid w:val="0089262A"/>
    <w:rsid w:val="008927F3"/>
    <w:rsid w:val="008A34CB"/>
    <w:rsid w:val="008A7C3C"/>
    <w:rsid w:val="008B1BB2"/>
    <w:rsid w:val="008B648D"/>
    <w:rsid w:val="008C1719"/>
    <w:rsid w:val="008C2885"/>
    <w:rsid w:val="008D09A1"/>
    <w:rsid w:val="008D449F"/>
    <w:rsid w:val="008D55B4"/>
    <w:rsid w:val="008D63C6"/>
    <w:rsid w:val="008E0480"/>
    <w:rsid w:val="008E0A0C"/>
    <w:rsid w:val="008E3EFA"/>
    <w:rsid w:val="008E4B1F"/>
    <w:rsid w:val="008E6DF7"/>
    <w:rsid w:val="008E732B"/>
    <w:rsid w:val="009006F1"/>
    <w:rsid w:val="00901982"/>
    <w:rsid w:val="00902332"/>
    <w:rsid w:val="009043D1"/>
    <w:rsid w:val="009068B2"/>
    <w:rsid w:val="00920024"/>
    <w:rsid w:val="00924F66"/>
    <w:rsid w:val="0092571F"/>
    <w:rsid w:val="0093695A"/>
    <w:rsid w:val="0095279D"/>
    <w:rsid w:val="00956083"/>
    <w:rsid w:val="009617CB"/>
    <w:rsid w:val="00961DDD"/>
    <w:rsid w:val="00962EA3"/>
    <w:rsid w:val="0096733F"/>
    <w:rsid w:val="00967402"/>
    <w:rsid w:val="0096791A"/>
    <w:rsid w:val="00970D4F"/>
    <w:rsid w:val="00983DB2"/>
    <w:rsid w:val="009846A5"/>
    <w:rsid w:val="00986E5C"/>
    <w:rsid w:val="009940E5"/>
    <w:rsid w:val="00994230"/>
    <w:rsid w:val="00994668"/>
    <w:rsid w:val="00996847"/>
    <w:rsid w:val="0099781C"/>
    <w:rsid w:val="009A14ED"/>
    <w:rsid w:val="009A2FFF"/>
    <w:rsid w:val="009A5118"/>
    <w:rsid w:val="009B0357"/>
    <w:rsid w:val="009B2FF7"/>
    <w:rsid w:val="009B6AF0"/>
    <w:rsid w:val="009C0D1C"/>
    <w:rsid w:val="009C20DC"/>
    <w:rsid w:val="009C2289"/>
    <w:rsid w:val="009C644A"/>
    <w:rsid w:val="009C6AA3"/>
    <w:rsid w:val="009D4E3C"/>
    <w:rsid w:val="009D7A0F"/>
    <w:rsid w:val="009E5D9E"/>
    <w:rsid w:val="009F1253"/>
    <w:rsid w:val="009F3951"/>
    <w:rsid w:val="00A02795"/>
    <w:rsid w:val="00A06442"/>
    <w:rsid w:val="00A12412"/>
    <w:rsid w:val="00A12FE4"/>
    <w:rsid w:val="00A14476"/>
    <w:rsid w:val="00A15A29"/>
    <w:rsid w:val="00A15DE8"/>
    <w:rsid w:val="00A17C42"/>
    <w:rsid w:val="00A22309"/>
    <w:rsid w:val="00A231AA"/>
    <w:rsid w:val="00A23232"/>
    <w:rsid w:val="00A23D83"/>
    <w:rsid w:val="00A25C2F"/>
    <w:rsid w:val="00A31413"/>
    <w:rsid w:val="00A32FD9"/>
    <w:rsid w:val="00A44070"/>
    <w:rsid w:val="00A467D8"/>
    <w:rsid w:val="00A50421"/>
    <w:rsid w:val="00A50D45"/>
    <w:rsid w:val="00A524CD"/>
    <w:rsid w:val="00A5311D"/>
    <w:rsid w:val="00A5549E"/>
    <w:rsid w:val="00A606CD"/>
    <w:rsid w:val="00A633C8"/>
    <w:rsid w:val="00A652DF"/>
    <w:rsid w:val="00A71532"/>
    <w:rsid w:val="00A726F4"/>
    <w:rsid w:val="00A73788"/>
    <w:rsid w:val="00A75C88"/>
    <w:rsid w:val="00A7749C"/>
    <w:rsid w:val="00A812B6"/>
    <w:rsid w:val="00A82B6E"/>
    <w:rsid w:val="00A846F2"/>
    <w:rsid w:val="00A92DC8"/>
    <w:rsid w:val="00A94BA5"/>
    <w:rsid w:val="00A96D1D"/>
    <w:rsid w:val="00A976E5"/>
    <w:rsid w:val="00AA2957"/>
    <w:rsid w:val="00AA3D13"/>
    <w:rsid w:val="00AA4CFC"/>
    <w:rsid w:val="00AB4001"/>
    <w:rsid w:val="00AB64B4"/>
    <w:rsid w:val="00AC294D"/>
    <w:rsid w:val="00AC2F3D"/>
    <w:rsid w:val="00AC3223"/>
    <w:rsid w:val="00AC3F6B"/>
    <w:rsid w:val="00AD5CEB"/>
    <w:rsid w:val="00AD645F"/>
    <w:rsid w:val="00AE7364"/>
    <w:rsid w:val="00AE773E"/>
    <w:rsid w:val="00AF105B"/>
    <w:rsid w:val="00AF5BCB"/>
    <w:rsid w:val="00AF75C4"/>
    <w:rsid w:val="00B00A86"/>
    <w:rsid w:val="00B027A0"/>
    <w:rsid w:val="00B05A72"/>
    <w:rsid w:val="00B118AF"/>
    <w:rsid w:val="00B12769"/>
    <w:rsid w:val="00B14D24"/>
    <w:rsid w:val="00B15F4F"/>
    <w:rsid w:val="00B20E46"/>
    <w:rsid w:val="00B23003"/>
    <w:rsid w:val="00B272C0"/>
    <w:rsid w:val="00B328D6"/>
    <w:rsid w:val="00B32A1E"/>
    <w:rsid w:val="00B4194E"/>
    <w:rsid w:val="00B43CEE"/>
    <w:rsid w:val="00B450F7"/>
    <w:rsid w:val="00B543F7"/>
    <w:rsid w:val="00B55D0F"/>
    <w:rsid w:val="00B6565B"/>
    <w:rsid w:val="00B70A83"/>
    <w:rsid w:val="00B70B40"/>
    <w:rsid w:val="00B71F35"/>
    <w:rsid w:val="00B755BE"/>
    <w:rsid w:val="00B91888"/>
    <w:rsid w:val="00B96707"/>
    <w:rsid w:val="00BA3495"/>
    <w:rsid w:val="00BA4A29"/>
    <w:rsid w:val="00BA5564"/>
    <w:rsid w:val="00BA5DD4"/>
    <w:rsid w:val="00BB4BB1"/>
    <w:rsid w:val="00BB51E0"/>
    <w:rsid w:val="00BB521D"/>
    <w:rsid w:val="00BC0764"/>
    <w:rsid w:val="00BC1808"/>
    <w:rsid w:val="00BC6228"/>
    <w:rsid w:val="00BD2111"/>
    <w:rsid w:val="00BD6D8E"/>
    <w:rsid w:val="00BE279A"/>
    <w:rsid w:val="00BE63EA"/>
    <w:rsid w:val="00BE734B"/>
    <w:rsid w:val="00BF0C8A"/>
    <w:rsid w:val="00BF2E16"/>
    <w:rsid w:val="00BF3501"/>
    <w:rsid w:val="00BF7FE4"/>
    <w:rsid w:val="00C01A84"/>
    <w:rsid w:val="00C02C3C"/>
    <w:rsid w:val="00C0512B"/>
    <w:rsid w:val="00C055AF"/>
    <w:rsid w:val="00C0594A"/>
    <w:rsid w:val="00C11B3E"/>
    <w:rsid w:val="00C14DF0"/>
    <w:rsid w:val="00C16780"/>
    <w:rsid w:val="00C16FB0"/>
    <w:rsid w:val="00C20D82"/>
    <w:rsid w:val="00C21ADA"/>
    <w:rsid w:val="00C21B5E"/>
    <w:rsid w:val="00C24550"/>
    <w:rsid w:val="00C32AEE"/>
    <w:rsid w:val="00C365DD"/>
    <w:rsid w:val="00C36D71"/>
    <w:rsid w:val="00C402EA"/>
    <w:rsid w:val="00C40FDD"/>
    <w:rsid w:val="00C55729"/>
    <w:rsid w:val="00C568A4"/>
    <w:rsid w:val="00C60EDB"/>
    <w:rsid w:val="00C631E9"/>
    <w:rsid w:val="00C658D9"/>
    <w:rsid w:val="00C77985"/>
    <w:rsid w:val="00C83B36"/>
    <w:rsid w:val="00C85988"/>
    <w:rsid w:val="00C86CDA"/>
    <w:rsid w:val="00C879DC"/>
    <w:rsid w:val="00C94883"/>
    <w:rsid w:val="00C9623B"/>
    <w:rsid w:val="00CA6771"/>
    <w:rsid w:val="00CA7A8E"/>
    <w:rsid w:val="00CB52F4"/>
    <w:rsid w:val="00CB5E62"/>
    <w:rsid w:val="00CB6376"/>
    <w:rsid w:val="00CC3D8B"/>
    <w:rsid w:val="00CD264E"/>
    <w:rsid w:val="00CD39A4"/>
    <w:rsid w:val="00CE276A"/>
    <w:rsid w:val="00CE4BBE"/>
    <w:rsid w:val="00CE6CFF"/>
    <w:rsid w:val="00CE766E"/>
    <w:rsid w:val="00CF15B9"/>
    <w:rsid w:val="00D01505"/>
    <w:rsid w:val="00D01F86"/>
    <w:rsid w:val="00D035B7"/>
    <w:rsid w:val="00D0717C"/>
    <w:rsid w:val="00D10627"/>
    <w:rsid w:val="00D21A30"/>
    <w:rsid w:val="00D24AE8"/>
    <w:rsid w:val="00D272E1"/>
    <w:rsid w:val="00D31DC5"/>
    <w:rsid w:val="00D36048"/>
    <w:rsid w:val="00D41825"/>
    <w:rsid w:val="00D43B29"/>
    <w:rsid w:val="00D47E57"/>
    <w:rsid w:val="00D47FFD"/>
    <w:rsid w:val="00D52F43"/>
    <w:rsid w:val="00D54BBE"/>
    <w:rsid w:val="00D5574F"/>
    <w:rsid w:val="00D57804"/>
    <w:rsid w:val="00D60CED"/>
    <w:rsid w:val="00D61572"/>
    <w:rsid w:val="00D62ACF"/>
    <w:rsid w:val="00D62DD2"/>
    <w:rsid w:val="00D74573"/>
    <w:rsid w:val="00D7462B"/>
    <w:rsid w:val="00D81841"/>
    <w:rsid w:val="00D82692"/>
    <w:rsid w:val="00D82D3F"/>
    <w:rsid w:val="00D86935"/>
    <w:rsid w:val="00D86BD6"/>
    <w:rsid w:val="00D87E3F"/>
    <w:rsid w:val="00D913F2"/>
    <w:rsid w:val="00DA1E21"/>
    <w:rsid w:val="00DA1FB3"/>
    <w:rsid w:val="00DB082D"/>
    <w:rsid w:val="00DB21BA"/>
    <w:rsid w:val="00DB612E"/>
    <w:rsid w:val="00DD6684"/>
    <w:rsid w:val="00DE028E"/>
    <w:rsid w:val="00DE0BD2"/>
    <w:rsid w:val="00DE0ED7"/>
    <w:rsid w:val="00DE2CF3"/>
    <w:rsid w:val="00DE34A4"/>
    <w:rsid w:val="00DE4E84"/>
    <w:rsid w:val="00DF35CE"/>
    <w:rsid w:val="00E03134"/>
    <w:rsid w:val="00E03F39"/>
    <w:rsid w:val="00E0427D"/>
    <w:rsid w:val="00E07F97"/>
    <w:rsid w:val="00E1142E"/>
    <w:rsid w:val="00E1158B"/>
    <w:rsid w:val="00E14AE8"/>
    <w:rsid w:val="00E16195"/>
    <w:rsid w:val="00E208EF"/>
    <w:rsid w:val="00E250FB"/>
    <w:rsid w:val="00E26CC9"/>
    <w:rsid w:val="00E361C3"/>
    <w:rsid w:val="00E36425"/>
    <w:rsid w:val="00E42B90"/>
    <w:rsid w:val="00E43E07"/>
    <w:rsid w:val="00E44B66"/>
    <w:rsid w:val="00E54870"/>
    <w:rsid w:val="00E65D4A"/>
    <w:rsid w:val="00E70799"/>
    <w:rsid w:val="00E734DF"/>
    <w:rsid w:val="00E75013"/>
    <w:rsid w:val="00E75CBC"/>
    <w:rsid w:val="00E77663"/>
    <w:rsid w:val="00E81C5F"/>
    <w:rsid w:val="00E82B69"/>
    <w:rsid w:val="00E83F0F"/>
    <w:rsid w:val="00E86B60"/>
    <w:rsid w:val="00E9250A"/>
    <w:rsid w:val="00E94E39"/>
    <w:rsid w:val="00E95EEE"/>
    <w:rsid w:val="00E9640E"/>
    <w:rsid w:val="00E9692A"/>
    <w:rsid w:val="00EA0300"/>
    <w:rsid w:val="00EB0117"/>
    <w:rsid w:val="00EB0287"/>
    <w:rsid w:val="00EB185D"/>
    <w:rsid w:val="00EB24B6"/>
    <w:rsid w:val="00EB447C"/>
    <w:rsid w:val="00EE2ADE"/>
    <w:rsid w:val="00EE5445"/>
    <w:rsid w:val="00EE5488"/>
    <w:rsid w:val="00EE5B46"/>
    <w:rsid w:val="00EE67B3"/>
    <w:rsid w:val="00EF0B01"/>
    <w:rsid w:val="00EF1BC2"/>
    <w:rsid w:val="00EF1D09"/>
    <w:rsid w:val="00EF388D"/>
    <w:rsid w:val="00EF42AA"/>
    <w:rsid w:val="00EF7DC7"/>
    <w:rsid w:val="00F0306F"/>
    <w:rsid w:val="00F04678"/>
    <w:rsid w:val="00F06834"/>
    <w:rsid w:val="00F10A0E"/>
    <w:rsid w:val="00F16CF1"/>
    <w:rsid w:val="00F23CEC"/>
    <w:rsid w:val="00F257CF"/>
    <w:rsid w:val="00F2639B"/>
    <w:rsid w:val="00F33431"/>
    <w:rsid w:val="00F33633"/>
    <w:rsid w:val="00F35242"/>
    <w:rsid w:val="00F4109A"/>
    <w:rsid w:val="00F42332"/>
    <w:rsid w:val="00F429BA"/>
    <w:rsid w:val="00F42E64"/>
    <w:rsid w:val="00F43E72"/>
    <w:rsid w:val="00F51343"/>
    <w:rsid w:val="00F54B79"/>
    <w:rsid w:val="00F56B11"/>
    <w:rsid w:val="00F57A60"/>
    <w:rsid w:val="00F60854"/>
    <w:rsid w:val="00F61F3C"/>
    <w:rsid w:val="00F728AD"/>
    <w:rsid w:val="00F7525A"/>
    <w:rsid w:val="00F75ACF"/>
    <w:rsid w:val="00F76E44"/>
    <w:rsid w:val="00F807C3"/>
    <w:rsid w:val="00F86E9D"/>
    <w:rsid w:val="00F87E77"/>
    <w:rsid w:val="00F900FB"/>
    <w:rsid w:val="00F91C68"/>
    <w:rsid w:val="00F97EFE"/>
    <w:rsid w:val="00FA1868"/>
    <w:rsid w:val="00FA2AC3"/>
    <w:rsid w:val="00FA4780"/>
    <w:rsid w:val="00FA6BA2"/>
    <w:rsid w:val="00FA7514"/>
    <w:rsid w:val="00FB0E5C"/>
    <w:rsid w:val="00FB2FFA"/>
    <w:rsid w:val="00FB4D24"/>
    <w:rsid w:val="00FB5391"/>
    <w:rsid w:val="00FB6981"/>
    <w:rsid w:val="00FC67F4"/>
    <w:rsid w:val="00FC7AE6"/>
    <w:rsid w:val="00FD280D"/>
    <w:rsid w:val="00FD3C52"/>
    <w:rsid w:val="00FD3FAF"/>
    <w:rsid w:val="00FE093D"/>
    <w:rsid w:val="00FE76EF"/>
    <w:rsid w:val="00FF090A"/>
    <w:rsid w:val="00FF2E1E"/>
    <w:rsid w:val="00FF4C98"/>
    <w:rsid w:val="00FF7572"/>
    <w:rsid w:val="00FF772D"/>
    <w:rsid w:val="00FF7BC2"/>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A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E9D"/>
    <w:pPr>
      <w:spacing w:after="160" w:line="259" w:lineRule="auto"/>
    </w:pPr>
    <w:rPr>
      <w:sz w:val="22"/>
      <w:szCs w:val="22"/>
      <w:lang w:val="en-US" w:eastAsia="en-US"/>
    </w:rPr>
  </w:style>
  <w:style w:type="paragraph" w:styleId="Ttulo1">
    <w:name w:val="heading 1"/>
    <w:basedOn w:val="PargrafodaLista"/>
    <w:next w:val="Normal"/>
    <w:link w:val="Ttulo1Char"/>
    <w:uiPriority w:val="9"/>
    <w:qFormat/>
    <w:rsid w:val="0052774D"/>
    <w:pPr>
      <w:numPr>
        <w:numId w:val="4"/>
      </w:numPr>
      <w:spacing w:after="0" w:line="360" w:lineRule="auto"/>
      <w:outlineLvl w:val="0"/>
    </w:pPr>
    <w:rPr>
      <w:rFonts w:ascii="Times New Roman" w:hAnsi="Times New Roman"/>
      <w:b/>
      <w:sz w:val="28"/>
      <w:szCs w:val="28"/>
    </w:rPr>
  </w:style>
  <w:style w:type="paragraph" w:styleId="Ttulo2">
    <w:name w:val="heading 2"/>
    <w:basedOn w:val="PargrafodaLista"/>
    <w:next w:val="Normal"/>
    <w:link w:val="Ttulo2Char"/>
    <w:uiPriority w:val="9"/>
    <w:unhideWhenUsed/>
    <w:qFormat/>
    <w:rsid w:val="0052774D"/>
    <w:pPr>
      <w:numPr>
        <w:ilvl w:val="1"/>
        <w:numId w:val="4"/>
      </w:numPr>
      <w:spacing w:after="0" w:line="360" w:lineRule="auto"/>
      <w:outlineLvl w:val="1"/>
    </w:pPr>
    <w:rPr>
      <w:rFonts w:ascii="Times New Roman" w:hAnsi="Times New Roman"/>
      <w:b/>
      <w:sz w:val="24"/>
      <w:szCs w:val="24"/>
    </w:rPr>
  </w:style>
  <w:style w:type="paragraph" w:styleId="Ttulo3">
    <w:name w:val="heading 3"/>
    <w:basedOn w:val="PargrafodaLista"/>
    <w:next w:val="Normal"/>
    <w:link w:val="Ttulo3Char"/>
    <w:uiPriority w:val="9"/>
    <w:unhideWhenUsed/>
    <w:qFormat/>
    <w:rsid w:val="0052774D"/>
    <w:pPr>
      <w:numPr>
        <w:ilvl w:val="2"/>
        <w:numId w:val="4"/>
      </w:numPr>
      <w:spacing w:after="0" w:line="360" w:lineRule="auto"/>
      <w:outlineLvl w:val="2"/>
    </w:pPr>
    <w:rPr>
      <w:rFonts w:ascii="Times New Roman" w:hAnsi="Times New Roman"/>
      <w:i/>
      <w:sz w:val="24"/>
      <w:szCs w:val="24"/>
    </w:rPr>
  </w:style>
  <w:style w:type="paragraph" w:styleId="Ttulo4">
    <w:name w:val="heading 4"/>
    <w:basedOn w:val="PargrafodaLista"/>
    <w:next w:val="Normal"/>
    <w:link w:val="Ttulo4Char"/>
    <w:uiPriority w:val="9"/>
    <w:unhideWhenUsed/>
    <w:qFormat/>
    <w:rsid w:val="0052774D"/>
    <w:pPr>
      <w:numPr>
        <w:ilvl w:val="3"/>
        <w:numId w:val="4"/>
      </w:numPr>
      <w:spacing w:after="0" w:line="360" w:lineRule="auto"/>
      <w:outlineLvl w:val="3"/>
    </w:pPr>
    <w:rPr>
      <w:rFonts w:ascii="Times New Roman" w:hAnsi="Times New Roman"/>
      <w: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uiPriority w:val="9"/>
    <w:rsid w:val="0052774D"/>
    <w:rPr>
      <w:rFonts w:ascii="Times New Roman" w:hAnsi="Times New Roman"/>
      <w:i/>
      <w:sz w:val="24"/>
      <w:szCs w:val="24"/>
      <w:lang w:val="en-US" w:eastAsia="en-US"/>
    </w:rPr>
  </w:style>
  <w:style w:type="character" w:customStyle="1" w:styleId="Ttulo4Char">
    <w:name w:val="Título 4 Char"/>
    <w:link w:val="Ttulo4"/>
    <w:uiPriority w:val="9"/>
    <w:rsid w:val="0052774D"/>
    <w:rPr>
      <w:rFonts w:ascii="Times New Roman" w:hAnsi="Times New Roman"/>
      <w:i/>
      <w:sz w:val="24"/>
      <w:szCs w:val="24"/>
      <w:lang w:val="en-US" w:eastAsia="en-US"/>
    </w:rPr>
  </w:style>
  <w:style w:type="character" w:styleId="Refdenotaderodap">
    <w:name w:val="footnote reference"/>
    <w:uiPriority w:val="99"/>
    <w:semiHidden/>
    <w:unhideWhenUsed/>
    <w:rsid w:val="001A7103"/>
    <w:rPr>
      <w:vertAlign w:val="superscript"/>
    </w:rPr>
  </w:style>
  <w:style w:type="paragraph" w:customStyle="1" w:styleId="Contedodatabela">
    <w:name w:val="Conteúdo da tabela"/>
    <w:basedOn w:val="Normal"/>
    <w:qFormat/>
    <w:rsid w:val="001A7103"/>
    <w:pPr>
      <w:widowControl w:val="0"/>
      <w:spacing w:after="0" w:line="240" w:lineRule="auto"/>
    </w:pPr>
    <w:rPr>
      <w:rFonts w:ascii="Liberation Serif" w:eastAsia="SimSun" w:hAnsi="Liberation Serif" w:cs="Arial"/>
      <w:color w:val="00000A"/>
      <w:sz w:val="24"/>
      <w:szCs w:val="24"/>
      <w:lang w:val="pt-BR" w:eastAsia="zh-CN" w:bidi="hi-IN"/>
    </w:rPr>
  </w:style>
  <w:style w:type="character" w:customStyle="1" w:styleId="Ttulo2Char">
    <w:name w:val="Título 2 Char"/>
    <w:link w:val="Ttulo2"/>
    <w:uiPriority w:val="9"/>
    <w:rsid w:val="0052774D"/>
    <w:rPr>
      <w:rFonts w:ascii="Times New Roman" w:hAnsi="Times New Roman"/>
      <w:b/>
      <w:sz w:val="24"/>
      <w:szCs w:val="24"/>
      <w:lang w:val="en-US" w:eastAsia="en-US"/>
    </w:rPr>
  </w:style>
  <w:style w:type="paragraph" w:styleId="Textodenotaderodap">
    <w:name w:val="footnote text"/>
    <w:basedOn w:val="Normal"/>
    <w:link w:val="TextodenotaderodapChar"/>
    <w:uiPriority w:val="99"/>
    <w:unhideWhenUsed/>
    <w:rsid w:val="00CB6376"/>
    <w:pPr>
      <w:spacing w:after="0" w:line="240" w:lineRule="auto"/>
    </w:pPr>
    <w:rPr>
      <w:rFonts w:ascii="Times New Roman" w:hAnsi="Times New Roman"/>
      <w:sz w:val="20"/>
      <w:szCs w:val="20"/>
      <w:lang w:val="pt-BR"/>
    </w:rPr>
  </w:style>
  <w:style w:type="character" w:customStyle="1" w:styleId="TextodenotaderodapChar">
    <w:name w:val="Texto de nota de rodapé Char"/>
    <w:link w:val="Textodenotaderodap"/>
    <w:uiPriority w:val="99"/>
    <w:rsid w:val="00CB6376"/>
    <w:rPr>
      <w:rFonts w:ascii="Times New Roman" w:hAnsi="Times New Roman"/>
      <w:sz w:val="20"/>
      <w:szCs w:val="20"/>
      <w:lang w:val="pt-BR"/>
    </w:rPr>
  </w:style>
  <w:style w:type="character" w:styleId="Hyperlink">
    <w:name w:val="Hyperlink"/>
    <w:uiPriority w:val="99"/>
    <w:unhideWhenUsed/>
    <w:rsid w:val="00EF388D"/>
    <w:rPr>
      <w:color w:val="0000FF"/>
      <w:u w:val="single"/>
    </w:rPr>
  </w:style>
  <w:style w:type="paragraph" w:styleId="Textodebalo">
    <w:name w:val="Balloon Text"/>
    <w:basedOn w:val="Normal"/>
    <w:link w:val="TextodebaloChar"/>
    <w:uiPriority w:val="99"/>
    <w:semiHidden/>
    <w:unhideWhenUsed/>
    <w:rsid w:val="00311F1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1F10"/>
    <w:rPr>
      <w:rFonts w:ascii="Tahoma" w:hAnsi="Tahoma" w:cs="Tahoma"/>
      <w:sz w:val="16"/>
      <w:szCs w:val="16"/>
      <w:lang w:val="en-US" w:eastAsia="en-US"/>
    </w:rPr>
  </w:style>
  <w:style w:type="paragraph" w:styleId="Cabealho">
    <w:name w:val="header"/>
    <w:basedOn w:val="Normal"/>
    <w:link w:val="CabealhoChar"/>
    <w:uiPriority w:val="99"/>
    <w:unhideWhenUsed/>
    <w:rsid w:val="008E4B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E4B1F"/>
    <w:rPr>
      <w:sz w:val="22"/>
      <w:szCs w:val="22"/>
      <w:lang w:val="en-US" w:eastAsia="en-US"/>
    </w:rPr>
  </w:style>
  <w:style w:type="paragraph" w:styleId="Rodap">
    <w:name w:val="footer"/>
    <w:basedOn w:val="Normal"/>
    <w:link w:val="RodapChar"/>
    <w:uiPriority w:val="99"/>
    <w:unhideWhenUsed/>
    <w:rsid w:val="008E4B1F"/>
    <w:pPr>
      <w:tabs>
        <w:tab w:val="center" w:pos="4252"/>
        <w:tab w:val="right" w:pos="8504"/>
      </w:tabs>
      <w:spacing w:after="0" w:line="240" w:lineRule="auto"/>
    </w:pPr>
  </w:style>
  <w:style w:type="character" w:customStyle="1" w:styleId="RodapChar">
    <w:name w:val="Rodapé Char"/>
    <w:basedOn w:val="Fontepargpadro"/>
    <w:link w:val="Rodap"/>
    <w:uiPriority w:val="99"/>
    <w:rsid w:val="008E4B1F"/>
    <w:rPr>
      <w:sz w:val="22"/>
      <w:szCs w:val="22"/>
      <w:lang w:val="en-US" w:eastAsia="en-US"/>
    </w:rPr>
  </w:style>
  <w:style w:type="paragraph" w:customStyle="1" w:styleId="Standard">
    <w:name w:val="Standard"/>
    <w:rsid w:val="00641A1D"/>
    <w:pPr>
      <w:suppressAutoHyphens/>
      <w:autoSpaceDN w:val="0"/>
      <w:textAlignment w:val="baseline"/>
    </w:pPr>
    <w:rPr>
      <w:rFonts w:ascii="Liberation Serif" w:eastAsia="SimSun" w:hAnsi="Liberation Serif" w:cs="Arial"/>
      <w:kern w:val="3"/>
      <w:sz w:val="24"/>
      <w:szCs w:val="24"/>
      <w:lang w:eastAsia="zh-CN" w:bidi="hi-IN"/>
    </w:rPr>
  </w:style>
  <w:style w:type="paragraph" w:customStyle="1" w:styleId="Default">
    <w:name w:val="Default"/>
    <w:rsid w:val="00C60EDB"/>
    <w:pPr>
      <w:autoSpaceDE w:val="0"/>
      <w:autoSpaceDN w:val="0"/>
      <w:adjustRightInd w:val="0"/>
    </w:pPr>
    <w:rPr>
      <w:rFonts w:ascii="Times New Roman" w:hAnsi="Times New Roman"/>
      <w:color w:val="000000"/>
      <w:sz w:val="24"/>
      <w:szCs w:val="24"/>
      <w:lang w:val="en-US"/>
    </w:rPr>
  </w:style>
  <w:style w:type="character" w:styleId="Refdecomentrio">
    <w:name w:val="annotation reference"/>
    <w:basedOn w:val="Fontepargpadro"/>
    <w:uiPriority w:val="99"/>
    <w:semiHidden/>
    <w:unhideWhenUsed/>
    <w:rsid w:val="00F33633"/>
    <w:rPr>
      <w:sz w:val="16"/>
      <w:szCs w:val="16"/>
    </w:rPr>
  </w:style>
  <w:style w:type="paragraph" w:styleId="Textodecomentrio">
    <w:name w:val="annotation text"/>
    <w:basedOn w:val="Normal"/>
    <w:link w:val="TextodecomentrioChar"/>
    <w:uiPriority w:val="99"/>
    <w:semiHidden/>
    <w:unhideWhenUsed/>
    <w:rsid w:val="00F3363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33633"/>
    <w:rPr>
      <w:lang w:val="en-US" w:eastAsia="en-US"/>
    </w:rPr>
  </w:style>
  <w:style w:type="paragraph" w:styleId="Assuntodocomentrio">
    <w:name w:val="annotation subject"/>
    <w:basedOn w:val="Textodecomentrio"/>
    <w:next w:val="Textodecomentrio"/>
    <w:link w:val="AssuntodocomentrioChar"/>
    <w:uiPriority w:val="99"/>
    <w:semiHidden/>
    <w:unhideWhenUsed/>
    <w:rsid w:val="00F33633"/>
    <w:rPr>
      <w:b/>
      <w:bCs/>
    </w:rPr>
  </w:style>
  <w:style w:type="character" w:customStyle="1" w:styleId="AssuntodocomentrioChar">
    <w:name w:val="Assunto do comentário Char"/>
    <w:basedOn w:val="TextodecomentrioChar"/>
    <w:link w:val="Assuntodocomentrio"/>
    <w:uiPriority w:val="99"/>
    <w:semiHidden/>
    <w:rsid w:val="00F33633"/>
    <w:rPr>
      <w:b/>
      <w:bCs/>
      <w:lang w:val="en-US" w:eastAsia="en-US"/>
    </w:rPr>
  </w:style>
  <w:style w:type="paragraph" w:styleId="Legenda">
    <w:name w:val="caption"/>
    <w:basedOn w:val="Normal"/>
    <w:next w:val="Normal"/>
    <w:uiPriority w:val="35"/>
    <w:unhideWhenUsed/>
    <w:qFormat/>
    <w:rsid w:val="00227CC2"/>
    <w:pPr>
      <w:spacing w:after="200" w:line="240" w:lineRule="auto"/>
    </w:pPr>
    <w:rPr>
      <w:i/>
      <w:iCs/>
      <w:color w:val="1F497D" w:themeColor="text2"/>
      <w:sz w:val="18"/>
      <w:szCs w:val="18"/>
    </w:rPr>
  </w:style>
  <w:style w:type="paragraph" w:styleId="PargrafodaLista">
    <w:name w:val="List Paragraph"/>
    <w:basedOn w:val="Normal"/>
    <w:uiPriority w:val="34"/>
    <w:qFormat/>
    <w:rsid w:val="00901982"/>
    <w:pPr>
      <w:ind w:left="720"/>
      <w:contextualSpacing/>
    </w:pPr>
  </w:style>
  <w:style w:type="character" w:customStyle="1" w:styleId="Ttulo1Char">
    <w:name w:val="Título 1 Char"/>
    <w:basedOn w:val="Fontepargpadro"/>
    <w:link w:val="Ttulo1"/>
    <w:uiPriority w:val="9"/>
    <w:rsid w:val="0052774D"/>
    <w:rPr>
      <w:rFonts w:ascii="Times New Roman" w:hAnsi="Times New Roman"/>
      <w:b/>
      <w:sz w:val="28"/>
      <w:szCs w:val="28"/>
      <w:lang w:val="en-US" w:eastAsia="en-US"/>
    </w:rPr>
  </w:style>
  <w:style w:type="paragraph" w:styleId="Reviso">
    <w:name w:val="Revision"/>
    <w:hidden/>
    <w:uiPriority w:val="99"/>
    <w:semiHidden/>
    <w:rsid w:val="00555429"/>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4629">
      <w:bodyDiv w:val="1"/>
      <w:marLeft w:val="0"/>
      <w:marRight w:val="0"/>
      <w:marTop w:val="0"/>
      <w:marBottom w:val="0"/>
      <w:divBdr>
        <w:top w:val="none" w:sz="0" w:space="0" w:color="auto"/>
        <w:left w:val="none" w:sz="0" w:space="0" w:color="auto"/>
        <w:bottom w:val="none" w:sz="0" w:space="0" w:color="auto"/>
        <w:right w:val="none" w:sz="0" w:space="0" w:color="auto"/>
      </w:divBdr>
    </w:div>
    <w:div w:id="60180884">
      <w:bodyDiv w:val="1"/>
      <w:marLeft w:val="0"/>
      <w:marRight w:val="0"/>
      <w:marTop w:val="0"/>
      <w:marBottom w:val="0"/>
      <w:divBdr>
        <w:top w:val="none" w:sz="0" w:space="0" w:color="auto"/>
        <w:left w:val="none" w:sz="0" w:space="0" w:color="auto"/>
        <w:bottom w:val="none" w:sz="0" w:space="0" w:color="auto"/>
        <w:right w:val="none" w:sz="0" w:space="0" w:color="auto"/>
      </w:divBdr>
    </w:div>
    <w:div w:id="104931476">
      <w:bodyDiv w:val="1"/>
      <w:marLeft w:val="0"/>
      <w:marRight w:val="0"/>
      <w:marTop w:val="0"/>
      <w:marBottom w:val="0"/>
      <w:divBdr>
        <w:top w:val="none" w:sz="0" w:space="0" w:color="auto"/>
        <w:left w:val="none" w:sz="0" w:space="0" w:color="auto"/>
        <w:bottom w:val="none" w:sz="0" w:space="0" w:color="auto"/>
        <w:right w:val="none" w:sz="0" w:space="0" w:color="auto"/>
      </w:divBdr>
    </w:div>
    <w:div w:id="193351316">
      <w:bodyDiv w:val="1"/>
      <w:marLeft w:val="0"/>
      <w:marRight w:val="0"/>
      <w:marTop w:val="0"/>
      <w:marBottom w:val="0"/>
      <w:divBdr>
        <w:top w:val="none" w:sz="0" w:space="0" w:color="auto"/>
        <w:left w:val="none" w:sz="0" w:space="0" w:color="auto"/>
        <w:bottom w:val="none" w:sz="0" w:space="0" w:color="auto"/>
        <w:right w:val="none" w:sz="0" w:space="0" w:color="auto"/>
      </w:divBdr>
    </w:div>
    <w:div w:id="275991637">
      <w:bodyDiv w:val="1"/>
      <w:marLeft w:val="0"/>
      <w:marRight w:val="0"/>
      <w:marTop w:val="0"/>
      <w:marBottom w:val="0"/>
      <w:divBdr>
        <w:top w:val="none" w:sz="0" w:space="0" w:color="auto"/>
        <w:left w:val="none" w:sz="0" w:space="0" w:color="auto"/>
        <w:bottom w:val="none" w:sz="0" w:space="0" w:color="auto"/>
        <w:right w:val="none" w:sz="0" w:space="0" w:color="auto"/>
      </w:divBdr>
    </w:div>
    <w:div w:id="285816707">
      <w:bodyDiv w:val="1"/>
      <w:marLeft w:val="0"/>
      <w:marRight w:val="0"/>
      <w:marTop w:val="0"/>
      <w:marBottom w:val="0"/>
      <w:divBdr>
        <w:top w:val="none" w:sz="0" w:space="0" w:color="auto"/>
        <w:left w:val="none" w:sz="0" w:space="0" w:color="auto"/>
        <w:bottom w:val="none" w:sz="0" w:space="0" w:color="auto"/>
        <w:right w:val="none" w:sz="0" w:space="0" w:color="auto"/>
      </w:divBdr>
    </w:div>
    <w:div w:id="294337217">
      <w:bodyDiv w:val="1"/>
      <w:marLeft w:val="0"/>
      <w:marRight w:val="0"/>
      <w:marTop w:val="0"/>
      <w:marBottom w:val="0"/>
      <w:divBdr>
        <w:top w:val="none" w:sz="0" w:space="0" w:color="auto"/>
        <w:left w:val="none" w:sz="0" w:space="0" w:color="auto"/>
        <w:bottom w:val="none" w:sz="0" w:space="0" w:color="auto"/>
        <w:right w:val="none" w:sz="0" w:space="0" w:color="auto"/>
      </w:divBdr>
    </w:div>
    <w:div w:id="645352899">
      <w:bodyDiv w:val="1"/>
      <w:marLeft w:val="0"/>
      <w:marRight w:val="0"/>
      <w:marTop w:val="0"/>
      <w:marBottom w:val="0"/>
      <w:divBdr>
        <w:top w:val="none" w:sz="0" w:space="0" w:color="auto"/>
        <w:left w:val="none" w:sz="0" w:space="0" w:color="auto"/>
        <w:bottom w:val="none" w:sz="0" w:space="0" w:color="auto"/>
        <w:right w:val="none" w:sz="0" w:space="0" w:color="auto"/>
      </w:divBdr>
    </w:div>
    <w:div w:id="680546252">
      <w:bodyDiv w:val="1"/>
      <w:marLeft w:val="0"/>
      <w:marRight w:val="0"/>
      <w:marTop w:val="0"/>
      <w:marBottom w:val="0"/>
      <w:divBdr>
        <w:top w:val="none" w:sz="0" w:space="0" w:color="auto"/>
        <w:left w:val="none" w:sz="0" w:space="0" w:color="auto"/>
        <w:bottom w:val="none" w:sz="0" w:space="0" w:color="auto"/>
        <w:right w:val="none" w:sz="0" w:space="0" w:color="auto"/>
      </w:divBdr>
    </w:div>
    <w:div w:id="777413207">
      <w:bodyDiv w:val="1"/>
      <w:marLeft w:val="0"/>
      <w:marRight w:val="0"/>
      <w:marTop w:val="0"/>
      <w:marBottom w:val="0"/>
      <w:divBdr>
        <w:top w:val="none" w:sz="0" w:space="0" w:color="auto"/>
        <w:left w:val="none" w:sz="0" w:space="0" w:color="auto"/>
        <w:bottom w:val="none" w:sz="0" w:space="0" w:color="auto"/>
        <w:right w:val="none" w:sz="0" w:space="0" w:color="auto"/>
      </w:divBdr>
    </w:div>
    <w:div w:id="918440918">
      <w:bodyDiv w:val="1"/>
      <w:marLeft w:val="0"/>
      <w:marRight w:val="0"/>
      <w:marTop w:val="0"/>
      <w:marBottom w:val="0"/>
      <w:divBdr>
        <w:top w:val="none" w:sz="0" w:space="0" w:color="auto"/>
        <w:left w:val="none" w:sz="0" w:space="0" w:color="auto"/>
        <w:bottom w:val="none" w:sz="0" w:space="0" w:color="auto"/>
        <w:right w:val="none" w:sz="0" w:space="0" w:color="auto"/>
      </w:divBdr>
    </w:div>
    <w:div w:id="1071805706">
      <w:bodyDiv w:val="1"/>
      <w:marLeft w:val="0"/>
      <w:marRight w:val="0"/>
      <w:marTop w:val="0"/>
      <w:marBottom w:val="0"/>
      <w:divBdr>
        <w:top w:val="none" w:sz="0" w:space="0" w:color="auto"/>
        <w:left w:val="none" w:sz="0" w:space="0" w:color="auto"/>
        <w:bottom w:val="none" w:sz="0" w:space="0" w:color="auto"/>
        <w:right w:val="none" w:sz="0" w:space="0" w:color="auto"/>
      </w:divBdr>
    </w:div>
    <w:div w:id="1235622148">
      <w:bodyDiv w:val="1"/>
      <w:marLeft w:val="0"/>
      <w:marRight w:val="0"/>
      <w:marTop w:val="0"/>
      <w:marBottom w:val="0"/>
      <w:divBdr>
        <w:top w:val="none" w:sz="0" w:space="0" w:color="auto"/>
        <w:left w:val="none" w:sz="0" w:space="0" w:color="auto"/>
        <w:bottom w:val="none" w:sz="0" w:space="0" w:color="auto"/>
        <w:right w:val="none" w:sz="0" w:space="0" w:color="auto"/>
      </w:divBdr>
    </w:div>
    <w:div w:id="1293901494">
      <w:bodyDiv w:val="1"/>
      <w:marLeft w:val="0"/>
      <w:marRight w:val="0"/>
      <w:marTop w:val="0"/>
      <w:marBottom w:val="0"/>
      <w:divBdr>
        <w:top w:val="none" w:sz="0" w:space="0" w:color="auto"/>
        <w:left w:val="none" w:sz="0" w:space="0" w:color="auto"/>
        <w:bottom w:val="none" w:sz="0" w:space="0" w:color="auto"/>
        <w:right w:val="none" w:sz="0" w:space="0" w:color="auto"/>
      </w:divBdr>
    </w:div>
    <w:div w:id="1312363962">
      <w:bodyDiv w:val="1"/>
      <w:marLeft w:val="0"/>
      <w:marRight w:val="0"/>
      <w:marTop w:val="0"/>
      <w:marBottom w:val="0"/>
      <w:divBdr>
        <w:top w:val="none" w:sz="0" w:space="0" w:color="auto"/>
        <w:left w:val="none" w:sz="0" w:space="0" w:color="auto"/>
        <w:bottom w:val="none" w:sz="0" w:space="0" w:color="auto"/>
        <w:right w:val="none" w:sz="0" w:space="0" w:color="auto"/>
      </w:divBdr>
    </w:div>
    <w:div w:id="1451388576">
      <w:bodyDiv w:val="1"/>
      <w:marLeft w:val="0"/>
      <w:marRight w:val="0"/>
      <w:marTop w:val="0"/>
      <w:marBottom w:val="0"/>
      <w:divBdr>
        <w:top w:val="none" w:sz="0" w:space="0" w:color="auto"/>
        <w:left w:val="none" w:sz="0" w:space="0" w:color="auto"/>
        <w:bottom w:val="none" w:sz="0" w:space="0" w:color="auto"/>
        <w:right w:val="none" w:sz="0" w:space="0" w:color="auto"/>
      </w:divBdr>
    </w:div>
    <w:div w:id="1567762166">
      <w:bodyDiv w:val="1"/>
      <w:marLeft w:val="0"/>
      <w:marRight w:val="0"/>
      <w:marTop w:val="0"/>
      <w:marBottom w:val="0"/>
      <w:divBdr>
        <w:top w:val="none" w:sz="0" w:space="0" w:color="auto"/>
        <w:left w:val="none" w:sz="0" w:space="0" w:color="auto"/>
        <w:bottom w:val="none" w:sz="0" w:space="0" w:color="auto"/>
        <w:right w:val="none" w:sz="0" w:space="0" w:color="auto"/>
      </w:divBdr>
    </w:div>
    <w:div w:id="1790053776">
      <w:bodyDiv w:val="1"/>
      <w:marLeft w:val="0"/>
      <w:marRight w:val="0"/>
      <w:marTop w:val="0"/>
      <w:marBottom w:val="0"/>
      <w:divBdr>
        <w:top w:val="none" w:sz="0" w:space="0" w:color="auto"/>
        <w:left w:val="none" w:sz="0" w:space="0" w:color="auto"/>
        <w:bottom w:val="none" w:sz="0" w:space="0" w:color="auto"/>
        <w:right w:val="none" w:sz="0" w:space="0" w:color="auto"/>
      </w:divBdr>
    </w:div>
    <w:div w:id="184936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MMM\Documents\Google%20Drive\Unicamp\Doutorado\Artigo\artigo%20da%20tese\dados%20artigo%20tese\novas%20classes%20de%20patentes%20na%20aera%20de%20biotecnologi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MM\Documents\Google%20Drive\Unicamp\Doutorado\Artigo\artigo%20da%20tese\dados%20artigo%20tese\inventore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1462587668344736E-2"/>
          <c:y val="1.8563641715194801E-2"/>
          <c:w val="0.92649813083318822"/>
          <c:h val="0.86308628977689761"/>
        </c:manualLayout>
      </c:layout>
      <c:scatterChart>
        <c:scatterStyle val="lineMarker"/>
        <c:varyColors val="0"/>
        <c:ser>
          <c:idx val="0"/>
          <c:order val="0"/>
          <c:tx>
            <c:strRef>
              <c:f>'grfico geral'!$N$36</c:f>
              <c:strCache>
                <c:ptCount val="1"/>
                <c:pt idx="0">
                  <c:v>Pfizer</c:v>
                </c:pt>
              </c:strCache>
            </c:strRef>
          </c:tx>
          <c:spPr>
            <a:ln w="25400" cap="rnd">
              <a:noFill/>
              <a:round/>
            </a:ln>
            <a:effectLst/>
          </c:spPr>
          <c:marker>
            <c:symbol val="circle"/>
            <c:size val="5"/>
            <c:spPr>
              <a:solidFill>
                <a:schemeClr val="accent1"/>
              </a:solidFill>
              <a:ln w="9525">
                <a:solidFill>
                  <a:schemeClr val="accent1"/>
                </a:solidFill>
              </a:ln>
              <a:effectLst/>
            </c:spPr>
          </c:marker>
          <c:xVal>
            <c:numRef>
              <c:f>'grfico geral'!$A$4:$A$47</c:f>
              <c:numCache>
                <c:formatCode>General</c:formatCode>
                <c:ptCount val="44"/>
                <c:pt idx="0">
                  <c:v>2013</c:v>
                </c:pt>
                <c:pt idx="1">
                  <c:v>2012</c:v>
                </c:pt>
                <c:pt idx="2">
                  <c:v>2011</c:v>
                </c:pt>
                <c:pt idx="3">
                  <c:v>2010</c:v>
                </c:pt>
                <c:pt idx="4">
                  <c:v>2009</c:v>
                </c:pt>
                <c:pt idx="5">
                  <c:v>2008</c:v>
                </c:pt>
                <c:pt idx="6">
                  <c:v>2007</c:v>
                </c:pt>
                <c:pt idx="7">
                  <c:v>2006</c:v>
                </c:pt>
                <c:pt idx="8">
                  <c:v>2005</c:v>
                </c:pt>
                <c:pt idx="9">
                  <c:v>2004</c:v>
                </c:pt>
                <c:pt idx="10">
                  <c:v>2003</c:v>
                </c:pt>
                <c:pt idx="11">
                  <c:v>2002</c:v>
                </c:pt>
                <c:pt idx="12">
                  <c:v>2001</c:v>
                </c:pt>
                <c:pt idx="13">
                  <c:v>2000</c:v>
                </c:pt>
                <c:pt idx="14">
                  <c:v>1999</c:v>
                </c:pt>
                <c:pt idx="15">
                  <c:v>1998</c:v>
                </c:pt>
                <c:pt idx="16">
                  <c:v>1997</c:v>
                </c:pt>
                <c:pt idx="17">
                  <c:v>1996</c:v>
                </c:pt>
                <c:pt idx="18">
                  <c:v>1995</c:v>
                </c:pt>
                <c:pt idx="19">
                  <c:v>1994</c:v>
                </c:pt>
                <c:pt idx="20">
                  <c:v>1993</c:v>
                </c:pt>
                <c:pt idx="21">
                  <c:v>1992</c:v>
                </c:pt>
                <c:pt idx="22">
                  <c:v>1991</c:v>
                </c:pt>
                <c:pt idx="23">
                  <c:v>1990</c:v>
                </c:pt>
                <c:pt idx="24">
                  <c:v>1989</c:v>
                </c:pt>
                <c:pt idx="25">
                  <c:v>1988</c:v>
                </c:pt>
                <c:pt idx="26">
                  <c:v>1987</c:v>
                </c:pt>
                <c:pt idx="27">
                  <c:v>1986</c:v>
                </c:pt>
                <c:pt idx="28">
                  <c:v>1985</c:v>
                </c:pt>
                <c:pt idx="29">
                  <c:v>1984</c:v>
                </c:pt>
                <c:pt idx="30">
                  <c:v>1983</c:v>
                </c:pt>
                <c:pt idx="31">
                  <c:v>1982</c:v>
                </c:pt>
                <c:pt idx="32">
                  <c:v>1981</c:v>
                </c:pt>
                <c:pt idx="33">
                  <c:v>1980</c:v>
                </c:pt>
                <c:pt idx="34">
                  <c:v>1979</c:v>
                </c:pt>
                <c:pt idx="35">
                  <c:v>1978</c:v>
                </c:pt>
                <c:pt idx="36">
                  <c:v>1977</c:v>
                </c:pt>
                <c:pt idx="37">
                  <c:v>1976</c:v>
                </c:pt>
                <c:pt idx="38">
                  <c:v>1975</c:v>
                </c:pt>
                <c:pt idx="39">
                  <c:v>1974</c:v>
                </c:pt>
                <c:pt idx="40">
                  <c:v>1973</c:v>
                </c:pt>
                <c:pt idx="41">
                  <c:v>1972</c:v>
                </c:pt>
                <c:pt idx="42">
                  <c:v>1971</c:v>
                </c:pt>
                <c:pt idx="43">
                  <c:v>1970</c:v>
                </c:pt>
              </c:numCache>
            </c:numRef>
          </c:xVal>
          <c:yVal>
            <c:numRef>
              <c:f>'grfico geral'!$B$4:$B$43</c:f>
              <c:numCache>
                <c:formatCode>General</c:formatCode>
                <c:ptCount val="40"/>
                <c:pt idx="0">
                  <c:v>1</c:v>
                </c:pt>
                <c:pt idx="2">
                  <c:v>2</c:v>
                </c:pt>
                <c:pt idx="5">
                  <c:v>1</c:v>
                </c:pt>
                <c:pt idx="9">
                  <c:v>1</c:v>
                </c:pt>
                <c:pt idx="11">
                  <c:v>1</c:v>
                </c:pt>
                <c:pt idx="12">
                  <c:v>5</c:v>
                </c:pt>
                <c:pt idx="13">
                  <c:v>3</c:v>
                </c:pt>
                <c:pt idx="14">
                  <c:v>2</c:v>
                </c:pt>
                <c:pt idx="15">
                  <c:v>6</c:v>
                </c:pt>
                <c:pt idx="16">
                  <c:v>4</c:v>
                </c:pt>
                <c:pt idx="17">
                  <c:v>6</c:v>
                </c:pt>
                <c:pt idx="19">
                  <c:v>2</c:v>
                </c:pt>
                <c:pt idx="20">
                  <c:v>1</c:v>
                </c:pt>
                <c:pt idx="21">
                  <c:v>2</c:v>
                </c:pt>
                <c:pt idx="22">
                  <c:v>1</c:v>
                </c:pt>
                <c:pt idx="27">
                  <c:v>1</c:v>
                </c:pt>
                <c:pt idx="29">
                  <c:v>1</c:v>
                </c:pt>
                <c:pt idx="30">
                  <c:v>3</c:v>
                </c:pt>
                <c:pt idx="38">
                  <c:v>1</c:v>
                </c:pt>
              </c:numCache>
            </c:numRef>
          </c:yVal>
          <c:smooth val="0"/>
          <c:extLst xmlns:c16r2="http://schemas.microsoft.com/office/drawing/2015/06/chart">
            <c:ext xmlns:c16="http://schemas.microsoft.com/office/drawing/2014/chart" uri="{C3380CC4-5D6E-409C-BE32-E72D297353CC}">
              <c16:uniqueId val="{00000000-D74F-764A-AE1F-5E7ACFEED2BB}"/>
            </c:ext>
          </c:extLst>
        </c:ser>
        <c:ser>
          <c:idx val="1"/>
          <c:order val="1"/>
          <c:tx>
            <c:strRef>
              <c:f>'grfico geral'!$N$37</c:f>
              <c:strCache>
                <c:ptCount val="1"/>
                <c:pt idx="0">
                  <c:v>Roche</c:v>
                </c:pt>
              </c:strCache>
            </c:strRef>
          </c:tx>
          <c:spPr>
            <a:ln w="25400" cap="rnd">
              <a:noFill/>
              <a:round/>
            </a:ln>
            <a:effectLst/>
          </c:spPr>
          <c:marker>
            <c:symbol val="circle"/>
            <c:size val="5"/>
            <c:spPr>
              <a:solidFill>
                <a:schemeClr val="accent2"/>
              </a:solidFill>
              <a:ln w="9525">
                <a:solidFill>
                  <a:schemeClr val="accent2"/>
                </a:solidFill>
              </a:ln>
              <a:effectLst/>
            </c:spPr>
          </c:marker>
          <c:xVal>
            <c:numRef>
              <c:f>'grfico geral'!$A$4:$A$47</c:f>
              <c:numCache>
                <c:formatCode>General</c:formatCode>
                <c:ptCount val="44"/>
                <c:pt idx="0">
                  <c:v>2013</c:v>
                </c:pt>
                <c:pt idx="1">
                  <c:v>2012</c:v>
                </c:pt>
                <c:pt idx="2">
                  <c:v>2011</c:v>
                </c:pt>
                <c:pt idx="3">
                  <c:v>2010</c:v>
                </c:pt>
                <c:pt idx="4">
                  <c:v>2009</c:v>
                </c:pt>
                <c:pt idx="5">
                  <c:v>2008</c:v>
                </c:pt>
                <c:pt idx="6">
                  <c:v>2007</c:v>
                </c:pt>
                <c:pt idx="7">
                  <c:v>2006</c:v>
                </c:pt>
                <c:pt idx="8">
                  <c:v>2005</c:v>
                </c:pt>
                <c:pt idx="9">
                  <c:v>2004</c:v>
                </c:pt>
                <c:pt idx="10">
                  <c:v>2003</c:v>
                </c:pt>
                <c:pt idx="11">
                  <c:v>2002</c:v>
                </c:pt>
                <c:pt idx="12">
                  <c:v>2001</c:v>
                </c:pt>
                <c:pt idx="13">
                  <c:v>2000</c:v>
                </c:pt>
                <c:pt idx="14">
                  <c:v>1999</c:v>
                </c:pt>
                <c:pt idx="15">
                  <c:v>1998</c:v>
                </c:pt>
                <c:pt idx="16">
                  <c:v>1997</c:v>
                </c:pt>
                <c:pt idx="17">
                  <c:v>1996</c:v>
                </c:pt>
                <c:pt idx="18">
                  <c:v>1995</c:v>
                </c:pt>
                <c:pt idx="19">
                  <c:v>1994</c:v>
                </c:pt>
                <c:pt idx="20">
                  <c:v>1993</c:v>
                </c:pt>
                <c:pt idx="21">
                  <c:v>1992</c:v>
                </c:pt>
                <c:pt idx="22">
                  <c:v>1991</c:v>
                </c:pt>
                <c:pt idx="23">
                  <c:v>1990</c:v>
                </c:pt>
                <c:pt idx="24">
                  <c:v>1989</c:v>
                </c:pt>
                <c:pt idx="25">
                  <c:v>1988</c:v>
                </c:pt>
                <c:pt idx="26">
                  <c:v>1987</c:v>
                </c:pt>
                <c:pt idx="27">
                  <c:v>1986</c:v>
                </c:pt>
                <c:pt idx="28">
                  <c:v>1985</c:v>
                </c:pt>
                <c:pt idx="29">
                  <c:v>1984</c:v>
                </c:pt>
                <c:pt idx="30">
                  <c:v>1983</c:v>
                </c:pt>
                <c:pt idx="31">
                  <c:v>1982</c:v>
                </c:pt>
                <c:pt idx="32">
                  <c:v>1981</c:v>
                </c:pt>
                <c:pt idx="33">
                  <c:v>1980</c:v>
                </c:pt>
                <c:pt idx="34">
                  <c:v>1979</c:v>
                </c:pt>
                <c:pt idx="35">
                  <c:v>1978</c:v>
                </c:pt>
                <c:pt idx="36">
                  <c:v>1977</c:v>
                </c:pt>
                <c:pt idx="37">
                  <c:v>1976</c:v>
                </c:pt>
                <c:pt idx="38">
                  <c:v>1975</c:v>
                </c:pt>
                <c:pt idx="39">
                  <c:v>1974</c:v>
                </c:pt>
                <c:pt idx="40">
                  <c:v>1973</c:v>
                </c:pt>
                <c:pt idx="41">
                  <c:v>1972</c:v>
                </c:pt>
                <c:pt idx="42">
                  <c:v>1971</c:v>
                </c:pt>
                <c:pt idx="43">
                  <c:v>1970</c:v>
                </c:pt>
              </c:numCache>
            </c:numRef>
          </c:xVal>
          <c:yVal>
            <c:numRef>
              <c:f>'grfico geral'!$C$4:$C$43</c:f>
              <c:numCache>
                <c:formatCode>General</c:formatCode>
                <c:ptCount val="40"/>
                <c:pt idx="7">
                  <c:v>1</c:v>
                </c:pt>
                <c:pt idx="13">
                  <c:v>2</c:v>
                </c:pt>
                <c:pt idx="14">
                  <c:v>4</c:v>
                </c:pt>
                <c:pt idx="15">
                  <c:v>2</c:v>
                </c:pt>
                <c:pt idx="16">
                  <c:v>2</c:v>
                </c:pt>
                <c:pt idx="17">
                  <c:v>3</c:v>
                </c:pt>
                <c:pt idx="18">
                  <c:v>1</c:v>
                </c:pt>
                <c:pt idx="20">
                  <c:v>3</c:v>
                </c:pt>
                <c:pt idx="23">
                  <c:v>1</c:v>
                </c:pt>
                <c:pt idx="27">
                  <c:v>4</c:v>
                </c:pt>
                <c:pt idx="28">
                  <c:v>4</c:v>
                </c:pt>
                <c:pt idx="31">
                  <c:v>3</c:v>
                </c:pt>
                <c:pt idx="37">
                  <c:v>2</c:v>
                </c:pt>
                <c:pt idx="38">
                  <c:v>1</c:v>
                </c:pt>
                <c:pt idx="39">
                  <c:v>1</c:v>
                </c:pt>
              </c:numCache>
            </c:numRef>
          </c:yVal>
          <c:smooth val="0"/>
          <c:extLst xmlns:c16r2="http://schemas.microsoft.com/office/drawing/2015/06/chart">
            <c:ext xmlns:c16="http://schemas.microsoft.com/office/drawing/2014/chart" uri="{C3380CC4-5D6E-409C-BE32-E72D297353CC}">
              <c16:uniqueId val="{00000001-D74F-764A-AE1F-5E7ACFEED2BB}"/>
            </c:ext>
          </c:extLst>
        </c:ser>
        <c:ser>
          <c:idx val="2"/>
          <c:order val="2"/>
          <c:tx>
            <c:strRef>
              <c:f>'grfico geral'!$N$32</c:f>
              <c:strCache>
                <c:ptCount val="1"/>
                <c:pt idx="0">
                  <c:v>J&amp;J</c:v>
                </c:pt>
              </c:strCache>
            </c:strRef>
          </c:tx>
          <c:spPr>
            <a:ln w="25400" cap="rnd">
              <a:noFill/>
              <a:round/>
            </a:ln>
            <a:effectLst/>
          </c:spPr>
          <c:marker>
            <c:symbol val="circle"/>
            <c:size val="5"/>
            <c:spPr>
              <a:solidFill>
                <a:schemeClr val="accent3"/>
              </a:solidFill>
              <a:ln w="9525">
                <a:solidFill>
                  <a:schemeClr val="accent3"/>
                </a:solidFill>
              </a:ln>
              <a:effectLst/>
            </c:spPr>
          </c:marker>
          <c:xVal>
            <c:numRef>
              <c:f>'grfico geral'!$A$4:$A$47</c:f>
              <c:numCache>
                <c:formatCode>General</c:formatCode>
                <c:ptCount val="44"/>
                <c:pt idx="0">
                  <c:v>2013</c:v>
                </c:pt>
                <c:pt idx="1">
                  <c:v>2012</c:v>
                </c:pt>
                <c:pt idx="2">
                  <c:v>2011</c:v>
                </c:pt>
                <c:pt idx="3">
                  <c:v>2010</c:v>
                </c:pt>
                <c:pt idx="4">
                  <c:v>2009</c:v>
                </c:pt>
                <c:pt idx="5">
                  <c:v>2008</c:v>
                </c:pt>
                <c:pt idx="6">
                  <c:v>2007</c:v>
                </c:pt>
                <c:pt idx="7">
                  <c:v>2006</c:v>
                </c:pt>
                <c:pt idx="8">
                  <c:v>2005</c:v>
                </c:pt>
                <c:pt idx="9">
                  <c:v>2004</c:v>
                </c:pt>
                <c:pt idx="10">
                  <c:v>2003</c:v>
                </c:pt>
                <c:pt idx="11">
                  <c:v>2002</c:v>
                </c:pt>
                <c:pt idx="12">
                  <c:v>2001</c:v>
                </c:pt>
                <c:pt idx="13">
                  <c:v>2000</c:v>
                </c:pt>
                <c:pt idx="14">
                  <c:v>1999</c:v>
                </c:pt>
                <c:pt idx="15">
                  <c:v>1998</c:v>
                </c:pt>
                <c:pt idx="16">
                  <c:v>1997</c:v>
                </c:pt>
                <c:pt idx="17">
                  <c:v>1996</c:v>
                </c:pt>
                <c:pt idx="18">
                  <c:v>1995</c:v>
                </c:pt>
                <c:pt idx="19">
                  <c:v>1994</c:v>
                </c:pt>
                <c:pt idx="20">
                  <c:v>1993</c:v>
                </c:pt>
                <c:pt idx="21">
                  <c:v>1992</c:v>
                </c:pt>
                <c:pt idx="22">
                  <c:v>1991</c:v>
                </c:pt>
                <c:pt idx="23">
                  <c:v>1990</c:v>
                </c:pt>
                <c:pt idx="24">
                  <c:v>1989</c:v>
                </c:pt>
                <c:pt idx="25">
                  <c:v>1988</c:v>
                </c:pt>
                <c:pt idx="26">
                  <c:v>1987</c:v>
                </c:pt>
                <c:pt idx="27">
                  <c:v>1986</c:v>
                </c:pt>
                <c:pt idx="28">
                  <c:v>1985</c:v>
                </c:pt>
                <c:pt idx="29">
                  <c:v>1984</c:v>
                </c:pt>
                <c:pt idx="30">
                  <c:v>1983</c:v>
                </c:pt>
                <c:pt idx="31">
                  <c:v>1982</c:v>
                </c:pt>
                <c:pt idx="32">
                  <c:v>1981</c:v>
                </c:pt>
                <c:pt idx="33">
                  <c:v>1980</c:v>
                </c:pt>
                <c:pt idx="34">
                  <c:v>1979</c:v>
                </c:pt>
                <c:pt idx="35">
                  <c:v>1978</c:v>
                </c:pt>
                <c:pt idx="36">
                  <c:v>1977</c:v>
                </c:pt>
                <c:pt idx="37">
                  <c:v>1976</c:v>
                </c:pt>
                <c:pt idx="38">
                  <c:v>1975</c:v>
                </c:pt>
                <c:pt idx="39">
                  <c:v>1974</c:v>
                </c:pt>
                <c:pt idx="40">
                  <c:v>1973</c:v>
                </c:pt>
                <c:pt idx="41">
                  <c:v>1972</c:v>
                </c:pt>
                <c:pt idx="42">
                  <c:v>1971</c:v>
                </c:pt>
                <c:pt idx="43">
                  <c:v>1970</c:v>
                </c:pt>
              </c:numCache>
            </c:numRef>
          </c:xVal>
          <c:yVal>
            <c:numRef>
              <c:f>'grfico geral'!$D$4:$D$47</c:f>
              <c:numCache>
                <c:formatCode>General</c:formatCode>
                <c:ptCount val="44"/>
                <c:pt idx="11">
                  <c:v>1</c:v>
                </c:pt>
                <c:pt idx="13">
                  <c:v>4</c:v>
                </c:pt>
                <c:pt idx="15">
                  <c:v>1</c:v>
                </c:pt>
                <c:pt idx="16">
                  <c:v>2</c:v>
                </c:pt>
                <c:pt idx="18">
                  <c:v>2</c:v>
                </c:pt>
                <c:pt idx="19">
                  <c:v>1</c:v>
                </c:pt>
                <c:pt idx="20">
                  <c:v>11</c:v>
                </c:pt>
                <c:pt idx="21">
                  <c:v>1</c:v>
                </c:pt>
                <c:pt idx="27">
                  <c:v>1</c:v>
                </c:pt>
              </c:numCache>
            </c:numRef>
          </c:yVal>
          <c:smooth val="0"/>
          <c:extLst xmlns:c16r2="http://schemas.microsoft.com/office/drawing/2015/06/chart">
            <c:ext xmlns:c16="http://schemas.microsoft.com/office/drawing/2014/chart" uri="{C3380CC4-5D6E-409C-BE32-E72D297353CC}">
              <c16:uniqueId val="{00000002-D74F-764A-AE1F-5E7ACFEED2BB}"/>
            </c:ext>
          </c:extLst>
        </c:ser>
        <c:ser>
          <c:idx val="3"/>
          <c:order val="3"/>
          <c:tx>
            <c:strRef>
              <c:f>'grfico geral'!$N$38</c:f>
              <c:strCache>
                <c:ptCount val="1"/>
                <c:pt idx="0">
                  <c:v>Sanofi</c:v>
                </c:pt>
              </c:strCache>
            </c:strRef>
          </c:tx>
          <c:spPr>
            <a:ln w="19050" cap="rnd">
              <a:noFill/>
              <a:round/>
            </a:ln>
            <a:effectLst/>
          </c:spPr>
          <c:marker>
            <c:symbol val="circle"/>
            <c:size val="5"/>
            <c:spPr>
              <a:solidFill>
                <a:schemeClr val="accent4"/>
              </a:solidFill>
              <a:ln w="9525">
                <a:solidFill>
                  <a:schemeClr val="accent4"/>
                </a:solidFill>
              </a:ln>
              <a:effectLst/>
            </c:spPr>
          </c:marker>
          <c:xVal>
            <c:numRef>
              <c:f>'grfico geral'!$A$4:$A$47</c:f>
              <c:numCache>
                <c:formatCode>General</c:formatCode>
                <c:ptCount val="44"/>
                <c:pt idx="0">
                  <c:v>2013</c:v>
                </c:pt>
                <c:pt idx="1">
                  <c:v>2012</c:v>
                </c:pt>
                <c:pt idx="2">
                  <c:v>2011</c:v>
                </c:pt>
                <c:pt idx="3">
                  <c:v>2010</c:v>
                </c:pt>
                <c:pt idx="4">
                  <c:v>2009</c:v>
                </c:pt>
                <c:pt idx="5">
                  <c:v>2008</c:v>
                </c:pt>
                <c:pt idx="6">
                  <c:v>2007</c:v>
                </c:pt>
                <c:pt idx="7">
                  <c:v>2006</c:v>
                </c:pt>
                <c:pt idx="8">
                  <c:v>2005</c:v>
                </c:pt>
                <c:pt idx="9">
                  <c:v>2004</c:v>
                </c:pt>
                <c:pt idx="10">
                  <c:v>2003</c:v>
                </c:pt>
                <c:pt idx="11">
                  <c:v>2002</c:v>
                </c:pt>
                <c:pt idx="12">
                  <c:v>2001</c:v>
                </c:pt>
                <c:pt idx="13">
                  <c:v>2000</c:v>
                </c:pt>
                <c:pt idx="14">
                  <c:v>1999</c:v>
                </c:pt>
                <c:pt idx="15">
                  <c:v>1998</c:v>
                </c:pt>
                <c:pt idx="16">
                  <c:v>1997</c:v>
                </c:pt>
                <c:pt idx="17">
                  <c:v>1996</c:v>
                </c:pt>
                <c:pt idx="18">
                  <c:v>1995</c:v>
                </c:pt>
                <c:pt idx="19">
                  <c:v>1994</c:v>
                </c:pt>
                <c:pt idx="20">
                  <c:v>1993</c:v>
                </c:pt>
                <c:pt idx="21">
                  <c:v>1992</c:v>
                </c:pt>
                <c:pt idx="22">
                  <c:v>1991</c:v>
                </c:pt>
                <c:pt idx="23">
                  <c:v>1990</c:v>
                </c:pt>
                <c:pt idx="24">
                  <c:v>1989</c:v>
                </c:pt>
                <c:pt idx="25">
                  <c:v>1988</c:v>
                </c:pt>
                <c:pt idx="26">
                  <c:v>1987</c:v>
                </c:pt>
                <c:pt idx="27">
                  <c:v>1986</c:v>
                </c:pt>
                <c:pt idx="28">
                  <c:v>1985</c:v>
                </c:pt>
                <c:pt idx="29">
                  <c:v>1984</c:v>
                </c:pt>
                <c:pt idx="30">
                  <c:v>1983</c:v>
                </c:pt>
                <c:pt idx="31">
                  <c:v>1982</c:v>
                </c:pt>
                <c:pt idx="32">
                  <c:v>1981</c:v>
                </c:pt>
                <c:pt idx="33">
                  <c:v>1980</c:v>
                </c:pt>
                <c:pt idx="34">
                  <c:v>1979</c:v>
                </c:pt>
                <c:pt idx="35">
                  <c:v>1978</c:v>
                </c:pt>
                <c:pt idx="36">
                  <c:v>1977</c:v>
                </c:pt>
                <c:pt idx="37">
                  <c:v>1976</c:v>
                </c:pt>
                <c:pt idx="38">
                  <c:v>1975</c:v>
                </c:pt>
                <c:pt idx="39">
                  <c:v>1974</c:v>
                </c:pt>
                <c:pt idx="40">
                  <c:v>1973</c:v>
                </c:pt>
                <c:pt idx="41">
                  <c:v>1972</c:v>
                </c:pt>
                <c:pt idx="42">
                  <c:v>1971</c:v>
                </c:pt>
                <c:pt idx="43">
                  <c:v>1970</c:v>
                </c:pt>
              </c:numCache>
            </c:numRef>
          </c:xVal>
          <c:yVal>
            <c:numRef>
              <c:f>'grfico geral'!$E$4:$E$47</c:f>
              <c:numCache>
                <c:formatCode>General</c:formatCode>
                <c:ptCount val="44"/>
                <c:pt idx="3">
                  <c:v>4</c:v>
                </c:pt>
                <c:pt idx="5">
                  <c:v>3</c:v>
                </c:pt>
                <c:pt idx="6">
                  <c:v>2</c:v>
                </c:pt>
                <c:pt idx="7">
                  <c:v>7</c:v>
                </c:pt>
                <c:pt idx="10">
                  <c:v>1</c:v>
                </c:pt>
                <c:pt idx="11">
                  <c:v>4</c:v>
                </c:pt>
                <c:pt idx="14">
                  <c:v>2</c:v>
                </c:pt>
                <c:pt idx="18">
                  <c:v>3</c:v>
                </c:pt>
                <c:pt idx="21">
                  <c:v>3</c:v>
                </c:pt>
                <c:pt idx="26">
                  <c:v>1</c:v>
                </c:pt>
                <c:pt idx="28">
                  <c:v>1</c:v>
                </c:pt>
              </c:numCache>
            </c:numRef>
          </c:yVal>
          <c:smooth val="0"/>
          <c:extLst xmlns:c16r2="http://schemas.microsoft.com/office/drawing/2015/06/chart">
            <c:ext xmlns:c16="http://schemas.microsoft.com/office/drawing/2014/chart" uri="{C3380CC4-5D6E-409C-BE32-E72D297353CC}">
              <c16:uniqueId val="{00000003-D74F-764A-AE1F-5E7ACFEED2BB}"/>
            </c:ext>
          </c:extLst>
        </c:ser>
        <c:ser>
          <c:idx val="4"/>
          <c:order val="4"/>
          <c:tx>
            <c:strRef>
              <c:f>'grfico geral'!$N$34</c:f>
              <c:strCache>
                <c:ptCount val="1"/>
                <c:pt idx="0">
                  <c:v>Abbott-Labrotories</c:v>
                </c:pt>
              </c:strCache>
            </c:strRef>
          </c:tx>
          <c:spPr>
            <a:ln w="19050" cap="rnd">
              <a:noFill/>
              <a:round/>
            </a:ln>
            <a:effectLst/>
          </c:spPr>
          <c:marker>
            <c:symbol val="circle"/>
            <c:size val="5"/>
            <c:spPr>
              <a:solidFill>
                <a:schemeClr val="accent5"/>
              </a:solidFill>
              <a:ln w="9525">
                <a:solidFill>
                  <a:schemeClr val="accent5"/>
                </a:solidFill>
              </a:ln>
              <a:effectLst/>
            </c:spPr>
          </c:marker>
          <c:xVal>
            <c:numRef>
              <c:f>'grfico geral'!$A$4:$A$47</c:f>
              <c:numCache>
                <c:formatCode>General</c:formatCode>
                <c:ptCount val="44"/>
                <c:pt idx="0">
                  <c:v>2013</c:v>
                </c:pt>
                <c:pt idx="1">
                  <c:v>2012</c:v>
                </c:pt>
                <c:pt idx="2">
                  <c:v>2011</c:v>
                </c:pt>
                <c:pt idx="3">
                  <c:v>2010</c:v>
                </c:pt>
                <c:pt idx="4">
                  <c:v>2009</c:v>
                </c:pt>
                <c:pt idx="5">
                  <c:v>2008</c:v>
                </c:pt>
                <c:pt idx="6">
                  <c:v>2007</c:v>
                </c:pt>
                <c:pt idx="7">
                  <c:v>2006</c:v>
                </c:pt>
                <c:pt idx="8">
                  <c:v>2005</c:v>
                </c:pt>
                <c:pt idx="9">
                  <c:v>2004</c:v>
                </c:pt>
                <c:pt idx="10">
                  <c:v>2003</c:v>
                </c:pt>
                <c:pt idx="11">
                  <c:v>2002</c:v>
                </c:pt>
                <c:pt idx="12">
                  <c:v>2001</c:v>
                </c:pt>
                <c:pt idx="13">
                  <c:v>2000</c:v>
                </c:pt>
                <c:pt idx="14">
                  <c:v>1999</c:v>
                </c:pt>
                <c:pt idx="15">
                  <c:v>1998</c:v>
                </c:pt>
                <c:pt idx="16">
                  <c:v>1997</c:v>
                </c:pt>
                <c:pt idx="17">
                  <c:v>1996</c:v>
                </c:pt>
                <c:pt idx="18">
                  <c:v>1995</c:v>
                </c:pt>
                <c:pt idx="19">
                  <c:v>1994</c:v>
                </c:pt>
                <c:pt idx="20">
                  <c:v>1993</c:v>
                </c:pt>
                <c:pt idx="21">
                  <c:v>1992</c:v>
                </c:pt>
                <c:pt idx="22">
                  <c:v>1991</c:v>
                </c:pt>
                <c:pt idx="23">
                  <c:v>1990</c:v>
                </c:pt>
                <c:pt idx="24">
                  <c:v>1989</c:v>
                </c:pt>
                <c:pt idx="25">
                  <c:v>1988</c:v>
                </c:pt>
                <c:pt idx="26">
                  <c:v>1987</c:v>
                </c:pt>
                <c:pt idx="27">
                  <c:v>1986</c:v>
                </c:pt>
                <c:pt idx="28">
                  <c:v>1985</c:v>
                </c:pt>
                <c:pt idx="29">
                  <c:v>1984</c:v>
                </c:pt>
                <c:pt idx="30">
                  <c:v>1983</c:v>
                </c:pt>
                <c:pt idx="31">
                  <c:v>1982</c:v>
                </c:pt>
                <c:pt idx="32">
                  <c:v>1981</c:v>
                </c:pt>
                <c:pt idx="33">
                  <c:v>1980</c:v>
                </c:pt>
                <c:pt idx="34">
                  <c:v>1979</c:v>
                </c:pt>
                <c:pt idx="35">
                  <c:v>1978</c:v>
                </c:pt>
                <c:pt idx="36">
                  <c:v>1977</c:v>
                </c:pt>
                <c:pt idx="37">
                  <c:v>1976</c:v>
                </c:pt>
                <c:pt idx="38">
                  <c:v>1975</c:v>
                </c:pt>
                <c:pt idx="39">
                  <c:v>1974</c:v>
                </c:pt>
                <c:pt idx="40">
                  <c:v>1973</c:v>
                </c:pt>
                <c:pt idx="41">
                  <c:v>1972</c:v>
                </c:pt>
                <c:pt idx="42">
                  <c:v>1971</c:v>
                </c:pt>
                <c:pt idx="43">
                  <c:v>1970</c:v>
                </c:pt>
              </c:numCache>
            </c:numRef>
          </c:xVal>
          <c:yVal>
            <c:numRef>
              <c:f>'grfico geral'!$F$4:$F$47</c:f>
              <c:numCache>
                <c:formatCode>General</c:formatCode>
                <c:ptCount val="44"/>
                <c:pt idx="12">
                  <c:v>1</c:v>
                </c:pt>
                <c:pt idx="18">
                  <c:v>2</c:v>
                </c:pt>
                <c:pt idx="20">
                  <c:v>1</c:v>
                </c:pt>
                <c:pt idx="21">
                  <c:v>1</c:v>
                </c:pt>
                <c:pt idx="22">
                  <c:v>1</c:v>
                </c:pt>
                <c:pt idx="23">
                  <c:v>1</c:v>
                </c:pt>
                <c:pt idx="25">
                  <c:v>1</c:v>
                </c:pt>
                <c:pt idx="31">
                  <c:v>1</c:v>
                </c:pt>
                <c:pt idx="33">
                  <c:v>1</c:v>
                </c:pt>
              </c:numCache>
            </c:numRef>
          </c:yVal>
          <c:smooth val="0"/>
          <c:extLst xmlns:c16r2="http://schemas.microsoft.com/office/drawing/2015/06/chart">
            <c:ext xmlns:c16="http://schemas.microsoft.com/office/drawing/2014/chart" uri="{C3380CC4-5D6E-409C-BE32-E72D297353CC}">
              <c16:uniqueId val="{00000004-D74F-764A-AE1F-5E7ACFEED2BB}"/>
            </c:ext>
          </c:extLst>
        </c:ser>
        <c:ser>
          <c:idx val="5"/>
          <c:order val="5"/>
          <c:tx>
            <c:strRef>
              <c:f>'grfico geral'!$G$2</c:f>
              <c:strCache>
                <c:ptCount val="1"/>
                <c:pt idx="0">
                  <c:v>GSK</c:v>
                </c:pt>
              </c:strCache>
            </c:strRef>
          </c:tx>
          <c:spPr>
            <a:ln w="25400" cap="rnd">
              <a:noFill/>
              <a:round/>
            </a:ln>
            <a:effectLst/>
          </c:spPr>
          <c:marker>
            <c:symbol val="circle"/>
            <c:size val="5"/>
            <c:spPr>
              <a:solidFill>
                <a:schemeClr val="accent6"/>
              </a:solidFill>
              <a:ln w="9525">
                <a:solidFill>
                  <a:schemeClr val="accent6"/>
                </a:solidFill>
              </a:ln>
              <a:effectLst/>
            </c:spPr>
          </c:marker>
          <c:xVal>
            <c:numRef>
              <c:f>'grfico geral'!$A$4:$A$47</c:f>
              <c:numCache>
                <c:formatCode>General</c:formatCode>
                <c:ptCount val="44"/>
                <c:pt idx="0">
                  <c:v>2013</c:v>
                </c:pt>
                <c:pt idx="1">
                  <c:v>2012</c:v>
                </c:pt>
                <c:pt idx="2">
                  <c:v>2011</c:v>
                </c:pt>
                <c:pt idx="3">
                  <c:v>2010</c:v>
                </c:pt>
                <c:pt idx="4">
                  <c:v>2009</c:v>
                </c:pt>
                <c:pt idx="5">
                  <c:v>2008</c:v>
                </c:pt>
                <c:pt idx="6">
                  <c:v>2007</c:v>
                </c:pt>
                <c:pt idx="7">
                  <c:v>2006</c:v>
                </c:pt>
                <c:pt idx="8">
                  <c:v>2005</c:v>
                </c:pt>
                <c:pt idx="9">
                  <c:v>2004</c:v>
                </c:pt>
                <c:pt idx="10">
                  <c:v>2003</c:v>
                </c:pt>
                <c:pt idx="11">
                  <c:v>2002</c:v>
                </c:pt>
                <c:pt idx="12">
                  <c:v>2001</c:v>
                </c:pt>
                <c:pt idx="13">
                  <c:v>2000</c:v>
                </c:pt>
                <c:pt idx="14">
                  <c:v>1999</c:v>
                </c:pt>
                <c:pt idx="15">
                  <c:v>1998</c:v>
                </c:pt>
                <c:pt idx="16">
                  <c:v>1997</c:v>
                </c:pt>
                <c:pt idx="17">
                  <c:v>1996</c:v>
                </c:pt>
                <c:pt idx="18">
                  <c:v>1995</c:v>
                </c:pt>
                <c:pt idx="19">
                  <c:v>1994</c:v>
                </c:pt>
                <c:pt idx="20">
                  <c:v>1993</c:v>
                </c:pt>
                <c:pt idx="21">
                  <c:v>1992</c:v>
                </c:pt>
                <c:pt idx="22">
                  <c:v>1991</c:v>
                </c:pt>
                <c:pt idx="23">
                  <c:v>1990</c:v>
                </c:pt>
                <c:pt idx="24">
                  <c:v>1989</c:v>
                </c:pt>
                <c:pt idx="25">
                  <c:v>1988</c:v>
                </c:pt>
                <c:pt idx="26">
                  <c:v>1987</c:v>
                </c:pt>
                <c:pt idx="27">
                  <c:v>1986</c:v>
                </c:pt>
                <c:pt idx="28">
                  <c:v>1985</c:v>
                </c:pt>
                <c:pt idx="29">
                  <c:v>1984</c:v>
                </c:pt>
                <c:pt idx="30">
                  <c:v>1983</c:v>
                </c:pt>
                <c:pt idx="31">
                  <c:v>1982</c:v>
                </c:pt>
                <c:pt idx="32">
                  <c:v>1981</c:v>
                </c:pt>
                <c:pt idx="33">
                  <c:v>1980</c:v>
                </c:pt>
                <c:pt idx="34">
                  <c:v>1979</c:v>
                </c:pt>
                <c:pt idx="35">
                  <c:v>1978</c:v>
                </c:pt>
                <c:pt idx="36">
                  <c:v>1977</c:v>
                </c:pt>
                <c:pt idx="37">
                  <c:v>1976</c:v>
                </c:pt>
                <c:pt idx="38">
                  <c:v>1975</c:v>
                </c:pt>
                <c:pt idx="39">
                  <c:v>1974</c:v>
                </c:pt>
                <c:pt idx="40">
                  <c:v>1973</c:v>
                </c:pt>
                <c:pt idx="41">
                  <c:v>1972</c:v>
                </c:pt>
                <c:pt idx="42">
                  <c:v>1971</c:v>
                </c:pt>
                <c:pt idx="43">
                  <c:v>1970</c:v>
                </c:pt>
              </c:numCache>
            </c:numRef>
          </c:xVal>
          <c:yVal>
            <c:numRef>
              <c:f>'grfico geral'!$G$4:$G$47</c:f>
              <c:numCache>
                <c:formatCode>General</c:formatCode>
                <c:ptCount val="44"/>
                <c:pt idx="3">
                  <c:v>1</c:v>
                </c:pt>
                <c:pt idx="7">
                  <c:v>3</c:v>
                </c:pt>
                <c:pt idx="9">
                  <c:v>2</c:v>
                </c:pt>
                <c:pt idx="10">
                  <c:v>2</c:v>
                </c:pt>
                <c:pt idx="11">
                  <c:v>1</c:v>
                </c:pt>
                <c:pt idx="12">
                  <c:v>3</c:v>
                </c:pt>
                <c:pt idx="13">
                  <c:v>3</c:v>
                </c:pt>
                <c:pt idx="14">
                  <c:v>5</c:v>
                </c:pt>
                <c:pt idx="15">
                  <c:v>12</c:v>
                </c:pt>
                <c:pt idx="16">
                  <c:v>28</c:v>
                </c:pt>
                <c:pt idx="17">
                  <c:v>17</c:v>
                </c:pt>
                <c:pt idx="18">
                  <c:v>35</c:v>
                </c:pt>
                <c:pt idx="19">
                  <c:v>5</c:v>
                </c:pt>
                <c:pt idx="20">
                  <c:v>5</c:v>
                </c:pt>
                <c:pt idx="21">
                  <c:v>19</c:v>
                </c:pt>
                <c:pt idx="22">
                  <c:v>2</c:v>
                </c:pt>
                <c:pt idx="25">
                  <c:v>6</c:v>
                </c:pt>
                <c:pt idx="28">
                  <c:v>8</c:v>
                </c:pt>
                <c:pt idx="29">
                  <c:v>2</c:v>
                </c:pt>
                <c:pt idx="30">
                  <c:v>6</c:v>
                </c:pt>
                <c:pt idx="31">
                  <c:v>8</c:v>
                </c:pt>
                <c:pt idx="32">
                  <c:v>4</c:v>
                </c:pt>
                <c:pt idx="34">
                  <c:v>1</c:v>
                </c:pt>
                <c:pt idx="35">
                  <c:v>2</c:v>
                </c:pt>
                <c:pt idx="36">
                  <c:v>7</c:v>
                </c:pt>
                <c:pt idx="38">
                  <c:v>1</c:v>
                </c:pt>
              </c:numCache>
            </c:numRef>
          </c:yVal>
          <c:smooth val="0"/>
          <c:extLst xmlns:c16r2="http://schemas.microsoft.com/office/drawing/2015/06/chart">
            <c:ext xmlns:c16="http://schemas.microsoft.com/office/drawing/2014/chart" uri="{C3380CC4-5D6E-409C-BE32-E72D297353CC}">
              <c16:uniqueId val="{00000005-D74F-764A-AE1F-5E7ACFEED2BB}"/>
            </c:ext>
          </c:extLst>
        </c:ser>
        <c:ser>
          <c:idx val="6"/>
          <c:order val="6"/>
          <c:tx>
            <c:strRef>
              <c:f>'grfico geral'!$N$33</c:f>
              <c:strCache>
                <c:ptCount val="1"/>
                <c:pt idx="0">
                  <c:v>Astra-Zeneca</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'grfico geral'!$A$4:$A$47</c:f>
              <c:numCache>
                <c:formatCode>General</c:formatCode>
                <c:ptCount val="44"/>
                <c:pt idx="0">
                  <c:v>2013</c:v>
                </c:pt>
                <c:pt idx="1">
                  <c:v>2012</c:v>
                </c:pt>
                <c:pt idx="2">
                  <c:v>2011</c:v>
                </c:pt>
                <c:pt idx="3">
                  <c:v>2010</c:v>
                </c:pt>
                <c:pt idx="4">
                  <c:v>2009</c:v>
                </c:pt>
                <c:pt idx="5">
                  <c:v>2008</c:v>
                </c:pt>
                <c:pt idx="6">
                  <c:v>2007</c:v>
                </c:pt>
                <c:pt idx="7">
                  <c:v>2006</c:v>
                </c:pt>
                <c:pt idx="8">
                  <c:v>2005</c:v>
                </c:pt>
                <c:pt idx="9">
                  <c:v>2004</c:v>
                </c:pt>
                <c:pt idx="10">
                  <c:v>2003</c:v>
                </c:pt>
                <c:pt idx="11">
                  <c:v>2002</c:v>
                </c:pt>
                <c:pt idx="12">
                  <c:v>2001</c:v>
                </c:pt>
                <c:pt idx="13">
                  <c:v>2000</c:v>
                </c:pt>
                <c:pt idx="14">
                  <c:v>1999</c:v>
                </c:pt>
                <c:pt idx="15">
                  <c:v>1998</c:v>
                </c:pt>
                <c:pt idx="16">
                  <c:v>1997</c:v>
                </c:pt>
                <c:pt idx="17">
                  <c:v>1996</c:v>
                </c:pt>
                <c:pt idx="18">
                  <c:v>1995</c:v>
                </c:pt>
                <c:pt idx="19">
                  <c:v>1994</c:v>
                </c:pt>
                <c:pt idx="20">
                  <c:v>1993</c:v>
                </c:pt>
                <c:pt idx="21">
                  <c:v>1992</c:v>
                </c:pt>
                <c:pt idx="22">
                  <c:v>1991</c:v>
                </c:pt>
                <c:pt idx="23">
                  <c:v>1990</c:v>
                </c:pt>
                <c:pt idx="24">
                  <c:v>1989</c:v>
                </c:pt>
                <c:pt idx="25">
                  <c:v>1988</c:v>
                </c:pt>
                <c:pt idx="26">
                  <c:v>1987</c:v>
                </c:pt>
                <c:pt idx="27">
                  <c:v>1986</c:v>
                </c:pt>
                <c:pt idx="28">
                  <c:v>1985</c:v>
                </c:pt>
                <c:pt idx="29">
                  <c:v>1984</c:v>
                </c:pt>
                <c:pt idx="30">
                  <c:v>1983</c:v>
                </c:pt>
                <c:pt idx="31">
                  <c:v>1982</c:v>
                </c:pt>
                <c:pt idx="32">
                  <c:v>1981</c:v>
                </c:pt>
                <c:pt idx="33">
                  <c:v>1980</c:v>
                </c:pt>
                <c:pt idx="34">
                  <c:v>1979</c:v>
                </c:pt>
                <c:pt idx="35">
                  <c:v>1978</c:v>
                </c:pt>
                <c:pt idx="36">
                  <c:v>1977</c:v>
                </c:pt>
                <c:pt idx="37">
                  <c:v>1976</c:v>
                </c:pt>
                <c:pt idx="38">
                  <c:v>1975</c:v>
                </c:pt>
                <c:pt idx="39">
                  <c:v>1974</c:v>
                </c:pt>
                <c:pt idx="40">
                  <c:v>1973</c:v>
                </c:pt>
                <c:pt idx="41">
                  <c:v>1972</c:v>
                </c:pt>
                <c:pt idx="42">
                  <c:v>1971</c:v>
                </c:pt>
                <c:pt idx="43">
                  <c:v>1970</c:v>
                </c:pt>
              </c:numCache>
            </c:numRef>
          </c:xVal>
          <c:yVal>
            <c:numRef>
              <c:f>'grfico geral'!$H$4:$H$47</c:f>
              <c:numCache>
                <c:formatCode>General</c:formatCode>
                <c:ptCount val="44"/>
                <c:pt idx="12">
                  <c:v>1</c:v>
                </c:pt>
                <c:pt idx="13">
                  <c:v>2</c:v>
                </c:pt>
                <c:pt idx="14">
                  <c:v>3</c:v>
                </c:pt>
                <c:pt idx="15">
                  <c:v>8</c:v>
                </c:pt>
                <c:pt idx="16">
                  <c:v>2</c:v>
                </c:pt>
                <c:pt idx="17">
                  <c:v>4</c:v>
                </c:pt>
                <c:pt idx="18">
                  <c:v>12</c:v>
                </c:pt>
                <c:pt idx="19">
                  <c:v>7</c:v>
                </c:pt>
                <c:pt idx="20">
                  <c:v>5</c:v>
                </c:pt>
                <c:pt idx="21">
                  <c:v>1</c:v>
                </c:pt>
                <c:pt idx="23">
                  <c:v>6</c:v>
                </c:pt>
              </c:numCache>
            </c:numRef>
          </c:yVal>
          <c:smooth val="0"/>
          <c:extLst xmlns:c16r2="http://schemas.microsoft.com/office/drawing/2015/06/chart">
            <c:ext xmlns:c16="http://schemas.microsoft.com/office/drawing/2014/chart" uri="{C3380CC4-5D6E-409C-BE32-E72D297353CC}">
              <c16:uniqueId val="{00000006-D74F-764A-AE1F-5E7ACFEED2BB}"/>
            </c:ext>
          </c:extLst>
        </c:ser>
        <c:dLbls>
          <c:showLegendKey val="0"/>
          <c:showVal val="0"/>
          <c:showCatName val="0"/>
          <c:showSerName val="0"/>
          <c:showPercent val="0"/>
          <c:showBubbleSize val="0"/>
        </c:dLbls>
        <c:axId val="485820224"/>
        <c:axId val="485820616"/>
      </c:scatterChart>
      <c:valAx>
        <c:axId val="485820224"/>
        <c:scaling>
          <c:orientation val="minMax"/>
          <c:max val="2013"/>
          <c:min val="197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820616"/>
        <c:crosses val="autoZero"/>
        <c:crossBetween val="midCat"/>
        <c:majorUnit val="2"/>
      </c:valAx>
      <c:valAx>
        <c:axId val="485820616"/>
        <c:scaling>
          <c:orientation val="minMax"/>
          <c:max val="35"/>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820224"/>
        <c:crosses val="autoZero"/>
        <c:crossBetween val="midCat"/>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829087779041658E-2"/>
          <c:y val="4.0915595548898676E-2"/>
          <c:w val="0.87199533446064326"/>
          <c:h val="0.71568230050498693"/>
        </c:manualLayout>
      </c:layout>
      <c:barChart>
        <c:barDir val="col"/>
        <c:grouping val="clustered"/>
        <c:varyColors val="0"/>
        <c:ser>
          <c:idx val="0"/>
          <c:order val="0"/>
          <c:spPr>
            <a:solidFill>
              <a:schemeClr val="accent1"/>
            </a:solidFill>
            <a:ln>
              <a:noFill/>
            </a:ln>
            <a:effectLst/>
          </c:spPr>
          <c:invertIfNegative val="0"/>
          <c:cat>
            <c:strRef>
              <c:f>Plan1!$G$15:$G$22</c:f>
              <c:strCache>
                <c:ptCount val="8"/>
                <c:pt idx="0">
                  <c:v>Pfizer</c:v>
                </c:pt>
                <c:pt idx="1">
                  <c:v>Roche</c:v>
                </c:pt>
                <c:pt idx="2">
                  <c:v>Abbott-Laboratories</c:v>
                </c:pt>
                <c:pt idx="3">
                  <c:v>J&amp;J</c:v>
                </c:pt>
                <c:pt idx="4">
                  <c:v>Merck</c:v>
                </c:pt>
                <c:pt idx="5">
                  <c:v>Sanofi</c:v>
                </c:pt>
                <c:pt idx="6">
                  <c:v>Astra Zeneca</c:v>
                </c:pt>
                <c:pt idx="7">
                  <c:v>GSK</c:v>
                </c:pt>
              </c:strCache>
            </c:strRef>
          </c:cat>
          <c:val>
            <c:numRef>
              <c:f>Plan1!$H$15:$H$22</c:f>
              <c:numCache>
                <c:formatCode>0%</c:formatCode>
                <c:ptCount val="8"/>
                <c:pt idx="0">
                  <c:v>0.14893617021276595</c:v>
                </c:pt>
                <c:pt idx="1">
                  <c:v>0.50526315789473686</c:v>
                </c:pt>
                <c:pt idx="2">
                  <c:v>0.43181818181818182</c:v>
                </c:pt>
                <c:pt idx="3">
                  <c:v>5.7692307692307696E-2</c:v>
                </c:pt>
                <c:pt idx="4">
                  <c:v>0.12549019607843137</c:v>
                </c:pt>
                <c:pt idx="5">
                  <c:v>0.30656934306569344</c:v>
                </c:pt>
                <c:pt idx="6">
                  <c:v>7.2727272727272724E-2</c:v>
                </c:pt>
                <c:pt idx="7">
                  <c:v>8.5294117647058826E-2</c:v>
                </c:pt>
              </c:numCache>
            </c:numRef>
          </c:val>
          <c:extLst xmlns:c16r2="http://schemas.microsoft.com/office/drawing/2015/06/chart">
            <c:ext xmlns:c16="http://schemas.microsoft.com/office/drawing/2014/chart" uri="{C3380CC4-5D6E-409C-BE32-E72D297353CC}">
              <c16:uniqueId val="{00000000-B970-1548-AEE0-B942338C23C2}"/>
            </c:ext>
          </c:extLst>
        </c:ser>
        <c:dLbls>
          <c:showLegendKey val="0"/>
          <c:showVal val="0"/>
          <c:showCatName val="0"/>
          <c:showSerName val="0"/>
          <c:showPercent val="0"/>
          <c:showBubbleSize val="0"/>
        </c:dLbls>
        <c:gapWidth val="182"/>
        <c:axId val="491248368"/>
        <c:axId val="491248760"/>
      </c:barChart>
      <c:lineChart>
        <c:grouping val="standard"/>
        <c:varyColors val="0"/>
        <c:ser>
          <c:idx val="1"/>
          <c:order val="1"/>
          <c:tx>
            <c:strRef>
              <c:f>Plan1!$G$24</c:f>
              <c:strCache>
                <c:ptCount val="1"/>
              </c:strCache>
            </c:strRef>
          </c:tx>
          <c:spPr>
            <a:ln w="28575" cap="rnd">
              <a:solidFill>
                <a:schemeClr val="accent2"/>
              </a:solidFill>
              <a:round/>
            </a:ln>
            <a:effectLst/>
          </c:spPr>
          <c:marker>
            <c:symbol val="none"/>
          </c:marker>
          <c:val>
            <c:numRef>
              <c:f>Plan1!$I$15:$I$22</c:f>
              <c:numCache>
                <c:formatCode>0%</c:formatCode>
                <c:ptCount val="8"/>
                <c:pt idx="0">
                  <c:v>0.22</c:v>
                </c:pt>
                <c:pt idx="1">
                  <c:v>0.22</c:v>
                </c:pt>
                <c:pt idx="2">
                  <c:v>0.22</c:v>
                </c:pt>
                <c:pt idx="3">
                  <c:v>0.22</c:v>
                </c:pt>
                <c:pt idx="4">
                  <c:v>0.22</c:v>
                </c:pt>
                <c:pt idx="5">
                  <c:v>0.22</c:v>
                </c:pt>
                <c:pt idx="6">
                  <c:v>0.22</c:v>
                </c:pt>
                <c:pt idx="7">
                  <c:v>0.22</c:v>
                </c:pt>
              </c:numCache>
            </c:numRef>
          </c:val>
          <c:smooth val="0"/>
          <c:extLst xmlns:c16r2="http://schemas.microsoft.com/office/drawing/2015/06/chart">
            <c:ext xmlns:c16="http://schemas.microsoft.com/office/drawing/2014/chart" uri="{C3380CC4-5D6E-409C-BE32-E72D297353CC}">
              <c16:uniqueId val="{00000001-B970-1548-AEE0-B942338C23C2}"/>
            </c:ext>
          </c:extLst>
        </c:ser>
        <c:dLbls>
          <c:showLegendKey val="0"/>
          <c:showVal val="0"/>
          <c:showCatName val="0"/>
          <c:showSerName val="0"/>
          <c:showPercent val="0"/>
          <c:showBubbleSize val="0"/>
        </c:dLbls>
        <c:marker val="1"/>
        <c:smooth val="0"/>
        <c:axId val="491248368"/>
        <c:axId val="491248760"/>
      </c:lineChart>
      <c:catAx>
        <c:axId val="491248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48760"/>
        <c:crosses val="autoZero"/>
        <c:auto val="1"/>
        <c:lblAlgn val="ctr"/>
        <c:lblOffset val="100"/>
        <c:noMultiLvlLbl val="0"/>
      </c:catAx>
      <c:valAx>
        <c:axId val="4912487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48368"/>
        <c:crosses val="autoZero"/>
        <c:crossBetween val="between"/>
      </c:valAx>
      <c:spPr>
        <a:noFill/>
        <a:ln>
          <a:noFill/>
        </a:ln>
        <a:effectLst/>
      </c:spPr>
    </c:plotArea>
    <c:legend>
      <c:legendPos val="b"/>
      <c:legendEntry>
        <c:idx val="0"/>
        <c:delete val="1"/>
      </c:legendEntry>
      <c:layout>
        <c:manualLayout>
          <c:xMode val="edge"/>
          <c:yMode val="edge"/>
          <c:x val="0.46833333333333332"/>
          <c:y val="0.91107329704592299"/>
          <c:w val="0.08"/>
          <c:h val="7.550388416213074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0.36077</cdr:x>
      <cdr:y>0.77757</cdr:y>
    </cdr:from>
    <cdr:to>
      <cdr:x>0.73749</cdr:x>
      <cdr:y>1</cdr:y>
    </cdr:to>
    <cdr:sp macro="" textlink="">
      <cdr:nvSpPr>
        <cdr:cNvPr id="2" name="Caixa de texto 1"/>
        <cdr:cNvSpPr txBox="1"/>
      </cdr:nvSpPr>
      <cdr:spPr>
        <a:xfrm xmlns:a="http://schemas.openxmlformats.org/drawingml/2006/main">
          <a:off x="2150669" y="3196590"/>
          <a:ext cx="2245766"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0.24393</cdr:x>
      <cdr:y>0.91492</cdr:y>
    </cdr:from>
    <cdr:to>
      <cdr:x>0.63636</cdr:x>
      <cdr:y>0.96172</cdr:y>
    </cdr:to>
    <cdr:sp macro="" textlink="">
      <cdr:nvSpPr>
        <cdr:cNvPr id="3" name="Caixa de texto 2"/>
        <cdr:cNvSpPr txBox="1"/>
      </cdr:nvSpPr>
      <cdr:spPr>
        <a:xfrm xmlns:a="http://schemas.openxmlformats.org/drawingml/2006/main">
          <a:off x="1115244" y="3118095"/>
          <a:ext cx="1794209" cy="15949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a:t>Sample Avarage (22%)</a:t>
          </a:r>
        </a:p>
      </cdr:txBody>
    </cdr:sp>
  </cdr:relSizeAnchor>
</c:userShape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D7290-9833-422B-8686-6C7478701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31047</Words>
  <Characters>176968</Characters>
  <Application>Microsoft Office Word</Application>
  <DocSecurity>0</DocSecurity>
  <Lines>1474</Lines>
  <Paragraphs>415</Paragraphs>
  <ScaleCrop>false</ScaleCrop>
  <Company/>
  <LinksUpToDate>false</LinksUpToDate>
  <CharactersWithSpaces>207600</CharactersWithSpaces>
  <SharedDoc>false</SharedDoc>
  <HLinks>
    <vt:vector size="6" baseType="variant">
      <vt:variant>
        <vt:i4>983127</vt:i4>
      </vt:variant>
      <vt:variant>
        <vt:i4>0</vt:i4>
      </vt:variant>
      <vt:variant>
        <vt:i4>0</vt:i4>
      </vt:variant>
      <vt:variant>
        <vt:i4>5</vt:i4>
      </vt:variant>
      <vt:variant>
        <vt:lpwstr>http://www.keepeek.com/Digital-Asset-Management/oecd/science-and-technology/oecd-science-technology-and-industry-scoreboard-2013_sti_scoreboard-2013-en</vt:lpwstr>
      </vt:variant>
      <vt:variant>
        <vt:lpwstr>page160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2019-07-21T16:03:00Z</dcterms:created>
  <dcterms:modified xsi:type="dcterms:W3CDTF">2019-07-21T16:04:00Z</dcterms:modified>
</cp:coreProperties>
</file>