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159E" w:rsidRDefault="002B159E" w:rsidP="00FF3752">
      <w:pPr>
        <w:spacing w:after="120"/>
        <w:jc w:val="center"/>
        <w:rPr>
          <w:rFonts w:ascii="Verdana" w:hAnsi="Verdana" w:cs="Verdana"/>
          <w:b/>
          <w:bCs/>
          <w:color w:val="000033"/>
          <w:sz w:val="28"/>
          <w:szCs w:val="18"/>
          <w:lang w:val="pt-BR"/>
        </w:rPr>
      </w:pPr>
    </w:p>
    <w:p w:rsidR="00B715B7" w:rsidRPr="00EB3BC7" w:rsidRDefault="00FF3752" w:rsidP="00FF3752">
      <w:pPr>
        <w:spacing w:after="120"/>
        <w:jc w:val="center"/>
        <w:rPr>
          <w:b/>
          <w:bCs/>
          <w:color w:val="000033"/>
          <w:sz w:val="28"/>
          <w:szCs w:val="18"/>
        </w:rPr>
      </w:pPr>
      <w:r w:rsidRPr="00EB3BC7">
        <w:rPr>
          <w:b/>
          <w:bCs/>
          <w:color w:val="000033"/>
          <w:sz w:val="28"/>
          <w:szCs w:val="18"/>
          <w:lang w:val="x-none"/>
        </w:rPr>
        <w:t>THE MOBILITY OF SKILLED WORKERS AND INNOVATION IN BRAZIL</w:t>
      </w:r>
      <w:r w:rsidR="007D72BE" w:rsidRPr="00EB3BC7">
        <w:rPr>
          <w:b/>
          <w:bCs/>
          <w:color w:val="000033"/>
          <w:sz w:val="28"/>
          <w:szCs w:val="18"/>
        </w:rPr>
        <w:t xml:space="preserve"> </w:t>
      </w:r>
    </w:p>
    <w:p w:rsidR="00EB3BC7" w:rsidRPr="00FF2FF3" w:rsidRDefault="002B159E" w:rsidP="00EB3BC7">
      <w:pPr>
        <w:contextualSpacing/>
        <w:jc w:val="both"/>
        <w:rPr>
          <w:b/>
          <w:i/>
          <w:lang w:val="pt-BR"/>
        </w:rPr>
      </w:pPr>
      <w:r w:rsidRPr="00FF2FF3">
        <w:rPr>
          <w:b/>
          <w:i/>
          <w:lang w:val="pt-BR"/>
        </w:rPr>
        <w:t>Ariana Ribeiro Costa</w:t>
      </w:r>
      <w:r w:rsidR="00EB3BC7" w:rsidRPr="00FF2FF3">
        <w:rPr>
          <w:b/>
          <w:i/>
          <w:lang w:val="pt-BR"/>
        </w:rPr>
        <w:t xml:space="preserve"> </w:t>
      </w:r>
    </w:p>
    <w:p w:rsidR="00EB3BC7" w:rsidRPr="00876ACE" w:rsidRDefault="00EB3BC7" w:rsidP="00EB3BC7">
      <w:pPr>
        <w:contextualSpacing/>
        <w:jc w:val="both"/>
        <w:rPr>
          <w:b/>
          <w:i/>
          <w:lang w:val="pt-BR"/>
        </w:rPr>
      </w:pPr>
      <w:proofErr w:type="spellStart"/>
      <w:r w:rsidRPr="00876ACE">
        <w:rPr>
          <w:i/>
          <w:lang w:val="pt-BR"/>
        </w:rPr>
        <w:t>Postdoctoral</w:t>
      </w:r>
      <w:proofErr w:type="spellEnd"/>
      <w:r w:rsidRPr="00876ACE">
        <w:rPr>
          <w:i/>
          <w:lang w:val="pt-BR"/>
        </w:rPr>
        <w:t xml:space="preserve"> </w:t>
      </w:r>
      <w:proofErr w:type="spellStart"/>
      <w:r w:rsidRPr="00876ACE">
        <w:rPr>
          <w:i/>
          <w:lang w:val="pt-BR"/>
        </w:rPr>
        <w:t>researcher</w:t>
      </w:r>
      <w:proofErr w:type="spellEnd"/>
      <w:r w:rsidRPr="00876ACE">
        <w:rPr>
          <w:i/>
          <w:lang w:val="pt-BR"/>
        </w:rPr>
        <w:t xml:space="preserve"> </w:t>
      </w:r>
      <w:proofErr w:type="spellStart"/>
      <w:r w:rsidRPr="00876ACE">
        <w:rPr>
          <w:i/>
          <w:lang w:val="pt-BR"/>
        </w:rPr>
        <w:t>at</w:t>
      </w:r>
      <w:proofErr w:type="spellEnd"/>
      <w:r w:rsidRPr="00876ACE">
        <w:rPr>
          <w:i/>
          <w:lang w:val="pt-BR"/>
        </w:rPr>
        <w:t xml:space="preserve"> Federal </w:t>
      </w:r>
      <w:proofErr w:type="spellStart"/>
      <w:r w:rsidRPr="00876ACE">
        <w:rPr>
          <w:i/>
          <w:lang w:val="pt-BR"/>
        </w:rPr>
        <w:t>University</w:t>
      </w:r>
      <w:proofErr w:type="spellEnd"/>
      <w:r w:rsidRPr="00876ACE">
        <w:rPr>
          <w:i/>
          <w:lang w:val="pt-BR"/>
        </w:rPr>
        <w:t xml:space="preserve"> </w:t>
      </w:r>
      <w:proofErr w:type="spellStart"/>
      <w:r w:rsidRPr="00876ACE">
        <w:rPr>
          <w:i/>
          <w:lang w:val="pt-BR"/>
        </w:rPr>
        <w:t>of</w:t>
      </w:r>
      <w:proofErr w:type="spellEnd"/>
      <w:r w:rsidRPr="00876ACE">
        <w:rPr>
          <w:i/>
          <w:lang w:val="pt-BR"/>
        </w:rPr>
        <w:t xml:space="preserve"> São Carlos</w:t>
      </w:r>
    </w:p>
    <w:p w:rsidR="002B159E" w:rsidRPr="00FF2FF3" w:rsidRDefault="002B159E" w:rsidP="002B159E">
      <w:pPr>
        <w:contextualSpacing/>
        <w:jc w:val="both"/>
        <w:rPr>
          <w:b/>
          <w:i/>
          <w:lang w:val="pt-BR"/>
        </w:rPr>
      </w:pPr>
      <w:r w:rsidRPr="00FF2FF3">
        <w:rPr>
          <w:b/>
          <w:i/>
          <w:lang w:val="pt-BR"/>
        </w:rPr>
        <w:t>Renato Garcia</w:t>
      </w:r>
    </w:p>
    <w:p w:rsidR="00EB3BC7" w:rsidRPr="00876ACE" w:rsidRDefault="00EB3BC7" w:rsidP="002B159E">
      <w:pPr>
        <w:contextualSpacing/>
        <w:jc w:val="both"/>
        <w:rPr>
          <w:i/>
          <w:lang w:val="pt-BR"/>
        </w:rPr>
      </w:pPr>
      <w:proofErr w:type="spellStart"/>
      <w:r w:rsidRPr="00876ACE">
        <w:rPr>
          <w:i/>
          <w:lang w:val="pt-BR"/>
        </w:rPr>
        <w:t>University</w:t>
      </w:r>
      <w:proofErr w:type="spellEnd"/>
      <w:r w:rsidRPr="00876ACE">
        <w:rPr>
          <w:i/>
          <w:lang w:val="pt-BR"/>
        </w:rPr>
        <w:t xml:space="preserve"> </w:t>
      </w:r>
      <w:proofErr w:type="spellStart"/>
      <w:r w:rsidRPr="00876ACE">
        <w:rPr>
          <w:i/>
          <w:lang w:val="pt-BR"/>
        </w:rPr>
        <w:t>of</w:t>
      </w:r>
      <w:proofErr w:type="spellEnd"/>
      <w:r w:rsidRPr="00876ACE">
        <w:rPr>
          <w:i/>
          <w:lang w:val="pt-BR"/>
        </w:rPr>
        <w:t xml:space="preserve"> Campinas</w:t>
      </w:r>
    </w:p>
    <w:p w:rsidR="0061002F" w:rsidRPr="005D06F9" w:rsidRDefault="00EB3BC7" w:rsidP="002B159E">
      <w:pPr>
        <w:contextualSpacing/>
        <w:jc w:val="both"/>
        <w:rPr>
          <w:b/>
          <w:i/>
          <w:lang w:val="pt-BR"/>
        </w:rPr>
      </w:pPr>
      <w:r w:rsidRPr="005D06F9">
        <w:rPr>
          <w:b/>
          <w:i/>
          <w:lang w:val="pt-BR"/>
        </w:rPr>
        <w:t xml:space="preserve">José Eduardo de Salles </w:t>
      </w:r>
      <w:proofErr w:type="spellStart"/>
      <w:r w:rsidRPr="005D06F9">
        <w:rPr>
          <w:b/>
          <w:i/>
          <w:lang w:val="pt-BR"/>
        </w:rPr>
        <w:t>Roselin</w:t>
      </w:r>
      <w:r w:rsidR="0061002F" w:rsidRPr="005D06F9">
        <w:rPr>
          <w:b/>
          <w:i/>
          <w:lang w:val="pt-BR"/>
        </w:rPr>
        <w:t>o</w:t>
      </w:r>
      <w:proofErr w:type="spellEnd"/>
    </w:p>
    <w:p w:rsidR="00EB3BC7" w:rsidRPr="005D06F9" w:rsidRDefault="005D06F9" w:rsidP="002B159E">
      <w:pPr>
        <w:contextualSpacing/>
        <w:jc w:val="both"/>
        <w:rPr>
          <w:b/>
          <w:i/>
          <w:lang w:val="pt-BR"/>
        </w:rPr>
      </w:pPr>
      <w:r w:rsidRPr="005D06F9">
        <w:rPr>
          <w:b/>
          <w:i/>
          <w:lang w:val="pt-BR"/>
        </w:rPr>
        <w:t>José César Cruz Júnior</w:t>
      </w:r>
    </w:p>
    <w:p w:rsidR="00EB3BC7" w:rsidRPr="00FF2FF3" w:rsidRDefault="00EB3BC7" w:rsidP="002B159E">
      <w:pPr>
        <w:contextualSpacing/>
        <w:jc w:val="both"/>
        <w:rPr>
          <w:i/>
        </w:rPr>
      </w:pPr>
      <w:r w:rsidRPr="00FF2FF3">
        <w:rPr>
          <w:i/>
        </w:rPr>
        <w:t>Federal University of São Carlos</w:t>
      </w:r>
    </w:p>
    <w:p w:rsidR="002D1089" w:rsidRPr="00416E32" w:rsidRDefault="002D1089" w:rsidP="0077094F">
      <w:pPr>
        <w:contextualSpacing/>
        <w:jc w:val="both"/>
      </w:pPr>
    </w:p>
    <w:p w:rsidR="00B256E5" w:rsidRDefault="00B256E5" w:rsidP="00B91FCA">
      <w:pPr>
        <w:spacing w:line="360" w:lineRule="auto"/>
        <w:contextualSpacing/>
        <w:jc w:val="both"/>
        <w:rPr>
          <w:rStyle w:val="Ttulo2Char"/>
          <w:lang w:val="en-US"/>
        </w:rPr>
      </w:pPr>
    </w:p>
    <w:p w:rsidR="00B256E5" w:rsidRPr="00902795" w:rsidRDefault="00B256E5" w:rsidP="00B256E5">
      <w:pPr>
        <w:spacing w:line="360" w:lineRule="auto"/>
        <w:jc w:val="both"/>
      </w:pPr>
      <w:r w:rsidRPr="00592002">
        <w:rPr>
          <w:b/>
        </w:rPr>
        <w:t>Abstract</w:t>
      </w:r>
      <w:r>
        <w:t xml:space="preserve">: </w:t>
      </w:r>
      <w:r w:rsidR="00592002" w:rsidRPr="00592002">
        <w:t xml:space="preserve">The analysis of locational factors is the key to understand the localization of innovation. The mobility of skilled workers is one of these factors. The mobility </w:t>
      </w:r>
      <w:r w:rsidR="00592002">
        <w:t xml:space="preserve">of workers </w:t>
      </w:r>
      <w:r w:rsidR="00592002" w:rsidRPr="00592002">
        <w:t xml:space="preserve">is important for innovation activities because the knowledge is embodied in people. </w:t>
      </w:r>
      <w:r w:rsidR="00592002">
        <w:t>T</w:t>
      </w:r>
      <w:r w:rsidR="00592002" w:rsidRPr="00592002">
        <w:t xml:space="preserve">he aim of this </w:t>
      </w:r>
      <w:r w:rsidR="00592002">
        <w:t xml:space="preserve">article </w:t>
      </w:r>
      <w:r w:rsidR="00592002" w:rsidRPr="00592002">
        <w:t>is to evaluate if the mobility of skilled workers can influence the regional innovation in Brazil. The mobility was analyzed with micro-data of formal workers between the micro-regions of Brazil on the years of 2003 to 2008. The indicators of mobility were created for total workers, workers with higher education and workers in technical and scientific occupations in selected economics activities. The knowledge production function framework at the regional level was used. The empirical approach shows that the inflows and outflows of workers are beneficial for innovation. The circulation of skilled workers is an important element in the analyses of regional innovation.</w:t>
      </w:r>
    </w:p>
    <w:p w:rsidR="00B256E5" w:rsidRDefault="00B256E5" w:rsidP="00B256E5">
      <w:pPr>
        <w:jc w:val="both"/>
        <w:rPr>
          <w:b/>
          <w:color w:val="000000"/>
        </w:rPr>
      </w:pPr>
    </w:p>
    <w:p w:rsidR="00B256E5" w:rsidRDefault="00B256E5" w:rsidP="00876ACE">
      <w:pPr>
        <w:spacing w:line="360" w:lineRule="auto"/>
        <w:jc w:val="both"/>
      </w:pPr>
      <w:r w:rsidRPr="00416E32">
        <w:rPr>
          <w:b/>
          <w:color w:val="000000"/>
        </w:rPr>
        <w:t>Keywords</w:t>
      </w:r>
      <w:r w:rsidRPr="00416E32">
        <w:rPr>
          <w:color w:val="000000"/>
        </w:rPr>
        <w:t xml:space="preserve">: </w:t>
      </w:r>
      <w:r>
        <w:t>Innovation, Skilled workers, Mobility and Knowledge flows.</w:t>
      </w:r>
    </w:p>
    <w:p w:rsidR="00B256E5" w:rsidRPr="00876ACE" w:rsidRDefault="00592002" w:rsidP="00876ACE">
      <w:pPr>
        <w:spacing w:line="360" w:lineRule="auto"/>
        <w:jc w:val="both"/>
        <w:rPr>
          <w:b/>
          <w:color w:val="000000"/>
        </w:rPr>
      </w:pPr>
      <w:r w:rsidRPr="00592002">
        <w:rPr>
          <w:b/>
          <w:color w:val="000000"/>
        </w:rPr>
        <w:t>Codes</w:t>
      </w:r>
      <w:r w:rsidR="00B256E5" w:rsidRPr="00592002">
        <w:rPr>
          <w:b/>
          <w:color w:val="000000"/>
        </w:rPr>
        <w:t xml:space="preserve"> JEL</w:t>
      </w:r>
      <w:r w:rsidR="00B256E5" w:rsidRPr="00876ACE">
        <w:rPr>
          <w:b/>
          <w:color w:val="000000"/>
        </w:rPr>
        <w:t>: D62, O15, O31</w:t>
      </w:r>
    </w:p>
    <w:p w:rsidR="00876ACE" w:rsidRPr="00876ACE" w:rsidRDefault="00876ACE" w:rsidP="00876ACE">
      <w:pPr>
        <w:spacing w:line="360" w:lineRule="auto"/>
        <w:jc w:val="both"/>
        <w:rPr>
          <w:b/>
          <w:color w:val="000000"/>
        </w:rPr>
      </w:pPr>
      <w:proofErr w:type="spellStart"/>
      <w:r w:rsidRPr="00876ACE">
        <w:rPr>
          <w:b/>
          <w:color w:val="000000"/>
        </w:rPr>
        <w:t>Área</w:t>
      </w:r>
      <w:proofErr w:type="spellEnd"/>
      <w:r w:rsidRPr="00876ACE">
        <w:rPr>
          <w:b/>
          <w:color w:val="000000"/>
        </w:rPr>
        <w:t xml:space="preserve"> 9 ANPEC </w:t>
      </w:r>
    </w:p>
    <w:p w:rsidR="00B256E5" w:rsidRDefault="00B256E5" w:rsidP="00876ACE">
      <w:pPr>
        <w:spacing w:line="360" w:lineRule="auto"/>
        <w:contextualSpacing/>
        <w:jc w:val="both"/>
        <w:rPr>
          <w:rStyle w:val="Ttulo2Char"/>
          <w:lang w:val="en-US"/>
        </w:rPr>
      </w:pPr>
      <w:bookmarkStart w:id="0" w:name="_GoBack"/>
      <w:bookmarkEnd w:id="0"/>
    </w:p>
    <w:p w:rsidR="00FF3752" w:rsidRPr="00F2540C" w:rsidRDefault="00FF3752" w:rsidP="00B91FCA">
      <w:pPr>
        <w:spacing w:line="360" w:lineRule="auto"/>
        <w:contextualSpacing/>
        <w:jc w:val="both"/>
      </w:pPr>
      <w:r w:rsidRPr="00F2540C">
        <w:rPr>
          <w:rStyle w:val="Ttulo2Char"/>
          <w:lang w:val="en-US"/>
        </w:rPr>
        <w:t>Introduction</w:t>
      </w:r>
      <w:r w:rsidR="007D72BE" w:rsidRPr="00F2540C">
        <w:t xml:space="preserve">: </w:t>
      </w:r>
    </w:p>
    <w:p w:rsidR="00084DFB" w:rsidRDefault="00084DFB" w:rsidP="00483542">
      <w:pPr>
        <w:spacing w:line="360" w:lineRule="auto"/>
        <w:ind w:firstLine="708"/>
        <w:contextualSpacing/>
        <w:jc w:val="both"/>
      </w:pPr>
      <w:r>
        <w:t>There is a growing literature that investigates the extent to which the presence of qualified workers in a region can lead to greater possibilities for knowledge exchange among different agents.</w:t>
      </w:r>
      <w:r w:rsidR="0038455F">
        <w:t xml:space="preserve"> In this context, </w:t>
      </w:r>
      <w:r>
        <w:t xml:space="preserve">the analysis of the characteristics and implications of </w:t>
      </w:r>
      <w:r w:rsidR="0038455F">
        <w:t>mobility of workers</w:t>
      </w:r>
      <w:r>
        <w:t xml:space="preserve"> for regions is a relevant question.</w:t>
      </w:r>
      <w:r w:rsidR="00483542">
        <w:t xml:space="preserve"> </w:t>
      </w:r>
      <w:r>
        <w:t xml:space="preserve">The mobility of workers is one of the mechanisms </w:t>
      </w:r>
      <w:r w:rsidR="00581D4C">
        <w:t xml:space="preserve">that increase </w:t>
      </w:r>
      <w:r>
        <w:t xml:space="preserve">the intensity and concentration of knowledge flows, as well as being a key element to explain the geographical concentrations of innovative activities </w:t>
      </w:r>
      <w:r w:rsidRPr="00401823">
        <w:lastRenderedPageBreak/>
        <w:t>(</w:t>
      </w:r>
      <w:proofErr w:type="spellStart"/>
      <w:r w:rsidRPr="00401823">
        <w:t>Breschi</w:t>
      </w:r>
      <w:proofErr w:type="spellEnd"/>
      <w:r w:rsidRPr="00401823">
        <w:t xml:space="preserve"> &amp; </w:t>
      </w:r>
      <w:proofErr w:type="spellStart"/>
      <w:r w:rsidRPr="00401823">
        <w:t>Lissoni</w:t>
      </w:r>
      <w:proofErr w:type="spellEnd"/>
      <w:r w:rsidRPr="00401823">
        <w:t xml:space="preserve"> 2009; </w:t>
      </w:r>
      <w:proofErr w:type="spellStart"/>
      <w:r w:rsidRPr="00401823">
        <w:t>Gagliardi</w:t>
      </w:r>
      <w:proofErr w:type="spellEnd"/>
      <w:r w:rsidRPr="00401823">
        <w:t xml:space="preserve"> 2015; </w:t>
      </w:r>
      <w:proofErr w:type="spellStart"/>
      <w:r w:rsidRPr="00401823">
        <w:t>Lenzi</w:t>
      </w:r>
      <w:proofErr w:type="spellEnd"/>
      <w:r w:rsidRPr="00401823">
        <w:t xml:space="preserve"> 2013). </w:t>
      </w:r>
      <w:r>
        <w:t>It can enrich the local knowledge base.</w:t>
      </w:r>
      <w:r w:rsidR="00483542">
        <w:t xml:space="preserve"> </w:t>
      </w:r>
      <w:r>
        <w:t>Knowledge is embedded in people, in their tacit knowledge and in their abilities to decode codified knowledge (</w:t>
      </w:r>
      <w:proofErr w:type="spellStart"/>
      <w:r>
        <w:t>Fratesi</w:t>
      </w:r>
      <w:proofErr w:type="spellEnd"/>
      <w:r>
        <w:t xml:space="preserve"> 2014; </w:t>
      </w:r>
      <w:proofErr w:type="spellStart"/>
      <w:r>
        <w:t>Breschi</w:t>
      </w:r>
      <w:proofErr w:type="spellEnd"/>
      <w:r>
        <w:t xml:space="preserve"> &amp; </w:t>
      </w:r>
      <w:proofErr w:type="spellStart"/>
      <w:r>
        <w:t>Lenzi</w:t>
      </w:r>
      <w:proofErr w:type="spellEnd"/>
      <w:r>
        <w:t xml:space="preserve"> 2010; </w:t>
      </w:r>
      <w:proofErr w:type="spellStart"/>
      <w:r>
        <w:t>Lenzi</w:t>
      </w:r>
      <w:proofErr w:type="spellEnd"/>
      <w:r>
        <w:t xml:space="preserve"> 2013). </w:t>
      </w:r>
    </w:p>
    <w:p w:rsidR="00084DFB" w:rsidRDefault="00084DFB" w:rsidP="00483542">
      <w:pPr>
        <w:spacing w:line="360" w:lineRule="auto"/>
        <w:ind w:firstLine="708"/>
        <w:contextualSpacing/>
        <w:jc w:val="both"/>
      </w:pPr>
      <w:r>
        <w:t xml:space="preserve">Along these lines, authors have been </w:t>
      </w:r>
      <w:r w:rsidR="00D712D1">
        <w:t>studying</w:t>
      </w:r>
      <w:r>
        <w:t xml:space="preserve"> the role of knowledge and skilled workers and their mobility patterns as a vehicle for the diffusion of knowledge (</w:t>
      </w:r>
      <w:proofErr w:type="spellStart"/>
      <w:r>
        <w:t>Fratesi</w:t>
      </w:r>
      <w:proofErr w:type="spellEnd"/>
      <w:r>
        <w:t xml:space="preserve"> 2014). The idea is that knowledge flow and its geographical distribution tends to develop according to the trajectories of individuals that produce and possess knowledge.  The mobility itself may not have a positive effect over the regions, especially when the workers mobility does not involve qualified and complex knowledge (</w:t>
      </w:r>
      <w:proofErr w:type="spellStart"/>
      <w:r>
        <w:t>Breschi</w:t>
      </w:r>
      <w:proofErr w:type="spellEnd"/>
      <w:r>
        <w:t xml:space="preserve"> &amp; </w:t>
      </w:r>
      <w:proofErr w:type="spellStart"/>
      <w:r>
        <w:t>Lenzi</w:t>
      </w:r>
      <w:proofErr w:type="spellEnd"/>
      <w:r>
        <w:t xml:space="preserve"> 2010; </w:t>
      </w:r>
      <w:proofErr w:type="spellStart"/>
      <w:r>
        <w:t>Lenzi</w:t>
      </w:r>
      <w:proofErr w:type="spellEnd"/>
      <w:r>
        <w:t xml:space="preserve"> 2013).</w:t>
      </w:r>
    </w:p>
    <w:p w:rsidR="00F2540C" w:rsidRDefault="00420C58" w:rsidP="00420C58">
      <w:pPr>
        <w:spacing w:line="360" w:lineRule="auto"/>
        <w:contextualSpacing/>
        <w:jc w:val="both"/>
      </w:pPr>
      <w:r>
        <w:t>In this perspective, the aim of this research is to evaluate if the mobility of skilled workers can influence the results of innovation. The benefits generated by skilled workers’ mobility in a region can positively influence the innovative results of g</w:t>
      </w:r>
      <w:r w:rsidR="00F2540C">
        <w:t>eographically nearby companies.</w:t>
      </w:r>
    </w:p>
    <w:p w:rsidR="00420C58" w:rsidRDefault="00420C58" w:rsidP="00F2540C">
      <w:pPr>
        <w:spacing w:line="360" w:lineRule="auto"/>
        <w:ind w:firstLine="708"/>
        <w:contextualSpacing/>
        <w:jc w:val="both"/>
      </w:pPr>
      <w:r>
        <w:t>This work contributes by presenting empirical evidence on the role of skilled workers’ mobility as an important source of knowledge flows. There is a lack of evidence about this theme (</w:t>
      </w:r>
      <w:proofErr w:type="spellStart"/>
      <w:r w:rsidR="005D06F9">
        <w:t>Lissoni</w:t>
      </w:r>
      <w:proofErr w:type="spellEnd"/>
      <w:r w:rsidR="005D06F9">
        <w:t xml:space="preserve"> 2018; </w:t>
      </w:r>
      <w:proofErr w:type="spellStart"/>
      <w:r>
        <w:t>Maré</w:t>
      </w:r>
      <w:proofErr w:type="spellEnd"/>
      <w:r>
        <w:t xml:space="preserve"> et al. 2014; </w:t>
      </w:r>
      <w:proofErr w:type="spellStart"/>
      <w:r>
        <w:t>Gagliardi</w:t>
      </w:r>
      <w:proofErr w:type="spellEnd"/>
      <w:r>
        <w:t xml:space="preserve"> 2015; </w:t>
      </w:r>
      <w:proofErr w:type="spellStart"/>
      <w:r>
        <w:t>Crescenzi</w:t>
      </w:r>
      <w:proofErr w:type="spellEnd"/>
      <w:r>
        <w:t xml:space="preserve"> &amp; </w:t>
      </w:r>
      <w:proofErr w:type="spellStart"/>
      <w:r>
        <w:t>Gagliardi</w:t>
      </w:r>
      <w:proofErr w:type="spellEnd"/>
      <w:r>
        <w:t xml:space="preserve"> 2015). Moreover, such analyses are still scarce for developing countries with continental dimensions. In Brazil, the analysis of the mobility of skilled workers is based on the evaluation of the determinants of mobility, admitting that skilled workers can be instruments of knowledge diffusion </w:t>
      </w:r>
      <w:r w:rsidR="00401823">
        <w:t>(Mendes et al. 2012</w:t>
      </w:r>
      <w:r w:rsidR="005D06F9">
        <w:t>; 2017</w:t>
      </w:r>
      <w:r w:rsidR="00401823">
        <w:t xml:space="preserve">; </w:t>
      </w:r>
      <w:proofErr w:type="spellStart"/>
      <w:r w:rsidR="00401823">
        <w:t>Taveira</w:t>
      </w:r>
      <w:proofErr w:type="spellEnd"/>
      <w:r w:rsidR="00401823">
        <w:t xml:space="preserve"> et al. 2014)</w:t>
      </w:r>
      <w:r w:rsidRPr="00401823">
        <w:t xml:space="preserve">. </w:t>
      </w:r>
      <w:r>
        <w:t>Thus, there is no evidence of the effect of skilled workers’ mobility on innovation.</w:t>
      </w:r>
    </w:p>
    <w:p w:rsidR="00420C58" w:rsidRDefault="00420C58" w:rsidP="00420C58">
      <w:pPr>
        <w:spacing w:line="360" w:lineRule="auto"/>
        <w:ind w:firstLine="708"/>
        <w:contextualSpacing/>
        <w:jc w:val="both"/>
      </w:pPr>
      <w:r>
        <w:t>The empirical strategy is based on the knowledge production function that estimates innovation measures as a function of regional factors (</w:t>
      </w:r>
      <w:proofErr w:type="spellStart"/>
      <w:r>
        <w:t>Griliches</w:t>
      </w:r>
      <w:proofErr w:type="spellEnd"/>
      <w:r>
        <w:t xml:space="preserve"> 1979; Jaffe 1989). Innovation is the dependent variable - measured by the average of patents per capita in 2009-2011. Mobility of skilled workers is one of the independent variables and it is the </w:t>
      </w:r>
      <w:proofErr w:type="spellStart"/>
      <w:r>
        <w:t>regressor</w:t>
      </w:r>
      <w:proofErr w:type="spellEnd"/>
      <w:r>
        <w:t xml:space="preserve"> of interest. The measure of mobility of workers used data from the Brazilian Ministry of Labor, which covers all formal labor market in specified year.</w:t>
      </w:r>
    </w:p>
    <w:p w:rsidR="00084DFB" w:rsidRDefault="00420C58" w:rsidP="00420C58">
      <w:pPr>
        <w:spacing w:line="360" w:lineRule="auto"/>
        <w:ind w:firstLine="708"/>
        <w:contextualSpacing/>
        <w:jc w:val="both"/>
      </w:pPr>
      <w:r>
        <w:t xml:space="preserve">Three measures of mobility were constructed: mobility of the total workers (TO), mobility of workers with higher education (HE) and mobility of workers in technical and scientific occupations (TS) in selected economic activities. The last two (HE and TS) were considered mobility of skilled workers. Additionally, it was analyzed the mobility of workers that occurred between micro-regions that are classified in the same metropolitan area by </w:t>
      </w:r>
      <w:r>
        <w:lastRenderedPageBreak/>
        <w:t>IBGE (intra-metropolitan areas). The results pointed to a positive relationship between innovation and circulation of skilled workers in Brazil.</w:t>
      </w:r>
    </w:p>
    <w:p w:rsidR="00084DFB" w:rsidRDefault="00420C58" w:rsidP="00420C58">
      <w:pPr>
        <w:spacing w:line="360" w:lineRule="auto"/>
        <w:ind w:firstLine="708"/>
        <w:contextualSpacing/>
        <w:jc w:val="both"/>
      </w:pPr>
      <w:r w:rsidRPr="00420C58">
        <w:t>This paper is organized as follows. The next section presents the main conceptual background regarding mobility of skilled workers and its influence in knowledge flow and innovation. Section 3 provides a description of the main variables of the model: the measure of innovation and the measure of workers’ mobility. The fourth section presents the empirical model and other variables used in the empirical strategy. The next section presents the results and the discussion. Finally, the last section offers some concluding remarks</w:t>
      </w:r>
      <w:r>
        <w:t>.</w:t>
      </w:r>
    </w:p>
    <w:p w:rsidR="00420C58" w:rsidRPr="0096642E" w:rsidRDefault="00420C58" w:rsidP="00420C58">
      <w:pPr>
        <w:spacing w:line="360" w:lineRule="auto"/>
        <w:ind w:firstLine="708"/>
        <w:contextualSpacing/>
        <w:jc w:val="both"/>
      </w:pPr>
    </w:p>
    <w:p w:rsidR="00681E5F" w:rsidRDefault="00F137B3" w:rsidP="00B91FCA">
      <w:pPr>
        <w:spacing w:line="360" w:lineRule="auto"/>
        <w:contextualSpacing/>
        <w:jc w:val="both"/>
        <w:rPr>
          <w:b/>
        </w:rPr>
      </w:pPr>
      <w:r w:rsidRPr="00B91FCA">
        <w:rPr>
          <w:b/>
        </w:rPr>
        <w:t>Main conceptual remarks:</w:t>
      </w:r>
      <w:r w:rsidR="00684A7C" w:rsidRPr="00B91FCA">
        <w:rPr>
          <w:b/>
        </w:rPr>
        <w:t xml:space="preserve"> </w:t>
      </w:r>
    </w:p>
    <w:p w:rsidR="0096642E" w:rsidRPr="0096642E" w:rsidRDefault="0096642E" w:rsidP="0096642E">
      <w:pPr>
        <w:spacing w:line="360" w:lineRule="auto"/>
        <w:ind w:firstLine="709"/>
        <w:contextualSpacing/>
        <w:jc w:val="both"/>
      </w:pPr>
      <w:r w:rsidRPr="0096642E">
        <w:t>The skilled workers’ mobility is a growing area of study in literature that relates geography and innovation. The mobility of workers is important for fostering the innovation because the knowledge is embedded in people and the movement of these people in the space can be considered a crucial mechanism of knowledge diffusion between firms and regions (</w:t>
      </w:r>
      <w:proofErr w:type="spellStart"/>
      <w:r w:rsidRPr="0096642E">
        <w:t>Boschma</w:t>
      </w:r>
      <w:proofErr w:type="spellEnd"/>
      <w:r w:rsidRPr="0096642E">
        <w:t xml:space="preserve"> et al. 2014; </w:t>
      </w:r>
      <w:proofErr w:type="spellStart"/>
      <w:r w:rsidRPr="0096642E">
        <w:t>Gagliardi</w:t>
      </w:r>
      <w:proofErr w:type="spellEnd"/>
      <w:r w:rsidRPr="0096642E">
        <w:t xml:space="preserve"> 2015). </w:t>
      </w:r>
    </w:p>
    <w:p w:rsidR="0096642E" w:rsidRPr="0096642E" w:rsidRDefault="0096642E" w:rsidP="0096642E">
      <w:pPr>
        <w:spacing w:line="360" w:lineRule="auto"/>
        <w:ind w:firstLine="709"/>
        <w:contextualSpacing/>
        <w:jc w:val="both"/>
      </w:pPr>
      <w:r w:rsidRPr="0096642E">
        <w:t>The knowledge flows tend to follow and develop according to trajectories of mobility from individuals that have and produce knowledge. The tacit and idiosyncratic attributes of knowledge, that are relevant to the innovation activities, are transferable and the diffusion is related with the presence of social and professional contacts. Although the social relations are developed and stabilized at the local level, the social relations can create networks. These relational networks are important for persistent of the contacts with different agents even after that agents move for different geographical areas. It is possible to assert that geography matters, since previous location of the workers allows generation of social relations and therefore, shapes and directs the geographic distribution of knowledge flows (</w:t>
      </w:r>
      <w:proofErr w:type="spellStart"/>
      <w:r w:rsidRPr="0096642E">
        <w:t>Breschi</w:t>
      </w:r>
      <w:proofErr w:type="spellEnd"/>
      <w:r w:rsidRPr="0096642E">
        <w:t xml:space="preserve"> &amp; </w:t>
      </w:r>
      <w:proofErr w:type="spellStart"/>
      <w:r w:rsidRPr="0096642E">
        <w:t>Lenzi</w:t>
      </w:r>
      <w:proofErr w:type="spellEnd"/>
      <w:r w:rsidRPr="0096642E">
        <w:t xml:space="preserve"> 2010). </w:t>
      </w:r>
    </w:p>
    <w:p w:rsidR="0096642E" w:rsidRPr="0096642E" w:rsidRDefault="0096642E" w:rsidP="0096642E">
      <w:pPr>
        <w:spacing w:line="360" w:lineRule="auto"/>
        <w:ind w:firstLine="709"/>
        <w:contextualSpacing/>
        <w:jc w:val="both"/>
      </w:pPr>
      <w:r w:rsidRPr="0096642E">
        <w:t>However, it is important to point that mobility itself may not have effects on the knowledge flows, especially if the mobility does not involve workers with qualified and complex knowledge. Knowledge that is not qualified may not be absorbed by the agents located geographically near (</w:t>
      </w:r>
      <w:proofErr w:type="spellStart"/>
      <w:r w:rsidRPr="0096642E">
        <w:t>Breschi</w:t>
      </w:r>
      <w:proofErr w:type="spellEnd"/>
      <w:r w:rsidRPr="0096642E">
        <w:t xml:space="preserve"> &amp; </w:t>
      </w:r>
      <w:proofErr w:type="spellStart"/>
      <w:r w:rsidRPr="0096642E">
        <w:t>Lenzi</w:t>
      </w:r>
      <w:proofErr w:type="spellEnd"/>
      <w:r w:rsidRPr="0096642E">
        <w:t xml:space="preserve"> 2010; </w:t>
      </w:r>
      <w:proofErr w:type="spellStart"/>
      <w:r w:rsidRPr="0096642E">
        <w:t>Breschi</w:t>
      </w:r>
      <w:proofErr w:type="spellEnd"/>
      <w:r w:rsidRPr="0096642E">
        <w:t xml:space="preserve"> &amp; </w:t>
      </w:r>
      <w:proofErr w:type="spellStart"/>
      <w:r w:rsidRPr="0096642E">
        <w:t>Lissoni</w:t>
      </w:r>
      <w:proofErr w:type="spellEnd"/>
      <w:r w:rsidRPr="0096642E">
        <w:t xml:space="preserve"> 2009). The effect of mobility depends on the types of abilities that are exchanged amongst different agents (</w:t>
      </w:r>
      <w:proofErr w:type="spellStart"/>
      <w:r w:rsidRPr="0096642E">
        <w:t>Boschma</w:t>
      </w:r>
      <w:proofErr w:type="spellEnd"/>
      <w:r w:rsidRPr="0096642E">
        <w:t xml:space="preserve"> &amp; </w:t>
      </w:r>
      <w:proofErr w:type="spellStart"/>
      <w:r w:rsidRPr="0096642E">
        <w:t>Iammarino</w:t>
      </w:r>
      <w:proofErr w:type="spellEnd"/>
      <w:r w:rsidRPr="0096642E">
        <w:t xml:space="preserve"> 2009). For example, the firm will have a better performance if the new employer brings an ability that is related with the ability that already exists in the </w:t>
      </w:r>
      <w:r w:rsidRPr="0096642E">
        <w:lastRenderedPageBreak/>
        <w:t>portfolio of the firm. Furthermore, this new ability may only be accessed by the firm if it has absorptive capacity to understand and integrate this new ability in its activities (</w:t>
      </w:r>
      <w:proofErr w:type="spellStart"/>
      <w:r w:rsidRPr="0096642E">
        <w:t>Boschma</w:t>
      </w:r>
      <w:proofErr w:type="spellEnd"/>
      <w:r w:rsidRPr="0096642E">
        <w:t xml:space="preserve"> et al. 2014). </w:t>
      </w:r>
    </w:p>
    <w:p w:rsidR="0096642E" w:rsidRPr="0096642E" w:rsidRDefault="0096642E" w:rsidP="0096642E">
      <w:pPr>
        <w:spacing w:line="360" w:lineRule="auto"/>
        <w:ind w:firstLine="709"/>
        <w:contextualSpacing/>
        <w:jc w:val="both"/>
      </w:pPr>
      <w:r w:rsidRPr="0096642E">
        <w:t>In this perspective many articles present the relation amongst the knowledge flow and the regional level (</w:t>
      </w:r>
      <w:proofErr w:type="spellStart"/>
      <w:r w:rsidRPr="0096642E">
        <w:t>Boschma</w:t>
      </w:r>
      <w:proofErr w:type="spellEnd"/>
      <w:r w:rsidRPr="0096642E">
        <w:t xml:space="preserve"> et al. 2014). There are studies about the importance of workers mobility in the convergence of </w:t>
      </w:r>
      <w:proofErr w:type="gramStart"/>
      <w:r w:rsidRPr="0096642E">
        <w:t>regions,</w:t>
      </w:r>
      <w:proofErr w:type="gramEnd"/>
      <w:r w:rsidRPr="0096642E">
        <w:t xml:space="preserve"> other studies investigate the role of social capital for the firms when workers move to different firms and studies about the importance of mobility of stars scientists (</w:t>
      </w:r>
      <w:proofErr w:type="spellStart"/>
      <w:r w:rsidRPr="0096642E">
        <w:t>Fratesi</w:t>
      </w:r>
      <w:proofErr w:type="spellEnd"/>
      <w:r w:rsidRPr="0096642E">
        <w:t xml:space="preserve"> &amp; </w:t>
      </w:r>
      <w:proofErr w:type="spellStart"/>
      <w:r w:rsidRPr="0096642E">
        <w:t>Percoco</w:t>
      </w:r>
      <w:proofErr w:type="spellEnd"/>
      <w:r w:rsidRPr="0096642E">
        <w:t xml:space="preserve"> 2014; </w:t>
      </w:r>
      <w:proofErr w:type="spellStart"/>
      <w:r w:rsidRPr="0096642E">
        <w:t>Angeli</w:t>
      </w:r>
      <w:proofErr w:type="spellEnd"/>
      <w:r w:rsidRPr="0096642E">
        <w:t xml:space="preserve"> et al. 2014; </w:t>
      </w:r>
      <w:proofErr w:type="spellStart"/>
      <w:r w:rsidRPr="0096642E">
        <w:t>Lenzi</w:t>
      </w:r>
      <w:proofErr w:type="spellEnd"/>
      <w:r w:rsidRPr="0096642E">
        <w:t xml:space="preserve"> 2013). </w:t>
      </w:r>
    </w:p>
    <w:p w:rsidR="0096642E" w:rsidRPr="0096642E" w:rsidRDefault="0096642E" w:rsidP="00401823">
      <w:pPr>
        <w:spacing w:line="360" w:lineRule="auto"/>
        <w:ind w:firstLine="709"/>
        <w:contextualSpacing/>
        <w:jc w:val="both"/>
      </w:pPr>
      <w:r w:rsidRPr="0096642E">
        <w:t>Regarding innovation and mobility of qualified workers a few articles have been identifying a positive relation amongst the presence of migrants and innovation level. The migration of skilled workers may increase competitiveness and growth of the regions, which may create long term benefits (</w:t>
      </w:r>
      <w:proofErr w:type="spellStart"/>
      <w:r w:rsidRPr="0096642E">
        <w:t>Maré</w:t>
      </w:r>
      <w:proofErr w:type="spellEnd"/>
      <w:r w:rsidRPr="0096642E">
        <w:t xml:space="preserve"> et al. 2014). In this line, there is a number of mechanisms that explain the influence of migration on innovation: migrants change the workforce composition, </w:t>
      </w:r>
      <w:r w:rsidR="00401823">
        <w:t xml:space="preserve">they </w:t>
      </w:r>
      <w:r w:rsidRPr="0096642E">
        <w:t xml:space="preserve">have different types of knowledge that is not available in the population non-migrant, </w:t>
      </w:r>
      <w:r w:rsidR="00401823">
        <w:t xml:space="preserve">they </w:t>
      </w:r>
      <w:r w:rsidRPr="0096642E">
        <w:t xml:space="preserve">increase the knowledge diversity through the local interaction, </w:t>
      </w:r>
      <w:r w:rsidR="00401823">
        <w:t xml:space="preserve">they </w:t>
      </w:r>
      <w:r w:rsidRPr="0096642E">
        <w:t xml:space="preserve">have embodied knowledge and </w:t>
      </w:r>
      <w:r w:rsidR="00401823">
        <w:t xml:space="preserve">have </w:t>
      </w:r>
      <w:r w:rsidRPr="0096642E">
        <w:t xml:space="preserve">access to people and networks in different </w:t>
      </w:r>
      <w:r w:rsidR="00100415">
        <w:t>places in the world</w:t>
      </w:r>
      <w:r w:rsidRPr="0096642E">
        <w:t>. The interactions that contribute for these effects are diversified, such as the face to face contacts, the formal networks and the informal relations that occur in the clusters (</w:t>
      </w:r>
      <w:proofErr w:type="spellStart"/>
      <w:r w:rsidRPr="0096642E">
        <w:t>Maré</w:t>
      </w:r>
      <w:proofErr w:type="spellEnd"/>
      <w:r w:rsidRPr="0096642E">
        <w:t xml:space="preserve"> et al. 2014). If the interactions are not confined in the firm, the regional workforce composition influences the innovations activities of others firms (in special, for small and medium firms). </w:t>
      </w:r>
      <w:proofErr w:type="spellStart"/>
      <w:r w:rsidRPr="0096642E">
        <w:t>Gagliardi</w:t>
      </w:r>
      <w:proofErr w:type="spellEnd"/>
      <w:r w:rsidRPr="0096642E">
        <w:t xml:space="preserve"> (2015) asserts that skilled workers migration is one of the mechanisms of knowledge flows. The benefits of influx of skilled workers may be two: direct effect and indirect effect. The direct effect is associated with formal labor market; the indirect effect is related with the possibilities of existence of externalities, derived from accumulation of human capital in specifics spatial contexts. The positive impact of mobility occurs when the firm has an interaction with the external environment. That is, when the firm uses external information source. </w:t>
      </w:r>
    </w:p>
    <w:p w:rsidR="0096642E" w:rsidRPr="0096642E" w:rsidRDefault="0096642E" w:rsidP="0096642E">
      <w:pPr>
        <w:spacing w:line="360" w:lineRule="auto"/>
        <w:ind w:firstLine="709"/>
        <w:contextualSpacing/>
        <w:jc w:val="both"/>
      </w:pPr>
      <w:r w:rsidRPr="0096642E">
        <w:t xml:space="preserve">In this line, </w:t>
      </w:r>
      <w:proofErr w:type="spellStart"/>
      <w:r w:rsidRPr="0096642E">
        <w:t>Crescenzi</w:t>
      </w:r>
      <w:proofErr w:type="spellEnd"/>
      <w:r w:rsidRPr="0096642E">
        <w:t xml:space="preserve"> and </w:t>
      </w:r>
      <w:proofErr w:type="spellStart"/>
      <w:r w:rsidRPr="0096642E">
        <w:t>Gagliardi</w:t>
      </w:r>
      <w:proofErr w:type="spellEnd"/>
      <w:r w:rsidRPr="0096642E">
        <w:t xml:space="preserve"> (2015) point out that literature about the impact of mobility in innovation isn't fully exploited. However, the literature has convergence in three points: the relation amongst mobility and innovation is heterogeneous and it depends on the characteristics migrant’s individual, the receptor firms and the local labor market; the contract is only one aspect of knowledge spillovers in the local level; and the impact of influx of </w:t>
      </w:r>
      <w:r w:rsidRPr="0096642E">
        <w:lastRenderedPageBreak/>
        <w:t>qualified workers is affected by the way in which firms and others economics agents search yours knowledge source, building or not connections with the local.</w:t>
      </w:r>
    </w:p>
    <w:p w:rsidR="0096642E" w:rsidRPr="0096642E" w:rsidRDefault="0096642E" w:rsidP="0096642E">
      <w:pPr>
        <w:spacing w:line="360" w:lineRule="auto"/>
        <w:ind w:firstLine="709"/>
        <w:contextualSpacing/>
        <w:jc w:val="both"/>
      </w:pPr>
      <w:r w:rsidRPr="0096642E">
        <w:t xml:space="preserve">Furthermore, another concept used in the analysis of mobility of workers is known as “brain drain”, which is a term used by </w:t>
      </w:r>
      <w:proofErr w:type="spellStart"/>
      <w:r w:rsidRPr="0096642E">
        <w:t>Saxenian</w:t>
      </w:r>
      <w:proofErr w:type="spellEnd"/>
      <w:r w:rsidRPr="0096642E">
        <w:t xml:space="preserve"> (1999) in studies about the circulation of people between California (USA) and development countries, such as China and India. The movement of people between these countries was characterized by loss of qualified workers to USA. Nevertheless, in more recent articles, </w:t>
      </w:r>
      <w:proofErr w:type="spellStart"/>
      <w:r w:rsidRPr="0096642E">
        <w:t>Saxenian</w:t>
      </w:r>
      <w:proofErr w:type="spellEnd"/>
      <w:r w:rsidRPr="0096642E">
        <w:t xml:space="preserve"> (2002, 2005) shows evidence that these movements of people became a more complex process, known as “brain circulation”. The Asian immigrants established many connections with agents in their native countries, such as frequent exchanges of information about technology, jobs, business opportunities, and also achievement of investments in startups and capital funds in their countries. Other studies that evaluated of mobility of workers use this concept to analyze the inflow and outflow of skilled people in one region (</w:t>
      </w:r>
      <w:r w:rsidR="00100415" w:rsidRPr="0096642E">
        <w:t>Migu</w:t>
      </w:r>
      <w:r w:rsidR="00100415">
        <w:t>é</w:t>
      </w:r>
      <w:r w:rsidR="00100415" w:rsidRPr="0096642E">
        <w:t>lez</w:t>
      </w:r>
      <w:r w:rsidR="00100415">
        <w:t xml:space="preserve"> &amp; </w:t>
      </w:r>
      <w:r w:rsidR="00100415" w:rsidRPr="0096642E">
        <w:t>Moreno</w:t>
      </w:r>
      <w:r w:rsidRPr="0096642E">
        <w:t xml:space="preserve"> </w:t>
      </w:r>
      <w:r w:rsidR="005D06F9">
        <w:t xml:space="preserve">2014; </w:t>
      </w:r>
      <w:r w:rsidRPr="0096642E">
        <w:t>2015)</w:t>
      </w:r>
      <w:r w:rsidR="00100415" w:rsidRPr="00F65CA0">
        <w:rPr>
          <w:lang w:eastAsia="en-US"/>
        </w:rPr>
        <w:t>.</w:t>
      </w:r>
    </w:p>
    <w:p w:rsidR="0096642E" w:rsidRDefault="0096642E" w:rsidP="00B91FCA">
      <w:pPr>
        <w:spacing w:line="360" w:lineRule="auto"/>
        <w:contextualSpacing/>
        <w:jc w:val="both"/>
        <w:rPr>
          <w:b/>
        </w:rPr>
      </w:pPr>
    </w:p>
    <w:p w:rsidR="00684A7C" w:rsidRPr="00B91FCA" w:rsidRDefault="00684A7C" w:rsidP="00B91FCA">
      <w:pPr>
        <w:spacing w:line="360" w:lineRule="auto"/>
        <w:contextualSpacing/>
        <w:jc w:val="both"/>
        <w:rPr>
          <w:b/>
        </w:rPr>
      </w:pPr>
      <w:r w:rsidRPr="00B91FCA">
        <w:rPr>
          <w:b/>
        </w:rPr>
        <w:t>Measure of Innovation:</w:t>
      </w:r>
    </w:p>
    <w:p w:rsidR="00684A7C" w:rsidRPr="00B91FCA" w:rsidRDefault="00684A7C" w:rsidP="00B91FCA">
      <w:pPr>
        <w:spacing w:line="360" w:lineRule="auto"/>
        <w:ind w:firstLine="708"/>
        <w:contextualSpacing/>
        <w:jc w:val="both"/>
      </w:pPr>
      <w:r w:rsidRPr="00B91FCA">
        <w:t xml:space="preserve"> </w:t>
      </w:r>
      <w:r w:rsidR="0096642E" w:rsidRPr="0096642E">
        <w:t>To evaluate if the skilled workers’ mobility can influence the results of innovation it was used data from Patents in the National Institute for Intellectual Property (INPI) in the years of 2009, 2010 and 2011. This triennium has 26.744 inventors registered with consistent information about their localization. Brazil is a very large country and has many differences regarding the distribution of innovative activities (Albuquerque 2000). The number of inventor’s patents had concentration in regions that have major level of economics activities: the regions South and Southeast. The Map 1 presents the concentration of distributions of inventor’s patents per capita for micro-regions in the triennium 2009-2011.</w:t>
      </w:r>
    </w:p>
    <w:p w:rsidR="00E516DB" w:rsidRDefault="00E516DB" w:rsidP="00E516DB">
      <w:pPr>
        <w:keepNext/>
        <w:keepLines/>
        <w:ind w:firstLine="709"/>
        <w:jc w:val="center"/>
        <w:rPr>
          <w:shd w:val="clear" w:color="auto" w:fill="FFFFFF"/>
        </w:rPr>
      </w:pPr>
    </w:p>
    <w:p w:rsidR="00E516DB" w:rsidRPr="008629FC" w:rsidRDefault="008D0447" w:rsidP="00122EBE">
      <w:pPr>
        <w:keepNext/>
        <w:keepLines/>
        <w:ind w:firstLine="709"/>
        <w:jc w:val="center"/>
        <w:rPr>
          <w:shd w:val="clear" w:color="auto" w:fill="FFFFFF"/>
        </w:rPr>
      </w:pPr>
      <w:r>
        <w:rPr>
          <w:shd w:val="clear" w:color="auto" w:fill="FFFFFF"/>
        </w:rPr>
        <w:t>Map</w:t>
      </w:r>
      <w:r w:rsidR="00E516DB" w:rsidRPr="008629FC">
        <w:rPr>
          <w:shd w:val="clear" w:color="auto" w:fill="FFFFFF"/>
        </w:rPr>
        <w:t xml:space="preserve"> 1 – Distribution of Average Inventor’s Patents per capita for micro-regions (2009-2010-2011)</w:t>
      </w:r>
    </w:p>
    <w:p w:rsidR="00681E5F" w:rsidRDefault="00681E5F" w:rsidP="00122EBE">
      <w:pPr>
        <w:keepNext/>
        <w:keepLines/>
        <w:contextualSpacing/>
        <w:jc w:val="both"/>
        <w:rPr>
          <w:shd w:val="clear" w:color="auto" w:fill="FFFFFF"/>
        </w:rPr>
      </w:pPr>
    </w:p>
    <w:p w:rsidR="00684A7C" w:rsidRPr="00FF2FF3" w:rsidRDefault="00520EF8" w:rsidP="00122EBE">
      <w:pPr>
        <w:keepNext/>
        <w:keepLines/>
        <w:autoSpaceDE w:val="0"/>
        <w:autoSpaceDN w:val="0"/>
        <w:adjustRightInd w:val="0"/>
        <w:spacing w:line="360" w:lineRule="auto"/>
        <w:ind w:firstLine="426"/>
        <w:jc w:val="center"/>
        <w:rPr>
          <w:color w:val="FF0000"/>
          <w:shd w:val="clear" w:color="auto" w:fill="FFFFFF"/>
          <w:lang w:val="pt-BR"/>
        </w:rPr>
      </w:pPr>
      <w:r>
        <w:rPr>
          <w:rFonts w:ascii="Arial" w:hAnsi="Arial" w:cs="Arial"/>
          <w:noProof/>
          <w:lang w:val="pt-BR" w:eastAsia="pt-BR"/>
        </w:rPr>
        <w:drawing>
          <wp:inline distT="0" distB="0" distL="0" distR="0" wp14:anchorId="438D88DF" wp14:editId="27C898D9">
            <wp:extent cx="4128654" cy="3924406"/>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InventoresPC100mil.tif"/>
                    <pic:cNvPicPr/>
                  </pic:nvPicPr>
                  <pic:blipFill>
                    <a:blip r:embed="rId9">
                      <a:extLst>
                        <a:ext uri="{28A0092B-C50C-407E-A947-70E740481C1C}">
                          <a14:useLocalDpi xmlns:a14="http://schemas.microsoft.com/office/drawing/2010/main" val="0"/>
                        </a:ext>
                      </a:extLst>
                    </a:blip>
                    <a:stretch>
                      <a:fillRect/>
                    </a:stretch>
                  </pic:blipFill>
                  <pic:spPr>
                    <a:xfrm>
                      <a:off x="0" y="0"/>
                      <a:ext cx="4133078" cy="3928611"/>
                    </a:xfrm>
                    <a:prstGeom prst="rect">
                      <a:avLst/>
                    </a:prstGeom>
                  </pic:spPr>
                </pic:pic>
              </a:graphicData>
            </a:graphic>
          </wp:inline>
        </w:drawing>
      </w:r>
    </w:p>
    <w:p w:rsidR="00684A7C" w:rsidRPr="00460AA9" w:rsidRDefault="00684A7C" w:rsidP="00122EBE">
      <w:pPr>
        <w:keepNext/>
        <w:keepLines/>
        <w:ind w:firstLine="709"/>
        <w:jc w:val="center"/>
        <w:rPr>
          <w:shd w:val="clear" w:color="auto" w:fill="FFFFFF"/>
        </w:rPr>
      </w:pPr>
      <w:r w:rsidRPr="00460AA9">
        <w:rPr>
          <w:shd w:val="clear" w:color="auto" w:fill="FFFFFF"/>
        </w:rPr>
        <w:t xml:space="preserve">Source: Original Work, using data of </w:t>
      </w:r>
      <w:r w:rsidR="00C43668" w:rsidRPr="00C43668">
        <w:rPr>
          <w:shd w:val="clear" w:color="auto" w:fill="FFFFFF"/>
        </w:rPr>
        <w:t>National Institute of Industrial Prope</w:t>
      </w:r>
      <w:r w:rsidR="00B91FCA">
        <w:rPr>
          <w:shd w:val="clear" w:color="auto" w:fill="FFFFFF"/>
        </w:rPr>
        <w:t>rty</w:t>
      </w:r>
      <w:r w:rsidR="00C43668" w:rsidRPr="00460AA9">
        <w:rPr>
          <w:shd w:val="clear" w:color="auto" w:fill="FFFFFF"/>
        </w:rPr>
        <w:t xml:space="preserve"> </w:t>
      </w:r>
      <w:r w:rsidRPr="00460AA9">
        <w:rPr>
          <w:shd w:val="clear" w:color="auto" w:fill="FFFFFF"/>
        </w:rPr>
        <w:t>and Brazilian Institu</w:t>
      </w:r>
      <w:r w:rsidR="00B91FCA">
        <w:rPr>
          <w:shd w:val="clear" w:color="auto" w:fill="FFFFFF"/>
        </w:rPr>
        <w:t>te of Geography and Statistics</w:t>
      </w:r>
    </w:p>
    <w:p w:rsidR="00460AA9" w:rsidRPr="00B91FCA" w:rsidRDefault="00460AA9" w:rsidP="00B91FCA">
      <w:pPr>
        <w:spacing w:line="360" w:lineRule="auto"/>
        <w:ind w:firstLine="708"/>
        <w:contextualSpacing/>
        <w:jc w:val="both"/>
      </w:pPr>
    </w:p>
    <w:p w:rsidR="00460AA9" w:rsidRDefault="00460AA9" w:rsidP="00B91FCA">
      <w:pPr>
        <w:spacing w:line="360" w:lineRule="auto"/>
        <w:ind w:firstLine="708"/>
        <w:contextualSpacing/>
        <w:jc w:val="both"/>
        <w:rPr>
          <w:b/>
        </w:rPr>
      </w:pPr>
      <w:r w:rsidRPr="00B91FCA">
        <w:rPr>
          <w:b/>
        </w:rPr>
        <w:t>Measure of Worker Mobility:</w:t>
      </w:r>
    </w:p>
    <w:p w:rsidR="00376162" w:rsidRPr="00376162" w:rsidRDefault="00376162" w:rsidP="00376162">
      <w:pPr>
        <w:spacing w:line="360" w:lineRule="auto"/>
        <w:ind w:firstLine="709"/>
        <w:contextualSpacing/>
        <w:jc w:val="both"/>
      </w:pPr>
      <w:r w:rsidRPr="00376162">
        <w:t>To build the measures of Worker Mobility it was used data from Brazilian Ministry of Labor and Employment denominated RAIS ID.</w:t>
      </w:r>
      <w:r w:rsidR="00100415">
        <w:t xml:space="preserve"> </w:t>
      </w:r>
      <w:r w:rsidRPr="00376162">
        <w:t>With these data, it was possible to follow the occupational trajectory of workers and to get information on many of their characteristics. Each line of the database corresponds to a registration of an employment relationship in the year being analyzed, and relates this individual to one company and location. This line also contains the characteristics of the employment, such as remuneration, occupation, educational level, employment situation on December 31st, among others. There is also a code of Social Integration Program (PIS) for each worker. With this identifier it was possible to find a worker in different years if this worker was registered in formal employment throughout the years.</w:t>
      </w:r>
    </w:p>
    <w:p w:rsidR="00376162" w:rsidRPr="00376162" w:rsidRDefault="00376162" w:rsidP="00376162">
      <w:pPr>
        <w:spacing w:line="360" w:lineRule="auto"/>
        <w:ind w:firstLine="709"/>
        <w:contextualSpacing/>
        <w:jc w:val="both"/>
      </w:pPr>
      <w:r w:rsidRPr="00376162">
        <w:lastRenderedPageBreak/>
        <w:t>In this article the data used covers the years of 2003 to 2008, including the entire national territory. To build the measure of Worker Mobility, the SQL language was used for qu</w:t>
      </w:r>
      <w:r w:rsidR="00100415">
        <w:t xml:space="preserve">erying in a </w:t>
      </w:r>
      <w:proofErr w:type="spellStart"/>
      <w:r w:rsidR="00100415">
        <w:t>PostgreSQL</w:t>
      </w:r>
      <w:proofErr w:type="spellEnd"/>
      <w:r w:rsidR="00100415">
        <w:t xml:space="preserve"> database</w:t>
      </w:r>
      <w:r w:rsidRPr="00376162">
        <w:t>.</w:t>
      </w:r>
    </w:p>
    <w:p w:rsidR="00376162" w:rsidRPr="00376162" w:rsidRDefault="00376162" w:rsidP="00376162">
      <w:pPr>
        <w:spacing w:line="360" w:lineRule="auto"/>
        <w:ind w:firstLine="709"/>
        <w:contextualSpacing/>
        <w:jc w:val="both"/>
      </w:pPr>
      <w:r w:rsidRPr="00376162">
        <w:t xml:space="preserve">The first step was a selection of all records that have active link in December 31st 2008. If the same PIS had two or more active links in December 31st 2008, these records were discarded (that strategy can imply in losses, for example, when one worker have more than one job). The second step was a sectorial cut. This is necessary because not all sectors use the patent as a means of protection and other sectors don’t innovate (for example, commercial and public administration). The selected </w:t>
      </w:r>
      <w:proofErr w:type="spellStart"/>
      <w:r w:rsidRPr="00376162">
        <w:t>sectorials</w:t>
      </w:r>
      <w:proofErr w:type="spellEnd"/>
      <w:r w:rsidRPr="00376162">
        <w:t xml:space="preserve"> are Agriculture, Extractive Industry and Manufacturing. In the database there are 8,460,882 records in selected activities, of which 479,479 (5.67%) of these workers have a higher education or above and 98.277 are in technical and scientific occupations (1</w:t>
      </w:r>
      <w:proofErr w:type="gramStart"/>
      <w:r w:rsidRPr="00376162">
        <w:t>,16</w:t>
      </w:r>
      <w:proofErr w:type="gramEnd"/>
      <w:r w:rsidRPr="00376162">
        <w:t>%).</w:t>
      </w:r>
    </w:p>
    <w:p w:rsidR="00376162" w:rsidRPr="00376162" w:rsidRDefault="00376162" w:rsidP="00376162">
      <w:pPr>
        <w:spacing w:line="360" w:lineRule="auto"/>
        <w:ind w:firstLine="709"/>
        <w:contextualSpacing/>
        <w:jc w:val="both"/>
      </w:pPr>
      <w:r w:rsidRPr="00376162">
        <w:t>The mobility is the sum of workers in 2008 in micro-region “r” that came from another job (active in December 31st) and another micro-region through five-year time windows (2003-2008). Workers that have moved from one micro-region in 2006 to another micro-region in 2007 are not accounted for the mobility. Workers that have moved from one micro-region in 2006 to another micro-region in 2007 but moved again from one micro-region in 2007 to another micro-region in 2008 are accounted only once.</w:t>
      </w:r>
    </w:p>
    <w:p w:rsidR="00376162" w:rsidRPr="00376162" w:rsidRDefault="00376162" w:rsidP="007C46C0">
      <w:pPr>
        <w:spacing w:line="360" w:lineRule="auto"/>
        <w:ind w:firstLine="709"/>
        <w:contextualSpacing/>
        <w:jc w:val="both"/>
      </w:pPr>
      <w:r w:rsidRPr="00376162">
        <w:t xml:space="preserve">Additionally, three qualification measures of workers were used to evaluate if the mobility of workers can influence the innovation. It was calculated the mobility of the total workers (TO), the mobility of workers with higher education (HE) and the mobility of workers in technical and scientific occupations (TS) </w:t>
      </w:r>
      <w:r w:rsidR="007C46C0">
        <w:t>–</w:t>
      </w:r>
      <w:r w:rsidRPr="00376162">
        <w:t xml:space="preserve"> which includes researchers, engineers, mathematicians, and others. The mobility of workers with higher education and in technical and scientific occupations was considered mobility of skilled workers.</w:t>
      </w:r>
    </w:p>
    <w:p w:rsidR="00376162" w:rsidRPr="00376162" w:rsidRDefault="00376162" w:rsidP="00376162">
      <w:pPr>
        <w:spacing w:line="360" w:lineRule="auto"/>
        <w:ind w:firstLine="709"/>
        <w:contextualSpacing/>
        <w:jc w:val="both"/>
      </w:pPr>
      <w:r w:rsidRPr="00376162">
        <w:t xml:space="preserve">Four mobility rates were used as proxies for Worker Mobility. The first one is the Inflow of Workers, i.e. the number of inflows workers to micro-region over the number of local workers in 2008. Others mobility rates were included: the Outflow of Workers is the number of outflows workers per number of local workers; the Net Mobility is the inflow minus the outflow divided by the numbers of workers; and Gross Mobility is the inflow plus outflow of workers over the number of local workers. These variables were included in different models in order to avoid </w:t>
      </w:r>
      <w:proofErr w:type="spellStart"/>
      <w:r w:rsidRPr="00376162">
        <w:t>collinearity</w:t>
      </w:r>
      <w:proofErr w:type="spellEnd"/>
      <w:r w:rsidRPr="00376162">
        <w:t xml:space="preserve"> problems.</w:t>
      </w:r>
    </w:p>
    <w:p w:rsidR="00376162" w:rsidRPr="00376162" w:rsidRDefault="00376162" w:rsidP="00376162">
      <w:pPr>
        <w:spacing w:line="360" w:lineRule="auto"/>
        <w:ind w:firstLine="709"/>
        <w:contextualSpacing/>
        <w:jc w:val="both"/>
      </w:pPr>
      <w:r w:rsidRPr="00376162">
        <w:lastRenderedPageBreak/>
        <w:t>Table 1 present the number of movements of workers by year and different qualifications.</w:t>
      </w:r>
    </w:p>
    <w:p w:rsidR="00376162" w:rsidRDefault="00376162" w:rsidP="00B91FCA">
      <w:pPr>
        <w:spacing w:line="360" w:lineRule="auto"/>
        <w:ind w:firstLine="708"/>
        <w:contextualSpacing/>
        <w:jc w:val="both"/>
        <w:rPr>
          <w:b/>
        </w:rPr>
      </w:pPr>
    </w:p>
    <w:p w:rsidR="005B3281" w:rsidRPr="005B3281" w:rsidRDefault="005B1740" w:rsidP="005B3281">
      <w:pPr>
        <w:autoSpaceDE w:val="0"/>
        <w:autoSpaceDN w:val="0"/>
        <w:adjustRightInd w:val="0"/>
        <w:ind w:firstLine="357"/>
        <w:jc w:val="center"/>
        <w:rPr>
          <w:b/>
          <w:color w:val="000000"/>
          <w:sz w:val="20"/>
          <w:szCs w:val="20"/>
          <w:shd w:val="clear" w:color="auto" w:fill="FFFFFF"/>
        </w:rPr>
      </w:pPr>
      <w:r>
        <w:rPr>
          <w:b/>
          <w:color w:val="000000"/>
          <w:sz w:val="20"/>
          <w:szCs w:val="20"/>
          <w:shd w:val="clear" w:color="auto" w:fill="FFFFFF"/>
        </w:rPr>
        <w:t xml:space="preserve">Table 1: </w:t>
      </w:r>
      <w:r w:rsidR="005B3281" w:rsidRPr="005B3281">
        <w:rPr>
          <w:b/>
          <w:color w:val="000000"/>
          <w:sz w:val="20"/>
          <w:szCs w:val="20"/>
          <w:shd w:val="clear" w:color="auto" w:fill="FFFFFF"/>
        </w:rPr>
        <w:t>Annual Workers’ Mobility</w:t>
      </w:r>
    </w:p>
    <w:tbl>
      <w:tblPr>
        <w:tblW w:w="0" w:type="auto"/>
        <w:jc w:val="center"/>
        <w:tblCellMar>
          <w:left w:w="70" w:type="dxa"/>
          <w:right w:w="70" w:type="dxa"/>
        </w:tblCellMar>
        <w:tblLook w:val="04A0" w:firstRow="1" w:lastRow="0" w:firstColumn="1" w:lastColumn="0" w:noHBand="0" w:noVBand="1"/>
      </w:tblPr>
      <w:tblGrid>
        <w:gridCol w:w="920"/>
        <w:gridCol w:w="860"/>
        <w:gridCol w:w="860"/>
        <w:gridCol w:w="725"/>
        <w:gridCol w:w="740"/>
        <w:gridCol w:w="1276"/>
        <w:gridCol w:w="1488"/>
      </w:tblGrid>
      <w:tr w:rsidR="008D0447" w:rsidRPr="005B3281" w:rsidTr="008D0447">
        <w:trPr>
          <w:trHeight w:val="170"/>
          <w:jc w:val="center"/>
        </w:trPr>
        <w:tc>
          <w:tcPr>
            <w:tcW w:w="0" w:type="auto"/>
            <w:vMerge w:val="restart"/>
            <w:tcBorders>
              <w:top w:val="single" w:sz="6" w:space="0" w:color="auto"/>
              <w:right w:val="single" w:sz="4" w:space="0" w:color="auto"/>
            </w:tcBorders>
            <w:shd w:val="clear" w:color="auto" w:fill="auto"/>
            <w:noWrap/>
            <w:vAlign w:val="center"/>
          </w:tcPr>
          <w:p w:rsidR="008D0447" w:rsidRPr="005B3281" w:rsidRDefault="008D0447" w:rsidP="004E2FA7">
            <w:pPr>
              <w:jc w:val="center"/>
              <w:rPr>
                <w:color w:val="000000"/>
                <w:sz w:val="18"/>
                <w:szCs w:val="18"/>
              </w:rPr>
            </w:pPr>
          </w:p>
        </w:tc>
        <w:tc>
          <w:tcPr>
            <w:tcW w:w="0" w:type="auto"/>
            <w:gridSpan w:val="2"/>
            <w:vMerge w:val="restart"/>
            <w:tcBorders>
              <w:top w:val="single" w:sz="6" w:space="0" w:color="auto"/>
              <w:left w:val="single" w:sz="4" w:space="0" w:color="auto"/>
              <w:right w:val="single" w:sz="4" w:space="0" w:color="auto"/>
            </w:tcBorders>
            <w:shd w:val="clear" w:color="auto" w:fill="auto"/>
            <w:noWrap/>
            <w:vAlign w:val="center"/>
          </w:tcPr>
          <w:p w:rsidR="008D0447" w:rsidRPr="005B3281" w:rsidRDefault="008D0447" w:rsidP="004E2FA7">
            <w:pPr>
              <w:jc w:val="center"/>
              <w:rPr>
                <w:color w:val="000000"/>
                <w:sz w:val="18"/>
                <w:szCs w:val="18"/>
              </w:rPr>
            </w:pPr>
            <w:r w:rsidRPr="005B3281">
              <w:rPr>
                <w:color w:val="000000"/>
                <w:sz w:val="18"/>
                <w:szCs w:val="18"/>
              </w:rPr>
              <w:t>Total Workers</w:t>
            </w:r>
          </w:p>
        </w:tc>
        <w:tc>
          <w:tcPr>
            <w:tcW w:w="0" w:type="auto"/>
            <w:gridSpan w:val="4"/>
            <w:tcBorders>
              <w:top w:val="single" w:sz="6" w:space="0" w:color="auto"/>
              <w:left w:val="single" w:sz="4" w:space="0" w:color="auto"/>
              <w:bottom w:val="single" w:sz="4" w:space="0" w:color="auto"/>
            </w:tcBorders>
            <w:shd w:val="clear" w:color="auto" w:fill="auto"/>
            <w:noWrap/>
            <w:vAlign w:val="center"/>
          </w:tcPr>
          <w:p w:rsidR="008D0447" w:rsidRPr="005B3281" w:rsidRDefault="008D0447" w:rsidP="004E2FA7">
            <w:pPr>
              <w:jc w:val="center"/>
              <w:rPr>
                <w:color w:val="000000"/>
                <w:sz w:val="18"/>
                <w:szCs w:val="18"/>
                <w:lang w:eastAsia="en-US"/>
              </w:rPr>
            </w:pPr>
            <w:r w:rsidRPr="005B3281">
              <w:rPr>
                <w:color w:val="000000"/>
                <w:sz w:val="18"/>
                <w:szCs w:val="18"/>
              </w:rPr>
              <w:t>Skilled’ workers</w:t>
            </w:r>
          </w:p>
        </w:tc>
      </w:tr>
      <w:tr w:rsidR="008D0447" w:rsidRPr="005B3281" w:rsidTr="008D0447">
        <w:trPr>
          <w:trHeight w:val="170"/>
          <w:jc w:val="center"/>
        </w:trPr>
        <w:tc>
          <w:tcPr>
            <w:tcW w:w="0" w:type="auto"/>
            <w:vMerge/>
            <w:tcBorders>
              <w:bottom w:val="single" w:sz="4" w:space="0" w:color="auto"/>
              <w:right w:val="single" w:sz="4" w:space="0" w:color="auto"/>
            </w:tcBorders>
            <w:shd w:val="clear" w:color="auto" w:fill="auto"/>
            <w:noWrap/>
            <w:vAlign w:val="center"/>
          </w:tcPr>
          <w:p w:rsidR="008D0447" w:rsidRPr="005B3281" w:rsidRDefault="008D0447" w:rsidP="004E2FA7">
            <w:pPr>
              <w:jc w:val="center"/>
              <w:rPr>
                <w:color w:val="000000"/>
                <w:sz w:val="18"/>
                <w:szCs w:val="18"/>
              </w:rPr>
            </w:pPr>
          </w:p>
        </w:tc>
        <w:tc>
          <w:tcPr>
            <w:tcW w:w="0" w:type="auto"/>
            <w:gridSpan w:val="2"/>
            <w:vMerge/>
            <w:tcBorders>
              <w:left w:val="single" w:sz="4" w:space="0" w:color="auto"/>
              <w:bottom w:val="single" w:sz="4" w:space="0" w:color="auto"/>
              <w:right w:val="single" w:sz="4" w:space="0" w:color="auto"/>
            </w:tcBorders>
            <w:shd w:val="clear" w:color="auto" w:fill="auto"/>
            <w:noWrap/>
            <w:vAlign w:val="center"/>
          </w:tcPr>
          <w:p w:rsidR="008D0447" w:rsidRPr="005B3281" w:rsidRDefault="008D0447" w:rsidP="004E2FA7">
            <w:pPr>
              <w:jc w:val="center"/>
              <w:rPr>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D0447" w:rsidRPr="005B3281" w:rsidRDefault="008D0447" w:rsidP="008D0447">
            <w:pPr>
              <w:jc w:val="center"/>
              <w:rPr>
                <w:color w:val="000000"/>
                <w:sz w:val="18"/>
                <w:szCs w:val="18"/>
              </w:rPr>
            </w:pPr>
            <w:r>
              <w:rPr>
                <w:color w:val="000000"/>
                <w:sz w:val="18"/>
                <w:szCs w:val="18"/>
              </w:rPr>
              <w:t>H</w:t>
            </w:r>
            <w:r w:rsidRPr="005B3281">
              <w:rPr>
                <w:color w:val="000000"/>
                <w:sz w:val="18"/>
                <w:szCs w:val="18"/>
              </w:rPr>
              <w:t xml:space="preserve">igher </w:t>
            </w:r>
            <w:r>
              <w:rPr>
                <w:color w:val="000000"/>
                <w:sz w:val="18"/>
                <w:szCs w:val="18"/>
              </w:rPr>
              <w:t>E</w:t>
            </w:r>
            <w:r w:rsidRPr="005B3281">
              <w:rPr>
                <w:color w:val="000000"/>
                <w:sz w:val="18"/>
                <w:szCs w:val="18"/>
              </w:rPr>
              <w:t>ducation</w:t>
            </w:r>
          </w:p>
        </w:tc>
        <w:tc>
          <w:tcPr>
            <w:tcW w:w="0" w:type="auto"/>
            <w:gridSpan w:val="2"/>
            <w:tcBorders>
              <w:top w:val="single" w:sz="4" w:space="0" w:color="auto"/>
              <w:left w:val="single" w:sz="4" w:space="0" w:color="auto"/>
              <w:bottom w:val="single" w:sz="4" w:space="0" w:color="auto"/>
            </w:tcBorders>
            <w:shd w:val="clear" w:color="auto" w:fill="auto"/>
            <w:noWrap/>
            <w:vAlign w:val="center"/>
          </w:tcPr>
          <w:p w:rsidR="008D0447" w:rsidRPr="005B3281" w:rsidRDefault="008D0447" w:rsidP="005F54E9">
            <w:pPr>
              <w:jc w:val="center"/>
              <w:rPr>
                <w:color w:val="000000"/>
                <w:sz w:val="18"/>
                <w:szCs w:val="18"/>
              </w:rPr>
            </w:pPr>
            <w:r w:rsidRPr="005B3281">
              <w:rPr>
                <w:color w:val="000000"/>
                <w:sz w:val="18"/>
                <w:szCs w:val="18"/>
                <w:lang w:eastAsia="en-US"/>
              </w:rPr>
              <w:t>Techni</w:t>
            </w:r>
            <w:r w:rsidR="005F54E9">
              <w:rPr>
                <w:color w:val="000000"/>
                <w:sz w:val="18"/>
                <w:szCs w:val="18"/>
                <w:lang w:eastAsia="en-US"/>
              </w:rPr>
              <w:t>cal and scientific occupations</w:t>
            </w:r>
          </w:p>
        </w:tc>
      </w:tr>
      <w:tr w:rsidR="005B3281" w:rsidRPr="005B3281" w:rsidTr="008D0447">
        <w:trPr>
          <w:trHeight w:val="170"/>
          <w:jc w:val="center"/>
        </w:trPr>
        <w:tc>
          <w:tcPr>
            <w:tcW w:w="0" w:type="auto"/>
            <w:tcBorders>
              <w:top w:val="single" w:sz="4" w:space="0" w:color="auto"/>
              <w:bottom w:val="single" w:sz="4" w:space="0" w:color="auto"/>
              <w:right w:val="single" w:sz="4" w:space="0" w:color="auto"/>
            </w:tcBorders>
            <w:shd w:val="clear" w:color="auto" w:fill="auto"/>
            <w:noWrap/>
            <w:vAlign w:val="center"/>
            <w:hideMark/>
          </w:tcPr>
          <w:p w:rsidR="005B3281" w:rsidRPr="005B3281" w:rsidRDefault="008D0447" w:rsidP="008D0447">
            <w:pPr>
              <w:rPr>
                <w:color w:val="000000"/>
                <w:sz w:val="18"/>
                <w:szCs w:val="18"/>
              </w:rPr>
            </w:pPr>
            <w:r>
              <w:rPr>
                <w:color w:val="000000"/>
                <w:sz w:val="18"/>
                <w:szCs w:val="18"/>
              </w:rPr>
              <w:t>Years</w:t>
            </w:r>
          </w:p>
        </w:tc>
        <w:tc>
          <w:tcPr>
            <w:tcW w:w="0" w:type="auto"/>
            <w:tcBorders>
              <w:top w:val="single" w:sz="4" w:space="0" w:color="auto"/>
              <w:left w:val="single" w:sz="4" w:space="0" w:color="auto"/>
              <w:bottom w:val="single" w:sz="4" w:space="0" w:color="auto"/>
            </w:tcBorders>
            <w:shd w:val="clear" w:color="auto" w:fill="auto"/>
            <w:noWrap/>
            <w:vAlign w:val="center"/>
            <w:hideMark/>
          </w:tcPr>
          <w:p w:rsidR="005B3281" w:rsidRPr="005B3281" w:rsidRDefault="00B53458" w:rsidP="008D0447">
            <w:pPr>
              <w:jc w:val="center"/>
              <w:rPr>
                <w:color w:val="000000"/>
                <w:sz w:val="18"/>
                <w:szCs w:val="18"/>
              </w:rPr>
            </w:pPr>
            <w:r>
              <w:rPr>
                <w:color w:val="000000"/>
                <w:sz w:val="18"/>
                <w:szCs w:val="18"/>
              </w:rPr>
              <w:t>Inflow</w:t>
            </w:r>
          </w:p>
        </w:tc>
        <w:tc>
          <w:tcPr>
            <w:tcW w:w="0" w:type="auto"/>
            <w:tcBorders>
              <w:top w:val="single" w:sz="4" w:space="0" w:color="auto"/>
              <w:bottom w:val="single" w:sz="4" w:space="0" w:color="auto"/>
              <w:right w:val="single" w:sz="4" w:space="0" w:color="auto"/>
            </w:tcBorders>
            <w:shd w:val="clear" w:color="auto" w:fill="auto"/>
            <w:noWrap/>
            <w:vAlign w:val="center"/>
            <w:hideMark/>
          </w:tcPr>
          <w:p w:rsidR="005B3281" w:rsidRPr="005B3281" w:rsidRDefault="00B53458" w:rsidP="008D0447">
            <w:pPr>
              <w:jc w:val="center"/>
              <w:rPr>
                <w:color w:val="000000"/>
                <w:sz w:val="18"/>
                <w:szCs w:val="18"/>
              </w:rPr>
            </w:pPr>
            <w:r>
              <w:rPr>
                <w:color w:val="000000"/>
                <w:sz w:val="18"/>
                <w:szCs w:val="18"/>
              </w:rPr>
              <w:t>Outflow</w:t>
            </w:r>
          </w:p>
        </w:tc>
        <w:tc>
          <w:tcPr>
            <w:tcW w:w="0" w:type="auto"/>
            <w:tcBorders>
              <w:top w:val="single" w:sz="4" w:space="0" w:color="auto"/>
              <w:left w:val="single" w:sz="4" w:space="0" w:color="auto"/>
              <w:bottom w:val="single" w:sz="4" w:space="0" w:color="auto"/>
            </w:tcBorders>
            <w:shd w:val="clear" w:color="auto" w:fill="auto"/>
            <w:noWrap/>
            <w:vAlign w:val="center"/>
            <w:hideMark/>
          </w:tcPr>
          <w:p w:rsidR="005B3281" w:rsidRPr="005B3281" w:rsidRDefault="00B53458" w:rsidP="008D0447">
            <w:pPr>
              <w:jc w:val="center"/>
              <w:rPr>
                <w:color w:val="000000"/>
                <w:sz w:val="18"/>
                <w:szCs w:val="18"/>
              </w:rPr>
            </w:pPr>
            <w:r>
              <w:rPr>
                <w:color w:val="000000"/>
                <w:sz w:val="18"/>
                <w:szCs w:val="18"/>
              </w:rPr>
              <w:t>Inflow</w:t>
            </w:r>
          </w:p>
        </w:tc>
        <w:tc>
          <w:tcPr>
            <w:tcW w:w="0" w:type="auto"/>
            <w:tcBorders>
              <w:top w:val="single" w:sz="4" w:space="0" w:color="auto"/>
              <w:bottom w:val="single" w:sz="4" w:space="0" w:color="auto"/>
              <w:right w:val="single" w:sz="4" w:space="0" w:color="auto"/>
            </w:tcBorders>
            <w:shd w:val="clear" w:color="auto" w:fill="auto"/>
            <w:noWrap/>
            <w:vAlign w:val="center"/>
            <w:hideMark/>
          </w:tcPr>
          <w:p w:rsidR="005B3281" w:rsidRPr="005B3281" w:rsidRDefault="00B53458" w:rsidP="008D0447">
            <w:pPr>
              <w:jc w:val="center"/>
              <w:rPr>
                <w:color w:val="000000"/>
                <w:sz w:val="18"/>
                <w:szCs w:val="18"/>
              </w:rPr>
            </w:pPr>
            <w:r>
              <w:rPr>
                <w:color w:val="000000"/>
                <w:sz w:val="18"/>
                <w:szCs w:val="18"/>
              </w:rPr>
              <w:t>Outflow</w:t>
            </w:r>
          </w:p>
        </w:tc>
        <w:tc>
          <w:tcPr>
            <w:tcW w:w="0" w:type="auto"/>
            <w:tcBorders>
              <w:top w:val="single" w:sz="4" w:space="0" w:color="auto"/>
              <w:left w:val="single" w:sz="4" w:space="0" w:color="auto"/>
              <w:bottom w:val="single" w:sz="4" w:space="0" w:color="auto"/>
            </w:tcBorders>
            <w:shd w:val="clear" w:color="auto" w:fill="auto"/>
            <w:noWrap/>
            <w:vAlign w:val="center"/>
            <w:hideMark/>
          </w:tcPr>
          <w:p w:rsidR="005B3281" w:rsidRPr="005B3281" w:rsidRDefault="00B53458" w:rsidP="008D0447">
            <w:pPr>
              <w:jc w:val="center"/>
              <w:rPr>
                <w:color w:val="000000"/>
                <w:sz w:val="18"/>
                <w:szCs w:val="18"/>
              </w:rPr>
            </w:pPr>
            <w:r>
              <w:rPr>
                <w:color w:val="000000"/>
                <w:sz w:val="18"/>
                <w:szCs w:val="18"/>
              </w:rPr>
              <w:t>Inflow</w:t>
            </w:r>
          </w:p>
        </w:tc>
        <w:tc>
          <w:tcPr>
            <w:tcW w:w="0" w:type="auto"/>
            <w:tcBorders>
              <w:top w:val="single" w:sz="4" w:space="0" w:color="auto"/>
              <w:bottom w:val="single" w:sz="4" w:space="0" w:color="auto"/>
            </w:tcBorders>
            <w:shd w:val="clear" w:color="auto" w:fill="auto"/>
            <w:noWrap/>
            <w:vAlign w:val="center"/>
            <w:hideMark/>
          </w:tcPr>
          <w:p w:rsidR="005B3281" w:rsidRPr="005B3281" w:rsidRDefault="00B53458" w:rsidP="008D0447">
            <w:pPr>
              <w:jc w:val="center"/>
              <w:rPr>
                <w:color w:val="000000"/>
                <w:sz w:val="18"/>
                <w:szCs w:val="18"/>
              </w:rPr>
            </w:pPr>
            <w:r>
              <w:rPr>
                <w:color w:val="000000"/>
                <w:sz w:val="18"/>
                <w:szCs w:val="18"/>
              </w:rPr>
              <w:t>Outflow</w:t>
            </w:r>
          </w:p>
        </w:tc>
      </w:tr>
      <w:tr w:rsidR="005B3281" w:rsidRPr="005B3281" w:rsidTr="008D0447">
        <w:trPr>
          <w:trHeight w:val="170"/>
          <w:jc w:val="center"/>
        </w:trPr>
        <w:tc>
          <w:tcPr>
            <w:tcW w:w="0" w:type="auto"/>
            <w:tcBorders>
              <w:top w:val="single" w:sz="4" w:space="0" w:color="auto"/>
              <w:right w:val="single" w:sz="4" w:space="0" w:color="auto"/>
            </w:tcBorders>
            <w:shd w:val="clear" w:color="auto" w:fill="auto"/>
            <w:noWrap/>
            <w:vAlign w:val="center"/>
            <w:hideMark/>
          </w:tcPr>
          <w:p w:rsidR="005B3281" w:rsidRPr="005B3281" w:rsidRDefault="005B3281" w:rsidP="004E2FA7">
            <w:pPr>
              <w:rPr>
                <w:color w:val="000000"/>
                <w:sz w:val="18"/>
                <w:szCs w:val="18"/>
              </w:rPr>
            </w:pPr>
            <w:r w:rsidRPr="005B3281">
              <w:rPr>
                <w:color w:val="000000"/>
                <w:sz w:val="18"/>
                <w:szCs w:val="18"/>
              </w:rPr>
              <w:t>2003-2008</w:t>
            </w:r>
          </w:p>
        </w:tc>
        <w:tc>
          <w:tcPr>
            <w:tcW w:w="0" w:type="auto"/>
            <w:tcBorders>
              <w:top w:val="single" w:sz="4" w:space="0" w:color="auto"/>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161.893</w:t>
            </w:r>
          </w:p>
        </w:tc>
        <w:tc>
          <w:tcPr>
            <w:tcW w:w="0" w:type="auto"/>
            <w:tcBorders>
              <w:top w:val="single" w:sz="4" w:space="0" w:color="auto"/>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139.712</w:t>
            </w:r>
          </w:p>
        </w:tc>
        <w:tc>
          <w:tcPr>
            <w:tcW w:w="0" w:type="auto"/>
            <w:tcBorders>
              <w:top w:val="single" w:sz="4" w:space="0" w:color="auto"/>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14.537</w:t>
            </w:r>
          </w:p>
        </w:tc>
        <w:tc>
          <w:tcPr>
            <w:tcW w:w="0" w:type="auto"/>
            <w:tcBorders>
              <w:top w:val="single" w:sz="4" w:space="0" w:color="auto"/>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13.378</w:t>
            </w:r>
          </w:p>
        </w:tc>
        <w:tc>
          <w:tcPr>
            <w:tcW w:w="0" w:type="auto"/>
            <w:tcBorders>
              <w:top w:val="single" w:sz="4" w:space="0" w:color="auto"/>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2.975</w:t>
            </w:r>
          </w:p>
        </w:tc>
        <w:tc>
          <w:tcPr>
            <w:tcW w:w="0" w:type="auto"/>
            <w:tcBorders>
              <w:top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2.486</w:t>
            </w:r>
          </w:p>
        </w:tc>
      </w:tr>
      <w:tr w:rsidR="005B3281" w:rsidRPr="005B3281" w:rsidTr="008D0447">
        <w:trPr>
          <w:trHeight w:val="170"/>
          <w:jc w:val="center"/>
        </w:trPr>
        <w:tc>
          <w:tcPr>
            <w:tcW w:w="0" w:type="auto"/>
            <w:tcBorders>
              <w:right w:val="single" w:sz="4" w:space="0" w:color="auto"/>
            </w:tcBorders>
            <w:shd w:val="clear" w:color="auto" w:fill="auto"/>
            <w:noWrap/>
            <w:vAlign w:val="center"/>
            <w:hideMark/>
          </w:tcPr>
          <w:p w:rsidR="005B3281" w:rsidRPr="005B3281" w:rsidRDefault="005B3281" w:rsidP="004E2FA7">
            <w:pPr>
              <w:rPr>
                <w:color w:val="000000"/>
                <w:sz w:val="18"/>
                <w:szCs w:val="18"/>
              </w:rPr>
            </w:pPr>
            <w:r w:rsidRPr="005B3281">
              <w:rPr>
                <w:color w:val="000000"/>
                <w:sz w:val="18"/>
                <w:szCs w:val="18"/>
              </w:rPr>
              <w:t>2004-2008</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207.927</w:t>
            </w:r>
          </w:p>
        </w:tc>
        <w:tc>
          <w:tcPr>
            <w:tcW w:w="0" w:type="auto"/>
            <w:tcBorders>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199.949</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18.332</w:t>
            </w:r>
          </w:p>
        </w:tc>
        <w:tc>
          <w:tcPr>
            <w:tcW w:w="0" w:type="auto"/>
            <w:tcBorders>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18.628</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3.774</w:t>
            </w:r>
          </w:p>
        </w:tc>
        <w:tc>
          <w:tcPr>
            <w:tcW w:w="0" w:type="auto"/>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3.538</w:t>
            </w:r>
          </w:p>
        </w:tc>
      </w:tr>
      <w:tr w:rsidR="005B3281" w:rsidRPr="005B3281" w:rsidTr="008D0447">
        <w:trPr>
          <w:trHeight w:val="170"/>
          <w:jc w:val="center"/>
        </w:trPr>
        <w:tc>
          <w:tcPr>
            <w:tcW w:w="0" w:type="auto"/>
            <w:tcBorders>
              <w:right w:val="single" w:sz="4" w:space="0" w:color="auto"/>
            </w:tcBorders>
            <w:shd w:val="clear" w:color="auto" w:fill="auto"/>
            <w:noWrap/>
            <w:vAlign w:val="center"/>
            <w:hideMark/>
          </w:tcPr>
          <w:p w:rsidR="005B3281" w:rsidRPr="005B3281" w:rsidRDefault="005B3281" w:rsidP="004E2FA7">
            <w:pPr>
              <w:rPr>
                <w:color w:val="000000"/>
                <w:sz w:val="18"/>
                <w:szCs w:val="18"/>
              </w:rPr>
            </w:pPr>
            <w:r w:rsidRPr="005B3281">
              <w:rPr>
                <w:color w:val="000000"/>
                <w:sz w:val="18"/>
                <w:szCs w:val="18"/>
              </w:rPr>
              <w:t>2005-2008</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241.582</w:t>
            </w:r>
          </w:p>
        </w:tc>
        <w:tc>
          <w:tcPr>
            <w:tcW w:w="0" w:type="auto"/>
            <w:tcBorders>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224.104</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23.646</w:t>
            </w:r>
          </w:p>
        </w:tc>
        <w:tc>
          <w:tcPr>
            <w:tcW w:w="0" w:type="auto"/>
            <w:tcBorders>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22.401</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5.146</w:t>
            </w:r>
          </w:p>
        </w:tc>
        <w:tc>
          <w:tcPr>
            <w:tcW w:w="0" w:type="auto"/>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4.660</w:t>
            </w:r>
          </w:p>
        </w:tc>
      </w:tr>
      <w:tr w:rsidR="005B3281" w:rsidRPr="005B3281" w:rsidTr="008D0447">
        <w:trPr>
          <w:trHeight w:val="170"/>
          <w:jc w:val="center"/>
        </w:trPr>
        <w:tc>
          <w:tcPr>
            <w:tcW w:w="0" w:type="auto"/>
            <w:tcBorders>
              <w:right w:val="single" w:sz="4" w:space="0" w:color="auto"/>
            </w:tcBorders>
            <w:shd w:val="clear" w:color="auto" w:fill="auto"/>
            <w:noWrap/>
            <w:vAlign w:val="center"/>
            <w:hideMark/>
          </w:tcPr>
          <w:p w:rsidR="005B3281" w:rsidRPr="005B3281" w:rsidRDefault="005B3281" w:rsidP="004E2FA7">
            <w:pPr>
              <w:rPr>
                <w:color w:val="000000"/>
                <w:sz w:val="18"/>
                <w:szCs w:val="18"/>
              </w:rPr>
            </w:pPr>
            <w:r w:rsidRPr="005B3281">
              <w:rPr>
                <w:color w:val="000000"/>
                <w:sz w:val="18"/>
                <w:szCs w:val="18"/>
              </w:rPr>
              <w:t>2006-2008</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291.308</w:t>
            </w:r>
          </w:p>
        </w:tc>
        <w:tc>
          <w:tcPr>
            <w:tcW w:w="0" w:type="auto"/>
            <w:tcBorders>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282.455</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36.030</w:t>
            </w:r>
          </w:p>
        </w:tc>
        <w:tc>
          <w:tcPr>
            <w:tcW w:w="0" w:type="auto"/>
            <w:tcBorders>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34.847</w:t>
            </w:r>
          </w:p>
        </w:tc>
        <w:tc>
          <w:tcPr>
            <w:tcW w:w="0" w:type="auto"/>
            <w:tcBorders>
              <w:lef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6.613</w:t>
            </w:r>
          </w:p>
        </w:tc>
        <w:tc>
          <w:tcPr>
            <w:tcW w:w="0" w:type="auto"/>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6.410</w:t>
            </w:r>
          </w:p>
        </w:tc>
      </w:tr>
      <w:tr w:rsidR="005B3281" w:rsidRPr="005B3281" w:rsidTr="008D0447">
        <w:trPr>
          <w:trHeight w:val="170"/>
          <w:jc w:val="center"/>
        </w:trPr>
        <w:tc>
          <w:tcPr>
            <w:tcW w:w="0" w:type="auto"/>
            <w:tcBorders>
              <w:bottom w:val="single" w:sz="4" w:space="0" w:color="auto"/>
              <w:right w:val="single" w:sz="4" w:space="0" w:color="auto"/>
            </w:tcBorders>
            <w:shd w:val="clear" w:color="auto" w:fill="auto"/>
            <w:noWrap/>
            <w:vAlign w:val="center"/>
            <w:hideMark/>
          </w:tcPr>
          <w:p w:rsidR="005B3281" w:rsidRPr="005B3281" w:rsidRDefault="005B3281" w:rsidP="004E2FA7">
            <w:pPr>
              <w:rPr>
                <w:color w:val="000000"/>
                <w:sz w:val="18"/>
                <w:szCs w:val="18"/>
              </w:rPr>
            </w:pPr>
            <w:r w:rsidRPr="005B3281">
              <w:rPr>
                <w:color w:val="000000"/>
                <w:sz w:val="18"/>
                <w:szCs w:val="18"/>
              </w:rPr>
              <w:t>2007-2008</w:t>
            </w:r>
          </w:p>
        </w:tc>
        <w:tc>
          <w:tcPr>
            <w:tcW w:w="0" w:type="auto"/>
            <w:tcBorders>
              <w:left w:val="single" w:sz="4" w:space="0" w:color="auto"/>
              <w:bottom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296.273</w:t>
            </w:r>
          </w:p>
        </w:tc>
        <w:tc>
          <w:tcPr>
            <w:tcW w:w="0" w:type="auto"/>
            <w:tcBorders>
              <w:bottom w:val="single" w:sz="4" w:space="0" w:color="auto"/>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292.481</w:t>
            </w:r>
          </w:p>
        </w:tc>
        <w:tc>
          <w:tcPr>
            <w:tcW w:w="0" w:type="auto"/>
            <w:tcBorders>
              <w:left w:val="single" w:sz="4" w:space="0" w:color="auto"/>
              <w:bottom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30.736</w:t>
            </w:r>
          </w:p>
        </w:tc>
        <w:tc>
          <w:tcPr>
            <w:tcW w:w="0" w:type="auto"/>
            <w:tcBorders>
              <w:bottom w:val="single" w:sz="4" w:space="0" w:color="auto"/>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29.929</w:t>
            </w:r>
          </w:p>
        </w:tc>
        <w:tc>
          <w:tcPr>
            <w:tcW w:w="0" w:type="auto"/>
            <w:tcBorders>
              <w:left w:val="single" w:sz="4" w:space="0" w:color="auto"/>
              <w:bottom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7.933</w:t>
            </w:r>
          </w:p>
        </w:tc>
        <w:tc>
          <w:tcPr>
            <w:tcW w:w="0" w:type="auto"/>
            <w:tcBorders>
              <w:bottom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7.819</w:t>
            </w:r>
          </w:p>
        </w:tc>
      </w:tr>
      <w:tr w:rsidR="005B3281" w:rsidRPr="005B3281" w:rsidTr="008D0447">
        <w:trPr>
          <w:trHeight w:val="170"/>
          <w:jc w:val="center"/>
        </w:trPr>
        <w:tc>
          <w:tcPr>
            <w:tcW w:w="0" w:type="auto"/>
            <w:tcBorders>
              <w:top w:val="single" w:sz="4" w:space="0" w:color="auto"/>
              <w:bottom w:val="single" w:sz="6" w:space="0" w:color="auto"/>
              <w:right w:val="single" w:sz="4" w:space="0" w:color="auto"/>
            </w:tcBorders>
            <w:shd w:val="clear" w:color="auto" w:fill="auto"/>
            <w:noWrap/>
            <w:vAlign w:val="center"/>
            <w:hideMark/>
          </w:tcPr>
          <w:p w:rsidR="005B3281" w:rsidRPr="005B3281" w:rsidRDefault="005B3281" w:rsidP="004E2FA7">
            <w:pPr>
              <w:rPr>
                <w:color w:val="000000"/>
                <w:sz w:val="18"/>
                <w:szCs w:val="18"/>
              </w:rPr>
            </w:pPr>
            <w:r w:rsidRPr="005B3281">
              <w:rPr>
                <w:color w:val="000000"/>
                <w:sz w:val="18"/>
                <w:szCs w:val="18"/>
              </w:rPr>
              <w:t>Total</w:t>
            </w:r>
          </w:p>
        </w:tc>
        <w:tc>
          <w:tcPr>
            <w:tcW w:w="0" w:type="auto"/>
            <w:tcBorders>
              <w:top w:val="single" w:sz="4" w:space="0" w:color="auto"/>
              <w:left w:val="single" w:sz="4" w:space="0" w:color="auto"/>
              <w:bottom w:val="single" w:sz="6"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1.198.983</w:t>
            </w:r>
          </w:p>
        </w:tc>
        <w:tc>
          <w:tcPr>
            <w:tcW w:w="0" w:type="auto"/>
            <w:tcBorders>
              <w:top w:val="single" w:sz="4" w:space="0" w:color="auto"/>
              <w:bottom w:val="single" w:sz="6" w:space="0" w:color="auto"/>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1.138.701</w:t>
            </w:r>
          </w:p>
        </w:tc>
        <w:tc>
          <w:tcPr>
            <w:tcW w:w="0" w:type="auto"/>
            <w:tcBorders>
              <w:top w:val="single" w:sz="4" w:space="0" w:color="auto"/>
              <w:left w:val="single" w:sz="4" w:space="0" w:color="auto"/>
              <w:bottom w:val="single" w:sz="6"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123.281</w:t>
            </w:r>
          </w:p>
        </w:tc>
        <w:tc>
          <w:tcPr>
            <w:tcW w:w="0" w:type="auto"/>
            <w:tcBorders>
              <w:top w:val="single" w:sz="4" w:space="0" w:color="auto"/>
              <w:bottom w:val="single" w:sz="6" w:space="0" w:color="auto"/>
              <w:right w:val="single" w:sz="4"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119.183</w:t>
            </w:r>
          </w:p>
        </w:tc>
        <w:tc>
          <w:tcPr>
            <w:tcW w:w="0" w:type="auto"/>
            <w:tcBorders>
              <w:top w:val="single" w:sz="4" w:space="0" w:color="auto"/>
              <w:left w:val="single" w:sz="4" w:space="0" w:color="auto"/>
              <w:bottom w:val="single" w:sz="6"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26.441</w:t>
            </w:r>
          </w:p>
        </w:tc>
        <w:tc>
          <w:tcPr>
            <w:tcW w:w="0" w:type="auto"/>
            <w:tcBorders>
              <w:top w:val="single" w:sz="4" w:space="0" w:color="auto"/>
              <w:bottom w:val="single" w:sz="6" w:space="0" w:color="auto"/>
            </w:tcBorders>
            <w:shd w:val="clear" w:color="auto" w:fill="auto"/>
            <w:noWrap/>
            <w:vAlign w:val="center"/>
            <w:hideMark/>
          </w:tcPr>
          <w:p w:rsidR="005B3281" w:rsidRPr="005B3281" w:rsidRDefault="005B3281" w:rsidP="004E2FA7">
            <w:pPr>
              <w:jc w:val="right"/>
              <w:rPr>
                <w:color w:val="000000"/>
                <w:sz w:val="18"/>
                <w:szCs w:val="18"/>
              </w:rPr>
            </w:pPr>
            <w:r w:rsidRPr="005B3281">
              <w:rPr>
                <w:color w:val="000000"/>
                <w:sz w:val="18"/>
                <w:szCs w:val="18"/>
              </w:rPr>
              <w:t>24.913</w:t>
            </w:r>
          </w:p>
        </w:tc>
      </w:tr>
    </w:tbl>
    <w:p w:rsidR="005B3281" w:rsidRPr="005B3281" w:rsidRDefault="005B3281" w:rsidP="005B3281">
      <w:pPr>
        <w:spacing w:after="120"/>
        <w:ind w:firstLine="709"/>
        <w:jc w:val="center"/>
        <w:rPr>
          <w:b/>
          <w:color w:val="000000"/>
          <w:sz w:val="20"/>
          <w:szCs w:val="20"/>
          <w:shd w:val="clear" w:color="auto" w:fill="FFFFFF"/>
        </w:rPr>
      </w:pPr>
      <w:r w:rsidRPr="005B3281">
        <w:rPr>
          <w:b/>
          <w:color w:val="000000"/>
          <w:sz w:val="20"/>
          <w:szCs w:val="20"/>
          <w:shd w:val="clear" w:color="auto" w:fill="FFFFFF"/>
        </w:rPr>
        <w:t>Source: Original Work</w:t>
      </w:r>
    </w:p>
    <w:p w:rsidR="00376162" w:rsidRDefault="00376162" w:rsidP="00376162">
      <w:pPr>
        <w:spacing w:line="360" w:lineRule="auto"/>
        <w:ind w:firstLine="709"/>
        <w:contextualSpacing/>
        <w:jc w:val="both"/>
      </w:pPr>
    </w:p>
    <w:p w:rsidR="00174F96" w:rsidRPr="00376162" w:rsidRDefault="00376162" w:rsidP="00376162">
      <w:pPr>
        <w:spacing w:line="360" w:lineRule="auto"/>
        <w:ind w:firstLine="709"/>
        <w:contextualSpacing/>
        <w:jc w:val="both"/>
      </w:pPr>
      <w:r w:rsidRPr="00376162">
        <w:t xml:space="preserve">It is possible to notice that in Brazil, between the years of 2003 to </w:t>
      </w:r>
      <w:proofErr w:type="gramStart"/>
      <w:r w:rsidRPr="00376162">
        <w:t>2008,</w:t>
      </w:r>
      <w:proofErr w:type="gramEnd"/>
      <w:r w:rsidRPr="00376162">
        <w:t xml:space="preserve"> around 1.2 million inflows/outflows of total workers for other micro-regions took place, i.e., workers that changed the geographical localization of their work. The number of movements was lower for skilled workers - around 120 thousand for workers with higher education and 25 thousand for workers in technical and scientific occupations. Table 2 presents the percentage of workers that entered in a micro-region between the years of 2003-2008 divided by workers in selected activities (agriculture, extractive and manufacturing).</w:t>
      </w:r>
    </w:p>
    <w:p w:rsidR="00F264F9" w:rsidRPr="00376162" w:rsidRDefault="00F264F9" w:rsidP="00376162">
      <w:pPr>
        <w:spacing w:line="360" w:lineRule="auto"/>
        <w:ind w:firstLine="709"/>
        <w:contextualSpacing/>
        <w:jc w:val="both"/>
      </w:pPr>
    </w:p>
    <w:p w:rsidR="00A0788E" w:rsidRPr="005B3281" w:rsidRDefault="005B1740" w:rsidP="005B1740">
      <w:pPr>
        <w:keepNext/>
        <w:keepLines/>
        <w:autoSpaceDE w:val="0"/>
        <w:autoSpaceDN w:val="0"/>
        <w:adjustRightInd w:val="0"/>
        <w:ind w:firstLine="357"/>
        <w:jc w:val="center"/>
        <w:rPr>
          <w:b/>
          <w:color w:val="000000"/>
          <w:sz w:val="20"/>
          <w:szCs w:val="20"/>
          <w:shd w:val="clear" w:color="auto" w:fill="FFFFFF"/>
        </w:rPr>
      </w:pPr>
      <w:bookmarkStart w:id="1" w:name="_Toc535965911"/>
      <w:r>
        <w:rPr>
          <w:b/>
          <w:color w:val="000000"/>
          <w:sz w:val="20"/>
          <w:szCs w:val="20"/>
          <w:shd w:val="clear" w:color="auto" w:fill="FFFFFF"/>
        </w:rPr>
        <w:t xml:space="preserve">Table 2: </w:t>
      </w:r>
      <w:r w:rsidR="00A0788E" w:rsidRPr="005B3281">
        <w:rPr>
          <w:b/>
          <w:color w:val="000000"/>
          <w:sz w:val="20"/>
          <w:szCs w:val="20"/>
          <w:shd w:val="clear" w:color="auto" w:fill="FFFFFF"/>
        </w:rPr>
        <w:t xml:space="preserve">Workers’ Mobility and composition of the local workforce </w:t>
      </w:r>
      <w:bookmarkEnd w:id="1"/>
    </w:p>
    <w:tbl>
      <w:tblPr>
        <w:tblW w:w="0" w:type="auto"/>
        <w:jc w:val="center"/>
        <w:tblLook w:val="04A0" w:firstRow="1" w:lastRow="0" w:firstColumn="1" w:lastColumn="0" w:noHBand="0" w:noVBand="1"/>
      </w:tblPr>
      <w:tblGrid>
        <w:gridCol w:w="1673"/>
        <w:gridCol w:w="3132"/>
        <w:gridCol w:w="1016"/>
        <w:gridCol w:w="3243"/>
        <w:gridCol w:w="222"/>
      </w:tblGrid>
      <w:tr w:rsidR="006448A3" w:rsidRPr="008D0447" w:rsidTr="006448A3">
        <w:trPr>
          <w:trHeight w:val="283"/>
          <w:jc w:val="center"/>
        </w:trPr>
        <w:tc>
          <w:tcPr>
            <w:tcW w:w="0" w:type="auto"/>
            <w:tcBorders>
              <w:top w:val="single" w:sz="6" w:space="0" w:color="auto"/>
              <w:left w:val="nil"/>
              <w:bottom w:val="single" w:sz="4" w:space="0" w:color="auto"/>
              <w:right w:val="nil"/>
            </w:tcBorders>
            <w:shd w:val="clear" w:color="auto" w:fill="auto"/>
            <w:noWrap/>
            <w:vAlign w:val="center"/>
          </w:tcPr>
          <w:p w:rsidR="006448A3" w:rsidRPr="008D0447" w:rsidRDefault="006448A3" w:rsidP="005B1740">
            <w:pPr>
              <w:keepNext/>
              <w:keepLines/>
              <w:rPr>
                <w:color w:val="000000"/>
                <w:sz w:val="20"/>
                <w:szCs w:val="20"/>
                <w:lang w:eastAsia="en-US"/>
              </w:rPr>
            </w:pPr>
          </w:p>
        </w:tc>
        <w:tc>
          <w:tcPr>
            <w:tcW w:w="0" w:type="auto"/>
            <w:gridSpan w:val="2"/>
            <w:tcBorders>
              <w:top w:val="single" w:sz="6" w:space="0" w:color="auto"/>
              <w:left w:val="nil"/>
              <w:bottom w:val="single" w:sz="4" w:space="0" w:color="auto"/>
              <w:right w:val="nil"/>
            </w:tcBorders>
            <w:shd w:val="clear" w:color="auto" w:fill="auto"/>
            <w:noWrap/>
            <w:vAlign w:val="center"/>
          </w:tcPr>
          <w:p w:rsidR="006448A3" w:rsidRPr="008D0447" w:rsidRDefault="006448A3" w:rsidP="005B1740">
            <w:pPr>
              <w:keepNext/>
              <w:keepLines/>
              <w:jc w:val="right"/>
              <w:rPr>
                <w:color w:val="000000"/>
                <w:sz w:val="20"/>
                <w:szCs w:val="20"/>
                <w:lang w:eastAsia="en-US"/>
              </w:rPr>
            </w:pPr>
            <w:r>
              <w:rPr>
                <w:color w:val="000000"/>
                <w:sz w:val="20"/>
                <w:szCs w:val="20"/>
                <w:lang w:eastAsia="en-US"/>
              </w:rPr>
              <w:t>Inflow</w:t>
            </w:r>
          </w:p>
        </w:tc>
        <w:tc>
          <w:tcPr>
            <w:tcW w:w="0" w:type="auto"/>
            <w:tcBorders>
              <w:top w:val="single" w:sz="6" w:space="0" w:color="auto"/>
              <w:left w:val="nil"/>
              <w:bottom w:val="single" w:sz="4" w:space="0" w:color="auto"/>
              <w:right w:val="nil"/>
            </w:tcBorders>
            <w:shd w:val="clear" w:color="auto" w:fill="auto"/>
            <w:noWrap/>
            <w:vAlign w:val="center"/>
          </w:tcPr>
          <w:p w:rsidR="006448A3" w:rsidRPr="008D0447" w:rsidRDefault="006448A3" w:rsidP="005B1740">
            <w:pPr>
              <w:keepNext/>
              <w:keepLines/>
              <w:jc w:val="right"/>
              <w:rPr>
                <w:color w:val="000000"/>
                <w:sz w:val="20"/>
                <w:szCs w:val="20"/>
                <w:lang w:eastAsia="en-US"/>
              </w:rPr>
            </w:pPr>
            <w:r w:rsidRPr="008D0447">
              <w:rPr>
                <w:color w:val="000000"/>
                <w:sz w:val="20"/>
                <w:szCs w:val="20"/>
                <w:lang w:eastAsia="en-US"/>
              </w:rPr>
              <w:t xml:space="preserve">% </w:t>
            </w:r>
            <w:r w:rsidRPr="008D0447">
              <w:rPr>
                <w:color w:val="000000"/>
                <w:sz w:val="20"/>
                <w:szCs w:val="20"/>
                <w:shd w:val="clear" w:color="auto" w:fill="FFFFFF"/>
              </w:rPr>
              <w:t>composition of the local workforce</w:t>
            </w:r>
          </w:p>
        </w:tc>
        <w:tc>
          <w:tcPr>
            <w:tcW w:w="0" w:type="auto"/>
            <w:tcBorders>
              <w:top w:val="single" w:sz="6" w:space="0" w:color="auto"/>
              <w:left w:val="nil"/>
              <w:bottom w:val="single" w:sz="4" w:space="0" w:color="auto"/>
              <w:right w:val="nil"/>
            </w:tcBorders>
          </w:tcPr>
          <w:p w:rsidR="006448A3" w:rsidRPr="008D0447" w:rsidRDefault="006448A3" w:rsidP="005B1740">
            <w:pPr>
              <w:keepNext/>
              <w:keepLines/>
              <w:jc w:val="right"/>
              <w:rPr>
                <w:color w:val="000000"/>
                <w:sz w:val="20"/>
                <w:szCs w:val="20"/>
                <w:lang w:eastAsia="en-US"/>
              </w:rPr>
            </w:pPr>
          </w:p>
        </w:tc>
      </w:tr>
      <w:tr w:rsidR="006448A3" w:rsidRPr="008D0447" w:rsidTr="006448A3">
        <w:trPr>
          <w:trHeight w:val="283"/>
          <w:jc w:val="center"/>
        </w:trPr>
        <w:tc>
          <w:tcPr>
            <w:tcW w:w="0" w:type="auto"/>
            <w:vMerge w:val="restart"/>
            <w:tcBorders>
              <w:top w:val="single" w:sz="4" w:space="0" w:color="auto"/>
              <w:left w:val="nil"/>
              <w:bottom w:val="single" w:sz="4" w:space="0" w:color="000000"/>
              <w:right w:val="nil"/>
            </w:tcBorders>
            <w:shd w:val="clear" w:color="auto" w:fill="auto"/>
            <w:vAlign w:val="center"/>
            <w:hideMark/>
          </w:tcPr>
          <w:p w:rsidR="006448A3" w:rsidRPr="008D0447" w:rsidRDefault="006448A3" w:rsidP="005B1740">
            <w:pPr>
              <w:keepNext/>
              <w:keepLines/>
              <w:rPr>
                <w:color w:val="000000"/>
                <w:sz w:val="20"/>
                <w:szCs w:val="20"/>
                <w:lang w:eastAsia="en-US"/>
              </w:rPr>
            </w:pPr>
            <w:r w:rsidRPr="008D0447">
              <w:rPr>
                <w:color w:val="000000"/>
                <w:sz w:val="20"/>
                <w:szCs w:val="20"/>
                <w:lang w:eastAsia="en-US"/>
              </w:rPr>
              <w:t>Selected activities</w:t>
            </w:r>
          </w:p>
          <w:p w:rsidR="006448A3" w:rsidRPr="008D0447" w:rsidRDefault="006448A3" w:rsidP="005B1740">
            <w:pPr>
              <w:keepNext/>
              <w:keepLines/>
              <w:rPr>
                <w:color w:val="000000"/>
                <w:sz w:val="20"/>
                <w:szCs w:val="20"/>
                <w:lang w:eastAsia="en-US"/>
              </w:rPr>
            </w:pPr>
            <w:r w:rsidRPr="008D0447">
              <w:rPr>
                <w:rFonts w:eastAsiaTheme="minorHAnsi"/>
                <w:sz w:val="20"/>
                <w:szCs w:val="20"/>
                <w:lang w:val="pt-BR" w:eastAsia="en-US"/>
              </w:rPr>
              <w:t>(</w:t>
            </w:r>
            <w:r w:rsidRPr="008D0447">
              <w:rPr>
                <w:rFonts w:eastAsiaTheme="minorHAnsi"/>
                <w:sz w:val="20"/>
                <w:szCs w:val="20"/>
                <w:lang w:eastAsia="en-US"/>
              </w:rPr>
              <w:t>Workers</w:t>
            </w:r>
            <w:r w:rsidRPr="008D0447">
              <w:rPr>
                <w:rFonts w:eastAsiaTheme="minorHAnsi"/>
                <w:sz w:val="20"/>
                <w:szCs w:val="20"/>
                <w:lang w:val="pt-BR" w:eastAsia="en-US"/>
              </w:rPr>
              <w:t xml:space="preserve"> = 8.4 mi)</w:t>
            </w:r>
          </w:p>
        </w:tc>
        <w:tc>
          <w:tcPr>
            <w:tcW w:w="0" w:type="auto"/>
            <w:tcBorders>
              <w:top w:val="single" w:sz="4" w:space="0" w:color="auto"/>
              <w:left w:val="nil"/>
              <w:bottom w:val="nil"/>
              <w:right w:val="nil"/>
            </w:tcBorders>
            <w:shd w:val="clear" w:color="auto" w:fill="auto"/>
            <w:noWrap/>
            <w:vAlign w:val="center"/>
            <w:hideMark/>
          </w:tcPr>
          <w:p w:rsidR="006448A3" w:rsidRPr="008D0447" w:rsidRDefault="006448A3" w:rsidP="005B1740">
            <w:pPr>
              <w:keepNext/>
              <w:keepLines/>
              <w:rPr>
                <w:color w:val="000000"/>
                <w:sz w:val="20"/>
                <w:szCs w:val="20"/>
                <w:lang w:eastAsia="en-US"/>
              </w:rPr>
            </w:pPr>
            <w:r w:rsidRPr="008D0447">
              <w:rPr>
                <w:color w:val="000000"/>
                <w:sz w:val="20"/>
                <w:szCs w:val="20"/>
                <w:lang w:eastAsia="en-US"/>
              </w:rPr>
              <w:t>Total</w:t>
            </w:r>
          </w:p>
        </w:tc>
        <w:tc>
          <w:tcPr>
            <w:tcW w:w="0" w:type="auto"/>
            <w:tcBorders>
              <w:top w:val="single" w:sz="4" w:space="0" w:color="auto"/>
              <w:left w:val="nil"/>
              <w:bottom w:val="nil"/>
              <w:right w:val="nil"/>
            </w:tcBorders>
            <w:shd w:val="clear" w:color="auto" w:fill="auto"/>
            <w:noWrap/>
            <w:vAlign w:val="center"/>
            <w:hideMark/>
          </w:tcPr>
          <w:p w:rsidR="006448A3" w:rsidRPr="008D0447" w:rsidRDefault="006448A3" w:rsidP="005B1740">
            <w:pPr>
              <w:keepNext/>
              <w:keepLines/>
              <w:jc w:val="right"/>
              <w:rPr>
                <w:color w:val="000000"/>
                <w:sz w:val="20"/>
                <w:szCs w:val="20"/>
                <w:lang w:eastAsia="en-US"/>
              </w:rPr>
            </w:pPr>
            <w:r w:rsidRPr="008D0447">
              <w:rPr>
                <w:color w:val="000000"/>
                <w:sz w:val="20"/>
                <w:szCs w:val="20"/>
                <w:lang w:eastAsia="en-US"/>
              </w:rPr>
              <w:t>1.198.983</w:t>
            </w:r>
          </w:p>
        </w:tc>
        <w:tc>
          <w:tcPr>
            <w:tcW w:w="0" w:type="auto"/>
            <w:tcBorders>
              <w:top w:val="single" w:sz="4" w:space="0" w:color="auto"/>
              <w:left w:val="nil"/>
              <w:bottom w:val="nil"/>
              <w:right w:val="nil"/>
            </w:tcBorders>
            <w:shd w:val="clear" w:color="auto" w:fill="auto"/>
            <w:noWrap/>
            <w:vAlign w:val="center"/>
            <w:hideMark/>
          </w:tcPr>
          <w:p w:rsidR="006448A3" w:rsidRPr="008D0447" w:rsidRDefault="006448A3" w:rsidP="005B1740">
            <w:pPr>
              <w:keepNext/>
              <w:keepLines/>
              <w:jc w:val="right"/>
              <w:rPr>
                <w:color w:val="000000"/>
                <w:sz w:val="20"/>
                <w:szCs w:val="20"/>
                <w:lang w:eastAsia="en-US"/>
              </w:rPr>
            </w:pPr>
            <w:r w:rsidRPr="008D0447">
              <w:rPr>
                <w:color w:val="000000"/>
                <w:sz w:val="20"/>
                <w:szCs w:val="20"/>
                <w:lang w:eastAsia="en-US"/>
              </w:rPr>
              <w:t>14,2</w:t>
            </w:r>
          </w:p>
        </w:tc>
        <w:tc>
          <w:tcPr>
            <w:tcW w:w="0" w:type="auto"/>
            <w:tcBorders>
              <w:top w:val="single" w:sz="4" w:space="0" w:color="auto"/>
              <w:left w:val="nil"/>
              <w:bottom w:val="nil"/>
              <w:right w:val="nil"/>
            </w:tcBorders>
          </w:tcPr>
          <w:p w:rsidR="006448A3" w:rsidRPr="008D0447" w:rsidRDefault="006448A3" w:rsidP="005B1740">
            <w:pPr>
              <w:keepNext/>
              <w:keepLines/>
              <w:jc w:val="right"/>
              <w:rPr>
                <w:color w:val="000000"/>
                <w:sz w:val="20"/>
                <w:szCs w:val="20"/>
                <w:lang w:eastAsia="en-US"/>
              </w:rPr>
            </w:pPr>
          </w:p>
        </w:tc>
      </w:tr>
      <w:tr w:rsidR="006448A3" w:rsidRPr="008D0447" w:rsidTr="006448A3">
        <w:trPr>
          <w:trHeight w:val="283"/>
          <w:jc w:val="center"/>
        </w:trPr>
        <w:tc>
          <w:tcPr>
            <w:tcW w:w="0" w:type="auto"/>
            <w:vMerge/>
            <w:tcBorders>
              <w:top w:val="nil"/>
              <w:left w:val="nil"/>
              <w:bottom w:val="single" w:sz="4" w:space="0" w:color="000000"/>
              <w:right w:val="nil"/>
            </w:tcBorders>
            <w:vAlign w:val="center"/>
            <w:hideMark/>
          </w:tcPr>
          <w:p w:rsidR="006448A3" w:rsidRPr="008D0447" w:rsidRDefault="006448A3" w:rsidP="005B1740">
            <w:pPr>
              <w:keepNext/>
              <w:keepLines/>
              <w:rPr>
                <w:color w:val="000000"/>
                <w:sz w:val="20"/>
                <w:szCs w:val="20"/>
                <w:lang w:eastAsia="en-US"/>
              </w:rPr>
            </w:pPr>
          </w:p>
        </w:tc>
        <w:tc>
          <w:tcPr>
            <w:tcW w:w="0" w:type="auto"/>
            <w:tcBorders>
              <w:top w:val="nil"/>
              <w:left w:val="nil"/>
              <w:bottom w:val="nil"/>
              <w:right w:val="nil"/>
            </w:tcBorders>
            <w:shd w:val="clear" w:color="auto" w:fill="auto"/>
            <w:noWrap/>
            <w:vAlign w:val="center"/>
            <w:hideMark/>
          </w:tcPr>
          <w:p w:rsidR="006448A3" w:rsidRPr="008D0447" w:rsidRDefault="006448A3" w:rsidP="005B1740">
            <w:pPr>
              <w:keepNext/>
              <w:keepLines/>
              <w:rPr>
                <w:color w:val="000000"/>
                <w:sz w:val="20"/>
                <w:szCs w:val="20"/>
                <w:lang w:eastAsia="en-US"/>
              </w:rPr>
            </w:pPr>
            <w:r w:rsidRPr="008D0447">
              <w:rPr>
                <w:color w:val="000000"/>
                <w:sz w:val="20"/>
                <w:szCs w:val="20"/>
                <w:lang w:eastAsia="en-US"/>
              </w:rPr>
              <w:t>Higher Education</w:t>
            </w:r>
          </w:p>
        </w:tc>
        <w:tc>
          <w:tcPr>
            <w:tcW w:w="0" w:type="auto"/>
            <w:tcBorders>
              <w:top w:val="nil"/>
              <w:left w:val="nil"/>
              <w:bottom w:val="nil"/>
              <w:right w:val="nil"/>
            </w:tcBorders>
            <w:shd w:val="clear" w:color="auto" w:fill="auto"/>
            <w:noWrap/>
            <w:vAlign w:val="center"/>
            <w:hideMark/>
          </w:tcPr>
          <w:p w:rsidR="006448A3" w:rsidRPr="008D0447" w:rsidRDefault="006448A3" w:rsidP="005B1740">
            <w:pPr>
              <w:keepNext/>
              <w:keepLines/>
              <w:jc w:val="right"/>
              <w:rPr>
                <w:color w:val="000000"/>
                <w:sz w:val="20"/>
                <w:szCs w:val="20"/>
                <w:lang w:eastAsia="en-US"/>
              </w:rPr>
            </w:pPr>
            <w:r w:rsidRPr="008D0447">
              <w:rPr>
                <w:color w:val="000000"/>
                <w:sz w:val="20"/>
                <w:szCs w:val="20"/>
                <w:lang w:eastAsia="en-US"/>
              </w:rPr>
              <w:t>119.183</w:t>
            </w:r>
          </w:p>
        </w:tc>
        <w:tc>
          <w:tcPr>
            <w:tcW w:w="0" w:type="auto"/>
            <w:tcBorders>
              <w:top w:val="nil"/>
              <w:left w:val="nil"/>
              <w:bottom w:val="nil"/>
              <w:right w:val="nil"/>
            </w:tcBorders>
            <w:shd w:val="clear" w:color="auto" w:fill="auto"/>
            <w:noWrap/>
            <w:vAlign w:val="center"/>
            <w:hideMark/>
          </w:tcPr>
          <w:p w:rsidR="006448A3" w:rsidRPr="008D0447" w:rsidRDefault="006448A3" w:rsidP="005B1740">
            <w:pPr>
              <w:keepNext/>
              <w:keepLines/>
              <w:jc w:val="right"/>
              <w:rPr>
                <w:color w:val="000000"/>
                <w:sz w:val="20"/>
                <w:szCs w:val="20"/>
                <w:lang w:eastAsia="en-US"/>
              </w:rPr>
            </w:pPr>
            <w:r w:rsidRPr="008D0447">
              <w:rPr>
                <w:color w:val="000000"/>
                <w:sz w:val="20"/>
                <w:szCs w:val="20"/>
                <w:lang w:eastAsia="en-US"/>
              </w:rPr>
              <w:t>1,4</w:t>
            </w:r>
          </w:p>
        </w:tc>
        <w:tc>
          <w:tcPr>
            <w:tcW w:w="0" w:type="auto"/>
            <w:tcBorders>
              <w:top w:val="nil"/>
              <w:left w:val="nil"/>
              <w:bottom w:val="nil"/>
              <w:right w:val="nil"/>
            </w:tcBorders>
          </w:tcPr>
          <w:p w:rsidR="006448A3" w:rsidRPr="008D0447" w:rsidRDefault="006448A3" w:rsidP="005B1740">
            <w:pPr>
              <w:keepNext/>
              <w:keepLines/>
              <w:jc w:val="right"/>
              <w:rPr>
                <w:color w:val="000000"/>
                <w:sz w:val="20"/>
                <w:szCs w:val="20"/>
                <w:lang w:eastAsia="en-US"/>
              </w:rPr>
            </w:pPr>
          </w:p>
        </w:tc>
      </w:tr>
      <w:tr w:rsidR="006448A3" w:rsidRPr="008D0447" w:rsidTr="006448A3">
        <w:trPr>
          <w:trHeight w:val="283"/>
          <w:jc w:val="center"/>
        </w:trPr>
        <w:tc>
          <w:tcPr>
            <w:tcW w:w="0" w:type="auto"/>
            <w:vMerge/>
            <w:tcBorders>
              <w:top w:val="nil"/>
              <w:left w:val="nil"/>
              <w:bottom w:val="single" w:sz="6" w:space="0" w:color="auto"/>
              <w:right w:val="nil"/>
            </w:tcBorders>
            <w:vAlign w:val="center"/>
            <w:hideMark/>
          </w:tcPr>
          <w:p w:rsidR="006448A3" w:rsidRPr="008D0447" w:rsidRDefault="006448A3" w:rsidP="005B1740">
            <w:pPr>
              <w:keepNext/>
              <w:keepLines/>
              <w:rPr>
                <w:color w:val="000000"/>
                <w:sz w:val="20"/>
                <w:szCs w:val="20"/>
                <w:lang w:eastAsia="en-US"/>
              </w:rPr>
            </w:pPr>
          </w:p>
        </w:tc>
        <w:tc>
          <w:tcPr>
            <w:tcW w:w="0" w:type="auto"/>
            <w:tcBorders>
              <w:top w:val="nil"/>
              <w:left w:val="nil"/>
              <w:bottom w:val="single" w:sz="6" w:space="0" w:color="auto"/>
              <w:right w:val="nil"/>
            </w:tcBorders>
            <w:shd w:val="clear" w:color="auto" w:fill="auto"/>
            <w:noWrap/>
            <w:vAlign w:val="center"/>
            <w:hideMark/>
          </w:tcPr>
          <w:p w:rsidR="006448A3" w:rsidRPr="008D0447" w:rsidRDefault="006448A3" w:rsidP="005B1740">
            <w:pPr>
              <w:keepNext/>
              <w:keepLines/>
              <w:rPr>
                <w:color w:val="000000"/>
                <w:sz w:val="20"/>
                <w:szCs w:val="20"/>
                <w:lang w:eastAsia="en-US"/>
              </w:rPr>
            </w:pPr>
            <w:r w:rsidRPr="008D0447">
              <w:rPr>
                <w:color w:val="000000"/>
                <w:sz w:val="20"/>
                <w:szCs w:val="20"/>
                <w:lang w:eastAsia="en-US"/>
              </w:rPr>
              <w:t>Technical and scientific occupations</w:t>
            </w:r>
          </w:p>
        </w:tc>
        <w:tc>
          <w:tcPr>
            <w:tcW w:w="0" w:type="auto"/>
            <w:tcBorders>
              <w:top w:val="nil"/>
              <w:left w:val="nil"/>
              <w:bottom w:val="single" w:sz="6" w:space="0" w:color="auto"/>
              <w:right w:val="nil"/>
            </w:tcBorders>
            <w:shd w:val="clear" w:color="auto" w:fill="auto"/>
            <w:noWrap/>
            <w:vAlign w:val="center"/>
            <w:hideMark/>
          </w:tcPr>
          <w:p w:rsidR="006448A3" w:rsidRPr="008D0447" w:rsidRDefault="006448A3" w:rsidP="005B1740">
            <w:pPr>
              <w:keepNext/>
              <w:keepLines/>
              <w:jc w:val="right"/>
              <w:rPr>
                <w:color w:val="000000"/>
                <w:sz w:val="20"/>
                <w:szCs w:val="20"/>
                <w:lang w:eastAsia="en-US"/>
              </w:rPr>
            </w:pPr>
            <w:r w:rsidRPr="008D0447">
              <w:rPr>
                <w:color w:val="000000"/>
                <w:sz w:val="20"/>
                <w:szCs w:val="20"/>
                <w:lang w:eastAsia="en-US"/>
              </w:rPr>
              <w:t>24.913</w:t>
            </w:r>
          </w:p>
        </w:tc>
        <w:tc>
          <w:tcPr>
            <w:tcW w:w="0" w:type="auto"/>
            <w:tcBorders>
              <w:top w:val="nil"/>
              <w:left w:val="nil"/>
              <w:bottom w:val="single" w:sz="6" w:space="0" w:color="auto"/>
              <w:right w:val="nil"/>
            </w:tcBorders>
            <w:shd w:val="clear" w:color="auto" w:fill="auto"/>
            <w:noWrap/>
            <w:vAlign w:val="center"/>
            <w:hideMark/>
          </w:tcPr>
          <w:p w:rsidR="006448A3" w:rsidRPr="008D0447" w:rsidRDefault="006448A3" w:rsidP="005B1740">
            <w:pPr>
              <w:keepNext/>
              <w:keepLines/>
              <w:jc w:val="right"/>
              <w:rPr>
                <w:color w:val="000000"/>
                <w:sz w:val="20"/>
                <w:szCs w:val="20"/>
                <w:lang w:eastAsia="en-US"/>
              </w:rPr>
            </w:pPr>
            <w:r w:rsidRPr="008D0447">
              <w:rPr>
                <w:color w:val="000000"/>
                <w:sz w:val="20"/>
                <w:szCs w:val="20"/>
                <w:lang w:eastAsia="en-US"/>
              </w:rPr>
              <w:t>0,3</w:t>
            </w:r>
          </w:p>
        </w:tc>
        <w:tc>
          <w:tcPr>
            <w:tcW w:w="0" w:type="auto"/>
            <w:tcBorders>
              <w:top w:val="nil"/>
              <w:left w:val="nil"/>
              <w:bottom w:val="single" w:sz="6" w:space="0" w:color="auto"/>
              <w:right w:val="nil"/>
            </w:tcBorders>
          </w:tcPr>
          <w:p w:rsidR="006448A3" w:rsidRPr="008D0447" w:rsidRDefault="006448A3" w:rsidP="005B1740">
            <w:pPr>
              <w:keepNext/>
              <w:keepLines/>
              <w:jc w:val="right"/>
              <w:rPr>
                <w:color w:val="000000"/>
                <w:sz w:val="20"/>
                <w:szCs w:val="20"/>
                <w:lang w:eastAsia="en-US"/>
              </w:rPr>
            </w:pPr>
          </w:p>
        </w:tc>
      </w:tr>
    </w:tbl>
    <w:p w:rsidR="00ED4DA8" w:rsidRDefault="00B91FCA" w:rsidP="00B91FCA">
      <w:pPr>
        <w:keepNext/>
        <w:keepLines/>
        <w:spacing w:after="120"/>
        <w:ind w:firstLine="709"/>
        <w:jc w:val="center"/>
        <w:rPr>
          <w:b/>
          <w:color w:val="000000"/>
          <w:sz w:val="20"/>
          <w:szCs w:val="20"/>
          <w:shd w:val="clear" w:color="auto" w:fill="FFFFFF"/>
        </w:rPr>
      </w:pPr>
      <w:r>
        <w:rPr>
          <w:b/>
          <w:color w:val="000000"/>
          <w:sz w:val="20"/>
          <w:szCs w:val="20"/>
          <w:shd w:val="clear" w:color="auto" w:fill="FFFFFF"/>
        </w:rPr>
        <w:t>Source: Original Work</w:t>
      </w:r>
    </w:p>
    <w:p w:rsidR="00B91FCA" w:rsidRPr="00B91FCA" w:rsidRDefault="00B91FCA" w:rsidP="00B91FCA">
      <w:pPr>
        <w:keepNext/>
        <w:keepLines/>
        <w:spacing w:after="120"/>
        <w:ind w:firstLine="709"/>
        <w:jc w:val="center"/>
        <w:rPr>
          <w:b/>
          <w:color w:val="000000"/>
          <w:sz w:val="20"/>
          <w:szCs w:val="20"/>
          <w:shd w:val="clear" w:color="auto" w:fill="FFFFFF"/>
        </w:rPr>
      </w:pPr>
    </w:p>
    <w:p w:rsidR="00376162" w:rsidRDefault="00376162" w:rsidP="00376162">
      <w:pPr>
        <w:spacing w:line="360" w:lineRule="auto"/>
        <w:ind w:firstLine="708"/>
        <w:contextualSpacing/>
        <w:jc w:val="both"/>
      </w:pPr>
      <w:r>
        <w:t>The composition of local workforce is 14</w:t>
      </w:r>
      <w:proofErr w:type="gramStart"/>
      <w:r>
        <w:t>,2</w:t>
      </w:r>
      <w:proofErr w:type="gramEnd"/>
      <w:r>
        <w:t xml:space="preserve">% for total workers, 1,4% for workers with higher education and 0,3% for selected occupations. These percentages are compatible with the low number of Brazilian skilled workers. Even with this low participation of skilled workers, it is expected that their movements influence the results of innovation in the regional level. </w:t>
      </w:r>
    </w:p>
    <w:p w:rsidR="00255449" w:rsidRDefault="00376162" w:rsidP="00F34F19">
      <w:pPr>
        <w:spacing w:line="360" w:lineRule="auto"/>
        <w:ind w:firstLine="708"/>
        <w:contextualSpacing/>
        <w:jc w:val="both"/>
      </w:pPr>
      <w:r>
        <w:t xml:space="preserve">Thus, it is expected that the Inflow and Net Mobility have significant and positive results; recent studies present the importance of mobility of workers </w:t>
      </w:r>
      <w:r w:rsidR="00F34F19">
        <w:t xml:space="preserve">as a source of knowledge flows </w:t>
      </w:r>
      <w:r w:rsidR="00F34F19" w:rsidRPr="00401823">
        <w:t>(</w:t>
      </w:r>
      <w:proofErr w:type="spellStart"/>
      <w:r w:rsidR="00F34F19" w:rsidRPr="00401823">
        <w:t>Breschi</w:t>
      </w:r>
      <w:proofErr w:type="spellEnd"/>
      <w:r w:rsidR="00F34F19" w:rsidRPr="00401823">
        <w:t xml:space="preserve"> &amp; </w:t>
      </w:r>
      <w:proofErr w:type="spellStart"/>
      <w:r w:rsidR="00F34F19" w:rsidRPr="00401823">
        <w:t>Lissoni</w:t>
      </w:r>
      <w:proofErr w:type="spellEnd"/>
      <w:r w:rsidR="00F34F19" w:rsidRPr="00401823">
        <w:t xml:space="preserve"> 2009; </w:t>
      </w:r>
      <w:proofErr w:type="spellStart"/>
      <w:r w:rsidR="00F34F19" w:rsidRPr="00401823">
        <w:t>Gagliardi</w:t>
      </w:r>
      <w:proofErr w:type="spellEnd"/>
      <w:r w:rsidR="00F34F19" w:rsidRPr="00401823">
        <w:t xml:space="preserve"> 2015; </w:t>
      </w:r>
      <w:proofErr w:type="spellStart"/>
      <w:r w:rsidR="00F34F19">
        <w:t>Fratesi</w:t>
      </w:r>
      <w:proofErr w:type="spellEnd"/>
      <w:r w:rsidR="00F34F19">
        <w:t xml:space="preserve"> 2014; </w:t>
      </w:r>
      <w:proofErr w:type="spellStart"/>
      <w:r w:rsidR="00F34F19" w:rsidRPr="00401823">
        <w:t>Lenzi</w:t>
      </w:r>
      <w:proofErr w:type="spellEnd"/>
      <w:r w:rsidR="00F34F19" w:rsidRPr="00401823">
        <w:t xml:space="preserve"> 2013). </w:t>
      </w:r>
      <w:r>
        <w:t xml:space="preserve">Furthermore, the Outflow and Gross Mobility are considered alternative source of knowledge flows due to the </w:t>
      </w:r>
      <w:r>
        <w:lastRenderedPageBreak/>
        <w:t xml:space="preserve">circulation of people and the possibility that these movements may generate benefits for the region </w:t>
      </w:r>
      <w:r w:rsidR="00F34F19">
        <w:t>–</w:t>
      </w:r>
      <w:r>
        <w:t xml:space="preserve"> such as formal and informal connections with other regions, information exchange about technologies, occupations and business. So, if the brain circulation is important, we expect the coefficient to be positive (</w:t>
      </w:r>
      <w:r w:rsidR="00F34F19">
        <w:t>Migué</w:t>
      </w:r>
      <w:r>
        <w:t>lez</w:t>
      </w:r>
      <w:r w:rsidR="00F34F19">
        <w:t xml:space="preserve"> &amp; Moreno 2015;</w:t>
      </w:r>
      <w:r>
        <w:t xml:space="preserve"> </w:t>
      </w:r>
      <w:proofErr w:type="spellStart"/>
      <w:r w:rsidR="00F34F19">
        <w:t>Fratesi</w:t>
      </w:r>
      <w:proofErr w:type="spellEnd"/>
      <w:r>
        <w:t xml:space="preserve"> 2014; </w:t>
      </w:r>
      <w:proofErr w:type="spellStart"/>
      <w:r w:rsidR="00F34F19">
        <w:t>Saxenian</w:t>
      </w:r>
      <w:proofErr w:type="spellEnd"/>
      <w:r>
        <w:t xml:space="preserve"> 2002</w:t>
      </w:r>
      <w:r w:rsidR="00F34F19">
        <w:t>;</w:t>
      </w:r>
      <w:r>
        <w:t xml:space="preserve"> 2005).</w:t>
      </w:r>
    </w:p>
    <w:p w:rsidR="00376162" w:rsidRPr="00B91FCA" w:rsidRDefault="00376162" w:rsidP="00376162">
      <w:pPr>
        <w:spacing w:line="360" w:lineRule="auto"/>
        <w:ind w:firstLine="708"/>
        <w:contextualSpacing/>
        <w:jc w:val="both"/>
      </w:pPr>
    </w:p>
    <w:p w:rsidR="00460AA9" w:rsidRPr="00B91FCA" w:rsidRDefault="00B91FCA" w:rsidP="00B91FCA">
      <w:pPr>
        <w:spacing w:line="360" w:lineRule="auto"/>
        <w:ind w:firstLine="708"/>
        <w:contextualSpacing/>
        <w:jc w:val="both"/>
        <w:rPr>
          <w:b/>
        </w:rPr>
      </w:pPr>
      <w:r w:rsidRPr="00B91FCA">
        <w:rPr>
          <w:b/>
        </w:rPr>
        <w:t xml:space="preserve">Empirical analysis: </w:t>
      </w:r>
    </w:p>
    <w:p w:rsidR="00376162" w:rsidRPr="00376162" w:rsidRDefault="00376162" w:rsidP="00376162">
      <w:pPr>
        <w:spacing w:line="360" w:lineRule="auto"/>
        <w:ind w:firstLine="708"/>
        <w:contextualSpacing/>
        <w:jc w:val="both"/>
      </w:pPr>
      <w:r w:rsidRPr="00376162">
        <w:t>An empirical model was estimated using the dataset to investigate if the skilled workers’ mobility can influence the results of innovation. The empirical strategy was based on the knowledge production function that estimates innovation measures as a function of regional factors (</w:t>
      </w:r>
      <w:proofErr w:type="spellStart"/>
      <w:r w:rsidRPr="00376162">
        <w:t>Griliches</w:t>
      </w:r>
      <w:proofErr w:type="spellEnd"/>
      <w:r w:rsidRPr="00376162">
        <w:t xml:space="preserve"> 1979; Jaffe 1989). </w:t>
      </w:r>
    </w:p>
    <w:p w:rsidR="00376162" w:rsidRPr="00376162" w:rsidRDefault="00376162" w:rsidP="00376162">
      <w:pPr>
        <w:spacing w:line="360" w:lineRule="auto"/>
        <w:ind w:firstLine="708"/>
        <w:contextualSpacing/>
        <w:jc w:val="both"/>
      </w:pPr>
      <w:r w:rsidRPr="00376162">
        <w:t>The dependent variable was measured using patent inventors per capita averaged across the years of 2009, 2010 and 2011 (</w:t>
      </w:r>
      <w:proofErr w:type="spellStart"/>
      <w:r w:rsidRPr="00100415">
        <w:rPr>
          <w:i/>
        </w:rPr>
        <w:t>Avg_Patentpc</w:t>
      </w:r>
      <w:proofErr w:type="spellEnd"/>
      <w:r w:rsidRPr="00376162">
        <w:t xml:space="preserve">). The patents were </w:t>
      </w:r>
      <w:proofErr w:type="spellStart"/>
      <w:r w:rsidRPr="00376162">
        <w:t>georeferenced</w:t>
      </w:r>
      <w:proofErr w:type="spellEnd"/>
      <w:r w:rsidRPr="00376162">
        <w:t xml:space="preserve"> by the localization of the inventors. The most important independent variable is mobility of workers for selected activities (</w:t>
      </w:r>
      <w:proofErr w:type="spellStart"/>
      <w:r w:rsidRPr="00100415">
        <w:rPr>
          <w:i/>
        </w:rPr>
        <w:t>WorkerMobility</w:t>
      </w:r>
      <w:proofErr w:type="spellEnd"/>
      <w:r w:rsidRPr="00376162">
        <w:t xml:space="preserve">). These variables were lagged for the year of 2008 and were categorized across 3 different qualifications of workers: total (TO), higher education (HE) and in technical and scientific occupations (TS). For each qualification it was measured the Inflow, Outflow, Net Mobility and Gross Mobility. </w:t>
      </w:r>
    </w:p>
    <w:p w:rsidR="00376162" w:rsidRPr="00376162" w:rsidRDefault="00376162" w:rsidP="00376162">
      <w:pPr>
        <w:spacing w:line="360" w:lineRule="auto"/>
        <w:ind w:firstLine="708"/>
        <w:contextualSpacing/>
        <w:jc w:val="both"/>
      </w:pPr>
      <w:r w:rsidRPr="00376162">
        <w:t>Independent variables related to direct drivers of innovation and characteristics of region were added to the model. The variables related to the drivers of innovation were: the level of Research and Development (R&amp;D) of local firms and the level of R&amp;D in universities. The level of R&amp;D (</w:t>
      </w:r>
      <w:proofErr w:type="spellStart"/>
      <w:r w:rsidRPr="00100415">
        <w:rPr>
          <w:i/>
        </w:rPr>
        <w:t>R&amp;D_local</w:t>
      </w:r>
      <w:proofErr w:type="spellEnd"/>
      <w:r w:rsidRPr="00376162">
        <w:t>) in one region is an important indicator of the existence of local knowledge spillovers. The knowledge created in the firm can overflow the barriers of the firm and this can beneficiate other firms that are localized in the same region (</w:t>
      </w:r>
      <w:proofErr w:type="spellStart"/>
      <w:r w:rsidRPr="00376162">
        <w:t>Audretsch</w:t>
      </w:r>
      <w:proofErr w:type="spellEnd"/>
      <w:r w:rsidRPr="00376162">
        <w:t xml:space="preserve"> &amp; Feldman 1996). The proxy used for R&amp;D local is measured by the number of workers employed on R&amp;D activities in 2008. Two occupations were selected: director of R&amp;D (CBO 123705) and managers of R&amp;D (CBO 142605).</w:t>
      </w:r>
    </w:p>
    <w:p w:rsidR="00376162" w:rsidRPr="00376162" w:rsidRDefault="00376162" w:rsidP="00376162">
      <w:pPr>
        <w:spacing w:line="360" w:lineRule="auto"/>
        <w:ind w:firstLine="708"/>
        <w:contextualSpacing/>
        <w:jc w:val="both"/>
        <w:rPr>
          <w:color w:val="000000"/>
          <w:shd w:val="clear" w:color="auto" w:fill="FFFFFF"/>
        </w:rPr>
      </w:pPr>
      <w:r w:rsidRPr="00376162">
        <w:t xml:space="preserve">The level of R&amp;D in universities is also a variable that was inserted in the estimation. The universities have an important impact in basic research development. The sectors that are more complex, such as high-tech industries, have more benefits of this proximity (Cohen et al. 2002; </w:t>
      </w:r>
      <w:proofErr w:type="spellStart"/>
      <w:r w:rsidRPr="00376162">
        <w:t>Klevorick</w:t>
      </w:r>
      <w:proofErr w:type="spellEnd"/>
      <w:r w:rsidRPr="00376162">
        <w:t xml:space="preserve"> et al. 1995). Regions that have a high level of university research tend to have academic qualifications that are compatible with the</w:t>
      </w:r>
      <w:r w:rsidRPr="00376162">
        <w:rPr>
          <w:color w:val="000000"/>
          <w:shd w:val="clear" w:color="auto" w:fill="FFFFFF"/>
        </w:rPr>
        <w:t xml:space="preserve"> needs of local businesses. The </w:t>
      </w:r>
      <w:r w:rsidRPr="00376162">
        <w:rPr>
          <w:color w:val="000000"/>
          <w:shd w:val="clear" w:color="auto" w:fill="FFFFFF"/>
        </w:rPr>
        <w:lastRenderedPageBreak/>
        <w:t>proxy used to measure the university R&amp;D (</w:t>
      </w:r>
      <w:proofErr w:type="spellStart"/>
      <w:r w:rsidRPr="00100415">
        <w:rPr>
          <w:i/>
          <w:color w:val="000000"/>
          <w:shd w:val="clear" w:color="auto" w:fill="FFFFFF"/>
        </w:rPr>
        <w:t>R&amp;D_univ</w:t>
      </w:r>
      <w:proofErr w:type="spellEnd"/>
      <w:r w:rsidRPr="00376162">
        <w:rPr>
          <w:color w:val="000000"/>
          <w:shd w:val="clear" w:color="auto" w:fill="FFFFFF"/>
        </w:rPr>
        <w:t xml:space="preserve">) was the number of PhD professors that were active and dedicated full-time per 10,000 inhabitants in 2009. The data of professors was made available by National Institute for Educational Studies and Research (INEP) linked to the Ministry of Education in Brazil in 2009. The data of population is from IBGE in 2008. Amongst the variables related with characteristics of region, the first one is a measure of the productive structure of region. </w:t>
      </w:r>
    </w:p>
    <w:p w:rsidR="00376162" w:rsidRPr="00376162" w:rsidRDefault="00376162" w:rsidP="00F34F19">
      <w:pPr>
        <w:spacing w:line="360" w:lineRule="auto"/>
        <w:ind w:firstLine="708"/>
        <w:contextualSpacing/>
        <w:jc w:val="both"/>
        <w:rPr>
          <w:color w:val="000000"/>
          <w:shd w:val="clear" w:color="auto" w:fill="FFFFFF"/>
        </w:rPr>
      </w:pPr>
      <w:r w:rsidRPr="00376162">
        <w:rPr>
          <w:color w:val="000000"/>
          <w:shd w:val="clear" w:color="auto" w:fill="FFFFFF"/>
        </w:rPr>
        <w:t xml:space="preserve">The </w:t>
      </w:r>
      <w:proofErr w:type="spellStart"/>
      <w:r w:rsidRPr="00376162">
        <w:rPr>
          <w:color w:val="000000"/>
          <w:shd w:val="clear" w:color="auto" w:fill="FFFFFF"/>
        </w:rPr>
        <w:t>Krugman</w:t>
      </w:r>
      <w:proofErr w:type="spellEnd"/>
      <w:r w:rsidRPr="00376162">
        <w:rPr>
          <w:color w:val="000000"/>
          <w:shd w:val="clear" w:color="auto" w:fill="FFFFFF"/>
        </w:rPr>
        <w:t xml:space="preserve"> specialization index (</w:t>
      </w:r>
      <w:r w:rsidRPr="00100415">
        <w:rPr>
          <w:i/>
          <w:color w:val="000000"/>
          <w:shd w:val="clear" w:color="auto" w:fill="FFFFFF"/>
        </w:rPr>
        <w:t>K-index</w:t>
      </w:r>
      <w:r w:rsidRPr="00376162">
        <w:rPr>
          <w:color w:val="000000"/>
          <w:shd w:val="clear" w:color="auto" w:fill="FFFFFF"/>
        </w:rPr>
        <w:t>) was used as proxy of productive structure. The K-index captures the degree of local specialization or diversification. In diversified regions the complementarity amongst activities is the basis for knowledge transfers. In this diversified region, there are greater opportunities for firms to imitate, share, and recombine ideas and practices across industries (</w:t>
      </w:r>
      <w:proofErr w:type="spellStart"/>
      <w:r w:rsidRPr="00376162">
        <w:rPr>
          <w:color w:val="000000"/>
          <w:shd w:val="clear" w:color="auto" w:fill="FFFFFF"/>
        </w:rPr>
        <w:t>Glaeser</w:t>
      </w:r>
      <w:proofErr w:type="spellEnd"/>
      <w:r w:rsidRPr="00376162">
        <w:rPr>
          <w:color w:val="000000"/>
          <w:shd w:val="clear" w:color="auto" w:fill="FFFFFF"/>
        </w:rPr>
        <w:t xml:space="preserve"> et al. 1992; </w:t>
      </w:r>
      <w:proofErr w:type="spellStart"/>
      <w:r w:rsidRPr="00376162">
        <w:rPr>
          <w:color w:val="000000"/>
          <w:shd w:val="clear" w:color="auto" w:fill="FFFFFF"/>
        </w:rPr>
        <w:t>Storper</w:t>
      </w:r>
      <w:proofErr w:type="spellEnd"/>
      <w:r w:rsidRPr="00376162">
        <w:rPr>
          <w:color w:val="000000"/>
          <w:shd w:val="clear" w:color="auto" w:fill="FFFFFF"/>
        </w:rPr>
        <w:t xml:space="preserve"> &amp; </w:t>
      </w:r>
      <w:proofErr w:type="spellStart"/>
      <w:r w:rsidRPr="00376162">
        <w:rPr>
          <w:color w:val="000000"/>
          <w:shd w:val="clear" w:color="auto" w:fill="FFFFFF"/>
        </w:rPr>
        <w:t>Venables</w:t>
      </w:r>
      <w:proofErr w:type="spellEnd"/>
      <w:r w:rsidRPr="00376162">
        <w:rPr>
          <w:color w:val="000000"/>
          <w:shd w:val="clear" w:color="auto" w:fill="FFFFFF"/>
        </w:rPr>
        <w:t xml:space="preserve"> 2004). The values of K-index vary from 0 to 2. Values that are closer to 0 indicates that the micro-region is more diversified and values closer to 2 indicates that the micro-region can be considered more specialized </w:t>
      </w:r>
      <w:r w:rsidR="00F34F19">
        <w:rPr>
          <w:color w:val="000000"/>
          <w:shd w:val="clear" w:color="auto" w:fill="FFFFFF"/>
        </w:rPr>
        <w:t>–</w:t>
      </w:r>
      <w:r w:rsidRPr="00376162">
        <w:rPr>
          <w:color w:val="000000"/>
          <w:shd w:val="clear" w:color="auto" w:fill="FFFFFF"/>
        </w:rPr>
        <w:t xml:space="preserve"> according with one analyze base selected. Thus, it is expected that this variable is negatively correlated with the measure of innovation. </w:t>
      </w:r>
    </w:p>
    <w:p w:rsidR="00376162" w:rsidRPr="00376162"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t>Others regional controls were added such as dummies for South and Southeast (</w:t>
      </w:r>
      <w:r w:rsidRPr="00100415">
        <w:rPr>
          <w:i/>
          <w:color w:val="000000"/>
          <w:shd w:val="clear" w:color="auto" w:fill="FFFFFF"/>
        </w:rPr>
        <w:t>SSE</w:t>
      </w:r>
      <w:r w:rsidRPr="00376162">
        <w:rPr>
          <w:color w:val="000000"/>
          <w:shd w:val="clear" w:color="auto" w:fill="FFFFFF"/>
        </w:rPr>
        <w:t>) and metropolitan areas (</w:t>
      </w:r>
      <w:r w:rsidRPr="00100415">
        <w:rPr>
          <w:i/>
          <w:color w:val="000000"/>
          <w:shd w:val="clear" w:color="auto" w:fill="FFFFFF"/>
        </w:rPr>
        <w:t>Metro</w:t>
      </w:r>
      <w:r w:rsidRPr="00376162">
        <w:rPr>
          <w:color w:val="000000"/>
          <w:shd w:val="clear" w:color="auto" w:fill="FFFFFF"/>
        </w:rPr>
        <w:t>). It was necessary to control these variables because the regional distribution of innovation is highly concentrated in these macro-regions of Brazil, but also in urbanized and agglomerated areas. Metropolitan areas are more dynamic. In these areas there is a labor market more leaning to attract firms and more qualified people</w:t>
      </w:r>
      <w:r w:rsidR="00100415">
        <w:rPr>
          <w:color w:val="000000"/>
          <w:shd w:val="clear" w:color="auto" w:fill="FFFFFF"/>
        </w:rPr>
        <w:t>,</w:t>
      </w:r>
      <w:r w:rsidRPr="00376162">
        <w:rPr>
          <w:color w:val="000000"/>
          <w:shd w:val="clear" w:color="auto" w:fill="FFFFFF"/>
        </w:rPr>
        <w:t xml:space="preserve"> who are more involved in activities intensive in </w:t>
      </w:r>
      <w:proofErr w:type="gramStart"/>
      <w:r w:rsidRPr="00376162">
        <w:rPr>
          <w:color w:val="000000"/>
          <w:shd w:val="clear" w:color="auto" w:fill="FFFFFF"/>
        </w:rPr>
        <w:t>knowledge.</w:t>
      </w:r>
      <w:proofErr w:type="gramEnd"/>
      <w:r w:rsidRPr="00376162">
        <w:rPr>
          <w:color w:val="000000"/>
          <w:shd w:val="clear" w:color="auto" w:fill="FFFFFF"/>
        </w:rPr>
        <w:t xml:space="preserve"> These areas are agglomerated, so it has effects have important benefits for firms and other agents that are co-located. The proximity can generate knowledge spillovers through the dissemination of knowledge in local networks and facilities interactive learning process (</w:t>
      </w:r>
      <w:proofErr w:type="spellStart"/>
      <w:r w:rsidRPr="00376162">
        <w:rPr>
          <w:color w:val="000000"/>
          <w:shd w:val="clear" w:color="auto" w:fill="FFFFFF"/>
        </w:rPr>
        <w:t>Boschma</w:t>
      </w:r>
      <w:proofErr w:type="spellEnd"/>
      <w:r w:rsidRPr="00376162">
        <w:rPr>
          <w:color w:val="000000"/>
          <w:shd w:val="clear" w:color="auto" w:fill="FFFFFF"/>
        </w:rPr>
        <w:t xml:space="preserve"> et al. 2014; </w:t>
      </w:r>
      <w:proofErr w:type="spellStart"/>
      <w:r w:rsidRPr="00376162">
        <w:rPr>
          <w:color w:val="000000"/>
          <w:shd w:val="clear" w:color="auto" w:fill="FFFFFF"/>
        </w:rPr>
        <w:t>Carlino</w:t>
      </w:r>
      <w:proofErr w:type="spellEnd"/>
      <w:r w:rsidRPr="00376162">
        <w:rPr>
          <w:color w:val="000000"/>
          <w:shd w:val="clear" w:color="auto" w:fill="FFFFFF"/>
        </w:rPr>
        <w:t xml:space="preserve"> et al. 2007; </w:t>
      </w:r>
      <w:proofErr w:type="spellStart"/>
      <w:r w:rsidRPr="00376162">
        <w:rPr>
          <w:color w:val="000000"/>
          <w:shd w:val="clear" w:color="auto" w:fill="FFFFFF"/>
        </w:rPr>
        <w:t>Breschi</w:t>
      </w:r>
      <w:proofErr w:type="spellEnd"/>
      <w:r w:rsidRPr="00376162">
        <w:rPr>
          <w:color w:val="000000"/>
          <w:shd w:val="clear" w:color="auto" w:fill="FFFFFF"/>
        </w:rPr>
        <w:t xml:space="preserve"> &amp; </w:t>
      </w:r>
      <w:proofErr w:type="spellStart"/>
      <w:r w:rsidRPr="00376162">
        <w:rPr>
          <w:color w:val="000000"/>
          <w:shd w:val="clear" w:color="auto" w:fill="FFFFFF"/>
        </w:rPr>
        <w:t>Lissoni</w:t>
      </w:r>
      <w:proofErr w:type="spellEnd"/>
      <w:r w:rsidRPr="00376162">
        <w:rPr>
          <w:color w:val="000000"/>
          <w:shd w:val="clear" w:color="auto" w:fill="FFFFFF"/>
        </w:rPr>
        <w:t xml:space="preserve"> 2001). The data of metropolitan areas are available in IBGE. Finally, other variables included in the estimation were the level of workers employed in agriculture, extractive and manufacturing activities on the regions (</w:t>
      </w:r>
      <w:r w:rsidRPr="00100415">
        <w:rPr>
          <w:i/>
          <w:color w:val="000000"/>
          <w:shd w:val="clear" w:color="auto" w:fill="FFFFFF"/>
        </w:rPr>
        <w:t>Share</w:t>
      </w:r>
      <w:r w:rsidRPr="00376162">
        <w:rPr>
          <w:color w:val="000000"/>
          <w:shd w:val="clear" w:color="auto" w:fill="FFFFFF"/>
        </w:rPr>
        <w:t>). These activities were the same selected to build the measure of mobility of workers.</w:t>
      </w:r>
    </w:p>
    <w:p w:rsidR="00376162" w:rsidRPr="00376162"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t xml:space="preserve">The </w:t>
      </w:r>
      <w:proofErr w:type="spellStart"/>
      <w:r w:rsidRPr="00376162">
        <w:rPr>
          <w:color w:val="000000"/>
          <w:shd w:val="clear" w:color="auto" w:fill="FFFFFF"/>
        </w:rPr>
        <w:t>Tobit</w:t>
      </w:r>
      <w:proofErr w:type="spellEnd"/>
      <w:r w:rsidRPr="00376162">
        <w:rPr>
          <w:color w:val="000000"/>
          <w:shd w:val="clear" w:color="auto" w:fill="FFFFFF"/>
        </w:rPr>
        <w:t xml:space="preserve"> model was used. This model is a censored regression model and is indicated to estimate linear relationships when censoring data in the dependent variable exists. The measure of innovation uses the patent depositors and there are many micro-regions in Brazil that don’t have a patent at the period analyzed (201 left-censored observations).</w:t>
      </w:r>
    </w:p>
    <w:p w:rsidR="005E3915"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lastRenderedPageBreak/>
        <w:t>The estimated equation takes the following form:</w:t>
      </w:r>
    </w:p>
    <w:p w:rsidR="00376162" w:rsidRPr="005E3915" w:rsidRDefault="00376162" w:rsidP="005E3915">
      <w:pPr>
        <w:spacing w:line="360" w:lineRule="auto"/>
        <w:ind w:firstLine="708"/>
        <w:contextualSpacing/>
        <w:jc w:val="both"/>
        <w:rPr>
          <w:color w:val="000000"/>
          <w:shd w:val="clear" w:color="auto" w:fill="FFFFFF"/>
        </w:rPr>
      </w:pPr>
    </w:p>
    <w:p w:rsidR="00C15C41" w:rsidRPr="006C6B77" w:rsidRDefault="00105EC8" w:rsidP="006C6B77">
      <w:pPr>
        <w:widowControl w:val="0"/>
        <w:autoSpaceDE w:val="0"/>
        <w:autoSpaceDN w:val="0"/>
        <w:adjustRightInd w:val="0"/>
        <w:rPr>
          <w:i/>
          <w:sz w:val="20"/>
          <w:szCs w:val="20"/>
        </w:rPr>
      </w:pPr>
      <m:oMathPara>
        <m:oMath>
          <m:sSub>
            <m:sSubPr>
              <m:ctrlPr>
                <w:rPr>
                  <w:rFonts w:ascii="Cambria Math" w:hAnsi="Cambria Math"/>
                  <w:i/>
                  <w:sz w:val="20"/>
                  <w:szCs w:val="20"/>
                </w:rPr>
              </m:ctrlPr>
            </m:sSubPr>
            <m:e>
              <m:r>
                <w:rPr>
                  <w:rFonts w:ascii="Cambria Math" w:hAnsi="Cambria Math"/>
                  <w:sz w:val="20"/>
                  <w:szCs w:val="20"/>
                </w:rPr>
                <m:t>Avg_Patentpc</m:t>
              </m:r>
            </m:e>
            <m:sub>
              <m:r>
                <w:rPr>
                  <w:rFonts w:ascii="Cambria Math" w:hAnsi="Cambria Math"/>
                  <w:sz w:val="20"/>
                  <w:szCs w:val="20"/>
                </w:rPr>
                <m:t>2009a2011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WorkerMobility</m:t>
              </m:r>
            </m:e>
            <m:sub>
              <m:r>
                <w:rPr>
                  <w:rFonts w:ascii="Cambria Math" w:hAnsi="Cambria Math"/>
                  <w:sz w:val="20"/>
                  <w:szCs w:val="20"/>
                </w:rPr>
                <m:t>2003-2008</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20"/>
                  <w:szCs w:val="20"/>
                </w:rPr>
                <m:t>ln⁡(R&amp;D_local)</m:t>
              </m:r>
            </m:e>
            <m:sub>
              <m:r>
                <w:rPr>
                  <w:rFonts w:ascii="Cambria Math" w:hAnsi="Cambria Math"/>
                  <w:sz w:val="20"/>
                  <w:szCs w:val="20"/>
                </w:rPr>
                <m:t>2008</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r>
                <w:rPr>
                  <w:rFonts w:ascii="Cambria Math" w:hAnsi="Cambria Math"/>
                  <w:sz w:val="20"/>
                  <w:szCs w:val="20"/>
                </w:rPr>
                <m:t>ln⁡(R&amp;D_univ)</m:t>
              </m:r>
            </m:e>
            <m:sub>
              <m:r>
                <w:rPr>
                  <w:rFonts w:ascii="Cambria Math" w:hAnsi="Cambria Math"/>
                  <w:sz w:val="20"/>
                  <w:szCs w:val="20"/>
                </w:rPr>
                <m:t>2008</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r>
                <w:rPr>
                  <w:rFonts w:ascii="Cambria Math" w:hAnsi="Cambria Math"/>
                  <w:sz w:val="20"/>
                  <w:szCs w:val="20"/>
                </w:rPr>
                <m:t>K-index</m:t>
              </m:r>
            </m:e>
            <m:sub>
              <m:r>
                <w:rPr>
                  <w:rFonts w:ascii="Cambria Math" w:hAnsi="Cambria Math"/>
                  <w:sz w:val="20"/>
                  <w:szCs w:val="20"/>
                </w:rPr>
                <m:t>2008</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r>
                <w:rPr>
                  <w:rFonts w:ascii="Cambria Math" w:hAnsi="Cambria Math"/>
                  <w:sz w:val="20"/>
                  <w:szCs w:val="20"/>
                </w:rPr>
                <m:t>Metro</m:t>
              </m:r>
            </m:e>
            <m:sub>
              <m:r>
                <w:rPr>
                  <w:rFonts w:ascii="Cambria Math" w:hAnsi="Cambria Math"/>
                  <w:sz w:val="20"/>
                  <w:szCs w:val="20"/>
                </w:rPr>
                <m:t>2008</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6</m:t>
                  </m:r>
                </m:sub>
              </m:sSub>
              <m:r>
                <w:rPr>
                  <w:rFonts w:ascii="Cambria Math" w:hAnsi="Cambria Math"/>
                  <w:sz w:val="20"/>
                  <w:szCs w:val="20"/>
                </w:rPr>
                <m:t>SSE</m:t>
              </m:r>
            </m:e>
            <m:sub>
              <m:r>
                <w:rPr>
                  <w:rFonts w:ascii="Cambria Math" w:hAnsi="Cambria Math"/>
                  <w:sz w:val="20"/>
                  <w:szCs w:val="20"/>
                </w:rPr>
                <m:t>2008</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7</m:t>
                  </m:r>
                </m:sub>
              </m:sSub>
              <m:r>
                <w:rPr>
                  <w:rFonts w:ascii="Cambria Math" w:hAnsi="Cambria Math"/>
                  <w:sz w:val="20"/>
                  <w:szCs w:val="20"/>
                </w:rPr>
                <m:t>ShareManuf</m:t>
              </m:r>
            </m:e>
            <m:sub>
              <m:r>
                <w:rPr>
                  <w:rFonts w:ascii="Cambria Math" w:hAnsi="Cambria Math"/>
                  <w:sz w:val="20"/>
                  <w:szCs w:val="20"/>
                </w:rPr>
                <m:t>2008</m:t>
              </m:r>
            </m:sub>
          </m:sSub>
          <m:r>
            <w:rPr>
              <w:rFonts w:ascii="Cambria Math" w:hAnsi="Cambria Math"/>
              <w:sz w:val="20"/>
              <w:szCs w:val="20"/>
            </w:rPr>
            <m:t xml:space="preserve">+ </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8</m:t>
                  </m:r>
                </m:sub>
              </m:sSub>
              <m:r>
                <w:rPr>
                  <w:rFonts w:ascii="Cambria Math" w:hAnsi="Cambria Math"/>
                  <w:sz w:val="20"/>
                  <w:szCs w:val="20"/>
                </w:rPr>
                <m:t>ShareAgri</m:t>
              </m:r>
            </m:e>
            <m:sub>
              <m:r>
                <w:rPr>
                  <w:rFonts w:ascii="Cambria Math" w:hAnsi="Cambria Math"/>
                  <w:sz w:val="20"/>
                  <w:szCs w:val="20"/>
                </w:rPr>
                <m:t>2008</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9</m:t>
                  </m:r>
                </m:sub>
              </m:sSub>
              <m:r>
                <w:rPr>
                  <w:rFonts w:ascii="Cambria Math" w:hAnsi="Cambria Math"/>
                  <w:sz w:val="20"/>
                  <w:szCs w:val="20"/>
                </w:rPr>
                <m:t>ShareExtrat</m:t>
              </m:r>
            </m:e>
            <m:sub>
              <m:r>
                <w:rPr>
                  <w:rFonts w:ascii="Cambria Math" w:hAnsi="Cambria Math"/>
                  <w:sz w:val="20"/>
                  <w:szCs w:val="20"/>
                </w:rPr>
                <m:t>2008</m:t>
              </m:r>
            </m:sub>
          </m:sSub>
          <m:r>
            <w:rPr>
              <w:rFonts w:ascii="Cambria Math" w:hAnsi="Cambria Math"/>
              <w:sz w:val="20"/>
              <w:szCs w:val="20"/>
            </w:rPr>
            <m:t>+μ</m:t>
          </m:r>
        </m:oMath>
      </m:oMathPara>
    </w:p>
    <w:p w:rsidR="006C6B77" w:rsidRPr="005E3915" w:rsidRDefault="006C6B77" w:rsidP="005E3915">
      <w:pPr>
        <w:spacing w:line="360" w:lineRule="auto"/>
        <w:ind w:firstLine="708"/>
        <w:contextualSpacing/>
        <w:jc w:val="both"/>
        <w:rPr>
          <w:color w:val="000000"/>
          <w:shd w:val="clear" w:color="auto" w:fill="FFFFFF"/>
        </w:rPr>
      </w:pPr>
    </w:p>
    <w:p w:rsidR="0053274B" w:rsidRDefault="00871FBC" w:rsidP="005E3915">
      <w:pPr>
        <w:spacing w:line="360" w:lineRule="auto"/>
        <w:ind w:firstLine="708"/>
        <w:contextualSpacing/>
        <w:jc w:val="both"/>
        <w:rPr>
          <w:color w:val="000000"/>
          <w:shd w:val="clear" w:color="auto" w:fill="FFFFFF"/>
        </w:rPr>
      </w:pPr>
      <w:r>
        <w:rPr>
          <w:color w:val="000000"/>
          <w:shd w:val="clear" w:color="auto" w:fill="FFFFFF"/>
        </w:rPr>
        <w:t>Table 3</w:t>
      </w:r>
      <w:r w:rsidR="00786F81">
        <w:rPr>
          <w:color w:val="000000"/>
          <w:shd w:val="clear" w:color="auto" w:fill="FFFFFF"/>
        </w:rPr>
        <w:t xml:space="preserve"> </w:t>
      </w:r>
      <w:r w:rsidR="00460AA9" w:rsidRPr="00E86EC8">
        <w:rPr>
          <w:color w:val="000000"/>
          <w:shd w:val="clear" w:color="auto" w:fill="FFFFFF"/>
        </w:rPr>
        <w:t>present the description of the variables</w:t>
      </w:r>
      <w:r w:rsidR="006448A3">
        <w:rPr>
          <w:color w:val="000000"/>
          <w:shd w:val="clear" w:color="auto" w:fill="FFFFFF"/>
        </w:rPr>
        <w:t>.</w:t>
      </w:r>
    </w:p>
    <w:p w:rsidR="001F6BA9" w:rsidRPr="00ED4EF0" w:rsidRDefault="001F6BA9" w:rsidP="001F6BA9">
      <w:pPr>
        <w:autoSpaceDE w:val="0"/>
        <w:autoSpaceDN w:val="0"/>
        <w:adjustRightInd w:val="0"/>
        <w:ind w:firstLine="357"/>
        <w:jc w:val="center"/>
        <w:rPr>
          <w:sz w:val="20"/>
          <w:szCs w:val="20"/>
        </w:rPr>
      </w:pPr>
    </w:p>
    <w:p w:rsidR="00D87D69" w:rsidRPr="00E548CF" w:rsidRDefault="00D87D69" w:rsidP="00BB29E3">
      <w:pPr>
        <w:keepNext/>
        <w:keepLines/>
        <w:autoSpaceDE w:val="0"/>
        <w:autoSpaceDN w:val="0"/>
        <w:adjustRightInd w:val="0"/>
        <w:ind w:firstLine="357"/>
        <w:jc w:val="center"/>
        <w:rPr>
          <w:b/>
          <w:color w:val="000000"/>
          <w:sz w:val="20"/>
          <w:szCs w:val="20"/>
          <w:shd w:val="clear" w:color="auto" w:fill="FFFFFF"/>
        </w:rPr>
      </w:pPr>
      <w:r w:rsidRPr="00E548CF">
        <w:rPr>
          <w:b/>
          <w:color w:val="000000"/>
          <w:sz w:val="20"/>
          <w:szCs w:val="20"/>
          <w:shd w:val="clear" w:color="auto" w:fill="FFFFFF"/>
        </w:rPr>
        <w:t xml:space="preserve">Table </w:t>
      </w:r>
      <w:r w:rsidR="005B1740" w:rsidRPr="00E548CF">
        <w:rPr>
          <w:b/>
          <w:color w:val="000000"/>
          <w:sz w:val="20"/>
          <w:szCs w:val="20"/>
          <w:shd w:val="clear" w:color="auto" w:fill="FFFFFF"/>
        </w:rPr>
        <w:t xml:space="preserve">3: </w:t>
      </w:r>
      <w:r w:rsidRPr="00E548CF">
        <w:rPr>
          <w:b/>
          <w:color w:val="000000"/>
          <w:sz w:val="20"/>
          <w:szCs w:val="20"/>
          <w:shd w:val="clear" w:color="auto" w:fill="FFFFFF"/>
        </w:rPr>
        <w:t>Description of the variables</w:t>
      </w:r>
    </w:p>
    <w:tbl>
      <w:tblPr>
        <w:tblStyle w:val="Tabelacomgrade"/>
        <w:tblW w:w="0" w:type="auto"/>
        <w:jc w:val="center"/>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1810"/>
        <w:gridCol w:w="2999"/>
        <w:gridCol w:w="2253"/>
      </w:tblGrid>
      <w:tr w:rsidR="00D87D69" w:rsidRPr="00471F98" w:rsidTr="007A2719">
        <w:trPr>
          <w:jc w:val="center"/>
        </w:trPr>
        <w:tc>
          <w:tcPr>
            <w:tcW w:w="1958" w:type="dxa"/>
            <w:tcBorders>
              <w:top w:val="single" w:sz="4" w:space="0" w:color="auto"/>
              <w:bottom w:val="single" w:sz="4" w:space="0" w:color="auto"/>
            </w:tcBorders>
          </w:tcPr>
          <w:p w:rsidR="00D87D69" w:rsidRPr="00471F98" w:rsidRDefault="00D87D69" w:rsidP="00471F98">
            <w:pPr>
              <w:keepNext/>
              <w:keepLines/>
              <w:jc w:val="center"/>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tcPr>
          <w:p w:rsidR="00D87D69" w:rsidRPr="00471F98" w:rsidRDefault="00D87D69" w:rsidP="00471F98">
            <w:pPr>
              <w:keepNext/>
              <w:keepLines/>
              <w:jc w:val="center"/>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Variable</w:t>
            </w:r>
          </w:p>
        </w:tc>
        <w:tc>
          <w:tcPr>
            <w:tcW w:w="2999" w:type="dxa"/>
            <w:tcBorders>
              <w:top w:val="single" w:sz="4" w:space="0" w:color="auto"/>
              <w:bottom w:val="single" w:sz="4" w:space="0" w:color="auto"/>
            </w:tcBorders>
          </w:tcPr>
          <w:p w:rsidR="00D87D69" w:rsidRPr="00471F98" w:rsidRDefault="00D87D69" w:rsidP="00471F98">
            <w:pPr>
              <w:keepNext/>
              <w:keepLines/>
              <w:jc w:val="center"/>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Description</w:t>
            </w:r>
          </w:p>
        </w:tc>
        <w:tc>
          <w:tcPr>
            <w:tcW w:w="2253" w:type="dxa"/>
            <w:tcBorders>
              <w:top w:val="single" w:sz="4" w:space="0" w:color="auto"/>
              <w:bottom w:val="single" w:sz="4" w:space="0" w:color="auto"/>
            </w:tcBorders>
          </w:tcPr>
          <w:p w:rsidR="00D87D69" w:rsidRPr="00471F98" w:rsidRDefault="00D87D69" w:rsidP="00471F98">
            <w:pPr>
              <w:keepNext/>
              <w:keepLines/>
              <w:jc w:val="center"/>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Source</w:t>
            </w:r>
          </w:p>
        </w:tc>
      </w:tr>
      <w:tr w:rsidR="00D87D69" w:rsidRPr="00471F98" w:rsidTr="00471F98">
        <w:trPr>
          <w:jc w:val="center"/>
        </w:trPr>
        <w:tc>
          <w:tcPr>
            <w:tcW w:w="1958" w:type="dxa"/>
            <w:tcBorders>
              <w:top w:val="single" w:sz="4" w:space="0" w:color="auto"/>
              <w:bottom w:val="single" w:sz="4" w:space="0" w:color="auto"/>
            </w:tcBorders>
            <w:vAlign w:val="center"/>
          </w:tcPr>
          <w:p w:rsidR="00D87D69" w:rsidRPr="00471F98" w:rsidRDefault="00D87D69"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Variable Dependent</w:t>
            </w:r>
          </w:p>
          <w:p w:rsidR="00D87D69" w:rsidRPr="00471F98" w:rsidRDefault="00D87D69" w:rsidP="00471F98">
            <w:pPr>
              <w:keepNext/>
              <w:keepLines/>
              <w:rPr>
                <w:rFonts w:ascii="Times New Roman" w:hAnsi="Times New Roman" w:cs="Times New Roman"/>
                <w:b/>
                <w:color w:val="000000"/>
                <w:sz w:val="20"/>
                <w:szCs w:val="20"/>
                <w:shd w:val="clear" w:color="auto" w:fill="FFFFFF"/>
              </w:rPr>
            </w:pPr>
            <w:r w:rsidRPr="00471F98">
              <w:rPr>
                <w:rFonts w:ascii="Times New Roman" w:hAnsi="Times New Roman" w:cs="Times New Roman"/>
                <w:b/>
                <w:color w:val="000000"/>
                <w:sz w:val="20"/>
                <w:szCs w:val="20"/>
                <w:shd w:val="clear" w:color="auto" w:fill="FFFFFF"/>
              </w:rPr>
              <w:t>Innovation</w:t>
            </w:r>
          </w:p>
        </w:tc>
        <w:tc>
          <w:tcPr>
            <w:tcW w:w="1810" w:type="dxa"/>
            <w:tcBorders>
              <w:top w:val="single" w:sz="4" w:space="0" w:color="auto"/>
              <w:bottom w:val="single" w:sz="4" w:space="0" w:color="auto"/>
            </w:tcBorders>
            <w:vAlign w:val="center"/>
          </w:tcPr>
          <w:p w:rsidR="00D87D69" w:rsidRPr="00471F98" w:rsidRDefault="00D87D69" w:rsidP="00471F98">
            <w:pPr>
              <w:keepNext/>
              <w:keepLines/>
              <w:rPr>
                <w:rFonts w:ascii="Times New Roman" w:hAnsi="Times New Roman" w:cs="Times New Roman"/>
                <w:i/>
                <w:color w:val="000000"/>
                <w:sz w:val="20"/>
                <w:szCs w:val="20"/>
                <w:shd w:val="clear" w:color="auto" w:fill="FFFFFF"/>
              </w:rPr>
            </w:pPr>
            <w:proofErr w:type="spellStart"/>
            <w:r w:rsidRPr="00471F98">
              <w:rPr>
                <w:rFonts w:ascii="Times New Roman" w:hAnsi="Times New Roman" w:cs="Times New Roman"/>
                <w:i/>
                <w:color w:val="000000"/>
                <w:sz w:val="20"/>
                <w:szCs w:val="20"/>
                <w:shd w:val="clear" w:color="auto" w:fill="FFFFFF"/>
              </w:rPr>
              <w:t>Av</w:t>
            </w:r>
            <w:r w:rsidR="00471F98" w:rsidRPr="00471F98">
              <w:rPr>
                <w:rFonts w:ascii="Times New Roman" w:hAnsi="Times New Roman" w:cs="Times New Roman"/>
                <w:i/>
                <w:color w:val="000000"/>
                <w:sz w:val="20"/>
                <w:szCs w:val="20"/>
                <w:shd w:val="clear" w:color="auto" w:fill="FFFFFF"/>
              </w:rPr>
              <w:t>g_</w:t>
            </w:r>
            <w:r w:rsidR="00471F98">
              <w:rPr>
                <w:rFonts w:ascii="Times New Roman" w:hAnsi="Times New Roman" w:cs="Times New Roman"/>
                <w:i/>
                <w:color w:val="000000"/>
                <w:sz w:val="20"/>
                <w:szCs w:val="20"/>
                <w:shd w:val="clear" w:color="auto" w:fill="FFFFFF"/>
              </w:rPr>
              <w:t>Patentpc</w:t>
            </w:r>
            <w:proofErr w:type="spellEnd"/>
          </w:p>
        </w:tc>
        <w:tc>
          <w:tcPr>
            <w:tcW w:w="2999" w:type="dxa"/>
            <w:tcBorders>
              <w:top w:val="single" w:sz="4" w:space="0" w:color="auto"/>
              <w:bottom w:val="single" w:sz="4" w:space="0" w:color="auto"/>
            </w:tcBorders>
            <w:vAlign w:val="center"/>
          </w:tcPr>
          <w:p w:rsidR="00D87D69" w:rsidRPr="00471F98" w:rsidRDefault="00D87D69"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 xml:space="preserve">Patent </w:t>
            </w:r>
            <w:r w:rsidR="00F12A31" w:rsidRPr="00471F98">
              <w:rPr>
                <w:rFonts w:ascii="Times New Roman" w:hAnsi="Times New Roman" w:cs="Times New Roman"/>
                <w:color w:val="000000"/>
                <w:sz w:val="20"/>
                <w:szCs w:val="20"/>
                <w:shd w:val="clear" w:color="auto" w:fill="FFFFFF"/>
              </w:rPr>
              <w:t>inventors</w:t>
            </w:r>
            <w:r w:rsidRPr="00471F98">
              <w:rPr>
                <w:rFonts w:ascii="Times New Roman" w:hAnsi="Times New Roman" w:cs="Times New Roman"/>
                <w:color w:val="000000"/>
                <w:sz w:val="20"/>
                <w:szCs w:val="20"/>
                <w:shd w:val="clear" w:color="auto" w:fill="FFFFFF"/>
              </w:rPr>
              <w:t xml:space="preserve"> per capita averaged across the years of 2009, 2010 and 2011</w:t>
            </w:r>
          </w:p>
        </w:tc>
        <w:tc>
          <w:tcPr>
            <w:tcW w:w="2253" w:type="dxa"/>
            <w:tcBorders>
              <w:top w:val="single" w:sz="4" w:space="0" w:color="auto"/>
              <w:bottom w:val="single" w:sz="4" w:space="0" w:color="auto"/>
            </w:tcBorders>
            <w:vAlign w:val="center"/>
          </w:tcPr>
          <w:p w:rsidR="00D87D69" w:rsidRPr="00471F98" w:rsidRDefault="00D87D69"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Original work, using INPI (2009,2010,2011)  and IBGE (2009,2010,2001)</w:t>
            </w:r>
          </w:p>
        </w:tc>
      </w:tr>
      <w:tr w:rsidR="006C6B77" w:rsidRPr="00471F98" w:rsidTr="00471F98">
        <w:trPr>
          <w:jc w:val="center"/>
        </w:trPr>
        <w:tc>
          <w:tcPr>
            <w:tcW w:w="1958" w:type="dxa"/>
            <w:vMerge w:val="restart"/>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Variables Independent</w:t>
            </w:r>
          </w:p>
          <w:p w:rsidR="006C6B77" w:rsidRPr="00471F98" w:rsidRDefault="006C6B77" w:rsidP="00471F98">
            <w:pPr>
              <w:keepNext/>
              <w:keepLines/>
              <w:rPr>
                <w:rFonts w:ascii="Times New Roman" w:hAnsi="Times New Roman" w:cs="Times New Roman"/>
                <w:b/>
                <w:color w:val="000000"/>
                <w:sz w:val="20"/>
                <w:szCs w:val="20"/>
                <w:shd w:val="clear" w:color="auto" w:fill="FFFFFF"/>
              </w:rPr>
            </w:pPr>
            <w:r w:rsidRPr="00471F98">
              <w:rPr>
                <w:rFonts w:ascii="Times New Roman" w:hAnsi="Times New Roman" w:cs="Times New Roman"/>
                <w:b/>
                <w:color w:val="000000"/>
                <w:sz w:val="20"/>
                <w:szCs w:val="20"/>
                <w:shd w:val="clear" w:color="auto" w:fill="FFFFFF"/>
              </w:rPr>
              <w:t>Regional Characteristic</w:t>
            </w:r>
          </w:p>
        </w:tc>
        <w:tc>
          <w:tcPr>
            <w:tcW w:w="1810"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i/>
                <w:color w:val="000000"/>
                <w:sz w:val="20"/>
                <w:szCs w:val="20"/>
                <w:shd w:val="clear" w:color="auto" w:fill="FFFFFF"/>
              </w:rPr>
            </w:pPr>
            <w:r w:rsidRPr="00471F98">
              <w:rPr>
                <w:rFonts w:ascii="Times New Roman" w:hAnsi="Times New Roman" w:cs="Times New Roman"/>
                <w:i/>
                <w:color w:val="000000"/>
                <w:sz w:val="20"/>
                <w:szCs w:val="20"/>
                <w:shd w:val="clear" w:color="auto" w:fill="FFFFFF"/>
              </w:rPr>
              <w:t>Worker Mobility</w:t>
            </w:r>
          </w:p>
        </w:tc>
        <w:tc>
          <w:tcPr>
            <w:tcW w:w="2999"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Mobility of workers per workers total in selective activities</w:t>
            </w:r>
          </w:p>
        </w:tc>
        <w:tc>
          <w:tcPr>
            <w:tcW w:w="2253"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Original work, using RAIS ID (2008,2007,2006)</w:t>
            </w:r>
          </w:p>
        </w:tc>
      </w:tr>
      <w:tr w:rsidR="00471F98" w:rsidRPr="00471F98" w:rsidTr="00471F98">
        <w:trPr>
          <w:jc w:val="center"/>
        </w:trPr>
        <w:tc>
          <w:tcPr>
            <w:tcW w:w="1958" w:type="dxa"/>
            <w:vMerge/>
            <w:tcBorders>
              <w:bottom w:val="single" w:sz="4" w:space="0" w:color="auto"/>
            </w:tcBorders>
            <w:vAlign w:val="center"/>
          </w:tcPr>
          <w:p w:rsidR="00471F98" w:rsidRPr="00471F98" w:rsidRDefault="00471F98" w:rsidP="00471F98">
            <w:pPr>
              <w:keepNext/>
              <w:keepLines/>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vAlign w:val="center"/>
          </w:tcPr>
          <w:p w:rsidR="00471F98" w:rsidRPr="00471F98" w:rsidRDefault="00471F98" w:rsidP="00471F98">
            <w:pPr>
              <w:keepNext/>
              <w:keepLines/>
              <w:rPr>
                <w:rFonts w:ascii="Times New Roman" w:hAnsi="Times New Roman" w:cs="Times New Roman"/>
                <w:i/>
                <w:color w:val="000000"/>
                <w:sz w:val="20"/>
                <w:szCs w:val="20"/>
                <w:shd w:val="clear" w:color="auto" w:fill="FFFFFF"/>
              </w:rPr>
            </w:pPr>
            <w:proofErr w:type="spellStart"/>
            <w:r w:rsidRPr="00471F98">
              <w:rPr>
                <w:rFonts w:ascii="Times New Roman" w:hAnsi="Times New Roman" w:cs="Times New Roman"/>
                <w:i/>
                <w:color w:val="000000"/>
                <w:sz w:val="20"/>
                <w:szCs w:val="20"/>
                <w:shd w:val="clear" w:color="auto" w:fill="FFFFFF"/>
              </w:rPr>
              <w:t>R&amp;D_local</w:t>
            </w:r>
            <w:proofErr w:type="spellEnd"/>
          </w:p>
        </w:tc>
        <w:tc>
          <w:tcPr>
            <w:tcW w:w="2999" w:type="dxa"/>
            <w:tcBorders>
              <w:top w:val="single" w:sz="4" w:space="0" w:color="auto"/>
              <w:bottom w:val="single" w:sz="4" w:space="0" w:color="auto"/>
            </w:tcBorders>
            <w:vAlign w:val="center"/>
          </w:tcPr>
          <w:p w:rsidR="00471F98" w:rsidRPr="00471F98" w:rsidRDefault="00471F98" w:rsidP="00471F98">
            <w:pPr>
              <w:keepNext/>
              <w:keepLines/>
              <w:rPr>
                <w:rFonts w:ascii="Times New Roman" w:hAnsi="Times New Roman" w:cs="Times New Roman"/>
                <w:sz w:val="20"/>
                <w:szCs w:val="20"/>
                <w:shd w:val="clear" w:color="auto" w:fill="FFFFFF"/>
              </w:rPr>
            </w:pPr>
            <w:r w:rsidRPr="00471F98">
              <w:rPr>
                <w:rFonts w:ascii="Times New Roman" w:hAnsi="Times New Roman" w:cs="Times New Roman"/>
                <w:sz w:val="20"/>
                <w:szCs w:val="20"/>
                <w:shd w:val="clear" w:color="auto" w:fill="FFFFFF"/>
              </w:rPr>
              <w:t>Workers in R&amp;D activities (directors and managers) per total of workers</w:t>
            </w:r>
          </w:p>
        </w:tc>
        <w:tc>
          <w:tcPr>
            <w:tcW w:w="2253" w:type="dxa"/>
            <w:tcBorders>
              <w:top w:val="single" w:sz="4" w:space="0" w:color="auto"/>
              <w:bottom w:val="single" w:sz="4" w:space="0" w:color="auto"/>
            </w:tcBorders>
            <w:vAlign w:val="center"/>
          </w:tcPr>
          <w:p w:rsidR="00471F98" w:rsidRPr="00471F98" w:rsidRDefault="00471F98"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RAIS ID (2008)</w:t>
            </w:r>
          </w:p>
        </w:tc>
      </w:tr>
      <w:tr w:rsidR="00471F98" w:rsidRPr="00471F98" w:rsidTr="00471F98">
        <w:trPr>
          <w:jc w:val="center"/>
        </w:trPr>
        <w:tc>
          <w:tcPr>
            <w:tcW w:w="1958" w:type="dxa"/>
            <w:vMerge/>
            <w:tcBorders>
              <w:bottom w:val="single" w:sz="4" w:space="0" w:color="auto"/>
            </w:tcBorders>
            <w:vAlign w:val="center"/>
          </w:tcPr>
          <w:p w:rsidR="00471F98" w:rsidRPr="00471F98" w:rsidRDefault="00471F98" w:rsidP="00471F98">
            <w:pPr>
              <w:keepNext/>
              <w:keepLines/>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vAlign w:val="center"/>
          </w:tcPr>
          <w:p w:rsidR="00471F98" w:rsidRPr="00471F98" w:rsidRDefault="00471F98" w:rsidP="00471F98">
            <w:pPr>
              <w:keepNext/>
              <w:keepLines/>
              <w:rPr>
                <w:rFonts w:ascii="Times New Roman" w:hAnsi="Times New Roman" w:cs="Times New Roman"/>
                <w:i/>
                <w:color w:val="000000"/>
                <w:sz w:val="20"/>
                <w:szCs w:val="20"/>
                <w:shd w:val="clear" w:color="auto" w:fill="FFFFFF"/>
              </w:rPr>
            </w:pPr>
            <w:proofErr w:type="spellStart"/>
            <w:r w:rsidRPr="00471F98">
              <w:rPr>
                <w:rFonts w:ascii="Times New Roman" w:hAnsi="Times New Roman" w:cs="Times New Roman"/>
                <w:i/>
                <w:color w:val="000000"/>
                <w:sz w:val="20"/>
                <w:szCs w:val="20"/>
                <w:shd w:val="clear" w:color="auto" w:fill="FFFFFF"/>
              </w:rPr>
              <w:t>R&amp;D_univ</w:t>
            </w:r>
            <w:proofErr w:type="spellEnd"/>
          </w:p>
        </w:tc>
        <w:tc>
          <w:tcPr>
            <w:tcW w:w="2999" w:type="dxa"/>
            <w:tcBorders>
              <w:top w:val="single" w:sz="4" w:space="0" w:color="auto"/>
              <w:bottom w:val="single" w:sz="4" w:space="0" w:color="auto"/>
            </w:tcBorders>
            <w:vAlign w:val="center"/>
          </w:tcPr>
          <w:p w:rsidR="00471F98" w:rsidRPr="00471F98" w:rsidRDefault="00471F98"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Number of active, full-time PhD professors per 10,000 inhabitants</w:t>
            </w:r>
          </w:p>
        </w:tc>
        <w:tc>
          <w:tcPr>
            <w:tcW w:w="2253" w:type="dxa"/>
            <w:tcBorders>
              <w:top w:val="single" w:sz="4" w:space="0" w:color="auto"/>
              <w:bottom w:val="single" w:sz="4" w:space="0" w:color="auto"/>
            </w:tcBorders>
            <w:vAlign w:val="center"/>
          </w:tcPr>
          <w:p w:rsidR="00471F98" w:rsidRPr="00471F98" w:rsidRDefault="00471F98"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INEP (2009) and IBGE (2008)</w:t>
            </w:r>
          </w:p>
        </w:tc>
      </w:tr>
      <w:tr w:rsidR="006C6B77" w:rsidRPr="00471F98" w:rsidTr="00471F98">
        <w:trPr>
          <w:jc w:val="center"/>
        </w:trPr>
        <w:tc>
          <w:tcPr>
            <w:tcW w:w="1958" w:type="dxa"/>
            <w:vMerge/>
            <w:tcBorders>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i/>
                <w:color w:val="000000"/>
                <w:sz w:val="20"/>
                <w:szCs w:val="20"/>
                <w:shd w:val="clear" w:color="auto" w:fill="FFFFFF"/>
              </w:rPr>
            </w:pPr>
            <w:r w:rsidRPr="00471F98">
              <w:rPr>
                <w:rFonts w:ascii="Times New Roman" w:hAnsi="Times New Roman" w:cs="Times New Roman"/>
                <w:i/>
                <w:color w:val="000000"/>
                <w:sz w:val="20"/>
                <w:szCs w:val="20"/>
                <w:shd w:val="clear" w:color="auto" w:fill="FFFFFF"/>
              </w:rPr>
              <w:t>K-index</w:t>
            </w:r>
          </w:p>
        </w:tc>
        <w:tc>
          <w:tcPr>
            <w:tcW w:w="2999"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proofErr w:type="spellStart"/>
            <w:r w:rsidRPr="00471F98">
              <w:rPr>
                <w:rFonts w:ascii="Times New Roman" w:hAnsi="Times New Roman" w:cs="Times New Roman"/>
                <w:color w:val="000000"/>
                <w:sz w:val="20"/>
                <w:szCs w:val="20"/>
                <w:shd w:val="clear" w:color="auto" w:fill="FFFFFF"/>
              </w:rPr>
              <w:t>Krugman’s</w:t>
            </w:r>
            <w:proofErr w:type="spellEnd"/>
            <w:r w:rsidRPr="00471F98">
              <w:rPr>
                <w:rFonts w:ascii="Times New Roman" w:hAnsi="Times New Roman" w:cs="Times New Roman"/>
                <w:color w:val="000000"/>
                <w:sz w:val="20"/>
                <w:szCs w:val="20"/>
                <w:shd w:val="clear" w:color="auto" w:fill="FFFFFF"/>
              </w:rPr>
              <w:t xml:space="preserve"> specialization index for the micro-region</w:t>
            </w:r>
          </w:p>
        </w:tc>
        <w:tc>
          <w:tcPr>
            <w:tcW w:w="2253"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RAIS (2008)</w:t>
            </w:r>
          </w:p>
        </w:tc>
      </w:tr>
      <w:tr w:rsidR="006C6B77" w:rsidRPr="00471F98" w:rsidTr="00471F98">
        <w:trPr>
          <w:jc w:val="center"/>
        </w:trPr>
        <w:tc>
          <w:tcPr>
            <w:tcW w:w="1958" w:type="dxa"/>
            <w:vMerge/>
            <w:tcBorders>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i/>
                <w:color w:val="000000"/>
                <w:sz w:val="20"/>
                <w:szCs w:val="20"/>
                <w:shd w:val="clear" w:color="auto" w:fill="FFFFFF"/>
              </w:rPr>
            </w:pPr>
            <w:r w:rsidRPr="00471F98">
              <w:rPr>
                <w:rFonts w:ascii="Times New Roman" w:hAnsi="Times New Roman" w:cs="Times New Roman"/>
                <w:i/>
                <w:color w:val="000000"/>
                <w:sz w:val="20"/>
                <w:szCs w:val="20"/>
                <w:shd w:val="clear" w:color="auto" w:fill="FFFFFF"/>
              </w:rPr>
              <w:t>SSE</w:t>
            </w:r>
          </w:p>
        </w:tc>
        <w:tc>
          <w:tcPr>
            <w:tcW w:w="2999"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Dummy for South and Southeast Region</w:t>
            </w:r>
          </w:p>
        </w:tc>
        <w:tc>
          <w:tcPr>
            <w:tcW w:w="2253"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IBGE (2007)</w:t>
            </w:r>
          </w:p>
        </w:tc>
      </w:tr>
      <w:tr w:rsidR="006C6B77" w:rsidRPr="00471F98" w:rsidTr="00471F98">
        <w:trPr>
          <w:jc w:val="center"/>
        </w:trPr>
        <w:tc>
          <w:tcPr>
            <w:tcW w:w="1958" w:type="dxa"/>
            <w:vMerge/>
            <w:tcBorders>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i/>
                <w:color w:val="000000"/>
                <w:sz w:val="20"/>
                <w:szCs w:val="20"/>
                <w:shd w:val="clear" w:color="auto" w:fill="FFFFFF"/>
              </w:rPr>
            </w:pPr>
            <w:r w:rsidRPr="00471F98">
              <w:rPr>
                <w:rFonts w:ascii="Times New Roman" w:hAnsi="Times New Roman" w:cs="Times New Roman"/>
                <w:i/>
                <w:color w:val="000000"/>
                <w:sz w:val="20"/>
                <w:szCs w:val="20"/>
                <w:shd w:val="clear" w:color="auto" w:fill="FFFFFF"/>
              </w:rPr>
              <w:t>Metro</w:t>
            </w:r>
          </w:p>
        </w:tc>
        <w:tc>
          <w:tcPr>
            <w:tcW w:w="2999"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Dummy for Metropolitan Areas</w:t>
            </w:r>
          </w:p>
        </w:tc>
        <w:tc>
          <w:tcPr>
            <w:tcW w:w="2253"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IBGE (2010)</w:t>
            </w:r>
          </w:p>
        </w:tc>
      </w:tr>
      <w:tr w:rsidR="006C6B77" w:rsidRPr="00471F98" w:rsidTr="00471F98">
        <w:trPr>
          <w:jc w:val="center"/>
        </w:trPr>
        <w:tc>
          <w:tcPr>
            <w:tcW w:w="1958" w:type="dxa"/>
            <w:vMerge/>
            <w:tcBorders>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i/>
                <w:color w:val="000000"/>
                <w:sz w:val="20"/>
                <w:szCs w:val="20"/>
                <w:shd w:val="clear" w:color="auto" w:fill="FFFFFF"/>
              </w:rPr>
            </w:pPr>
            <w:r w:rsidRPr="00471F98">
              <w:rPr>
                <w:rFonts w:ascii="Times New Roman" w:hAnsi="Times New Roman" w:cs="Times New Roman"/>
                <w:i/>
                <w:color w:val="000000"/>
                <w:sz w:val="20"/>
                <w:szCs w:val="20"/>
                <w:shd w:val="clear" w:color="auto" w:fill="FFFFFF"/>
              </w:rPr>
              <w:t xml:space="preserve">Share </w:t>
            </w:r>
            <w:proofErr w:type="spellStart"/>
            <w:r w:rsidRPr="00471F98">
              <w:rPr>
                <w:rFonts w:ascii="Times New Roman" w:hAnsi="Times New Roman" w:cs="Times New Roman"/>
                <w:i/>
                <w:color w:val="000000"/>
                <w:sz w:val="20"/>
                <w:szCs w:val="20"/>
                <w:shd w:val="clear" w:color="auto" w:fill="FFFFFF"/>
              </w:rPr>
              <w:t>Manuf</w:t>
            </w:r>
            <w:proofErr w:type="spellEnd"/>
          </w:p>
        </w:tc>
        <w:tc>
          <w:tcPr>
            <w:tcW w:w="2999"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Share of Manufacturing firms</w:t>
            </w:r>
          </w:p>
        </w:tc>
        <w:tc>
          <w:tcPr>
            <w:tcW w:w="2253"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RAIS (2008)</w:t>
            </w:r>
          </w:p>
        </w:tc>
      </w:tr>
      <w:tr w:rsidR="006C6B77" w:rsidRPr="00471F98" w:rsidTr="00471F98">
        <w:trPr>
          <w:jc w:val="center"/>
        </w:trPr>
        <w:tc>
          <w:tcPr>
            <w:tcW w:w="1958" w:type="dxa"/>
            <w:vMerge/>
            <w:tcBorders>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i/>
                <w:color w:val="000000"/>
                <w:sz w:val="20"/>
                <w:szCs w:val="20"/>
                <w:shd w:val="clear" w:color="auto" w:fill="FFFFFF"/>
              </w:rPr>
            </w:pPr>
            <w:r w:rsidRPr="00471F98">
              <w:rPr>
                <w:rFonts w:ascii="Times New Roman" w:hAnsi="Times New Roman" w:cs="Times New Roman"/>
                <w:i/>
                <w:color w:val="000000"/>
                <w:sz w:val="20"/>
                <w:szCs w:val="20"/>
                <w:shd w:val="clear" w:color="auto" w:fill="FFFFFF"/>
              </w:rPr>
              <w:t xml:space="preserve">Share </w:t>
            </w:r>
            <w:proofErr w:type="spellStart"/>
            <w:r w:rsidRPr="00471F98">
              <w:rPr>
                <w:rFonts w:ascii="Times New Roman" w:hAnsi="Times New Roman" w:cs="Times New Roman"/>
                <w:i/>
                <w:color w:val="000000"/>
                <w:sz w:val="20"/>
                <w:szCs w:val="20"/>
                <w:shd w:val="clear" w:color="auto" w:fill="FFFFFF"/>
              </w:rPr>
              <w:t>Agri</w:t>
            </w:r>
            <w:proofErr w:type="spellEnd"/>
          </w:p>
        </w:tc>
        <w:tc>
          <w:tcPr>
            <w:tcW w:w="2999"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Share of Agriculture firms</w:t>
            </w:r>
          </w:p>
        </w:tc>
        <w:tc>
          <w:tcPr>
            <w:tcW w:w="2253"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RAIS (2008)</w:t>
            </w:r>
          </w:p>
        </w:tc>
      </w:tr>
      <w:tr w:rsidR="006C6B77" w:rsidRPr="00471F98" w:rsidTr="00471F98">
        <w:trPr>
          <w:jc w:val="center"/>
        </w:trPr>
        <w:tc>
          <w:tcPr>
            <w:tcW w:w="1958" w:type="dxa"/>
            <w:vMerge/>
            <w:tcBorders>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p>
        </w:tc>
        <w:tc>
          <w:tcPr>
            <w:tcW w:w="1810"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i/>
                <w:color w:val="000000"/>
                <w:sz w:val="20"/>
                <w:szCs w:val="20"/>
                <w:shd w:val="clear" w:color="auto" w:fill="FFFFFF"/>
              </w:rPr>
            </w:pPr>
            <w:r w:rsidRPr="00471F98">
              <w:rPr>
                <w:rFonts w:ascii="Times New Roman" w:hAnsi="Times New Roman" w:cs="Times New Roman"/>
                <w:i/>
                <w:color w:val="000000"/>
                <w:sz w:val="20"/>
                <w:szCs w:val="20"/>
                <w:shd w:val="clear" w:color="auto" w:fill="FFFFFF"/>
              </w:rPr>
              <w:t xml:space="preserve">Share </w:t>
            </w:r>
            <w:proofErr w:type="spellStart"/>
            <w:r w:rsidRPr="00471F98">
              <w:rPr>
                <w:rFonts w:ascii="Times New Roman" w:hAnsi="Times New Roman" w:cs="Times New Roman"/>
                <w:i/>
                <w:color w:val="000000"/>
                <w:sz w:val="20"/>
                <w:szCs w:val="20"/>
                <w:shd w:val="clear" w:color="auto" w:fill="FFFFFF"/>
              </w:rPr>
              <w:t>Extrat</w:t>
            </w:r>
            <w:proofErr w:type="spellEnd"/>
          </w:p>
        </w:tc>
        <w:tc>
          <w:tcPr>
            <w:tcW w:w="2999"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Share of Extractive firms</w:t>
            </w:r>
          </w:p>
        </w:tc>
        <w:tc>
          <w:tcPr>
            <w:tcW w:w="2253" w:type="dxa"/>
            <w:tcBorders>
              <w:top w:val="single" w:sz="4" w:space="0" w:color="auto"/>
              <w:bottom w:val="single" w:sz="4" w:space="0" w:color="auto"/>
            </w:tcBorders>
            <w:vAlign w:val="center"/>
          </w:tcPr>
          <w:p w:rsidR="006C6B77" w:rsidRPr="00471F98" w:rsidRDefault="006C6B77" w:rsidP="00471F98">
            <w:pPr>
              <w:keepNext/>
              <w:keepLines/>
              <w:rPr>
                <w:rFonts w:ascii="Times New Roman" w:hAnsi="Times New Roman" w:cs="Times New Roman"/>
                <w:color w:val="000000"/>
                <w:sz w:val="20"/>
                <w:szCs w:val="20"/>
                <w:shd w:val="clear" w:color="auto" w:fill="FFFFFF"/>
              </w:rPr>
            </w:pPr>
            <w:r w:rsidRPr="00471F98">
              <w:rPr>
                <w:rFonts w:ascii="Times New Roman" w:hAnsi="Times New Roman" w:cs="Times New Roman"/>
                <w:color w:val="000000"/>
                <w:sz w:val="20"/>
                <w:szCs w:val="20"/>
                <w:shd w:val="clear" w:color="auto" w:fill="FFFFFF"/>
              </w:rPr>
              <w:t>RAIS (2008)</w:t>
            </w:r>
          </w:p>
        </w:tc>
      </w:tr>
    </w:tbl>
    <w:p w:rsidR="00D87D69" w:rsidRPr="00E548CF" w:rsidRDefault="00D87D69" w:rsidP="00E548CF">
      <w:pPr>
        <w:keepNext/>
        <w:keepLines/>
        <w:ind w:firstLine="709"/>
        <w:jc w:val="center"/>
        <w:rPr>
          <w:b/>
          <w:color w:val="000000"/>
          <w:sz w:val="20"/>
          <w:szCs w:val="20"/>
          <w:shd w:val="clear" w:color="auto" w:fill="FFFFFF"/>
        </w:rPr>
      </w:pPr>
      <w:r w:rsidRPr="00E548CF">
        <w:rPr>
          <w:b/>
          <w:color w:val="000000"/>
          <w:sz w:val="20"/>
          <w:szCs w:val="20"/>
          <w:shd w:val="clear" w:color="auto" w:fill="FFFFFF"/>
        </w:rPr>
        <w:t>Source: Original Work</w:t>
      </w:r>
    </w:p>
    <w:p w:rsidR="00FE6A13" w:rsidRDefault="00FE6A13" w:rsidP="0053274B">
      <w:pPr>
        <w:pStyle w:val="Ttulo1"/>
        <w:spacing w:before="0" w:line="240" w:lineRule="auto"/>
        <w:rPr>
          <w:shd w:val="clear" w:color="auto" w:fill="FFFFFF"/>
        </w:rPr>
      </w:pPr>
    </w:p>
    <w:p w:rsidR="0053274B" w:rsidRPr="005E3915" w:rsidRDefault="0053274B" w:rsidP="005E3915">
      <w:pPr>
        <w:spacing w:line="360" w:lineRule="auto"/>
        <w:ind w:firstLine="708"/>
        <w:contextualSpacing/>
        <w:jc w:val="both"/>
        <w:rPr>
          <w:b/>
          <w:color w:val="000000"/>
          <w:shd w:val="clear" w:color="auto" w:fill="FFFFFF"/>
        </w:rPr>
      </w:pPr>
      <w:r w:rsidRPr="005E3915">
        <w:rPr>
          <w:b/>
          <w:color w:val="000000"/>
          <w:shd w:val="clear" w:color="auto" w:fill="FFFFFF"/>
        </w:rPr>
        <w:t>Results:</w:t>
      </w:r>
    </w:p>
    <w:p w:rsidR="0053274B" w:rsidRPr="00376162"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t xml:space="preserve">Table 4 represents the result of the </w:t>
      </w:r>
      <w:proofErr w:type="spellStart"/>
      <w:r w:rsidRPr="00376162">
        <w:rPr>
          <w:color w:val="000000"/>
          <w:shd w:val="clear" w:color="auto" w:fill="FFFFFF"/>
        </w:rPr>
        <w:t>Tobit</w:t>
      </w:r>
      <w:proofErr w:type="spellEnd"/>
      <w:r w:rsidRPr="00376162">
        <w:rPr>
          <w:color w:val="000000"/>
          <w:shd w:val="clear" w:color="auto" w:fill="FFFFFF"/>
        </w:rPr>
        <w:t xml:space="preserve"> Regression. Model 1 through Model 12 report</w:t>
      </w:r>
      <w:r>
        <w:rPr>
          <w:color w:val="000000"/>
          <w:shd w:val="clear" w:color="auto" w:fill="FFFFFF"/>
        </w:rPr>
        <w:t>s</w:t>
      </w:r>
      <w:r w:rsidRPr="00376162">
        <w:rPr>
          <w:color w:val="000000"/>
          <w:shd w:val="clear" w:color="auto" w:fill="FFFFFF"/>
        </w:rPr>
        <w:t xml:space="preserve"> the estimation</w:t>
      </w:r>
      <w:r>
        <w:rPr>
          <w:color w:val="000000"/>
          <w:shd w:val="clear" w:color="auto" w:fill="FFFFFF"/>
        </w:rPr>
        <w:t>s</w:t>
      </w:r>
      <w:r w:rsidRPr="00376162">
        <w:rPr>
          <w:color w:val="000000"/>
          <w:shd w:val="clear" w:color="auto" w:fill="FFFFFF"/>
        </w:rPr>
        <w:t xml:space="preserve"> that relate innovation with the regional characteristics, which can influence regional innovation results. Each model presents the estimation with one measure of mobility</w:t>
      </w:r>
      <w:r>
        <w:rPr>
          <w:color w:val="000000"/>
          <w:shd w:val="clear" w:color="auto" w:fill="FFFFFF"/>
        </w:rPr>
        <w:t xml:space="preserve"> of workers</w:t>
      </w:r>
      <w:r w:rsidRPr="00376162">
        <w:rPr>
          <w:color w:val="000000"/>
          <w:shd w:val="clear" w:color="auto" w:fill="FFFFFF"/>
        </w:rPr>
        <w:t xml:space="preserve"> in order to avoid </w:t>
      </w:r>
      <w:proofErr w:type="spellStart"/>
      <w:r w:rsidRPr="00376162">
        <w:rPr>
          <w:color w:val="000000"/>
          <w:shd w:val="clear" w:color="auto" w:fill="FFFFFF"/>
        </w:rPr>
        <w:t>collinearity</w:t>
      </w:r>
      <w:proofErr w:type="spellEnd"/>
      <w:r w:rsidRPr="00376162">
        <w:rPr>
          <w:color w:val="000000"/>
          <w:shd w:val="clear" w:color="auto" w:fill="FFFFFF"/>
        </w:rPr>
        <w:t xml:space="preserve"> problems</w:t>
      </w:r>
      <w:r>
        <w:rPr>
          <w:color w:val="000000"/>
          <w:shd w:val="clear" w:color="auto" w:fill="FFFFFF"/>
        </w:rPr>
        <w:t>.</w:t>
      </w:r>
    </w:p>
    <w:p w:rsidR="0053274B" w:rsidRDefault="0053274B" w:rsidP="0053274B">
      <w:pPr>
        <w:ind w:firstLine="709"/>
        <w:jc w:val="both"/>
        <w:rPr>
          <w:color w:val="000000"/>
          <w:shd w:val="clear" w:color="auto" w:fill="FFFFFF"/>
        </w:rPr>
      </w:pPr>
    </w:p>
    <w:p w:rsidR="001F6BA9" w:rsidRPr="00E548CF" w:rsidRDefault="002059D4" w:rsidP="005B1740">
      <w:pPr>
        <w:pStyle w:val="Legenda"/>
        <w:keepNext/>
        <w:keepLines/>
        <w:spacing w:before="0" w:after="0"/>
        <w:jc w:val="center"/>
        <w:rPr>
          <w:b/>
          <w:i w:val="0"/>
          <w:sz w:val="20"/>
          <w:szCs w:val="20"/>
        </w:rPr>
      </w:pPr>
      <w:bookmarkStart w:id="2" w:name="_Toc535965939"/>
      <w:r w:rsidRPr="00E548CF">
        <w:rPr>
          <w:b/>
          <w:i w:val="0"/>
          <w:sz w:val="20"/>
          <w:szCs w:val="20"/>
        </w:rPr>
        <w:lastRenderedPageBreak/>
        <w:t xml:space="preserve">Table </w:t>
      </w:r>
      <w:r w:rsidR="00E548CF" w:rsidRPr="00E548CF">
        <w:rPr>
          <w:b/>
          <w:i w:val="0"/>
          <w:sz w:val="20"/>
          <w:szCs w:val="20"/>
        </w:rPr>
        <w:t>4</w:t>
      </w:r>
      <w:r w:rsidRPr="00E548CF">
        <w:rPr>
          <w:b/>
          <w:i w:val="0"/>
          <w:sz w:val="20"/>
          <w:szCs w:val="20"/>
        </w:rPr>
        <w:t xml:space="preserve">: </w:t>
      </w:r>
      <w:r w:rsidR="00860658" w:rsidRPr="00E548CF">
        <w:rPr>
          <w:b/>
          <w:i w:val="0"/>
          <w:sz w:val="20"/>
          <w:szCs w:val="20"/>
        </w:rPr>
        <w:t>Results</w:t>
      </w:r>
      <w:r w:rsidRPr="00E548CF">
        <w:rPr>
          <w:b/>
          <w:i w:val="0"/>
          <w:sz w:val="20"/>
          <w:szCs w:val="20"/>
        </w:rPr>
        <w:t xml:space="preserve"> of</w:t>
      </w:r>
      <w:r w:rsidR="00860658" w:rsidRPr="00E548CF">
        <w:rPr>
          <w:b/>
          <w:i w:val="0"/>
          <w:sz w:val="20"/>
          <w:szCs w:val="20"/>
        </w:rPr>
        <w:t xml:space="preserve"> </w:t>
      </w:r>
      <w:proofErr w:type="spellStart"/>
      <w:r w:rsidR="00860658" w:rsidRPr="00E548CF">
        <w:rPr>
          <w:b/>
          <w:i w:val="0"/>
          <w:sz w:val="20"/>
          <w:szCs w:val="20"/>
        </w:rPr>
        <w:t>Tobit</w:t>
      </w:r>
      <w:proofErr w:type="spellEnd"/>
      <w:r w:rsidR="00860658" w:rsidRPr="00E548CF">
        <w:rPr>
          <w:b/>
          <w:i w:val="0"/>
          <w:sz w:val="20"/>
          <w:szCs w:val="20"/>
        </w:rPr>
        <w:t xml:space="preserve"> Regression</w:t>
      </w:r>
      <w:bookmarkEnd w:id="2"/>
    </w:p>
    <w:tbl>
      <w:tblPr>
        <w:tblW w:w="0" w:type="auto"/>
        <w:jc w:val="center"/>
        <w:tblLook w:val="04A0" w:firstRow="1" w:lastRow="0" w:firstColumn="1" w:lastColumn="0" w:noHBand="0" w:noVBand="1"/>
      </w:tblPr>
      <w:tblGrid>
        <w:gridCol w:w="1757"/>
        <w:gridCol w:w="870"/>
        <w:gridCol w:w="870"/>
        <w:gridCol w:w="870"/>
        <w:gridCol w:w="870"/>
        <w:gridCol w:w="870"/>
        <w:gridCol w:w="870"/>
      </w:tblGrid>
      <w:tr w:rsidR="001F6BA9" w:rsidRPr="00B70548" w:rsidTr="002059D4">
        <w:trPr>
          <w:trHeight w:val="113"/>
          <w:jc w:val="center"/>
        </w:trPr>
        <w:tc>
          <w:tcPr>
            <w:tcW w:w="1757" w:type="dxa"/>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rPr>
                <w:sz w:val="16"/>
                <w:szCs w:val="16"/>
                <w:lang w:eastAsia="en-US"/>
              </w:rPr>
            </w:pPr>
            <w:r>
              <w:rPr>
                <w:sz w:val="16"/>
                <w:szCs w:val="16"/>
                <w:lang w:eastAsia="en-US"/>
              </w:rPr>
              <w:t>Variables</w:t>
            </w:r>
            <w:r w:rsidR="001F6BA9" w:rsidRPr="00B70548">
              <w:rPr>
                <w:sz w:val="16"/>
                <w:szCs w:val="16"/>
                <w:lang w:eastAsia="en-US"/>
              </w:rPr>
              <w:t xml:space="preserve"> (n=558)</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1F6BA9" w:rsidP="005B1740">
            <w:pPr>
              <w:keepNext/>
              <w:keepLines/>
              <w:jc w:val="center"/>
              <w:rPr>
                <w:sz w:val="16"/>
                <w:szCs w:val="16"/>
                <w:lang w:eastAsia="en-US"/>
              </w:rPr>
            </w:pPr>
            <w:r w:rsidRPr="00B70548">
              <w:rPr>
                <w:sz w:val="16"/>
                <w:szCs w:val="16"/>
                <w:lang w:eastAsia="en-US"/>
              </w:rPr>
              <w:t xml:space="preserve">Model </w:t>
            </w:r>
            <w:r w:rsidR="00E327CE">
              <w:rPr>
                <w:sz w:val="16"/>
                <w:szCs w:val="16"/>
                <w:lang w:eastAsia="en-US"/>
              </w:rPr>
              <w:t>1</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sidRPr="00B70548">
              <w:rPr>
                <w:sz w:val="16"/>
                <w:szCs w:val="16"/>
                <w:lang w:eastAsia="en-US"/>
              </w:rPr>
              <w:t xml:space="preserve">Model </w:t>
            </w:r>
            <w:r>
              <w:rPr>
                <w:sz w:val="16"/>
                <w:szCs w:val="16"/>
                <w:lang w:eastAsia="en-US"/>
              </w:rPr>
              <w:t>2</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sidRPr="00B70548">
              <w:rPr>
                <w:sz w:val="16"/>
                <w:szCs w:val="16"/>
                <w:lang w:eastAsia="en-US"/>
              </w:rPr>
              <w:t xml:space="preserve">Model </w:t>
            </w:r>
            <w:r>
              <w:rPr>
                <w:sz w:val="16"/>
                <w:szCs w:val="16"/>
                <w:lang w:eastAsia="en-US"/>
              </w:rPr>
              <w:t>3</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sidRPr="00B70548">
              <w:rPr>
                <w:sz w:val="16"/>
                <w:szCs w:val="16"/>
                <w:lang w:eastAsia="en-US"/>
              </w:rPr>
              <w:t xml:space="preserve">Model </w:t>
            </w:r>
            <w:r>
              <w:rPr>
                <w:sz w:val="16"/>
                <w:szCs w:val="16"/>
                <w:lang w:eastAsia="en-US"/>
              </w:rPr>
              <w:t>4</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sidRPr="00B70548">
              <w:rPr>
                <w:sz w:val="16"/>
                <w:szCs w:val="16"/>
                <w:lang w:eastAsia="en-US"/>
              </w:rPr>
              <w:t xml:space="preserve">Model </w:t>
            </w:r>
            <w:r w:rsidR="001F6BA9" w:rsidRPr="00B70548">
              <w:rPr>
                <w:sz w:val="16"/>
                <w:szCs w:val="16"/>
                <w:lang w:eastAsia="en-US"/>
              </w:rPr>
              <w:t>5</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sidRPr="00B70548">
              <w:rPr>
                <w:sz w:val="16"/>
                <w:szCs w:val="16"/>
                <w:lang w:eastAsia="en-US"/>
              </w:rPr>
              <w:t xml:space="preserve">Model </w:t>
            </w:r>
            <w:r>
              <w:rPr>
                <w:sz w:val="16"/>
                <w:szCs w:val="16"/>
                <w:lang w:eastAsia="en-US"/>
              </w:rPr>
              <w:t>6</w:t>
            </w:r>
          </w:p>
        </w:tc>
      </w:tr>
      <w:tr w:rsidR="001F6BA9" w:rsidRPr="00960226" w:rsidTr="002059D4">
        <w:trPr>
          <w:trHeight w:val="113"/>
          <w:jc w:val="center"/>
        </w:trPr>
        <w:tc>
          <w:tcPr>
            <w:tcW w:w="1757" w:type="dxa"/>
            <w:tcBorders>
              <w:top w:val="single" w:sz="4" w:space="0" w:color="auto"/>
              <w:left w:val="nil"/>
              <w:bottom w:val="nil"/>
              <w:right w:val="nil"/>
            </w:tcBorders>
            <w:shd w:val="clear" w:color="auto" w:fill="auto"/>
            <w:noWrap/>
            <w:vAlign w:val="bottom"/>
            <w:hideMark/>
          </w:tcPr>
          <w:p w:rsidR="001F6BA9" w:rsidRPr="00CB4408" w:rsidRDefault="001F6BA9" w:rsidP="005B1740">
            <w:pPr>
              <w:keepNext/>
              <w:keepLines/>
              <w:rPr>
                <w:sz w:val="16"/>
                <w:szCs w:val="16"/>
                <w:lang w:eastAsia="en-US"/>
              </w:rPr>
            </w:pPr>
            <w:proofErr w:type="spellStart"/>
            <w:r>
              <w:rPr>
                <w:sz w:val="16"/>
                <w:szCs w:val="16"/>
                <w:lang w:eastAsia="en-US"/>
              </w:rPr>
              <w:t>ln</w:t>
            </w:r>
            <w:proofErr w:type="spellEnd"/>
            <w:r>
              <w:rPr>
                <w:sz w:val="16"/>
                <w:szCs w:val="16"/>
                <w:lang w:eastAsia="en-US"/>
              </w:rPr>
              <w:t>(</w:t>
            </w:r>
            <w:r w:rsidR="00860658">
              <w:rPr>
                <w:sz w:val="16"/>
                <w:szCs w:val="16"/>
                <w:lang w:eastAsia="en-US"/>
              </w:rPr>
              <w:t>R</w:t>
            </w:r>
            <w:r w:rsidRPr="00CB4408">
              <w:rPr>
                <w:sz w:val="16"/>
                <w:szCs w:val="16"/>
                <w:lang w:eastAsia="en-US"/>
              </w:rPr>
              <w:t>&amp;DLocal</w:t>
            </w:r>
            <w:r w:rsidRPr="00CB4408">
              <w:rPr>
                <w:sz w:val="16"/>
                <w:szCs w:val="16"/>
                <w:vertAlign w:val="subscript"/>
                <w:lang w:eastAsia="en-US"/>
              </w:rPr>
              <w:t>2008</w:t>
            </w:r>
            <w:r>
              <w:rPr>
                <w:sz w:val="16"/>
                <w:szCs w:val="16"/>
                <w:lang w:eastAsia="en-US"/>
              </w:rPr>
              <w:t>)</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0.150***</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0.130***</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0.136***</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0.147***</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0.136***</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0.142***</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(0.0229)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(0.0238)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(0.0231)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(0.0234)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(0.0236)</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roofErr w:type="spellStart"/>
            <w:r>
              <w:rPr>
                <w:sz w:val="16"/>
                <w:szCs w:val="16"/>
                <w:lang w:eastAsia="en-US"/>
              </w:rPr>
              <w:t>l</w:t>
            </w:r>
            <w:r w:rsidRPr="001C7033">
              <w:rPr>
                <w:sz w:val="16"/>
                <w:szCs w:val="16"/>
                <w:lang w:eastAsia="en-US"/>
              </w:rPr>
              <w:t>n</w:t>
            </w:r>
            <w:proofErr w:type="spellEnd"/>
            <w:r>
              <w:rPr>
                <w:sz w:val="16"/>
                <w:szCs w:val="16"/>
                <w:lang w:eastAsia="en-US"/>
              </w:rPr>
              <w:t>(</w:t>
            </w:r>
            <w:r w:rsidR="00860658">
              <w:rPr>
                <w:sz w:val="16"/>
                <w:szCs w:val="16"/>
                <w:lang w:eastAsia="en-US"/>
              </w:rPr>
              <w:t>R</w:t>
            </w:r>
            <w:r>
              <w:rPr>
                <w:sz w:val="16"/>
                <w:szCs w:val="16"/>
                <w:lang w:eastAsia="en-US"/>
              </w:rPr>
              <w:t>&amp;</w:t>
            </w:r>
            <w:r w:rsidRPr="001C7033">
              <w:rPr>
                <w:sz w:val="16"/>
                <w:szCs w:val="16"/>
                <w:lang w:eastAsia="en-US"/>
              </w:rPr>
              <w:t>D</w:t>
            </w:r>
            <w:r>
              <w:rPr>
                <w:sz w:val="16"/>
                <w:szCs w:val="16"/>
                <w:lang w:eastAsia="en-US"/>
              </w:rPr>
              <w:t>Univ</w:t>
            </w:r>
            <w:r w:rsidRPr="00CB4408">
              <w:rPr>
                <w:sz w:val="16"/>
                <w:szCs w:val="16"/>
                <w:vertAlign w:val="subscript"/>
                <w:lang w:eastAsia="en-US"/>
              </w:rPr>
              <w:t>2008</w:t>
            </w:r>
            <w:r>
              <w:rPr>
                <w:sz w:val="16"/>
                <w:szCs w:val="16"/>
                <w:lang w:eastAsia="en-US"/>
              </w:rPr>
              <w:t>)</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0.129***</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(0.0189)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(0.0189)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(0.0189)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(0.0190)</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r w:rsidRPr="001C7033">
              <w:rPr>
                <w:sz w:val="16"/>
                <w:szCs w:val="16"/>
                <w:lang w:eastAsia="en-US"/>
              </w:rPr>
              <w:t>Kindex</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-0.474***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-0.486***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-0.519***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-0.477***</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-0.479***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-0.489***</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(0.122)</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r w:rsidRPr="001C7033">
              <w:rPr>
                <w:sz w:val="16"/>
                <w:szCs w:val="16"/>
                <w:lang w:eastAsia="en-US"/>
              </w:rPr>
              <w:t>Metro</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0.0846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0.0568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0.0824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0.0542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0.0695</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(0.0675)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(0.0665)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(0.0666)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(0.0675)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(0.0671)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(0.0667)</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r w:rsidRPr="001C7033">
              <w:rPr>
                <w:sz w:val="16"/>
                <w:szCs w:val="16"/>
                <w:lang w:eastAsia="en-US"/>
              </w:rPr>
              <w:t>SSE</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0.598***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0.597***</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0.600***</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(0.0577)</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(0.0574)</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r w:rsidRPr="001C7033">
              <w:rPr>
                <w:sz w:val="16"/>
                <w:szCs w:val="16"/>
                <w:lang w:eastAsia="en-US"/>
              </w:rPr>
              <w:t>ShareManuf</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1.049***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1.070***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1.085***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1.022***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1.081***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1.053***</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(0.204)</w:t>
            </w:r>
          </w:p>
        </w:tc>
      </w:tr>
      <w:tr w:rsidR="001F6BA9" w:rsidRPr="005A3774"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5A3774" w:rsidRDefault="001F6BA9" w:rsidP="005B1740">
            <w:pPr>
              <w:keepNext/>
              <w:keepLines/>
              <w:rPr>
                <w:sz w:val="16"/>
                <w:szCs w:val="16"/>
                <w:lang w:eastAsia="en-US"/>
              </w:rPr>
            </w:pPr>
            <w:r w:rsidRPr="005A3774">
              <w:rPr>
                <w:sz w:val="16"/>
                <w:szCs w:val="16"/>
                <w:lang w:eastAsia="en-US"/>
              </w:rPr>
              <w:t>ShareAgri</w:t>
            </w:r>
            <w:r w:rsidRPr="005A3774">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-0.262</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-0.318</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-0.274</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-0.303</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-0.293</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-0.323</w:t>
            </w:r>
          </w:p>
        </w:tc>
      </w:tr>
      <w:tr w:rsidR="001F6BA9" w:rsidRPr="005A3774"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5A3774"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(0.312)</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(0.293)</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(0.295)</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(0.303)</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(0.295)</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(0.296)</w:t>
            </w:r>
          </w:p>
        </w:tc>
      </w:tr>
      <w:tr w:rsidR="001F6BA9" w:rsidRPr="005A3774"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5A3774" w:rsidRDefault="001F6BA9" w:rsidP="005B1740">
            <w:pPr>
              <w:keepNext/>
              <w:keepLines/>
              <w:rPr>
                <w:sz w:val="16"/>
                <w:szCs w:val="16"/>
                <w:lang w:eastAsia="en-US"/>
              </w:rPr>
            </w:pPr>
            <w:r w:rsidRPr="005A3774">
              <w:rPr>
                <w:sz w:val="16"/>
                <w:szCs w:val="16"/>
                <w:lang w:eastAsia="en-US"/>
              </w:rPr>
              <w:t>ShareExtrat</w:t>
            </w:r>
            <w:r w:rsidRPr="005A3774">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0.0250</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-1.433</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-1.506</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-0.238</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-0.636</w:t>
            </w:r>
          </w:p>
        </w:tc>
        <w:tc>
          <w:tcPr>
            <w:tcW w:w="0" w:type="auto"/>
            <w:tcBorders>
              <w:top w:val="nil"/>
              <w:left w:val="nil"/>
              <w:bottom w:val="nil"/>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-0.668</w:t>
            </w:r>
          </w:p>
        </w:tc>
      </w:tr>
      <w:tr w:rsidR="001F6BA9" w:rsidRPr="00960226" w:rsidTr="002059D4">
        <w:trPr>
          <w:trHeight w:val="113"/>
          <w:jc w:val="center"/>
        </w:trPr>
        <w:tc>
          <w:tcPr>
            <w:tcW w:w="1757" w:type="dxa"/>
            <w:tcBorders>
              <w:top w:val="nil"/>
              <w:left w:val="nil"/>
              <w:bottom w:val="single" w:sz="4" w:space="0" w:color="000000"/>
              <w:right w:val="nil"/>
            </w:tcBorders>
            <w:shd w:val="clear" w:color="auto" w:fill="auto"/>
            <w:noWrap/>
            <w:vAlign w:val="bottom"/>
            <w:hideMark/>
          </w:tcPr>
          <w:p w:rsidR="001F6BA9" w:rsidRPr="005A3774" w:rsidRDefault="001F6BA9" w:rsidP="005B1740">
            <w:pPr>
              <w:keepNext/>
              <w:keepLines/>
              <w:rPr>
                <w:sz w:val="16"/>
                <w:szCs w:val="16"/>
                <w:lang w:eastAsia="en-US"/>
              </w:rPr>
            </w:pPr>
            <w:r w:rsidRPr="005A3774">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(1.055)</w:t>
            </w:r>
          </w:p>
        </w:tc>
        <w:tc>
          <w:tcPr>
            <w:tcW w:w="0" w:type="auto"/>
            <w:tcBorders>
              <w:top w:val="nil"/>
              <w:left w:val="nil"/>
              <w:bottom w:val="single" w:sz="4" w:space="0" w:color="000000"/>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(1.122)</w:t>
            </w:r>
          </w:p>
        </w:tc>
        <w:tc>
          <w:tcPr>
            <w:tcW w:w="0" w:type="auto"/>
            <w:tcBorders>
              <w:top w:val="nil"/>
              <w:left w:val="nil"/>
              <w:bottom w:val="single" w:sz="4" w:space="0" w:color="000000"/>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(1.135)</w:t>
            </w:r>
          </w:p>
        </w:tc>
        <w:tc>
          <w:tcPr>
            <w:tcW w:w="0" w:type="auto"/>
            <w:tcBorders>
              <w:top w:val="nil"/>
              <w:left w:val="nil"/>
              <w:bottom w:val="single" w:sz="4" w:space="0" w:color="000000"/>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(1.008)</w:t>
            </w:r>
          </w:p>
        </w:tc>
        <w:tc>
          <w:tcPr>
            <w:tcW w:w="0" w:type="auto"/>
            <w:tcBorders>
              <w:top w:val="nil"/>
              <w:left w:val="nil"/>
              <w:bottom w:val="single" w:sz="4" w:space="0" w:color="000000"/>
              <w:right w:val="nil"/>
            </w:tcBorders>
            <w:shd w:val="clear" w:color="auto" w:fill="auto"/>
            <w:noWrap/>
            <w:vAlign w:val="bottom"/>
            <w:hideMark/>
          </w:tcPr>
          <w:p w:rsidR="001F6BA9" w:rsidRPr="005A3774" w:rsidRDefault="001F6BA9" w:rsidP="005B1740">
            <w:pPr>
              <w:keepNext/>
              <w:keepLines/>
              <w:jc w:val="center"/>
              <w:rPr>
                <w:sz w:val="16"/>
                <w:szCs w:val="16"/>
                <w:lang w:eastAsia="en-US"/>
              </w:rPr>
            </w:pPr>
            <w:r w:rsidRPr="005A3774">
              <w:rPr>
                <w:sz w:val="16"/>
                <w:szCs w:val="16"/>
                <w:lang w:eastAsia="en-US"/>
              </w:rPr>
              <w:t>(1.020)</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5A3774">
              <w:rPr>
                <w:sz w:val="16"/>
                <w:szCs w:val="16"/>
                <w:lang w:eastAsia="en-US"/>
              </w:rPr>
              <w:t>(1.109)</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CB7B0A" w:rsidP="006F0593">
            <w:pPr>
              <w:keepNext/>
              <w:keepLines/>
              <w:rPr>
                <w:sz w:val="16"/>
                <w:szCs w:val="16"/>
                <w:lang w:eastAsia="en-US"/>
              </w:rPr>
            </w:pPr>
            <w:proofErr w:type="spellStart"/>
            <w:r>
              <w:rPr>
                <w:sz w:val="16"/>
                <w:szCs w:val="16"/>
                <w:lang w:eastAsia="en-US"/>
              </w:rPr>
              <w:t>Inflow</w:t>
            </w:r>
            <w:r w:rsidR="001F6BA9" w:rsidRPr="00CB4408">
              <w:rPr>
                <w:sz w:val="16"/>
                <w:szCs w:val="16"/>
                <w:lang w:eastAsia="en-US"/>
              </w:rPr>
              <w:t>_</w:t>
            </w:r>
            <w:r w:rsidR="001F6BA9">
              <w:rPr>
                <w:sz w:val="16"/>
                <w:szCs w:val="16"/>
                <w:lang w:eastAsia="en-US"/>
              </w:rPr>
              <w:t>TO</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-0.328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(0.372)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CB7B0A" w:rsidP="006F0593">
            <w:pPr>
              <w:keepNext/>
              <w:keepLines/>
              <w:rPr>
                <w:sz w:val="16"/>
                <w:szCs w:val="16"/>
                <w:lang w:eastAsia="en-US"/>
              </w:rPr>
            </w:pPr>
            <w:proofErr w:type="spellStart"/>
            <w:r>
              <w:rPr>
                <w:sz w:val="16"/>
                <w:szCs w:val="16"/>
                <w:lang w:eastAsia="en-US"/>
              </w:rPr>
              <w:t>Inflow</w:t>
            </w:r>
            <w:r w:rsidR="001F6BA9">
              <w:rPr>
                <w:sz w:val="16"/>
                <w:szCs w:val="16"/>
                <w:lang w:eastAsia="en-US"/>
              </w:rPr>
              <w:t>_</w:t>
            </w:r>
            <w:r w:rsidR="002059D4">
              <w:rPr>
                <w:sz w:val="16"/>
                <w:szCs w:val="16"/>
                <w:lang w:eastAsia="en-US"/>
              </w:rPr>
              <w:t>HE</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7.415**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(3.085)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CB7B0A" w:rsidP="006F0593">
            <w:pPr>
              <w:keepNext/>
              <w:keepLines/>
              <w:rPr>
                <w:sz w:val="16"/>
                <w:szCs w:val="16"/>
                <w:lang w:eastAsia="en-US"/>
              </w:rPr>
            </w:pPr>
            <w:proofErr w:type="spellStart"/>
            <w:r>
              <w:rPr>
                <w:sz w:val="16"/>
                <w:szCs w:val="16"/>
                <w:lang w:eastAsia="en-US"/>
              </w:rPr>
              <w:t>Inflow</w:t>
            </w:r>
            <w:r w:rsidR="001F6BA9" w:rsidRPr="00CB4408">
              <w:rPr>
                <w:sz w:val="16"/>
                <w:szCs w:val="16"/>
                <w:lang w:eastAsia="en-US"/>
              </w:rPr>
              <w:t>_TC</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17.31**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single" w:sz="4" w:space="0" w:color="000000"/>
              <w:right w:val="nil"/>
            </w:tcBorders>
            <w:shd w:val="clear" w:color="auto" w:fill="auto"/>
            <w:noWrap/>
            <w:vAlign w:val="bottom"/>
            <w:hideMark/>
          </w:tcPr>
          <w:p w:rsidR="001F6BA9" w:rsidRPr="001C7033" w:rsidRDefault="001F6BA9" w:rsidP="005B1740">
            <w:pPr>
              <w:keepNext/>
              <w:keepLines/>
              <w:rPr>
                <w:sz w:val="16"/>
                <w:szCs w:val="16"/>
                <w:lang w:eastAsia="en-US"/>
              </w:rPr>
            </w:pPr>
            <w:r w:rsidRPr="001C7033">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(6.882)</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CB7B0A" w:rsidP="006F0593">
            <w:pPr>
              <w:keepNext/>
              <w:keepLines/>
              <w:rPr>
                <w:sz w:val="16"/>
                <w:szCs w:val="16"/>
                <w:lang w:eastAsia="en-US"/>
              </w:rPr>
            </w:pPr>
            <w:proofErr w:type="spellStart"/>
            <w:r>
              <w:rPr>
                <w:sz w:val="16"/>
                <w:szCs w:val="16"/>
                <w:lang w:eastAsia="en-US"/>
              </w:rPr>
              <w:t>Outflow</w:t>
            </w:r>
            <w:r w:rsidR="001F6BA9" w:rsidRPr="00CB4408">
              <w:rPr>
                <w:sz w:val="16"/>
                <w:szCs w:val="16"/>
                <w:lang w:eastAsia="en-US"/>
              </w:rPr>
              <w:t>_</w:t>
            </w:r>
            <w:r w:rsidR="001F6BA9">
              <w:rPr>
                <w:sz w:val="16"/>
                <w:szCs w:val="16"/>
                <w:lang w:eastAsia="en-US"/>
              </w:rPr>
              <w:t>TO</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-0.198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(0.296)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CB7B0A" w:rsidP="006F0593">
            <w:pPr>
              <w:keepNext/>
              <w:keepLines/>
              <w:rPr>
                <w:sz w:val="16"/>
                <w:szCs w:val="16"/>
                <w:lang w:eastAsia="en-US"/>
              </w:rPr>
            </w:pPr>
            <w:proofErr w:type="spellStart"/>
            <w:r>
              <w:rPr>
                <w:sz w:val="16"/>
                <w:szCs w:val="16"/>
                <w:lang w:eastAsia="en-US"/>
              </w:rPr>
              <w:t>Outflow</w:t>
            </w:r>
            <w:r w:rsidR="001F6BA9" w:rsidRPr="00CB4408">
              <w:rPr>
                <w:sz w:val="16"/>
                <w:szCs w:val="16"/>
                <w:lang w:eastAsia="en-US"/>
              </w:rPr>
              <w:t>_ES</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6.143**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(2.999)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1C7033" w:rsidRDefault="00CB7B0A" w:rsidP="006F0593">
            <w:pPr>
              <w:keepNext/>
              <w:keepLines/>
              <w:rPr>
                <w:sz w:val="16"/>
                <w:szCs w:val="16"/>
                <w:lang w:eastAsia="en-US"/>
              </w:rPr>
            </w:pPr>
            <w:proofErr w:type="spellStart"/>
            <w:r>
              <w:rPr>
                <w:sz w:val="16"/>
                <w:szCs w:val="16"/>
                <w:lang w:eastAsia="en-US"/>
              </w:rPr>
              <w:t>Outflow</w:t>
            </w:r>
            <w:r w:rsidR="001F6BA9" w:rsidRPr="00CB4408">
              <w:rPr>
                <w:sz w:val="16"/>
                <w:szCs w:val="16"/>
                <w:lang w:eastAsia="en-US"/>
              </w:rPr>
              <w:t>_TC</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10.54</w:t>
            </w:r>
          </w:p>
        </w:tc>
      </w:tr>
      <w:tr w:rsidR="001F6BA9" w:rsidRPr="00960226" w:rsidTr="002059D4">
        <w:trPr>
          <w:trHeight w:val="113"/>
          <w:jc w:val="center"/>
        </w:trPr>
        <w:tc>
          <w:tcPr>
            <w:tcW w:w="1757" w:type="dxa"/>
            <w:tcBorders>
              <w:top w:val="nil"/>
              <w:left w:val="nil"/>
              <w:bottom w:val="single" w:sz="4" w:space="0" w:color="000000"/>
              <w:right w:val="nil"/>
            </w:tcBorders>
            <w:shd w:val="clear" w:color="auto" w:fill="auto"/>
            <w:noWrap/>
            <w:vAlign w:val="bottom"/>
            <w:hideMark/>
          </w:tcPr>
          <w:p w:rsidR="001F6BA9" w:rsidRPr="001C7033" w:rsidRDefault="001F6BA9" w:rsidP="005B1740">
            <w:pPr>
              <w:keepNext/>
              <w:keepLines/>
              <w:rPr>
                <w:sz w:val="16"/>
                <w:szCs w:val="16"/>
                <w:lang w:eastAsia="en-US"/>
              </w:rPr>
            </w:pP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(11.57)</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960226" w:rsidRDefault="00E327CE" w:rsidP="005B1740">
            <w:pPr>
              <w:keepNext/>
              <w:keepLines/>
              <w:rPr>
                <w:sz w:val="16"/>
                <w:szCs w:val="16"/>
                <w:lang w:eastAsia="en-US"/>
              </w:rPr>
            </w:pPr>
            <w:r>
              <w:rPr>
                <w:sz w:val="16"/>
                <w:szCs w:val="16"/>
                <w:lang w:eastAsia="en-US"/>
              </w:rPr>
              <w:t>Constant</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0.105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0.0825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0.130</w:t>
            </w:r>
          </w:p>
        </w:tc>
      </w:tr>
      <w:tr w:rsidR="001F6BA9" w:rsidRPr="00960226" w:rsidTr="002059D4">
        <w:trPr>
          <w:trHeight w:val="113"/>
          <w:jc w:val="center"/>
        </w:trPr>
        <w:tc>
          <w:tcPr>
            <w:tcW w:w="1757" w:type="dxa"/>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(0.160)</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(0.156)</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(0.156)</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(0.162)</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(0.158)</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(0.157)</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hideMark/>
          </w:tcPr>
          <w:p w:rsidR="001F6BA9" w:rsidRPr="00960226" w:rsidRDefault="001F6BA9" w:rsidP="005B1740">
            <w:pPr>
              <w:keepNext/>
              <w:keepLines/>
              <w:rPr>
                <w:sz w:val="16"/>
                <w:szCs w:val="16"/>
                <w:lang w:eastAsia="en-US"/>
              </w:rPr>
            </w:pPr>
            <w:r w:rsidRPr="00960226">
              <w:rPr>
                <w:sz w:val="16"/>
                <w:szCs w:val="16"/>
                <w:lang w:eastAsia="en-US"/>
              </w:rPr>
              <w:t>Sigma</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0.507***</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0.509***</w:t>
            </w:r>
          </w:p>
        </w:tc>
      </w:tr>
      <w:tr w:rsidR="001F6BA9" w:rsidRPr="00960226" w:rsidTr="002059D4">
        <w:trPr>
          <w:trHeight w:val="113"/>
          <w:jc w:val="center"/>
        </w:trPr>
        <w:tc>
          <w:tcPr>
            <w:tcW w:w="1757" w:type="dxa"/>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rPr>
                <w:sz w:val="16"/>
                <w:szCs w:val="16"/>
                <w:lang w:eastAsia="en-US"/>
              </w:rPr>
            </w:pPr>
            <w:r w:rsidRPr="00960226">
              <w:rPr>
                <w:sz w:val="16"/>
                <w:szCs w:val="16"/>
                <w:lang w:eastAsia="en-US"/>
              </w:rPr>
              <w:t> </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(0.0196)</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(0.0194)</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(0.0194)</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(0.0196)</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(0.0195)</w:t>
            </w:r>
          </w:p>
        </w:tc>
        <w:tc>
          <w:tcPr>
            <w:tcW w:w="0" w:type="auto"/>
            <w:tcBorders>
              <w:top w:val="nil"/>
              <w:left w:val="nil"/>
              <w:bottom w:val="single" w:sz="4" w:space="0" w:color="000000"/>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(0.0195)</w:t>
            </w:r>
          </w:p>
        </w:tc>
      </w:tr>
      <w:tr w:rsidR="001F6BA9" w:rsidRPr="00960226" w:rsidTr="002059D4">
        <w:trPr>
          <w:trHeight w:val="113"/>
          <w:jc w:val="center"/>
        </w:trPr>
        <w:tc>
          <w:tcPr>
            <w:tcW w:w="1757" w:type="dxa"/>
            <w:tcBorders>
              <w:top w:val="nil"/>
              <w:left w:val="nil"/>
              <w:right w:val="nil"/>
            </w:tcBorders>
            <w:shd w:val="clear" w:color="auto" w:fill="auto"/>
            <w:noWrap/>
            <w:vAlign w:val="bottom"/>
            <w:hideMark/>
          </w:tcPr>
          <w:p w:rsidR="001F6BA9" w:rsidRPr="00960226" w:rsidRDefault="001F6BA9" w:rsidP="005B1740">
            <w:pPr>
              <w:keepNext/>
              <w:keepLines/>
              <w:rPr>
                <w:sz w:val="16"/>
                <w:szCs w:val="16"/>
                <w:lang w:eastAsia="en-US"/>
              </w:rPr>
            </w:pPr>
            <w:r>
              <w:rPr>
                <w:sz w:val="16"/>
                <w:szCs w:val="16"/>
                <w:lang w:eastAsia="en-US"/>
              </w:rPr>
              <w:t>Pseudo R2</w:t>
            </w:r>
          </w:p>
        </w:tc>
        <w:tc>
          <w:tcPr>
            <w:tcW w:w="0" w:type="auto"/>
            <w:tcBorders>
              <w:top w:val="nil"/>
              <w:left w:val="nil"/>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0.448</w:t>
            </w:r>
          </w:p>
        </w:tc>
        <w:tc>
          <w:tcPr>
            <w:tcW w:w="0" w:type="auto"/>
            <w:tcBorders>
              <w:top w:val="nil"/>
              <w:left w:val="nil"/>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0.452</w:t>
            </w:r>
          </w:p>
        </w:tc>
        <w:tc>
          <w:tcPr>
            <w:tcW w:w="0" w:type="auto"/>
            <w:tcBorders>
              <w:top w:val="nil"/>
              <w:left w:val="nil"/>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0.452</w:t>
            </w:r>
          </w:p>
        </w:tc>
        <w:tc>
          <w:tcPr>
            <w:tcW w:w="0" w:type="auto"/>
            <w:tcBorders>
              <w:top w:val="nil"/>
              <w:left w:val="nil"/>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0.448</w:t>
            </w:r>
          </w:p>
        </w:tc>
        <w:tc>
          <w:tcPr>
            <w:tcW w:w="0" w:type="auto"/>
            <w:tcBorders>
              <w:top w:val="nil"/>
              <w:left w:val="nil"/>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0.451</w:t>
            </w:r>
          </w:p>
        </w:tc>
        <w:tc>
          <w:tcPr>
            <w:tcW w:w="0" w:type="auto"/>
            <w:tcBorders>
              <w:top w:val="nil"/>
              <w:left w:val="nil"/>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0.448</w:t>
            </w:r>
          </w:p>
        </w:tc>
      </w:tr>
      <w:tr w:rsidR="001F6BA9" w:rsidRPr="00B70548" w:rsidTr="002059D4">
        <w:trPr>
          <w:trHeight w:val="113"/>
          <w:jc w:val="center"/>
        </w:trPr>
        <w:tc>
          <w:tcPr>
            <w:tcW w:w="1757" w:type="dxa"/>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rPr>
                <w:sz w:val="16"/>
                <w:szCs w:val="16"/>
                <w:lang w:eastAsia="en-US"/>
              </w:rPr>
            </w:pPr>
            <w:r>
              <w:rPr>
                <w:sz w:val="16"/>
                <w:szCs w:val="16"/>
                <w:lang w:eastAsia="en-US"/>
              </w:rPr>
              <w:t>Variables</w:t>
            </w:r>
            <w:r w:rsidR="001F6BA9" w:rsidRPr="00B70548">
              <w:rPr>
                <w:sz w:val="16"/>
                <w:szCs w:val="16"/>
                <w:lang w:eastAsia="en-US"/>
              </w:rPr>
              <w:t xml:space="preserve"> (n=558)</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Pr>
                <w:sz w:val="16"/>
                <w:szCs w:val="16"/>
                <w:lang w:eastAsia="en-US"/>
              </w:rPr>
              <w:t>Model 7</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Pr>
                <w:sz w:val="16"/>
                <w:szCs w:val="16"/>
                <w:lang w:eastAsia="en-US"/>
              </w:rPr>
              <w:t>Model 8</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Pr>
                <w:sz w:val="16"/>
                <w:szCs w:val="16"/>
                <w:lang w:eastAsia="en-US"/>
              </w:rPr>
              <w:t>Model 9</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Pr>
                <w:sz w:val="16"/>
                <w:szCs w:val="16"/>
                <w:lang w:eastAsia="en-US"/>
              </w:rPr>
              <w:t>Model 10</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Pr>
                <w:sz w:val="16"/>
                <w:szCs w:val="16"/>
                <w:lang w:eastAsia="en-US"/>
              </w:rPr>
              <w:t>Model 11</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B70548" w:rsidRDefault="00E327CE" w:rsidP="005B1740">
            <w:pPr>
              <w:keepNext/>
              <w:keepLines/>
              <w:jc w:val="center"/>
              <w:rPr>
                <w:sz w:val="16"/>
                <w:szCs w:val="16"/>
                <w:lang w:eastAsia="en-US"/>
              </w:rPr>
            </w:pPr>
            <w:r>
              <w:rPr>
                <w:sz w:val="16"/>
                <w:szCs w:val="16"/>
                <w:lang w:eastAsia="en-US"/>
              </w:rPr>
              <w:t>Model 12</w:t>
            </w:r>
          </w:p>
        </w:tc>
      </w:tr>
      <w:tr w:rsidR="001F6BA9" w:rsidRPr="00960226" w:rsidTr="002059D4">
        <w:trPr>
          <w:trHeight w:val="113"/>
          <w:jc w:val="center"/>
        </w:trPr>
        <w:tc>
          <w:tcPr>
            <w:tcW w:w="1757" w:type="dxa"/>
            <w:tcBorders>
              <w:top w:val="single" w:sz="4" w:space="0" w:color="auto"/>
              <w:left w:val="nil"/>
              <w:bottom w:val="nil"/>
              <w:right w:val="nil"/>
            </w:tcBorders>
            <w:shd w:val="clear" w:color="auto" w:fill="auto"/>
            <w:noWrap/>
            <w:vAlign w:val="bottom"/>
          </w:tcPr>
          <w:p w:rsidR="001F6BA9" w:rsidRPr="00CB4408" w:rsidRDefault="001F6BA9" w:rsidP="005B1740">
            <w:pPr>
              <w:keepNext/>
              <w:keepLines/>
              <w:rPr>
                <w:sz w:val="16"/>
                <w:szCs w:val="16"/>
                <w:lang w:eastAsia="en-US"/>
              </w:rPr>
            </w:pPr>
            <w:proofErr w:type="spellStart"/>
            <w:r>
              <w:rPr>
                <w:sz w:val="16"/>
                <w:szCs w:val="16"/>
                <w:lang w:eastAsia="en-US"/>
              </w:rPr>
              <w:t>ln</w:t>
            </w:r>
            <w:proofErr w:type="spellEnd"/>
            <w:r>
              <w:rPr>
                <w:sz w:val="16"/>
                <w:szCs w:val="16"/>
                <w:lang w:eastAsia="en-US"/>
              </w:rPr>
              <w:t>(</w:t>
            </w:r>
            <w:r w:rsidR="002059D4">
              <w:rPr>
                <w:sz w:val="16"/>
                <w:szCs w:val="16"/>
                <w:lang w:eastAsia="en-US"/>
              </w:rPr>
              <w:t>R</w:t>
            </w:r>
            <w:r w:rsidRPr="00CB4408">
              <w:rPr>
                <w:sz w:val="16"/>
                <w:szCs w:val="16"/>
                <w:lang w:eastAsia="en-US"/>
              </w:rPr>
              <w:t>&amp;DLocal</w:t>
            </w:r>
            <w:r w:rsidRPr="00CB4408">
              <w:rPr>
                <w:sz w:val="16"/>
                <w:szCs w:val="16"/>
                <w:vertAlign w:val="subscript"/>
                <w:lang w:eastAsia="en-US"/>
              </w:rPr>
              <w:t>2008</w:t>
            </w:r>
            <w:r>
              <w:rPr>
                <w:sz w:val="16"/>
                <w:szCs w:val="16"/>
                <w:lang w:eastAsia="en-US"/>
              </w:rPr>
              <w:t>)</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0.148***</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0.147***</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0.146***</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0.148***</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0.128***</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0.135***</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(0.0229)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(0.0227)</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(0.0238)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(0.0234)</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roofErr w:type="spellStart"/>
            <w:r>
              <w:rPr>
                <w:sz w:val="16"/>
                <w:szCs w:val="16"/>
                <w:lang w:eastAsia="en-US"/>
              </w:rPr>
              <w:t>l</w:t>
            </w:r>
            <w:r w:rsidRPr="001C7033">
              <w:rPr>
                <w:sz w:val="16"/>
                <w:szCs w:val="16"/>
                <w:lang w:eastAsia="en-US"/>
              </w:rPr>
              <w:t>n</w:t>
            </w:r>
            <w:proofErr w:type="spellEnd"/>
            <w:r>
              <w:rPr>
                <w:sz w:val="16"/>
                <w:szCs w:val="16"/>
                <w:lang w:eastAsia="en-US"/>
              </w:rPr>
              <w:t>(</w:t>
            </w:r>
            <w:r w:rsidR="002059D4">
              <w:rPr>
                <w:sz w:val="16"/>
                <w:szCs w:val="16"/>
                <w:lang w:eastAsia="en-US"/>
              </w:rPr>
              <w:t>R</w:t>
            </w:r>
            <w:r>
              <w:rPr>
                <w:sz w:val="16"/>
                <w:szCs w:val="16"/>
                <w:lang w:eastAsia="en-US"/>
              </w:rPr>
              <w:t>&amp;</w:t>
            </w:r>
            <w:r w:rsidRPr="001C7033">
              <w:rPr>
                <w:sz w:val="16"/>
                <w:szCs w:val="16"/>
                <w:lang w:eastAsia="en-US"/>
              </w:rPr>
              <w:t>D</w:t>
            </w:r>
            <w:r>
              <w:rPr>
                <w:sz w:val="16"/>
                <w:szCs w:val="16"/>
                <w:lang w:eastAsia="en-US"/>
              </w:rPr>
              <w:t>Univ</w:t>
            </w:r>
            <w:r w:rsidRPr="00CB4408">
              <w:rPr>
                <w:sz w:val="16"/>
                <w:szCs w:val="16"/>
                <w:vertAlign w:val="subscript"/>
                <w:lang w:eastAsia="en-US"/>
              </w:rPr>
              <w:t>2008</w:t>
            </w:r>
            <w:r>
              <w:rPr>
                <w:sz w:val="16"/>
                <w:szCs w:val="16"/>
                <w:lang w:eastAsia="en-US"/>
              </w:rPr>
              <w:t>)</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0.128***</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(0.0189)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(0.0188)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(0.0189)</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r w:rsidRPr="001C7033">
              <w:rPr>
                <w:sz w:val="16"/>
                <w:szCs w:val="16"/>
                <w:lang w:eastAsia="en-US"/>
              </w:rPr>
              <w:t>Kindex</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-0.484***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-0.484***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-0.472***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-0.481***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-0.511***</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(0.123)</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r w:rsidRPr="001C7033">
              <w:rPr>
                <w:sz w:val="16"/>
                <w:szCs w:val="16"/>
                <w:lang w:eastAsia="en-US"/>
              </w:rPr>
              <w:t>Metro</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0.0752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0.0757</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0.0653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0.0869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0.0488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0.0582</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(0.0666)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(0.0666)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(0.0666)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(0.0679)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(0.0669)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(0.0667)</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r w:rsidRPr="001C7033">
              <w:rPr>
                <w:sz w:val="16"/>
                <w:szCs w:val="16"/>
                <w:lang w:eastAsia="en-US"/>
              </w:rPr>
              <w:t>SSE</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0.610***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0.602***</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(0.0572)</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r w:rsidRPr="001C7033">
              <w:rPr>
                <w:sz w:val="16"/>
                <w:szCs w:val="16"/>
                <w:lang w:eastAsia="en-US"/>
              </w:rPr>
              <w:t>ShareManuf</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1.037***</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1.035***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1.061***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1.031***</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1.090***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1.082***</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(0.203)</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r w:rsidRPr="001C7033">
              <w:rPr>
                <w:sz w:val="16"/>
                <w:szCs w:val="16"/>
                <w:lang w:eastAsia="en-US"/>
              </w:rPr>
              <w:t>Share</w:t>
            </w:r>
            <w:r>
              <w:rPr>
                <w:sz w:val="16"/>
                <w:szCs w:val="16"/>
                <w:lang w:eastAsia="en-US"/>
              </w:rPr>
              <w:t>Agri</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-0.347</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-0.350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-0.316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-0.260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-0.290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-0.277</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(0.295)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(0.296)</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(0.295)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(0.312)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(0.293)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(0.296)</w:t>
            </w: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r w:rsidRPr="001C7033">
              <w:rPr>
                <w:sz w:val="16"/>
                <w:szCs w:val="16"/>
                <w:lang w:eastAsia="en-US"/>
              </w:rPr>
              <w:t>Share</w:t>
            </w:r>
            <w:r>
              <w:rPr>
                <w:sz w:val="16"/>
                <w:szCs w:val="16"/>
                <w:lang w:eastAsia="en-US"/>
              </w:rPr>
              <w:t>Extrat</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-0.243</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-0.289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-0.790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-0.0870</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-1.255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-1.449</w:t>
            </w:r>
          </w:p>
        </w:tc>
      </w:tr>
      <w:tr w:rsidR="001F6BA9" w:rsidRPr="00960226" w:rsidTr="002059D4">
        <w:trPr>
          <w:trHeight w:val="113"/>
          <w:jc w:val="center"/>
        </w:trPr>
        <w:tc>
          <w:tcPr>
            <w:tcW w:w="1757" w:type="dxa"/>
            <w:tcBorders>
              <w:top w:val="nil"/>
              <w:left w:val="nil"/>
              <w:bottom w:val="single" w:sz="4" w:space="0" w:color="auto"/>
              <w:right w:val="nil"/>
            </w:tcBorders>
            <w:shd w:val="clear" w:color="auto" w:fill="auto"/>
            <w:noWrap/>
            <w:vAlign w:val="bottom"/>
          </w:tcPr>
          <w:p w:rsidR="001F6BA9" w:rsidRPr="00960226" w:rsidRDefault="001F6BA9" w:rsidP="005B1740">
            <w:pPr>
              <w:keepNext/>
              <w:keepLines/>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(1.031)</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(1.046)</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(1.037)</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(1.024)</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(1.077)</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(1.159)</w:t>
            </w:r>
          </w:p>
        </w:tc>
      </w:tr>
      <w:tr w:rsidR="001F6BA9" w:rsidRPr="00960226" w:rsidTr="002059D4">
        <w:trPr>
          <w:trHeight w:val="113"/>
          <w:jc w:val="center"/>
        </w:trPr>
        <w:tc>
          <w:tcPr>
            <w:tcW w:w="1757" w:type="dxa"/>
            <w:tcBorders>
              <w:top w:val="single" w:sz="4" w:space="0" w:color="auto"/>
              <w:left w:val="nil"/>
              <w:bottom w:val="nil"/>
              <w:right w:val="nil"/>
            </w:tcBorders>
            <w:shd w:val="clear" w:color="auto" w:fill="auto"/>
            <w:noWrap/>
            <w:vAlign w:val="bottom"/>
          </w:tcPr>
          <w:p w:rsidR="001F6BA9" w:rsidRPr="001C7033" w:rsidRDefault="002059D4" w:rsidP="005B1740">
            <w:pPr>
              <w:keepNext/>
              <w:keepLines/>
              <w:rPr>
                <w:sz w:val="16"/>
                <w:szCs w:val="16"/>
                <w:lang w:eastAsia="en-US"/>
              </w:rPr>
            </w:pPr>
            <w:proofErr w:type="spellStart"/>
            <w:r>
              <w:rPr>
                <w:sz w:val="16"/>
                <w:szCs w:val="16"/>
                <w:lang w:eastAsia="en-US"/>
              </w:rPr>
              <w:t>Net</w:t>
            </w:r>
            <w:r w:rsidR="001F6BA9" w:rsidRPr="00CB4408">
              <w:rPr>
                <w:sz w:val="16"/>
                <w:szCs w:val="16"/>
                <w:lang w:eastAsia="en-US"/>
              </w:rPr>
              <w:t>_</w:t>
            </w:r>
            <w:r w:rsidR="001F6BA9">
              <w:rPr>
                <w:sz w:val="16"/>
                <w:szCs w:val="16"/>
                <w:lang w:eastAsia="en-US"/>
              </w:rPr>
              <w:t>TO_c</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-0.00695</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(0.282)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2059D4" w:rsidP="005B1740">
            <w:pPr>
              <w:keepNext/>
              <w:keepLines/>
              <w:rPr>
                <w:sz w:val="16"/>
                <w:szCs w:val="16"/>
                <w:lang w:eastAsia="en-US"/>
              </w:rPr>
            </w:pPr>
            <w:proofErr w:type="spellStart"/>
            <w:r>
              <w:rPr>
                <w:sz w:val="16"/>
                <w:szCs w:val="16"/>
                <w:lang w:eastAsia="en-US"/>
              </w:rPr>
              <w:t>Net</w:t>
            </w:r>
            <w:r w:rsidR="001F6BA9" w:rsidRPr="00CB4408">
              <w:rPr>
                <w:sz w:val="16"/>
                <w:szCs w:val="16"/>
                <w:lang w:eastAsia="en-US"/>
              </w:rPr>
              <w:t>_</w:t>
            </w:r>
            <w:r>
              <w:rPr>
                <w:sz w:val="16"/>
                <w:szCs w:val="16"/>
                <w:lang w:eastAsia="en-US"/>
              </w:rPr>
              <w:t>HE</w:t>
            </w:r>
            <w:r w:rsidR="001F6BA9">
              <w:rPr>
                <w:sz w:val="16"/>
                <w:szCs w:val="16"/>
                <w:lang w:eastAsia="en-US"/>
              </w:rPr>
              <w:t>_c</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0.459</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(3.175)</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2059D4" w:rsidP="005B1740">
            <w:pPr>
              <w:keepNext/>
              <w:keepLines/>
              <w:rPr>
                <w:sz w:val="16"/>
                <w:szCs w:val="16"/>
                <w:lang w:eastAsia="en-US"/>
              </w:rPr>
            </w:pPr>
            <w:proofErr w:type="spellStart"/>
            <w:r>
              <w:rPr>
                <w:sz w:val="16"/>
                <w:szCs w:val="16"/>
                <w:lang w:eastAsia="en-US"/>
              </w:rPr>
              <w:t>Net</w:t>
            </w:r>
            <w:r w:rsidR="001F6BA9" w:rsidRPr="00CB4408">
              <w:rPr>
                <w:sz w:val="16"/>
                <w:szCs w:val="16"/>
                <w:lang w:eastAsia="en-US"/>
              </w:rPr>
              <w:t>_TC</w:t>
            </w:r>
            <w:r w:rsidR="001F6BA9">
              <w:rPr>
                <w:sz w:val="16"/>
                <w:szCs w:val="16"/>
                <w:lang w:eastAsia="en-US"/>
              </w:rPr>
              <w:t>_c</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18.12**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single" w:sz="4" w:space="0" w:color="auto"/>
              <w:right w:val="nil"/>
            </w:tcBorders>
            <w:shd w:val="clear" w:color="auto" w:fill="auto"/>
            <w:noWrap/>
            <w:vAlign w:val="bottom"/>
          </w:tcPr>
          <w:p w:rsidR="001F6BA9" w:rsidRPr="001C7033" w:rsidRDefault="001F6BA9" w:rsidP="005B1740">
            <w:pPr>
              <w:keepNext/>
              <w:keepLines/>
              <w:rPr>
                <w:sz w:val="16"/>
                <w:szCs w:val="16"/>
                <w:lang w:eastAsia="en-US"/>
              </w:rPr>
            </w:pPr>
            <w:r w:rsidRPr="001C7033">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(8.388)</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r>
      <w:tr w:rsidR="001F6BA9" w:rsidRPr="00960226" w:rsidTr="002059D4">
        <w:trPr>
          <w:trHeight w:val="113"/>
          <w:jc w:val="center"/>
        </w:trPr>
        <w:tc>
          <w:tcPr>
            <w:tcW w:w="1757" w:type="dxa"/>
            <w:tcBorders>
              <w:top w:val="single" w:sz="4" w:space="0" w:color="auto"/>
              <w:left w:val="nil"/>
              <w:bottom w:val="nil"/>
              <w:right w:val="nil"/>
            </w:tcBorders>
            <w:shd w:val="clear" w:color="auto" w:fill="auto"/>
            <w:noWrap/>
            <w:vAlign w:val="bottom"/>
          </w:tcPr>
          <w:p w:rsidR="001F6BA9" w:rsidRPr="001C7033" w:rsidRDefault="002059D4" w:rsidP="005B1740">
            <w:pPr>
              <w:keepNext/>
              <w:keepLines/>
              <w:rPr>
                <w:sz w:val="16"/>
                <w:szCs w:val="16"/>
                <w:lang w:eastAsia="en-US"/>
              </w:rPr>
            </w:pPr>
            <w:proofErr w:type="spellStart"/>
            <w:r>
              <w:rPr>
                <w:sz w:val="16"/>
                <w:szCs w:val="16"/>
                <w:lang w:eastAsia="en-US"/>
              </w:rPr>
              <w:t>Gross</w:t>
            </w:r>
            <w:r w:rsidR="001F6BA9" w:rsidRPr="00CB4408">
              <w:rPr>
                <w:sz w:val="16"/>
                <w:szCs w:val="16"/>
                <w:lang w:eastAsia="en-US"/>
              </w:rPr>
              <w:t>_</w:t>
            </w:r>
            <w:r w:rsidR="001F6BA9">
              <w:rPr>
                <w:sz w:val="16"/>
                <w:szCs w:val="16"/>
                <w:lang w:eastAsia="en-US"/>
              </w:rPr>
              <w:t>TO_c</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-0.181</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(0.198)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2059D4" w:rsidP="005B1740">
            <w:pPr>
              <w:keepNext/>
              <w:keepLines/>
              <w:rPr>
                <w:sz w:val="16"/>
                <w:szCs w:val="16"/>
                <w:lang w:eastAsia="en-US"/>
              </w:rPr>
            </w:pPr>
            <w:proofErr w:type="spellStart"/>
            <w:r>
              <w:rPr>
                <w:sz w:val="16"/>
                <w:szCs w:val="16"/>
                <w:lang w:eastAsia="en-US"/>
              </w:rPr>
              <w:t>Gross</w:t>
            </w:r>
            <w:r w:rsidR="001F6BA9" w:rsidRPr="00CB4408">
              <w:rPr>
                <w:sz w:val="16"/>
                <w:szCs w:val="16"/>
                <w:lang w:eastAsia="en-US"/>
              </w:rPr>
              <w:t>_</w:t>
            </w:r>
            <w:r>
              <w:rPr>
                <w:sz w:val="16"/>
                <w:szCs w:val="16"/>
                <w:lang w:eastAsia="en-US"/>
              </w:rPr>
              <w:t>HE</w:t>
            </w:r>
            <w:r w:rsidR="001F6BA9">
              <w:rPr>
                <w:sz w:val="16"/>
                <w:szCs w:val="16"/>
                <w:lang w:eastAsia="en-US"/>
              </w:rPr>
              <w:t>_c</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4.522**</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1F6BA9" w:rsidP="005B1740">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(1.764)</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r>
      <w:tr w:rsidR="001F6BA9" w:rsidRPr="00960226" w:rsidTr="002059D4">
        <w:trPr>
          <w:trHeight w:val="113"/>
          <w:jc w:val="center"/>
        </w:trPr>
        <w:tc>
          <w:tcPr>
            <w:tcW w:w="1757" w:type="dxa"/>
            <w:tcBorders>
              <w:top w:val="nil"/>
              <w:left w:val="nil"/>
              <w:bottom w:val="nil"/>
              <w:right w:val="nil"/>
            </w:tcBorders>
            <w:shd w:val="clear" w:color="auto" w:fill="auto"/>
            <w:noWrap/>
            <w:vAlign w:val="bottom"/>
          </w:tcPr>
          <w:p w:rsidR="001F6BA9" w:rsidRPr="001C7033" w:rsidRDefault="002059D4" w:rsidP="005B1740">
            <w:pPr>
              <w:keepNext/>
              <w:keepLines/>
              <w:rPr>
                <w:sz w:val="16"/>
                <w:szCs w:val="16"/>
                <w:lang w:eastAsia="en-US"/>
              </w:rPr>
            </w:pPr>
            <w:proofErr w:type="spellStart"/>
            <w:r>
              <w:rPr>
                <w:sz w:val="16"/>
                <w:szCs w:val="16"/>
                <w:lang w:eastAsia="en-US"/>
              </w:rPr>
              <w:t>Gross</w:t>
            </w:r>
            <w:r w:rsidR="001F6BA9" w:rsidRPr="00CB4408">
              <w:rPr>
                <w:sz w:val="16"/>
                <w:szCs w:val="16"/>
                <w:lang w:eastAsia="en-US"/>
              </w:rPr>
              <w:t>_TC</w:t>
            </w:r>
            <w:r w:rsidR="001F6BA9">
              <w:rPr>
                <w:sz w:val="16"/>
                <w:szCs w:val="16"/>
                <w:lang w:eastAsia="en-US"/>
              </w:rPr>
              <w:t>_c</w:t>
            </w:r>
            <w:proofErr w:type="spellEnd"/>
            <w:r w:rsidR="001F6BA9">
              <w:rPr>
                <w:sz w:val="16"/>
                <w:szCs w:val="16"/>
                <w:vertAlign w:val="subscript"/>
                <w:lang w:eastAsia="en-US"/>
              </w:rPr>
              <w:t>(2</w:t>
            </w:r>
            <w:r w:rsidR="001F6BA9" w:rsidRPr="00CB4408">
              <w:rPr>
                <w:sz w:val="16"/>
                <w:szCs w:val="16"/>
                <w:vertAlign w:val="subscript"/>
                <w:lang w:eastAsia="en-US"/>
              </w:rPr>
              <w:t>00</w:t>
            </w:r>
            <w:r w:rsidR="001F6BA9">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10.62**</w:t>
            </w:r>
          </w:p>
        </w:tc>
      </w:tr>
      <w:tr w:rsidR="001F6BA9" w:rsidRPr="00960226" w:rsidTr="002059D4">
        <w:trPr>
          <w:trHeight w:val="113"/>
          <w:jc w:val="center"/>
        </w:trPr>
        <w:tc>
          <w:tcPr>
            <w:tcW w:w="1757" w:type="dxa"/>
            <w:tcBorders>
              <w:top w:val="nil"/>
              <w:left w:val="nil"/>
              <w:bottom w:val="single" w:sz="4" w:space="0" w:color="auto"/>
              <w:right w:val="nil"/>
            </w:tcBorders>
            <w:shd w:val="clear" w:color="auto" w:fill="auto"/>
            <w:noWrap/>
            <w:vAlign w:val="bottom"/>
          </w:tcPr>
          <w:p w:rsidR="001F6BA9" w:rsidRPr="001C7033" w:rsidRDefault="001F6BA9" w:rsidP="005B1740">
            <w:pPr>
              <w:keepNext/>
              <w:keepLines/>
              <w:rPr>
                <w:sz w:val="16"/>
                <w:szCs w:val="16"/>
                <w:lang w:eastAsia="en-US"/>
              </w:rPr>
            </w:pPr>
            <w:r w:rsidRPr="001C7033">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(4.878)</w:t>
            </w:r>
          </w:p>
        </w:tc>
      </w:tr>
      <w:tr w:rsidR="001F6BA9" w:rsidRPr="00960226" w:rsidTr="002059D4">
        <w:trPr>
          <w:trHeight w:val="113"/>
          <w:jc w:val="center"/>
        </w:trPr>
        <w:tc>
          <w:tcPr>
            <w:tcW w:w="1757" w:type="dxa"/>
            <w:tcBorders>
              <w:top w:val="single" w:sz="4" w:space="0" w:color="auto"/>
              <w:left w:val="nil"/>
              <w:bottom w:val="nil"/>
              <w:right w:val="nil"/>
            </w:tcBorders>
            <w:shd w:val="clear" w:color="auto" w:fill="auto"/>
            <w:noWrap/>
            <w:vAlign w:val="bottom"/>
          </w:tcPr>
          <w:p w:rsidR="001F6BA9" w:rsidRPr="00960226" w:rsidRDefault="001F6BA9" w:rsidP="005B1740">
            <w:pPr>
              <w:keepNext/>
              <w:keepLines/>
              <w:rPr>
                <w:sz w:val="16"/>
                <w:szCs w:val="16"/>
                <w:lang w:eastAsia="en-US"/>
              </w:rPr>
            </w:pPr>
            <w:r w:rsidRPr="00960226">
              <w:rPr>
                <w:sz w:val="16"/>
                <w:szCs w:val="16"/>
                <w:lang w:eastAsia="en-US"/>
              </w:rPr>
              <w:t>Constant</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0.132</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0.135</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0.157</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0.171</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0.0786</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0.144</w:t>
            </w:r>
          </w:p>
        </w:tc>
      </w:tr>
      <w:tr w:rsidR="001F6BA9" w:rsidRPr="00960226" w:rsidTr="002059D4">
        <w:trPr>
          <w:trHeight w:val="113"/>
          <w:jc w:val="center"/>
        </w:trPr>
        <w:tc>
          <w:tcPr>
            <w:tcW w:w="1757" w:type="dxa"/>
            <w:tcBorders>
              <w:top w:val="nil"/>
              <w:left w:val="nil"/>
              <w:bottom w:val="single" w:sz="4" w:space="0" w:color="auto"/>
              <w:right w:val="nil"/>
            </w:tcBorders>
            <w:shd w:val="clear" w:color="auto" w:fill="auto"/>
            <w:noWrap/>
            <w:vAlign w:val="bottom"/>
          </w:tcPr>
          <w:p w:rsidR="001F6BA9" w:rsidRPr="00960226" w:rsidRDefault="001F6BA9" w:rsidP="005B1740">
            <w:pPr>
              <w:keepNext/>
              <w:keepLines/>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(0.158)</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(0.157)</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(0.157)</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(0.162)</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(0.157)</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(0.156)</w:t>
            </w:r>
          </w:p>
        </w:tc>
      </w:tr>
      <w:tr w:rsidR="001F6BA9" w:rsidRPr="00960226" w:rsidTr="002059D4">
        <w:trPr>
          <w:trHeight w:val="113"/>
          <w:jc w:val="center"/>
        </w:trPr>
        <w:tc>
          <w:tcPr>
            <w:tcW w:w="1757" w:type="dxa"/>
            <w:tcBorders>
              <w:top w:val="single" w:sz="4" w:space="0" w:color="auto"/>
              <w:left w:val="nil"/>
              <w:bottom w:val="nil"/>
              <w:right w:val="nil"/>
            </w:tcBorders>
            <w:shd w:val="clear" w:color="auto" w:fill="auto"/>
            <w:noWrap/>
            <w:vAlign w:val="bottom"/>
          </w:tcPr>
          <w:p w:rsidR="001F6BA9" w:rsidRPr="00960226" w:rsidRDefault="001F6BA9" w:rsidP="005B1740">
            <w:pPr>
              <w:keepNext/>
              <w:keepLines/>
              <w:rPr>
                <w:sz w:val="16"/>
                <w:szCs w:val="16"/>
                <w:lang w:eastAsia="en-US"/>
              </w:rPr>
            </w:pPr>
            <w:r w:rsidRPr="00960226">
              <w:rPr>
                <w:sz w:val="16"/>
                <w:szCs w:val="16"/>
                <w:lang w:eastAsia="en-US"/>
              </w:rPr>
              <w:t>Sigma</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0.509***</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0.509***</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0.508***</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0.509***</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0.506***</w:t>
            </w:r>
          </w:p>
        </w:tc>
        <w:tc>
          <w:tcPr>
            <w:tcW w:w="0" w:type="auto"/>
            <w:tcBorders>
              <w:top w:val="single" w:sz="4" w:space="0" w:color="auto"/>
              <w:left w:val="nil"/>
              <w:bottom w:val="nil"/>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0.507***</w:t>
            </w:r>
          </w:p>
        </w:tc>
      </w:tr>
      <w:tr w:rsidR="001F6BA9" w:rsidRPr="00960226" w:rsidTr="002059D4">
        <w:trPr>
          <w:trHeight w:val="113"/>
          <w:jc w:val="center"/>
        </w:trPr>
        <w:tc>
          <w:tcPr>
            <w:tcW w:w="1757" w:type="dxa"/>
            <w:tcBorders>
              <w:top w:val="nil"/>
              <w:left w:val="nil"/>
              <w:bottom w:val="single" w:sz="4" w:space="0" w:color="auto"/>
              <w:right w:val="nil"/>
            </w:tcBorders>
            <w:shd w:val="clear" w:color="auto" w:fill="auto"/>
            <w:noWrap/>
            <w:vAlign w:val="bottom"/>
          </w:tcPr>
          <w:p w:rsidR="001F6BA9" w:rsidRPr="00960226" w:rsidRDefault="001F6BA9" w:rsidP="005B1740">
            <w:pPr>
              <w:keepNext/>
              <w:keepLines/>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(0.0196)</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(0.0196)</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(0.0195)</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(0.0196)</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(0.0194)</w:t>
            </w:r>
          </w:p>
        </w:tc>
        <w:tc>
          <w:tcPr>
            <w:tcW w:w="0" w:type="auto"/>
            <w:tcBorders>
              <w:top w:val="nil"/>
              <w:left w:val="nil"/>
              <w:bottom w:val="single" w:sz="4" w:space="0" w:color="auto"/>
              <w:right w:val="nil"/>
            </w:tcBorders>
            <w:shd w:val="clear" w:color="auto" w:fill="auto"/>
            <w:noWrap/>
            <w:vAlign w:val="bottom"/>
            <w:hideMark/>
          </w:tcPr>
          <w:p w:rsidR="001F6BA9" w:rsidRPr="00960226" w:rsidRDefault="001F6BA9" w:rsidP="005B1740">
            <w:pPr>
              <w:keepNext/>
              <w:keepLines/>
              <w:jc w:val="center"/>
              <w:rPr>
                <w:sz w:val="16"/>
                <w:szCs w:val="16"/>
                <w:lang w:eastAsia="en-US"/>
              </w:rPr>
            </w:pPr>
            <w:r w:rsidRPr="00960226">
              <w:rPr>
                <w:sz w:val="16"/>
                <w:szCs w:val="16"/>
                <w:lang w:eastAsia="en-US"/>
              </w:rPr>
              <w:t>(0.0195)</w:t>
            </w:r>
          </w:p>
        </w:tc>
      </w:tr>
      <w:tr w:rsidR="001F6BA9" w:rsidRPr="00960226" w:rsidTr="002059D4">
        <w:trPr>
          <w:trHeight w:val="113"/>
          <w:jc w:val="center"/>
        </w:trPr>
        <w:tc>
          <w:tcPr>
            <w:tcW w:w="1757" w:type="dxa"/>
            <w:tcBorders>
              <w:top w:val="single" w:sz="4" w:space="0" w:color="auto"/>
              <w:left w:val="nil"/>
              <w:bottom w:val="single" w:sz="4" w:space="0" w:color="auto"/>
              <w:right w:val="nil"/>
            </w:tcBorders>
            <w:shd w:val="clear" w:color="auto" w:fill="auto"/>
            <w:noWrap/>
            <w:vAlign w:val="bottom"/>
          </w:tcPr>
          <w:p w:rsidR="001F6BA9" w:rsidRPr="00960226" w:rsidRDefault="001F6BA9" w:rsidP="005B1740">
            <w:pPr>
              <w:keepNext/>
              <w:keepLines/>
              <w:rPr>
                <w:sz w:val="16"/>
                <w:szCs w:val="16"/>
                <w:lang w:eastAsia="en-US"/>
              </w:rPr>
            </w:pPr>
            <w:r>
              <w:rPr>
                <w:sz w:val="16"/>
                <w:szCs w:val="16"/>
                <w:lang w:eastAsia="en-US"/>
              </w:rPr>
              <w:t>Pseudo R2</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0.447</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0.447</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0.451</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0.448</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0.452</w:t>
            </w:r>
          </w:p>
        </w:tc>
        <w:tc>
          <w:tcPr>
            <w:tcW w:w="0" w:type="auto"/>
            <w:tcBorders>
              <w:top w:val="single" w:sz="4" w:space="0" w:color="auto"/>
              <w:left w:val="nil"/>
              <w:bottom w:val="single" w:sz="4" w:space="0" w:color="auto"/>
              <w:right w:val="nil"/>
            </w:tcBorders>
            <w:shd w:val="clear" w:color="auto" w:fill="auto"/>
            <w:noWrap/>
            <w:vAlign w:val="bottom"/>
            <w:hideMark/>
          </w:tcPr>
          <w:p w:rsidR="001F6BA9" w:rsidRPr="00C56AC8" w:rsidRDefault="001F6BA9" w:rsidP="005B1740">
            <w:pPr>
              <w:keepNext/>
              <w:keepLines/>
              <w:jc w:val="center"/>
              <w:rPr>
                <w:sz w:val="16"/>
                <w:szCs w:val="16"/>
                <w:lang w:eastAsia="en-US"/>
              </w:rPr>
            </w:pPr>
            <w:r w:rsidRPr="00C56AC8">
              <w:rPr>
                <w:sz w:val="16"/>
                <w:szCs w:val="16"/>
                <w:lang w:eastAsia="en-US"/>
              </w:rPr>
              <w:t>0.451</w:t>
            </w:r>
          </w:p>
        </w:tc>
      </w:tr>
    </w:tbl>
    <w:p w:rsidR="001F6BA9" w:rsidRPr="005F411C" w:rsidRDefault="002059D4" w:rsidP="005B1740">
      <w:pPr>
        <w:keepNext/>
        <w:keepLines/>
        <w:jc w:val="center"/>
        <w:rPr>
          <w:b/>
          <w:sz w:val="20"/>
          <w:szCs w:val="20"/>
        </w:rPr>
      </w:pPr>
      <w:r w:rsidRPr="005F411C">
        <w:rPr>
          <w:b/>
          <w:sz w:val="20"/>
          <w:szCs w:val="20"/>
        </w:rPr>
        <w:t>Standard errors are shown in parentheses</w:t>
      </w:r>
      <w:r w:rsidR="001F6BA9" w:rsidRPr="005F411C">
        <w:rPr>
          <w:b/>
          <w:sz w:val="20"/>
          <w:szCs w:val="20"/>
        </w:rPr>
        <w:t>. *** p&lt;0.01, ** p&lt;0.05, * p&lt;0.1</w:t>
      </w:r>
    </w:p>
    <w:p w:rsidR="001F6BA9" w:rsidRPr="005F411C" w:rsidRDefault="002059D4" w:rsidP="005B1740">
      <w:pPr>
        <w:keepNext/>
        <w:keepLines/>
        <w:jc w:val="center"/>
        <w:rPr>
          <w:b/>
          <w:sz w:val="20"/>
          <w:szCs w:val="20"/>
        </w:rPr>
      </w:pPr>
      <w:r w:rsidRPr="005F411C">
        <w:rPr>
          <w:b/>
          <w:sz w:val="20"/>
          <w:szCs w:val="20"/>
        </w:rPr>
        <w:t>Source: Authors’ own elaboration in</w:t>
      </w:r>
      <w:r w:rsidR="001F6BA9" w:rsidRPr="005F411C">
        <w:rPr>
          <w:b/>
          <w:sz w:val="20"/>
          <w:szCs w:val="20"/>
        </w:rPr>
        <w:t xml:space="preserve"> </w:t>
      </w:r>
      <w:proofErr w:type="spellStart"/>
      <w:r w:rsidR="001F6BA9" w:rsidRPr="005F411C">
        <w:rPr>
          <w:b/>
          <w:sz w:val="20"/>
          <w:szCs w:val="20"/>
        </w:rPr>
        <w:t>Stata</w:t>
      </w:r>
      <w:proofErr w:type="spellEnd"/>
      <w:r w:rsidR="001F6BA9" w:rsidRPr="005F411C">
        <w:rPr>
          <w:b/>
          <w:sz w:val="20"/>
          <w:szCs w:val="20"/>
        </w:rPr>
        <w:t xml:space="preserve"> 14</w:t>
      </w:r>
      <w:r w:rsidRPr="005F411C">
        <w:rPr>
          <w:b/>
          <w:sz w:val="20"/>
          <w:szCs w:val="20"/>
        </w:rPr>
        <w:t xml:space="preserve"> Software</w:t>
      </w:r>
    </w:p>
    <w:p w:rsidR="0053274B" w:rsidRPr="002059D4" w:rsidRDefault="0053274B" w:rsidP="0053274B">
      <w:pPr>
        <w:ind w:firstLine="709"/>
        <w:jc w:val="both"/>
        <w:rPr>
          <w:color w:val="000000"/>
          <w:shd w:val="clear" w:color="auto" w:fill="FFFFFF"/>
        </w:rPr>
      </w:pPr>
    </w:p>
    <w:p w:rsidR="007C46C0" w:rsidRDefault="001920BA" w:rsidP="007C46C0">
      <w:pPr>
        <w:autoSpaceDE w:val="0"/>
        <w:autoSpaceDN w:val="0"/>
        <w:adjustRightInd w:val="0"/>
        <w:spacing w:line="360" w:lineRule="auto"/>
        <w:ind w:firstLine="357"/>
        <w:jc w:val="both"/>
      </w:pPr>
      <w:r>
        <w:rPr>
          <w:color w:val="000000"/>
          <w:shd w:val="clear" w:color="auto" w:fill="FFFFFF"/>
        </w:rPr>
        <w:t xml:space="preserve">. </w:t>
      </w:r>
      <w:r w:rsidR="00376162" w:rsidRPr="00376162">
        <w:rPr>
          <w:color w:val="000000"/>
          <w:shd w:val="clear" w:color="auto" w:fill="FFFFFF"/>
        </w:rPr>
        <w:t xml:space="preserve">Through the mobility of workers it is possible to perceive that the inflow of workers with higher education (Model 2) and in technical and scientific occupations (Model 3) positively affect the results of regional innovation, which is in line with previous studies about the importance </w:t>
      </w:r>
      <w:r w:rsidR="007C46C0">
        <w:rPr>
          <w:color w:val="000000"/>
          <w:shd w:val="clear" w:color="auto" w:fill="FFFFFF"/>
        </w:rPr>
        <w:t>of mobility of skilled workers (</w:t>
      </w:r>
      <w:proofErr w:type="spellStart"/>
      <w:r w:rsidR="007C46C0">
        <w:rPr>
          <w:color w:val="000000"/>
          <w:shd w:val="clear" w:color="auto" w:fill="FFFFFF"/>
        </w:rPr>
        <w:t>Breschi</w:t>
      </w:r>
      <w:proofErr w:type="spellEnd"/>
      <w:r w:rsidR="007C46C0">
        <w:rPr>
          <w:color w:val="000000"/>
          <w:shd w:val="clear" w:color="auto" w:fill="FFFFFF"/>
        </w:rPr>
        <w:t xml:space="preserve"> &amp; </w:t>
      </w:r>
      <w:proofErr w:type="spellStart"/>
      <w:r w:rsidR="007C46C0">
        <w:rPr>
          <w:color w:val="000000"/>
          <w:shd w:val="clear" w:color="auto" w:fill="FFFFFF"/>
        </w:rPr>
        <w:t>Lenzi</w:t>
      </w:r>
      <w:proofErr w:type="spellEnd"/>
      <w:r w:rsidR="007C46C0">
        <w:rPr>
          <w:color w:val="000000"/>
          <w:shd w:val="clear" w:color="auto" w:fill="FFFFFF"/>
        </w:rPr>
        <w:t xml:space="preserve"> 2010, </w:t>
      </w:r>
      <w:proofErr w:type="spellStart"/>
      <w:r w:rsidR="007C46C0">
        <w:rPr>
          <w:color w:val="000000"/>
          <w:shd w:val="clear" w:color="auto" w:fill="FFFFFF"/>
        </w:rPr>
        <w:t>Lenzi</w:t>
      </w:r>
      <w:proofErr w:type="spellEnd"/>
      <w:r w:rsidR="007C46C0">
        <w:rPr>
          <w:color w:val="000000"/>
          <w:shd w:val="clear" w:color="auto" w:fill="FFFFFF"/>
        </w:rPr>
        <w:t xml:space="preserve"> 2013, </w:t>
      </w:r>
      <w:proofErr w:type="spellStart"/>
      <w:r w:rsidR="007C46C0">
        <w:rPr>
          <w:color w:val="000000"/>
          <w:shd w:val="clear" w:color="auto" w:fill="FFFFFF"/>
        </w:rPr>
        <w:t>Maré</w:t>
      </w:r>
      <w:proofErr w:type="spellEnd"/>
      <w:r w:rsidR="007C46C0">
        <w:rPr>
          <w:color w:val="000000"/>
          <w:shd w:val="clear" w:color="auto" w:fill="FFFFFF"/>
        </w:rPr>
        <w:t xml:space="preserve"> et al. 2014, </w:t>
      </w:r>
      <w:proofErr w:type="spellStart"/>
      <w:r w:rsidR="007C46C0">
        <w:rPr>
          <w:color w:val="000000"/>
          <w:shd w:val="clear" w:color="auto" w:fill="FFFFFF"/>
        </w:rPr>
        <w:t>Gagliardi</w:t>
      </w:r>
      <w:proofErr w:type="spellEnd"/>
      <w:r w:rsidR="007C46C0">
        <w:rPr>
          <w:color w:val="000000"/>
          <w:shd w:val="clear" w:color="auto" w:fill="FFFFFF"/>
        </w:rPr>
        <w:t xml:space="preserve"> 2014, </w:t>
      </w:r>
      <w:proofErr w:type="spellStart"/>
      <w:r w:rsidR="007C46C0">
        <w:rPr>
          <w:color w:val="000000"/>
          <w:shd w:val="clear" w:color="auto" w:fill="FFFFFF"/>
        </w:rPr>
        <w:t>Boschma</w:t>
      </w:r>
      <w:proofErr w:type="spellEnd"/>
      <w:r w:rsidR="007C46C0">
        <w:rPr>
          <w:color w:val="000000"/>
          <w:shd w:val="clear" w:color="auto" w:fill="FFFFFF"/>
        </w:rPr>
        <w:t xml:space="preserve"> et al. 2014) </w:t>
      </w:r>
    </w:p>
    <w:p w:rsidR="00376162" w:rsidRPr="00376162"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t>The inflow of workers in a region can generate positive impacts in two ways. The first one is related to a more dynamic labor market, with more opportunities and new source of tacit knowledge that can be a</w:t>
      </w:r>
      <w:r w:rsidR="007C46C0">
        <w:rPr>
          <w:color w:val="000000"/>
          <w:shd w:val="clear" w:color="auto" w:fill="FFFFFF"/>
        </w:rPr>
        <w:t xml:space="preserve">ccessed by formal labor market </w:t>
      </w:r>
      <w:r w:rsidR="007C46C0" w:rsidRPr="00376162">
        <w:rPr>
          <w:color w:val="000000"/>
          <w:shd w:val="clear" w:color="auto" w:fill="FFFFFF"/>
        </w:rPr>
        <w:t>(</w:t>
      </w:r>
      <w:proofErr w:type="spellStart"/>
      <w:r w:rsidR="007C46C0" w:rsidRPr="00376162">
        <w:rPr>
          <w:color w:val="000000"/>
          <w:shd w:val="clear" w:color="auto" w:fill="FFFFFF"/>
        </w:rPr>
        <w:t>Gagliardi</w:t>
      </w:r>
      <w:proofErr w:type="spellEnd"/>
      <w:r w:rsidR="007C46C0" w:rsidRPr="00376162">
        <w:rPr>
          <w:color w:val="000000"/>
          <w:shd w:val="clear" w:color="auto" w:fill="FFFFFF"/>
        </w:rPr>
        <w:t xml:space="preserve"> 2014)</w:t>
      </w:r>
      <w:r w:rsidRPr="00376162">
        <w:rPr>
          <w:color w:val="000000"/>
          <w:shd w:val="clear" w:color="auto" w:fill="FFFFFF"/>
        </w:rPr>
        <w:t xml:space="preserve">. The second impact is more indirect: it can occur with the new possibilities of externalities due the new human capital in a region </w:t>
      </w:r>
      <w:r w:rsidR="007C46C0">
        <w:rPr>
          <w:color w:val="000000"/>
          <w:shd w:val="clear" w:color="auto" w:fill="FFFFFF"/>
        </w:rPr>
        <w:t>(</w:t>
      </w:r>
      <w:proofErr w:type="spellStart"/>
      <w:r w:rsidR="007C46C0" w:rsidRPr="00376162">
        <w:rPr>
          <w:color w:val="000000"/>
          <w:shd w:val="clear" w:color="auto" w:fill="FFFFFF"/>
        </w:rPr>
        <w:t>Gagliardi</w:t>
      </w:r>
      <w:proofErr w:type="spellEnd"/>
      <w:r w:rsidRPr="00376162">
        <w:rPr>
          <w:color w:val="000000"/>
          <w:shd w:val="clear" w:color="auto" w:fill="FFFFFF"/>
        </w:rPr>
        <w:t xml:space="preserve"> 2014). In this sense, the face to face contact is important, since its communications form turns possible the decrease of institutional and cultural barriers, generate influence over the process of socialization and screening, and reduce the incentives and coordination problems. It also increases the trust in the economics activities (</w:t>
      </w:r>
      <w:proofErr w:type="spellStart"/>
      <w:r w:rsidRPr="00376162">
        <w:rPr>
          <w:color w:val="000000"/>
          <w:shd w:val="clear" w:color="auto" w:fill="FFFFFF"/>
        </w:rPr>
        <w:t>S</w:t>
      </w:r>
      <w:r w:rsidR="007C46C0">
        <w:rPr>
          <w:color w:val="000000"/>
          <w:shd w:val="clear" w:color="auto" w:fill="FFFFFF"/>
        </w:rPr>
        <w:t>torper</w:t>
      </w:r>
      <w:proofErr w:type="spellEnd"/>
      <w:r w:rsidR="007C46C0">
        <w:rPr>
          <w:color w:val="000000"/>
          <w:shd w:val="clear" w:color="auto" w:fill="FFFFFF"/>
        </w:rPr>
        <w:t xml:space="preserve"> &amp; </w:t>
      </w:r>
      <w:proofErr w:type="spellStart"/>
      <w:r w:rsidR="007C46C0">
        <w:rPr>
          <w:color w:val="000000"/>
          <w:shd w:val="clear" w:color="auto" w:fill="FFFFFF"/>
        </w:rPr>
        <w:t>Venables</w:t>
      </w:r>
      <w:proofErr w:type="spellEnd"/>
      <w:r w:rsidRPr="00376162">
        <w:rPr>
          <w:color w:val="000000"/>
          <w:shd w:val="clear" w:color="auto" w:fill="FFFFFF"/>
        </w:rPr>
        <w:t>, 2004). Additionally, the positive effect of movement of workers is related to the skill of workers. The movement of people is important because the knowledge isn't only formal, it have a tacit component. The knowledge is derived by human actions, which include practices, learning, studies and interactions with other agents (</w:t>
      </w:r>
      <w:proofErr w:type="spellStart"/>
      <w:r w:rsidR="007C46C0">
        <w:rPr>
          <w:color w:val="000000"/>
          <w:shd w:val="clear" w:color="auto" w:fill="FFFFFF"/>
        </w:rPr>
        <w:t>G</w:t>
      </w:r>
      <w:r w:rsidR="007C46C0" w:rsidRPr="00376162">
        <w:rPr>
          <w:color w:val="000000"/>
          <w:shd w:val="clear" w:color="auto" w:fill="FFFFFF"/>
        </w:rPr>
        <w:t>ertler</w:t>
      </w:r>
      <w:proofErr w:type="spellEnd"/>
      <w:r w:rsidRPr="00376162">
        <w:rPr>
          <w:color w:val="000000"/>
          <w:shd w:val="clear" w:color="auto" w:fill="FFFFFF"/>
        </w:rPr>
        <w:t xml:space="preserve"> 2007). The tacit part of knowledge is embedded in people, so the movement of people is a factor that facilities the sharing of tacit knowledge amongst different agents (</w:t>
      </w:r>
      <w:r w:rsidR="007C46C0">
        <w:rPr>
          <w:color w:val="000000"/>
          <w:shd w:val="clear" w:color="auto" w:fill="FFFFFF"/>
        </w:rPr>
        <w:t>Miguélez &amp; Moreno, 2015</w:t>
      </w:r>
      <w:r w:rsidRPr="00376162">
        <w:rPr>
          <w:color w:val="000000"/>
          <w:shd w:val="clear" w:color="auto" w:fill="FFFFFF"/>
        </w:rPr>
        <w:t xml:space="preserve">). This result is corroborated by the fact that the inflow of total workers isn’t significant (Model 1). </w:t>
      </w:r>
    </w:p>
    <w:p w:rsidR="00376162" w:rsidRPr="00376162"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t>Furthermore, the gross mobility of skilled workers was positive and significant (Model 11 and Model 12). These results corroborate the importance of circulation of skills people on the region and the impact on the regional innovation. These results are consistent with the ones presented in Miguélez and Moreno (2015). Thus, this result is connected to the hypothesis that the movement of workers, on the regional level, can be an alternative source of knowledge flows, which can bring opportunities for the regions through the possibilities of interaction with different people by contacts formal and informal, and creation of networks (</w:t>
      </w:r>
      <w:proofErr w:type="spellStart"/>
      <w:r w:rsidR="00FB1D7B">
        <w:rPr>
          <w:color w:val="000000"/>
          <w:shd w:val="clear" w:color="auto" w:fill="FFFFFF"/>
        </w:rPr>
        <w:t>Saxenian</w:t>
      </w:r>
      <w:proofErr w:type="spellEnd"/>
      <w:r w:rsidRPr="00376162">
        <w:rPr>
          <w:color w:val="000000"/>
          <w:shd w:val="clear" w:color="auto" w:fill="FFFFFF"/>
        </w:rPr>
        <w:t>, 2002; 2005).</w:t>
      </w:r>
    </w:p>
    <w:p w:rsidR="00376162" w:rsidRPr="00376162"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t xml:space="preserve">Regarding variable controls, some variables are significant and have an expected result. The proxies for local R&amp;D and university R&amp;D were positive and significant. This result indicates that the greater proportion of employees in R&amp;D activities in one region can </w:t>
      </w:r>
      <w:r w:rsidRPr="00376162">
        <w:rPr>
          <w:color w:val="000000"/>
          <w:shd w:val="clear" w:color="auto" w:fill="FFFFFF"/>
        </w:rPr>
        <w:lastRenderedPageBreak/>
        <w:t xml:space="preserve">generate more benefits to the region in terms of patents per capita. The measure of university R&amp;D was positive and significant as well. The K-index has a negative value and is significant, which means that more diversified regions have more effects in the innovation measures by patents per capita in Brazil. Dummies for South and Southeast and share in manufacturing activities are positive and significant, as expected. </w:t>
      </w:r>
    </w:p>
    <w:p w:rsidR="00376162" w:rsidRPr="00376162"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t>Another estimate was done in order to strengthen the results achieved. The mobility of workers can be quite concentrated, such as in economic activities, so there was a preoccupation of understanding the geographical distribution of the mobility of total workers and skilled workers (higher education's and technical and scientific occupations workers). It was necessary to confirm if the effect of mobility in innovation that was estimated was not just related with the movement of workers in the same metropolitan areas. This preoccupation became relevant, since the activities in metropolitan areas are quite agglomerated. The metropolitan areas are big cities with social and productive diversity. The interaction in these cities creates an environment which is more connected, allowing the exchange of knowledge that is more complex and is related with cutting-edge technologies</w:t>
      </w:r>
      <w:r w:rsidR="00FB1D7B">
        <w:rPr>
          <w:color w:val="000000"/>
          <w:shd w:val="clear" w:color="auto" w:fill="FFFFFF"/>
        </w:rPr>
        <w:t xml:space="preserve"> (</w:t>
      </w:r>
      <w:proofErr w:type="spellStart"/>
      <w:r w:rsidR="00FB1D7B">
        <w:rPr>
          <w:color w:val="000000"/>
          <w:shd w:val="clear" w:color="auto" w:fill="FFFFFF"/>
        </w:rPr>
        <w:t>Duranton</w:t>
      </w:r>
      <w:proofErr w:type="spellEnd"/>
      <w:r w:rsidR="00FB1D7B">
        <w:rPr>
          <w:color w:val="000000"/>
          <w:shd w:val="clear" w:color="auto" w:fill="FFFFFF"/>
        </w:rPr>
        <w:t xml:space="preserve"> &amp; </w:t>
      </w:r>
      <w:proofErr w:type="spellStart"/>
      <w:r w:rsidR="00FB1D7B">
        <w:rPr>
          <w:color w:val="000000"/>
          <w:shd w:val="clear" w:color="auto" w:fill="FFFFFF"/>
        </w:rPr>
        <w:t>Puga</w:t>
      </w:r>
      <w:proofErr w:type="spellEnd"/>
      <w:r w:rsidR="00FB1D7B">
        <w:rPr>
          <w:color w:val="000000"/>
          <w:shd w:val="clear" w:color="auto" w:fill="FFFFFF"/>
        </w:rPr>
        <w:t>, 2001)</w:t>
      </w:r>
      <w:r w:rsidRPr="00FB1D7B">
        <w:rPr>
          <w:color w:val="000000"/>
          <w:shd w:val="clear" w:color="auto" w:fill="FFFFFF"/>
        </w:rPr>
        <w:t xml:space="preserve">. </w:t>
      </w:r>
      <w:r w:rsidRPr="00376162">
        <w:rPr>
          <w:color w:val="000000"/>
          <w:shd w:val="clear" w:color="auto" w:fill="FFFFFF"/>
        </w:rPr>
        <w:t>Furthermore, the agglomerations effects are very relevant in metropolitan areas. The urbanization created more possibilities of matching of skilled workers and firms, benefits for knowledge flows between different activities, access to a big consumer market, and specializ</w:t>
      </w:r>
      <w:r w:rsidR="00FB1D7B">
        <w:rPr>
          <w:color w:val="000000"/>
          <w:shd w:val="clear" w:color="auto" w:fill="FFFFFF"/>
        </w:rPr>
        <w:t>ed services and infrastructure (</w:t>
      </w:r>
      <w:proofErr w:type="spellStart"/>
      <w:r w:rsidR="00FB1D7B">
        <w:rPr>
          <w:color w:val="000000"/>
          <w:shd w:val="clear" w:color="auto" w:fill="FFFFFF"/>
        </w:rPr>
        <w:t>Glaeser</w:t>
      </w:r>
      <w:proofErr w:type="spellEnd"/>
      <w:r w:rsidR="00FB1D7B">
        <w:rPr>
          <w:color w:val="000000"/>
          <w:shd w:val="clear" w:color="auto" w:fill="FFFFFF"/>
        </w:rPr>
        <w:t xml:space="preserve"> et al. 1992, Rodríguez-Pose &amp; </w:t>
      </w:r>
      <w:proofErr w:type="spellStart"/>
      <w:r w:rsidR="00FB1D7B">
        <w:rPr>
          <w:color w:val="000000"/>
          <w:shd w:val="clear" w:color="auto" w:fill="FFFFFF"/>
        </w:rPr>
        <w:t>Crescenzi</w:t>
      </w:r>
      <w:proofErr w:type="spellEnd"/>
      <w:r w:rsidR="00FB1D7B">
        <w:rPr>
          <w:color w:val="000000"/>
          <w:shd w:val="clear" w:color="auto" w:fill="FFFFFF"/>
        </w:rPr>
        <w:t>, 2008)</w:t>
      </w:r>
      <w:r w:rsidRPr="00FB1D7B">
        <w:rPr>
          <w:color w:val="000000"/>
          <w:shd w:val="clear" w:color="auto" w:fill="FFFFFF"/>
        </w:rPr>
        <w:t xml:space="preserve">. </w:t>
      </w:r>
      <w:r w:rsidRPr="00376162">
        <w:rPr>
          <w:color w:val="000000"/>
          <w:shd w:val="clear" w:color="auto" w:fill="FFFFFF"/>
        </w:rPr>
        <w:t xml:space="preserve">All of these characteristics can reinforce the influence of these cities in movement of workers and in generate of innovation activities. </w:t>
      </w:r>
    </w:p>
    <w:p w:rsidR="001920BA" w:rsidRDefault="00376162" w:rsidP="00376162">
      <w:pPr>
        <w:spacing w:line="360" w:lineRule="auto"/>
        <w:ind w:firstLine="708"/>
        <w:contextualSpacing/>
        <w:jc w:val="both"/>
        <w:rPr>
          <w:color w:val="000000"/>
          <w:shd w:val="clear" w:color="auto" w:fill="FFFFFF"/>
        </w:rPr>
      </w:pPr>
      <w:r w:rsidRPr="00376162">
        <w:rPr>
          <w:color w:val="000000"/>
          <w:shd w:val="clear" w:color="auto" w:fill="FFFFFF"/>
        </w:rPr>
        <w:t>In this way, Table 5 presents the measures of workers mobility split in mobility that occurred between micro-regions that are classified in the same metropolitan area by IBGE (Intra-Metropolitan Areas) and mobility that occurred between different micro-regions (without the mobility of workers between micro-regions in the same metropolitan area).</w:t>
      </w:r>
    </w:p>
    <w:p w:rsidR="00D55DE4" w:rsidRPr="001920BA" w:rsidRDefault="00D55DE4" w:rsidP="002059D4">
      <w:pPr>
        <w:ind w:firstLine="708"/>
        <w:jc w:val="both"/>
        <w:rPr>
          <w:color w:val="000000"/>
          <w:shd w:val="clear" w:color="auto" w:fill="FFFFFF"/>
        </w:rPr>
      </w:pPr>
    </w:p>
    <w:p w:rsidR="00AD0B0F" w:rsidRPr="00067E30" w:rsidRDefault="005F411C" w:rsidP="005F411C">
      <w:pPr>
        <w:pStyle w:val="Legenda"/>
        <w:keepNext/>
        <w:keepLines/>
        <w:spacing w:before="0" w:after="0"/>
        <w:jc w:val="center"/>
        <w:rPr>
          <w:b/>
          <w:i w:val="0"/>
          <w:sz w:val="20"/>
          <w:szCs w:val="20"/>
        </w:rPr>
      </w:pPr>
      <w:bookmarkStart w:id="3" w:name="_Toc535965924"/>
      <w:r>
        <w:rPr>
          <w:b/>
          <w:i w:val="0"/>
          <w:sz w:val="20"/>
          <w:szCs w:val="20"/>
        </w:rPr>
        <w:lastRenderedPageBreak/>
        <w:t xml:space="preserve">Table </w:t>
      </w:r>
      <w:r w:rsidR="00E548CF">
        <w:rPr>
          <w:b/>
          <w:i w:val="0"/>
          <w:sz w:val="20"/>
          <w:szCs w:val="20"/>
        </w:rPr>
        <w:t>5:</w:t>
      </w:r>
      <w:r>
        <w:rPr>
          <w:b/>
          <w:i w:val="0"/>
          <w:sz w:val="20"/>
          <w:szCs w:val="20"/>
        </w:rPr>
        <w:t xml:space="preserve"> </w:t>
      </w:r>
      <w:r w:rsidR="00AD0B0F" w:rsidRPr="00067E30">
        <w:rPr>
          <w:b/>
          <w:i w:val="0"/>
          <w:sz w:val="20"/>
          <w:szCs w:val="20"/>
        </w:rPr>
        <w:t>Mobility of workers in selected activities</w:t>
      </w:r>
      <w:bookmarkEnd w:id="3"/>
    </w:p>
    <w:tbl>
      <w:tblPr>
        <w:tblW w:w="0" w:type="auto"/>
        <w:jc w:val="center"/>
        <w:tblLook w:val="04A0" w:firstRow="1" w:lastRow="0" w:firstColumn="1" w:lastColumn="0" w:noHBand="0" w:noVBand="1"/>
      </w:tblPr>
      <w:tblGrid>
        <w:gridCol w:w="3289"/>
        <w:gridCol w:w="1016"/>
        <w:gridCol w:w="666"/>
        <w:gridCol w:w="1016"/>
        <w:gridCol w:w="666"/>
      </w:tblGrid>
      <w:tr w:rsidR="00AD0B0F" w:rsidRPr="00067E30" w:rsidTr="00975237">
        <w:trPr>
          <w:trHeight w:val="20"/>
          <w:jc w:val="center"/>
        </w:trPr>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AD0B0F" w:rsidP="00975237">
            <w:pPr>
              <w:keepNext/>
              <w:keepLines/>
              <w:rPr>
                <w:b/>
                <w:color w:val="000000"/>
                <w:sz w:val="20"/>
                <w:szCs w:val="20"/>
                <w:lang w:eastAsia="en-US"/>
              </w:rPr>
            </w:pPr>
            <w:r w:rsidRPr="00067E30">
              <w:rPr>
                <w:b/>
                <w:color w:val="000000"/>
                <w:sz w:val="20"/>
                <w:szCs w:val="20"/>
                <w:lang w:eastAsia="en-US"/>
              </w:rPr>
              <w:t>Total Workers</w:t>
            </w:r>
          </w:p>
        </w:tc>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Entry</w:t>
            </w:r>
          </w:p>
        </w:tc>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w:t>
            </w:r>
          </w:p>
        </w:tc>
        <w:tc>
          <w:tcPr>
            <w:tcW w:w="0" w:type="auto"/>
            <w:tcBorders>
              <w:top w:val="single" w:sz="4" w:space="0" w:color="auto"/>
              <w:left w:val="nil"/>
              <w:bottom w:val="single" w:sz="4" w:space="0" w:color="auto"/>
              <w:right w:val="nil"/>
            </w:tcBorders>
            <w:vAlign w:val="bottom"/>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Exit</w:t>
            </w:r>
          </w:p>
        </w:tc>
        <w:tc>
          <w:tcPr>
            <w:tcW w:w="0" w:type="auto"/>
            <w:tcBorders>
              <w:top w:val="single" w:sz="4" w:space="0" w:color="auto"/>
              <w:left w:val="nil"/>
              <w:bottom w:val="single" w:sz="4" w:space="0" w:color="auto"/>
              <w:right w:val="nil"/>
            </w:tcBorders>
            <w:vAlign w:val="bottom"/>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w:t>
            </w:r>
          </w:p>
        </w:tc>
      </w:tr>
      <w:tr w:rsidR="00AD0B0F" w:rsidRPr="00067E30" w:rsidTr="00975237">
        <w:trPr>
          <w:trHeight w:val="20"/>
          <w:jc w:val="center"/>
        </w:trPr>
        <w:tc>
          <w:tcPr>
            <w:tcW w:w="0" w:type="auto"/>
            <w:tcBorders>
              <w:top w:val="single" w:sz="4" w:space="0" w:color="auto"/>
              <w:left w:val="nil"/>
              <w:bottom w:val="nil"/>
              <w:right w:val="nil"/>
            </w:tcBorders>
            <w:shd w:val="clear" w:color="auto" w:fill="auto"/>
            <w:noWrap/>
            <w:vAlign w:val="bottom"/>
            <w:hideMark/>
          </w:tcPr>
          <w:p w:rsidR="00AD0B0F" w:rsidRPr="00067E30" w:rsidRDefault="00AD0B0F" w:rsidP="00067E30">
            <w:pPr>
              <w:keepNext/>
              <w:keepLines/>
              <w:rPr>
                <w:color w:val="000000"/>
                <w:sz w:val="20"/>
                <w:szCs w:val="20"/>
                <w:lang w:eastAsia="en-US"/>
              </w:rPr>
            </w:pPr>
            <w:r w:rsidRPr="00067E30">
              <w:rPr>
                <w:color w:val="000000"/>
                <w:sz w:val="20"/>
                <w:szCs w:val="20"/>
                <w:lang w:eastAsia="en-US"/>
              </w:rPr>
              <w:t>Intra-</w:t>
            </w:r>
            <w:r w:rsidR="00067E30" w:rsidRPr="00067E30">
              <w:rPr>
                <w:color w:val="000000"/>
                <w:sz w:val="20"/>
                <w:szCs w:val="20"/>
                <w:lang w:eastAsia="en-US"/>
              </w:rPr>
              <w:t>Metropolitan Areas</w:t>
            </w:r>
          </w:p>
        </w:tc>
        <w:tc>
          <w:tcPr>
            <w:tcW w:w="0" w:type="auto"/>
            <w:tcBorders>
              <w:top w:val="single" w:sz="4" w:space="0" w:color="auto"/>
              <w:left w:val="nil"/>
              <w:bottom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206.598</w:t>
            </w:r>
          </w:p>
        </w:tc>
        <w:tc>
          <w:tcPr>
            <w:tcW w:w="0" w:type="auto"/>
            <w:tcBorders>
              <w:top w:val="single" w:sz="4" w:space="0" w:color="auto"/>
              <w:left w:val="nil"/>
              <w:bottom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17,2</w:t>
            </w:r>
          </w:p>
        </w:tc>
        <w:tc>
          <w:tcPr>
            <w:tcW w:w="0" w:type="auto"/>
            <w:tcBorders>
              <w:top w:val="single" w:sz="4" w:space="0" w:color="auto"/>
              <w:left w:val="nil"/>
              <w:bottom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187.045</w:t>
            </w:r>
          </w:p>
        </w:tc>
        <w:tc>
          <w:tcPr>
            <w:tcW w:w="0" w:type="auto"/>
            <w:tcBorders>
              <w:top w:val="single" w:sz="4" w:space="0" w:color="auto"/>
              <w:left w:val="nil"/>
              <w:bottom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16,4</w:t>
            </w:r>
          </w:p>
        </w:tc>
      </w:tr>
      <w:tr w:rsidR="00AD0B0F" w:rsidRPr="00067E30" w:rsidTr="00975237">
        <w:trPr>
          <w:trHeight w:val="20"/>
          <w:jc w:val="center"/>
        </w:trPr>
        <w:tc>
          <w:tcPr>
            <w:tcW w:w="0" w:type="auto"/>
            <w:tcBorders>
              <w:top w:val="nil"/>
              <w:left w:val="nil"/>
              <w:right w:val="nil"/>
            </w:tcBorders>
            <w:shd w:val="clear" w:color="auto" w:fill="auto"/>
            <w:noWrap/>
            <w:vAlign w:val="bottom"/>
            <w:hideMark/>
          </w:tcPr>
          <w:p w:rsidR="00AD0B0F" w:rsidRPr="00067E30" w:rsidRDefault="00067E30" w:rsidP="00975237">
            <w:pPr>
              <w:keepNext/>
              <w:keepLines/>
              <w:rPr>
                <w:color w:val="000000"/>
                <w:sz w:val="20"/>
                <w:szCs w:val="20"/>
                <w:lang w:eastAsia="en-US"/>
              </w:rPr>
            </w:pPr>
            <w:r w:rsidRPr="00067E30">
              <w:rPr>
                <w:color w:val="000000"/>
                <w:sz w:val="20"/>
                <w:szCs w:val="20"/>
                <w:lang w:eastAsia="en-US"/>
              </w:rPr>
              <w:t>Other Areas</w:t>
            </w:r>
          </w:p>
        </w:tc>
        <w:tc>
          <w:tcPr>
            <w:tcW w:w="0" w:type="auto"/>
            <w:tcBorders>
              <w:top w:val="nil"/>
              <w:left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992.385</w:t>
            </w:r>
          </w:p>
        </w:tc>
        <w:tc>
          <w:tcPr>
            <w:tcW w:w="0" w:type="auto"/>
            <w:tcBorders>
              <w:top w:val="nil"/>
              <w:left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82,8</w:t>
            </w:r>
          </w:p>
        </w:tc>
        <w:tc>
          <w:tcPr>
            <w:tcW w:w="0" w:type="auto"/>
            <w:tcBorders>
              <w:top w:val="nil"/>
              <w:left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951.656</w:t>
            </w:r>
          </w:p>
        </w:tc>
        <w:tc>
          <w:tcPr>
            <w:tcW w:w="0" w:type="auto"/>
            <w:tcBorders>
              <w:top w:val="nil"/>
              <w:left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83,6</w:t>
            </w:r>
          </w:p>
        </w:tc>
      </w:tr>
      <w:tr w:rsidR="00AD0B0F" w:rsidRPr="00067E30"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rPr>
                <w:color w:val="000000"/>
                <w:sz w:val="20"/>
                <w:szCs w:val="20"/>
                <w:lang w:eastAsia="en-US"/>
              </w:rPr>
            </w:pPr>
            <w:r w:rsidRPr="00067E30">
              <w:rPr>
                <w:color w:val="000000"/>
                <w:sz w:val="20"/>
                <w:szCs w:val="20"/>
                <w:lang w:eastAsia="en-US"/>
              </w:rPr>
              <w:t>Total</w:t>
            </w:r>
          </w:p>
        </w:tc>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1.198.983</w:t>
            </w:r>
          </w:p>
        </w:tc>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100,0</w:t>
            </w:r>
          </w:p>
        </w:tc>
        <w:tc>
          <w:tcPr>
            <w:tcW w:w="0" w:type="auto"/>
            <w:tcBorders>
              <w:top w:val="nil"/>
              <w:left w:val="nil"/>
              <w:bottom w:val="single" w:sz="4" w:space="0" w:color="auto"/>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1.138.701</w:t>
            </w:r>
          </w:p>
        </w:tc>
        <w:tc>
          <w:tcPr>
            <w:tcW w:w="0" w:type="auto"/>
            <w:tcBorders>
              <w:top w:val="nil"/>
              <w:left w:val="nil"/>
              <w:bottom w:val="single" w:sz="4" w:space="0" w:color="auto"/>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100,0</w:t>
            </w:r>
          </w:p>
        </w:tc>
      </w:tr>
      <w:tr w:rsidR="00AD0B0F" w:rsidRPr="00067E30" w:rsidTr="00975237">
        <w:trPr>
          <w:trHeight w:val="20"/>
          <w:jc w:val="center"/>
        </w:trPr>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067E30" w:rsidP="00975237">
            <w:pPr>
              <w:keepNext/>
              <w:keepLines/>
              <w:rPr>
                <w:b/>
                <w:color w:val="000000"/>
                <w:sz w:val="20"/>
                <w:szCs w:val="20"/>
                <w:lang w:eastAsia="en-US"/>
              </w:rPr>
            </w:pPr>
            <w:r w:rsidRPr="00067E30">
              <w:rPr>
                <w:b/>
                <w:color w:val="000000"/>
                <w:sz w:val="20"/>
                <w:szCs w:val="20"/>
                <w:lang w:eastAsia="en-US"/>
              </w:rPr>
              <w:t>Higher Education</w:t>
            </w:r>
          </w:p>
        </w:tc>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Entry</w:t>
            </w:r>
          </w:p>
        </w:tc>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w:t>
            </w:r>
          </w:p>
        </w:tc>
        <w:tc>
          <w:tcPr>
            <w:tcW w:w="0" w:type="auto"/>
            <w:tcBorders>
              <w:top w:val="single" w:sz="4" w:space="0" w:color="auto"/>
              <w:left w:val="nil"/>
              <w:bottom w:val="single" w:sz="4" w:space="0" w:color="auto"/>
              <w:right w:val="nil"/>
            </w:tcBorders>
            <w:vAlign w:val="bottom"/>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Exit</w:t>
            </w:r>
          </w:p>
        </w:tc>
        <w:tc>
          <w:tcPr>
            <w:tcW w:w="0" w:type="auto"/>
            <w:tcBorders>
              <w:top w:val="single" w:sz="4" w:space="0" w:color="auto"/>
              <w:left w:val="nil"/>
              <w:bottom w:val="single" w:sz="4" w:space="0" w:color="auto"/>
              <w:right w:val="nil"/>
            </w:tcBorders>
            <w:vAlign w:val="bottom"/>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w:t>
            </w:r>
          </w:p>
        </w:tc>
      </w:tr>
      <w:tr w:rsidR="00AD0B0F" w:rsidRPr="00067E30" w:rsidTr="00975237">
        <w:trPr>
          <w:trHeight w:val="20"/>
          <w:jc w:val="center"/>
        </w:trPr>
        <w:tc>
          <w:tcPr>
            <w:tcW w:w="0" w:type="auto"/>
            <w:tcBorders>
              <w:top w:val="nil"/>
              <w:left w:val="nil"/>
              <w:bottom w:val="nil"/>
              <w:right w:val="nil"/>
            </w:tcBorders>
            <w:shd w:val="clear" w:color="auto" w:fill="auto"/>
            <w:noWrap/>
            <w:vAlign w:val="bottom"/>
            <w:hideMark/>
          </w:tcPr>
          <w:p w:rsidR="00AD0B0F" w:rsidRPr="00067E30" w:rsidRDefault="00067E30" w:rsidP="00975237">
            <w:pPr>
              <w:keepNext/>
              <w:keepLines/>
              <w:rPr>
                <w:color w:val="000000"/>
                <w:sz w:val="20"/>
                <w:szCs w:val="20"/>
                <w:lang w:eastAsia="en-US"/>
              </w:rPr>
            </w:pPr>
            <w:r w:rsidRPr="00067E30">
              <w:rPr>
                <w:color w:val="000000"/>
                <w:sz w:val="20"/>
                <w:szCs w:val="20"/>
                <w:lang w:eastAsia="en-US"/>
              </w:rPr>
              <w:t>Intra-Metropolitan Areas</w:t>
            </w:r>
          </w:p>
        </w:tc>
        <w:tc>
          <w:tcPr>
            <w:tcW w:w="0" w:type="auto"/>
            <w:tcBorders>
              <w:top w:val="nil"/>
              <w:left w:val="nil"/>
              <w:bottom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21.322</w:t>
            </w:r>
          </w:p>
        </w:tc>
        <w:tc>
          <w:tcPr>
            <w:tcW w:w="0" w:type="auto"/>
            <w:tcBorders>
              <w:top w:val="nil"/>
              <w:left w:val="nil"/>
              <w:bottom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17,3</w:t>
            </w:r>
          </w:p>
        </w:tc>
        <w:tc>
          <w:tcPr>
            <w:tcW w:w="0" w:type="auto"/>
            <w:tcBorders>
              <w:top w:val="nil"/>
              <w:left w:val="nil"/>
              <w:bottom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21.221</w:t>
            </w:r>
          </w:p>
        </w:tc>
        <w:tc>
          <w:tcPr>
            <w:tcW w:w="0" w:type="auto"/>
            <w:tcBorders>
              <w:top w:val="nil"/>
              <w:left w:val="nil"/>
              <w:bottom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17,8</w:t>
            </w:r>
          </w:p>
        </w:tc>
      </w:tr>
      <w:tr w:rsidR="00AD0B0F" w:rsidRPr="00067E30" w:rsidTr="00975237">
        <w:trPr>
          <w:trHeight w:val="20"/>
          <w:jc w:val="center"/>
        </w:trPr>
        <w:tc>
          <w:tcPr>
            <w:tcW w:w="0" w:type="auto"/>
            <w:tcBorders>
              <w:top w:val="nil"/>
              <w:left w:val="nil"/>
              <w:right w:val="nil"/>
            </w:tcBorders>
            <w:shd w:val="clear" w:color="auto" w:fill="auto"/>
            <w:noWrap/>
            <w:vAlign w:val="bottom"/>
            <w:hideMark/>
          </w:tcPr>
          <w:p w:rsidR="00AD0B0F" w:rsidRPr="00067E30" w:rsidRDefault="00067E30" w:rsidP="00975237">
            <w:pPr>
              <w:keepNext/>
              <w:keepLines/>
              <w:rPr>
                <w:color w:val="000000"/>
                <w:sz w:val="20"/>
                <w:szCs w:val="20"/>
                <w:lang w:eastAsia="en-US"/>
              </w:rPr>
            </w:pPr>
            <w:r w:rsidRPr="00067E30">
              <w:rPr>
                <w:color w:val="000000"/>
                <w:sz w:val="20"/>
                <w:szCs w:val="20"/>
                <w:lang w:eastAsia="en-US"/>
              </w:rPr>
              <w:t>Other Areas</w:t>
            </w:r>
          </w:p>
        </w:tc>
        <w:tc>
          <w:tcPr>
            <w:tcW w:w="0" w:type="auto"/>
            <w:tcBorders>
              <w:top w:val="nil"/>
              <w:left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101.959</w:t>
            </w:r>
          </w:p>
        </w:tc>
        <w:tc>
          <w:tcPr>
            <w:tcW w:w="0" w:type="auto"/>
            <w:tcBorders>
              <w:top w:val="nil"/>
              <w:left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82,7</w:t>
            </w:r>
          </w:p>
        </w:tc>
        <w:tc>
          <w:tcPr>
            <w:tcW w:w="0" w:type="auto"/>
            <w:tcBorders>
              <w:top w:val="nil"/>
              <w:left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97.962</w:t>
            </w:r>
          </w:p>
        </w:tc>
        <w:tc>
          <w:tcPr>
            <w:tcW w:w="0" w:type="auto"/>
            <w:tcBorders>
              <w:top w:val="nil"/>
              <w:left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82,2</w:t>
            </w:r>
          </w:p>
        </w:tc>
      </w:tr>
      <w:tr w:rsidR="00AD0B0F" w:rsidRPr="00067E30"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rPr>
                <w:color w:val="000000"/>
                <w:sz w:val="20"/>
                <w:szCs w:val="20"/>
                <w:lang w:eastAsia="en-US"/>
              </w:rPr>
            </w:pPr>
            <w:r w:rsidRPr="00067E30">
              <w:rPr>
                <w:color w:val="000000"/>
                <w:sz w:val="20"/>
                <w:szCs w:val="20"/>
                <w:lang w:eastAsia="en-US"/>
              </w:rPr>
              <w:t>Total</w:t>
            </w:r>
          </w:p>
        </w:tc>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123.281</w:t>
            </w:r>
          </w:p>
        </w:tc>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100,0</w:t>
            </w:r>
          </w:p>
        </w:tc>
        <w:tc>
          <w:tcPr>
            <w:tcW w:w="0" w:type="auto"/>
            <w:tcBorders>
              <w:top w:val="nil"/>
              <w:left w:val="nil"/>
              <w:bottom w:val="single" w:sz="4" w:space="0" w:color="auto"/>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119.183</w:t>
            </w:r>
          </w:p>
        </w:tc>
        <w:tc>
          <w:tcPr>
            <w:tcW w:w="0" w:type="auto"/>
            <w:tcBorders>
              <w:top w:val="nil"/>
              <w:left w:val="nil"/>
              <w:bottom w:val="single" w:sz="4" w:space="0" w:color="auto"/>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100,0</w:t>
            </w:r>
          </w:p>
        </w:tc>
      </w:tr>
      <w:tr w:rsidR="00AD0B0F" w:rsidRPr="00067E30" w:rsidTr="00975237">
        <w:trPr>
          <w:trHeight w:val="20"/>
          <w:jc w:val="center"/>
        </w:trPr>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067E30" w:rsidP="00975237">
            <w:pPr>
              <w:keepNext/>
              <w:keepLines/>
              <w:rPr>
                <w:b/>
                <w:color w:val="000000"/>
                <w:sz w:val="20"/>
                <w:szCs w:val="20"/>
                <w:lang w:eastAsia="en-US"/>
              </w:rPr>
            </w:pPr>
            <w:r w:rsidRPr="00067E30">
              <w:rPr>
                <w:b/>
                <w:color w:val="000000"/>
                <w:sz w:val="20"/>
                <w:szCs w:val="20"/>
                <w:shd w:val="clear" w:color="auto" w:fill="FFFFFF"/>
              </w:rPr>
              <w:t>Technical and scientific occupations</w:t>
            </w:r>
          </w:p>
        </w:tc>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Entry</w:t>
            </w:r>
          </w:p>
        </w:tc>
        <w:tc>
          <w:tcPr>
            <w:tcW w:w="0" w:type="auto"/>
            <w:tcBorders>
              <w:top w:val="single" w:sz="4" w:space="0" w:color="auto"/>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w:t>
            </w:r>
          </w:p>
        </w:tc>
        <w:tc>
          <w:tcPr>
            <w:tcW w:w="0" w:type="auto"/>
            <w:tcBorders>
              <w:top w:val="single" w:sz="4" w:space="0" w:color="auto"/>
              <w:left w:val="nil"/>
              <w:bottom w:val="single" w:sz="4" w:space="0" w:color="auto"/>
              <w:right w:val="nil"/>
            </w:tcBorders>
            <w:vAlign w:val="bottom"/>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Exit</w:t>
            </w:r>
          </w:p>
        </w:tc>
        <w:tc>
          <w:tcPr>
            <w:tcW w:w="0" w:type="auto"/>
            <w:tcBorders>
              <w:top w:val="single" w:sz="4" w:space="0" w:color="auto"/>
              <w:left w:val="nil"/>
              <w:bottom w:val="single" w:sz="4" w:space="0" w:color="auto"/>
              <w:right w:val="nil"/>
            </w:tcBorders>
            <w:vAlign w:val="bottom"/>
          </w:tcPr>
          <w:p w:rsidR="00AD0B0F" w:rsidRPr="00067E30" w:rsidRDefault="00AD0B0F" w:rsidP="00975237">
            <w:pPr>
              <w:keepNext/>
              <w:keepLines/>
              <w:jc w:val="right"/>
              <w:rPr>
                <w:b/>
                <w:color w:val="000000"/>
                <w:sz w:val="20"/>
                <w:szCs w:val="20"/>
                <w:lang w:eastAsia="en-US"/>
              </w:rPr>
            </w:pPr>
            <w:r w:rsidRPr="00067E30">
              <w:rPr>
                <w:b/>
                <w:color w:val="000000"/>
                <w:sz w:val="20"/>
                <w:szCs w:val="20"/>
                <w:lang w:eastAsia="en-US"/>
              </w:rPr>
              <w:t>%</w:t>
            </w:r>
          </w:p>
        </w:tc>
      </w:tr>
      <w:tr w:rsidR="00AD0B0F" w:rsidRPr="00067E30" w:rsidTr="00975237">
        <w:trPr>
          <w:trHeight w:val="20"/>
          <w:jc w:val="center"/>
        </w:trPr>
        <w:tc>
          <w:tcPr>
            <w:tcW w:w="0" w:type="auto"/>
            <w:tcBorders>
              <w:top w:val="nil"/>
              <w:left w:val="nil"/>
              <w:bottom w:val="nil"/>
              <w:right w:val="nil"/>
            </w:tcBorders>
            <w:shd w:val="clear" w:color="auto" w:fill="auto"/>
            <w:noWrap/>
            <w:vAlign w:val="bottom"/>
            <w:hideMark/>
          </w:tcPr>
          <w:p w:rsidR="00AD0B0F" w:rsidRPr="00067E30" w:rsidRDefault="00067E30" w:rsidP="00975237">
            <w:pPr>
              <w:keepNext/>
              <w:keepLines/>
              <w:rPr>
                <w:color w:val="000000"/>
                <w:sz w:val="20"/>
                <w:szCs w:val="20"/>
                <w:lang w:eastAsia="en-US"/>
              </w:rPr>
            </w:pPr>
            <w:r w:rsidRPr="00067E30">
              <w:rPr>
                <w:color w:val="000000"/>
                <w:sz w:val="20"/>
                <w:szCs w:val="20"/>
                <w:lang w:eastAsia="en-US"/>
              </w:rPr>
              <w:t>Intra-Metropolitan Areas</w:t>
            </w:r>
          </w:p>
        </w:tc>
        <w:tc>
          <w:tcPr>
            <w:tcW w:w="0" w:type="auto"/>
            <w:tcBorders>
              <w:top w:val="nil"/>
              <w:left w:val="nil"/>
              <w:bottom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3.725</w:t>
            </w:r>
          </w:p>
        </w:tc>
        <w:tc>
          <w:tcPr>
            <w:tcW w:w="0" w:type="auto"/>
            <w:tcBorders>
              <w:top w:val="nil"/>
              <w:left w:val="nil"/>
              <w:bottom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14,1</w:t>
            </w:r>
          </w:p>
        </w:tc>
        <w:tc>
          <w:tcPr>
            <w:tcW w:w="0" w:type="auto"/>
            <w:tcBorders>
              <w:top w:val="nil"/>
              <w:left w:val="nil"/>
              <w:bottom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4.034</w:t>
            </w:r>
          </w:p>
        </w:tc>
        <w:tc>
          <w:tcPr>
            <w:tcW w:w="0" w:type="auto"/>
            <w:tcBorders>
              <w:top w:val="nil"/>
              <w:left w:val="nil"/>
              <w:bottom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16,2</w:t>
            </w:r>
          </w:p>
        </w:tc>
      </w:tr>
      <w:tr w:rsidR="00AD0B0F" w:rsidRPr="00067E30" w:rsidTr="00975237">
        <w:trPr>
          <w:trHeight w:val="20"/>
          <w:jc w:val="center"/>
        </w:trPr>
        <w:tc>
          <w:tcPr>
            <w:tcW w:w="0" w:type="auto"/>
            <w:tcBorders>
              <w:top w:val="nil"/>
              <w:left w:val="nil"/>
              <w:right w:val="nil"/>
            </w:tcBorders>
            <w:shd w:val="clear" w:color="auto" w:fill="auto"/>
            <w:noWrap/>
            <w:vAlign w:val="bottom"/>
            <w:hideMark/>
          </w:tcPr>
          <w:p w:rsidR="00AD0B0F" w:rsidRPr="00067E30" w:rsidRDefault="00067E30" w:rsidP="00975237">
            <w:pPr>
              <w:keepNext/>
              <w:keepLines/>
              <w:rPr>
                <w:color w:val="000000"/>
                <w:sz w:val="20"/>
                <w:szCs w:val="20"/>
                <w:lang w:eastAsia="en-US"/>
              </w:rPr>
            </w:pPr>
            <w:r w:rsidRPr="00067E30">
              <w:rPr>
                <w:color w:val="000000"/>
                <w:sz w:val="20"/>
                <w:szCs w:val="20"/>
                <w:lang w:eastAsia="en-US"/>
              </w:rPr>
              <w:t>Other Areas</w:t>
            </w:r>
          </w:p>
        </w:tc>
        <w:tc>
          <w:tcPr>
            <w:tcW w:w="0" w:type="auto"/>
            <w:tcBorders>
              <w:top w:val="nil"/>
              <w:left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22.716</w:t>
            </w:r>
          </w:p>
        </w:tc>
        <w:tc>
          <w:tcPr>
            <w:tcW w:w="0" w:type="auto"/>
            <w:tcBorders>
              <w:top w:val="nil"/>
              <w:left w:val="nil"/>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85,9</w:t>
            </w:r>
          </w:p>
        </w:tc>
        <w:tc>
          <w:tcPr>
            <w:tcW w:w="0" w:type="auto"/>
            <w:tcBorders>
              <w:top w:val="nil"/>
              <w:left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20.879</w:t>
            </w:r>
          </w:p>
        </w:tc>
        <w:tc>
          <w:tcPr>
            <w:tcW w:w="0" w:type="auto"/>
            <w:tcBorders>
              <w:top w:val="nil"/>
              <w:left w:val="nil"/>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83,8</w:t>
            </w:r>
          </w:p>
        </w:tc>
      </w:tr>
      <w:tr w:rsidR="00AD0B0F" w:rsidRPr="00067E30"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rPr>
                <w:color w:val="000000"/>
                <w:sz w:val="20"/>
                <w:szCs w:val="20"/>
                <w:lang w:eastAsia="en-US"/>
              </w:rPr>
            </w:pPr>
            <w:r w:rsidRPr="00067E30">
              <w:rPr>
                <w:color w:val="000000"/>
                <w:sz w:val="20"/>
                <w:szCs w:val="20"/>
                <w:lang w:eastAsia="en-US"/>
              </w:rPr>
              <w:t>Total</w:t>
            </w:r>
          </w:p>
        </w:tc>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26.441</w:t>
            </w:r>
          </w:p>
        </w:tc>
        <w:tc>
          <w:tcPr>
            <w:tcW w:w="0" w:type="auto"/>
            <w:tcBorders>
              <w:top w:val="nil"/>
              <w:left w:val="nil"/>
              <w:bottom w:val="single" w:sz="4" w:space="0" w:color="auto"/>
              <w:right w:val="nil"/>
            </w:tcBorders>
            <w:shd w:val="clear" w:color="auto" w:fill="auto"/>
            <w:noWrap/>
            <w:vAlign w:val="bottom"/>
            <w:hideMark/>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100,0</w:t>
            </w:r>
          </w:p>
        </w:tc>
        <w:tc>
          <w:tcPr>
            <w:tcW w:w="0" w:type="auto"/>
            <w:tcBorders>
              <w:top w:val="nil"/>
              <w:left w:val="nil"/>
              <w:bottom w:val="single" w:sz="4" w:space="0" w:color="auto"/>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24.913</w:t>
            </w:r>
          </w:p>
        </w:tc>
        <w:tc>
          <w:tcPr>
            <w:tcW w:w="0" w:type="auto"/>
            <w:tcBorders>
              <w:top w:val="nil"/>
              <w:left w:val="nil"/>
              <w:bottom w:val="single" w:sz="4" w:space="0" w:color="auto"/>
              <w:right w:val="nil"/>
            </w:tcBorders>
            <w:vAlign w:val="bottom"/>
          </w:tcPr>
          <w:p w:rsidR="00AD0B0F" w:rsidRPr="00067E30" w:rsidRDefault="00AD0B0F" w:rsidP="00975237">
            <w:pPr>
              <w:keepNext/>
              <w:keepLines/>
              <w:jc w:val="right"/>
              <w:rPr>
                <w:color w:val="000000"/>
                <w:sz w:val="20"/>
                <w:szCs w:val="20"/>
                <w:lang w:eastAsia="en-US"/>
              </w:rPr>
            </w:pPr>
            <w:r w:rsidRPr="00067E30">
              <w:rPr>
                <w:color w:val="000000"/>
                <w:sz w:val="20"/>
                <w:szCs w:val="20"/>
                <w:lang w:eastAsia="en-US"/>
              </w:rPr>
              <w:t>100,0</w:t>
            </w:r>
          </w:p>
        </w:tc>
      </w:tr>
    </w:tbl>
    <w:p w:rsidR="00AD0B0F" w:rsidRPr="00FB1D7B" w:rsidRDefault="00FB1D7B" w:rsidP="00AD0B0F">
      <w:pPr>
        <w:keepNext/>
        <w:keepLines/>
        <w:autoSpaceDE w:val="0"/>
        <w:autoSpaceDN w:val="0"/>
        <w:adjustRightInd w:val="0"/>
        <w:ind w:firstLine="357"/>
        <w:jc w:val="center"/>
        <w:rPr>
          <w:b/>
          <w:sz w:val="20"/>
          <w:szCs w:val="20"/>
        </w:rPr>
      </w:pPr>
      <w:r w:rsidRPr="00FB1D7B">
        <w:rPr>
          <w:b/>
          <w:sz w:val="20"/>
          <w:szCs w:val="20"/>
        </w:rPr>
        <w:t>Source</w:t>
      </w:r>
      <w:r w:rsidR="00AD0B0F" w:rsidRPr="00FB1D7B">
        <w:rPr>
          <w:b/>
          <w:sz w:val="20"/>
          <w:szCs w:val="20"/>
        </w:rPr>
        <w:t xml:space="preserve">: </w:t>
      </w:r>
      <w:r w:rsidR="007C46C0" w:rsidRPr="007C46C0">
        <w:rPr>
          <w:b/>
          <w:sz w:val="20"/>
          <w:szCs w:val="20"/>
        </w:rPr>
        <w:t>Original Work, using data of</w:t>
      </w:r>
      <w:r w:rsidR="007C46C0">
        <w:rPr>
          <w:b/>
          <w:sz w:val="20"/>
          <w:szCs w:val="20"/>
        </w:rPr>
        <w:t xml:space="preserve"> </w:t>
      </w:r>
      <w:r w:rsidR="00AD0B0F" w:rsidRPr="00FB1D7B">
        <w:rPr>
          <w:b/>
          <w:sz w:val="20"/>
          <w:szCs w:val="20"/>
        </w:rPr>
        <w:t>RAIS ID</w:t>
      </w:r>
    </w:p>
    <w:p w:rsidR="0053274B" w:rsidRPr="00FB1D7B" w:rsidRDefault="00273BC7" w:rsidP="00B73F9C">
      <w:pPr>
        <w:spacing w:line="360" w:lineRule="auto"/>
        <w:ind w:firstLine="708"/>
        <w:contextualSpacing/>
        <w:jc w:val="both"/>
        <w:rPr>
          <w:color w:val="000000"/>
          <w:shd w:val="clear" w:color="auto" w:fill="FFFFFF"/>
        </w:rPr>
      </w:pPr>
      <w:r w:rsidRPr="00FB1D7B">
        <w:rPr>
          <w:color w:val="000000"/>
          <w:shd w:val="clear" w:color="auto" w:fill="FFFFFF"/>
        </w:rPr>
        <w:t xml:space="preserve"> </w:t>
      </w:r>
    </w:p>
    <w:p w:rsidR="00376162" w:rsidRPr="00376162" w:rsidRDefault="00376162" w:rsidP="00376162">
      <w:pPr>
        <w:spacing w:line="360" w:lineRule="auto"/>
        <w:ind w:firstLine="709"/>
        <w:contextualSpacing/>
        <w:jc w:val="both"/>
        <w:rPr>
          <w:color w:val="000000"/>
          <w:shd w:val="clear" w:color="auto" w:fill="FFFFFF"/>
        </w:rPr>
      </w:pPr>
      <w:r w:rsidRPr="00376162">
        <w:rPr>
          <w:color w:val="000000"/>
          <w:shd w:val="clear" w:color="auto" w:fill="FFFFFF"/>
        </w:rPr>
        <w:t>Table 5 presents the percentage of mobility that occurred between micro-regions localized in the same metropolitan areas. These pairs of micro-regions correspond to around 17% for mobility of total workers and higher education workers, and for workers in occupations selected the percentage is around 14%. So it is possible to conclude that a relevant part of the movements is concentrated. Since the patent activities in Brazil and the movement of workers are concentrated, the estimation with movements of workers between all micro-regions may be biased. Due to the concentration, the estimates may be producing a result that is related with a phenomenon that is characteristic of metropolitan regions.</w:t>
      </w:r>
    </w:p>
    <w:p w:rsidR="00E548CF" w:rsidRPr="00376162" w:rsidRDefault="00376162" w:rsidP="00376162">
      <w:pPr>
        <w:spacing w:line="360" w:lineRule="auto"/>
        <w:ind w:firstLine="709"/>
        <w:contextualSpacing/>
        <w:jc w:val="both"/>
        <w:rPr>
          <w:color w:val="000000"/>
          <w:shd w:val="clear" w:color="auto" w:fill="FFFFFF"/>
        </w:rPr>
      </w:pPr>
      <w:r w:rsidRPr="00376162">
        <w:rPr>
          <w:color w:val="000000"/>
          <w:shd w:val="clear" w:color="auto" w:fill="FFFFFF"/>
        </w:rPr>
        <w:t>Table 6 presents the results of additional estimations. In these estimations the measure of mobility of workers was created without considering the mobility of workers that occurred between micro-regions belonging to the same metropolitan area. For example: it was excluded the mobility of workers between the micro-region of São Paulo and Osasco, which are two geographically close large cities that have much interchange of workers. The results are very similar to the estimation that contains all movements of workers. It corroborates to the importance of mobility of skilled workers for the regional innovation in all Brazil.</w:t>
      </w:r>
    </w:p>
    <w:p w:rsidR="00E548CF" w:rsidRPr="00E548CF" w:rsidRDefault="00E548CF" w:rsidP="00E548CF">
      <w:pPr>
        <w:pStyle w:val="Legenda"/>
        <w:keepNext/>
        <w:keepLines/>
        <w:spacing w:before="0" w:after="0"/>
        <w:jc w:val="center"/>
        <w:rPr>
          <w:b/>
          <w:i w:val="0"/>
          <w:sz w:val="20"/>
          <w:szCs w:val="20"/>
        </w:rPr>
      </w:pPr>
      <w:r w:rsidRPr="00E548CF">
        <w:rPr>
          <w:b/>
          <w:i w:val="0"/>
          <w:sz w:val="20"/>
          <w:szCs w:val="20"/>
        </w:rPr>
        <w:lastRenderedPageBreak/>
        <w:t xml:space="preserve">Table </w:t>
      </w:r>
      <w:r>
        <w:rPr>
          <w:b/>
          <w:i w:val="0"/>
          <w:sz w:val="20"/>
          <w:szCs w:val="20"/>
        </w:rPr>
        <w:t>6</w:t>
      </w:r>
      <w:r w:rsidRPr="00E548CF">
        <w:rPr>
          <w:b/>
          <w:i w:val="0"/>
          <w:sz w:val="20"/>
          <w:szCs w:val="20"/>
        </w:rPr>
        <w:t>: Results of</w:t>
      </w:r>
      <w:r>
        <w:rPr>
          <w:b/>
          <w:i w:val="0"/>
          <w:sz w:val="20"/>
          <w:szCs w:val="20"/>
        </w:rPr>
        <w:t xml:space="preserve"> </w:t>
      </w:r>
      <w:proofErr w:type="spellStart"/>
      <w:r>
        <w:rPr>
          <w:b/>
          <w:i w:val="0"/>
          <w:sz w:val="20"/>
          <w:szCs w:val="20"/>
        </w:rPr>
        <w:t>Tobit</w:t>
      </w:r>
      <w:proofErr w:type="spellEnd"/>
      <w:r>
        <w:rPr>
          <w:b/>
          <w:i w:val="0"/>
          <w:sz w:val="20"/>
          <w:szCs w:val="20"/>
        </w:rPr>
        <w:t xml:space="preserve"> r</w:t>
      </w:r>
      <w:r w:rsidRPr="00E548CF">
        <w:rPr>
          <w:b/>
          <w:i w:val="0"/>
          <w:sz w:val="20"/>
          <w:szCs w:val="20"/>
        </w:rPr>
        <w:t>egression</w:t>
      </w:r>
      <w:r>
        <w:rPr>
          <w:b/>
          <w:i w:val="0"/>
          <w:sz w:val="20"/>
          <w:szCs w:val="20"/>
        </w:rPr>
        <w:t xml:space="preserve"> without the mobility of workers intra-metropolitan areas</w:t>
      </w:r>
    </w:p>
    <w:tbl>
      <w:tblPr>
        <w:tblW w:w="0" w:type="auto"/>
        <w:jc w:val="center"/>
        <w:tblLook w:val="04A0" w:firstRow="1" w:lastRow="0" w:firstColumn="1" w:lastColumn="0" w:noHBand="0" w:noVBand="1"/>
      </w:tblPr>
      <w:tblGrid>
        <w:gridCol w:w="2288"/>
        <w:gridCol w:w="870"/>
        <w:gridCol w:w="870"/>
        <w:gridCol w:w="870"/>
        <w:gridCol w:w="870"/>
        <w:gridCol w:w="870"/>
        <w:gridCol w:w="870"/>
      </w:tblGrid>
      <w:tr w:rsidR="00975237" w:rsidRPr="00B70548" w:rsidTr="00975237">
        <w:trPr>
          <w:trHeight w:val="20"/>
          <w:jc w:val="center"/>
        </w:trPr>
        <w:tc>
          <w:tcPr>
            <w:tcW w:w="0" w:type="auto"/>
            <w:tcBorders>
              <w:top w:val="single" w:sz="4" w:space="0" w:color="auto"/>
              <w:left w:val="nil"/>
              <w:bottom w:val="single" w:sz="4" w:space="0" w:color="000000"/>
              <w:right w:val="nil"/>
            </w:tcBorders>
            <w:shd w:val="clear" w:color="auto" w:fill="auto"/>
            <w:noWrap/>
            <w:vAlign w:val="bottom"/>
            <w:hideMark/>
          </w:tcPr>
          <w:p w:rsidR="00975237" w:rsidRPr="00B70548" w:rsidRDefault="00975237" w:rsidP="00E548CF">
            <w:pPr>
              <w:keepNext/>
              <w:keepLines/>
              <w:rPr>
                <w:sz w:val="16"/>
                <w:szCs w:val="16"/>
                <w:lang w:eastAsia="en-US"/>
              </w:rPr>
            </w:pPr>
            <w:r>
              <w:rPr>
                <w:sz w:val="16"/>
                <w:szCs w:val="16"/>
                <w:lang w:eastAsia="en-US"/>
              </w:rPr>
              <w:t>Variables</w:t>
            </w:r>
            <w:r w:rsidRPr="00B70548">
              <w:rPr>
                <w:sz w:val="16"/>
                <w:szCs w:val="16"/>
                <w:lang w:eastAsia="en-US"/>
              </w:rPr>
              <w:t xml:space="preserve"> (n=558)</w:t>
            </w:r>
          </w:p>
        </w:tc>
        <w:tc>
          <w:tcPr>
            <w:tcW w:w="0" w:type="auto"/>
            <w:tcBorders>
              <w:top w:val="single" w:sz="4" w:space="0" w:color="auto"/>
              <w:left w:val="nil"/>
              <w:bottom w:val="single" w:sz="4" w:space="0" w:color="000000"/>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13</w:t>
            </w:r>
          </w:p>
        </w:tc>
        <w:tc>
          <w:tcPr>
            <w:tcW w:w="0" w:type="auto"/>
            <w:tcBorders>
              <w:top w:val="single" w:sz="4" w:space="0" w:color="auto"/>
              <w:left w:val="nil"/>
              <w:bottom w:val="single" w:sz="4" w:space="0" w:color="000000"/>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14</w:t>
            </w:r>
          </w:p>
        </w:tc>
        <w:tc>
          <w:tcPr>
            <w:tcW w:w="0" w:type="auto"/>
            <w:tcBorders>
              <w:top w:val="single" w:sz="4" w:space="0" w:color="auto"/>
              <w:left w:val="nil"/>
              <w:bottom w:val="single" w:sz="4" w:space="0" w:color="000000"/>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15</w:t>
            </w:r>
          </w:p>
        </w:tc>
        <w:tc>
          <w:tcPr>
            <w:tcW w:w="0" w:type="auto"/>
            <w:tcBorders>
              <w:top w:val="single" w:sz="4" w:space="0" w:color="auto"/>
              <w:left w:val="nil"/>
              <w:bottom w:val="single" w:sz="4" w:space="0" w:color="000000"/>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16</w:t>
            </w:r>
          </w:p>
        </w:tc>
        <w:tc>
          <w:tcPr>
            <w:tcW w:w="0" w:type="auto"/>
            <w:tcBorders>
              <w:top w:val="single" w:sz="4" w:space="0" w:color="auto"/>
              <w:left w:val="nil"/>
              <w:bottom w:val="single" w:sz="4" w:space="0" w:color="000000"/>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17</w:t>
            </w:r>
          </w:p>
        </w:tc>
        <w:tc>
          <w:tcPr>
            <w:tcW w:w="0" w:type="auto"/>
            <w:tcBorders>
              <w:top w:val="single" w:sz="4" w:space="0" w:color="auto"/>
              <w:left w:val="nil"/>
              <w:bottom w:val="single" w:sz="4" w:space="0" w:color="000000"/>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18</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CB4408" w:rsidRDefault="00975237" w:rsidP="00E548CF">
            <w:pPr>
              <w:keepNext/>
              <w:keepLines/>
              <w:rPr>
                <w:sz w:val="16"/>
                <w:szCs w:val="16"/>
                <w:lang w:eastAsia="en-US"/>
              </w:rPr>
            </w:pPr>
            <w:proofErr w:type="spellStart"/>
            <w:r>
              <w:rPr>
                <w:sz w:val="16"/>
                <w:szCs w:val="16"/>
                <w:lang w:eastAsia="en-US"/>
              </w:rPr>
              <w:t>ln</w:t>
            </w:r>
            <w:proofErr w:type="spellEnd"/>
            <w:r>
              <w:rPr>
                <w:sz w:val="16"/>
                <w:szCs w:val="16"/>
                <w:lang w:eastAsia="en-US"/>
              </w:rPr>
              <w:t>(R</w:t>
            </w:r>
            <w:r w:rsidRPr="00CB4408">
              <w:rPr>
                <w:sz w:val="16"/>
                <w:szCs w:val="16"/>
                <w:lang w:eastAsia="en-US"/>
              </w:rPr>
              <w:t>&amp;DLocal</w:t>
            </w:r>
            <w:r w:rsidRPr="00CB4408">
              <w:rPr>
                <w:sz w:val="16"/>
                <w:szCs w:val="16"/>
                <w:vertAlign w:val="subscript"/>
                <w:lang w:eastAsia="en-US"/>
              </w:rPr>
              <w:t>2008</w:t>
            </w:r>
            <w:r>
              <w:rPr>
                <w:sz w:val="16"/>
                <w:szCs w:val="16"/>
                <w:lang w:eastAsia="en-US"/>
              </w:rPr>
              <w:t>)</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0.146***</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0.127***</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0.136***</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0.148***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0.139***</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(0.0228)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(0.0234)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(0.0230)</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(0.0227)</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(0.0232)</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(0.0234)</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roofErr w:type="spellStart"/>
            <w:r>
              <w:rPr>
                <w:sz w:val="16"/>
                <w:szCs w:val="16"/>
                <w:lang w:eastAsia="en-US"/>
              </w:rPr>
              <w:t>l</w:t>
            </w:r>
            <w:r w:rsidRPr="001C7033">
              <w:rPr>
                <w:sz w:val="16"/>
                <w:szCs w:val="16"/>
                <w:lang w:eastAsia="en-US"/>
              </w:rPr>
              <w:t>n</w:t>
            </w:r>
            <w:proofErr w:type="spellEnd"/>
            <w:r>
              <w:rPr>
                <w:sz w:val="16"/>
                <w:szCs w:val="16"/>
                <w:lang w:eastAsia="en-US"/>
              </w:rPr>
              <w:t>(R&amp;</w:t>
            </w:r>
            <w:r w:rsidRPr="001C7033">
              <w:rPr>
                <w:sz w:val="16"/>
                <w:szCs w:val="16"/>
                <w:lang w:eastAsia="en-US"/>
              </w:rPr>
              <w:t>D</w:t>
            </w:r>
            <w:r>
              <w:rPr>
                <w:sz w:val="16"/>
                <w:szCs w:val="16"/>
                <w:lang w:eastAsia="en-US"/>
              </w:rPr>
              <w:t>Univ</w:t>
            </w:r>
            <w:r w:rsidRPr="00CB4408">
              <w:rPr>
                <w:sz w:val="16"/>
                <w:szCs w:val="16"/>
                <w:vertAlign w:val="subscript"/>
                <w:lang w:eastAsia="en-US"/>
              </w:rPr>
              <w:t>2008</w:t>
            </w:r>
            <w:r>
              <w:rPr>
                <w:sz w:val="16"/>
                <w:szCs w:val="16"/>
                <w:lang w:eastAsia="en-US"/>
              </w:rPr>
              <w:t>)</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0.130***</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0.126***</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0.126***</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0.127***</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(0.0189)</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(0.0189)</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(0.0189)</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(0.0190)</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(0.0188)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(0.0190)</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Kindex</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-0.493***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-0.490***</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-0.524***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-0.488***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-0.455***</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-0.492***</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(0.122)</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(0.122)</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Metro</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0.0870</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0.0909</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0.0711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0.0822</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0.0991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0.0833</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(0.0684)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(0.0660)</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(0.0683)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(0.0666)</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(0.0665)</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SSE</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0.607***</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0.611***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0.602***</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0.601***</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(0.0577)</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(0.0569)</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(0.0569)</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(0.0573)</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ShareManuf</w:t>
            </w:r>
            <w:r w:rsidRPr="00CB4408">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1.033***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1.084***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1.089***</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1.048***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1.084***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1.061***</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(0.202)</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(0.203)</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5A3774" w:rsidRDefault="00975237" w:rsidP="00E548CF">
            <w:pPr>
              <w:keepNext/>
              <w:keepLines/>
              <w:rPr>
                <w:sz w:val="16"/>
                <w:szCs w:val="16"/>
                <w:lang w:eastAsia="en-US"/>
              </w:rPr>
            </w:pPr>
            <w:r w:rsidRPr="005A3774">
              <w:rPr>
                <w:sz w:val="16"/>
                <w:szCs w:val="16"/>
                <w:lang w:eastAsia="en-US"/>
              </w:rPr>
              <w:t>ShareAgri</w:t>
            </w:r>
            <w:r w:rsidRPr="005A3774">
              <w:rPr>
                <w:sz w:val="16"/>
                <w:szCs w:val="16"/>
                <w:vertAlign w:val="subscript"/>
                <w:lang w:eastAsia="en-US"/>
              </w:rPr>
              <w:t>2008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-0.409</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-0.320</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-0.268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-0.373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-0.312</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-0.311</w:t>
            </w: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5A3774"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(0.306)</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(0.295)</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(0.300)</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(0.292)</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(0.295)</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5A3774" w:rsidRDefault="00975237" w:rsidP="00E548CF">
            <w:pPr>
              <w:keepNext/>
              <w:keepLines/>
              <w:rPr>
                <w:sz w:val="16"/>
                <w:szCs w:val="16"/>
                <w:lang w:eastAsia="en-US"/>
              </w:rPr>
            </w:pPr>
            <w:r w:rsidRPr="005A3774">
              <w:rPr>
                <w:sz w:val="16"/>
                <w:szCs w:val="16"/>
                <w:lang w:eastAsia="en-US"/>
              </w:rPr>
              <w:t>ShareExtrat</w:t>
            </w:r>
            <w:r w:rsidRPr="005A3774">
              <w:rPr>
                <w:sz w:val="16"/>
                <w:szCs w:val="16"/>
                <w:vertAlign w:val="subscript"/>
                <w:lang w:eastAsia="en-US"/>
              </w:rPr>
              <w:t>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-0.400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-1.734</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-1.529</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-0.238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-0.785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-0.859</w:t>
            </w:r>
          </w:p>
        </w:tc>
      </w:tr>
      <w:tr w:rsidR="00975237" w:rsidRPr="007066B1"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975237" w:rsidRPr="005A3774" w:rsidRDefault="00975237" w:rsidP="00E548CF">
            <w:pPr>
              <w:keepNext/>
              <w:keepLines/>
              <w:rPr>
                <w:sz w:val="16"/>
                <w:szCs w:val="16"/>
                <w:lang w:eastAsia="en-US"/>
              </w:rPr>
            </w:pPr>
            <w:r w:rsidRPr="005A3774">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(1.026)</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(1.108)</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(1.109)</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(1.005)</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(1.018)</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(1.085)</w:t>
            </w:r>
          </w:p>
        </w:tc>
      </w:tr>
      <w:tr w:rsidR="00975237" w:rsidRPr="007066B1" w:rsidTr="00975237">
        <w:trPr>
          <w:trHeight w:val="20"/>
          <w:jc w:val="center"/>
        </w:trPr>
        <w:tc>
          <w:tcPr>
            <w:tcW w:w="0" w:type="auto"/>
            <w:tcBorders>
              <w:top w:val="single" w:sz="4" w:space="0" w:color="auto"/>
              <w:left w:val="nil"/>
              <w:bottom w:val="nil"/>
              <w:right w:val="nil"/>
            </w:tcBorders>
            <w:shd w:val="clear" w:color="auto" w:fill="auto"/>
            <w:noWrap/>
            <w:vAlign w:val="bottom"/>
            <w:hideMark/>
          </w:tcPr>
          <w:p w:rsidR="00975237" w:rsidRPr="001C7033" w:rsidRDefault="00CB7B0A" w:rsidP="00CB7B0A">
            <w:pPr>
              <w:keepNext/>
              <w:keepLines/>
              <w:rPr>
                <w:sz w:val="16"/>
                <w:szCs w:val="16"/>
                <w:lang w:eastAsia="en-US"/>
              </w:rPr>
            </w:pPr>
            <w:proofErr w:type="spellStart"/>
            <w:r>
              <w:rPr>
                <w:sz w:val="16"/>
                <w:szCs w:val="16"/>
                <w:lang w:eastAsia="en-US"/>
              </w:rPr>
              <w:t>Inflow</w:t>
            </w:r>
            <w:r w:rsidR="00975237" w:rsidRPr="00CB4408">
              <w:rPr>
                <w:sz w:val="16"/>
                <w:szCs w:val="16"/>
                <w:lang w:eastAsia="en-US"/>
              </w:rPr>
              <w:t>_</w:t>
            </w:r>
            <w:r w:rsidR="00975237">
              <w:rPr>
                <w:sz w:val="16"/>
                <w:szCs w:val="16"/>
                <w:lang w:eastAsia="en-US"/>
              </w:rPr>
              <w:t>TO_ExcMetro</w:t>
            </w:r>
            <w:proofErr w:type="spellEnd"/>
            <w:r w:rsidR="00975237">
              <w:rPr>
                <w:sz w:val="16"/>
                <w:szCs w:val="16"/>
                <w:vertAlign w:val="subscript"/>
                <w:lang w:eastAsia="en-US"/>
              </w:rPr>
              <w:t xml:space="preserve"> (2</w:t>
            </w:r>
            <w:r w:rsidR="00975237" w:rsidRPr="00CB4408">
              <w:rPr>
                <w:sz w:val="16"/>
                <w:szCs w:val="16"/>
                <w:vertAlign w:val="subscript"/>
                <w:lang w:eastAsia="en-US"/>
              </w:rPr>
              <w:t>00</w:t>
            </w:r>
            <w:r w:rsidR="00975237">
              <w:rPr>
                <w:sz w:val="16"/>
                <w:szCs w:val="16"/>
                <w:vertAlign w:val="subscript"/>
                <w:lang w:eastAsia="en-US"/>
              </w:rPr>
              <w:t>3-2008)</w:t>
            </w: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0.266</w:t>
            </w: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(0.366)</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CB7B0A" w:rsidP="00CB7B0A">
            <w:pPr>
              <w:keepNext/>
              <w:keepLines/>
              <w:rPr>
                <w:sz w:val="16"/>
                <w:szCs w:val="16"/>
                <w:lang w:eastAsia="en-US"/>
              </w:rPr>
            </w:pPr>
            <w:proofErr w:type="spellStart"/>
            <w:r>
              <w:rPr>
                <w:sz w:val="16"/>
                <w:szCs w:val="16"/>
                <w:lang w:eastAsia="en-US"/>
              </w:rPr>
              <w:t>Inflow</w:t>
            </w:r>
            <w:r w:rsidR="00975237">
              <w:rPr>
                <w:sz w:val="16"/>
                <w:szCs w:val="16"/>
                <w:lang w:eastAsia="en-US"/>
              </w:rPr>
              <w:t>_HE</w:t>
            </w:r>
            <w:r w:rsidR="00975237" w:rsidRPr="00CB4408">
              <w:rPr>
                <w:sz w:val="16"/>
                <w:szCs w:val="16"/>
                <w:lang w:eastAsia="en-US"/>
              </w:rPr>
              <w:t>_</w:t>
            </w:r>
            <w:r w:rsidR="00975237">
              <w:rPr>
                <w:sz w:val="16"/>
                <w:szCs w:val="16"/>
                <w:lang w:eastAsia="en-US"/>
              </w:rPr>
              <w:t>ExcMetro</w:t>
            </w:r>
            <w:proofErr w:type="spellEnd"/>
            <w:r w:rsidR="00975237">
              <w:rPr>
                <w:sz w:val="16"/>
                <w:szCs w:val="16"/>
                <w:vertAlign w:val="subscript"/>
                <w:lang w:eastAsia="en-US"/>
              </w:rPr>
              <w:t>(2</w:t>
            </w:r>
            <w:r w:rsidR="00975237" w:rsidRPr="00CB4408">
              <w:rPr>
                <w:sz w:val="16"/>
                <w:szCs w:val="16"/>
                <w:vertAlign w:val="subscript"/>
                <w:lang w:eastAsia="en-US"/>
              </w:rPr>
              <w:t>00</w:t>
            </w:r>
            <w:r w:rsidR="00975237">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10.13***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(3.163)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CB7B0A" w:rsidP="00E548CF">
            <w:pPr>
              <w:keepNext/>
              <w:keepLines/>
              <w:rPr>
                <w:sz w:val="16"/>
                <w:szCs w:val="16"/>
                <w:lang w:eastAsia="en-US"/>
              </w:rPr>
            </w:pPr>
            <w:proofErr w:type="spellStart"/>
            <w:r>
              <w:rPr>
                <w:sz w:val="16"/>
                <w:szCs w:val="16"/>
                <w:lang w:eastAsia="en-US"/>
              </w:rPr>
              <w:t>Inflow</w:t>
            </w:r>
            <w:r w:rsidR="00975237" w:rsidRPr="00CB4408">
              <w:rPr>
                <w:sz w:val="16"/>
                <w:szCs w:val="16"/>
                <w:lang w:eastAsia="en-US"/>
              </w:rPr>
              <w:t>_TC_</w:t>
            </w:r>
            <w:r w:rsidR="00975237">
              <w:rPr>
                <w:sz w:val="16"/>
                <w:szCs w:val="16"/>
                <w:lang w:eastAsia="en-US"/>
              </w:rPr>
              <w:t>ExcMetro</w:t>
            </w:r>
            <w:proofErr w:type="spellEnd"/>
            <w:r w:rsidR="00975237">
              <w:rPr>
                <w:sz w:val="16"/>
                <w:szCs w:val="16"/>
                <w:vertAlign w:val="subscript"/>
                <w:lang w:eastAsia="en-US"/>
              </w:rPr>
              <w:t>(2</w:t>
            </w:r>
            <w:r w:rsidR="00975237" w:rsidRPr="00CB4408">
              <w:rPr>
                <w:sz w:val="16"/>
                <w:szCs w:val="16"/>
                <w:vertAlign w:val="subscript"/>
                <w:lang w:eastAsia="en-US"/>
              </w:rPr>
              <w:t>00</w:t>
            </w:r>
            <w:r w:rsidR="00975237">
              <w:rPr>
                <w:sz w:val="16"/>
                <w:szCs w:val="16"/>
                <w:vertAlign w:val="subscript"/>
                <w:lang w:eastAsia="en-US"/>
              </w:rPr>
              <w:t>3-2008)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19.35***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(6.722)</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single" w:sz="4" w:space="0" w:color="auto"/>
              <w:left w:val="nil"/>
              <w:bottom w:val="nil"/>
              <w:right w:val="nil"/>
            </w:tcBorders>
            <w:shd w:val="clear" w:color="auto" w:fill="auto"/>
            <w:noWrap/>
            <w:vAlign w:val="bottom"/>
            <w:hideMark/>
          </w:tcPr>
          <w:p w:rsidR="00975237" w:rsidRPr="001C7033" w:rsidRDefault="00CB7B0A" w:rsidP="00E548CF">
            <w:pPr>
              <w:keepNext/>
              <w:keepLines/>
              <w:rPr>
                <w:sz w:val="16"/>
                <w:szCs w:val="16"/>
                <w:lang w:eastAsia="en-US"/>
              </w:rPr>
            </w:pPr>
            <w:proofErr w:type="spellStart"/>
            <w:r>
              <w:rPr>
                <w:sz w:val="16"/>
                <w:szCs w:val="16"/>
                <w:lang w:eastAsia="en-US"/>
              </w:rPr>
              <w:t>Outflow</w:t>
            </w:r>
            <w:r w:rsidR="00975237" w:rsidRPr="00CB4408">
              <w:rPr>
                <w:sz w:val="16"/>
                <w:szCs w:val="16"/>
                <w:lang w:eastAsia="en-US"/>
              </w:rPr>
              <w:t>_</w:t>
            </w:r>
            <w:r w:rsidR="00975237">
              <w:rPr>
                <w:sz w:val="16"/>
                <w:szCs w:val="16"/>
                <w:lang w:eastAsia="en-US"/>
              </w:rPr>
              <w:t>TO_ExcMetro</w:t>
            </w:r>
            <w:proofErr w:type="spellEnd"/>
            <w:r w:rsidR="00975237">
              <w:rPr>
                <w:sz w:val="16"/>
                <w:szCs w:val="16"/>
                <w:vertAlign w:val="subscript"/>
                <w:lang w:eastAsia="en-US"/>
              </w:rPr>
              <w:t xml:space="preserve"> (2</w:t>
            </w:r>
            <w:r w:rsidR="00975237" w:rsidRPr="00CB4408">
              <w:rPr>
                <w:sz w:val="16"/>
                <w:szCs w:val="16"/>
                <w:vertAlign w:val="subscript"/>
                <w:lang w:eastAsia="en-US"/>
              </w:rPr>
              <w:t>00</w:t>
            </w:r>
            <w:r w:rsidR="00975237">
              <w:rPr>
                <w:sz w:val="16"/>
                <w:szCs w:val="16"/>
                <w:vertAlign w:val="subscript"/>
                <w:lang w:eastAsia="en-US"/>
              </w:rPr>
              <w:t>3-2008)</w:t>
            </w: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0.130</w:t>
            </w: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(0.291)</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CB7B0A" w:rsidP="00E548CF">
            <w:pPr>
              <w:keepNext/>
              <w:keepLines/>
              <w:rPr>
                <w:sz w:val="16"/>
                <w:szCs w:val="16"/>
                <w:lang w:eastAsia="en-US"/>
              </w:rPr>
            </w:pPr>
            <w:proofErr w:type="spellStart"/>
            <w:r>
              <w:rPr>
                <w:sz w:val="16"/>
                <w:szCs w:val="16"/>
                <w:lang w:eastAsia="en-US"/>
              </w:rPr>
              <w:t>Outflow</w:t>
            </w:r>
            <w:r w:rsidR="00975237">
              <w:rPr>
                <w:sz w:val="16"/>
                <w:szCs w:val="16"/>
                <w:lang w:eastAsia="en-US"/>
              </w:rPr>
              <w:t>_HE_ExcMetro</w:t>
            </w:r>
            <w:proofErr w:type="spellEnd"/>
            <w:r w:rsidR="00975237">
              <w:rPr>
                <w:sz w:val="16"/>
                <w:szCs w:val="16"/>
                <w:vertAlign w:val="subscript"/>
                <w:lang w:eastAsia="en-US"/>
              </w:rPr>
              <w:t>(2</w:t>
            </w:r>
            <w:r w:rsidR="00975237" w:rsidRPr="00CB4408">
              <w:rPr>
                <w:sz w:val="16"/>
                <w:szCs w:val="16"/>
                <w:vertAlign w:val="subscript"/>
                <w:lang w:eastAsia="en-US"/>
              </w:rPr>
              <w:t>00</w:t>
            </w:r>
            <w:r w:rsidR="00975237">
              <w:rPr>
                <w:sz w:val="16"/>
                <w:szCs w:val="16"/>
                <w:vertAlign w:val="subscript"/>
                <w:lang w:eastAsia="en-US"/>
              </w:rPr>
              <w:t>3-2008)</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9.143***</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bottom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(3.474)</w:t>
            </w:r>
          </w:p>
        </w:tc>
        <w:tc>
          <w:tcPr>
            <w:tcW w:w="0" w:type="auto"/>
            <w:tcBorders>
              <w:top w:val="nil"/>
              <w:left w:val="nil"/>
              <w:bottom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CB7B0A" w:rsidP="00E548CF">
            <w:pPr>
              <w:keepNext/>
              <w:keepLines/>
              <w:rPr>
                <w:sz w:val="16"/>
                <w:szCs w:val="16"/>
                <w:lang w:eastAsia="en-US"/>
              </w:rPr>
            </w:pPr>
            <w:proofErr w:type="spellStart"/>
            <w:r>
              <w:rPr>
                <w:sz w:val="16"/>
                <w:szCs w:val="16"/>
                <w:lang w:eastAsia="en-US"/>
              </w:rPr>
              <w:t>Outflow</w:t>
            </w:r>
            <w:r w:rsidR="00975237" w:rsidRPr="00CB4408">
              <w:rPr>
                <w:sz w:val="16"/>
                <w:szCs w:val="16"/>
                <w:lang w:eastAsia="en-US"/>
              </w:rPr>
              <w:t>_TC</w:t>
            </w:r>
            <w:r w:rsidR="00975237">
              <w:rPr>
                <w:sz w:val="16"/>
                <w:szCs w:val="16"/>
                <w:lang w:eastAsia="en-US"/>
              </w:rPr>
              <w:t>_ExcMetro</w:t>
            </w:r>
            <w:proofErr w:type="spellEnd"/>
            <w:r w:rsidR="00975237">
              <w:rPr>
                <w:sz w:val="16"/>
                <w:szCs w:val="16"/>
                <w:vertAlign w:val="subscript"/>
                <w:lang w:eastAsia="en-US"/>
              </w:rPr>
              <w:t xml:space="preserve"> (2</w:t>
            </w:r>
            <w:r w:rsidR="00975237" w:rsidRPr="00CB4408">
              <w:rPr>
                <w:sz w:val="16"/>
                <w:szCs w:val="16"/>
                <w:vertAlign w:val="subscript"/>
                <w:lang w:eastAsia="en-US"/>
              </w:rPr>
              <w:t>00</w:t>
            </w:r>
            <w:r w:rsidR="00975237">
              <w:rPr>
                <w:sz w:val="16"/>
                <w:szCs w:val="16"/>
                <w:vertAlign w:val="subscript"/>
                <w:lang w:eastAsia="en-US"/>
              </w:rPr>
              <w:t>3-2008)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17.71</w:t>
            </w:r>
          </w:p>
        </w:tc>
      </w:tr>
      <w:tr w:rsidR="00975237" w:rsidRPr="007066B1"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(11.77)</w:t>
            </w:r>
          </w:p>
        </w:tc>
      </w:tr>
      <w:tr w:rsidR="00975237" w:rsidRPr="007066B1" w:rsidTr="00975237">
        <w:trPr>
          <w:trHeight w:val="20"/>
          <w:jc w:val="center"/>
        </w:trPr>
        <w:tc>
          <w:tcPr>
            <w:tcW w:w="0" w:type="auto"/>
            <w:tcBorders>
              <w:top w:val="single" w:sz="4" w:space="0" w:color="auto"/>
              <w:left w:val="nil"/>
              <w:right w:val="nil"/>
            </w:tcBorders>
            <w:shd w:val="clear" w:color="auto" w:fill="auto"/>
            <w:noWrap/>
            <w:vAlign w:val="bottom"/>
            <w:hideMark/>
          </w:tcPr>
          <w:p w:rsidR="00975237" w:rsidRPr="00960226" w:rsidRDefault="00975237" w:rsidP="00E548CF">
            <w:pPr>
              <w:keepNext/>
              <w:keepLines/>
              <w:rPr>
                <w:sz w:val="16"/>
                <w:szCs w:val="16"/>
                <w:lang w:eastAsia="en-US"/>
              </w:rPr>
            </w:pPr>
            <w:r>
              <w:rPr>
                <w:sz w:val="16"/>
                <w:szCs w:val="16"/>
                <w:lang w:eastAsia="en-US"/>
              </w:rPr>
              <w:t>Constant</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0.112</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0.0975</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0.157</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0.114</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0.0394</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0.126</w:t>
            </w:r>
          </w:p>
        </w:tc>
      </w:tr>
      <w:tr w:rsidR="00975237" w:rsidRPr="007066B1"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975237" w:rsidRPr="00960226" w:rsidRDefault="00975237" w:rsidP="00E548CF">
            <w:pPr>
              <w:keepNext/>
              <w:keepLines/>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(0.159)</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(0.155)</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(0.156)</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(0.162)</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(0.159)</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(0.156)</w:t>
            </w:r>
          </w:p>
        </w:tc>
      </w:tr>
      <w:tr w:rsidR="00975237" w:rsidRPr="007066B1" w:rsidTr="00975237">
        <w:trPr>
          <w:trHeight w:val="20"/>
          <w:jc w:val="center"/>
        </w:trPr>
        <w:tc>
          <w:tcPr>
            <w:tcW w:w="0" w:type="auto"/>
            <w:tcBorders>
              <w:top w:val="single" w:sz="4" w:space="0" w:color="auto"/>
              <w:left w:val="nil"/>
              <w:right w:val="nil"/>
            </w:tcBorders>
            <w:shd w:val="clear" w:color="auto" w:fill="auto"/>
            <w:noWrap/>
            <w:vAlign w:val="bottom"/>
            <w:hideMark/>
          </w:tcPr>
          <w:p w:rsidR="00975237" w:rsidRPr="00960226" w:rsidRDefault="00975237" w:rsidP="00E548CF">
            <w:pPr>
              <w:keepNext/>
              <w:keepLines/>
              <w:rPr>
                <w:sz w:val="16"/>
                <w:szCs w:val="16"/>
                <w:lang w:eastAsia="en-US"/>
              </w:rPr>
            </w:pPr>
            <w:r w:rsidRPr="00960226">
              <w:rPr>
                <w:sz w:val="16"/>
                <w:szCs w:val="16"/>
                <w:lang w:eastAsia="en-US"/>
              </w:rPr>
              <w:t>Sigma</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0.508***</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0.503***</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0.505***</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0.509***</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0.505***</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0.508***</w:t>
            </w:r>
          </w:p>
        </w:tc>
      </w:tr>
      <w:tr w:rsidR="00975237" w:rsidRPr="007066B1"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975237" w:rsidRPr="00960226" w:rsidRDefault="00975237" w:rsidP="00E548CF">
            <w:pPr>
              <w:keepNext/>
              <w:keepLines/>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(0.0195)</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(0.0193)</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(0.0194)</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(0.0196)</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(0.0194)</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(0.0195)</w:t>
            </w:r>
          </w:p>
        </w:tc>
      </w:tr>
      <w:tr w:rsidR="00975237" w:rsidRPr="007066B1" w:rsidTr="00975237">
        <w:trPr>
          <w:trHeight w:val="20"/>
          <w:jc w:val="center"/>
        </w:trPr>
        <w:tc>
          <w:tcPr>
            <w:tcW w:w="0" w:type="auto"/>
            <w:tcBorders>
              <w:top w:val="single" w:sz="4" w:space="0" w:color="auto"/>
              <w:left w:val="nil"/>
              <w:right w:val="nil"/>
            </w:tcBorders>
            <w:shd w:val="clear" w:color="auto" w:fill="auto"/>
            <w:noWrap/>
            <w:vAlign w:val="bottom"/>
            <w:hideMark/>
          </w:tcPr>
          <w:p w:rsidR="00975237" w:rsidRPr="00960226" w:rsidRDefault="00975237" w:rsidP="00E548CF">
            <w:pPr>
              <w:keepNext/>
              <w:keepLines/>
              <w:rPr>
                <w:sz w:val="16"/>
                <w:szCs w:val="16"/>
                <w:lang w:eastAsia="en-US"/>
              </w:rPr>
            </w:pPr>
            <w:r>
              <w:rPr>
                <w:sz w:val="16"/>
                <w:szCs w:val="16"/>
                <w:lang w:eastAsia="en-US"/>
              </w:rPr>
              <w:t>Pseudo R2</w:t>
            </w:r>
          </w:p>
        </w:tc>
        <w:tc>
          <w:tcPr>
            <w:tcW w:w="0" w:type="auto"/>
            <w:tcBorders>
              <w:top w:val="single" w:sz="4" w:space="0" w:color="auto"/>
              <w:left w:val="nil"/>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0.448</w:t>
            </w:r>
          </w:p>
        </w:tc>
        <w:tc>
          <w:tcPr>
            <w:tcW w:w="0" w:type="auto"/>
            <w:tcBorders>
              <w:top w:val="single" w:sz="4" w:space="0" w:color="auto"/>
              <w:left w:val="nil"/>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0.455</w:t>
            </w:r>
          </w:p>
        </w:tc>
        <w:tc>
          <w:tcPr>
            <w:tcW w:w="0" w:type="auto"/>
            <w:tcBorders>
              <w:top w:val="single" w:sz="4" w:space="0" w:color="auto"/>
              <w:left w:val="nil"/>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0.453</w:t>
            </w:r>
          </w:p>
        </w:tc>
        <w:tc>
          <w:tcPr>
            <w:tcW w:w="0" w:type="auto"/>
            <w:tcBorders>
              <w:top w:val="single" w:sz="4" w:space="0" w:color="auto"/>
              <w:left w:val="nil"/>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0.448</w:t>
            </w:r>
          </w:p>
        </w:tc>
        <w:tc>
          <w:tcPr>
            <w:tcW w:w="0" w:type="auto"/>
            <w:tcBorders>
              <w:top w:val="single" w:sz="4" w:space="0" w:color="auto"/>
              <w:left w:val="nil"/>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0.453</w:t>
            </w:r>
          </w:p>
        </w:tc>
        <w:tc>
          <w:tcPr>
            <w:tcW w:w="0" w:type="auto"/>
            <w:tcBorders>
              <w:top w:val="single" w:sz="4" w:space="0" w:color="auto"/>
              <w:left w:val="nil"/>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0.449</w:t>
            </w:r>
          </w:p>
        </w:tc>
      </w:tr>
      <w:tr w:rsidR="00975237" w:rsidRPr="00B70548" w:rsidTr="00975237">
        <w:trPr>
          <w:trHeight w:val="20"/>
          <w:jc w:val="center"/>
        </w:trPr>
        <w:tc>
          <w:tcPr>
            <w:tcW w:w="0" w:type="auto"/>
            <w:tcBorders>
              <w:top w:val="single" w:sz="4" w:space="0" w:color="auto"/>
              <w:left w:val="nil"/>
              <w:bottom w:val="single" w:sz="4" w:space="0" w:color="auto"/>
              <w:right w:val="nil"/>
            </w:tcBorders>
            <w:shd w:val="clear" w:color="auto" w:fill="auto"/>
            <w:noWrap/>
            <w:vAlign w:val="bottom"/>
            <w:hideMark/>
          </w:tcPr>
          <w:p w:rsidR="00975237" w:rsidRPr="00B70548" w:rsidRDefault="00975237" w:rsidP="00E548CF">
            <w:pPr>
              <w:keepNext/>
              <w:keepLines/>
              <w:rPr>
                <w:sz w:val="16"/>
                <w:szCs w:val="16"/>
                <w:lang w:eastAsia="en-US"/>
              </w:rPr>
            </w:pPr>
            <w:r>
              <w:rPr>
                <w:sz w:val="16"/>
                <w:szCs w:val="16"/>
                <w:lang w:eastAsia="en-US"/>
              </w:rPr>
              <w:t>Variables</w:t>
            </w:r>
            <w:r w:rsidRPr="00B70548">
              <w:rPr>
                <w:sz w:val="16"/>
                <w:szCs w:val="16"/>
                <w:lang w:eastAsia="en-US"/>
              </w:rPr>
              <w:t xml:space="preserve"> (n=558)</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19</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20</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21</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22</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Pr>
                <w:sz w:val="16"/>
                <w:szCs w:val="16"/>
                <w:lang w:eastAsia="en-US"/>
              </w:rPr>
              <w:t>Model</w:t>
            </w:r>
            <w:r w:rsidRPr="00B70548">
              <w:rPr>
                <w:sz w:val="16"/>
                <w:szCs w:val="16"/>
                <w:lang w:eastAsia="en-US"/>
              </w:rPr>
              <w:t xml:space="preserve"> 23</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B70548" w:rsidRDefault="00975237" w:rsidP="00E548CF">
            <w:pPr>
              <w:keepNext/>
              <w:keepLines/>
              <w:jc w:val="center"/>
              <w:rPr>
                <w:sz w:val="16"/>
                <w:szCs w:val="16"/>
                <w:lang w:eastAsia="en-US"/>
              </w:rPr>
            </w:pPr>
            <w:r w:rsidRPr="00B70548">
              <w:rPr>
                <w:sz w:val="16"/>
                <w:szCs w:val="16"/>
                <w:lang w:eastAsia="en-US"/>
              </w:rPr>
              <w:t>Model 24</w:t>
            </w:r>
          </w:p>
        </w:tc>
      </w:tr>
      <w:tr w:rsidR="00975237" w:rsidRPr="007066B1" w:rsidTr="00975237">
        <w:trPr>
          <w:trHeight w:val="20"/>
          <w:jc w:val="center"/>
        </w:trPr>
        <w:tc>
          <w:tcPr>
            <w:tcW w:w="0" w:type="auto"/>
            <w:tcBorders>
              <w:top w:val="single" w:sz="4" w:space="0" w:color="auto"/>
              <w:left w:val="nil"/>
              <w:right w:val="nil"/>
            </w:tcBorders>
            <w:shd w:val="clear" w:color="auto" w:fill="auto"/>
            <w:noWrap/>
            <w:vAlign w:val="bottom"/>
            <w:hideMark/>
          </w:tcPr>
          <w:p w:rsidR="00975237" w:rsidRPr="00CB4408" w:rsidRDefault="00975237" w:rsidP="00E548CF">
            <w:pPr>
              <w:keepNext/>
              <w:keepLines/>
              <w:rPr>
                <w:sz w:val="16"/>
                <w:szCs w:val="16"/>
                <w:lang w:eastAsia="en-US"/>
              </w:rPr>
            </w:pPr>
            <w:proofErr w:type="spellStart"/>
            <w:r>
              <w:rPr>
                <w:sz w:val="16"/>
                <w:szCs w:val="16"/>
                <w:lang w:eastAsia="en-US"/>
              </w:rPr>
              <w:t>ln</w:t>
            </w:r>
            <w:proofErr w:type="spellEnd"/>
            <w:r>
              <w:rPr>
                <w:sz w:val="16"/>
                <w:szCs w:val="16"/>
                <w:lang w:eastAsia="en-US"/>
              </w:rPr>
              <w:t>(R</w:t>
            </w:r>
            <w:r w:rsidRPr="00CB4408">
              <w:rPr>
                <w:sz w:val="16"/>
                <w:szCs w:val="16"/>
                <w:lang w:eastAsia="en-US"/>
              </w:rPr>
              <w:t>&amp;DLocal</w:t>
            </w:r>
            <w:r w:rsidRPr="00CB4408">
              <w:rPr>
                <w:sz w:val="16"/>
                <w:szCs w:val="16"/>
                <w:vertAlign w:val="subscript"/>
                <w:lang w:eastAsia="en-US"/>
              </w:rPr>
              <w:t>2008</w:t>
            </w:r>
            <w:r>
              <w:rPr>
                <w:sz w:val="16"/>
                <w:szCs w:val="16"/>
                <w:lang w:eastAsia="en-US"/>
              </w:rPr>
              <w:t>)</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0.147***</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0.147***</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0.146***</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0.147***</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0.125***</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0.133***</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(0.0228)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(0.0228)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(0.0227)</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(0.0228)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(0.0235)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(0.0232)</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roofErr w:type="spellStart"/>
            <w:r>
              <w:rPr>
                <w:sz w:val="16"/>
                <w:szCs w:val="16"/>
                <w:lang w:eastAsia="en-US"/>
              </w:rPr>
              <w:t>l</w:t>
            </w:r>
            <w:r w:rsidRPr="001C7033">
              <w:rPr>
                <w:sz w:val="16"/>
                <w:szCs w:val="16"/>
                <w:lang w:eastAsia="en-US"/>
              </w:rPr>
              <w:t>n</w:t>
            </w:r>
            <w:proofErr w:type="spellEnd"/>
            <w:r>
              <w:rPr>
                <w:sz w:val="16"/>
                <w:szCs w:val="16"/>
                <w:lang w:eastAsia="en-US"/>
              </w:rPr>
              <w:t>(R&amp;</w:t>
            </w:r>
            <w:r w:rsidRPr="001C7033">
              <w:rPr>
                <w:sz w:val="16"/>
                <w:szCs w:val="16"/>
                <w:lang w:eastAsia="en-US"/>
              </w:rPr>
              <w:t>D</w:t>
            </w:r>
            <w:r>
              <w:rPr>
                <w:sz w:val="16"/>
                <w:szCs w:val="16"/>
                <w:lang w:eastAsia="en-US"/>
              </w:rPr>
              <w:t>Univ</w:t>
            </w:r>
            <w:r w:rsidRPr="00CB4408">
              <w:rPr>
                <w:sz w:val="16"/>
                <w:szCs w:val="16"/>
                <w:vertAlign w:val="subscript"/>
                <w:lang w:eastAsia="en-US"/>
              </w:rPr>
              <w:t>2008</w:t>
            </w:r>
            <w:r>
              <w:rPr>
                <w:sz w:val="16"/>
                <w:szCs w:val="16"/>
                <w:lang w:eastAsia="en-US"/>
              </w:rPr>
              <w:t>)</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0.131***</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0.126***</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(0.0189)</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(0.0189)</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(0.0188)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(0.0189)</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Kindex</w:t>
            </w:r>
            <w:r w:rsidRPr="00CB4408">
              <w:rPr>
                <w:sz w:val="16"/>
                <w:szCs w:val="16"/>
                <w:vertAlign w:val="subscript"/>
                <w:lang w:eastAsia="en-US"/>
              </w:rPr>
              <w:t>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-0.484***</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-0.492***</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-0.513***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-0.492***</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-0.467***</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-0.517***</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(0.122)</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(0.121)</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(0.122)</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Metro</w:t>
            </w:r>
            <w:r w:rsidRPr="00CB4408">
              <w:rPr>
                <w:sz w:val="16"/>
                <w:szCs w:val="16"/>
                <w:vertAlign w:val="subscript"/>
                <w:lang w:eastAsia="en-US"/>
              </w:rPr>
              <w:t>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0.0749</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0.0726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0.0621</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0.0884</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0.102</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0.0784</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(0.0667)</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(0.0692)</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(0.0661)</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(0.0661)</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SSE</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0.610***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0.607***</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0.605***</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(0.0574)</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(0.0567)</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(0.0570)</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ShareManuf</w:t>
            </w:r>
            <w:r w:rsidRPr="00CB4408">
              <w:rPr>
                <w:sz w:val="16"/>
                <w:szCs w:val="16"/>
                <w:vertAlign w:val="subscript"/>
                <w:lang w:eastAsia="en-US"/>
              </w:rPr>
              <w:t>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1.033***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1.036***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1.064***</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1.047***</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1.098***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1.089***</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(0.203)</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(0.201)</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(0.203)</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Share</w:t>
            </w:r>
            <w:r>
              <w:rPr>
                <w:sz w:val="16"/>
                <w:szCs w:val="16"/>
                <w:lang w:eastAsia="en-US"/>
              </w:rPr>
              <w:t>Agri</w:t>
            </w:r>
            <w:r w:rsidRPr="00CB4408">
              <w:rPr>
                <w:sz w:val="16"/>
                <w:szCs w:val="16"/>
                <w:vertAlign w:val="subscript"/>
                <w:lang w:eastAsia="en-US"/>
              </w:rPr>
              <w:t>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-0.348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-0.352</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-0.312</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-0.406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-0.307</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-0.267</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(0.306)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(0.295)</w:t>
            </w: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Share</w:t>
            </w:r>
            <w:r>
              <w:rPr>
                <w:sz w:val="16"/>
                <w:szCs w:val="16"/>
                <w:lang w:eastAsia="en-US"/>
              </w:rPr>
              <w:t>Extrat</w:t>
            </w:r>
            <w:r w:rsidRPr="00CB4408">
              <w:rPr>
                <w:sz w:val="16"/>
                <w:szCs w:val="16"/>
                <w:vertAlign w:val="subscript"/>
                <w:lang w:eastAsia="en-US"/>
              </w:rPr>
              <w:t>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-0.272</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-0.431</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-0.798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-0.314</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-1.561</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-1.550</w:t>
            </w:r>
          </w:p>
        </w:tc>
      </w:tr>
      <w:tr w:rsidR="00975237" w:rsidRPr="007066B1"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975237" w:rsidRPr="00960226" w:rsidRDefault="00975237" w:rsidP="00E548CF">
            <w:pPr>
              <w:keepNext/>
              <w:keepLines/>
              <w:rPr>
                <w:sz w:val="16"/>
                <w:szCs w:val="16"/>
                <w:lang w:eastAsia="en-US"/>
              </w:rPr>
            </w:pPr>
            <w:r w:rsidRPr="00960226">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(1.024)</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(1.046)</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(1.036)</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(1.008)</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(1.073)</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(1.125)</w:t>
            </w:r>
          </w:p>
        </w:tc>
      </w:tr>
      <w:tr w:rsidR="00975237" w:rsidRPr="007066B1" w:rsidTr="00975237">
        <w:trPr>
          <w:trHeight w:val="20"/>
          <w:jc w:val="center"/>
        </w:trPr>
        <w:tc>
          <w:tcPr>
            <w:tcW w:w="0" w:type="auto"/>
            <w:tcBorders>
              <w:top w:val="single" w:sz="4" w:space="0" w:color="auto"/>
              <w:left w:val="nil"/>
              <w:right w:val="nil"/>
            </w:tcBorders>
            <w:shd w:val="clear" w:color="auto" w:fill="auto"/>
            <w:noWrap/>
            <w:vAlign w:val="bottom"/>
            <w:hideMark/>
          </w:tcPr>
          <w:p w:rsidR="00975237" w:rsidRPr="001C7033" w:rsidRDefault="00975237" w:rsidP="00E548CF">
            <w:pPr>
              <w:keepNext/>
              <w:keepLines/>
              <w:rPr>
                <w:sz w:val="16"/>
                <w:szCs w:val="16"/>
                <w:lang w:eastAsia="en-US"/>
              </w:rPr>
            </w:pPr>
            <w:proofErr w:type="spellStart"/>
            <w:r>
              <w:rPr>
                <w:sz w:val="16"/>
                <w:szCs w:val="16"/>
                <w:lang w:eastAsia="en-US"/>
              </w:rPr>
              <w:t>Net</w:t>
            </w:r>
            <w:r w:rsidRPr="00CB4408">
              <w:rPr>
                <w:sz w:val="16"/>
                <w:szCs w:val="16"/>
                <w:lang w:eastAsia="en-US"/>
              </w:rPr>
              <w:t>_</w:t>
            </w:r>
            <w:r>
              <w:rPr>
                <w:sz w:val="16"/>
                <w:szCs w:val="16"/>
                <w:lang w:eastAsia="en-US"/>
              </w:rPr>
              <w:t>TO_ExcMetro</w:t>
            </w:r>
            <w:proofErr w:type="spellEnd"/>
            <w:r>
              <w:rPr>
                <w:sz w:val="16"/>
                <w:szCs w:val="16"/>
                <w:vertAlign w:val="subscript"/>
                <w:lang w:eastAsia="en-US"/>
              </w:rPr>
              <w:t>(2</w:t>
            </w:r>
            <w:r w:rsidRPr="00CB4408">
              <w:rPr>
                <w:sz w:val="16"/>
                <w:szCs w:val="16"/>
                <w:vertAlign w:val="subscript"/>
                <w:lang w:eastAsia="en-US"/>
              </w:rPr>
              <w:t>00</w:t>
            </w:r>
            <w:r>
              <w:rPr>
                <w:sz w:val="16"/>
                <w:szCs w:val="16"/>
                <w:vertAlign w:val="subscript"/>
                <w:lang w:eastAsia="en-US"/>
              </w:rPr>
              <w:t>3-2008)</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0.0380</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(0.290)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roofErr w:type="spellStart"/>
            <w:r>
              <w:rPr>
                <w:sz w:val="16"/>
                <w:szCs w:val="16"/>
                <w:lang w:eastAsia="en-US"/>
              </w:rPr>
              <w:t>Net</w:t>
            </w:r>
            <w:r w:rsidRPr="00CB4408">
              <w:rPr>
                <w:sz w:val="16"/>
                <w:szCs w:val="16"/>
                <w:lang w:eastAsia="en-US"/>
              </w:rPr>
              <w:t>_</w:t>
            </w:r>
            <w:r>
              <w:rPr>
                <w:sz w:val="16"/>
                <w:szCs w:val="16"/>
                <w:lang w:eastAsia="en-US"/>
              </w:rPr>
              <w:t>HE_ExcMetro</w:t>
            </w:r>
            <w:proofErr w:type="spellEnd"/>
            <w:r>
              <w:rPr>
                <w:sz w:val="16"/>
                <w:szCs w:val="16"/>
                <w:vertAlign w:val="subscript"/>
                <w:lang w:eastAsia="en-US"/>
              </w:rPr>
              <w:t>(2</w:t>
            </w:r>
            <w:r w:rsidRPr="00CB4408">
              <w:rPr>
                <w:sz w:val="16"/>
                <w:szCs w:val="16"/>
                <w:vertAlign w:val="subscript"/>
                <w:lang w:eastAsia="en-US"/>
              </w:rPr>
              <w:t>00</w:t>
            </w:r>
            <w:r>
              <w:rPr>
                <w:sz w:val="16"/>
                <w:szCs w:val="16"/>
                <w:vertAlign w:val="subscript"/>
                <w:lang w:eastAsia="en-US"/>
              </w:rPr>
              <w:t>3-2008)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2.316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(3.626)</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roofErr w:type="spellStart"/>
            <w:r>
              <w:rPr>
                <w:sz w:val="16"/>
                <w:szCs w:val="16"/>
                <w:lang w:eastAsia="en-US"/>
              </w:rPr>
              <w:t>Net</w:t>
            </w:r>
            <w:r w:rsidRPr="00CB4408">
              <w:rPr>
                <w:sz w:val="16"/>
                <w:szCs w:val="16"/>
                <w:lang w:eastAsia="en-US"/>
              </w:rPr>
              <w:t>_TC</w:t>
            </w:r>
            <w:r>
              <w:rPr>
                <w:sz w:val="16"/>
                <w:szCs w:val="16"/>
                <w:lang w:eastAsia="en-US"/>
              </w:rPr>
              <w:t>_ExcMetro</w:t>
            </w:r>
            <w:proofErr w:type="spellEnd"/>
            <w:r>
              <w:rPr>
                <w:sz w:val="16"/>
                <w:szCs w:val="16"/>
                <w:vertAlign w:val="subscript"/>
                <w:lang w:eastAsia="en-US"/>
              </w:rPr>
              <w:t>(2</w:t>
            </w:r>
            <w:r w:rsidRPr="00CB4408">
              <w:rPr>
                <w:sz w:val="16"/>
                <w:szCs w:val="16"/>
                <w:vertAlign w:val="subscript"/>
                <w:lang w:eastAsia="en-US"/>
              </w:rPr>
              <w:t>00</w:t>
            </w:r>
            <w:r>
              <w:rPr>
                <w:sz w:val="16"/>
                <w:szCs w:val="16"/>
                <w:vertAlign w:val="subscript"/>
                <w:lang w:eastAsia="en-US"/>
              </w:rPr>
              <w:t>3-2008)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19.17**</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(8.483)</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single" w:sz="4" w:space="0" w:color="auto"/>
              <w:left w:val="nil"/>
              <w:right w:val="nil"/>
            </w:tcBorders>
            <w:shd w:val="clear" w:color="auto" w:fill="auto"/>
            <w:noWrap/>
            <w:vAlign w:val="bottom"/>
            <w:hideMark/>
          </w:tcPr>
          <w:p w:rsidR="00975237" w:rsidRPr="001C7033" w:rsidRDefault="00975237" w:rsidP="00E548CF">
            <w:pPr>
              <w:keepNext/>
              <w:keepLines/>
              <w:rPr>
                <w:sz w:val="16"/>
                <w:szCs w:val="16"/>
                <w:lang w:eastAsia="en-US"/>
              </w:rPr>
            </w:pPr>
            <w:proofErr w:type="spellStart"/>
            <w:r>
              <w:rPr>
                <w:sz w:val="16"/>
                <w:szCs w:val="16"/>
                <w:lang w:eastAsia="en-US"/>
              </w:rPr>
              <w:t>Gross</w:t>
            </w:r>
            <w:r w:rsidRPr="00CB4408">
              <w:rPr>
                <w:sz w:val="16"/>
                <w:szCs w:val="16"/>
                <w:lang w:eastAsia="en-US"/>
              </w:rPr>
              <w:t>_</w:t>
            </w:r>
            <w:r>
              <w:rPr>
                <w:sz w:val="16"/>
                <w:szCs w:val="16"/>
                <w:lang w:eastAsia="en-US"/>
              </w:rPr>
              <w:t>TO_ExcMetro</w:t>
            </w:r>
            <w:proofErr w:type="spellEnd"/>
            <w:r>
              <w:rPr>
                <w:sz w:val="16"/>
                <w:szCs w:val="16"/>
                <w:vertAlign w:val="subscript"/>
                <w:lang w:eastAsia="en-US"/>
              </w:rPr>
              <w:t>(2</w:t>
            </w:r>
            <w:r w:rsidRPr="00CB4408">
              <w:rPr>
                <w:sz w:val="16"/>
                <w:szCs w:val="16"/>
                <w:vertAlign w:val="subscript"/>
                <w:lang w:eastAsia="en-US"/>
              </w:rPr>
              <w:t>00</w:t>
            </w:r>
            <w:r>
              <w:rPr>
                <w:sz w:val="16"/>
                <w:szCs w:val="16"/>
                <w:vertAlign w:val="subscript"/>
                <w:lang w:eastAsia="en-US"/>
              </w:rPr>
              <w:t>3-2008)</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0.135</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(0.195)</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roofErr w:type="spellStart"/>
            <w:r>
              <w:rPr>
                <w:sz w:val="16"/>
                <w:szCs w:val="16"/>
                <w:lang w:eastAsia="en-US"/>
              </w:rPr>
              <w:t>Gross</w:t>
            </w:r>
            <w:r w:rsidRPr="00CB4408">
              <w:rPr>
                <w:sz w:val="16"/>
                <w:szCs w:val="16"/>
                <w:lang w:eastAsia="en-US"/>
              </w:rPr>
              <w:t>_</w:t>
            </w:r>
            <w:r>
              <w:rPr>
                <w:sz w:val="16"/>
                <w:szCs w:val="16"/>
                <w:lang w:eastAsia="en-US"/>
              </w:rPr>
              <w:t>HE_ExcMetro</w:t>
            </w:r>
            <w:proofErr w:type="spellEnd"/>
            <w:r>
              <w:rPr>
                <w:sz w:val="16"/>
                <w:szCs w:val="16"/>
                <w:vertAlign w:val="subscript"/>
                <w:lang w:eastAsia="en-US"/>
              </w:rPr>
              <w:t>(2</w:t>
            </w:r>
            <w:r w:rsidRPr="00CB4408">
              <w:rPr>
                <w:sz w:val="16"/>
                <w:szCs w:val="16"/>
                <w:vertAlign w:val="subscript"/>
                <w:lang w:eastAsia="en-US"/>
              </w:rPr>
              <w:t>00</w:t>
            </w:r>
            <w:r>
              <w:rPr>
                <w:sz w:val="16"/>
                <w:szCs w:val="16"/>
                <w:vertAlign w:val="subscript"/>
                <w:lang w:eastAsia="en-US"/>
              </w:rPr>
              <w:t>3-2008)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6.381***</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(1.900)</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r>
      <w:tr w:rsidR="00975237" w:rsidRPr="007066B1" w:rsidTr="00975237">
        <w:trPr>
          <w:trHeight w:val="20"/>
          <w:jc w:val="center"/>
        </w:trPr>
        <w:tc>
          <w:tcPr>
            <w:tcW w:w="0" w:type="auto"/>
            <w:tcBorders>
              <w:top w:val="nil"/>
              <w:left w:val="nil"/>
              <w:right w:val="nil"/>
            </w:tcBorders>
            <w:shd w:val="clear" w:color="auto" w:fill="auto"/>
            <w:noWrap/>
            <w:vAlign w:val="bottom"/>
            <w:hideMark/>
          </w:tcPr>
          <w:p w:rsidR="00975237" w:rsidRPr="001C7033" w:rsidRDefault="00975237" w:rsidP="00E548CF">
            <w:pPr>
              <w:keepNext/>
              <w:keepLines/>
              <w:rPr>
                <w:sz w:val="16"/>
                <w:szCs w:val="16"/>
                <w:lang w:eastAsia="en-US"/>
              </w:rPr>
            </w:pPr>
            <w:proofErr w:type="spellStart"/>
            <w:r>
              <w:rPr>
                <w:sz w:val="16"/>
                <w:szCs w:val="16"/>
                <w:lang w:eastAsia="en-US"/>
              </w:rPr>
              <w:t>Gross</w:t>
            </w:r>
            <w:r w:rsidRPr="00CB4408">
              <w:rPr>
                <w:sz w:val="16"/>
                <w:szCs w:val="16"/>
                <w:lang w:eastAsia="en-US"/>
              </w:rPr>
              <w:t>_TC</w:t>
            </w:r>
            <w:r>
              <w:rPr>
                <w:sz w:val="16"/>
                <w:szCs w:val="16"/>
                <w:lang w:eastAsia="en-US"/>
              </w:rPr>
              <w:t>_ExcMetro</w:t>
            </w:r>
            <w:proofErr w:type="spellEnd"/>
            <w:r>
              <w:rPr>
                <w:sz w:val="16"/>
                <w:szCs w:val="16"/>
                <w:vertAlign w:val="subscript"/>
                <w:lang w:eastAsia="en-US"/>
              </w:rPr>
              <w:t>(2</w:t>
            </w:r>
            <w:r w:rsidRPr="00CB4408">
              <w:rPr>
                <w:sz w:val="16"/>
                <w:szCs w:val="16"/>
                <w:vertAlign w:val="subscript"/>
                <w:lang w:eastAsia="en-US"/>
              </w:rPr>
              <w:t>00</w:t>
            </w:r>
            <w:r>
              <w:rPr>
                <w:sz w:val="16"/>
                <w:szCs w:val="16"/>
                <w:vertAlign w:val="subscript"/>
                <w:lang w:eastAsia="en-US"/>
              </w:rPr>
              <w:t>3-2008)</w:t>
            </w: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12.82***</w:t>
            </w:r>
          </w:p>
        </w:tc>
      </w:tr>
      <w:tr w:rsidR="00975237" w:rsidRPr="007066B1" w:rsidTr="00975237">
        <w:trPr>
          <w:trHeight w:val="20"/>
          <w:jc w:val="center"/>
        </w:trPr>
        <w:tc>
          <w:tcPr>
            <w:tcW w:w="0" w:type="auto"/>
            <w:tcBorders>
              <w:top w:val="nil"/>
              <w:left w:val="nil"/>
              <w:bottom w:val="single" w:sz="4" w:space="0" w:color="auto"/>
              <w:right w:val="nil"/>
            </w:tcBorders>
            <w:shd w:val="clear" w:color="auto" w:fill="auto"/>
            <w:noWrap/>
            <w:vAlign w:val="bottom"/>
            <w:hideMark/>
          </w:tcPr>
          <w:p w:rsidR="00975237" w:rsidRPr="001C7033" w:rsidRDefault="00975237" w:rsidP="00E548CF">
            <w:pPr>
              <w:keepNext/>
              <w:keepLines/>
              <w:rPr>
                <w:sz w:val="16"/>
                <w:szCs w:val="16"/>
                <w:lang w:eastAsia="en-US"/>
              </w:rPr>
            </w:pPr>
            <w:r w:rsidRPr="001C7033">
              <w:rPr>
                <w:sz w:val="16"/>
                <w:szCs w:val="16"/>
                <w:lang w:eastAsia="en-US"/>
              </w:rPr>
              <w:t> </w:t>
            </w: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p>
        </w:tc>
        <w:tc>
          <w:tcPr>
            <w:tcW w:w="0" w:type="auto"/>
            <w:tcBorders>
              <w:top w:val="nil"/>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(4.765)</w:t>
            </w:r>
          </w:p>
        </w:tc>
      </w:tr>
      <w:tr w:rsidR="00975237" w:rsidRPr="007066B1" w:rsidTr="00975237">
        <w:trPr>
          <w:trHeight w:val="20"/>
          <w:jc w:val="center"/>
        </w:trPr>
        <w:tc>
          <w:tcPr>
            <w:tcW w:w="0" w:type="auto"/>
            <w:tcBorders>
              <w:top w:val="single" w:sz="4" w:space="0" w:color="auto"/>
              <w:right w:val="nil"/>
            </w:tcBorders>
            <w:shd w:val="clear" w:color="auto" w:fill="auto"/>
            <w:noWrap/>
            <w:vAlign w:val="bottom"/>
            <w:hideMark/>
          </w:tcPr>
          <w:p w:rsidR="00975237" w:rsidRPr="00960226" w:rsidRDefault="00975237" w:rsidP="00E548CF">
            <w:pPr>
              <w:keepNext/>
              <w:keepLines/>
              <w:rPr>
                <w:sz w:val="16"/>
                <w:szCs w:val="16"/>
                <w:lang w:eastAsia="en-US"/>
              </w:rPr>
            </w:pPr>
            <w:r w:rsidRPr="00960226">
              <w:rPr>
                <w:sz w:val="16"/>
                <w:szCs w:val="16"/>
                <w:lang w:eastAsia="en-US"/>
              </w:rPr>
              <w:t>Constant</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0.135</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0.147</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0.161</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0.103</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0.0452</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0.144</w:t>
            </w:r>
          </w:p>
        </w:tc>
      </w:tr>
      <w:tr w:rsidR="00975237" w:rsidRPr="007066B1" w:rsidTr="00975237">
        <w:trPr>
          <w:trHeight w:val="20"/>
          <w:jc w:val="center"/>
        </w:trPr>
        <w:tc>
          <w:tcPr>
            <w:tcW w:w="0" w:type="auto"/>
            <w:tcBorders>
              <w:bottom w:val="single" w:sz="4" w:space="0" w:color="auto"/>
              <w:right w:val="nil"/>
            </w:tcBorders>
            <w:shd w:val="clear" w:color="auto" w:fill="auto"/>
            <w:noWrap/>
            <w:vAlign w:val="bottom"/>
            <w:hideMark/>
          </w:tcPr>
          <w:p w:rsidR="00975237" w:rsidRPr="00960226" w:rsidRDefault="00975237" w:rsidP="00E548CF">
            <w:pPr>
              <w:keepNext/>
              <w:keepLines/>
              <w:rPr>
                <w:sz w:val="16"/>
                <w:szCs w:val="16"/>
                <w:lang w:eastAsia="en-US"/>
              </w:rPr>
            </w:pPr>
            <w:r w:rsidRPr="00960226">
              <w:rPr>
                <w:sz w:val="16"/>
                <w:szCs w:val="16"/>
                <w:lang w:eastAsia="en-US"/>
              </w:rPr>
              <w:t> </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(0.158)</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(0.158)</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(0.157)</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(0.162)</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(0.157)</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(0.156)</w:t>
            </w:r>
          </w:p>
        </w:tc>
      </w:tr>
      <w:tr w:rsidR="00975237" w:rsidRPr="007066B1" w:rsidTr="00975237">
        <w:trPr>
          <w:trHeight w:val="70"/>
          <w:jc w:val="center"/>
        </w:trPr>
        <w:tc>
          <w:tcPr>
            <w:tcW w:w="0" w:type="auto"/>
            <w:tcBorders>
              <w:top w:val="single" w:sz="4" w:space="0" w:color="auto"/>
              <w:right w:val="nil"/>
            </w:tcBorders>
            <w:shd w:val="clear" w:color="auto" w:fill="auto"/>
            <w:noWrap/>
            <w:vAlign w:val="bottom"/>
            <w:hideMark/>
          </w:tcPr>
          <w:p w:rsidR="00975237" w:rsidRPr="00960226" w:rsidRDefault="00975237" w:rsidP="00E548CF">
            <w:pPr>
              <w:keepNext/>
              <w:keepLines/>
              <w:rPr>
                <w:sz w:val="16"/>
                <w:szCs w:val="16"/>
                <w:lang w:eastAsia="en-US"/>
              </w:rPr>
            </w:pPr>
            <w:r w:rsidRPr="00960226">
              <w:rPr>
                <w:sz w:val="16"/>
                <w:szCs w:val="16"/>
                <w:lang w:eastAsia="en-US"/>
              </w:rPr>
              <w:t>Sigma</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0.509***</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0.509***</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0.507***</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0.508***</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0.502***</w:t>
            </w:r>
          </w:p>
        </w:tc>
        <w:tc>
          <w:tcPr>
            <w:tcW w:w="0" w:type="auto"/>
            <w:tcBorders>
              <w:top w:val="single" w:sz="4" w:space="0" w:color="auto"/>
              <w:left w:val="nil"/>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0.505***</w:t>
            </w:r>
          </w:p>
        </w:tc>
      </w:tr>
      <w:tr w:rsidR="00975237" w:rsidRPr="007066B1" w:rsidTr="00975237">
        <w:trPr>
          <w:trHeight w:val="20"/>
          <w:jc w:val="center"/>
        </w:trPr>
        <w:tc>
          <w:tcPr>
            <w:tcW w:w="0" w:type="auto"/>
            <w:tcBorders>
              <w:bottom w:val="single" w:sz="4" w:space="0" w:color="auto"/>
              <w:right w:val="nil"/>
            </w:tcBorders>
            <w:shd w:val="clear" w:color="auto" w:fill="auto"/>
            <w:noWrap/>
            <w:vAlign w:val="bottom"/>
            <w:hideMark/>
          </w:tcPr>
          <w:p w:rsidR="00975237" w:rsidRPr="00960226" w:rsidRDefault="00975237" w:rsidP="00E548CF">
            <w:pPr>
              <w:keepNext/>
              <w:keepLines/>
              <w:rPr>
                <w:sz w:val="16"/>
                <w:szCs w:val="16"/>
                <w:lang w:eastAsia="en-US"/>
              </w:rPr>
            </w:pPr>
            <w:r w:rsidRPr="00960226">
              <w:rPr>
                <w:sz w:val="16"/>
                <w:szCs w:val="16"/>
                <w:lang w:eastAsia="en-US"/>
              </w:rPr>
              <w:t> </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(0.0196)</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(0.0195)</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(0.0195)</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(0.0195)</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(0.0193)</w:t>
            </w:r>
          </w:p>
        </w:tc>
        <w:tc>
          <w:tcPr>
            <w:tcW w:w="0" w:type="auto"/>
            <w:tcBorders>
              <w:left w:val="nil"/>
              <w:bottom w:val="single" w:sz="4" w:space="0" w:color="auto"/>
              <w:right w:val="nil"/>
            </w:tcBorders>
            <w:shd w:val="clear" w:color="auto" w:fill="auto"/>
            <w:noWrap/>
            <w:vAlign w:val="bottom"/>
            <w:hideMark/>
          </w:tcPr>
          <w:p w:rsidR="00975237" w:rsidRPr="007066B1" w:rsidRDefault="00975237" w:rsidP="00E548CF">
            <w:pPr>
              <w:keepNext/>
              <w:keepLines/>
              <w:jc w:val="center"/>
              <w:rPr>
                <w:sz w:val="16"/>
                <w:szCs w:val="16"/>
                <w:lang w:eastAsia="en-US"/>
              </w:rPr>
            </w:pPr>
            <w:r w:rsidRPr="007066B1">
              <w:rPr>
                <w:sz w:val="16"/>
                <w:szCs w:val="16"/>
                <w:lang w:eastAsia="en-US"/>
              </w:rPr>
              <w:t>(0.0194)</w:t>
            </w:r>
          </w:p>
        </w:tc>
      </w:tr>
      <w:tr w:rsidR="00975237" w:rsidRPr="007066B1" w:rsidTr="00975237">
        <w:trPr>
          <w:trHeight w:val="20"/>
          <w:jc w:val="center"/>
        </w:trPr>
        <w:tc>
          <w:tcPr>
            <w:tcW w:w="0" w:type="auto"/>
            <w:tcBorders>
              <w:top w:val="single" w:sz="4" w:space="0" w:color="auto"/>
              <w:bottom w:val="single" w:sz="4" w:space="0" w:color="auto"/>
              <w:right w:val="nil"/>
            </w:tcBorders>
            <w:shd w:val="clear" w:color="auto" w:fill="auto"/>
            <w:noWrap/>
            <w:vAlign w:val="bottom"/>
            <w:hideMark/>
          </w:tcPr>
          <w:p w:rsidR="00975237" w:rsidRPr="00960226" w:rsidRDefault="00975237" w:rsidP="00E548CF">
            <w:pPr>
              <w:keepNext/>
              <w:keepLines/>
              <w:rPr>
                <w:sz w:val="16"/>
                <w:szCs w:val="16"/>
                <w:lang w:eastAsia="en-US"/>
              </w:rPr>
            </w:pPr>
            <w:r>
              <w:rPr>
                <w:sz w:val="16"/>
                <w:szCs w:val="16"/>
                <w:lang w:eastAsia="en-US"/>
              </w:rPr>
              <w:t>Pseudo R2</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0.447</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0.448</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0.451</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0.448</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0.456</w:t>
            </w:r>
          </w:p>
        </w:tc>
        <w:tc>
          <w:tcPr>
            <w:tcW w:w="0" w:type="auto"/>
            <w:tcBorders>
              <w:top w:val="single" w:sz="4" w:space="0" w:color="auto"/>
              <w:left w:val="nil"/>
              <w:bottom w:val="single" w:sz="4" w:space="0" w:color="auto"/>
              <w:right w:val="nil"/>
            </w:tcBorders>
            <w:shd w:val="clear" w:color="auto" w:fill="auto"/>
            <w:noWrap/>
            <w:vAlign w:val="bottom"/>
            <w:hideMark/>
          </w:tcPr>
          <w:p w:rsidR="00975237" w:rsidRPr="00675E26" w:rsidRDefault="00975237" w:rsidP="00E548CF">
            <w:pPr>
              <w:keepNext/>
              <w:keepLines/>
              <w:jc w:val="center"/>
              <w:rPr>
                <w:sz w:val="16"/>
                <w:szCs w:val="16"/>
                <w:lang w:eastAsia="en-US"/>
              </w:rPr>
            </w:pPr>
            <w:r w:rsidRPr="00675E26">
              <w:rPr>
                <w:sz w:val="16"/>
                <w:szCs w:val="16"/>
                <w:lang w:eastAsia="en-US"/>
              </w:rPr>
              <w:t>0.453</w:t>
            </w:r>
          </w:p>
        </w:tc>
      </w:tr>
    </w:tbl>
    <w:p w:rsidR="00975237" w:rsidRPr="005F411C" w:rsidRDefault="00975237" w:rsidP="00E548CF">
      <w:pPr>
        <w:keepNext/>
        <w:keepLines/>
        <w:jc w:val="center"/>
        <w:rPr>
          <w:b/>
          <w:sz w:val="20"/>
          <w:szCs w:val="20"/>
        </w:rPr>
      </w:pPr>
      <w:r w:rsidRPr="005F411C">
        <w:rPr>
          <w:b/>
          <w:sz w:val="20"/>
          <w:szCs w:val="20"/>
        </w:rPr>
        <w:t>Standard errors are shown in parentheses. *** p&lt;0.01, ** p&lt;0.05, * p&lt;0.1</w:t>
      </w:r>
    </w:p>
    <w:p w:rsidR="00975237" w:rsidRPr="005F411C" w:rsidRDefault="00975237" w:rsidP="00E548CF">
      <w:pPr>
        <w:keepNext/>
        <w:keepLines/>
        <w:jc w:val="center"/>
        <w:rPr>
          <w:b/>
          <w:sz w:val="20"/>
          <w:szCs w:val="20"/>
        </w:rPr>
      </w:pPr>
      <w:r w:rsidRPr="005F411C">
        <w:rPr>
          <w:b/>
          <w:sz w:val="20"/>
          <w:szCs w:val="20"/>
        </w:rPr>
        <w:t xml:space="preserve">Source: Authors’ own elaboration in </w:t>
      </w:r>
      <w:proofErr w:type="spellStart"/>
      <w:r w:rsidRPr="005F411C">
        <w:rPr>
          <w:b/>
          <w:sz w:val="20"/>
          <w:szCs w:val="20"/>
        </w:rPr>
        <w:t>Stata</w:t>
      </w:r>
      <w:proofErr w:type="spellEnd"/>
      <w:r w:rsidRPr="005F411C">
        <w:rPr>
          <w:b/>
          <w:sz w:val="20"/>
          <w:szCs w:val="20"/>
        </w:rPr>
        <w:t xml:space="preserve"> 14 Software</w:t>
      </w:r>
    </w:p>
    <w:p w:rsidR="00975237" w:rsidRPr="00B52C50" w:rsidRDefault="00975237" w:rsidP="00EB65AD">
      <w:pPr>
        <w:jc w:val="both"/>
        <w:rPr>
          <w:color w:val="000000"/>
          <w:shd w:val="clear" w:color="auto" w:fill="FFFFFF"/>
        </w:rPr>
      </w:pPr>
    </w:p>
    <w:p w:rsidR="0053274B" w:rsidRPr="00B73F9C" w:rsidRDefault="0053274B" w:rsidP="00B73F9C">
      <w:pPr>
        <w:spacing w:line="360" w:lineRule="auto"/>
        <w:ind w:firstLine="708"/>
        <w:contextualSpacing/>
        <w:jc w:val="both"/>
        <w:rPr>
          <w:b/>
          <w:color w:val="000000"/>
          <w:shd w:val="clear" w:color="auto" w:fill="FFFFFF"/>
        </w:rPr>
      </w:pPr>
      <w:r w:rsidRPr="00B73F9C">
        <w:rPr>
          <w:b/>
          <w:color w:val="000000"/>
          <w:shd w:val="clear" w:color="auto" w:fill="FFFFFF"/>
        </w:rPr>
        <w:t>Conclusion</w:t>
      </w:r>
      <w:r w:rsidR="00681E5F" w:rsidRPr="00B73F9C">
        <w:rPr>
          <w:b/>
          <w:color w:val="000000"/>
          <w:shd w:val="clear" w:color="auto" w:fill="FFFFFF"/>
        </w:rPr>
        <w:t xml:space="preserve">: </w:t>
      </w:r>
    </w:p>
    <w:p w:rsidR="00DC7809" w:rsidRDefault="0053274B" w:rsidP="00B73F9C">
      <w:pPr>
        <w:spacing w:line="360" w:lineRule="auto"/>
        <w:ind w:firstLine="708"/>
        <w:contextualSpacing/>
        <w:jc w:val="both"/>
        <w:rPr>
          <w:color w:val="000000"/>
          <w:shd w:val="clear" w:color="auto" w:fill="FFFFFF"/>
        </w:rPr>
      </w:pPr>
      <w:r w:rsidRPr="007F1977">
        <w:rPr>
          <w:color w:val="000000"/>
          <w:shd w:val="clear" w:color="auto" w:fill="FFFFFF"/>
        </w:rPr>
        <w:t>There</w:t>
      </w:r>
      <w:r w:rsidRPr="00B73F9C">
        <w:rPr>
          <w:color w:val="000000"/>
          <w:shd w:val="clear" w:color="auto" w:fill="FFFFFF"/>
        </w:rPr>
        <w:t xml:space="preserve"> is a literature that investigates the extent to which the presence of qualified human capital in the region can lead to greater possibilities for knowledge exchange among different agents </w:t>
      </w:r>
      <w:r w:rsidRPr="00B73F9C">
        <w:rPr>
          <w:color w:val="000000"/>
          <w:shd w:val="clear" w:color="auto" w:fill="FFFFFF"/>
        </w:rPr>
        <w:fldChar w:fldCharType="begin" w:fldLock="1"/>
      </w:r>
      <w:r w:rsidRPr="00B73F9C">
        <w:rPr>
          <w:color w:val="000000"/>
          <w:shd w:val="clear" w:color="auto" w:fill="FFFFFF"/>
        </w:rPr>
        <w:instrText>ADDIN CSL_CITATION { "citationItems" : [ { "id" : "ITEM-1", "itemData" : { "DOI" : "10.1080/00343404.2014.955689", "ISSN" : "0034-3404", "author" : [ { "dropping-particle" : "", "family" : "Fratesi", "given" : "Ugo", "non-dropping-particle" : "", "parse-names" : false, "suffix" : "" } ], "container-title" : "Regional Studies", "id" : "ITEM-1", "issue" : "10", "issued" : { "date-parts" : [ [ "2014" ] ] }, "page" : "1587-1591", "title" : "Editorial: The Mobility of High-Skilled Workers \u2013 Causes and Consequences", "type" : "article-journal", "volume" : "48" }, "uris" : [ "http://www.mendeley.com/documents/?uuid=07b85279-d4bc-4893-8d3a-bee093c7031c" ] }, { "id" : "ITEM-2", "itemData" : { "DOI" : "10.1111/j.1435-5957.2010.00300.x", "ISBN" : "1056-8190", "ISSN" : "10568190", "abstract" : "This paper aims at contributing to the research on knowledge spillovers and their spatial extent by presenting new empirical evidence on a key mechanism driving and directing knowledge diffusion processes, namely, the mobility of knowledge and highly-skilled workers. The analysis is based on a rich data set on US inventors and their patents filed at the European Patent Office from 1978 to 2004. Findings indicate that two distinctive spatial patterns can be detected: inventors move both at short and large spatial distances (i.e., three hours and more than 8 hours driving distance, respectively) in similar proportions. Interestingly, in the largest inno- vative urban areas inventors\u2019 inflows and outflows primarily involve distant rather than neigh- bour areas.", "author" : [ { "dropping-particle" : "", "family" : "Breschi", "given" : "Stefano", "non-dropping-particle" : "", "parse-names" : false, "suffix" : "" }, { "dropping-particle" : "", "family" : "Lenzi", "given" : "Camilla", "non-dropping-particle" : "", "parse-names" : false, "suffix" : "" } ], "container-title" : "Papers in Regional Science", "id" : "ITEM-2", "issue" : "2", "issued" : { "date-parts" : [ [ "2010" ] ] }, "page" : "235-250", "title" : "Spatial patterns of inventors' mobility: Evidence on US urban areas", "type" : "article-journal", "volume" : "89" }, "uris" : [ "http://www.mendeley.com/documents/?uuid=2be4d821-e160-41fd-9b7b-f40aafb3f011" ] }, { "id" : "ITEM-3", "itemData" : { "DOI" : "10.1080/13662716.2013.805930", "ISSN" : "1366-2716", "abstract" : "On the basis of the original data on the curricula vitae of a group of Italian inventors patenting in the pharmaceutical field, this paper distinguishes between inventors' employers and applicants, and provides new information on their professional careers and their patent ownership regimes, that is whether or not intellectual property rights on inventions are retained by their employers. In addition, the paper confirms that inventors' mobility is an important determinant of knowledge impact and, interestingly, shows that ownership, too, is associated with a greater potential for knowledge diffusion. \u00a9 2013 Copyright Taylor and Francis Group, LLC.", "author" : [ { "dropping-particle" : "", "family" : "Lenzi", "given" : "Camilla", "non-dropping-particle" : "", "parse-names" : false, "suffix" : "" } ], "container-title" : "Industry &amp; Innovation", "id" : "ITEM-3", "issue" : "4", "issued" : { "date-parts" : [ [ "2013" ] ] }, "page" : "297-315", "title" : "Job Mobility, Patent Ownership and Knowledge Diffusion: Evidence on a Sample of Italian Inventors", "type" : "article-journal", "volume" : "20" }, "uris" : [ "http://www.mendeley.com/documents/?uuid=14a69945-ceda-42be-a6c3-683bd2d43de9" ] } ], "mendeley" : { "formattedCitation" : "(Fratesi 2014; Breschi &amp; Lenzi 2010; Lenzi 2013)", "plainTextFormattedCitation" : "(Fratesi 2014; Breschi &amp; Lenzi 2010; Lenzi 2013)", "previouslyFormattedCitation" : "(Fratesi 2014; Breschi &amp; Lenzi 2010; Lenzi 2013)" }, "properties" : { "noteIndex" : 0 }, "schema" : "https://github.com/citation-style-language/schema/raw/master/csl-citation.json" }</w:instrText>
      </w:r>
      <w:r w:rsidRPr="00B73F9C">
        <w:rPr>
          <w:color w:val="000000"/>
          <w:shd w:val="clear" w:color="auto" w:fill="FFFFFF"/>
        </w:rPr>
        <w:fldChar w:fldCharType="separate"/>
      </w:r>
      <w:r w:rsidRPr="00B73F9C">
        <w:rPr>
          <w:color w:val="000000"/>
          <w:shd w:val="clear" w:color="auto" w:fill="FFFFFF"/>
        </w:rPr>
        <w:t>(Fratesi 2014; Breschi &amp; Lenzi 2010; Lenzi 2013)</w:t>
      </w:r>
      <w:r w:rsidRPr="00B73F9C">
        <w:rPr>
          <w:color w:val="000000"/>
          <w:shd w:val="clear" w:color="auto" w:fill="FFFFFF"/>
        </w:rPr>
        <w:fldChar w:fldCharType="end"/>
      </w:r>
      <w:r w:rsidRPr="00B73F9C">
        <w:rPr>
          <w:color w:val="000000"/>
          <w:shd w:val="clear" w:color="auto" w:fill="FFFFFF"/>
        </w:rPr>
        <w:t>. The analysis of the</w:t>
      </w:r>
      <w:r w:rsidR="0077094F" w:rsidRPr="00B73F9C">
        <w:rPr>
          <w:color w:val="000000"/>
          <w:shd w:val="clear" w:color="auto" w:fill="FFFFFF"/>
        </w:rPr>
        <w:t xml:space="preserve"> skilled workers’ mobility</w:t>
      </w:r>
      <w:r w:rsidRPr="00B73F9C">
        <w:rPr>
          <w:color w:val="000000"/>
          <w:shd w:val="clear" w:color="auto" w:fill="FFFFFF"/>
        </w:rPr>
        <w:t xml:space="preserve"> for regions is a question that stimulates studies about the local knowledge base and its relation with innovation </w:t>
      </w:r>
      <w:r w:rsidRPr="00E62F34">
        <w:rPr>
          <w:color w:val="000000"/>
          <w:shd w:val="clear" w:color="auto" w:fill="FFFFFF"/>
        </w:rPr>
        <w:fldChar w:fldCharType="begin" w:fldLock="1"/>
      </w:r>
      <w:r w:rsidRPr="00E62F34">
        <w:rPr>
          <w:color w:val="000000"/>
          <w:shd w:val="clear" w:color="auto" w:fill="FFFFFF"/>
        </w:rPr>
        <w:instrText>ADDIN CSL_CITATION { "citationItems" : [ { "id" : "ITEM-1", "itemData" : { "DOI" : "10.1111/j.1435-5957.2012.00479.x", "ISBN" : "1056-8190", "ISSN" : "14355957", "abstract" : "We combine firm-level innovation data with area-level Census data to examine the relationship between local workforce characteristics, especially the presence of immigrants and local skills, and the likelihood of innovation by firms. We examine a range of innovation outcomes, and test the relationship for selected subgroups of firms.We find a positive relation- ship between local workforce characteristics and average innovation outcomes in labour market areas, but this is accounted for by variation in firm characteristics such as firm size, industry, and research and development expenditure. Controlling for these influences, we find no systematic evidence of an independent link between local workforce characteristics and innovation.", "author" : [ { "dropping-particle" : "", "family" : "Mar\u00e9", "given" : "David C.", "non-dropping-particle" : "", "parse-names" : false, "suffix" : "" }, { "dropping-particle" : "", "family" : "Fabling", "given" : "Richard", "non-dropping-particle" : "", "parse-names" : false, "suffix" : "" }, { "dropping-particle" : "", "family" : "Stillman", "given" : "Steven", "non-dropping-particle" : "", "parse-names" : false, "suffix" : "" } ], "container-title" : "Papers in Regional Science", "id" : "ITEM-1", "issue" : "1", "issued" : { "date-parts" : [ [ "2014" ] ] }, "page" : "183-201", "title" : "Innovation and the local workforce", "type" : "article-journal", "volume" : "93" }, "uris" : [ "http://www.mendeley.com/documents/?uuid=62378873-eb4c-425c-8950-9c4fd723fb93" ] }, { "id" : "ITEM-2", "itemData" : { "DOI" : "10.1111/pirs.12095", "ISSN" : "14355957", "abstract" : "What is the effect of an increase in the stock of human capital due to skilled immigration on the innovative performance of recipient economies? Combining firm-level micro-data with area-level labour force information, this paper investigates the impact of skilled international migration inflows on firms' product and process innovation in British local labour market areas. The paper supports the evidence in favour of a causal link between immigration and innovation. Results also show that the nature of the innovative process and the typology of innovative activities performed by local firms play a key role in the relation between immigra-tion and innovation.", "author" : [ { "dropping-particle" : "", "family" : "Gagliardi", "given" : "Luisa", "non-dropping-particle" : "", "parse-names" : false, "suffix" : "" } ], "container-title" : "Papers in Regional Science", "id" : "ITEM-2", "issue" : "4", "issued" : { "date-parts" : [ [ "2015" ] ] }, "page" : "773-794", "title" : "Does skilled migration foster innovative performance? Evidence from British local areas", "type" : "article-journal", "volume" : "94" }, "uris" : [ "http://www.mendeley.com/documents/?uuid=cb664910-d6fc-48c2-984b-4d987062e5e2" ] }, { "id" : "ITEM-3", "itemData" : { "author" : [ { "dropping-particle" : "", "family" : "Crescenzi", "given" : "Riccardo", "non-dropping-particle" : "", "parse-names" : false, "suffix" : "" }, { "dropping-particle" : "", "family" : "Gagliardi", "given" : "Luisa", "non-dropping-particle" : "", "parse-names" : false, "suffix" : "" } ], "container-title" : "Working Paper", "id" : "ITEM-3", "issued" : { "date-parts" : [ [ "2015" ] ] }, "title" : "Moving People with Ideas Innovation , inter-regional mobility and firm heterogeneity by Innovation , inter-regional mobility and firm heterogeneity", "type" : "article-journal" }, "uris" : [ "http://www.mendeley.com/documents/?uuid=e4b1002d-426c-4c40-8559-01f544558890" ] } ], "mendeley" : { "formattedCitation" : "(Mar\u00e9 et al. 2014; Gagliardi 2015; Crescenzi &amp; Gagliardi 2015)", "plainTextFormattedCitation" : "(Mar\u00e9 et al. 2014; Gagliardi 2015; Crescenzi &amp; Gagliardi 2015)", "previouslyFormattedCitation" : "(Mar\u00e9 et al. 2014; Gagliardi 2015; Crescenzi &amp; Gagliardi 2015)" }, "properties" : { "noteIndex" : 0 }, "schema" : "https://github.com/citation-style-language/schema/raw/master/csl-citation.json" }</w:instrText>
      </w:r>
      <w:r w:rsidRPr="00E62F34">
        <w:rPr>
          <w:color w:val="000000"/>
          <w:shd w:val="clear" w:color="auto" w:fill="FFFFFF"/>
        </w:rPr>
        <w:fldChar w:fldCharType="separate"/>
      </w:r>
      <w:r w:rsidRPr="00E62F34">
        <w:rPr>
          <w:color w:val="000000"/>
          <w:shd w:val="clear" w:color="auto" w:fill="FFFFFF"/>
        </w:rPr>
        <w:t>(Maré et al. 2014; Gagliardi 2015; Crescenzi &amp; Gagliardi 2015)</w:t>
      </w:r>
      <w:r w:rsidRPr="00E62F34">
        <w:rPr>
          <w:color w:val="000000"/>
          <w:shd w:val="clear" w:color="auto" w:fill="FFFFFF"/>
        </w:rPr>
        <w:fldChar w:fldCharType="end"/>
      </w:r>
      <w:r w:rsidRPr="00B73F9C">
        <w:rPr>
          <w:color w:val="000000"/>
          <w:shd w:val="clear" w:color="auto" w:fill="FFFFFF"/>
        </w:rPr>
        <w:t xml:space="preserve">. In this line, the </w:t>
      </w:r>
      <w:r w:rsidR="00331054">
        <w:rPr>
          <w:color w:val="000000"/>
          <w:shd w:val="clear" w:color="auto" w:fill="FFFFFF"/>
        </w:rPr>
        <w:t>aim</w:t>
      </w:r>
      <w:r w:rsidRPr="00666C20">
        <w:rPr>
          <w:color w:val="000000"/>
          <w:shd w:val="clear" w:color="auto" w:fill="FFFFFF"/>
        </w:rPr>
        <w:t xml:space="preserve"> of this </w:t>
      </w:r>
      <w:r>
        <w:rPr>
          <w:color w:val="000000"/>
          <w:shd w:val="clear" w:color="auto" w:fill="FFFFFF"/>
        </w:rPr>
        <w:t>research</w:t>
      </w:r>
      <w:r w:rsidRPr="00666C20">
        <w:rPr>
          <w:color w:val="000000"/>
          <w:shd w:val="clear" w:color="auto" w:fill="FFFFFF"/>
        </w:rPr>
        <w:t xml:space="preserve"> is to </w:t>
      </w:r>
      <w:r w:rsidRPr="00E62F34">
        <w:rPr>
          <w:color w:val="000000"/>
          <w:shd w:val="clear" w:color="auto" w:fill="FFFFFF"/>
        </w:rPr>
        <w:t xml:space="preserve">evaluate </w:t>
      </w:r>
      <w:r w:rsidR="005F54E9">
        <w:rPr>
          <w:color w:val="000000"/>
          <w:shd w:val="clear" w:color="auto" w:fill="FFFFFF"/>
        </w:rPr>
        <w:t>if</w:t>
      </w:r>
      <w:r w:rsidRPr="00E62F34">
        <w:rPr>
          <w:color w:val="000000"/>
          <w:shd w:val="clear" w:color="auto" w:fill="FFFFFF"/>
        </w:rPr>
        <w:t xml:space="preserve"> the skilled workers</w:t>
      </w:r>
      <w:r w:rsidR="00063EF8">
        <w:rPr>
          <w:color w:val="000000"/>
          <w:shd w:val="clear" w:color="auto" w:fill="FFFFFF"/>
        </w:rPr>
        <w:t>’ mobility</w:t>
      </w:r>
      <w:r w:rsidRPr="00E62F34">
        <w:rPr>
          <w:color w:val="000000"/>
          <w:shd w:val="clear" w:color="auto" w:fill="FFFFFF"/>
        </w:rPr>
        <w:t xml:space="preserve"> can influence the results of innovation.</w:t>
      </w:r>
      <w:r w:rsidRPr="00B73F9C">
        <w:rPr>
          <w:color w:val="000000"/>
          <w:shd w:val="clear" w:color="auto" w:fill="FFFFFF"/>
        </w:rPr>
        <w:t xml:space="preserve"> </w:t>
      </w:r>
      <w:r w:rsidRPr="00E62F34">
        <w:rPr>
          <w:color w:val="000000"/>
          <w:shd w:val="clear" w:color="auto" w:fill="FFFFFF"/>
        </w:rPr>
        <w:t>The benefits generated by the skilled workers</w:t>
      </w:r>
      <w:r w:rsidR="0077094F">
        <w:rPr>
          <w:color w:val="000000"/>
          <w:shd w:val="clear" w:color="auto" w:fill="FFFFFF"/>
        </w:rPr>
        <w:t>’</w:t>
      </w:r>
      <w:r w:rsidRPr="00E62F34">
        <w:rPr>
          <w:color w:val="000000"/>
          <w:shd w:val="clear" w:color="auto" w:fill="FFFFFF"/>
        </w:rPr>
        <w:t xml:space="preserve"> mobility in a region can positively influence the innovative results of geographically nearby companies. The contribution of this research </w:t>
      </w:r>
      <w:r>
        <w:rPr>
          <w:color w:val="000000"/>
          <w:shd w:val="clear" w:color="auto" w:fill="FFFFFF"/>
        </w:rPr>
        <w:t>is present</w:t>
      </w:r>
      <w:r w:rsidRPr="00E62F34">
        <w:rPr>
          <w:color w:val="000000"/>
          <w:shd w:val="clear" w:color="auto" w:fill="FFFFFF"/>
        </w:rPr>
        <w:t xml:space="preserve"> new empirical evidence on the role of skilled workers</w:t>
      </w:r>
      <w:r w:rsidR="0077094F">
        <w:rPr>
          <w:color w:val="000000"/>
          <w:shd w:val="clear" w:color="auto" w:fill="FFFFFF"/>
        </w:rPr>
        <w:t>’</w:t>
      </w:r>
      <w:r w:rsidRPr="00E62F34">
        <w:rPr>
          <w:color w:val="000000"/>
          <w:shd w:val="clear" w:color="auto" w:fill="FFFFFF"/>
        </w:rPr>
        <w:t xml:space="preserve"> mobility as an important source of knowledge flows. There is a lack of evidence about this theme </w:t>
      </w:r>
      <w:r w:rsidRPr="00E62F34">
        <w:rPr>
          <w:color w:val="000000"/>
          <w:shd w:val="clear" w:color="auto" w:fill="FFFFFF"/>
        </w:rPr>
        <w:fldChar w:fldCharType="begin" w:fldLock="1"/>
      </w:r>
      <w:r w:rsidRPr="00E62F34">
        <w:rPr>
          <w:color w:val="000000"/>
          <w:shd w:val="clear" w:color="auto" w:fill="FFFFFF"/>
        </w:rPr>
        <w:instrText>ADDIN CSL_CITATION { "citationItems" : [ { "id" : "ITEM-1", "itemData" : { "DOI" : "10.1111/j.1435-5957.2012.00479.x", "ISBN" : "1056-8190", "ISSN" : "14355957", "abstract" : "We combine firm-level innovation data with area-level Census data to examine the relationship between local workforce characteristics, especially the presence of immigrants and local skills, and the likelihood of innovation by firms. We examine a range of innovation outcomes, and test the relationship for selected subgroups of firms.We find a positive relation- ship between local workforce characteristics and average innovation outcomes in labour market areas, but this is accounted for by variation in firm characteristics such as firm size, industry, and research and development expenditure. Controlling for these influences, we find no systematic evidence of an independent link between local workforce characteristics and innovation.", "author" : [ { "dropping-particle" : "", "family" : "Mar\u00e9", "given" : "David C.", "non-dropping-particle" : "", "parse-names" : false, "suffix" : "" }, { "dropping-particle" : "", "family" : "Fabling", "given" : "Richard", "non-dropping-particle" : "", "parse-names" : false, "suffix" : "" }, { "dropping-particle" : "", "family" : "Stillman", "given" : "Steven", "non-dropping-particle" : "", "parse-names" : false, "suffix" : "" } ], "container-title" : "Papers in Regional Science", "id" : "ITEM-1", "issue" : "1", "issued" : { "date-parts" : [ [ "2014" ] ] }, "page" : "183-201", "title" : "Innovation and the local workforce", "type" : "article-journal", "volume" : "93" }, "uris" : [ "http://www.mendeley.com/documents/?uuid=62378873-eb4c-425c-8950-9c4fd723fb93" ] }, { "id" : "ITEM-2", "itemData" : { "DOI" : "10.1111/pirs.12095", "ISSN" : "14355957", "abstract" : "What is the effect of an increase in the stock of human capital due to skilled immigration on the innovative performance of recipient economies? Combining firm-level micro-data with area-level labour force information, this paper investigates the impact of skilled international migration inflows on firms' product and process innovation in British local labour market areas. The paper supports the evidence in favour of a causal link between immigration and innovation. Results also show that the nature of the innovative process and the typology of innovative activities performed by local firms play a key role in the relation between immigra-tion and innovation.", "author" : [ { "dropping-particle" : "", "family" : "Gagliardi", "given" : "Luisa", "non-dropping-particle" : "", "parse-names" : false, "suffix" : "" } ], "container-title" : "Papers in Regional Science", "id" : "ITEM-2", "issue" : "4", "issued" : { "date-parts" : [ [ "2015" ] ] }, "page" : "773-794", "title" : "Does skilled migration foster innovative performance? Evidence from British local areas", "type" : "article-journal", "volume" : "94" }, "uris" : [ "http://www.mendeley.com/documents/?uuid=cb664910-d6fc-48c2-984b-4d987062e5e2" ] }, { "id" : "ITEM-3", "itemData" : { "author" : [ { "dropping-particle" : "", "family" : "Crescenzi", "given" : "Riccardo", "non-dropping-particle" : "", "parse-names" : false, "suffix" : "" }, { "dropping-particle" : "", "family" : "Gagliardi", "given" : "Luisa", "non-dropping-particle" : "", "parse-names" : false, "suffix" : "" } ], "container-title" : "Working Paper", "id" : "ITEM-3", "issued" : { "date-parts" : [ [ "2015" ] ] }, "title" : "Moving People with Ideas Innovation , inter-regional mobility and firm heterogeneity by Innovation , inter-regional mobility and firm heterogeneity", "type" : "article-journal" }, "uris" : [ "http://www.mendeley.com/documents/?uuid=e4b1002d-426c-4c40-8559-01f544558890" ] } ], "mendeley" : { "formattedCitation" : "(Mar\u00e9 et al. 2014; Gagliardi 2015; Crescenzi &amp; Gagliardi 2015)", "plainTextFormattedCitation" : "(Mar\u00e9 et al. 2014; Gagliardi 2015; Crescenzi &amp; Gagliardi 2015)", "previouslyFormattedCitation" : "(Mar\u00e9 et al. 2014; Gagliardi 2015; Crescenzi &amp; Gagliardi 2015)" }, "properties" : { "noteIndex" : 0 }, "schema" : "https://github.com/citation-style-language/schema/raw/master/csl-citation.json" }</w:instrText>
      </w:r>
      <w:r w:rsidRPr="00E62F34">
        <w:rPr>
          <w:color w:val="000000"/>
          <w:shd w:val="clear" w:color="auto" w:fill="FFFFFF"/>
        </w:rPr>
        <w:fldChar w:fldCharType="separate"/>
      </w:r>
      <w:r w:rsidRPr="00E62F34">
        <w:rPr>
          <w:color w:val="000000"/>
          <w:shd w:val="clear" w:color="auto" w:fill="FFFFFF"/>
        </w:rPr>
        <w:t>(Maré et al. 2014; Gagliardi 2015; Crescenzi &amp; Gagliardi 2015)</w:t>
      </w:r>
      <w:r w:rsidRPr="00E62F34">
        <w:rPr>
          <w:color w:val="000000"/>
          <w:shd w:val="clear" w:color="auto" w:fill="FFFFFF"/>
        </w:rPr>
        <w:fldChar w:fldCharType="end"/>
      </w:r>
      <w:r w:rsidRPr="00E62F34">
        <w:rPr>
          <w:color w:val="000000"/>
          <w:shd w:val="clear" w:color="auto" w:fill="FFFFFF"/>
        </w:rPr>
        <w:t>. Moreover, such analyzes are still scarce for developing countries with continental dimensions</w:t>
      </w:r>
      <w:r>
        <w:rPr>
          <w:color w:val="000000"/>
          <w:shd w:val="clear" w:color="auto" w:fill="FFFFFF"/>
        </w:rPr>
        <w:t>, such as</w:t>
      </w:r>
      <w:r w:rsidRPr="00E62F34">
        <w:rPr>
          <w:color w:val="000000"/>
          <w:shd w:val="clear" w:color="auto" w:fill="FFFFFF"/>
        </w:rPr>
        <w:t xml:space="preserve"> Brazil.</w:t>
      </w:r>
    </w:p>
    <w:p w:rsidR="005F54E9" w:rsidRDefault="00D7274A" w:rsidP="00D7274A">
      <w:pPr>
        <w:spacing w:line="360" w:lineRule="auto"/>
        <w:ind w:firstLine="708"/>
        <w:contextualSpacing/>
        <w:jc w:val="both"/>
        <w:rPr>
          <w:color w:val="000000"/>
          <w:shd w:val="clear" w:color="auto" w:fill="FFFFFF"/>
        </w:rPr>
      </w:pPr>
      <w:r w:rsidRPr="00D7274A">
        <w:rPr>
          <w:color w:val="000000"/>
          <w:shd w:val="clear" w:color="auto" w:fill="FFFFFF"/>
        </w:rPr>
        <w:t xml:space="preserve">The estimation pointed the importance of mobility of skilled workers (with higher education and in technical and scientific occupations) in selected economic activities for regional innovation. The results present that the benefits of circulation of skilled workers are related with a more dynamic labor market and the externalities due the new </w:t>
      </w:r>
      <w:r w:rsidR="00111F67">
        <w:rPr>
          <w:color w:val="000000"/>
          <w:shd w:val="clear" w:color="auto" w:fill="FFFFFF"/>
        </w:rPr>
        <w:t>knowledge</w:t>
      </w:r>
      <w:r w:rsidRPr="00D7274A">
        <w:rPr>
          <w:color w:val="000000"/>
          <w:shd w:val="clear" w:color="auto" w:fill="FFFFFF"/>
        </w:rPr>
        <w:t xml:space="preserve"> in a region. Additionally, it is possible to assert that the movement of workers (inflows and outflows), on the regional level, can be an alternative source of knowledge flows, which can bring opportunities for the regions through the possibilities of formal and informal interactions.</w:t>
      </w:r>
      <w:r>
        <w:rPr>
          <w:color w:val="000000"/>
          <w:shd w:val="clear" w:color="auto" w:fill="FFFFFF"/>
        </w:rPr>
        <w:t xml:space="preserve"> </w:t>
      </w:r>
      <w:r w:rsidR="00412290" w:rsidRPr="00412290">
        <w:rPr>
          <w:color w:val="000000"/>
          <w:shd w:val="clear" w:color="auto" w:fill="FFFFFF"/>
        </w:rPr>
        <w:t>It is important to note that the movement of workers is concentrated</w:t>
      </w:r>
      <w:r w:rsidR="00111F67">
        <w:rPr>
          <w:color w:val="000000"/>
          <w:shd w:val="clear" w:color="auto" w:fill="FFFFFF"/>
        </w:rPr>
        <w:t>,</w:t>
      </w:r>
      <w:r w:rsidR="00412290" w:rsidRPr="00412290">
        <w:rPr>
          <w:color w:val="000000"/>
          <w:shd w:val="clear" w:color="auto" w:fill="FFFFFF"/>
        </w:rPr>
        <w:t xml:space="preserve"> as well as the economic and patenting activities. So, to understanding if the mobility of workers effectively affects regional innovation was excluded the movements of workers that have occurred inside the metropolitan regions. This evaluation was used to reinforcing the results of previous estimation</w:t>
      </w:r>
      <w:r>
        <w:rPr>
          <w:color w:val="000000"/>
          <w:shd w:val="clear" w:color="auto" w:fill="FFFFFF"/>
        </w:rPr>
        <w:t>s</w:t>
      </w:r>
      <w:r w:rsidR="00412290" w:rsidRPr="00412290">
        <w:rPr>
          <w:color w:val="000000"/>
          <w:shd w:val="clear" w:color="auto" w:fill="FFFFFF"/>
        </w:rPr>
        <w:t>.</w:t>
      </w:r>
    </w:p>
    <w:p w:rsidR="0011711D" w:rsidRDefault="0011711D">
      <w:pPr>
        <w:contextualSpacing/>
        <w:jc w:val="both"/>
        <w:rPr>
          <w:rFonts w:ascii="Arial" w:hAnsi="Arial" w:cs="Arial"/>
          <w:sz w:val="20"/>
          <w:szCs w:val="20"/>
        </w:rPr>
      </w:pPr>
    </w:p>
    <w:p w:rsidR="00FC785E" w:rsidRDefault="00FC785E" w:rsidP="00FC785E">
      <w:pPr>
        <w:pStyle w:val="Ttulo1"/>
        <w:spacing w:before="0" w:line="240" w:lineRule="auto"/>
        <w:jc w:val="both"/>
        <w:rPr>
          <w:rStyle w:val="apple-converted-space"/>
          <w:rFonts w:cs="Times New Roman"/>
          <w:color w:val="000000"/>
          <w:szCs w:val="24"/>
          <w:shd w:val="clear" w:color="auto" w:fill="FFFFFF"/>
        </w:rPr>
      </w:pPr>
      <w:r w:rsidRPr="00803357">
        <w:rPr>
          <w:rStyle w:val="apple-converted-space"/>
          <w:rFonts w:cs="Times New Roman"/>
          <w:color w:val="000000"/>
          <w:szCs w:val="24"/>
          <w:shd w:val="clear" w:color="auto" w:fill="FFFFFF"/>
        </w:rPr>
        <w:t>References</w:t>
      </w:r>
      <w:r>
        <w:rPr>
          <w:rStyle w:val="apple-converted-space"/>
          <w:rFonts w:cs="Times New Roman"/>
          <w:color w:val="000000"/>
          <w:szCs w:val="24"/>
          <w:shd w:val="clear" w:color="auto" w:fill="FFFFFF"/>
        </w:rPr>
        <w:t>:</w:t>
      </w:r>
    </w:p>
    <w:p w:rsidR="00F2540C" w:rsidRDefault="00F2540C" w:rsidP="00F2540C">
      <w:pPr>
        <w:rPr>
          <w:lang w:eastAsia="pt-BR"/>
        </w:rPr>
      </w:pPr>
    </w:p>
    <w:p w:rsidR="00F2540C" w:rsidRDefault="00F2540C" w:rsidP="00F2540C">
      <w:pPr>
        <w:rPr>
          <w:lang w:eastAsia="pt-BR"/>
        </w:rPr>
      </w:pPr>
      <w:r>
        <w:rPr>
          <w:lang w:eastAsia="pt-BR"/>
        </w:rPr>
        <w:t xml:space="preserve">ALBUQUERQUE, E. M. Domestic patents and developing countries: arguments for their study and data from Brazil (1980–1995). </w:t>
      </w:r>
      <w:proofErr w:type="gramStart"/>
      <w:r>
        <w:rPr>
          <w:lang w:eastAsia="pt-BR"/>
        </w:rPr>
        <w:t>Research Policy, v. 29, n. 9, p. 1047–1060, 2000.</w:t>
      </w:r>
      <w:proofErr w:type="gramEnd"/>
      <w:r>
        <w:rPr>
          <w:lang w:eastAsia="pt-BR"/>
        </w:rPr>
        <w:t xml:space="preserve"> </w:t>
      </w:r>
    </w:p>
    <w:p w:rsidR="00F2540C" w:rsidRDefault="00F2540C" w:rsidP="00F2540C">
      <w:pPr>
        <w:rPr>
          <w:lang w:eastAsia="pt-BR"/>
        </w:rPr>
      </w:pPr>
    </w:p>
    <w:p w:rsidR="00F2540C" w:rsidRPr="00F2540C" w:rsidRDefault="00F2540C" w:rsidP="00F2540C">
      <w:pPr>
        <w:rPr>
          <w:lang w:val="pt-BR" w:eastAsia="pt-BR"/>
        </w:rPr>
      </w:pPr>
      <w:r>
        <w:rPr>
          <w:lang w:eastAsia="pt-BR"/>
        </w:rPr>
        <w:lastRenderedPageBreak/>
        <w:t xml:space="preserve">ANGELI, F.; GRANDI, A.; GRIMALDI, R. Directions and Paths of Knowledge Flows through </w:t>
      </w:r>
      <w:proofErr w:type="spellStart"/>
      <w:r>
        <w:rPr>
          <w:lang w:eastAsia="pt-BR"/>
        </w:rPr>
        <w:t>Labour</w:t>
      </w:r>
      <w:proofErr w:type="spellEnd"/>
      <w:r>
        <w:rPr>
          <w:lang w:eastAsia="pt-BR"/>
        </w:rPr>
        <w:t xml:space="preserve"> Mobility: A Social Capital Perspective. </w:t>
      </w:r>
      <w:r w:rsidRPr="00F2540C">
        <w:rPr>
          <w:lang w:val="pt-BR" w:eastAsia="pt-BR"/>
        </w:rPr>
        <w:t xml:space="preserve">Regional </w:t>
      </w:r>
      <w:proofErr w:type="spellStart"/>
      <w:r w:rsidRPr="00F2540C">
        <w:rPr>
          <w:lang w:val="pt-BR" w:eastAsia="pt-BR"/>
        </w:rPr>
        <w:t>Studies</w:t>
      </w:r>
      <w:proofErr w:type="spellEnd"/>
      <w:r w:rsidRPr="00F2540C">
        <w:rPr>
          <w:lang w:val="pt-BR" w:eastAsia="pt-BR"/>
        </w:rPr>
        <w:t xml:space="preserve">, v. 48, n. 11, p. 1896–1917, 2014. </w:t>
      </w:r>
    </w:p>
    <w:p w:rsidR="00F2540C" w:rsidRPr="00F2540C" w:rsidRDefault="00F2540C" w:rsidP="00F2540C">
      <w:pPr>
        <w:rPr>
          <w:lang w:val="pt-BR" w:eastAsia="pt-BR"/>
        </w:rPr>
      </w:pPr>
    </w:p>
    <w:p w:rsidR="00F2540C" w:rsidRDefault="00F2540C" w:rsidP="00F2540C">
      <w:pPr>
        <w:rPr>
          <w:lang w:eastAsia="pt-BR"/>
        </w:rPr>
      </w:pPr>
      <w:proofErr w:type="gramStart"/>
      <w:r>
        <w:rPr>
          <w:lang w:eastAsia="pt-BR"/>
        </w:rPr>
        <w:t>AUDRETSCH, D. B.; FELDMAN, M. P. R&amp;D Spillovers and the Geography of Innovation and Production.</w:t>
      </w:r>
      <w:proofErr w:type="gramEnd"/>
      <w:r>
        <w:rPr>
          <w:lang w:eastAsia="pt-BR"/>
        </w:rPr>
        <w:t xml:space="preserve"> </w:t>
      </w:r>
      <w:proofErr w:type="gramStart"/>
      <w:r>
        <w:rPr>
          <w:lang w:eastAsia="pt-BR"/>
        </w:rPr>
        <w:t>American Economic Review, v. 86, n. 3, p. 630–640, 1996.</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BOSCHMA, R. A.; ERIKSSON, R. H.; LINDGREN, U. </w:t>
      </w:r>
      <w:proofErr w:type="spellStart"/>
      <w:r>
        <w:rPr>
          <w:lang w:eastAsia="pt-BR"/>
        </w:rPr>
        <w:t>Labour</w:t>
      </w:r>
      <w:proofErr w:type="spellEnd"/>
      <w:r>
        <w:rPr>
          <w:lang w:eastAsia="pt-BR"/>
        </w:rPr>
        <w:t xml:space="preserve"> Market Externalities and Regional Growth in Sweden: The Importance of </w:t>
      </w:r>
      <w:proofErr w:type="spellStart"/>
      <w:r>
        <w:rPr>
          <w:lang w:eastAsia="pt-BR"/>
        </w:rPr>
        <w:t>Labour</w:t>
      </w:r>
      <w:proofErr w:type="spellEnd"/>
      <w:r>
        <w:rPr>
          <w:lang w:eastAsia="pt-BR"/>
        </w:rPr>
        <w:t xml:space="preserve"> Mobility between Skill-Related Industries. </w:t>
      </w:r>
      <w:proofErr w:type="gramStart"/>
      <w:r>
        <w:rPr>
          <w:lang w:eastAsia="pt-BR"/>
        </w:rPr>
        <w:t>Regional Studies, v. 48, n. 10, p. 1669–1690, 2014.</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proofErr w:type="gramStart"/>
      <w:r>
        <w:rPr>
          <w:lang w:eastAsia="pt-BR"/>
        </w:rPr>
        <w:t>BOSCHMA, R.; IAMMARINO, S. Related Variety, Trade Linkages, and Regional Growth in Italy.</w:t>
      </w:r>
      <w:proofErr w:type="gramEnd"/>
      <w:r>
        <w:rPr>
          <w:lang w:eastAsia="pt-BR"/>
        </w:rPr>
        <w:t xml:space="preserve"> </w:t>
      </w:r>
      <w:proofErr w:type="gramStart"/>
      <w:r>
        <w:rPr>
          <w:lang w:eastAsia="pt-BR"/>
        </w:rPr>
        <w:t>Economic Geography, v. 85, n. 3, p. 289–311, 2009.</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BRESCHI, S.; LENZI, C. Spatial patterns of inventors’ mobility: Evidence on US urban areas. </w:t>
      </w:r>
      <w:proofErr w:type="gramStart"/>
      <w:r>
        <w:rPr>
          <w:lang w:eastAsia="pt-BR"/>
        </w:rPr>
        <w:t>Papers in Regional Science, v. 89, n. 2, p. 235–250, 2010.</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BRESCHI, S.; LISSONI, F. Knowledge Spillovers and Local Innovation Systems: A Critical Survey. </w:t>
      </w:r>
      <w:proofErr w:type="gramStart"/>
      <w:r>
        <w:rPr>
          <w:lang w:eastAsia="pt-BR"/>
        </w:rPr>
        <w:t>Industrial and Corporate Change, v. 10, n. 4, p. 975–1005, 2001.</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BRESCHI, S.; LISSONI, F. Mobility of skilled workers and co-invention networks: An anatomy of localized knowledge flows. </w:t>
      </w:r>
      <w:proofErr w:type="gramStart"/>
      <w:r>
        <w:rPr>
          <w:lang w:eastAsia="pt-BR"/>
        </w:rPr>
        <w:t>Journal of Economic Geography, v. 9, n. 4, p. 439–468, 2009.</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COHEN, W. M.; NELSON, R. R.; WALSH, J. P. Links and Impacts: The Influence of Public Research on Industrial R&amp;D. Management Science, v. 48, n. 1, p. 1–23, 2002. </w:t>
      </w:r>
    </w:p>
    <w:p w:rsidR="00F2540C" w:rsidRDefault="00F2540C" w:rsidP="00F2540C">
      <w:pPr>
        <w:rPr>
          <w:lang w:eastAsia="pt-BR"/>
        </w:rPr>
      </w:pPr>
    </w:p>
    <w:p w:rsidR="00F2540C" w:rsidRDefault="00F2540C" w:rsidP="00F2540C">
      <w:pPr>
        <w:rPr>
          <w:lang w:eastAsia="pt-BR"/>
        </w:rPr>
      </w:pPr>
      <w:r>
        <w:rPr>
          <w:lang w:eastAsia="pt-BR"/>
        </w:rPr>
        <w:t xml:space="preserve">CRESCENZI, R.; GAGLIARDI, L. Moving People with Ideas </w:t>
      </w:r>
      <w:proofErr w:type="gramStart"/>
      <w:r>
        <w:rPr>
          <w:lang w:eastAsia="pt-BR"/>
        </w:rPr>
        <w:t>Innovation ,</w:t>
      </w:r>
      <w:proofErr w:type="gramEnd"/>
      <w:r>
        <w:rPr>
          <w:lang w:eastAsia="pt-BR"/>
        </w:rPr>
        <w:t xml:space="preserve"> inter-regional mobility and firm heterogeneity by Innovation , inter-regional mobility and firm heterogeneity. SERC discussion papers, SERCDP0174. 2015. </w:t>
      </w:r>
    </w:p>
    <w:p w:rsidR="00F2540C" w:rsidRDefault="00F2540C" w:rsidP="00F2540C">
      <w:pPr>
        <w:rPr>
          <w:lang w:eastAsia="pt-BR"/>
        </w:rPr>
      </w:pPr>
    </w:p>
    <w:p w:rsidR="00F2540C" w:rsidRDefault="00F2540C" w:rsidP="00F2540C">
      <w:pPr>
        <w:rPr>
          <w:lang w:eastAsia="pt-BR"/>
        </w:rPr>
      </w:pPr>
      <w:proofErr w:type="gramStart"/>
      <w:r>
        <w:rPr>
          <w:lang w:eastAsia="pt-BR"/>
        </w:rPr>
        <w:t>CRESCENZI, R.; RODRÍGUEZ-POSE, A.; STORPER, M.</w:t>
      </w:r>
      <w:proofErr w:type="gramEnd"/>
      <w:r>
        <w:rPr>
          <w:lang w:eastAsia="pt-BR"/>
        </w:rPr>
        <w:t xml:space="preserve"> The territorial dynamics of innovation: A Europe-United States comparative analysis. </w:t>
      </w:r>
      <w:proofErr w:type="gramStart"/>
      <w:r>
        <w:rPr>
          <w:lang w:eastAsia="pt-BR"/>
        </w:rPr>
        <w:t>Journal of Economic Geography, v. 7, n. 6, p. 673–709, 2007.</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DURANTON, G.; PUGA, D. Nursery cities: Urban diversity, process innovation, and the life cycle of products. </w:t>
      </w:r>
      <w:proofErr w:type="gramStart"/>
      <w:r>
        <w:rPr>
          <w:lang w:eastAsia="pt-BR"/>
        </w:rPr>
        <w:t>American Economic Review, v. 91, n. 5, p. 1454–1477, 2001.</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FRATESI, U. Editorial: The Mobility of High-Skilled Workers – Causes and Consequences. </w:t>
      </w:r>
      <w:proofErr w:type="gramStart"/>
      <w:r>
        <w:rPr>
          <w:lang w:eastAsia="pt-BR"/>
        </w:rPr>
        <w:t>Regional Studies, v. 48, n. 10, p. 1587–1591, 2014.</w:t>
      </w:r>
      <w:proofErr w:type="gramEnd"/>
      <w:r>
        <w:rPr>
          <w:lang w:eastAsia="pt-BR"/>
        </w:rPr>
        <w:t xml:space="preserve"> </w:t>
      </w:r>
    </w:p>
    <w:p w:rsidR="00F2540C" w:rsidRDefault="00F2540C" w:rsidP="00F2540C">
      <w:pPr>
        <w:rPr>
          <w:lang w:eastAsia="pt-BR"/>
        </w:rPr>
      </w:pPr>
    </w:p>
    <w:p w:rsidR="00F2540C" w:rsidRPr="00F2540C" w:rsidRDefault="00F2540C" w:rsidP="00F2540C">
      <w:pPr>
        <w:rPr>
          <w:lang w:val="pt-BR" w:eastAsia="pt-BR"/>
        </w:rPr>
      </w:pPr>
      <w:r>
        <w:rPr>
          <w:lang w:eastAsia="pt-BR"/>
        </w:rPr>
        <w:t xml:space="preserve">FRATESI, U.; PERCOCO, M. Selective Migration, Regional Growth and Convergence: Evidence from Italy. </w:t>
      </w:r>
      <w:r w:rsidRPr="00F2540C">
        <w:rPr>
          <w:lang w:val="pt-BR" w:eastAsia="pt-BR"/>
        </w:rPr>
        <w:t xml:space="preserve">Regional </w:t>
      </w:r>
      <w:proofErr w:type="spellStart"/>
      <w:r w:rsidRPr="00F2540C">
        <w:rPr>
          <w:lang w:val="pt-BR" w:eastAsia="pt-BR"/>
        </w:rPr>
        <w:t>Studies</w:t>
      </w:r>
      <w:proofErr w:type="spellEnd"/>
      <w:r w:rsidRPr="00F2540C">
        <w:rPr>
          <w:lang w:val="pt-BR" w:eastAsia="pt-BR"/>
        </w:rPr>
        <w:t xml:space="preserve">, v. 48, n. 10, p. 1650–1668, 2014. </w:t>
      </w:r>
    </w:p>
    <w:p w:rsidR="00F2540C" w:rsidRDefault="00F2540C" w:rsidP="00F2540C">
      <w:pPr>
        <w:rPr>
          <w:lang w:eastAsia="pt-BR"/>
        </w:rPr>
      </w:pPr>
    </w:p>
    <w:p w:rsidR="00F2540C" w:rsidRDefault="00F2540C" w:rsidP="00F2540C">
      <w:pPr>
        <w:rPr>
          <w:lang w:eastAsia="pt-BR"/>
        </w:rPr>
      </w:pPr>
      <w:r>
        <w:rPr>
          <w:lang w:eastAsia="pt-BR"/>
        </w:rPr>
        <w:t xml:space="preserve">GAGLIARDI, L. Does skilled migration foster innovative performance? </w:t>
      </w:r>
      <w:proofErr w:type="gramStart"/>
      <w:r>
        <w:rPr>
          <w:lang w:eastAsia="pt-BR"/>
        </w:rPr>
        <w:t>Evidence from British local areas.</w:t>
      </w:r>
      <w:proofErr w:type="gramEnd"/>
      <w:r>
        <w:rPr>
          <w:lang w:eastAsia="pt-BR"/>
        </w:rPr>
        <w:t xml:space="preserve"> </w:t>
      </w:r>
      <w:proofErr w:type="gramStart"/>
      <w:r>
        <w:rPr>
          <w:lang w:eastAsia="pt-BR"/>
        </w:rPr>
        <w:t>Papers in Regional Science, v. 94, n. 4, p. 773–794, 2015.</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lastRenderedPageBreak/>
        <w:t xml:space="preserve">GERTLER, M. S. Tacit Knowledge in Production Systems: How Important Is Geography? In: POLENSKE, K. R. (Ed.). . </w:t>
      </w:r>
      <w:proofErr w:type="gramStart"/>
      <w:r>
        <w:rPr>
          <w:lang w:eastAsia="pt-BR"/>
        </w:rPr>
        <w:t>The Economic Geography of Innovation.</w:t>
      </w:r>
      <w:proofErr w:type="gramEnd"/>
      <w:r>
        <w:rPr>
          <w:lang w:eastAsia="pt-BR"/>
        </w:rPr>
        <w:t xml:space="preserve"> 1. ed. Cambridge, UK: Cambridge University Press, 2007. p. 1–42. </w:t>
      </w:r>
    </w:p>
    <w:p w:rsidR="00F2540C" w:rsidRDefault="00F2540C" w:rsidP="00F2540C">
      <w:pPr>
        <w:rPr>
          <w:lang w:eastAsia="pt-BR"/>
        </w:rPr>
      </w:pPr>
    </w:p>
    <w:p w:rsidR="00F2540C" w:rsidRPr="00F2540C" w:rsidRDefault="00F2540C" w:rsidP="00F2540C">
      <w:pPr>
        <w:rPr>
          <w:lang w:val="pt-BR" w:eastAsia="pt-BR"/>
        </w:rPr>
      </w:pPr>
      <w:r>
        <w:rPr>
          <w:lang w:eastAsia="pt-BR"/>
        </w:rPr>
        <w:t xml:space="preserve">GLAESER, E. L. et al. Growth in Cities Growth in Cities Andrei </w:t>
      </w:r>
      <w:proofErr w:type="spellStart"/>
      <w:r>
        <w:rPr>
          <w:lang w:eastAsia="pt-BR"/>
        </w:rPr>
        <w:t>Shleifer</w:t>
      </w:r>
      <w:proofErr w:type="spellEnd"/>
      <w:r>
        <w:rPr>
          <w:lang w:eastAsia="pt-BR"/>
        </w:rPr>
        <w:t xml:space="preserve">. </w:t>
      </w:r>
      <w:proofErr w:type="spellStart"/>
      <w:r w:rsidRPr="00F2540C">
        <w:rPr>
          <w:lang w:val="pt-BR" w:eastAsia="pt-BR"/>
        </w:rPr>
        <w:t>Journal</w:t>
      </w:r>
      <w:proofErr w:type="spellEnd"/>
      <w:r w:rsidRPr="00F2540C">
        <w:rPr>
          <w:lang w:val="pt-BR" w:eastAsia="pt-BR"/>
        </w:rPr>
        <w:t xml:space="preserve"> </w:t>
      </w:r>
      <w:proofErr w:type="spellStart"/>
      <w:r w:rsidRPr="00F2540C">
        <w:rPr>
          <w:lang w:val="pt-BR" w:eastAsia="pt-BR"/>
        </w:rPr>
        <w:t>of</w:t>
      </w:r>
      <w:proofErr w:type="spellEnd"/>
      <w:r w:rsidRPr="00F2540C">
        <w:rPr>
          <w:lang w:val="pt-BR" w:eastAsia="pt-BR"/>
        </w:rPr>
        <w:t xml:space="preserve"> </w:t>
      </w:r>
      <w:proofErr w:type="spellStart"/>
      <w:r w:rsidRPr="00F2540C">
        <w:rPr>
          <w:lang w:val="pt-BR" w:eastAsia="pt-BR"/>
        </w:rPr>
        <w:t>Political</w:t>
      </w:r>
      <w:proofErr w:type="spellEnd"/>
      <w:r w:rsidRPr="00F2540C">
        <w:rPr>
          <w:lang w:val="pt-BR" w:eastAsia="pt-BR"/>
        </w:rPr>
        <w:t xml:space="preserve"> </w:t>
      </w:r>
      <w:proofErr w:type="spellStart"/>
      <w:r w:rsidRPr="00F2540C">
        <w:rPr>
          <w:lang w:val="pt-BR" w:eastAsia="pt-BR"/>
        </w:rPr>
        <w:t>Economy</w:t>
      </w:r>
      <w:proofErr w:type="spellEnd"/>
      <w:r w:rsidRPr="00F2540C">
        <w:rPr>
          <w:lang w:val="pt-BR" w:eastAsia="pt-BR"/>
        </w:rPr>
        <w:t xml:space="preserve">, v. 100, n. 6, p. 1126–1152, 1992. </w:t>
      </w:r>
    </w:p>
    <w:p w:rsidR="00F2540C" w:rsidRPr="00F2540C" w:rsidRDefault="00F2540C" w:rsidP="00F2540C">
      <w:pPr>
        <w:rPr>
          <w:lang w:val="pt-BR" w:eastAsia="pt-BR"/>
        </w:rPr>
      </w:pPr>
    </w:p>
    <w:p w:rsidR="00F2540C" w:rsidRDefault="00F2540C" w:rsidP="00F2540C">
      <w:pPr>
        <w:rPr>
          <w:lang w:eastAsia="pt-BR"/>
        </w:rPr>
      </w:pPr>
      <w:proofErr w:type="gramStart"/>
      <w:r>
        <w:rPr>
          <w:lang w:eastAsia="pt-BR"/>
        </w:rPr>
        <w:t>GRILICHES, Z. Issues in assessing the contribution of research and development to productivity growth.</w:t>
      </w:r>
      <w:proofErr w:type="gramEnd"/>
      <w:r>
        <w:rPr>
          <w:lang w:eastAsia="pt-BR"/>
        </w:rPr>
        <w:t xml:space="preserve"> </w:t>
      </w:r>
      <w:proofErr w:type="gramStart"/>
      <w:r>
        <w:rPr>
          <w:lang w:eastAsia="pt-BR"/>
        </w:rPr>
        <w:t>The Bell Journal of Economics, v. 10, n. 1, p. 92–116, 1979.</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proofErr w:type="gramStart"/>
      <w:r>
        <w:rPr>
          <w:lang w:eastAsia="pt-BR"/>
        </w:rPr>
        <w:t>JAFFE, A. B. Real Effects of Academic Research.</w:t>
      </w:r>
      <w:proofErr w:type="gramEnd"/>
      <w:r>
        <w:rPr>
          <w:lang w:eastAsia="pt-BR"/>
        </w:rPr>
        <w:t xml:space="preserve"> </w:t>
      </w:r>
      <w:proofErr w:type="gramStart"/>
      <w:r>
        <w:rPr>
          <w:lang w:eastAsia="pt-BR"/>
        </w:rPr>
        <w:t>American Economic Review, p. 957–971, 1989.</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KLEVORICK, A. K. et al. </w:t>
      </w:r>
      <w:proofErr w:type="gramStart"/>
      <w:r>
        <w:rPr>
          <w:lang w:eastAsia="pt-BR"/>
        </w:rPr>
        <w:t xml:space="preserve">On the sources and significance of </w:t>
      </w:r>
      <w:proofErr w:type="spellStart"/>
      <w:r>
        <w:rPr>
          <w:lang w:eastAsia="pt-BR"/>
        </w:rPr>
        <w:t>interindustry</w:t>
      </w:r>
      <w:proofErr w:type="spellEnd"/>
      <w:r>
        <w:rPr>
          <w:lang w:eastAsia="pt-BR"/>
        </w:rPr>
        <w:t xml:space="preserve"> differences in technological opportunities.</w:t>
      </w:r>
      <w:proofErr w:type="gramEnd"/>
      <w:r>
        <w:rPr>
          <w:lang w:eastAsia="pt-BR"/>
        </w:rPr>
        <w:t xml:space="preserve"> </w:t>
      </w:r>
      <w:proofErr w:type="gramStart"/>
      <w:r>
        <w:rPr>
          <w:lang w:eastAsia="pt-BR"/>
        </w:rPr>
        <w:t>Research Policy, v. 24, n. 2, p. 185–205, 1995.</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LENZI, C. Job Mobility, Patent Ownership and Knowledge Diffusion: Evidence on a Sample of Italian Inventors. </w:t>
      </w:r>
      <w:proofErr w:type="gramStart"/>
      <w:r>
        <w:rPr>
          <w:lang w:eastAsia="pt-BR"/>
        </w:rPr>
        <w:t>Industry &amp; Innovation, v. 20, n. 4, p. 297–315, 2013.</w:t>
      </w:r>
      <w:proofErr w:type="gramEnd"/>
      <w:r>
        <w:rPr>
          <w:lang w:eastAsia="pt-BR"/>
        </w:rPr>
        <w:t xml:space="preserve"> </w:t>
      </w:r>
    </w:p>
    <w:p w:rsidR="00F2540C" w:rsidRDefault="00F2540C" w:rsidP="00F2540C">
      <w:pPr>
        <w:rPr>
          <w:lang w:eastAsia="pt-BR"/>
        </w:rPr>
      </w:pPr>
    </w:p>
    <w:p w:rsidR="00F2540C" w:rsidRDefault="00F2540C" w:rsidP="00F2540C">
      <w:pPr>
        <w:rPr>
          <w:lang w:eastAsia="pt-BR"/>
        </w:rPr>
      </w:pPr>
      <w:r>
        <w:rPr>
          <w:lang w:eastAsia="pt-BR"/>
        </w:rPr>
        <w:t xml:space="preserve">LISSONI, F. International migration and innovation diffusion: an eclectic survey. </w:t>
      </w:r>
      <w:proofErr w:type="gramStart"/>
      <w:r>
        <w:rPr>
          <w:lang w:eastAsia="pt-BR"/>
        </w:rPr>
        <w:t>Regional Studies, v. 52, n. 5, p. 702–714, 2018.</w:t>
      </w:r>
      <w:proofErr w:type="gramEnd"/>
      <w:r>
        <w:rPr>
          <w:lang w:eastAsia="pt-BR"/>
        </w:rPr>
        <w:t xml:space="preserve"> </w:t>
      </w:r>
    </w:p>
    <w:p w:rsidR="005D06F9" w:rsidRDefault="005D06F9" w:rsidP="00F2540C">
      <w:pPr>
        <w:rPr>
          <w:lang w:eastAsia="pt-BR"/>
        </w:rPr>
      </w:pPr>
    </w:p>
    <w:p w:rsidR="00F2540C" w:rsidRPr="00876ACE" w:rsidRDefault="00F2540C" w:rsidP="00F2540C">
      <w:pPr>
        <w:rPr>
          <w:lang w:val="pt-BR" w:eastAsia="pt-BR"/>
        </w:rPr>
      </w:pPr>
      <w:proofErr w:type="gramStart"/>
      <w:r>
        <w:rPr>
          <w:lang w:eastAsia="pt-BR"/>
        </w:rPr>
        <w:t>MARÉ, D. C.; FABLING, R.; STILLMAN, S. Innovation and the local workforce.</w:t>
      </w:r>
      <w:proofErr w:type="gramEnd"/>
      <w:r>
        <w:rPr>
          <w:lang w:eastAsia="pt-BR"/>
        </w:rPr>
        <w:t xml:space="preserve"> </w:t>
      </w:r>
      <w:proofErr w:type="spellStart"/>
      <w:r w:rsidRPr="00876ACE">
        <w:rPr>
          <w:lang w:val="pt-BR" w:eastAsia="pt-BR"/>
        </w:rPr>
        <w:t>Papers</w:t>
      </w:r>
      <w:proofErr w:type="spellEnd"/>
      <w:r w:rsidRPr="00876ACE">
        <w:rPr>
          <w:lang w:val="pt-BR" w:eastAsia="pt-BR"/>
        </w:rPr>
        <w:t xml:space="preserve"> in Regional Science, v. 93, n. 1, p. 183–201, 2014. </w:t>
      </w:r>
    </w:p>
    <w:p w:rsidR="00F2540C" w:rsidRPr="00F2540C" w:rsidRDefault="00F2540C" w:rsidP="00F2540C">
      <w:pPr>
        <w:rPr>
          <w:lang w:val="pt-BR" w:eastAsia="pt-BR"/>
        </w:rPr>
      </w:pPr>
    </w:p>
    <w:p w:rsidR="00F2540C" w:rsidRPr="00F2540C" w:rsidRDefault="00F2540C" w:rsidP="00F2540C">
      <w:pPr>
        <w:rPr>
          <w:lang w:val="pt-BR" w:eastAsia="pt-BR"/>
        </w:rPr>
      </w:pPr>
      <w:r w:rsidRPr="00F2540C">
        <w:rPr>
          <w:lang w:val="pt-BR" w:eastAsia="pt-BR"/>
        </w:rPr>
        <w:t>MENDES, P. S.; GONÇALVES, E</w:t>
      </w:r>
      <w:proofErr w:type="gramStart"/>
      <w:r w:rsidRPr="00F2540C">
        <w:rPr>
          <w:lang w:val="pt-BR" w:eastAsia="pt-BR"/>
        </w:rPr>
        <w:t>.;</w:t>
      </w:r>
      <w:proofErr w:type="gramEnd"/>
      <w:r w:rsidRPr="00F2540C">
        <w:rPr>
          <w:lang w:val="pt-BR" w:eastAsia="pt-BR"/>
        </w:rPr>
        <w:t xml:space="preserve"> FREGUGLIA, R. Mobilidade </w:t>
      </w:r>
      <w:proofErr w:type="spellStart"/>
      <w:r w:rsidRPr="00F2540C">
        <w:rPr>
          <w:lang w:val="pt-BR" w:eastAsia="pt-BR"/>
        </w:rPr>
        <w:t>interfirmas</w:t>
      </w:r>
      <w:proofErr w:type="spellEnd"/>
      <w:r w:rsidRPr="00F2540C">
        <w:rPr>
          <w:lang w:val="pt-BR" w:eastAsia="pt-BR"/>
        </w:rPr>
        <w:t xml:space="preserve"> de trabalhadores no Brasil formal: composição e determinantes. Pesquisa e Planejamento Econômico, v. 4, n. 2, p. 211–238, 2012. </w:t>
      </w:r>
    </w:p>
    <w:p w:rsidR="00F2540C" w:rsidRPr="00F2540C" w:rsidRDefault="00F2540C" w:rsidP="00F2540C">
      <w:pPr>
        <w:rPr>
          <w:lang w:val="pt-BR" w:eastAsia="pt-BR"/>
        </w:rPr>
      </w:pPr>
    </w:p>
    <w:p w:rsidR="00F2540C" w:rsidRPr="00F2540C" w:rsidRDefault="00F2540C" w:rsidP="00F2540C">
      <w:pPr>
        <w:rPr>
          <w:lang w:val="pt-BR" w:eastAsia="pt-BR"/>
        </w:rPr>
      </w:pPr>
      <w:r w:rsidRPr="00F2540C">
        <w:rPr>
          <w:lang w:val="pt-BR" w:eastAsia="pt-BR"/>
        </w:rPr>
        <w:t>MENDES, P. S.; GONÇALVES, E</w:t>
      </w:r>
      <w:proofErr w:type="gramStart"/>
      <w:r w:rsidRPr="00F2540C">
        <w:rPr>
          <w:lang w:val="pt-BR" w:eastAsia="pt-BR"/>
        </w:rPr>
        <w:t>.;</w:t>
      </w:r>
      <w:proofErr w:type="gramEnd"/>
      <w:r w:rsidRPr="00F2540C">
        <w:rPr>
          <w:lang w:val="pt-BR" w:eastAsia="pt-BR"/>
        </w:rPr>
        <w:t xml:space="preserve"> FREGUGLIA, R. Determinantes da mobilidade </w:t>
      </w:r>
      <w:proofErr w:type="spellStart"/>
      <w:r w:rsidRPr="00F2540C">
        <w:rPr>
          <w:lang w:val="pt-BR" w:eastAsia="pt-BR"/>
        </w:rPr>
        <w:t>interfirmas</w:t>
      </w:r>
      <w:proofErr w:type="spellEnd"/>
      <w:r w:rsidRPr="00F2540C">
        <w:rPr>
          <w:lang w:val="pt-BR" w:eastAsia="pt-BR"/>
        </w:rPr>
        <w:t xml:space="preserve"> e inter-regional de trabalhadores no Brasil formal. Economia Aplicada, v. 21, n. 2, 2017. </w:t>
      </w:r>
    </w:p>
    <w:p w:rsidR="00F2540C" w:rsidRDefault="00F2540C" w:rsidP="00F2540C">
      <w:pPr>
        <w:jc w:val="both"/>
        <w:rPr>
          <w:lang w:eastAsia="pt-BR"/>
        </w:rPr>
      </w:pPr>
    </w:p>
    <w:p w:rsidR="00F2540C" w:rsidRDefault="00F2540C" w:rsidP="00F2540C">
      <w:pPr>
        <w:jc w:val="both"/>
        <w:rPr>
          <w:lang w:eastAsia="pt-BR"/>
        </w:rPr>
      </w:pPr>
      <w:r>
        <w:rPr>
          <w:lang w:eastAsia="pt-BR"/>
        </w:rPr>
        <w:t xml:space="preserve">MIGUÉLEZ, E.; MORENO, R. Research Networks and Inventors’ Mobility as Drivers of Innovation: Evidence from Europe. </w:t>
      </w:r>
      <w:proofErr w:type="gramStart"/>
      <w:r>
        <w:rPr>
          <w:lang w:eastAsia="pt-BR"/>
        </w:rPr>
        <w:t>Regional Studies, v. 3404, n. July 2014, p. 1–18, 2011.</w:t>
      </w:r>
      <w:proofErr w:type="gramEnd"/>
      <w:r>
        <w:rPr>
          <w:lang w:eastAsia="pt-BR"/>
        </w:rPr>
        <w:t xml:space="preserve"> </w:t>
      </w:r>
    </w:p>
    <w:p w:rsidR="00F2540C" w:rsidRDefault="00F2540C" w:rsidP="00F2540C">
      <w:pPr>
        <w:jc w:val="both"/>
        <w:rPr>
          <w:lang w:eastAsia="pt-BR"/>
        </w:rPr>
      </w:pPr>
    </w:p>
    <w:p w:rsidR="00F2540C" w:rsidRDefault="00F2540C" w:rsidP="00F2540C">
      <w:pPr>
        <w:jc w:val="both"/>
        <w:rPr>
          <w:lang w:eastAsia="pt-BR"/>
        </w:rPr>
      </w:pPr>
      <w:r>
        <w:rPr>
          <w:lang w:eastAsia="pt-BR"/>
        </w:rPr>
        <w:t xml:space="preserve">MIGUÉLEZ, E.; MORENO, R. Research Networks and Inventors’ Mobility as Drivers of Innovation: Evidence from Europe. </w:t>
      </w:r>
      <w:proofErr w:type="gramStart"/>
      <w:r>
        <w:rPr>
          <w:lang w:eastAsia="pt-BR"/>
        </w:rPr>
        <w:t>Regional Studies, v. 47, n. 10, p. 1668–1685, 2013.</w:t>
      </w:r>
      <w:proofErr w:type="gramEnd"/>
      <w:r>
        <w:rPr>
          <w:lang w:eastAsia="pt-BR"/>
        </w:rPr>
        <w:t xml:space="preserve"> </w:t>
      </w:r>
    </w:p>
    <w:p w:rsidR="00F2540C" w:rsidRDefault="00F2540C" w:rsidP="00F2540C">
      <w:pPr>
        <w:jc w:val="both"/>
        <w:rPr>
          <w:lang w:eastAsia="pt-BR"/>
        </w:rPr>
      </w:pPr>
    </w:p>
    <w:p w:rsidR="00F2540C" w:rsidRPr="00F2540C" w:rsidRDefault="00F2540C" w:rsidP="00F2540C">
      <w:pPr>
        <w:jc w:val="both"/>
        <w:rPr>
          <w:lang w:val="pt-BR" w:eastAsia="pt-BR"/>
        </w:rPr>
      </w:pPr>
      <w:proofErr w:type="gramStart"/>
      <w:r>
        <w:rPr>
          <w:lang w:eastAsia="pt-BR"/>
        </w:rPr>
        <w:t>MIGUÉLEZ, E.; MORENO, R. Knowledge flows and the absorptive capacity of regions.</w:t>
      </w:r>
      <w:proofErr w:type="gramEnd"/>
      <w:r>
        <w:rPr>
          <w:lang w:eastAsia="pt-BR"/>
        </w:rPr>
        <w:t xml:space="preserve"> </w:t>
      </w:r>
      <w:proofErr w:type="spellStart"/>
      <w:r w:rsidRPr="00F2540C">
        <w:rPr>
          <w:lang w:val="pt-BR" w:eastAsia="pt-BR"/>
        </w:rPr>
        <w:t>Research</w:t>
      </w:r>
      <w:proofErr w:type="spellEnd"/>
      <w:r w:rsidRPr="00F2540C">
        <w:rPr>
          <w:lang w:val="pt-BR" w:eastAsia="pt-BR"/>
        </w:rPr>
        <w:t xml:space="preserve"> </w:t>
      </w:r>
      <w:proofErr w:type="spellStart"/>
      <w:r w:rsidRPr="00F2540C">
        <w:rPr>
          <w:lang w:val="pt-BR" w:eastAsia="pt-BR"/>
        </w:rPr>
        <w:t>Policy</w:t>
      </w:r>
      <w:proofErr w:type="spellEnd"/>
      <w:r w:rsidRPr="00F2540C">
        <w:rPr>
          <w:lang w:val="pt-BR" w:eastAsia="pt-BR"/>
        </w:rPr>
        <w:t xml:space="preserve">, v. 44, n. 4, p. 833–848, 2015. </w:t>
      </w:r>
    </w:p>
    <w:p w:rsidR="00F2540C" w:rsidRDefault="00F2540C" w:rsidP="00F2540C">
      <w:pPr>
        <w:jc w:val="both"/>
        <w:rPr>
          <w:lang w:eastAsia="pt-BR"/>
        </w:rPr>
      </w:pPr>
    </w:p>
    <w:p w:rsidR="00F2540C" w:rsidRDefault="00F2540C" w:rsidP="00F2540C">
      <w:pPr>
        <w:jc w:val="both"/>
        <w:rPr>
          <w:lang w:eastAsia="pt-BR"/>
        </w:rPr>
      </w:pPr>
      <w:r>
        <w:rPr>
          <w:lang w:eastAsia="pt-BR"/>
        </w:rPr>
        <w:t xml:space="preserve">RODRÍGUEZ-POSE, A.; CRESCENZI, R. Mountains in a flat world: Why proximity still matters for the location of economic activity. </w:t>
      </w:r>
      <w:proofErr w:type="gramStart"/>
      <w:r>
        <w:rPr>
          <w:lang w:eastAsia="pt-BR"/>
        </w:rPr>
        <w:t>Cambridge Journal of Regions, Economy and Society, v. 1, n. 3, p. 371–388, 2008.</w:t>
      </w:r>
      <w:proofErr w:type="gramEnd"/>
      <w:r>
        <w:rPr>
          <w:lang w:eastAsia="pt-BR"/>
        </w:rPr>
        <w:t xml:space="preserve"> </w:t>
      </w:r>
    </w:p>
    <w:p w:rsidR="00F2540C" w:rsidRDefault="00F2540C" w:rsidP="00F2540C">
      <w:pPr>
        <w:jc w:val="both"/>
        <w:rPr>
          <w:lang w:eastAsia="pt-BR"/>
        </w:rPr>
      </w:pPr>
    </w:p>
    <w:p w:rsidR="00F2540C" w:rsidRDefault="00F2540C" w:rsidP="00F2540C">
      <w:pPr>
        <w:jc w:val="both"/>
        <w:rPr>
          <w:lang w:eastAsia="pt-BR"/>
        </w:rPr>
      </w:pPr>
      <w:r>
        <w:rPr>
          <w:lang w:eastAsia="pt-BR"/>
        </w:rPr>
        <w:t xml:space="preserve">SAXENIAN, A. Silicon </w:t>
      </w:r>
      <w:proofErr w:type="gramStart"/>
      <w:r>
        <w:rPr>
          <w:lang w:eastAsia="pt-BR"/>
        </w:rPr>
        <w:t>Valley ’</w:t>
      </w:r>
      <w:proofErr w:type="gramEnd"/>
      <w:r>
        <w:rPr>
          <w:lang w:eastAsia="pt-BR"/>
        </w:rPr>
        <w:t xml:space="preserve"> s New Immigrant Entrepreneurs. San Francisco, CA: PUBLIC POLICY INSTITUTE OF CALIFORNIA, 1999. </w:t>
      </w:r>
    </w:p>
    <w:p w:rsidR="00F2540C" w:rsidRDefault="00F2540C" w:rsidP="00F2540C">
      <w:pPr>
        <w:jc w:val="both"/>
        <w:rPr>
          <w:lang w:eastAsia="pt-BR"/>
        </w:rPr>
      </w:pPr>
    </w:p>
    <w:p w:rsidR="00F2540C" w:rsidRDefault="00F2540C" w:rsidP="00F2540C">
      <w:pPr>
        <w:jc w:val="both"/>
        <w:rPr>
          <w:lang w:eastAsia="pt-BR"/>
        </w:rPr>
      </w:pPr>
      <w:proofErr w:type="gramStart"/>
      <w:r>
        <w:rPr>
          <w:lang w:eastAsia="pt-BR"/>
        </w:rPr>
        <w:t>SAXENIAN, A. Local and Global Networks of Immigrant Professionals in Silicon Valley.</w:t>
      </w:r>
      <w:proofErr w:type="gramEnd"/>
      <w:r>
        <w:rPr>
          <w:lang w:eastAsia="pt-BR"/>
        </w:rPr>
        <w:t xml:space="preserve"> San Francisco, CA: PUBLIC POLICY INSTITUTE OF CALIFORNIA, 2002. </w:t>
      </w:r>
    </w:p>
    <w:p w:rsidR="00F2540C" w:rsidRDefault="00F2540C" w:rsidP="00F2540C">
      <w:pPr>
        <w:jc w:val="both"/>
        <w:rPr>
          <w:lang w:eastAsia="pt-BR"/>
        </w:rPr>
      </w:pPr>
    </w:p>
    <w:p w:rsidR="00F2540C" w:rsidRDefault="00F2540C" w:rsidP="00F2540C">
      <w:pPr>
        <w:jc w:val="both"/>
        <w:rPr>
          <w:lang w:eastAsia="pt-BR"/>
        </w:rPr>
      </w:pPr>
      <w:r>
        <w:rPr>
          <w:lang w:eastAsia="pt-BR"/>
        </w:rPr>
        <w:t xml:space="preserve">SAXENIAN, A. L. </w:t>
      </w:r>
      <w:proofErr w:type="gramStart"/>
      <w:r>
        <w:rPr>
          <w:lang w:eastAsia="pt-BR"/>
        </w:rPr>
        <w:t>From brain drain to brain circulation: Transnational communities and regional upgrading in India and China.</w:t>
      </w:r>
      <w:proofErr w:type="gramEnd"/>
      <w:r>
        <w:rPr>
          <w:lang w:eastAsia="pt-BR"/>
        </w:rPr>
        <w:t xml:space="preserve"> </w:t>
      </w:r>
      <w:proofErr w:type="gramStart"/>
      <w:r>
        <w:rPr>
          <w:lang w:eastAsia="pt-BR"/>
        </w:rPr>
        <w:t>Studies in Comparative International Development, v. 40, n. 2, p. 35–61, 2005.</w:t>
      </w:r>
      <w:proofErr w:type="gramEnd"/>
      <w:r>
        <w:rPr>
          <w:lang w:eastAsia="pt-BR"/>
        </w:rPr>
        <w:t xml:space="preserve"> </w:t>
      </w:r>
    </w:p>
    <w:p w:rsidR="00F2540C" w:rsidRDefault="00F2540C" w:rsidP="00F2540C">
      <w:pPr>
        <w:jc w:val="both"/>
        <w:rPr>
          <w:lang w:eastAsia="pt-BR"/>
        </w:rPr>
      </w:pPr>
    </w:p>
    <w:p w:rsidR="00F2540C" w:rsidRDefault="00F2540C" w:rsidP="00F2540C">
      <w:pPr>
        <w:jc w:val="both"/>
        <w:rPr>
          <w:lang w:eastAsia="pt-BR"/>
        </w:rPr>
      </w:pPr>
      <w:r>
        <w:rPr>
          <w:lang w:eastAsia="pt-BR"/>
        </w:rPr>
        <w:t xml:space="preserve">STORPER, M.; VENABLES, A. J. Buzz: Face-to-face contact and the urban economy. </w:t>
      </w:r>
      <w:proofErr w:type="gramStart"/>
      <w:r>
        <w:rPr>
          <w:lang w:eastAsia="pt-BR"/>
        </w:rPr>
        <w:t>Journal of Economic Geography, v. 4, n. 4, p. 351–370, 2004.</w:t>
      </w:r>
      <w:proofErr w:type="gramEnd"/>
      <w:r>
        <w:rPr>
          <w:lang w:eastAsia="pt-BR"/>
        </w:rPr>
        <w:t xml:space="preserve"> </w:t>
      </w:r>
    </w:p>
    <w:p w:rsidR="00F2540C" w:rsidRDefault="00F2540C" w:rsidP="00F2540C">
      <w:pPr>
        <w:jc w:val="both"/>
        <w:rPr>
          <w:lang w:eastAsia="pt-BR"/>
        </w:rPr>
      </w:pPr>
    </w:p>
    <w:p w:rsidR="00F2540C" w:rsidRDefault="00F2540C" w:rsidP="00F2540C">
      <w:pPr>
        <w:jc w:val="both"/>
        <w:rPr>
          <w:lang w:eastAsia="pt-BR"/>
        </w:rPr>
      </w:pPr>
      <w:proofErr w:type="gramStart"/>
      <w:r>
        <w:rPr>
          <w:lang w:eastAsia="pt-BR"/>
        </w:rPr>
        <w:t xml:space="preserve">TAVEIRA, J. G.; GONÇALVES, E.; FREGUGLIA, R. DA S. Effect of technological innovation and diffusion on the </w:t>
      </w:r>
      <w:proofErr w:type="spellStart"/>
      <w:r>
        <w:rPr>
          <w:lang w:eastAsia="pt-BR"/>
        </w:rPr>
        <w:t>interindustry</w:t>
      </w:r>
      <w:proofErr w:type="spellEnd"/>
      <w:r>
        <w:rPr>
          <w:lang w:eastAsia="pt-BR"/>
        </w:rPr>
        <w:t xml:space="preserve"> mobility of Brazilian workers.</w:t>
      </w:r>
      <w:proofErr w:type="gramEnd"/>
      <w:r>
        <w:rPr>
          <w:lang w:eastAsia="pt-BR"/>
        </w:rPr>
        <w:t xml:space="preserve"> </w:t>
      </w:r>
      <w:proofErr w:type="spellStart"/>
      <w:proofErr w:type="gramStart"/>
      <w:r>
        <w:rPr>
          <w:lang w:eastAsia="pt-BR"/>
        </w:rPr>
        <w:t>EconomiA</w:t>
      </w:r>
      <w:proofErr w:type="spellEnd"/>
      <w:r>
        <w:rPr>
          <w:lang w:eastAsia="pt-BR"/>
        </w:rPr>
        <w:t>, v. 15, n. 3, p. 327–342, 2014.</w:t>
      </w:r>
      <w:proofErr w:type="gramEnd"/>
      <w:r>
        <w:rPr>
          <w:lang w:eastAsia="pt-BR"/>
        </w:rPr>
        <w:t xml:space="preserve"> </w:t>
      </w:r>
    </w:p>
    <w:p w:rsidR="00F2540C" w:rsidRDefault="00F2540C" w:rsidP="00F2540C">
      <w:pPr>
        <w:rPr>
          <w:lang w:eastAsia="pt-BR"/>
        </w:rPr>
      </w:pPr>
    </w:p>
    <w:p w:rsidR="00F2540C" w:rsidRPr="00F2540C" w:rsidRDefault="00F2540C" w:rsidP="00F2540C">
      <w:pPr>
        <w:rPr>
          <w:lang w:eastAsia="pt-BR"/>
        </w:rPr>
      </w:pPr>
    </w:p>
    <w:sectPr w:rsidR="00F2540C" w:rsidRPr="00F2540C" w:rsidSect="0053274B">
      <w:headerReference w:type="default" r:id="rId10"/>
      <w:footerReference w:type="default" r:id="rId11"/>
      <w:pgSz w:w="11906" w:h="16838"/>
      <w:pgMar w:top="1701" w:right="1418" w:bottom="1701" w:left="1418" w:header="720" w:footer="8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EC8" w:rsidRDefault="00105EC8">
      <w:r>
        <w:separator/>
      </w:r>
    </w:p>
  </w:endnote>
  <w:endnote w:type="continuationSeparator" w:id="0">
    <w:p w:rsidR="00105EC8" w:rsidRDefault="0010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Free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823" w:rsidRPr="005D593C" w:rsidRDefault="00401823" w:rsidP="005D59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EC8" w:rsidRDefault="00105EC8">
      <w:r>
        <w:separator/>
      </w:r>
    </w:p>
  </w:footnote>
  <w:footnote w:type="continuationSeparator" w:id="0">
    <w:p w:rsidR="00105EC8" w:rsidRDefault="00105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823" w:rsidRDefault="00401823">
    <w:pPr>
      <w:pStyle w:val="Cabealho"/>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36F2F"/>
    <w:multiLevelType w:val="multilevel"/>
    <w:tmpl w:val="7CEE37B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89"/>
    <w:rsid w:val="000254A9"/>
    <w:rsid w:val="00044345"/>
    <w:rsid w:val="00054456"/>
    <w:rsid w:val="00063EF8"/>
    <w:rsid w:val="00064563"/>
    <w:rsid w:val="00067E30"/>
    <w:rsid w:val="00081951"/>
    <w:rsid w:val="0008267E"/>
    <w:rsid w:val="00084DFB"/>
    <w:rsid w:val="000B55DC"/>
    <w:rsid w:val="000B7C15"/>
    <w:rsid w:val="000D741A"/>
    <w:rsid w:val="000E3523"/>
    <w:rsid w:val="00100415"/>
    <w:rsid w:val="0010135F"/>
    <w:rsid w:val="00101C87"/>
    <w:rsid w:val="00105EC8"/>
    <w:rsid w:val="00111F67"/>
    <w:rsid w:val="0011711D"/>
    <w:rsid w:val="00122EBE"/>
    <w:rsid w:val="0013273D"/>
    <w:rsid w:val="00174F96"/>
    <w:rsid w:val="001920BA"/>
    <w:rsid w:val="00194D0A"/>
    <w:rsid w:val="001B02D7"/>
    <w:rsid w:val="001F6BA9"/>
    <w:rsid w:val="002059D4"/>
    <w:rsid w:val="002208B5"/>
    <w:rsid w:val="00240CFB"/>
    <w:rsid w:val="00255449"/>
    <w:rsid w:val="00273BC7"/>
    <w:rsid w:val="002876B3"/>
    <w:rsid w:val="002900AD"/>
    <w:rsid w:val="002B159E"/>
    <w:rsid w:val="002D1089"/>
    <w:rsid w:val="002D1E56"/>
    <w:rsid w:val="003143F5"/>
    <w:rsid w:val="00331054"/>
    <w:rsid w:val="00332F7C"/>
    <w:rsid w:val="00347970"/>
    <w:rsid w:val="00355E24"/>
    <w:rsid w:val="00376162"/>
    <w:rsid w:val="0038455F"/>
    <w:rsid w:val="003D1C0C"/>
    <w:rsid w:val="003E1FD6"/>
    <w:rsid w:val="003E2AD4"/>
    <w:rsid w:val="00401823"/>
    <w:rsid w:val="00403E79"/>
    <w:rsid w:val="00412290"/>
    <w:rsid w:val="00416E32"/>
    <w:rsid w:val="00420C58"/>
    <w:rsid w:val="00431447"/>
    <w:rsid w:val="00460AA9"/>
    <w:rsid w:val="00471F98"/>
    <w:rsid w:val="00483542"/>
    <w:rsid w:val="004849B2"/>
    <w:rsid w:val="004C3CC1"/>
    <w:rsid w:val="004D559B"/>
    <w:rsid w:val="004E2FA7"/>
    <w:rsid w:val="00503964"/>
    <w:rsid w:val="00506F2C"/>
    <w:rsid w:val="00507F36"/>
    <w:rsid w:val="005111EC"/>
    <w:rsid w:val="00520EF8"/>
    <w:rsid w:val="0053274B"/>
    <w:rsid w:val="0054541E"/>
    <w:rsid w:val="00572BC0"/>
    <w:rsid w:val="00581D4C"/>
    <w:rsid w:val="00592002"/>
    <w:rsid w:val="005B1740"/>
    <w:rsid w:val="005B3281"/>
    <w:rsid w:val="005D06F9"/>
    <w:rsid w:val="005D593C"/>
    <w:rsid w:val="005E3915"/>
    <w:rsid w:val="005F411C"/>
    <w:rsid w:val="005F54E9"/>
    <w:rsid w:val="005F7B82"/>
    <w:rsid w:val="00601579"/>
    <w:rsid w:val="0061002F"/>
    <w:rsid w:val="00614170"/>
    <w:rsid w:val="006227D9"/>
    <w:rsid w:val="00632131"/>
    <w:rsid w:val="006448A3"/>
    <w:rsid w:val="0065736E"/>
    <w:rsid w:val="00670D06"/>
    <w:rsid w:val="00681E5F"/>
    <w:rsid w:val="00684A7C"/>
    <w:rsid w:val="00691AC7"/>
    <w:rsid w:val="006A35C5"/>
    <w:rsid w:val="006C6B77"/>
    <w:rsid w:val="006E057F"/>
    <w:rsid w:val="006E7947"/>
    <w:rsid w:val="006F0593"/>
    <w:rsid w:val="007008E8"/>
    <w:rsid w:val="00717BAA"/>
    <w:rsid w:val="0074501B"/>
    <w:rsid w:val="007556D3"/>
    <w:rsid w:val="00760B17"/>
    <w:rsid w:val="007619FE"/>
    <w:rsid w:val="0077094F"/>
    <w:rsid w:val="0077689F"/>
    <w:rsid w:val="00786F81"/>
    <w:rsid w:val="007A2719"/>
    <w:rsid w:val="007C46C0"/>
    <w:rsid w:val="007C548A"/>
    <w:rsid w:val="007D64F3"/>
    <w:rsid w:val="007D72BE"/>
    <w:rsid w:val="007E518A"/>
    <w:rsid w:val="008036E9"/>
    <w:rsid w:val="0085594A"/>
    <w:rsid w:val="00860658"/>
    <w:rsid w:val="008629FC"/>
    <w:rsid w:val="00870967"/>
    <w:rsid w:val="00871FBC"/>
    <w:rsid w:val="00875498"/>
    <w:rsid w:val="00876ACE"/>
    <w:rsid w:val="00882EEF"/>
    <w:rsid w:val="008842BA"/>
    <w:rsid w:val="008A1361"/>
    <w:rsid w:val="008D0447"/>
    <w:rsid w:val="008D202F"/>
    <w:rsid w:val="008F2D49"/>
    <w:rsid w:val="009026E1"/>
    <w:rsid w:val="00905631"/>
    <w:rsid w:val="00910615"/>
    <w:rsid w:val="00910CF8"/>
    <w:rsid w:val="00924432"/>
    <w:rsid w:val="00942AF3"/>
    <w:rsid w:val="0094401A"/>
    <w:rsid w:val="00953FEA"/>
    <w:rsid w:val="0096642E"/>
    <w:rsid w:val="00975237"/>
    <w:rsid w:val="00986985"/>
    <w:rsid w:val="009B1EA9"/>
    <w:rsid w:val="009E7147"/>
    <w:rsid w:val="00A0788E"/>
    <w:rsid w:val="00A23090"/>
    <w:rsid w:val="00A24B49"/>
    <w:rsid w:val="00A41E62"/>
    <w:rsid w:val="00A6131D"/>
    <w:rsid w:val="00A673D3"/>
    <w:rsid w:val="00AA103D"/>
    <w:rsid w:val="00AD0B0F"/>
    <w:rsid w:val="00AD5EDD"/>
    <w:rsid w:val="00AF13A7"/>
    <w:rsid w:val="00B102ED"/>
    <w:rsid w:val="00B256E5"/>
    <w:rsid w:val="00B36F86"/>
    <w:rsid w:val="00B52C50"/>
    <w:rsid w:val="00B53458"/>
    <w:rsid w:val="00B7123D"/>
    <w:rsid w:val="00B715B7"/>
    <w:rsid w:val="00B73F9C"/>
    <w:rsid w:val="00B91FCA"/>
    <w:rsid w:val="00B979B8"/>
    <w:rsid w:val="00BB29E3"/>
    <w:rsid w:val="00BB6536"/>
    <w:rsid w:val="00BD125A"/>
    <w:rsid w:val="00BD276A"/>
    <w:rsid w:val="00BD5128"/>
    <w:rsid w:val="00C15C41"/>
    <w:rsid w:val="00C32EC2"/>
    <w:rsid w:val="00C43668"/>
    <w:rsid w:val="00C46930"/>
    <w:rsid w:val="00C670CA"/>
    <w:rsid w:val="00C93E4D"/>
    <w:rsid w:val="00C949E9"/>
    <w:rsid w:val="00C95123"/>
    <w:rsid w:val="00CB7B0A"/>
    <w:rsid w:val="00CD409E"/>
    <w:rsid w:val="00CE0439"/>
    <w:rsid w:val="00CE1B31"/>
    <w:rsid w:val="00CE632E"/>
    <w:rsid w:val="00CF653A"/>
    <w:rsid w:val="00D01511"/>
    <w:rsid w:val="00D0167F"/>
    <w:rsid w:val="00D04EF5"/>
    <w:rsid w:val="00D300BF"/>
    <w:rsid w:val="00D34752"/>
    <w:rsid w:val="00D50805"/>
    <w:rsid w:val="00D51D29"/>
    <w:rsid w:val="00D55DE4"/>
    <w:rsid w:val="00D563AD"/>
    <w:rsid w:val="00D60335"/>
    <w:rsid w:val="00D712D1"/>
    <w:rsid w:val="00D7274A"/>
    <w:rsid w:val="00D87D69"/>
    <w:rsid w:val="00DB701D"/>
    <w:rsid w:val="00DC7809"/>
    <w:rsid w:val="00DD428D"/>
    <w:rsid w:val="00E02A09"/>
    <w:rsid w:val="00E27617"/>
    <w:rsid w:val="00E327CE"/>
    <w:rsid w:val="00E516DB"/>
    <w:rsid w:val="00E548CF"/>
    <w:rsid w:val="00E6721B"/>
    <w:rsid w:val="00E95E3E"/>
    <w:rsid w:val="00EB3BC7"/>
    <w:rsid w:val="00EB65AD"/>
    <w:rsid w:val="00EB7237"/>
    <w:rsid w:val="00EC39FF"/>
    <w:rsid w:val="00ED4DA8"/>
    <w:rsid w:val="00ED4EF0"/>
    <w:rsid w:val="00EE0843"/>
    <w:rsid w:val="00EF208B"/>
    <w:rsid w:val="00F0437B"/>
    <w:rsid w:val="00F12A31"/>
    <w:rsid w:val="00F137B3"/>
    <w:rsid w:val="00F1484B"/>
    <w:rsid w:val="00F2540C"/>
    <w:rsid w:val="00F264F9"/>
    <w:rsid w:val="00F26FD1"/>
    <w:rsid w:val="00F30BB4"/>
    <w:rsid w:val="00F319FA"/>
    <w:rsid w:val="00F34F19"/>
    <w:rsid w:val="00F51039"/>
    <w:rsid w:val="00F633A3"/>
    <w:rsid w:val="00F672AA"/>
    <w:rsid w:val="00FB1D7B"/>
    <w:rsid w:val="00FB6B4E"/>
    <w:rsid w:val="00FC37A6"/>
    <w:rsid w:val="00FC785E"/>
    <w:rsid w:val="00FD0C39"/>
    <w:rsid w:val="00FE6A13"/>
    <w:rsid w:val="00FF2FF3"/>
    <w:rsid w:val="00FF37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Ttulo1">
    <w:name w:val="heading 1"/>
    <w:basedOn w:val="Normal"/>
    <w:next w:val="Normal"/>
    <w:link w:val="Ttulo1Char"/>
    <w:qFormat/>
    <w:rsid w:val="00684A7C"/>
    <w:pPr>
      <w:keepNext/>
      <w:keepLines/>
      <w:suppressAutoHyphens w:val="0"/>
      <w:spacing w:before="480" w:line="276" w:lineRule="auto"/>
      <w:outlineLvl w:val="0"/>
    </w:pPr>
    <w:rPr>
      <w:rFonts w:eastAsiaTheme="majorEastAsia" w:cstheme="majorBidi"/>
      <w:b/>
      <w:bCs/>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Arial" w:hAnsi="Arial" w:cs="Times New Roman"/>
      <w:sz w:val="16"/>
    </w:rPr>
  </w:style>
  <w:style w:type="character" w:customStyle="1" w:styleId="Fontepargpadro2">
    <w:name w:val="Fonte parág. padrão2"/>
  </w:style>
  <w:style w:type="character" w:customStyle="1" w:styleId="HeaderChar">
    <w:name w:val="Header Char"/>
    <w:rPr>
      <w:rFonts w:cs="Times New Roman"/>
    </w:rPr>
  </w:style>
  <w:style w:type="character" w:customStyle="1" w:styleId="FooterChar">
    <w:name w:val="Footer Char"/>
    <w:rPr>
      <w:rFonts w:cs="Times New Roman"/>
    </w:rPr>
  </w:style>
  <w:style w:type="character" w:customStyle="1" w:styleId="Ttulo2Char">
    <w:name w:val="Título 2 Char"/>
    <w:rPr>
      <w:rFonts w:cs="Times New Roman"/>
      <w:b/>
      <w:bCs/>
      <w:sz w:val="24"/>
      <w:szCs w:val="24"/>
      <w:lang w:val="pt-BR"/>
    </w:rPr>
  </w:style>
  <w:style w:type="paragraph" w:customStyle="1" w:styleId="Ttulo10">
    <w:name w:val="Título1"/>
    <w:basedOn w:val="Normal"/>
    <w:next w:val="Corpodetexto"/>
    <w:pPr>
      <w:keepNext/>
      <w:spacing w:before="240" w:after="120"/>
    </w:pPr>
    <w:rPr>
      <w:rFonts w:ascii="Liberation Sans" w:eastAsia="Tahoma"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Lohit Hindi"/>
    </w:rPr>
  </w:style>
  <w:style w:type="paragraph" w:styleId="Legenda">
    <w:name w:val="caption"/>
    <w:basedOn w:val="Normal"/>
    <w:uiPriority w:val="35"/>
    <w:qFormat/>
    <w:pPr>
      <w:suppressLineNumbers/>
      <w:spacing w:before="120" w:after="120"/>
    </w:pPr>
    <w:rPr>
      <w:rFonts w:cs="Lohit Hindi"/>
      <w:i/>
      <w:iCs/>
    </w:rPr>
  </w:style>
  <w:style w:type="paragraph" w:customStyle="1" w:styleId="ndice">
    <w:name w:val="Índice"/>
    <w:basedOn w:val="Normal"/>
    <w:pPr>
      <w:suppressLineNumbers/>
    </w:pPr>
    <w:rPr>
      <w:rFonts w:cs="FreeSans"/>
    </w:rPr>
  </w:style>
  <w:style w:type="paragraph" w:customStyle="1" w:styleId="Heading">
    <w:name w:val="Heading"/>
    <w:basedOn w:val="Normal"/>
    <w:next w:val="Corpodetexto"/>
    <w:pPr>
      <w:keepNext/>
      <w:spacing w:before="240" w:after="120"/>
    </w:pPr>
    <w:rPr>
      <w:rFonts w:ascii="Liberation Sans" w:eastAsia="DejaVu Sans" w:hAnsi="Liberation Sans" w:cs="Lohit Hindi"/>
      <w:sz w:val="28"/>
      <w:szCs w:val="28"/>
    </w:rPr>
  </w:style>
  <w:style w:type="paragraph" w:customStyle="1" w:styleId="Legenda1">
    <w:name w:val="Legenda1"/>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Cabealho">
    <w:name w:val="header"/>
    <w:basedOn w:val="Normal"/>
    <w:pPr>
      <w:tabs>
        <w:tab w:val="center" w:pos="4252"/>
        <w:tab w:val="right" w:pos="8504"/>
      </w:tabs>
    </w:pPr>
    <w:rPr>
      <w:rFonts w:ascii="Calibri" w:hAnsi="Calibri" w:cs="Calibri"/>
      <w:sz w:val="20"/>
      <w:szCs w:val="20"/>
      <w:lang w:val="x-none"/>
    </w:rPr>
  </w:style>
  <w:style w:type="paragraph" w:styleId="Rodap">
    <w:name w:val="footer"/>
    <w:basedOn w:val="Normal"/>
    <w:pPr>
      <w:tabs>
        <w:tab w:val="center" w:pos="4252"/>
        <w:tab w:val="right" w:pos="8504"/>
      </w:tabs>
    </w:pPr>
    <w:rPr>
      <w:rFonts w:ascii="Calibri" w:hAnsi="Calibri" w:cs="Calibri"/>
      <w:sz w:val="20"/>
      <w:szCs w:val="20"/>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Contedodoquadro">
    <w:name w:val="Conteúdo do quadro"/>
    <w:basedOn w:val="Normal"/>
  </w:style>
  <w:style w:type="character" w:styleId="Hyperlink">
    <w:name w:val="Hyperlink"/>
    <w:basedOn w:val="Fontepargpadro"/>
    <w:uiPriority w:val="99"/>
    <w:unhideWhenUsed/>
    <w:rsid w:val="009E7147"/>
    <w:rPr>
      <w:color w:val="0563C1" w:themeColor="hyperlink"/>
      <w:u w:val="single"/>
    </w:rPr>
  </w:style>
  <w:style w:type="character" w:customStyle="1" w:styleId="Ttulo1Char">
    <w:name w:val="Título 1 Char"/>
    <w:basedOn w:val="Fontepargpadro"/>
    <w:link w:val="Ttulo1"/>
    <w:rsid w:val="00684A7C"/>
    <w:rPr>
      <w:rFonts w:eastAsiaTheme="majorEastAsia" w:cstheme="majorBidi"/>
      <w:b/>
      <w:bCs/>
      <w:sz w:val="24"/>
      <w:szCs w:val="28"/>
    </w:rPr>
  </w:style>
  <w:style w:type="paragraph" w:styleId="Textodenotaderodap">
    <w:name w:val="footnote text"/>
    <w:basedOn w:val="Normal"/>
    <w:link w:val="TextodenotaderodapChar"/>
    <w:uiPriority w:val="99"/>
    <w:unhideWhenUsed/>
    <w:rsid w:val="00684A7C"/>
    <w:pPr>
      <w:suppressAutoHyphens w:val="0"/>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rsid w:val="00684A7C"/>
    <w:rPr>
      <w:rFonts w:asciiTheme="minorHAnsi" w:eastAsiaTheme="minorHAnsi" w:hAnsiTheme="minorHAnsi" w:cstheme="minorBidi"/>
      <w:lang w:eastAsia="en-US"/>
    </w:rPr>
  </w:style>
  <w:style w:type="character" w:styleId="Refdenotaderodap">
    <w:name w:val="footnote reference"/>
    <w:basedOn w:val="Fontepargpadro"/>
    <w:uiPriority w:val="99"/>
    <w:semiHidden/>
    <w:unhideWhenUsed/>
    <w:rsid w:val="00684A7C"/>
    <w:rPr>
      <w:vertAlign w:val="superscript"/>
    </w:rPr>
  </w:style>
  <w:style w:type="paragraph" w:styleId="Textodebalo">
    <w:name w:val="Balloon Text"/>
    <w:basedOn w:val="Normal"/>
    <w:link w:val="TextodebaloChar"/>
    <w:uiPriority w:val="99"/>
    <w:semiHidden/>
    <w:unhideWhenUsed/>
    <w:rsid w:val="00684A7C"/>
    <w:rPr>
      <w:rFonts w:ascii="Tahoma" w:hAnsi="Tahoma" w:cs="Tahoma"/>
      <w:sz w:val="16"/>
      <w:szCs w:val="16"/>
    </w:rPr>
  </w:style>
  <w:style w:type="character" w:customStyle="1" w:styleId="TextodebaloChar">
    <w:name w:val="Texto de balão Char"/>
    <w:basedOn w:val="Fontepargpadro"/>
    <w:link w:val="Textodebalo"/>
    <w:uiPriority w:val="99"/>
    <w:semiHidden/>
    <w:rsid w:val="00684A7C"/>
    <w:rPr>
      <w:rFonts w:ascii="Tahoma" w:hAnsi="Tahoma" w:cs="Tahoma"/>
      <w:sz w:val="16"/>
      <w:szCs w:val="16"/>
      <w:lang w:eastAsia="zh-CN"/>
    </w:rPr>
  </w:style>
  <w:style w:type="table" w:styleId="Tabelacomgrade">
    <w:name w:val="Table Grid"/>
    <w:basedOn w:val="Tabelanormal"/>
    <w:uiPriority w:val="59"/>
    <w:rsid w:val="00684A7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60AA9"/>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Fontepargpadro"/>
    <w:rsid w:val="0053274B"/>
  </w:style>
  <w:style w:type="character" w:styleId="nfase">
    <w:name w:val="Emphasis"/>
    <w:basedOn w:val="Fontepargpadro"/>
    <w:uiPriority w:val="20"/>
    <w:qFormat/>
    <w:rsid w:val="00EB3BC7"/>
    <w:rPr>
      <w:i/>
      <w:iCs/>
    </w:rPr>
  </w:style>
  <w:style w:type="paragraph" w:customStyle="1" w:styleId="Default">
    <w:name w:val="Default"/>
    <w:rsid w:val="00044345"/>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Ttulo1">
    <w:name w:val="heading 1"/>
    <w:basedOn w:val="Normal"/>
    <w:next w:val="Normal"/>
    <w:link w:val="Ttulo1Char"/>
    <w:qFormat/>
    <w:rsid w:val="00684A7C"/>
    <w:pPr>
      <w:keepNext/>
      <w:keepLines/>
      <w:suppressAutoHyphens w:val="0"/>
      <w:spacing w:before="480" w:line="276" w:lineRule="auto"/>
      <w:outlineLvl w:val="0"/>
    </w:pPr>
    <w:rPr>
      <w:rFonts w:eastAsiaTheme="majorEastAsia" w:cstheme="majorBidi"/>
      <w:b/>
      <w:bCs/>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Arial" w:hAnsi="Arial" w:cs="Times New Roman"/>
      <w:sz w:val="16"/>
    </w:rPr>
  </w:style>
  <w:style w:type="character" w:customStyle="1" w:styleId="Fontepargpadro2">
    <w:name w:val="Fonte parág. padrão2"/>
  </w:style>
  <w:style w:type="character" w:customStyle="1" w:styleId="HeaderChar">
    <w:name w:val="Header Char"/>
    <w:rPr>
      <w:rFonts w:cs="Times New Roman"/>
    </w:rPr>
  </w:style>
  <w:style w:type="character" w:customStyle="1" w:styleId="FooterChar">
    <w:name w:val="Footer Char"/>
    <w:rPr>
      <w:rFonts w:cs="Times New Roman"/>
    </w:rPr>
  </w:style>
  <w:style w:type="character" w:customStyle="1" w:styleId="Ttulo2Char">
    <w:name w:val="Título 2 Char"/>
    <w:rPr>
      <w:rFonts w:cs="Times New Roman"/>
      <w:b/>
      <w:bCs/>
      <w:sz w:val="24"/>
      <w:szCs w:val="24"/>
      <w:lang w:val="pt-BR"/>
    </w:rPr>
  </w:style>
  <w:style w:type="paragraph" w:customStyle="1" w:styleId="Ttulo10">
    <w:name w:val="Título1"/>
    <w:basedOn w:val="Normal"/>
    <w:next w:val="Corpodetexto"/>
    <w:pPr>
      <w:keepNext/>
      <w:spacing w:before="240" w:after="120"/>
    </w:pPr>
    <w:rPr>
      <w:rFonts w:ascii="Liberation Sans" w:eastAsia="Tahoma"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Lohit Hindi"/>
    </w:rPr>
  </w:style>
  <w:style w:type="paragraph" w:styleId="Legenda">
    <w:name w:val="caption"/>
    <w:basedOn w:val="Normal"/>
    <w:uiPriority w:val="35"/>
    <w:qFormat/>
    <w:pPr>
      <w:suppressLineNumbers/>
      <w:spacing w:before="120" w:after="120"/>
    </w:pPr>
    <w:rPr>
      <w:rFonts w:cs="Lohit Hindi"/>
      <w:i/>
      <w:iCs/>
    </w:rPr>
  </w:style>
  <w:style w:type="paragraph" w:customStyle="1" w:styleId="ndice">
    <w:name w:val="Índice"/>
    <w:basedOn w:val="Normal"/>
    <w:pPr>
      <w:suppressLineNumbers/>
    </w:pPr>
    <w:rPr>
      <w:rFonts w:cs="FreeSans"/>
    </w:rPr>
  </w:style>
  <w:style w:type="paragraph" w:customStyle="1" w:styleId="Heading">
    <w:name w:val="Heading"/>
    <w:basedOn w:val="Normal"/>
    <w:next w:val="Corpodetexto"/>
    <w:pPr>
      <w:keepNext/>
      <w:spacing w:before="240" w:after="120"/>
    </w:pPr>
    <w:rPr>
      <w:rFonts w:ascii="Liberation Sans" w:eastAsia="DejaVu Sans" w:hAnsi="Liberation Sans" w:cs="Lohit Hindi"/>
      <w:sz w:val="28"/>
      <w:szCs w:val="28"/>
    </w:rPr>
  </w:style>
  <w:style w:type="paragraph" w:customStyle="1" w:styleId="Legenda1">
    <w:name w:val="Legenda1"/>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Cabealho">
    <w:name w:val="header"/>
    <w:basedOn w:val="Normal"/>
    <w:pPr>
      <w:tabs>
        <w:tab w:val="center" w:pos="4252"/>
        <w:tab w:val="right" w:pos="8504"/>
      </w:tabs>
    </w:pPr>
    <w:rPr>
      <w:rFonts w:ascii="Calibri" w:hAnsi="Calibri" w:cs="Calibri"/>
      <w:sz w:val="20"/>
      <w:szCs w:val="20"/>
      <w:lang w:val="x-none"/>
    </w:rPr>
  </w:style>
  <w:style w:type="paragraph" w:styleId="Rodap">
    <w:name w:val="footer"/>
    <w:basedOn w:val="Normal"/>
    <w:pPr>
      <w:tabs>
        <w:tab w:val="center" w:pos="4252"/>
        <w:tab w:val="right" w:pos="8504"/>
      </w:tabs>
    </w:pPr>
    <w:rPr>
      <w:rFonts w:ascii="Calibri" w:hAnsi="Calibri" w:cs="Calibri"/>
      <w:sz w:val="20"/>
      <w:szCs w:val="20"/>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Contedodoquadro">
    <w:name w:val="Conteúdo do quadro"/>
    <w:basedOn w:val="Normal"/>
  </w:style>
  <w:style w:type="character" w:styleId="Hyperlink">
    <w:name w:val="Hyperlink"/>
    <w:basedOn w:val="Fontepargpadro"/>
    <w:uiPriority w:val="99"/>
    <w:unhideWhenUsed/>
    <w:rsid w:val="009E7147"/>
    <w:rPr>
      <w:color w:val="0563C1" w:themeColor="hyperlink"/>
      <w:u w:val="single"/>
    </w:rPr>
  </w:style>
  <w:style w:type="character" w:customStyle="1" w:styleId="Ttulo1Char">
    <w:name w:val="Título 1 Char"/>
    <w:basedOn w:val="Fontepargpadro"/>
    <w:link w:val="Ttulo1"/>
    <w:rsid w:val="00684A7C"/>
    <w:rPr>
      <w:rFonts w:eastAsiaTheme="majorEastAsia" w:cstheme="majorBidi"/>
      <w:b/>
      <w:bCs/>
      <w:sz w:val="24"/>
      <w:szCs w:val="28"/>
    </w:rPr>
  </w:style>
  <w:style w:type="paragraph" w:styleId="Textodenotaderodap">
    <w:name w:val="footnote text"/>
    <w:basedOn w:val="Normal"/>
    <w:link w:val="TextodenotaderodapChar"/>
    <w:uiPriority w:val="99"/>
    <w:unhideWhenUsed/>
    <w:rsid w:val="00684A7C"/>
    <w:pPr>
      <w:suppressAutoHyphens w:val="0"/>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rsid w:val="00684A7C"/>
    <w:rPr>
      <w:rFonts w:asciiTheme="minorHAnsi" w:eastAsiaTheme="minorHAnsi" w:hAnsiTheme="minorHAnsi" w:cstheme="minorBidi"/>
      <w:lang w:eastAsia="en-US"/>
    </w:rPr>
  </w:style>
  <w:style w:type="character" w:styleId="Refdenotaderodap">
    <w:name w:val="footnote reference"/>
    <w:basedOn w:val="Fontepargpadro"/>
    <w:uiPriority w:val="99"/>
    <w:semiHidden/>
    <w:unhideWhenUsed/>
    <w:rsid w:val="00684A7C"/>
    <w:rPr>
      <w:vertAlign w:val="superscript"/>
    </w:rPr>
  </w:style>
  <w:style w:type="paragraph" w:styleId="Textodebalo">
    <w:name w:val="Balloon Text"/>
    <w:basedOn w:val="Normal"/>
    <w:link w:val="TextodebaloChar"/>
    <w:uiPriority w:val="99"/>
    <w:semiHidden/>
    <w:unhideWhenUsed/>
    <w:rsid w:val="00684A7C"/>
    <w:rPr>
      <w:rFonts w:ascii="Tahoma" w:hAnsi="Tahoma" w:cs="Tahoma"/>
      <w:sz w:val="16"/>
      <w:szCs w:val="16"/>
    </w:rPr>
  </w:style>
  <w:style w:type="character" w:customStyle="1" w:styleId="TextodebaloChar">
    <w:name w:val="Texto de balão Char"/>
    <w:basedOn w:val="Fontepargpadro"/>
    <w:link w:val="Textodebalo"/>
    <w:uiPriority w:val="99"/>
    <w:semiHidden/>
    <w:rsid w:val="00684A7C"/>
    <w:rPr>
      <w:rFonts w:ascii="Tahoma" w:hAnsi="Tahoma" w:cs="Tahoma"/>
      <w:sz w:val="16"/>
      <w:szCs w:val="16"/>
      <w:lang w:eastAsia="zh-CN"/>
    </w:rPr>
  </w:style>
  <w:style w:type="table" w:styleId="Tabelacomgrade">
    <w:name w:val="Table Grid"/>
    <w:basedOn w:val="Tabelanormal"/>
    <w:uiPriority w:val="59"/>
    <w:rsid w:val="00684A7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60AA9"/>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Fontepargpadro"/>
    <w:rsid w:val="0053274B"/>
  </w:style>
  <w:style w:type="character" w:styleId="nfase">
    <w:name w:val="Emphasis"/>
    <w:basedOn w:val="Fontepargpadro"/>
    <w:uiPriority w:val="20"/>
    <w:qFormat/>
    <w:rsid w:val="00EB3BC7"/>
    <w:rPr>
      <w:i/>
      <w:iCs/>
    </w:rPr>
  </w:style>
  <w:style w:type="paragraph" w:customStyle="1" w:styleId="Default">
    <w:name w:val="Default"/>
    <w:rsid w:val="0004434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07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5E4F8-019B-4A8A-97EA-88B54626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9152</Words>
  <Characters>49425</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Ariana</cp:lastModifiedBy>
  <cp:revision>2</cp:revision>
  <cp:lastPrinted>2017-06-30T18:24:00Z</cp:lastPrinted>
  <dcterms:created xsi:type="dcterms:W3CDTF">2019-07-22T00:21:00Z</dcterms:created>
  <dcterms:modified xsi:type="dcterms:W3CDTF">2019-07-22T00:21:00Z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