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97" w:rsidRDefault="00C30B97" w:rsidP="00C30B97">
      <w:pPr>
        <w:spacing w:line="240" w:lineRule="auto"/>
        <w:ind w:left="709"/>
        <w:jc w:val="center"/>
        <w:rPr>
          <w:rFonts w:ascii="Times New Roman" w:hAnsi="Times New Roman" w:cs="Times New Roman"/>
          <w:b/>
          <w:i/>
          <w:sz w:val="24"/>
          <w:szCs w:val="24"/>
        </w:rPr>
      </w:pPr>
      <w:bookmarkStart w:id="0" w:name="_GoBack"/>
      <w:bookmarkEnd w:id="0"/>
      <w:r w:rsidRPr="00C30B97">
        <w:rPr>
          <w:rFonts w:ascii="Times New Roman" w:hAnsi="Times New Roman" w:cs="Times New Roman"/>
          <w:b/>
          <w:sz w:val="24"/>
          <w:szCs w:val="24"/>
        </w:rPr>
        <w:t xml:space="preserve">Transmissão de </w:t>
      </w:r>
      <w:r w:rsidR="00550E21">
        <w:rPr>
          <w:rFonts w:ascii="Times New Roman" w:hAnsi="Times New Roman" w:cs="Times New Roman"/>
          <w:b/>
          <w:sz w:val="24"/>
          <w:szCs w:val="24"/>
        </w:rPr>
        <w:t>preços p</w:t>
      </w:r>
      <w:r w:rsidRPr="00C30B97">
        <w:rPr>
          <w:rFonts w:ascii="Times New Roman" w:hAnsi="Times New Roman" w:cs="Times New Roman"/>
          <w:b/>
          <w:sz w:val="24"/>
          <w:szCs w:val="24"/>
        </w:rPr>
        <w:t>agos</w:t>
      </w:r>
      <w:r w:rsidR="00550E21">
        <w:rPr>
          <w:rFonts w:ascii="Times New Roman" w:hAnsi="Times New Roman" w:cs="Times New Roman"/>
          <w:b/>
          <w:sz w:val="24"/>
          <w:szCs w:val="24"/>
        </w:rPr>
        <w:t xml:space="preserve"> ao p</w:t>
      </w:r>
      <w:r w:rsidRPr="00C30B97">
        <w:rPr>
          <w:rFonts w:ascii="Times New Roman" w:hAnsi="Times New Roman" w:cs="Times New Roman"/>
          <w:b/>
          <w:sz w:val="24"/>
          <w:szCs w:val="24"/>
        </w:rPr>
        <w:t>rodutor</w:t>
      </w:r>
      <w:r w:rsidR="00263944">
        <w:rPr>
          <w:rFonts w:ascii="Times New Roman" w:hAnsi="Times New Roman" w:cs="Times New Roman"/>
          <w:b/>
          <w:sz w:val="24"/>
          <w:szCs w:val="24"/>
        </w:rPr>
        <w:t xml:space="preserve"> de leite</w:t>
      </w:r>
      <w:r w:rsidRPr="00C30B97">
        <w:rPr>
          <w:rFonts w:ascii="Times New Roman" w:hAnsi="Times New Roman" w:cs="Times New Roman"/>
          <w:b/>
          <w:sz w:val="24"/>
          <w:szCs w:val="24"/>
        </w:rPr>
        <w:t xml:space="preserve">, </w:t>
      </w:r>
      <w:r w:rsidR="00550E21">
        <w:rPr>
          <w:rFonts w:ascii="Times New Roman" w:hAnsi="Times New Roman" w:cs="Times New Roman"/>
          <w:b/>
          <w:sz w:val="24"/>
          <w:szCs w:val="24"/>
        </w:rPr>
        <w:t>a</w:t>
      </w:r>
      <w:r w:rsidRPr="00C30B97">
        <w:rPr>
          <w:rFonts w:ascii="Times New Roman" w:hAnsi="Times New Roman" w:cs="Times New Roman"/>
          <w:b/>
          <w:sz w:val="24"/>
          <w:szCs w:val="24"/>
        </w:rPr>
        <w:t xml:space="preserve">tacado e </w:t>
      </w:r>
      <w:r w:rsidR="00550E21">
        <w:rPr>
          <w:rFonts w:ascii="Times New Roman" w:hAnsi="Times New Roman" w:cs="Times New Roman"/>
          <w:b/>
          <w:sz w:val="24"/>
          <w:szCs w:val="24"/>
        </w:rPr>
        <w:t>v</w:t>
      </w:r>
      <w:r w:rsidRPr="00C30B97">
        <w:rPr>
          <w:rFonts w:ascii="Times New Roman" w:hAnsi="Times New Roman" w:cs="Times New Roman"/>
          <w:b/>
          <w:sz w:val="24"/>
          <w:szCs w:val="24"/>
        </w:rPr>
        <w:t xml:space="preserve">arejo nos estados brasileiros: uma análise utilizando </w:t>
      </w:r>
      <w:r w:rsidRPr="00C30B97">
        <w:rPr>
          <w:rFonts w:ascii="Times New Roman" w:hAnsi="Times New Roman" w:cs="Times New Roman"/>
          <w:b/>
          <w:i/>
          <w:sz w:val="24"/>
          <w:szCs w:val="24"/>
        </w:rPr>
        <w:t>spillovers</w:t>
      </w:r>
    </w:p>
    <w:p w:rsidR="00C30B97" w:rsidRDefault="00C30B97" w:rsidP="00C30B97">
      <w:pPr>
        <w:spacing w:line="240" w:lineRule="auto"/>
        <w:ind w:left="709"/>
        <w:jc w:val="right"/>
        <w:rPr>
          <w:rFonts w:ascii="Times New Roman" w:hAnsi="Times New Roman" w:cs="Times New Roman"/>
          <w:sz w:val="24"/>
          <w:szCs w:val="24"/>
        </w:rPr>
      </w:pPr>
      <w:r>
        <w:rPr>
          <w:rFonts w:ascii="Times New Roman" w:hAnsi="Times New Roman" w:cs="Times New Roman"/>
          <w:sz w:val="24"/>
          <w:szCs w:val="24"/>
        </w:rPr>
        <w:t>Tiago Sayão Rosa</w:t>
      </w:r>
      <w:r>
        <w:rPr>
          <w:rStyle w:val="Refdenotaderodap"/>
          <w:rFonts w:ascii="Times New Roman" w:hAnsi="Times New Roman" w:cs="Times New Roman"/>
          <w:sz w:val="24"/>
          <w:szCs w:val="24"/>
        </w:rPr>
        <w:footnoteReference w:id="1"/>
      </w:r>
    </w:p>
    <w:p w:rsidR="00C30B97" w:rsidRPr="00C30B97" w:rsidRDefault="00C30B97" w:rsidP="00C30B97">
      <w:pPr>
        <w:spacing w:line="240" w:lineRule="auto"/>
        <w:ind w:left="709"/>
        <w:jc w:val="right"/>
        <w:rPr>
          <w:rFonts w:ascii="Times New Roman" w:hAnsi="Times New Roman" w:cs="Times New Roman"/>
          <w:sz w:val="24"/>
          <w:szCs w:val="24"/>
        </w:rPr>
      </w:pPr>
      <w:r>
        <w:rPr>
          <w:rFonts w:ascii="Times New Roman" w:hAnsi="Times New Roman" w:cs="Times New Roman"/>
          <w:sz w:val="24"/>
          <w:szCs w:val="24"/>
        </w:rPr>
        <w:t>Andrea Ugolini</w:t>
      </w:r>
      <w:r w:rsidR="004D5990">
        <w:rPr>
          <w:rStyle w:val="Refdenotaderodap"/>
          <w:rFonts w:ascii="Times New Roman" w:hAnsi="Times New Roman" w:cs="Times New Roman"/>
          <w:sz w:val="24"/>
          <w:szCs w:val="24"/>
        </w:rPr>
        <w:footnoteReference w:id="2"/>
      </w:r>
    </w:p>
    <w:p w:rsidR="00B00710" w:rsidRDefault="00B00710" w:rsidP="00B00710">
      <w:p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Resumo: A bovinocultura leiteira é de grande importância econômica para o Brasil, sendo responsável pela geração de empregos, diretos e indiretos em toda a cadeia. Além disso, é um dos alimentos fundamentais na alimentação humana pelo seu alto valor nutritivo sendo importante fonte de cálcio e proteína animal. Diante deste cenário, o objetivo do presente estudo é identificar a transmissão de preços pagos ao produtor, atacado e varejo nos estados de Minas Gerais, Rio Grande do Sul, Paraná, Goiás e São Paulo no período de janeiro de 2007 a dezembro de 2018. O método de análise</w:t>
      </w:r>
      <w:r w:rsidR="0065332C">
        <w:rPr>
          <w:rFonts w:ascii="Times New Roman" w:hAnsi="Times New Roman" w:cs="Times New Roman"/>
          <w:sz w:val="24"/>
          <w:szCs w:val="24"/>
        </w:rPr>
        <w:t xml:space="preserve"> utilizado é de vetores auto-regressivos (VAR) e a partir disso, o cálculo dos </w:t>
      </w:r>
      <w:r w:rsidR="0065332C" w:rsidRPr="0065332C">
        <w:rPr>
          <w:rFonts w:ascii="Times New Roman" w:hAnsi="Times New Roman" w:cs="Times New Roman"/>
          <w:i/>
          <w:sz w:val="24"/>
          <w:szCs w:val="24"/>
        </w:rPr>
        <w:t>spillovers</w:t>
      </w:r>
      <w:r w:rsidR="0065332C">
        <w:rPr>
          <w:rFonts w:ascii="Times New Roman" w:hAnsi="Times New Roman" w:cs="Times New Roman"/>
          <w:sz w:val="24"/>
          <w:szCs w:val="24"/>
        </w:rPr>
        <w:t xml:space="preserve"> (efeitos colaterais) ou de conectividade. De acordo com os resultados obtidos, o estado de Minas Gerais é o maior formador de preços pagos ao produtor. Após dez meses, os preços mineiros explicam grande proporção da variabilidade dos preços nos outros estados. Já o estado de São Paulo possui um papel preponderante nos preços no atacado e varejo dentre </w:t>
      </w:r>
      <w:r w:rsidR="00B47854">
        <w:rPr>
          <w:rFonts w:ascii="Times New Roman" w:hAnsi="Times New Roman" w:cs="Times New Roman"/>
          <w:sz w:val="24"/>
          <w:szCs w:val="24"/>
        </w:rPr>
        <w:t xml:space="preserve">as unidades federativas </w:t>
      </w:r>
      <w:r w:rsidR="0065332C">
        <w:rPr>
          <w:rFonts w:ascii="Times New Roman" w:hAnsi="Times New Roman" w:cs="Times New Roman"/>
          <w:sz w:val="24"/>
          <w:szCs w:val="24"/>
        </w:rPr>
        <w:t>estudad</w:t>
      </w:r>
      <w:r w:rsidR="00B47854">
        <w:rPr>
          <w:rFonts w:ascii="Times New Roman" w:hAnsi="Times New Roman" w:cs="Times New Roman"/>
          <w:sz w:val="24"/>
          <w:szCs w:val="24"/>
        </w:rPr>
        <w:t>a</w:t>
      </w:r>
      <w:r w:rsidR="0065332C">
        <w:rPr>
          <w:rFonts w:ascii="Times New Roman" w:hAnsi="Times New Roman" w:cs="Times New Roman"/>
          <w:sz w:val="24"/>
          <w:szCs w:val="24"/>
        </w:rPr>
        <w:t>s.</w:t>
      </w:r>
      <w:r w:rsidR="0017469F">
        <w:rPr>
          <w:rFonts w:ascii="Times New Roman" w:hAnsi="Times New Roman" w:cs="Times New Roman"/>
          <w:sz w:val="24"/>
          <w:szCs w:val="24"/>
        </w:rPr>
        <w:t xml:space="preserve"> Por fim, o índice </w:t>
      </w:r>
      <w:r w:rsidR="0017469F" w:rsidRPr="00B47854">
        <w:rPr>
          <w:rFonts w:ascii="Times New Roman" w:hAnsi="Times New Roman" w:cs="Times New Roman"/>
          <w:i/>
          <w:sz w:val="24"/>
          <w:szCs w:val="24"/>
        </w:rPr>
        <w:t>spillover</w:t>
      </w:r>
      <w:r w:rsidR="0017469F">
        <w:rPr>
          <w:rFonts w:ascii="Times New Roman" w:hAnsi="Times New Roman" w:cs="Times New Roman"/>
          <w:sz w:val="24"/>
          <w:szCs w:val="24"/>
        </w:rPr>
        <w:t>, para os preços pagos ao produtor, indicou um elevado grau de integração entre os estados produtores de leite.</w:t>
      </w:r>
    </w:p>
    <w:p w:rsidR="00C30B97" w:rsidRPr="00C30B97" w:rsidRDefault="00C30B97" w:rsidP="00B00710">
      <w:pPr>
        <w:spacing w:line="240" w:lineRule="auto"/>
        <w:ind w:left="709"/>
        <w:jc w:val="both"/>
        <w:rPr>
          <w:rFonts w:ascii="Times New Roman" w:hAnsi="Times New Roman" w:cs="Times New Roman"/>
          <w:sz w:val="24"/>
          <w:szCs w:val="24"/>
        </w:rPr>
      </w:pPr>
      <w:r w:rsidRPr="00C30B97">
        <w:rPr>
          <w:rFonts w:ascii="Times New Roman" w:hAnsi="Times New Roman" w:cs="Times New Roman"/>
          <w:sz w:val="24"/>
          <w:szCs w:val="24"/>
        </w:rPr>
        <w:t>Palavras-chave: Leite, VAR, Efeitos Colaterais, Transmissão de Preços.</w:t>
      </w:r>
    </w:p>
    <w:p w:rsidR="00B47854" w:rsidRDefault="00B47854" w:rsidP="00B00710">
      <w:pPr>
        <w:spacing w:line="240" w:lineRule="auto"/>
        <w:ind w:left="709"/>
        <w:jc w:val="both"/>
        <w:rPr>
          <w:rFonts w:ascii="Times New Roman" w:hAnsi="Times New Roman" w:cs="Times New Roman"/>
          <w:sz w:val="24"/>
          <w:szCs w:val="24"/>
        </w:rPr>
      </w:pPr>
      <w:r w:rsidRPr="00B47854">
        <w:rPr>
          <w:rFonts w:ascii="Times New Roman" w:hAnsi="Times New Roman" w:cs="Times New Roman"/>
          <w:sz w:val="24"/>
          <w:szCs w:val="24"/>
        </w:rPr>
        <w:t>Abstract: Dairy cattle are of great economic importance for Brazil, being responsible for the generation of jobs, direct and indirect throughout the chain. In addition, it is one of the fundamental foods in human food for its high nutritional value being an important source of calcium and animal protein. In this scenario, the objective of the present study is to identify the transmission of prices paid to the producer, wholesale and retail in the states of Minas Gerais, Rio Grande do Sul, Paraná, Goiás and São Paulo from January 2007 to December 2018. The method of analysis used is of auto-regressive vectors (VAR) and from this, the calculation of spillovers (side effects) or connectivity. According to the results obtained, the state of Minas Gerais is the largest producer of prices paid to producers. After ten months, mining prices explain a large proportion of the price variability in other states. The state of São Paulo has a predominant role in wholesale and retail prices among the federative units studied. Finally, the spillover index for producer prices indicated a high degree of integration among milk producing states.</w:t>
      </w:r>
    </w:p>
    <w:p w:rsidR="00C30B97" w:rsidRDefault="00C30B97" w:rsidP="00B00710">
      <w:pPr>
        <w:spacing w:line="240" w:lineRule="auto"/>
        <w:ind w:left="709"/>
        <w:jc w:val="both"/>
        <w:rPr>
          <w:rFonts w:ascii="Times New Roman" w:hAnsi="Times New Roman" w:cs="Times New Roman"/>
          <w:sz w:val="24"/>
          <w:szCs w:val="24"/>
        </w:rPr>
      </w:pPr>
      <w:r w:rsidRPr="00C30B97">
        <w:rPr>
          <w:rFonts w:ascii="Times New Roman" w:hAnsi="Times New Roman" w:cs="Times New Roman"/>
          <w:sz w:val="24"/>
          <w:szCs w:val="24"/>
        </w:rPr>
        <w:t xml:space="preserve">Keywords: Milk; VAR; Spillovers; Price Transmission. </w:t>
      </w:r>
    </w:p>
    <w:p w:rsidR="00550E21" w:rsidRDefault="00550E21" w:rsidP="00B00710">
      <w:p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JEL – Q11</w:t>
      </w:r>
    </w:p>
    <w:p w:rsidR="00550E21" w:rsidRDefault="00550E21" w:rsidP="00B00710">
      <w:pPr>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Área 11 – Economia Agrícola e do Meio Ambiente</w:t>
      </w:r>
    </w:p>
    <w:p w:rsidR="00550E21" w:rsidRDefault="00550E21" w:rsidP="00B00710">
      <w:pPr>
        <w:spacing w:line="240" w:lineRule="auto"/>
        <w:ind w:left="709"/>
        <w:jc w:val="both"/>
        <w:rPr>
          <w:rFonts w:ascii="Times New Roman" w:hAnsi="Times New Roman" w:cs="Times New Roman"/>
          <w:sz w:val="24"/>
          <w:szCs w:val="24"/>
        </w:rPr>
      </w:pPr>
    </w:p>
    <w:p w:rsidR="00550E21" w:rsidRDefault="00550E21" w:rsidP="00B00710">
      <w:pPr>
        <w:spacing w:line="240" w:lineRule="auto"/>
        <w:ind w:left="709"/>
        <w:jc w:val="both"/>
        <w:rPr>
          <w:rFonts w:ascii="Times New Roman" w:hAnsi="Times New Roman" w:cs="Times New Roman"/>
          <w:sz w:val="24"/>
          <w:szCs w:val="24"/>
        </w:rPr>
      </w:pPr>
    </w:p>
    <w:p w:rsidR="00550E21" w:rsidRDefault="00550E21" w:rsidP="00B00710">
      <w:pPr>
        <w:spacing w:line="240" w:lineRule="auto"/>
        <w:ind w:left="709"/>
        <w:jc w:val="both"/>
        <w:rPr>
          <w:rFonts w:ascii="Times New Roman" w:hAnsi="Times New Roman" w:cs="Times New Roman"/>
          <w:sz w:val="24"/>
          <w:szCs w:val="24"/>
        </w:rPr>
      </w:pPr>
    </w:p>
    <w:p w:rsidR="00550E21" w:rsidRDefault="00550E21" w:rsidP="00B00710">
      <w:pPr>
        <w:spacing w:line="240" w:lineRule="auto"/>
        <w:ind w:left="709"/>
        <w:jc w:val="both"/>
        <w:rPr>
          <w:rFonts w:ascii="Times New Roman" w:hAnsi="Times New Roman" w:cs="Times New Roman"/>
          <w:sz w:val="24"/>
          <w:szCs w:val="24"/>
        </w:rPr>
      </w:pPr>
    </w:p>
    <w:p w:rsidR="00550E21" w:rsidRDefault="00550E21" w:rsidP="00B00710">
      <w:pPr>
        <w:spacing w:line="240" w:lineRule="auto"/>
        <w:ind w:left="709"/>
        <w:jc w:val="both"/>
        <w:rPr>
          <w:rFonts w:ascii="Times New Roman" w:hAnsi="Times New Roman" w:cs="Times New Roman"/>
          <w:sz w:val="24"/>
          <w:szCs w:val="24"/>
        </w:rPr>
      </w:pPr>
    </w:p>
    <w:p w:rsidR="00550E21" w:rsidRDefault="00550E21" w:rsidP="00B00710">
      <w:pPr>
        <w:spacing w:line="240" w:lineRule="auto"/>
        <w:ind w:left="709"/>
        <w:jc w:val="both"/>
        <w:rPr>
          <w:rFonts w:ascii="Times New Roman" w:hAnsi="Times New Roman" w:cs="Times New Roman"/>
          <w:sz w:val="24"/>
          <w:szCs w:val="24"/>
        </w:rPr>
      </w:pPr>
    </w:p>
    <w:p w:rsidR="006B2B0E" w:rsidRPr="00A2146F" w:rsidRDefault="005840AF" w:rsidP="005840AF">
      <w:pPr>
        <w:pStyle w:val="PargrafodaLista"/>
        <w:numPr>
          <w:ilvl w:val="0"/>
          <w:numId w:val="1"/>
        </w:numPr>
        <w:spacing w:line="240" w:lineRule="auto"/>
        <w:rPr>
          <w:rFonts w:ascii="Times New Roman" w:hAnsi="Times New Roman" w:cs="Times New Roman"/>
          <w:b/>
          <w:sz w:val="24"/>
          <w:szCs w:val="24"/>
        </w:rPr>
      </w:pPr>
      <w:r w:rsidRPr="00A2146F">
        <w:rPr>
          <w:rFonts w:ascii="Times New Roman" w:hAnsi="Times New Roman" w:cs="Times New Roman"/>
          <w:b/>
          <w:sz w:val="24"/>
          <w:szCs w:val="24"/>
        </w:rPr>
        <w:lastRenderedPageBreak/>
        <w:t>Introdução</w:t>
      </w:r>
    </w:p>
    <w:p w:rsidR="005840AF" w:rsidRDefault="005840AF" w:rsidP="005840AF">
      <w:pPr>
        <w:pStyle w:val="PargrafodaLista"/>
        <w:spacing w:line="240" w:lineRule="auto"/>
        <w:rPr>
          <w:rFonts w:ascii="Times New Roman" w:hAnsi="Times New Roman" w:cs="Times New Roman"/>
          <w:sz w:val="24"/>
          <w:szCs w:val="24"/>
        </w:rPr>
      </w:pPr>
    </w:p>
    <w:p w:rsidR="00A2146F" w:rsidRPr="008973AC" w:rsidRDefault="005840AF" w:rsidP="008973AC">
      <w:pPr>
        <w:pStyle w:val="PargrafodaLista"/>
        <w:spacing w:line="240" w:lineRule="auto"/>
        <w:ind w:firstLine="696"/>
        <w:jc w:val="both"/>
        <w:rPr>
          <w:rFonts w:ascii="Times New Roman" w:hAnsi="Times New Roman" w:cs="Times New Roman"/>
          <w:sz w:val="24"/>
          <w:szCs w:val="24"/>
        </w:rPr>
      </w:pPr>
      <w:r w:rsidRPr="005840AF">
        <w:rPr>
          <w:rFonts w:ascii="Times New Roman" w:hAnsi="Times New Roman" w:cs="Times New Roman"/>
          <w:sz w:val="24"/>
          <w:szCs w:val="24"/>
        </w:rPr>
        <w:t xml:space="preserve">O leite e seus derivados representam grande importância na alimentação humana pois são fontes de proteína e cálcio, principalmente para as classes mais baixas de renda. </w:t>
      </w:r>
      <w:r w:rsidR="0023143E">
        <w:rPr>
          <w:rFonts w:ascii="Times New Roman" w:hAnsi="Times New Roman" w:cs="Times New Roman"/>
          <w:sz w:val="24"/>
          <w:szCs w:val="24"/>
        </w:rPr>
        <w:t xml:space="preserve">No </w:t>
      </w:r>
      <w:r w:rsidR="008D0E8C">
        <w:rPr>
          <w:rFonts w:ascii="Times New Roman" w:hAnsi="Times New Roman" w:cs="Times New Roman"/>
          <w:sz w:val="24"/>
          <w:szCs w:val="24"/>
        </w:rPr>
        <w:t>ano de 2018</w:t>
      </w:r>
      <w:r w:rsidR="0023143E">
        <w:rPr>
          <w:rFonts w:ascii="Times New Roman" w:hAnsi="Times New Roman" w:cs="Times New Roman"/>
          <w:sz w:val="24"/>
          <w:szCs w:val="24"/>
        </w:rPr>
        <w:t xml:space="preserve">, </w:t>
      </w:r>
      <w:r w:rsidR="008D0E8C" w:rsidRPr="007807CF">
        <w:rPr>
          <w:rFonts w:ascii="Times New Roman" w:hAnsi="Times New Roman" w:cs="Times New Roman"/>
          <w:sz w:val="24"/>
          <w:szCs w:val="24"/>
        </w:rPr>
        <w:t>o leite ocupa</w:t>
      </w:r>
      <w:r w:rsidR="008D0E8C">
        <w:rPr>
          <w:rFonts w:ascii="Times New Roman" w:hAnsi="Times New Roman" w:cs="Times New Roman"/>
          <w:sz w:val="24"/>
          <w:szCs w:val="24"/>
        </w:rPr>
        <w:t>va</w:t>
      </w:r>
      <w:r w:rsidR="008D0E8C" w:rsidRPr="007807CF">
        <w:rPr>
          <w:rFonts w:ascii="Times New Roman" w:hAnsi="Times New Roman" w:cs="Times New Roman"/>
          <w:sz w:val="24"/>
          <w:szCs w:val="24"/>
        </w:rPr>
        <w:t xml:space="preserve"> a s</w:t>
      </w:r>
      <w:r w:rsidR="00E97868">
        <w:rPr>
          <w:rFonts w:ascii="Times New Roman" w:hAnsi="Times New Roman" w:cs="Times New Roman"/>
          <w:sz w:val="24"/>
          <w:szCs w:val="24"/>
        </w:rPr>
        <w:t>étima</w:t>
      </w:r>
      <w:r w:rsidR="008D0E8C" w:rsidRPr="007807CF">
        <w:rPr>
          <w:rFonts w:ascii="Times New Roman" w:hAnsi="Times New Roman" w:cs="Times New Roman"/>
          <w:sz w:val="24"/>
          <w:szCs w:val="24"/>
        </w:rPr>
        <w:t xml:space="preserve"> posição dentre os dez produtos mais importantes da agropecuária brasileir</w:t>
      </w:r>
      <w:r w:rsidR="008D0E8C">
        <w:rPr>
          <w:rFonts w:ascii="Times New Roman" w:hAnsi="Times New Roman" w:cs="Times New Roman"/>
          <w:sz w:val="24"/>
          <w:szCs w:val="24"/>
        </w:rPr>
        <w:t xml:space="preserve">a representando 5,63% do valor bruto da produção agropecuária (VBP) </w:t>
      </w:r>
      <w:r w:rsidR="00E97868">
        <w:rPr>
          <w:rFonts w:ascii="Times New Roman" w:hAnsi="Times New Roman" w:cs="Times New Roman"/>
          <w:sz w:val="24"/>
          <w:szCs w:val="24"/>
        </w:rPr>
        <w:t>calculado</w:t>
      </w:r>
      <w:r w:rsidR="007807CF" w:rsidRPr="008D0E8C">
        <w:rPr>
          <w:rFonts w:ascii="Times New Roman" w:hAnsi="Times New Roman" w:cs="Times New Roman"/>
          <w:sz w:val="24"/>
          <w:szCs w:val="24"/>
        </w:rPr>
        <w:t xml:space="preserve"> pelo Ministério da Agricultura, Pecuária e Abastecimento (MAPA)</w:t>
      </w:r>
      <w:r w:rsidR="008D0E8C">
        <w:rPr>
          <w:rFonts w:ascii="Times New Roman" w:hAnsi="Times New Roman" w:cs="Times New Roman"/>
          <w:sz w:val="24"/>
          <w:szCs w:val="24"/>
        </w:rPr>
        <w:t xml:space="preserve">. </w:t>
      </w:r>
      <w:r w:rsidR="007807CF" w:rsidRPr="008D0E8C">
        <w:rPr>
          <w:rFonts w:ascii="Times New Roman" w:hAnsi="Times New Roman" w:cs="Times New Roman"/>
          <w:sz w:val="24"/>
          <w:szCs w:val="24"/>
        </w:rPr>
        <w:t>No ano de 2017, de acordo com o USDA (Departamento de Agricultura dos Estados Unidos), o Brasil era o sexto maior produtor mundial f</w:t>
      </w:r>
      <w:r w:rsidR="00E92557" w:rsidRPr="008D0E8C">
        <w:rPr>
          <w:rFonts w:ascii="Times New Roman" w:hAnsi="Times New Roman" w:cs="Times New Roman"/>
          <w:sz w:val="24"/>
          <w:szCs w:val="24"/>
        </w:rPr>
        <w:t xml:space="preserve">icando atrás de União Europeia, Estados Unidos e Índia. As projeções para 2019 indicam uma produção </w:t>
      </w:r>
      <w:r w:rsidR="003E66F4" w:rsidRPr="008D0E8C">
        <w:rPr>
          <w:rFonts w:ascii="Times New Roman" w:hAnsi="Times New Roman" w:cs="Times New Roman"/>
          <w:sz w:val="24"/>
          <w:szCs w:val="24"/>
        </w:rPr>
        <w:t xml:space="preserve">nacional </w:t>
      </w:r>
      <w:r w:rsidR="00E92557" w:rsidRPr="008D0E8C">
        <w:rPr>
          <w:rFonts w:ascii="Times New Roman" w:hAnsi="Times New Roman" w:cs="Times New Roman"/>
          <w:sz w:val="24"/>
          <w:szCs w:val="24"/>
        </w:rPr>
        <w:t>de 23,</w:t>
      </w:r>
      <w:r w:rsidR="003E66F4" w:rsidRPr="008D0E8C">
        <w:rPr>
          <w:rFonts w:ascii="Times New Roman" w:hAnsi="Times New Roman" w:cs="Times New Roman"/>
          <w:sz w:val="24"/>
          <w:szCs w:val="24"/>
        </w:rPr>
        <w:t>15</w:t>
      </w:r>
      <w:r w:rsidR="00E92557" w:rsidRPr="008D0E8C">
        <w:rPr>
          <w:rFonts w:ascii="Times New Roman" w:hAnsi="Times New Roman" w:cs="Times New Roman"/>
          <w:sz w:val="24"/>
          <w:szCs w:val="24"/>
        </w:rPr>
        <w:t xml:space="preserve"> </w:t>
      </w:r>
      <w:r w:rsidR="003E66F4" w:rsidRPr="008D0E8C">
        <w:rPr>
          <w:rFonts w:ascii="Times New Roman" w:hAnsi="Times New Roman" w:cs="Times New Roman"/>
          <w:sz w:val="24"/>
          <w:szCs w:val="24"/>
        </w:rPr>
        <w:t>m</w:t>
      </w:r>
      <w:r w:rsidR="00E92557" w:rsidRPr="008D0E8C">
        <w:rPr>
          <w:rFonts w:ascii="Times New Roman" w:hAnsi="Times New Roman" w:cs="Times New Roman"/>
          <w:sz w:val="24"/>
          <w:szCs w:val="24"/>
        </w:rPr>
        <w:t>i</w:t>
      </w:r>
      <w:r w:rsidR="003E66F4" w:rsidRPr="008D0E8C">
        <w:rPr>
          <w:rFonts w:ascii="Times New Roman" w:hAnsi="Times New Roman" w:cs="Times New Roman"/>
          <w:sz w:val="24"/>
          <w:szCs w:val="24"/>
        </w:rPr>
        <w:t xml:space="preserve">lhões de toneladas equivalente a </w:t>
      </w:r>
      <w:r w:rsidR="005C7E0D" w:rsidRPr="008D0E8C">
        <w:rPr>
          <w:rFonts w:ascii="Times New Roman" w:hAnsi="Times New Roman" w:cs="Times New Roman"/>
          <w:sz w:val="24"/>
          <w:szCs w:val="24"/>
        </w:rPr>
        <w:t>4,5% da produção mundial estimada.</w:t>
      </w:r>
      <w:r w:rsidR="008973AC">
        <w:rPr>
          <w:rFonts w:ascii="Times New Roman" w:hAnsi="Times New Roman" w:cs="Times New Roman"/>
          <w:sz w:val="24"/>
          <w:szCs w:val="24"/>
        </w:rPr>
        <w:t xml:space="preserve"> </w:t>
      </w:r>
      <w:r w:rsidR="005C7E0D" w:rsidRPr="008973AC">
        <w:rPr>
          <w:rFonts w:ascii="Times New Roman" w:hAnsi="Times New Roman" w:cs="Times New Roman"/>
          <w:sz w:val="24"/>
          <w:szCs w:val="24"/>
        </w:rPr>
        <w:t>Netto e Gomes (200</w:t>
      </w:r>
      <w:r w:rsidR="00DA37CF" w:rsidRPr="008973AC">
        <w:rPr>
          <w:rFonts w:ascii="Times New Roman" w:hAnsi="Times New Roman" w:cs="Times New Roman"/>
          <w:sz w:val="24"/>
          <w:szCs w:val="24"/>
        </w:rPr>
        <w:t>2</w:t>
      </w:r>
      <w:r w:rsidR="005C7E0D" w:rsidRPr="008973AC">
        <w:rPr>
          <w:rFonts w:ascii="Times New Roman" w:hAnsi="Times New Roman" w:cs="Times New Roman"/>
          <w:sz w:val="24"/>
          <w:szCs w:val="24"/>
        </w:rPr>
        <w:t>) afirmam que as condições edafoclimáticas do País permitem que a bovinocultura de leite seja desenvolvida em todo o seu vasto território, adaptada às peculiaridades regionais, de forma atomizada e, predominantemente, por pequenos e médios produtores. O último censo agropecuário do Instituto Brasileiro de Geografia e Estatística (IBGE) identificou no País 1,8 milhão de propriedades leiteiras. A pecuária de leite está presente em aproximadamente 40% das propriedades rurais do Brasil.</w:t>
      </w:r>
    </w:p>
    <w:p w:rsidR="002A5581" w:rsidRDefault="002A5581" w:rsidP="007807CF">
      <w:pPr>
        <w:pStyle w:val="PargrafodaLista"/>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Borges et. al (2014) afirmam que, no Brasil,</w:t>
      </w:r>
      <w:r w:rsidRPr="000D43DA">
        <w:rPr>
          <w:rFonts w:ascii="Times New Roman" w:hAnsi="Times New Roman" w:cs="Times New Roman"/>
          <w:sz w:val="24"/>
          <w:szCs w:val="24"/>
        </w:rPr>
        <w:t xml:space="preserve"> </w:t>
      </w:r>
      <w:r>
        <w:rPr>
          <w:rFonts w:ascii="Times New Roman" w:hAnsi="Times New Roman" w:cs="Times New Roman"/>
          <w:sz w:val="24"/>
          <w:szCs w:val="24"/>
        </w:rPr>
        <w:t xml:space="preserve">dentro do </w:t>
      </w:r>
      <w:r w:rsidRPr="000D43DA">
        <w:rPr>
          <w:rFonts w:ascii="Times New Roman" w:hAnsi="Times New Roman" w:cs="Times New Roman"/>
          <w:sz w:val="24"/>
          <w:szCs w:val="24"/>
        </w:rPr>
        <w:t>cenário</w:t>
      </w:r>
      <w:r>
        <w:rPr>
          <w:rFonts w:ascii="Times New Roman" w:hAnsi="Times New Roman" w:cs="Times New Roman"/>
          <w:sz w:val="24"/>
          <w:szCs w:val="24"/>
        </w:rPr>
        <w:t xml:space="preserve"> </w:t>
      </w:r>
      <w:r w:rsidRPr="00136BB5">
        <w:rPr>
          <w:rFonts w:ascii="Times New Roman" w:hAnsi="Times New Roman" w:cs="Times New Roman"/>
          <w:sz w:val="24"/>
          <w:szCs w:val="24"/>
        </w:rPr>
        <w:t>produtivo convivem tanto sistemas tecnológicos modernos, com elevada qualidade genética do</w:t>
      </w:r>
      <w:r>
        <w:rPr>
          <w:rFonts w:ascii="Times New Roman" w:hAnsi="Times New Roman" w:cs="Times New Roman"/>
          <w:sz w:val="24"/>
          <w:szCs w:val="24"/>
        </w:rPr>
        <w:t xml:space="preserve"> </w:t>
      </w:r>
      <w:r w:rsidRPr="00136BB5">
        <w:rPr>
          <w:rFonts w:ascii="Times New Roman" w:hAnsi="Times New Roman" w:cs="Times New Roman"/>
          <w:sz w:val="24"/>
          <w:szCs w:val="24"/>
        </w:rPr>
        <w:t>rebanho e condições adequadas de suplementação alimentar, quanto sistemas de produção</w:t>
      </w:r>
      <w:r>
        <w:rPr>
          <w:rFonts w:ascii="Times New Roman" w:hAnsi="Times New Roman" w:cs="Times New Roman"/>
          <w:sz w:val="24"/>
          <w:szCs w:val="24"/>
        </w:rPr>
        <w:t xml:space="preserve"> </w:t>
      </w:r>
      <w:r w:rsidRPr="00136BB5">
        <w:rPr>
          <w:rFonts w:ascii="Times New Roman" w:hAnsi="Times New Roman" w:cs="Times New Roman"/>
          <w:sz w:val="24"/>
          <w:szCs w:val="24"/>
        </w:rPr>
        <w:t>absolutamente extensivos, com padrões genéticos mestiços e alimentação animal feito em</w:t>
      </w:r>
      <w:r>
        <w:rPr>
          <w:rFonts w:ascii="Times New Roman" w:hAnsi="Times New Roman" w:cs="Times New Roman"/>
          <w:sz w:val="24"/>
          <w:szCs w:val="24"/>
        </w:rPr>
        <w:t xml:space="preserve"> </w:t>
      </w:r>
      <w:r w:rsidRPr="00136BB5">
        <w:rPr>
          <w:rFonts w:ascii="Times New Roman" w:hAnsi="Times New Roman" w:cs="Times New Roman"/>
          <w:sz w:val="24"/>
          <w:szCs w:val="24"/>
        </w:rPr>
        <w:t>pasto natural, onde a produção é direcionada para a subsistência ou para o mercado informal</w:t>
      </w:r>
      <w:r>
        <w:rPr>
          <w:rFonts w:ascii="Times New Roman" w:hAnsi="Times New Roman" w:cs="Times New Roman"/>
          <w:sz w:val="24"/>
          <w:szCs w:val="24"/>
        </w:rPr>
        <w:t>.</w:t>
      </w:r>
    </w:p>
    <w:p w:rsidR="00CB2C5A" w:rsidRPr="008973AC" w:rsidRDefault="000B0BC3" w:rsidP="008973AC">
      <w:pPr>
        <w:pStyle w:val="PargrafodaLista"/>
        <w:spacing w:line="240" w:lineRule="auto"/>
        <w:ind w:firstLine="696"/>
        <w:jc w:val="both"/>
        <w:rPr>
          <w:rFonts w:ascii="Times New Roman" w:hAnsi="Times New Roman" w:cs="Times New Roman"/>
          <w:sz w:val="24"/>
          <w:szCs w:val="24"/>
        </w:rPr>
      </w:pPr>
      <w:r w:rsidRPr="001E2AFE">
        <w:rPr>
          <w:rFonts w:ascii="Times New Roman" w:hAnsi="Times New Roman" w:cs="Times New Roman"/>
          <w:sz w:val="24"/>
          <w:szCs w:val="24"/>
        </w:rPr>
        <w:t xml:space="preserve">De acordo com a Pesquisa Pecuária Municipal (PPM), conforme dados do IBGE (2019), dos 33,49 bilhões de litros produzidos, em 2017, no Brasil, o estado de Minas Gerais contribuiu com </w:t>
      </w:r>
      <w:r w:rsidR="0082513E" w:rsidRPr="001E2AFE">
        <w:rPr>
          <w:rFonts w:ascii="Times New Roman" w:hAnsi="Times New Roman" w:cs="Times New Roman"/>
          <w:sz w:val="24"/>
          <w:szCs w:val="24"/>
        </w:rPr>
        <w:t xml:space="preserve">26,61%, seguido por Rio Grande do </w:t>
      </w:r>
      <w:r w:rsidR="008973AC">
        <w:rPr>
          <w:rFonts w:ascii="Times New Roman" w:hAnsi="Times New Roman" w:cs="Times New Roman"/>
          <w:sz w:val="24"/>
          <w:szCs w:val="24"/>
        </w:rPr>
        <w:t xml:space="preserve">Sul (13,59%), Paraná (13,25%), </w:t>
      </w:r>
      <w:r w:rsidR="0082513E" w:rsidRPr="001E2AFE">
        <w:rPr>
          <w:rFonts w:ascii="Times New Roman" w:hAnsi="Times New Roman" w:cs="Times New Roman"/>
          <w:sz w:val="24"/>
          <w:szCs w:val="24"/>
        </w:rPr>
        <w:t>Goiás (8,93%), Santa Catarina (8,90%) e São Paulo (5,06%).</w:t>
      </w:r>
      <w:r w:rsidR="008973AC">
        <w:rPr>
          <w:rFonts w:ascii="Times New Roman" w:hAnsi="Times New Roman" w:cs="Times New Roman"/>
          <w:sz w:val="24"/>
          <w:szCs w:val="24"/>
        </w:rPr>
        <w:t xml:space="preserve"> </w:t>
      </w:r>
      <w:r w:rsidR="00B14256" w:rsidRPr="008973AC">
        <w:rPr>
          <w:rFonts w:ascii="Times New Roman" w:hAnsi="Times New Roman" w:cs="Times New Roman"/>
          <w:sz w:val="24"/>
          <w:szCs w:val="24"/>
        </w:rPr>
        <w:t xml:space="preserve">A importância do setor lácteo na economia nacional pode ser vista ao analisarmos os dados disponíveis na base de dados da Relação Anual de Informações Sociais (RAIS) do Ministério do Trabalho e Emprego (MTE, 2019). </w:t>
      </w:r>
      <w:r w:rsidR="00174FA4" w:rsidRPr="008973AC">
        <w:rPr>
          <w:rFonts w:ascii="Times New Roman" w:hAnsi="Times New Roman" w:cs="Times New Roman"/>
          <w:sz w:val="24"/>
          <w:szCs w:val="24"/>
        </w:rPr>
        <w:t>N</w:t>
      </w:r>
      <w:r w:rsidR="00B14256" w:rsidRPr="008973AC">
        <w:rPr>
          <w:rFonts w:ascii="Times New Roman" w:hAnsi="Times New Roman" w:cs="Times New Roman"/>
          <w:sz w:val="24"/>
          <w:szCs w:val="24"/>
        </w:rPr>
        <w:t>o ano de 2017, exist</w:t>
      </w:r>
      <w:r w:rsidR="00174FA4" w:rsidRPr="008973AC">
        <w:rPr>
          <w:rFonts w:ascii="Times New Roman" w:hAnsi="Times New Roman" w:cs="Times New Roman"/>
          <w:sz w:val="24"/>
          <w:szCs w:val="24"/>
        </w:rPr>
        <w:t>ia</w:t>
      </w:r>
      <w:r w:rsidR="00B14256" w:rsidRPr="008973AC">
        <w:rPr>
          <w:rFonts w:ascii="Times New Roman" w:hAnsi="Times New Roman" w:cs="Times New Roman"/>
          <w:sz w:val="24"/>
          <w:szCs w:val="24"/>
        </w:rPr>
        <w:t>m 6.126 laticínios</w:t>
      </w:r>
      <w:r w:rsidR="00A67B60" w:rsidRPr="008973AC">
        <w:rPr>
          <w:rFonts w:ascii="Times New Roman" w:hAnsi="Times New Roman" w:cs="Times New Roman"/>
          <w:sz w:val="24"/>
          <w:szCs w:val="24"/>
        </w:rPr>
        <w:t xml:space="preserve"> </w:t>
      </w:r>
      <w:r w:rsidR="00CB2C5A" w:rsidRPr="008973AC">
        <w:rPr>
          <w:rFonts w:ascii="Times New Roman" w:hAnsi="Times New Roman" w:cs="Times New Roman"/>
          <w:sz w:val="24"/>
          <w:szCs w:val="24"/>
        </w:rPr>
        <w:t xml:space="preserve">os quais foram responsáveis pelo estabelecimento de mais 100 mil empregos formais. Nesse mesmo ano, o setor de laticínios </w:t>
      </w:r>
      <w:r w:rsidR="009616DC" w:rsidRPr="008973AC">
        <w:rPr>
          <w:rFonts w:ascii="Times New Roman" w:hAnsi="Times New Roman" w:cs="Times New Roman"/>
          <w:sz w:val="24"/>
          <w:szCs w:val="24"/>
        </w:rPr>
        <w:t xml:space="preserve">obteve um faturamento líquido de 70,2 bilhões de reais, atingindo o segundo lugar no ranking de faturamento das indústrias de produtos alimentares (ABIA, 2019). </w:t>
      </w:r>
    </w:p>
    <w:p w:rsidR="00B14256" w:rsidRDefault="009616DC" w:rsidP="00136BB5">
      <w:pPr>
        <w:pStyle w:val="PargrafodaLista"/>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Também chama a atenção a distribuição espacial dos laticínios: dos mais de 6.000 laticínios existentes, no ano de 2017, l</w:t>
      </w:r>
      <w:r w:rsidR="00B14256">
        <w:rPr>
          <w:rFonts w:ascii="Times New Roman" w:hAnsi="Times New Roman" w:cs="Times New Roman"/>
          <w:sz w:val="24"/>
          <w:szCs w:val="24"/>
        </w:rPr>
        <w:t>ocalizados no Brasil destes, 1.440 estão em Minas Gerais, e 778</w:t>
      </w:r>
      <w:r w:rsidR="00174FA4">
        <w:rPr>
          <w:rFonts w:ascii="Times New Roman" w:hAnsi="Times New Roman" w:cs="Times New Roman"/>
          <w:sz w:val="24"/>
          <w:szCs w:val="24"/>
        </w:rPr>
        <w:t xml:space="preserve"> em São Paulo, perfazendo, respectivamente, 23,51% e 12,70% do total de laticínios brasileiros. Na sequência, aparecem Paraná, com 8,26%, Rio Grande do Sul, com 6,84%, Santa Catarina com 5,65%, Bahia com 5,53% e Goiás com 5,35%. Tais dados levam a conclusão que existe uma grande integração entre o estado-produtor e o processamento e comercialização indicad</w:t>
      </w:r>
      <w:r w:rsidR="00B55D13">
        <w:rPr>
          <w:rFonts w:ascii="Times New Roman" w:hAnsi="Times New Roman" w:cs="Times New Roman"/>
          <w:sz w:val="24"/>
          <w:szCs w:val="24"/>
        </w:rPr>
        <w:t>a</w:t>
      </w:r>
      <w:r w:rsidR="00174FA4">
        <w:rPr>
          <w:rFonts w:ascii="Times New Roman" w:hAnsi="Times New Roman" w:cs="Times New Roman"/>
          <w:sz w:val="24"/>
          <w:szCs w:val="24"/>
        </w:rPr>
        <w:t xml:space="preserve">, principalmente, pelo estado de Minas Gerais e São Paulo. </w:t>
      </w:r>
      <w:r w:rsidR="00B55D13">
        <w:rPr>
          <w:rFonts w:ascii="Times New Roman" w:hAnsi="Times New Roman" w:cs="Times New Roman"/>
          <w:sz w:val="24"/>
          <w:szCs w:val="24"/>
        </w:rPr>
        <w:t>Na unidade federativa paulista, apesar de ocupar a sexta posição na produção nacional, é o segundo em número de laticínios.</w:t>
      </w:r>
    </w:p>
    <w:p w:rsidR="004143A8" w:rsidRPr="008973AC" w:rsidRDefault="009616DC" w:rsidP="008973AC">
      <w:pPr>
        <w:pStyle w:val="PargrafodaLista"/>
        <w:spacing w:line="240" w:lineRule="auto"/>
        <w:ind w:firstLine="696"/>
        <w:jc w:val="both"/>
        <w:rPr>
          <w:rFonts w:ascii="Times New Roman" w:hAnsi="Times New Roman" w:cs="Times New Roman"/>
          <w:sz w:val="24"/>
          <w:szCs w:val="24"/>
        </w:rPr>
      </w:pPr>
      <w:r w:rsidRPr="009616DC">
        <w:rPr>
          <w:rFonts w:ascii="Times New Roman" w:hAnsi="Times New Roman" w:cs="Times New Roman"/>
          <w:sz w:val="24"/>
          <w:szCs w:val="24"/>
        </w:rPr>
        <w:t>Ferreira et al., 2008</w:t>
      </w:r>
      <w:r>
        <w:rPr>
          <w:rFonts w:ascii="Times New Roman" w:hAnsi="Times New Roman" w:cs="Times New Roman"/>
          <w:sz w:val="24"/>
          <w:szCs w:val="24"/>
        </w:rPr>
        <w:t xml:space="preserve"> e</w:t>
      </w:r>
      <w:r w:rsidRPr="009616DC">
        <w:rPr>
          <w:rFonts w:ascii="Times New Roman" w:hAnsi="Times New Roman" w:cs="Times New Roman"/>
          <w:sz w:val="24"/>
          <w:szCs w:val="24"/>
        </w:rPr>
        <w:t xml:space="preserve"> Brunozi Júnior et al., 2012</w:t>
      </w:r>
      <w:r>
        <w:rPr>
          <w:rFonts w:ascii="Times New Roman" w:hAnsi="Times New Roman" w:cs="Times New Roman"/>
          <w:sz w:val="24"/>
          <w:szCs w:val="24"/>
        </w:rPr>
        <w:t xml:space="preserve"> </w:t>
      </w:r>
      <w:r w:rsidRPr="009616DC">
        <w:rPr>
          <w:rFonts w:ascii="Times New Roman" w:hAnsi="Times New Roman" w:cs="Times New Roman"/>
          <w:i/>
          <w:sz w:val="24"/>
          <w:szCs w:val="24"/>
        </w:rPr>
        <w:t>apud</w:t>
      </w:r>
      <w:r>
        <w:rPr>
          <w:rFonts w:ascii="Times New Roman" w:hAnsi="Times New Roman" w:cs="Times New Roman"/>
          <w:sz w:val="24"/>
          <w:szCs w:val="24"/>
        </w:rPr>
        <w:t xml:space="preserve"> Lima et. al (2017) afirmam que </w:t>
      </w:r>
      <w:r w:rsidR="0023143E">
        <w:rPr>
          <w:rFonts w:ascii="Times New Roman" w:hAnsi="Times New Roman" w:cs="Times New Roman"/>
          <w:sz w:val="24"/>
          <w:szCs w:val="24"/>
        </w:rPr>
        <w:t xml:space="preserve">o </w:t>
      </w:r>
      <w:r w:rsidRPr="009616DC">
        <w:rPr>
          <w:rFonts w:ascii="Times New Roman" w:hAnsi="Times New Roman" w:cs="Times New Roman"/>
          <w:sz w:val="24"/>
          <w:szCs w:val="24"/>
        </w:rPr>
        <w:t>setor da indústria brasileira de laticínios é marcado pela concentração</w:t>
      </w:r>
      <w:r>
        <w:rPr>
          <w:rFonts w:ascii="Times New Roman" w:hAnsi="Times New Roman" w:cs="Times New Roman"/>
          <w:sz w:val="24"/>
          <w:szCs w:val="24"/>
        </w:rPr>
        <w:t xml:space="preserve"> </w:t>
      </w:r>
      <w:r w:rsidRPr="009616DC">
        <w:rPr>
          <w:rFonts w:ascii="Times New Roman" w:hAnsi="Times New Roman" w:cs="Times New Roman"/>
          <w:sz w:val="24"/>
          <w:szCs w:val="24"/>
        </w:rPr>
        <w:t>de um grande número de empresas de micro e pequeno porte, com algumas empresas de grande</w:t>
      </w:r>
      <w:r>
        <w:rPr>
          <w:rFonts w:ascii="Times New Roman" w:hAnsi="Times New Roman" w:cs="Times New Roman"/>
          <w:sz w:val="24"/>
          <w:szCs w:val="24"/>
        </w:rPr>
        <w:t xml:space="preserve"> </w:t>
      </w:r>
      <w:r w:rsidRPr="009616DC">
        <w:rPr>
          <w:rFonts w:ascii="Times New Roman" w:hAnsi="Times New Roman" w:cs="Times New Roman"/>
          <w:sz w:val="24"/>
          <w:szCs w:val="24"/>
        </w:rPr>
        <w:t>porte.</w:t>
      </w:r>
      <w:r>
        <w:rPr>
          <w:rFonts w:ascii="Times New Roman" w:hAnsi="Times New Roman" w:cs="Times New Roman"/>
          <w:sz w:val="24"/>
          <w:szCs w:val="24"/>
        </w:rPr>
        <w:t xml:space="preserve"> </w:t>
      </w:r>
      <w:r w:rsidR="0023143E">
        <w:rPr>
          <w:rFonts w:ascii="Times New Roman" w:hAnsi="Times New Roman" w:cs="Times New Roman"/>
          <w:sz w:val="24"/>
          <w:szCs w:val="24"/>
        </w:rPr>
        <w:t>De acordo com a Associação Leite Brasil, no ano de 2018, os treze maiores laticínios captaram 7,6 bilhões de litros em 2018 representando aproximadamente 31% de toda a produ</w:t>
      </w:r>
      <w:r w:rsidR="008973AC">
        <w:rPr>
          <w:rFonts w:ascii="Times New Roman" w:hAnsi="Times New Roman" w:cs="Times New Roman"/>
          <w:sz w:val="24"/>
          <w:szCs w:val="24"/>
        </w:rPr>
        <w:t xml:space="preserve">ção formal de leite no período. </w:t>
      </w:r>
      <w:r w:rsidR="0040014C" w:rsidRPr="008973AC">
        <w:rPr>
          <w:rFonts w:ascii="Times New Roman" w:hAnsi="Times New Roman" w:cs="Times New Roman"/>
          <w:sz w:val="24"/>
          <w:szCs w:val="24"/>
        </w:rPr>
        <w:t>De acordo com Sorio (2018), p</w:t>
      </w:r>
      <w:r w:rsidR="00B6652D" w:rsidRPr="008973AC">
        <w:rPr>
          <w:rFonts w:ascii="Times New Roman" w:hAnsi="Times New Roman" w:cs="Times New Roman"/>
          <w:sz w:val="24"/>
          <w:szCs w:val="24"/>
        </w:rPr>
        <w:t>ara complicar, o</w:t>
      </w:r>
      <w:r w:rsidR="00075909" w:rsidRPr="008973AC">
        <w:rPr>
          <w:rFonts w:ascii="Times New Roman" w:hAnsi="Times New Roman" w:cs="Times New Roman"/>
          <w:sz w:val="24"/>
          <w:szCs w:val="24"/>
        </w:rPr>
        <w:t xml:space="preserve"> </w:t>
      </w:r>
      <w:r w:rsidR="00B6652D" w:rsidRPr="008973AC">
        <w:rPr>
          <w:rFonts w:ascii="Times New Roman" w:hAnsi="Times New Roman" w:cs="Times New Roman"/>
          <w:sz w:val="24"/>
          <w:szCs w:val="24"/>
        </w:rPr>
        <w:t>varejo apresenta concentração bem superior ao do setor de laticínios (as 4 maiores</w:t>
      </w:r>
      <w:r w:rsidR="0040014C" w:rsidRPr="008973AC">
        <w:rPr>
          <w:rFonts w:ascii="Times New Roman" w:hAnsi="Times New Roman" w:cs="Times New Roman"/>
          <w:sz w:val="24"/>
          <w:szCs w:val="24"/>
        </w:rPr>
        <w:t xml:space="preserve"> </w:t>
      </w:r>
      <w:r w:rsidR="00B6652D" w:rsidRPr="008973AC">
        <w:rPr>
          <w:rFonts w:ascii="Times New Roman" w:hAnsi="Times New Roman" w:cs="Times New Roman"/>
          <w:sz w:val="24"/>
          <w:szCs w:val="24"/>
        </w:rPr>
        <w:t>redes detêm 47% do comércio de alimentos) o que ajuda a explicar porque vários</w:t>
      </w:r>
      <w:r w:rsidR="0040014C" w:rsidRPr="008973AC">
        <w:rPr>
          <w:rFonts w:ascii="Times New Roman" w:hAnsi="Times New Roman" w:cs="Times New Roman"/>
          <w:sz w:val="24"/>
          <w:szCs w:val="24"/>
        </w:rPr>
        <w:t xml:space="preserve"> </w:t>
      </w:r>
      <w:r w:rsidR="00B6652D" w:rsidRPr="008973AC">
        <w:rPr>
          <w:rFonts w:ascii="Times New Roman" w:hAnsi="Times New Roman" w:cs="Times New Roman"/>
          <w:sz w:val="24"/>
          <w:szCs w:val="24"/>
        </w:rPr>
        <w:t>laticínios de grande porte apresentaram problemas significativos a ponto de falirem,</w:t>
      </w:r>
      <w:r w:rsidR="0040014C" w:rsidRPr="008973AC">
        <w:rPr>
          <w:rFonts w:ascii="Times New Roman" w:hAnsi="Times New Roman" w:cs="Times New Roman"/>
          <w:sz w:val="24"/>
          <w:szCs w:val="24"/>
        </w:rPr>
        <w:t xml:space="preserve"> </w:t>
      </w:r>
      <w:r w:rsidR="00B6652D" w:rsidRPr="008973AC">
        <w:rPr>
          <w:rFonts w:ascii="Times New Roman" w:hAnsi="Times New Roman" w:cs="Times New Roman"/>
          <w:sz w:val="24"/>
          <w:szCs w:val="24"/>
        </w:rPr>
        <w:t>como a Leite Nilza ou a LBR.</w:t>
      </w:r>
      <w:r w:rsidR="004143A8" w:rsidRPr="008973AC">
        <w:rPr>
          <w:rFonts w:ascii="Times New Roman" w:hAnsi="Times New Roman" w:cs="Times New Roman"/>
          <w:sz w:val="24"/>
          <w:szCs w:val="24"/>
        </w:rPr>
        <w:t xml:space="preserve"> </w:t>
      </w:r>
    </w:p>
    <w:p w:rsidR="00AF46F8" w:rsidRPr="004143A8" w:rsidRDefault="004F48C0" w:rsidP="004143A8">
      <w:pPr>
        <w:pStyle w:val="PargrafodaLista"/>
        <w:spacing w:line="240" w:lineRule="auto"/>
        <w:ind w:firstLine="696"/>
        <w:jc w:val="both"/>
        <w:rPr>
          <w:rFonts w:ascii="Times New Roman" w:hAnsi="Times New Roman" w:cs="Times New Roman"/>
          <w:sz w:val="24"/>
          <w:szCs w:val="24"/>
        </w:rPr>
      </w:pPr>
      <w:r w:rsidRPr="004143A8">
        <w:rPr>
          <w:rFonts w:ascii="Times New Roman" w:hAnsi="Times New Roman" w:cs="Times New Roman"/>
          <w:sz w:val="24"/>
          <w:szCs w:val="24"/>
        </w:rPr>
        <w:lastRenderedPageBreak/>
        <w:t xml:space="preserve">Dentre os derivados lácteos mais relevantes no </w:t>
      </w:r>
      <w:r w:rsidR="00091896" w:rsidRPr="004143A8">
        <w:rPr>
          <w:rFonts w:ascii="Times New Roman" w:hAnsi="Times New Roman" w:cs="Times New Roman"/>
          <w:sz w:val="24"/>
          <w:szCs w:val="24"/>
        </w:rPr>
        <w:t xml:space="preserve">varejo, </w:t>
      </w:r>
      <w:r w:rsidRPr="004143A8">
        <w:rPr>
          <w:rFonts w:ascii="Times New Roman" w:hAnsi="Times New Roman" w:cs="Times New Roman"/>
          <w:sz w:val="24"/>
          <w:szCs w:val="24"/>
        </w:rPr>
        <w:t>o leite UHT</w:t>
      </w:r>
      <w:r w:rsidR="00EB760C">
        <w:rPr>
          <w:rStyle w:val="Refdenotaderodap"/>
          <w:rFonts w:ascii="Times New Roman" w:hAnsi="Times New Roman" w:cs="Times New Roman"/>
          <w:sz w:val="24"/>
          <w:szCs w:val="24"/>
        </w:rPr>
        <w:footnoteReference w:id="3"/>
      </w:r>
      <w:r w:rsidRPr="004143A8">
        <w:rPr>
          <w:rFonts w:ascii="Times New Roman" w:hAnsi="Times New Roman" w:cs="Times New Roman"/>
          <w:sz w:val="24"/>
          <w:szCs w:val="24"/>
        </w:rPr>
        <w:t xml:space="preserve"> </w:t>
      </w:r>
      <w:r w:rsidR="00AF46F8" w:rsidRPr="004143A8">
        <w:rPr>
          <w:rFonts w:ascii="Times New Roman" w:hAnsi="Times New Roman" w:cs="Times New Roman"/>
          <w:sz w:val="24"/>
          <w:szCs w:val="24"/>
        </w:rPr>
        <w:t>representa 77% do leite</w:t>
      </w:r>
      <w:r w:rsidR="00792486" w:rsidRPr="004143A8">
        <w:rPr>
          <w:rFonts w:ascii="Times New Roman" w:hAnsi="Times New Roman" w:cs="Times New Roman"/>
          <w:sz w:val="24"/>
          <w:szCs w:val="24"/>
        </w:rPr>
        <w:t xml:space="preserve"> </w:t>
      </w:r>
      <w:r w:rsidR="00AF46F8" w:rsidRPr="004143A8">
        <w:rPr>
          <w:rFonts w:ascii="Times New Roman" w:hAnsi="Times New Roman" w:cs="Times New Roman"/>
          <w:sz w:val="24"/>
          <w:szCs w:val="24"/>
        </w:rPr>
        <w:t xml:space="preserve">fluído com inspeção do Brasil e cresceu 56% entre 2010 e 2016 (Gomes et. al. 2017). </w:t>
      </w:r>
      <w:r w:rsidR="002E653D">
        <w:rPr>
          <w:rFonts w:ascii="Times New Roman" w:hAnsi="Times New Roman" w:cs="Times New Roman"/>
          <w:sz w:val="24"/>
          <w:szCs w:val="24"/>
        </w:rPr>
        <w:t xml:space="preserve">Com isso, o leite UHT é o produto com maior volatilidade entre os principais derivados, e o que guarda maior relação com o preço do leite ao produtor. </w:t>
      </w:r>
      <w:r w:rsidR="00AF46F8" w:rsidRPr="004143A8">
        <w:rPr>
          <w:rFonts w:ascii="Times New Roman" w:hAnsi="Times New Roman" w:cs="Times New Roman"/>
          <w:sz w:val="24"/>
          <w:szCs w:val="24"/>
        </w:rPr>
        <w:t xml:space="preserve">Além disso, </w:t>
      </w:r>
      <w:r w:rsidR="00091896" w:rsidRPr="004143A8">
        <w:rPr>
          <w:rFonts w:ascii="Times New Roman" w:hAnsi="Times New Roman" w:cs="Times New Roman"/>
          <w:sz w:val="24"/>
          <w:szCs w:val="24"/>
        </w:rPr>
        <w:t xml:space="preserve">o consumo </w:t>
      </w:r>
      <w:r w:rsidR="005B2108" w:rsidRPr="004143A8">
        <w:rPr>
          <w:rFonts w:ascii="Times New Roman" w:hAnsi="Times New Roman" w:cs="Times New Roman"/>
          <w:sz w:val="24"/>
          <w:szCs w:val="24"/>
        </w:rPr>
        <w:t>do leite</w:t>
      </w:r>
      <w:r w:rsidR="00F13B44" w:rsidRPr="004143A8">
        <w:rPr>
          <w:rFonts w:ascii="Times New Roman" w:hAnsi="Times New Roman" w:cs="Times New Roman"/>
          <w:sz w:val="24"/>
          <w:szCs w:val="24"/>
        </w:rPr>
        <w:t xml:space="preserve"> UHT em 2017</w:t>
      </w:r>
      <w:r w:rsidR="00AF46F8" w:rsidRPr="004143A8">
        <w:rPr>
          <w:rFonts w:ascii="Times New Roman" w:hAnsi="Times New Roman" w:cs="Times New Roman"/>
          <w:sz w:val="24"/>
          <w:szCs w:val="24"/>
        </w:rPr>
        <w:t xml:space="preserve"> foi da ordem de sete</w:t>
      </w:r>
      <w:r w:rsidR="00F13B44" w:rsidRPr="004143A8">
        <w:rPr>
          <w:rFonts w:ascii="Times New Roman" w:hAnsi="Times New Roman" w:cs="Times New Roman"/>
          <w:sz w:val="24"/>
          <w:szCs w:val="24"/>
        </w:rPr>
        <w:t xml:space="preserve"> bilhões de litros, o que</w:t>
      </w:r>
      <w:r w:rsidRPr="004143A8">
        <w:rPr>
          <w:rFonts w:ascii="Times New Roman" w:hAnsi="Times New Roman" w:cs="Times New Roman"/>
          <w:sz w:val="24"/>
          <w:szCs w:val="24"/>
        </w:rPr>
        <w:t xml:space="preserve"> </w:t>
      </w:r>
      <w:r w:rsidR="00F13B44" w:rsidRPr="004143A8">
        <w:rPr>
          <w:rFonts w:ascii="Times New Roman" w:hAnsi="Times New Roman" w:cs="Times New Roman"/>
          <w:sz w:val="24"/>
          <w:szCs w:val="24"/>
        </w:rPr>
        <w:t>significa 2,8% superior ou 194 milhões de litros a</w:t>
      </w:r>
      <w:r w:rsidRPr="004143A8">
        <w:rPr>
          <w:rFonts w:ascii="Times New Roman" w:hAnsi="Times New Roman" w:cs="Times New Roman"/>
          <w:sz w:val="24"/>
          <w:szCs w:val="24"/>
        </w:rPr>
        <w:t xml:space="preserve"> </w:t>
      </w:r>
      <w:r w:rsidR="00F13B44" w:rsidRPr="004143A8">
        <w:rPr>
          <w:rFonts w:ascii="Times New Roman" w:hAnsi="Times New Roman" w:cs="Times New Roman"/>
          <w:sz w:val="24"/>
          <w:szCs w:val="24"/>
        </w:rPr>
        <w:t>mais que 2016</w:t>
      </w:r>
      <w:r w:rsidR="00AF46F8" w:rsidRPr="004143A8">
        <w:rPr>
          <w:rFonts w:ascii="Times New Roman" w:hAnsi="Times New Roman" w:cs="Times New Roman"/>
          <w:sz w:val="24"/>
          <w:szCs w:val="24"/>
        </w:rPr>
        <w:t>. Alguns fatores explicam esses números: maior prazo de validade, não há necessidade de refrigeração, incentivo a produção em locais distantes dos centros consumidores pressionando os preços para baixo devido a concorrência entre as empresas atuantes.</w:t>
      </w:r>
    </w:p>
    <w:p w:rsidR="00136BB5" w:rsidRDefault="001E2AFE" w:rsidP="00136BB5">
      <w:pPr>
        <w:pStyle w:val="PargrafodaLista"/>
        <w:spacing w:line="240" w:lineRule="auto"/>
        <w:ind w:firstLine="696"/>
        <w:jc w:val="both"/>
        <w:rPr>
          <w:rFonts w:ascii="Times New Roman" w:hAnsi="Times New Roman" w:cs="Times New Roman"/>
          <w:sz w:val="24"/>
          <w:szCs w:val="24"/>
        </w:rPr>
      </w:pPr>
      <w:r>
        <w:rPr>
          <w:rFonts w:ascii="Times New Roman" w:hAnsi="Times New Roman" w:cs="Times New Roman"/>
          <w:sz w:val="24"/>
          <w:szCs w:val="24"/>
        </w:rPr>
        <w:t xml:space="preserve">Diante desse contexto, o presente trabalho tem como objetivo geral medir a volatilidade de transmissão e a formação espacial de preços nos </w:t>
      </w:r>
      <w:r w:rsidR="00036E68">
        <w:rPr>
          <w:rFonts w:ascii="Times New Roman" w:hAnsi="Times New Roman" w:cs="Times New Roman"/>
          <w:sz w:val="24"/>
          <w:szCs w:val="24"/>
        </w:rPr>
        <w:t>principais</w:t>
      </w:r>
      <w:r>
        <w:rPr>
          <w:rFonts w:ascii="Times New Roman" w:hAnsi="Times New Roman" w:cs="Times New Roman"/>
          <w:sz w:val="24"/>
          <w:szCs w:val="24"/>
        </w:rPr>
        <w:t xml:space="preserve"> estados produtores (Minas Gerais, Rio Grande do Sul, Paraná, Goiás e São Paulo), no período de 2007</w:t>
      </w:r>
      <w:r w:rsidR="00036E68">
        <w:rPr>
          <w:rFonts w:ascii="Times New Roman" w:hAnsi="Times New Roman" w:cs="Times New Roman"/>
          <w:sz w:val="24"/>
          <w:szCs w:val="24"/>
        </w:rPr>
        <w:t xml:space="preserve"> a 2018. Especificamente, este trabalho busca também analisar as volatilidades de preços dentro da cadeia produtiva, entre o preço pago ao produtor, preço do leite UHT no atacado e por último, preço ao consumidor final. Desta forma será possível identificar a configuração da integração entre os diferentes elos da cadeia</w:t>
      </w:r>
      <w:r w:rsidR="00A76CB8">
        <w:rPr>
          <w:rFonts w:ascii="Times New Roman" w:hAnsi="Times New Roman" w:cs="Times New Roman"/>
          <w:sz w:val="24"/>
          <w:szCs w:val="24"/>
        </w:rPr>
        <w:t xml:space="preserve"> nos estados selecionados.</w:t>
      </w:r>
    </w:p>
    <w:p w:rsidR="00036E68" w:rsidRDefault="00036E68" w:rsidP="00136BB5">
      <w:pPr>
        <w:pStyle w:val="PargrafodaLista"/>
        <w:spacing w:line="240" w:lineRule="auto"/>
        <w:ind w:firstLine="696"/>
        <w:jc w:val="both"/>
        <w:rPr>
          <w:rFonts w:ascii="Times New Roman" w:hAnsi="Times New Roman" w:cs="Times New Roman"/>
          <w:sz w:val="24"/>
          <w:szCs w:val="24"/>
        </w:rPr>
      </w:pPr>
    </w:p>
    <w:p w:rsidR="005840AF" w:rsidRPr="002C25EC" w:rsidRDefault="00CA0F39" w:rsidP="00EB05F4">
      <w:pPr>
        <w:pStyle w:val="PargrafodaLista"/>
        <w:numPr>
          <w:ilvl w:val="0"/>
          <w:numId w:val="1"/>
        </w:numPr>
        <w:spacing w:line="240" w:lineRule="auto"/>
        <w:jc w:val="both"/>
        <w:rPr>
          <w:rFonts w:ascii="Times New Roman" w:hAnsi="Times New Roman" w:cs="Times New Roman"/>
          <w:b/>
          <w:sz w:val="24"/>
          <w:szCs w:val="24"/>
        </w:rPr>
      </w:pPr>
      <w:r w:rsidRPr="002C25EC">
        <w:rPr>
          <w:rFonts w:ascii="Times New Roman" w:hAnsi="Times New Roman" w:cs="Times New Roman"/>
          <w:b/>
          <w:sz w:val="24"/>
          <w:szCs w:val="24"/>
        </w:rPr>
        <w:t>Fundamentação teórica</w:t>
      </w:r>
    </w:p>
    <w:p w:rsidR="008648A3" w:rsidRDefault="00CA0F39" w:rsidP="008973AC">
      <w:pPr>
        <w:spacing w:after="0" w:line="240" w:lineRule="auto"/>
        <w:ind w:left="708" w:firstLine="708"/>
        <w:jc w:val="both"/>
        <w:rPr>
          <w:rFonts w:ascii="Times New Roman" w:hAnsi="Times New Roman" w:cs="Times New Roman"/>
          <w:sz w:val="24"/>
          <w:szCs w:val="24"/>
        </w:rPr>
      </w:pPr>
      <w:r w:rsidRPr="00CA0F39">
        <w:rPr>
          <w:rFonts w:ascii="Times New Roman" w:hAnsi="Times New Roman" w:cs="Times New Roman"/>
          <w:sz w:val="24"/>
          <w:szCs w:val="24"/>
        </w:rPr>
        <w:t xml:space="preserve">Conforme dito anteriormente, os principais mercados </w:t>
      </w:r>
      <w:r w:rsidR="002C25EC">
        <w:rPr>
          <w:rFonts w:ascii="Times New Roman" w:hAnsi="Times New Roman" w:cs="Times New Roman"/>
          <w:sz w:val="24"/>
          <w:szCs w:val="24"/>
        </w:rPr>
        <w:t xml:space="preserve">de leite </w:t>
      </w:r>
      <w:r w:rsidRPr="00CA0F39">
        <w:rPr>
          <w:rFonts w:ascii="Times New Roman" w:hAnsi="Times New Roman" w:cs="Times New Roman"/>
          <w:sz w:val="24"/>
          <w:szCs w:val="24"/>
        </w:rPr>
        <w:t>(produção, atacado e varejo) no Brasil são</w:t>
      </w:r>
      <w:r>
        <w:rPr>
          <w:rFonts w:ascii="Times New Roman" w:hAnsi="Times New Roman" w:cs="Times New Roman"/>
          <w:sz w:val="24"/>
          <w:szCs w:val="24"/>
        </w:rPr>
        <w:t xml:space="preserve"> bem integrados.</w:t>
      </w:r>
      <w:r w:rsidR="002C25EC">
        <w:rPr>
          <w:rFonts w:ascii="Times New Roman" w:hAnsi="Times New Roman" w:cs="Times New Roman"/>
          <w:sz w:val="24"/>
          <w:szCs w:val="24"/>
        </w:rPr>
        <w:t xml:space="preserve"> De acordo com Faclker e Goodwin (2001) </w:t>
      </w:r>
      <w:r w:rsidR="002C25EC" w:rsidRPr="002C25EC">
        <w:rPr>
          <w:rFonts w:ascii="Times New Roman" w:hAnsi="Times New Roman" w:cs="Times New Roman"/>
          <w:i/>
          <w:sz w:val="24"/>
          <w:szCs w:val="24"/>
        </w:rPr>
        <w:t>apud</w:t>
      </w:r>
      <w:r w:rsidR="002C25EC">
        <w:rPr>
          <w:rFonts w:ascii="Times New Roman" w:hAnsi="Times New Roman" w:cs="Times New Roman"/>
          <w:sz w:val="24"/>
          <w:szCs w:val="24"/>
        </w:rPr>
        <w:t xml:space="preserve"> Fernandes et. al (2010), a integração de mercados consiste na interdependência de preços em diferentes regiões ao longo do tempo. O fato de compartilharem informações de longo prazo semelhantes faz com que os preços de um mercado integrado sofram influências não somente das condições locais de oferta e demanda, como também das condições das demais localidades.</w:t>
      </w:r>
      <w:r w:rsidR="008973AC">
        <w:rPr>
          <w:rFonts w:ascii="Times New Roman" w:hAnsi="Times New Roman" w:cs="Times New Roman"/>
          <w:sz w:val="24"/>
          <w:szCs w:val="24"/>
        </w:rPr>
        <w:t xml:space="preserve"> </w:t>
      </w:r>
      <w:r w:rsidR="003C2820">
        <w:rPr>
          <w:rFonts w:ascii="Times New Roman" w:hAnsi="Times New Roman" w:cs="Times New Roman"/>
          <w:sz w:val="24"/>
          <w:szCs w:val="24"/>
        </w:rPr>
        <w:t xml:space="preserve">Dessa forma, </w:t>
      </w:r>
      <w:r w:rsidR="008648A3">
        <w:rPr>
          <w:rFonts w:ascii="Times New Roman" w:hAnsi="Times New Roman" w:cs="Times New Roman"/>
          <w:sz w:val="24"/>
          <w:szCs w:val="24"/>
        </w:rPr>
        <w:t>a análise de transmissão de preços entre os diferentes segmentos dentro da cadeia produtiva do leite fornece informações relevantes sobre a dinâmica do mercado. Melo et. al. (2018) afirmam que o</w:t>
      </w:r>
      <w:r w:rsidR="008648A3" w:rsidRPr="008648A3">
        <w:rPr>
          <w:rFonts w:ascii="Times New Roman" w:hAnsi="Times New Roman" w:cs="Times New Roman"/>
          <w:sz w:val="24"/>
          <w:szCs w:val="24"/>
        </w:rPr>
        <w:t xml:space="preserve"> preço é ainda um mecanismo que promove a união em vários mercados, através da dinâmica que permite obter informações de grande relevância e compreender como o mercado se comporta.</w:t>
      </w:r>
    </w:p>
    <w:p w:rsidR="00A86BF4" w:rsidRDefault="0046509F" w:rsidP="008973AC">
      <w:pPr>
        <w:spacing w:after="0" w:line="240" w:lineRule="auto"/>
        <w:ind w:left="708" w:firstLine="708"/>
        <w:jc w:val="both"/>
        <w:rPr>
          <w:rFonts w:ascii="Times New Roman" w:hAnsi="Times New Roman" w:cs="Times New Roman"/>
          <w:sz w:val="24"/>
          <w:szCs w:val="24"/>
        </w:rPr>
      </w:pPr>
      <w:r>
        <w:rPr>
          <w:rFonts w:ascii="Times New Roman" w:hAnsi="Times New Roman" w:cs="Times New Roman"/>
          <w:sz w:val="24"/>
          <w:szCs w:val="24"/>
        </w:rPr>
        <w:t>Vários trabalhos encontrados na literatura utilizam a Lei do Preço Único (LPU) para explicar a integração dos mercados. Dessa forma, Medeiros et. al. (2017) afirmam que n</w:t>
      </w:r>
      <w:r w:rsidRPr="0046509F">
        <w:rPr>
          <w:rFonts w:ascii="Times New Roman" w:hAnsi="Times New Roman" w:cs="Times New Roman"/>
          <w:sz w:val="24"/>
          <w:szCs w:val="24"/>
        </w:rPr>
        <w:t>a integração do mercado, os</w:t>
      </w:r>
      <w:r>
        <w:rPr>
          <w:rFonts w:ascii="Times New Roman" w:hAnsi="Times New Roman" w:cs="Times New Roman"/>
          <w:sz w:val="24"/>
          <w:szCs w:val="24"/>
        </w:rPr>
        <w:t xml:space="preserve"> </w:t>
      </w:r>
      <w:r w:rsidRPr="0046509F">
        <w:rPr>
          <w:rFonts w:ascii="Times New Roman" w:hAnsi="Times New Roman" w:cs="Times New Roman"/>
          <w:sz w:val="24"/>
          <w:szCs w:val="24"/>
        </w:rPr>
        <w:t>choques da demanda e da oferta de uma região são transmitidos para outra,</w:t>
      </w:r>
      <w:r>
        <w:rPr>
          <w:rFonts w:ascii="Times New Roman" w:hAnsi="Times New Roman" w:cs="Times New Roman"/>
          <w:sz w:val="24"/>
          <w:szCs w:val="24"/>
        </w:rPr>
        <w:t xml:space="preserve"> </w:t>
      </w:r>
      <w:r w:rsidRPr="0046509F">
        <w:rPr>
          <w:rFonts w:ascii="Times New Roman" w:hAnsi="Times New Roman" w:cs="Times New Roman"/>
          <w:sz w:val="24"/>
          <w:szCs w:val="24"/>
        </w:rPr>
        <w:t>contudo, não de forma homogênea. Assim, se os choques em uma região</w:t>
      </w:r>
      <w:r>
        <w:rPr>
          <w:rFonts w:ascii="Times New Roman" w:hAnsi="Times New Roman" w:cs="Times New Roman"/>
          <w:sz w:val="24"/>
          <w:szCs w:val="24"/>
        </w:rPr>
        <w:t xml:space="preserve"> </w:t>
      </w:r>
      <w:r w:rsidRPr="0046509F">
        <w:rPr>
          <w:rFonts w:ascii="Times New Roman" w:hAnsi="Times New Roman" w:cs="Times New Roman"/>
          <w:sz w:val="24"/>
          <w:szCs w:val="24"/>
        </w:rPr>
        <w:t>forem transmitidos de forma integral a outros mercados, tem-se integração</w:t>
      </w:r>
      <w:r>
        <w:rPr>
          <w:rFonts w:ascii="Times New Roman" w:hAnsi="Times New Roman" w:cs="Times New Roman"/>
          <w:sz w:val="24"/>
          <w:szCs w:val="24"/>
        </w:rPr>
        <w:t xml:space="preserve"> </w:t>
      </w:r>
      <w:r w:rsidRPr="0046509F">
        <w:rPr>
          <w:rFonts w:ascii="Times New Roman" w:hAnsi="Times New Roman" w:cs="Times New Roman"/>
          <w:sz w:val="24"/>
          <w:szCs w:val="24"/>
        </w:rPr>
        <w:t>perfeita. Quando do contrário, conclui-se a favor da interdependência</w:t>
      </w:r>
      <w:r>
        <w:rPr>
          <w:rFonts w:ascii="Times New Roman" w:hAnsi="Times New Roman" w:cs="Times New Roman"/>
          <w:sz w:val="24"/>
          <w:szCs w:val="24"/>
        </w:rPr>
        <w:t xml:space="preserve"> </w:t>
      </w:r>
      <w:r w:rsidRPr="0046509F">
        <w:rPr>
          <w:rFonts w:ascii="Times New Roman" w:hAnsi="Times New Roman" w:cs="Times New Roman"/>
          <w:sz w:val="24"/>
          <w:szCs w:val="24"/>
        </w:rPr>
        <w:t xml:space="preserve">dos preços. </w:t>
      </w:r>
      <w:r w:rsidR="003B56F9">
        <w:rPr>
          <w:rFonts w:ascii="Times New Roman" w:hAnsi="Times New Roman" w:cs="Times New Roman"/>
          <w:sz w:val="24"/>
          <w:szCs w:val="24"/>
        </w:rPr>
        <w:t xml:space="preserve">A </w:t>
      </w:r>
      <w:r w:rsidR="004F48F2">
        <w:rPr>
          <w:rFonts w:ascii="Times New Roman" w:hAnsi="Times New Roman" w:cs="Times New Roman"/>
          <w:sz w:val="24"/>
          <w:szCs w:val="24"/>
        </w:rPr>
        <w:t>lei do preço único afirma que, em mercados concorrentes, livres de custos e transporte e barreiras oficiais de comércio, bens idênticos devem ser vendidos pelo mesmo preço quando são expressos na mesma moeda (Krugman e Obstfeld, 201</w:t>
      </w:r>
      <w:r w:rsidR="00F37764">
        <w:rPr>
          <w:rFonts w:ascii="Times New Roman" w:hAnsi="Times New Roman" w:cs="Times New Roman"/>
          <w:sz w:val="24"/>
          <w:szCs w:val="24"/>
        </w:rPr>
        <w:t>5</w:t>
      </w:r>
      <w:r w:rsidR="004F48F2">
        <w:rPr>
          <w:rFonts w:ascii="Times New Roman" w:hAnsi="Times New Roman" w:cs="Times New Roman"/>
          <w:sz w:val="24"/>
          <w:szCs w:val="24"/>
        </w:rPr>
        <w:t xml:space="preserve">). </w:t>
      </w:r>
      <w:r w:rsidR="00A86BF4">
        <w:rPr>
          <w:rFonts w:ascii="Times New Roman" w:hAnsi="Times New Roman" w:cs="Times New Roman"/>
          <w:sz w:val="24"/>
          <w:szCs w:val="24"/>
        </w:rPr>
        <w:t>Caso haja arbitragem, há possibilidade de comércio entre regiões pertencentes a um mesmo país.</w:t>
      </w:r>
      <w:r w:rsidR="00153CBD">
        <w:rPr>
          <w:rFonts w:ascii="Times New Roman" w:hAnsi="Times New Roman" w:cs="Times New Roman"/>
          <w:sz w:val="24"/>
          <w:szCs w:val="24"/>
        </w:rPr>
        <w:t xml:space="preserve"> Ou seja, se um bem é vendido em uma região a um preço inferior ao de outra região, é possível obter ganho comprando-se o bem na primeira região e vendendo-o na segunda. </w:t>
      </w:r>
    </w:p>
    <w:p w:rsidR="00153CBD" w:rsidRDefault="00E72CA9" w:rsidP="00153CBD">
      <w:pPr>
        <w:spacing w:after="0" w:line="240" w:lineRule="auto"/>
        <w:ind w:left="708" w:firstLine="708"/>
        <w:jc w:val="both"/>
        <w:rPr>
          <w:rFonts w:ascii="Times New Roman" w:hAnsi="Times New Roman" w:cs="Times New Roman"/>
          <w:sz w:val="24"/>
          <w:szCs w:val="24"/>
        </w:rPr>
      </w:pPr>
      <w:r>
        <w:rPr>
          <w:rFonts w:ascii="Times New Roman" w:hAnsi="Times New Roman" w:cs="Times New Roman"/>
          <w:sz w:val="24"/>
          <w:szCs w:val="24"/>
        </w:rPr>
        <w:t>A violação da LPU pode ocorrer pela existência de distorções ocasionadas pela estrutura de transportes, políticas governamentais (tarifas, crédito, controle de preços, etc.) e choques de oferta. Esses fatos também impedem a integração entre os mercados levando a distorções na formação dos preços dentro de cada mercado.</w:t>
      </w:r>
    </w:p>
    <w:p w:rsidR="00435405" w:rsidRDefault="00435405" w:rsidP="00153CBD">
      <w:pPr>
        <w:spacing w:after="0" w:line="240" w:lineRule="auto"/>
        <w:ind w:left="708" w:firstLine="708"/>
        <w:jc w:val="both"/>
        <w:rPr>
          <w:rFonts w:ascii="Times New Roman" w:hAnsi="Times New Roman" w:cs="Times New Roman"/>
          <w:sz w:val="24"/>
          <w:szCs w:val="24"/>
        </w:rPr>
      </w:pPr>
    </w:p>
    <w:p w:rsidR="00153CBD" w:rsidRDefault="00E72CA9" w:rsidP="00E72CA9">
      <w:pPr>
        <w:pStyle w:val="PargrafodaLista"/>
        <w:numPr>
          <w:ilvl w:val="0"/>
          <w:numId w:val="1"/>
        </w:numPr>
        <w:spacing w:after="0" w:line="240" w:lineRule="auto"/>
        <w:jc w:val="both"/>
        <w:rPr>
          <w:rFonts w:ascii="Times New Roman" w:hAnsi="Times New Roman" w:cs="Times New Roman"/>
          <w:b/>
          <w:sz w:val="24"/>
          <w:szCs w:val="24"/>
        </w:rPr>
      </w:pPr>
      <w:r w:rsidRPr="00E72CA9">
        <w:rPr>
          <w:rFonts w:ascii="Times New Roman" w:hAnsi="Times New Roman" w:cs="Times New Roman"/>
          <w:b/>
          <w:sz w:val="24"/>
          <w:szCs w:val="24"/>
        </w:rPr>
        <w:t>Metodologia</w:t>
      </w:r>
    </w:p>
    <w:p w:rsidR="00E72CA9" w:rsidRDefault="00E72CA9" w:rsidP="00E72CA9">
      <w:pPr>
        <w:pStyle w:val="PargrafodaLista"/>
        <w:spacing w:after="0" w:line="240" w:lineRule="auto"/>
        <w:jc w:val="both"/>
        <w:rPr>
          <w:rFonts w:ascii="Times New Roman" w:hAnsi="Times New Roman" w:cs="Times New Roman"/>
          <w:b/>
          <w:sz w:val="24"/>
          <w:szCs w:val="24"/>
        </w:rPr>
      </w:pPr>
    </w:p>
    <w:p w:rsidR="00697DC6" w:rsidRDefault="00697DC6" w:rsidP="00BD7907">
      <w:pPr>
        <w:spacing w:after="0" w:line="240" w:lineRule="auto"/>
        <w:ind w:left="709" w:firstLine="708"/>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A transmisssão de preços </w:t>
      </w:r>
      <w:r w:rsidR="008973AC">
        <w:rPr>
          <w:rFonts w:ascii="Times New Roman" w:hAnsi="Times New Roman" w:cs="Times New Roman"/>
          <w:noProof/>
          <w:sz w:val="24"/>
          <w:szCs w:val="24"/>
          <w:lang w:eastAsia="pt-BR"/>
        </w:rPr>
        <w:t>entre cad</w:t>
      </w:r>
      <w:r>
        <w:rPr>
          <w:rFonts w:ascii="Times New Roman" w:hAnsi="Times New Roman" w:cs="Times New Roman"/>
          <w:noProof/>
          <w:sz w:val="24"/>
          <w:szCs w:val="24"/>
          <w:lang w:eastAsia="pt-BR"/>
        </w:rPr>
        <w:t>a mercado (preços pagos ao produtor, atacado e vare</w:t>
      </w:r>
      <w:r w:rsidR="008973AC">
        <w:rPr>
          <w:rFonts w:ascii="Times New Roman" w:hAnsi="Times New Roman" w:cs="Times New Roman"/>
          <w:noProof/>
          <w:sz w:val="24"/>
          <w:szCs w:val="24"/>
          <w:lang w:eastAsia="pt-BR"/>
        </w:rPr>
        <w:t>jo) foram analisadas por meio d</w:t>
      </w:r>
      <w:r w:rsidR="00BD7907">
        <w:rPr>
          <w:rFonts w:ascii="Times New Roman" w:hAnsi="Times New Roman" w:cs="Times New Roman"/>
          <w:noProof/>
          <w:sz w:val="24"/>
          <w:szCs w:val="24"/>
          <w:lang w:eastAsia="pt-BR"/>
        </w:rPr>
        <w:t>e</w:t>
      </w:r>
      <w:r w:rsidR="008973AC">
        <w:rPr>
          <w:rFonts w:ascii="Times New Roman" w:hAnsi="Times New Roman" w:cs="Times New Roman"/>
          <w:noProof/>
          <w:sz w:val="24"/>
          <w:szCs w:val="24"/>
          <w:lang w:eastAsia="pt-BR"/>
        </w:rPr>
        <w:t xml:space="preserve"> modelo VAR que pode ser utilizado para computar os</w:t>
      </w:r>
      <w:r w:rsidR="00BD7907">
        <w:rPr>
          <w:rFonts w:ascii="Times New Roman" w:hAnsi="Times New Roman" w:cs="Times New Roman"/>
          <w:noProof/>
          <w:sz w:val="24"/>
          <w:szCs w:val="24"/>
          <w:lang w:eastAsia="pt-BR"/>
        </w:rPr>
        <w:t xml:space="preserve"> efeitos</w:t>
      </w:r>
      <w:r w:rsidR="008973AC">
        <w:rPr>
          <w:rFonts w:ascii="Times New Roman" w:hAnsi="Times New Roman" w:cs="Times New Roman"/>
          <w:noProof/>
          <w:sz w:val="24"/>
          <w:szCs w:val="24"/>
          <w:lang w:eastAsia="pt-BR"/>
        </w:rPr>
        <w:t xml:space="preserve"> </w:t>
      </w:r>
      <w:r w:rsidR="008973AC" w:rsidRPr="008973AC">
        <w:rPr>
          <w:rFonts w:ascii="Times New Roman" w:hAnsi="Times New Roman" w:cs="Times New Roman"/>
          <w:i/>
          <w:noProof/>
          <w:sz w:val="24"/>
          <w:szCs w:val="24"/>
          <w:lang w:eastAsia="pt-BR"/>
        </w:rPr>
        <w:lastRenderedPageBreak/>
        <w:t>spillovers</w:t>
      </w:r>
      <w:r w:rsidR="008973AC">
        <w:rPr>
          <w:rFonts w:ascii="Times New Roman" w:hAnsi="Times New Roman" w:cs="Times New Roman"/>
          <w:noProof/>
          <w:sz w:val="24"/>
          <w:szCs w:val="24"/>
          <w:lang w:eastAsia="pt-BR"/>
        </w:rPr>
        <w:t xml:space="preserve"> (efeitos colaterais)</w:t>
      </w:r>
      <w:r w:rsidR="00BD7907">
        <w:rPr>
          <w:rFonts w:ascii="Times New Roman" w:hAnsi="Times New Roman" w:cs="Times New Roman"/>
          <w:noProof/>
          <w:sz w:val="24"/>
          <w:szCs w:val="24"/>
          <w:lang w:eastAsia="pt-BR"/>
        </w:rPr>
        <w:t xml:space="preserve"> ou de conectivadde </w:t>
      </w:r>
      <w:r w:rsidRPr="006A25B6">
        <w:rPr>
          <w:rFonts w:ascii="Times New Roman" w:hAnsi="Times New Roman" w:cs="Times New Roman"/>
          <w:noProof/>
          <w:sz w:val="24"/>
          <w:szCs w:val="24"/>
          <w:lang w:eastAsia="pt-BR"/>
        </w:rPr>
        <w:t>originalmente desenvolvido em Diebold e Yilmaz (2009), Diebold e Yilmaz (2012) e Diebold e Yilmaz (2014).</w:t>
      </w:r>
    </w:p>
    <w:p w:rsidR="00BD7907" w:rsidRDefault="00BD7907" w:rsidP="00BD7907">
      <w:pPr>
        <w:spacing w:after="0" w:line="240" w:lineRule="auto"/>
        <w:ind w:left="709" w:firstLine="708"/>
        <w:jc w:val="both"/>
        <w:rPr>
          <w:rFonts w:ascii="Times New Roman" w:eastAsiaTheme="minorEastAsia" w:hAnsi="Times New Roman" w:cs="Times New Roman"/>
          <w:noProof/>
          <w:sz w:val="24"/>
          <w:szCs w:val="24"/>
          <w:lang w:eastAsia="pt-BR"/>
        </w:rPr>
      </w:pPr>
      <w:r>
        <w:rPr>
          <w:rFonts w:ascii="Times New Roman" w:hAnsi="Times New Roman" w:cs="Times New Roman"/>
          <w:noProof/>
          <w:sz w:val="24"/>
          <w:szCs w:val="24"/>
          <w:lang w:eastAsia="pt-BR"/>
        </w:rPr>
        <w:t xml:space="preserve">Considerando </w:t>
      </w:r>
      <m:oMath>
        <m:sSub>
          <m:sSubPr>
            <m:ctrlPr>
              <w:rPr>
                <w:rFonts w:ascii="Cambria Math" w:hAnsi="Cambria Math" w:cs="Times New Roman"/>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t</m:t>
            </m:r>
          </m:sub>
        </m:sSub>
      </m:oMath>
      <w:r>
        <w:rPr>
          <w:rFonts w:ascii="Times New Roman" w:eastAsiaTheme="minorEastAsia" w:hAnsi="Times New Roman" w:cs="Times New Roman"/>
          <w:noProof/>
          <w:sz w:val="24"/>
          <w:szCs w:val="24"/>
          <w:lang w:eastAsia="pt-BR"/>
        </w:rPr>
        <w:t xml:space="preserve"> um vetor coluna de </w:t>
      </w:r>
      <m:oMath>
        <m:r>
          <w:rPr>
            <w:rFonts w:ascii="Cambria Math" w:eastAsiaTheme="minorEastAsia" w:hAnsi="Cambria Math" w:cs="Times New Roman"/>
            <w:noProof/>
            <w:sz w:val="24"/>
            <w:szCs w:val="24"/>
            <w:lang w:eastAsia="pt-BR"/>
          </w:rPr>
          <m:t>n</m:t>
        </m:r>
      </m:oMath>
      <w:r>
        <w:t xml:space="preserve"> </w:t>
      </w:r>
      <w:r>
        <w:rPr>
          <w:rFonts w:ascii="Times New Roman" w:eastAsiaTheme="minorEastAsia" w:hAnsi="Times New Roman" w:cs="Times New Roman"/>
          <w:noProof/>
          <w:sz w:val="24"/>
          <w:szCs w:val="24"/>
          <w:lang w:eastAsia="pt-BR"/>
        </w:rPr>
        <w:t xml:space="preserve">variáveis que incorpora informações sobre os retornos dos preços do leite nos mercados especificos, podemos escrever a forma reduzida do modelo VAR com </w:t>
      </w:r>
      <m:oMath>
        <m:r>
          <w:rPr>
            <w:rFonts w:ascii="Cambria Math" w:eastAsiaTheme="minorEastAsia" w:hAnsi="Cambria Math" w:cs="Times New Roman"/>
            <w:noProof/>
            <w:sz w:val="24"/>
            <w:szCs w:val="24"/>
            <w:lang w:eastAsia="pt-BR"/>
          </w:rPr>
          <m:t>p</m:t>
        </m:r>
      </m:oMath>
      <w:r>
        <w:rPr>
          <w:rFonts w:ascii="Times New Roman" w:eastAsiaTheme="minorEastAsia" w:hAnsi="Times New Roman" w:cs="Times New Roman"/>
          <w:noProof/>
          <w:sz w:val="24"/>
          <w:szCs w:val="24"/>
          <w:lang w:eastAsia="pt-BR"/>
        </w:rPr>
        <w:t xml:space="preserve"> desfasagens na seguiente forma:</w:t>
      </w:r>
    </w:p>
    <w:p w:rsidR="00BD7907" w:rsidRPr="00E31308" w:rsidRDefault="00BD7907" w:rsidP="00BD7907">
      <w:pPr>
        <w:pStyle w:val="MTDisplayEquation"/>
        <w:tabs>
          <w:tab w:val="clear" w:pos="4240"/>
          <w:tab w:val="clear" w:pos="8500"/>
          <w:tab w:val="center" w:pos="5670"/>
          <w:tab w:val="right" w:pos="10204"/>
        </w:tabs>
        <w:spacing w:before="120" w:after="120" w:line="240" w:lineRule="auto"/>
        <w:ind w:left="709"/>
        <w:rPr>
          <w:rFonts w:ascii="Euclid" w:hAnsi="Euclid"/>
        </w:rPr>
      </w:pPr>
      <w:r w:rsidRPr="00EF3B05">
        <w:rPr>
          <w:rFonts w:ascii="Euclid" w:hAnsi="Euclid"/>
          <w:lang w:val="pt-BR"/>
        </w:rPr>
        <w:tab/>
      </w:r>
      <m:oMath>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t</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ϕ</m:t>
            </m:r>
          </m:e>
          <m:sub>
            <m:r>
              <w:rPr>
                <w:rFonts w:ascii="Cambria Math" w:hAnsi="Cambria Math"/>
                <w:lang w:val="pt-BR"/>
              </w:rPr>
              <m:t>0</m:t>
            </m:r>
          </m:sub>
        </m:sSub>
        <m:r>
          <w:rPr>
            <w:rFonts w:ascii="Cambria Math" w:hAnsi="Cambria Math"/>
            <w:lang w:val="pt-BR"/>
          </w:rPr>
          <m:t>+</m:t>
        </m:r>
        <m:nary>
          <m:naryPr>
            <m:chr m:val="∑"/>
            <m:limLoc m:val="undOvr"/>
            <m:grow m:val="1"/>
            <m:ctrlPr>
              <w:rPr>
                <w:rFonts w:ascii="Cambria Math" w:hAnsi="Cambria Math"/>
                <w:lang w:val="pt-BR"/>
              </w:rPr>
            </m:ctrlPr>
          </m:naryPr>
          <m:sub>
            <m:r>
              <w:rPr>
                <w:rFonts w:ascii="Cambria Math" w:hAnsi="Cambria Math"/>
                <w:lang w:val="pt-BR"/>
              </w:rPr>
              <m:t>s=1</m:t>
            </m:r>
          </m:sub>
          <m:sup>
            <m:r>
              <w:rPr>
                <w:rFonts w:ascii="Cambria Math" w:hAnsi="Cambria Math"/>
                <w:lang w:val="pt-BR"/>
              </w:rPr>
              <m:t>p</m:t>
            </m:r>
          </m:sup>
          <m:e>
            <m:sSub>
              <m:sSubPr>
                <m:ctrlPr>
                  <w:rPr>
                    <w:rFonts w:ascii="Cambria Math" w:hAnsi="Cambria Math"/>
                    <w:lang w:val="pt-BR"/>
                  </w:rPr>
                </m:ctrlPr>
              </m:sSubPr>
              <m:e>
                <m:r>
                  <w:rPr>
                    <w:rFonts w:ascii="Cambria Math" w:hAnsi="Cambria Math"/>
                    <w:lang w:val="pt-BR"/>
                  </w:rPr>
                  <m:t>ϕ</m:t>
                </m:r>
              </m:e>
              <m:sub>
                <m:r>
                  <w:rPr>
                    <w:rFonts w:ascii="Cambria Math" w:hAnsi="Cambria Math"/>
                    <w:lang w:val="pt-BR"/>
                  </w:rPr>
                  <m:t>s</m:t>
                </m:r>
              </m:sub>
            </m:sSub>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ε</m:t>
                </m:r>
              </m:e>
              <m:sub>
                <m:r>
                  <w:rPr>
                    <w:rFonts w:ascii="Cambria Math" w:hAnsi="Cambria Math"/>
                    <w:lang w:val="pt-BR"/>
                  </w:rPr>
                  <m:t>t</m:t>
                </m:r>
              </m:sub>
            </m:sSub>
          </m:e>
        </m:nary>
      </m:oMath>
      <w:r w:rsidRPr="00E31308">
        <w:rPr>
          <w:rFonts w:ascii="Euclid" w:hAnsi="Euclid"/>
          <w:lang w:val="pt-BR"/>
        </w:rPr>
        <w:t>,</w:t>
      </w:r>
      <w:r w:rsidRPr="00E31308">
        <w:rPr>
          <w:rFonts w:ascii="Euclid" w:hAnsi="Euclid"/>
          <w:lang w:val="pt-BR"/>
        </w:rPr>
        <w:tab/>
      </w:r>
      <w:r w:rsidRPr="00BD7907">
        <w:rPr>
          <w:rFonts w:ascii="Times New Roman" w:hAnsi="Times New Roman"/>
          <w:sz w:val="24"/>
          <w:szCs w:val="24"/>
          <w:lang w:val="pt-BR"/>
        </w:rPr>
        <w:t>(1)</w:t>
      </w:r>
    </w:p>
    <w:p w:rsidR="00BD7907" w:rsidRDefault="00BD7907" w:rsidP="00BD7907">
      <w:pPr>
        <w:spacing w:line="240" w:lineRule="auto"/>
        <w:ind w:left="709"/>
        <w:jc w:val="both"/>
        <w:rPr>
          <w:rFonts w:ascii="Times New Roman" w:eastAsiaTheme="minorEastAsia" w:hAnsi="Times New Roman" w:cs="Times New Roman"/>
          <w:noProof/>
          <w:sz w:val="24"/>
          <w:szCs w:val="24"/>
          <w:lang w:eastAsia="pt-BR"/>
        </w:rPr>
      </w:pPr>
      <w:r>
        <w:rPr>
          <w:rFonts w:ascii="Times New Roman" w:hAnsi="Times New Roman" w:cs="Times New Roman"/>
          <w:noProof/>
          <w:sz w:val="24"/>
          <w:szCs w:val="24"/>
          <w:lang w:eastAsia="pt-BR"/>
        </w:rPr>
        <w:t xml:space="preserve">onde </w:t>
      </w:r>
      <m:oMath>
        <m:sSub>
          <m:sSubPr>
            <m:ctrlPr>
              <w:rPr>
                <w:rFonts w:ascii="Cambria Math" w:hAnsi="Cambria Math" w:cs="Times New Roman"/>
                <w:noProof/>
                <w:sz w:val="24"/>
                <w:szCs w:val="24"/>
                <w:lang w:eastAsia="pt-BR"/>
              </w:rPr>
            </m:ctrlPr>
          </m:sSubPr>
          <m:e>
            <m:r>
              <w:rPr>
                <w:rFonts w:ascii="Cambria Math" w:hAnsi="Cambria Math" w:cs="Times New Roman"/>
                <w:noProof/>
                <w:sz w:val="24"/>
                <w:szCs w:val="24"/>
                <w:lang w:eastAsia="pt-BR"/>
              </w:rPr>
              <m:t>ϕ</m:t>
            </m:r>
          </m:e>
          <m:sub>
            <m:r>
              <w:rPr>
                <w:rFonts w:ascii="Cambria Math" w:hAnsi="Cambria Math" w:cs="Times New Roman"/>
                <w:noProof/>
                <w:sz w:val="24"/>
                <w:szCs w:val="24"/>
                <w:lang w:eastAsia="pt-BR"/>
              </w:rPr>
              <m:t>s</m:t>
            </m:r>
          </m:sub>
        </m:sSub>
      </m:oMath>
      <w:r>
        <w:rPr>
          <w:rFonts w:ascii="Times New Roman" w:eastAsiaTheme="minorEastAsia" w:hAnsi="Times New Roman" w:cs="Times New Roman"/>
          <w:noProof/>
          <w:sz w:val="24"/>
          <w:szCs w:val="24"/>
          <w:lang w:eastAsia="pt-BR"/>
        </w:rPr>
        <w:t xml:space="preserve"> é uma matriz de parâmetros </w:t>
      </w:r>
      <m:oMath>
        <m:r>
          <w:rPr>
            <w:rFonts w:ascii="Cambria Math" w:eastAsiaTheme="minorEastAsia" w:hAnsi="Cambria Math" w:cs="Times New Roman"/>
            <w:noProof/>
            <w:sz w:val="24"/>
            <w:szCs w:val="24"/>
            <w:lang w:eastAsia="pt-BR"/>
          </w:rPr>
          <m:t>n×n</m:t>
        </m:r>
      </m:oMath>
      <w:r w:rsidRPr="00EF3B0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∼(0,Σ)</m:t>
        </m:r>
      </m:oMath>
      <w:r>
        <w:rPr>
          <w:rFonts w:ascii="Times New Roman" w:hAnsi="Times New Roman" w:cs="Times New Roman"/>
        </w:rPr>
        <w:t xml:space="preserve"> </w:t>
      </w:r>
      <w:r w:rsidRPr="00AE0400">
        <w:rPr>
          <w:rFonts w:ascii="Times New Roman" w:hAnsi="Times New Roman" w:cs="Times New Roman"/>
          <w:sz w:val="24"/>
          <w:szCs w:val="24"/>
        </w:rPr>
        <w:t>é um vetor coluna dos erros</w:t>
      </w:r>
      <w:r>
        <w:rPr>
          <w:rFonts w:ascii="Times New Roman" w:hAnsi="Times New Roman" w:cs="Times New Roman"/>
        </w:rPr>
        <w:t xml:space="preserve"> </w:t>
      </w:r>
      <w:r w:rsidRPr="00AE0400">
        <w:rPr>
          <w:rFonts w:ascii="Times New Roman" w:hAnsi="Times New Roman" w:cs="Times New Roman"/>
          <w:sz w:val="24"/>
          <w:szCs w:val="24"/>
        </w:rPr>
        <w:t>indepe</w:t>
      </w:r>
      <w:r>
        <w:rPr>
          <w:rFonts w:ascii="Times New Roman" w:hAnsi="Times New Roman" w:cs="Times New Roman"/>
          <w:sz w:val="24"/>
          <w:szCs w:val="24"/>
        </w:rPr>
        <w:t xml:space="preserve">ndentes e identicamente distribuídos com matriz de covariância </w:t>
      </w:r>
      <m:oMath>
        <m:r>
          <w:rPr>
            <w:rFonts w:ascii="Cambria Math" w:hAnsi="Cambria Math" w:cs="Times New Roman"/>
            <w:sz w:val="24"/>
            <w:szCs w:val="24"/>
          </w:rPr>
          <m:t>Σ</m:t>
        </m:r>
      </m:oMath>
      <w:r w:rsidRPr="00EF3B05">
        <w:rPr>
          <w:rFonts w:ascii="Times New Roman" w:hAnsi="Times New Roman" w:cs="Times New Roman"/>
        </w:rPr>
        <w:t>.</w:t>
      </w:r>
      <w:r w:rsidR="00667439">
        <w:rPr>
          <w:rFonts w:ascii="Times New Roman" w:eastAsiaTheme="minorEastAsia" w:hAnsi="Times New Roman" w:cs="Times New Roman"/>
          <w:noProof/>
          <w:sz w:val="24"/>
          <w:szCs w:val="24"/>
          <w:lang w:eastAsia="pt-BR"/>
        </w:rPr>
        <w:t xml:space="preserve"> A dinâ</w:t>
      </w:r>
      <w:r>
        <w:rPr>
          <w:rFonts w:ascii="Times New Roman" w:eastAsiaTheme="minorEastAsia" w:hAnsi="Times New Roman" w:cs="Times New Roman"/>
          <w:noProof/>
          <w:sz w:val="24"/>
          <w:szCs w:val="24"/>
          <w:lang w:eastAsia="pt-BR"/>
        </w:rPr>
        <w:t>mica do sistema refletida na Eq .(1) é dada pela sua representação em média móvel:</w:t>
      </w:r>
    </w:p>
    <w:p w:rsidR="00BD7907" w:rsidRPr="00E31308" w:rsidRDefault="00BD7907" w:rsidP="00BD7907">
      <w:pPr>
        <w:pStyle w:val="MTDisplayEquation"/>
        <w:tabs>
          <w:tab w:val="clear" w:pos="4240"/>
          <w:tab w:val="clear" w:pos="8500"/>
          <w:tab w:val="center" w:pos="5670"/>
          <w:tab w:val="right" w:pos="10204"/>
        </w:tabs>
        <w:spacing w:before="120" w:after="120" w:line="240" w:lineRule="auto"/>
        <w:ind w:left="709"/>
        <w:rPr>
          <w:rFonts w:ascii="Euclid" w:hAnsi="Euclid"/>
        </w:rPr>
      </w:pPr>
      <w:r w:rsidRPr="00EF3B05">
        <w:rPr>
          <w:rFonts w:ascii="Euclid" w:hAnsi="Euclid"/>
          <w:lang w:val="pt-BR"/>
        </w:rPr>
        <w:tab/>
      </w:r>
      <m:oMath>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t</m:t>
            </m:r>
          </m:sub>
        </m:sSub>
        <m:r>
          <w:rPr>
            <w:rFonts w:ascii="Cambria Math" w:hAnsi="Cambria Math"/>
            <w:lang w:val="pt-BR"/>
          </w:rPr>
          <m:t>=v+</m:t>
        </m:r>
        <m:nary>
          <m:naryPr>
            <m:chr m:val="∑"/>
            <m:limLoc m:val="undOvr"/>
            <m:grow m:val="1"/>
            <m:ctrlPr>
              <w:rPr>
                <w:rFonts w:ascii="Cambria Math" w:hAnsi="Cambria Math"/>
                <w:lang w:val="pt-BR"/>
              </w:rPr>
            </m:ctrlPr>
          </m:naryPr>
          <m:sub>
            <m:r>
              <w:rPr>
                <w:rFonts w:ascii="Cambria Math" w:hAnsi="Cambria Math"/>
                <w:lang w:val="pt-BR"/>
              </w:rPr>
              <m:t>j=1</m:t>
            </m:r>
          </m:sub>
          <m:sup>
            <m:r>
              <w:rPr>
                <w:rFonts w:ascii="Cambria Math" w:hAnsi="Cambria Math"/>
                <w:lang w:val="pt-BR"/>
              </w:rPr>
              <m:t>∞</m:t>
            </m:r>
          </m:sup>
          <m:e>
            <m:sSub>
              <m:sSubPr>
                <m:ctrlPr>
                  <w:rPr>
                    <w:rFonts w:ascii="Cambria Math" w:hAnsi="Cambria Math"/>
                    <w:lang w:val="pt-BR"/>
                  </w:rPr>
                </m:ctrlPr>
              </m:sSubPr>
              <m:e>
                <m:r>
                  <w:rPr>
                    <w:rFonts w:ascii="Cambria Math" w:hAnsi="Cambria Math"/>
                    <w:lang w:val="pt-BR"/>
                  </w:rPr>
                  <m:t>B</m:t>
                </m:r>
              </m:e>
              <m:sub>
                <m:r>
                  <w:rPr>
                    <w:rFonts w:ascii="Cambria Math" w:hAnsi="Cambria Math"/>
                    <w:lang w:val="pt-BR"/>
                  </w:rPr>
                  <m:t>j</m:t>
                </m:r>
              </m:sub>
            </m:sSub>
            <m:sSub>
              <m:sSubPr>
                <m:ctrlPr>
                  <w:rPr>
                    <w:rFonts w:ascii="Cambria Math" w:hAnsi="Cambria Math"/>
                    <w:lang w:val="pt-BR"/>
                  </w:rPr>
                </m:ctrlPr>
              </m:sSubPr>
              <m:e>
                <m:r>
                  <w:rPr>
                    <w:rFonts w:ascii="Cambria Math" w:hAnsi="Cambria Math"/>
                    <w:lang w:val="pt-BR"/>
                  </w:rPr>
                  <m:t>ε</m:t>
                </m:r>
              </m:e>
              <m:sub>
                <m:r>
                  <w:rPr>
                    <w:rFonts w:ascii="Cambria Math" w:hAnsi="Cambria Math"/>
                    <w:lang w:val="pt-BR"/>
                  </w:rPr>
                  <m:t>t-j</m:t>
                </m:r>
              </m:sub>
            </m:sSub>
          </m:e>
        </m:nary>
      </m:oMath>
      <w:r w:rsidRPr="002347C5">
        <w:rPr>
          <w:rFonts w:ascii="Euclid" w:hAnsi="Euclid"/>
          <w:lang w:val="pt-BR"/>
        </w:rPr>
        <w:t>,</w:t>
      </w:r>
      <w:r w:rsidRPr="002347C5">
        <w:rPr>
          <w:rFonts w:ascii="Euclid" w:hAnsi="Euclid"/>
          <w:lang w:val="pt-BR"/>
        </w:rPr>
        <w:tab/>
      </w:r>
      <w:r w:rsidR="00667439">
        <w:rPr>
          <w:rFonts w:ascii="Euclid" w:hAnsi="Euclid"/>
          <w:lang w:val="pt-BR"/>
        </w:rPr>
        <w:t xml:space="preserve">   </w:t>
      </w:r>
      <w:r w:rsidRPr="00BD7907">
        <w:rPr>
          <w:rFonts w:ascii="Times New Roman" w:hAnsi="Times New Roman"/>
          <w:sz w:val="24"/>
          <w:szCs w:val="24"/>
          <w:lang w:val="pt-BR"/>
        </w:rPr>
        <w:t>(2)</w:t>
      </w:r>
    </w:p>
    <w:p w:rsidR="00BD7907" w:rsidRDefault="00BD7907" w:rsidP="00BD7907">
      <w:pPr>
        <w:spacing w:line="240" w:lineRule="auto"/>
        <w:ind w:left="709"/>
        <w:jc w:val="both"/>
        <w:rPr>
          <w:rFonts w:ascii="Times New Roman" w:eastAsiaTheme="minorEastAsia" w:hAnsi="Times New Roman" w:cs="Times New Roman"/>
          <w:noProof/>
          <w:sz w:val="24"/>
          <w:szCs w:val="24"/>
          <w:lang w:eastAsia="pt-BR"/>
        </w:rPr>
      </w:pPr>
      <w:r>
        <w:rPr>
          <w:rFonts w:ascii="Times New Roman" w:eastAsiaTheme="minorEastAsia" w:hAnsi="Times New Roman" w:cs="Times New Roman"/>
          <w:noProof/>
          <w:sz w:val="24"/>
          <w:szCs w:val="24"/>
          <w:lang w:eastAsia="pt-BR"/>
        </w:rPr>
        <w:t xml:space="preserve">onde </w:t>
      </w:r>
      <m:oMath>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B</m:t>
            </m:r>
          </m:e>
          <m:sub>
            <m:r>
              <w:rPr>
                <w:rFonts w:ascii="Cambria Math" w:eastAsiaTheme="minorEastAsia" w:hAnsi="Cambria Math" w:cs="Times New Roman"/>
                <w:noProof/>
                <w:sz w:val="24"/>
                <w:szCs w:val="24"/>
                <w:lang w:eastAsia="pt-BR"/>
              </w:rPr>
              <m:t>j</m:t>
            </m:r>
          </m:sub>
        </m:sSub>
        <m:r>
          <w:rPr>
            <w:rFonts w:ascii="Cambria Math" w:eastAsiaTheme="minorEastAsia" w:hAnsi="Cambria Math" w:cs="Times New Roman"/>
            <w:noProof/>
            <w:sz w:val="24"/>
            <w:szCs w:val="24"/>
            <w:lang w:eastAsia="pt-BR"/>
          </w:rPr>
          <m:t>=</m:t>
        </m:r>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Φ</m:t>
            </m:r>
          </m:e>
          <m:sub>
            <m:r>
              <w:rPr>
                <w:rFonts w:ascii="Cambria Math" w:eastAsiaTheme="minorEastAsia" w:hAnsi="Cambria Math" w:cs="Times New Roman"/>
                <w:noProof/>
                <w:sz w:val="24"/>
                <w:szCs w:val="24"/>
                <w:lang w:eastAsia="pt-BR"/>
              </w:rPr>
              <m:t>1</m:t>
            </m:r>
          </m:sub>
        </m:sSub>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B</m:t>
            </m:r>
          </m:e>
          <m:sub>
            <m:r>
              <w:rPr>
                <w:rFonts w:ascii="Cambria Math" w:eastAsiaTheme="minorEastAsia" w:hAnsi="Cambria Math" w:cs="Times New Roman"/>
                <w:noProof/>
                <w:sz w:val="24"/>
                <w:szCs w:val="24"/>
                <w:lang w:eastAsia="pt-BR"/>
              </w:rPr>
              <m:t>j-1</m:t>
            </m:r>
          </m:sub>
        </m:sSub>
        <m:r>
          <w:rPr>
            <w:rFonts w:ascii="Cambria Math" w:eastAsiaTheme="minorEastAsia" w:hAnsi="Cambria Math" w:cs="Times New Roman"/>
            <w:noProof/>
            <w:sz w:val="24"/>
            <w:szCs w:val="24"/>
            <w:lang w:eastAsia="pt-BR"/>
          </w:rPr>
          <m:t>+</m:t>
        </m:r>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Φ</m:t>
            </m:r>
          </m:e>
          <m:sub>
            <m:r>
              <w:rPr>
                <w:rFonts w:ascii="Cambria Math" w:eastAsiaTheme="minorEastAsia" w:hAnsi="Cambria Math" w:cs="Times New Roman"/>
                <w:noProof/>
                <w:sz w:val="24"/>
                <w:szCs w:val="24"/>
                <w:lang w:eastAsia="pt-BR"/>
              </w:rPr>
              <m:t>2</m:t>
            </m:r>
          </m:sub>
        </m:sSub>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B</m:t>
            </m:r>
          </m:e>
          <m:sub>
            <m:r>
              <w:rPr>
                <w:rFonts w:ascii="Cambria Math" w:eastAsiaTheme="minorEastAsia" w:hAnsi="Cambria Math" w:cs="Times New Roman"/>
                <w:noProof/>
                <w:sz w:val="24"/>
                <w:szCs w:val="24"/>
                <w:lang w:eastAsia="pt-BR"/>
              </w:rPr>
              <m:t>j-2</m:t>
            </m:r>
          </m:sub>
        </m:sSub>
        <m:r>
          <w:rPr>
            <w:rFonts w:ascii="Cambria Math" w:eastAsiaTheme="minorEastAsia" w:hAnsi="Cambria Math" w:cs="Times New Roman"/>
            <w:noProof/>
            <w:sz w:val="24"/>
            <w:szCs w:val="24"/>
            <w:lang w:eastAsia="pt-BR"/>
          </w:rPr>
          <m:t>+⋯+</m:t>
        </m:r>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Φ</m:t>
            </m:r>
          </m:e>
          <m:sub>
            <m:r>
              <w:rPr>
                <w:rFonts w:ascii="Cambria Math" w:eastAsiaTheme="minorEastAsia" w:hAnsi="Cambria Math" w:cs="Times New Roman"/>
                <w:noProof/>
                <w:sz w:val="24"/>
                <w:szCs w:val="24"/>
                <w:lang w:eastAsia="pt-BR"/>
              </w:rPr>
              <m:t>p</m:t>
            </m:r>
          </m:sub>
        </m:sSub>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B</m:t>
            </m:r>
          </m:e>
          <m:sub>
            <m:r>
              <w:rPr>
                <w:rFonts w:ascii="Cambria Math" w:eastAsiaTheme="minorEastAsia" w:hAnsi="Cambria Math" w:cs="Times New Roman"/>
                <w:noProof/>
                <w:sz w:val="24"/>
                <w:szCs w:val="24"/>
                <w:lang w:eastAsia="pt-BR"/>
              </w:rPr>
              <m:t>j-p</m:t>
            </m:r>
          </m:sub>
        </m:sSub>
      </m:oMath>
      <w:r>
        <w:rPr>
          <w:rFonts w:ascii="Times New Roman" w:hAnsi="Times New Roman" w:cs="Times New Roman"/>
          <w:sz w:val="24"/>
          <w:szCs w:val="24"/>
        </w:rPr>
        <w:t xml:space="preserve">, com </w:t>
      </w:r>
      <w:r w:rsidRPr="002347C5">
        <w:rPr>
          <w:noProof/>
          <w:position w:val="-1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pt;height:20.25pt;mso-width-percent:0;mso-height-percent:0;mso-width-percent:0;mso-height-percent:0" o:ole="">
            <v:imagedata r:id="rId7" o:title=""/>
          </v:shape>
          <o:OLEObject Type="Embed" ProgID="Equation.DSMT4" ShapeID="_x0000_i1025" DrawAspect="Content" ObjectID="_1625251277" r:id="rId8"/>
        </w:object>
      </w:r>
      <w:r>
        <w:t xml:space="preserve"> </w:t>
      </w:r>
      <w:r>
        <w:rPr>
          <w:rFonts w:ascii="Times New Roman" w:hAnsi="Times New Roman" w:cs="Times New Roman"/>
          <w:sz w:val="24"/>
          <w:szCs w:val="24"/>
        </w:rPr>
        <w:t xml:space="preserve">representa a matriz identidade, onde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=0</m:t>
        </m:r>
      </m:oMath>
      <w:r w:rsidRPr="00F53EA4">
        <w:rPr>
          <w:rFonts w:ascii="Times New Roman" w:hAnsi="Times New Roman" w:cs="Times New Roman"/>
          <w:sz w:val="24"/>
          <w:szCs w:val="24"/>
        </w:rPr>
        <w:t xml:space="preserve"> para</w:t>
      </w:r>
      <w:r>
        <w:rPr>
          <w:rFonts w:ascii="Times New Roman" w:hAnsi="Times New Roman" w:cs="Times New Roman"/>
          <w:sz w:val="24"/>
          <w:szCs w:val="24"/>
        </w:rPr>
        <w:t xml:space="preserve"> </w:t>
      </w:r>
      <m:oMath>
        <m:r>
          <w:rPr>
            <w:rFonts w:ascii="Cambria Math" w:hAnsi="Cambria Math" w:cs="Times New Roman"/>
            <w:sz w:val="24"/>
            <w:szCs w:val="24"/>
          </w:rPr>
          <m:t>j&lt;0</m:t>
        </m:r>
      </m:oMath>
      <w:r>
        <w:rPr>
          <w:rFonts w:ascii="Times New Roman" w:hAnsi="Times New Roman" w:cs="Times New Roman"/>
          <w:sz w:val="24"/>
          <w:szCs w:val="24"/>
        </w:rPr>
        <w:t xml:space="preserve"> e onde </w:t>
      </w:r>
      <m:oMath>
        <m:r>
          <w:rPr>
            <w:rFonts w:ascii="Cambria Math" w:hAnsi="Cambria Math" w:cs="Times New Roman"/>
            <w:sz w:val="24"/>
            <w:szCs w:val="24"/>
          </w:rPr>
          <m:t>v=</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j=0</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ϕ</m:t>
                </m:r>
              </m:e>
              <m:sub>
                <m:r>
                  <w:rPr>
                    <w:rFonts w:ascii="Cambria Math" w:hAnsi="Cambria Math" w:cs="Times New Roman"/>
                    <w:sz w:val="24"/>
                    <w:szCs w:val="24"/>
                  </w:rPr>
                  <m:t>0</m:t>
                </m:r>
              </m:sub>
            </m:sSub>
          </m:e>
        </m:nary>
      </m:oMath>
      <w:r>
        <w:rPr>
          <w:rFonts w:ascii="Times New Roman" w:hAnsi="Times New Roman" w:cs="Times New Roman"/>
          <w:sz w:val="24"/>
          <w:szCs w:val="24"/>
        </w:rPr>
        <w:t xml:space="preserve">. A partir dos coeficientes de </w:t>
      </w:r>
      <w:r>
        <w:rPr>
          <w:rFonts w:ascii="Times New Roman" w:eastAsiaTheme="minorEastAsia" w:hAnsi="Times New Roman" w:cs="Times New Roman"/>
          <w:noProof/>
          <w:sz w:val="24"/>
          <w:szCs w:val="24"/>
          <w:lang w:eastAsia="pt-BR"/>
        </w:rPr>
        <w:t>média móvel</w:t>
      </w:r>
      <w:r w:rsidR="008B6A75">
        <w:rPr>
          <w:rFonts w:ascii="Times New Roman" w:eastAsiaTheme="minorEastAsia" w:hAnsi="Times New Roman" w:cs="Times New Roman"/>
          <w:noProof/>
          <w:sz w:val="24"/>
          <w:szCs w:val="24"/>
          <w:lang w:eastAsia="pt-BR"/>
        </w:rPr>
        <w:t>,</w:t>
      </w:r>
      <w:r>
        <w:rPr>
          <w:rFonts w:ascii="Times New Roman" w:eastAsiaTheme="minorEastAsia" w:hAnsi="Times New Roman" w:cs="Times New Roman"/>
          <w:noProof/>
          <w:sz w:val="24"/>
          <w:szCs w:val="24"/>
          <w:lang w:eastAsia="pt-BR"/>
        </w:rPr>
        <w:t xml:space="preserve"> </w:t>
      </w:r>
      <w:r w:rsidR="008B6A75">
        <w:rPr>
          <w:rFonts w:ascii="Times New Roman" w:eastAsiaTheme="minorEastAsia" w:hAnsi="Times New Roman" w:cs="Times New Roman"/>
          <w:noProof/>
          <w:sz w:val="24"/>
          <w:szCs w:val="24"/>
          <w:lang w:eastAsia="pt-BR"/>
        </w:rPr>
        <w:t>E</w:t>
      </w:r>
      <w:r>
        <w:rPr>
          <w:rFonts w:ascii="Times New Roman" w:eastAsiaTheme="minorEastAsia" w:hAnsi="Times New Roman" w:cs="Times New Roman"/>
          <w:noProof/>
          <w:sz w:val="24"/>
          <w:szCs w:val="24"/>
          <w:lang w:eastAsia="pt-BR"/>
        </w:rPr>
        <w:t>q</w:t>
      </w:r>
      <w:r w:rsidR="008B6A75">
        <w:rPr>
          <w:rFonts w:ascii="Times New Roman" w:eastAsiaTheme="minorEastAsia" w:hAnsi="Times New Roman" w:cs="Times New Roman"/>
          <w:noProof/>
          <w:sz w:val="24"/>
          <w:szCs w:val="24"/>
          <w:lang w:eastAsia="pt-BR"/>
        </w:rPr>
        <w:t>. (</w:t>
      </w:r>
      <w:r>
        <w:rPr>
          <w:rFonts w:ascii="Times New Roman" w:eastAsiaTheme="minorEastAsia" w:hAnsi="Times New Roman" w:cs="Times New Roman"/>
          <w:noProof/>
          <w:sz w:val="24"/>
          <w:szCs w:val="24"/>
          <w:lang w:eastAsia="pt-BR"/>
        </w:rPr>
        <w:t xml:space="preserve">2) que </w:t>
      </w:r>
      <w:r w:rsidRPr="00E31308">
        <w:rPr>
          <w:rFonts w:ascii="Times New Roman" w:eastAsiaTheme="minorEastAsia" w:hAnsi="Times New Roman" w:cs="Times New Roman"/>
          <w:noProof/>
          <w:sz w:val="24"/>
          <w:szCs w:val="24"/>
          <w:lang w:eastAsia="pt-BR"/>
        </w:rPr>
        <w:t>cont</w:t>
      </w:r>
      <w:r>
        <w:rPr>
          <w:rFonts w:ascii="Times New Roman" w:eastAsiaTheme="minorEastAsia" w:hAnsi="Times New Roman" w:cs="Times New Roman"/>
          <w:noProof/>
          <w:sz w:val="24"/>
          <w:szCs w:val="24"/>
          <w:lang w:eastAsia="pt-BR"/>
        </w:rPr>
        <w:t>ê</w:t>
      </w:r>
      <w:r w:rsidRPr="00E31308">
        <w:rPr>
          <w:rFonts w:ascii="Times New Roman" w:eastAsiaTheme="minorEastAsia" w:hAnsi="Times New Roman" w:cs="Times New Roman"/>
          <w:noProof/>
          <w:sz w:val="24"/>
          <w:szCs w:val="24"/>
          <w:lang w:eastAsia="pt-BR"/>
        </w:rPr>
        <w:t xml:space="preserve">m </w:t>
      </w:r>
      <w:r>
        <w:rPr>
          <w:rFonts w:ascii="Times New Roman" w:eastAsiaTheme="minorEastAsia" w:hAnsi="Times New Roman" w:cs="Times New Roman"/>
          <w:noProof/>
          <w:sz w:val="24"/>
          <w:szCs w:val="24"/>
          <w:lang w:eastAsia="pt-BR"/>
        </w:rPr>
        <w:t xml:space="preserve">informaçoes sobre os efeitos de um choque especifico em um horizonte futuro e somando todas essas matrizes de coeficientes, temos os efeitos de longo prazo ou multiplicadores totais. </w:t>
      </w:r>
    </w:p>
    <w:p w:rsidR="00BD7907" w:rsidRDefault="00BD7907" w:rsidP="00BD7907">
      <w:pPr>
        <w:spacing w:line="240" w:lineRule="auto"/>
        <w:ind w:left="709" w:firstLine="709"/>
        <w:jc w:val="both"/>
        <w:rPr>
          <w:rFonts w:ascii="Times New Roman" w:eastAsiaTheme="minorEastAsia" w:hAnsi="Times New Roman" w:cs="Times New Roman"/>
          <w:noProof/>
          <w:sz w:val="24"/>
          <w:szCs w:val="24"/>
          <w:lang w:eastAsia="pt-BR"/>
        </w:rPr>
      </w:pPr>
      <w:r>
        <w:rPr>
          <w:rFonts w:ascii="Times New Roman" w:eastAsiaTheme="minorEastAsia" w:hAnsi="Times New Roman" w:cs="Times New Roman"/>
          <w:noProof/>
          <w:sz w:val="24"/>
          <w:szCs w:val="24"/>
          <w:lang w:eastAsia="pt-BR"/>
        </w:rPr>
        <w:t>Utilizando a decomposição de</w:t>
      </w:r>
      <w:r w:rsidRPr="009F5A34">
        <w:rPr>
          <w:rFonts w:ascii="Times New Roman" w:eastAsiaTheme="minorEastAsia" w:hAnsi="Times New Roman" w:cs="Times New Roman"/>
          <w:noProof/>
          <w:sz w:val="24"/>
          <w:szCs w:val="24"/>
          <w:lang w:eastAsia="pt-BR"/>
        </w:rPr>
        <w:t xml:space="preserve"> Cholesky</w:t>
      </w:r>
      <w:r>
        <w:rPr>
          <w:rFonts w:ascii="Times New Roman" w:eastAsiaTheme="minorEastAsia" w:hAnsi="Times New Roman" w:cs="Times New Roman"/>
          <w:noProof/>
          <w:sz w:val="24"/>
          <w:szCs w:val="24"/>
          <w:lang w:eastAsia="pt-BR"/>
        </w:rPr>
        <w:t xml:space="preserve"> podemos calcular o erro de previsao da vari</w:t>
      </w:r>
      <w:r w:rsidR="008B6A75">
        <w:rPr>
          <w:rFonts w:ascii="Times New Roman" w:eastAsiaTheme="minorEastAsia" w:hAnsi="Times New Roman" w:cs="Times New Roman"/>
          <w:noProof/>
          <w:sz w:val="24"/>
          <w:szCs w:val="24"/>
          <w:lang w:eastAsia="pt-BR"/>
        </w:rPr>
        <w:t>â</w:t>
      </w:r>
      <w:r>
        <w:rPr>
          <w:rFonts w:ascii="Times New Roman" w:eastAsiaTheme="minorEastAsia" w:hAnsi="Times New Roman" w:cs="Times New Roman"/>
          <w:noProof/>
          <w:sz w:val="24"/>
          <w:szCs w:val="24"/>
          <w:lang w:eastAsia="pt-BR"/>
        </w:rPr>
        <w:t xml:space="preserve">ncia </w:t>
      </w:r>
      <w:r w:rsidRPr="00BB2A36">
        <w:rPr>
          <w:rFonts w:ascii="Times New Roman" w:eastAsiaTheme="minorEastAsia" w:hAnsi="Times New Roman" w:cs="Times New Roman"/>
          <w:i/>
          <w:iCs/>
          <w:noProof/>
          <w:sz w:val="24"/>
          <w:szCs w:val="24"/>
          <w:lang w:eastAsia="pt-BR"/>
        </w:rPr>
        <w:t>h</w:t>
      </w:r>
      <w:r>
        <w:rPr>
          <w:rFonts w:ascii="Times New Roman" w:eastAsiaTheme="minorEastAsia" w:hAnsi="Times New Roman" w:cs="Times New Roman"/>
          <w:i/>
          <w:iCs/>
          <w:noProof/>
          <w:sz w:val="24"/>
          <w:szCs w:val="24"/>
          <w:lang w:eastAsia="pt-BR"/>
        </w:rPr>
        <w:t xml:space="preserve"> </w:t>
      </w:r>
      <w:r>
        <w:rPr>
          <w:rFonts w:ascii="Times New Roman" w:eastAsiaTheme="minorEastAsia" w:hAnsi="Times New Roman" w:cs="Times New Roman"/>
          <w:noProof/>
          <w:sz w:val="24"/>
          <w:szCs w:val="24"/>
          <w:lang w:eastAsia="pt-BR"/>
        </w:rPr>
        <w:t xml:space="preserve">passos </w:t>
      </w:r>
      <w:r w:rsidRPr="00F262CF">
        <w:rPr>
          <w:rFonts w:ascii="Times New Roman" w:eastAsiaTheme="minorEastAsia" w:hAnsi="Times New Roman" w:cs="Times New Roman"/>
          <w:noProof/>
          <w:sz w:val="24"/>
          <w:szCs w:val="24"/>
          <w:lang w:eastAsia="pt-BR"/>
        </w:rPr>
        <w:t>à</w:t>
      </w:r>
      <w:r>
        <w:rPr>
          <w:rFonts w:ascii="Times New Roman" w:eastAsiaTheme="minorEastAsia" w:hAnsi="Times New Roman" w:cs="Times New Roman"/>
          <w:noProof/>
          <w:sz w:val="24"/>
          <w:szCs w:val="24"/>
          <w:lang w:eastAsia="pt-BR"/>
        </w:rPr>
        <w:t xml:space="preserve"> frente para a </w:t>
      </w:r>
      <w:r w:rsidRPr="00BB2A36">
        <w:rPr>
          <w:rFonts w:ascii="Times New Roman" w:eastAsiaTheme="minorEastAsia" w:hAnsi="Times New Roman" w:cs="Times New Roman"/>
          <w:i/>
          <w:iCs/>
          <w:noProof/>
          <w:sz w:val="24"/>
          <w:szCs w:val="24"/>
          <w:lang w:eastAsia="pt-BR"/>
        </w:rPr>
        <w:t>i</w:t>
      </w:r>
      <w:r>
        <w:rPr>
          <w:rFonts w:ascii="Times New Roman" w:eastAsiaTheme="minorEastAsia" w:hAnsi="Times New Roman" w:cs="Times New Roman"/>
          <w:noProof/>
          <w:sz w:val="24"/>
          <w:szCs w:val="24"/>
          <w:lang w:eastAsia="pt-BR"/>
        </w:rPr>
        <w:t>-ésima variavel como:</w:t>
      </w:r>
    </w:p>
    <w:p w:rsidR="00BD7907" w:rsidRPr="00E31308" w:rsidRDefault="00BD7907" w:rsidP="00BD7907">
      <w:pPr>
        <w:pStyle w:val="MTDisplayEquation"/>
        <w:tabs>
          <w:tab w:val="clear" w:pos="4240"/>
          <w:tab w:val="clear" w:pos="8500"/>
          <w:tab w:val="center" w:pos="5670"/>
          <w:tab w:val="right" w:pos="10204"/>
        </w:tabs>
        <w:spacing w:before="120" w:after="120" w:line="240" w:lineRule="auto"/>
        <w:ind w:left="709"/>
        <w:rPr>
          <w:rFonts w:ascii="Euclid" w:hAnsi="Euclid"/>
        </w:rPr>
      </w:pPr>
      <w:r w:rsidRPr="00EF3B05">
        <w:rPr>
          <w:rFonts w:ascii="Euclid" w:hAnsi="Euclid"/>
          <w:lang w:val="pt-BR"/>
        </w:rPr>
        <w:tab/>
      </w:r>
      <m:oMath>
        <m:sSubSup>
          <m:sSubSupPr>
            <m:ctrlPr>
              <w:rPr>
                <w:rFonts w:ascii="Cambria Math" w:hAnsi="Cambria Math"/>
                <w:lang w:val="pt-BR"/>
              </w:rPr>
            </m:ctrlPr>
          </m:sSubSupPr>
          <m:e>
            <m:r>
              <w:rPr>
                <w:rFonts w:ascii="Cambria Math" w:hAnsi="Cambria Math"/>
                <w:lang w:val="pt-BR"/>
              </w:rPr>
              <m:t>θ</m:t>
            </m:r>
          </m:e>
          <m:sub>
            <m:r>
              <w:rPr>
                <w:rFonts w:ascii="Cambria Math" w:hAnsi="Cambria Math"/>
                <w:lang w:val="pt-BR"/>
              </w:rPr>
              <m:t>i←j</m:t>
            </m:r>
          </m:sub>
          <m:sup>
            <m:r>
              <w:rPr>
                <w:rFonts w:ascii="Cambria Math" w:hAnsi="Cambria Math"/>
                <w:lang w:val="pt-BR"/>
              </w:rPr>
              <m:t>h</m:t>
            </m:r>
          </m:sup>
        </m:sSubSup>
        <m:r>
          <w:rPr>
            <w:rFonts w:ascii="Cambria Math" w:hAnsi="Cambria Math"/>
            <w:lang w:val="pt-BR"/>
          </w:rPr>
          <m:t>=</m:t>
        </m:r>
        <m:f>
          <m:fPr>
            <m:ctrlPr>
              <w:rPr>
                <w:rFonts w:ascii="Cambria Math" w:hAnsi="Cambria Math"/>
                <w:lang w:val="pt-BR"/>
              </w:rPr>
            </m:ctrlPr>
          </m:fPr>
          <m:num>
            <m:sSubSup>
              <m:sSubSupPr>
                <m:ctrlPr>
                  <w:rPr>
                    <w:rFonts w:ascii="Cambria Math" w:hAnsi="Cambria Math"/>
                    <w:lang w:val="pt-BR"/>
                  </w:rPr>
                </m:ctrlPr>
              </m:sSubSupPr>
              <m:e>
                <m:r>
                  <w:rPr>
                    <w:rFonts w:ascii="Cambria Math" w:hAnsi="Cambria Math"/>
                    <w:lang w:val="pt-BR"/>
                  </w:rPr>
                  <m:t>σ</m:t>
                </m:r>
              </m:e>
              <m:sub>
                <m:r>
                  <w:rPr>
                    <w:rFonts w:ascii="Cambria Math" w:hAnsi="Cambria Math"/>
                    <w:lang w:val="pt-BR"/>
                  </w:rPr>
                  <m:t>jj</m:t>
                </m:r>
              </m:sub>
              <m:sup>
                <m:r>
                  <w:rPr>
                    <w:rFonts w:ascii="Cambria Math" w:hAnsi="Cambria Math"/>
                    <w:lang w:val="pt-BR"/>
                  </w:rPr>
                  <m:t>-1</m:t>
                </m:r>
              </m:sup>
            </m:sSubSup>
            <m:nary>
              <m:naryPr>
                <m:chr m:val="∑"/>
                <m:limLoc m:val="undOvr"/>
                <m:grow m:val="1"/>
                <m:ctrlPr>
                  <w:rPr>
                    <w:rFonts w:ascii="Cambria Math" w:hAnsi="Cambria Math"/>
                    <w:lang w:val="pt-BR"/>
                  </w:rPr>
                </m:ctrlPr>
              </m:naryPr>
              <m:sub>
                <m:r>
                  <w:rPr>
                    <w:rFonts w:ascii="Cambria Math" w:hAnsi="Cambria Math"/>
                    <w:lang w:val="pt-BR"/>
                  </w:rPr>
                  <m:t>z=0</m:t>
                </m:r>
              </m:sub>
              <m:sup>
                <m:r>
                  <w:rPr>
                    <w:rFonts w:ascii="Cambria Math" w:hAnsi="Cambria Math"/>
                    <w:lang w:val="pt-BR"/>
                  </w:rPr>
                  <m:t>h-1</m:t>
                </m:r>
              </m:sup>
              <m:e>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m:t>
                                </m:r>
                              </m:sup>
                            </m:sSup>
                          </m:e>
                          <m:sub>
                            <m:r>
                              <w:rPr>
                                <w:rFonts w:ascii="Cambria Math" w:hAnsi="Cambria Math"/>
                                <w:lang w:val="pt-BR"/>
                              </w:rPr>
                              <m:t>i</m:t>
                            </m:r>
                          </m:sub>
                        </m:sSub>
                        <m:sSub>
                          <m:sSubPr>
                            <m:ctrlPr>
                              <w:rPr>
                                <w:rFonts w:ascii="Cambria Math" w:hAnsi="Cambria Math"/>
                                <w:lang w:val="pt-BR"/>
                              </w:rPr>
                            </m:ctrlPr>
                          </m:sSubPr>
                          <m:e>
                            <m:r>
                              <w:rPr>
                                <w:rFonts w:ascii="Cambria Math" w:hAnsi="Cambria Math"/>
                                <w:lang w:val="pt-BR"/>
                              </w:rPr>
                              <m:t>B</m:t>
                            </m:r>
                          </m:e>
                          <m:sub>
                            <m:r>
                              <w:rPr>
                                <w:rFonts w:ascii="Cambria Math" w:hAnsi="Cambria Math"/>
                                <w:lang w:val="pt-BR"/>
                              </w:rPr>
                              <m:t>z</m:t>
                            </m:r>
                          </m:sub>
                        </m:sSub>
                        <m:r>
                          <w:rPr>
                            <w:rFonts w:ascii="Cambria Math" w:hAnsi="Cambria Math"/>
                            <w:lang w:val="pt-BR"/>
                          </w:rPr>
                          <m:t>Σ</m:t>
                        </m:r>
                        <m:r>
                          <m:rPr>
                            <m:nor/>
                          </m:rPr>
                          <w:rPr>
                            <w:rFonts w:ascii="Times New Roman" w:hAnsi="Times New Roman"/>
                            <w:lang w:val="pt-BR"/>
                          </w:rPr>
                          <m:t> </m:t>
                        </m:r>
                        <m:sSub>
                          <m:sSubPr>
                            <m:ctrlPr>
                              <w:rPr>
                                <w:rFonts w:ascii="Cambria Math" w:hAnsi="Cambria Math"/>
                                <w:lang w:val="pt-BR"/>
                              </w:rPr>
                            </m:ctrlPr>
                          </m:sSubPr>
                          <m:e>
                            <m:r>
                              <w:rPr>
                                <w:rFonts w:ascii="Cambria Math" w:hAnsi="Cambria Math"/>
                                <w:lang w:val="pt-BR"/>
                              </w:rPr>
                              <m:t>e</m:t>
                            </m:r>
                          </m:e>
                          <m:sub>
                            <m:r>
                              <w:rPr>
                                <w:rFonts w:ascii="Cambria Math" w:hAnsi="Cambria Math"/>
                                <w:lang w:val="pt-BR"/>
                              </w:rPr>
                              <m:t>j</m:t>
                            </m:r>
                          </m:sub>
                        </m:sSub>
                      </m:e>
                    </m:d>
                  </m:e>
                  <m:sup>
                    <m:r>
                      <w:rPr>
                        <w:rFonts w:ascii="Cambria Math" w:hAnsi="Cambria Math"/>
                        <w:lang w:val="pt-BR"/>
                      </w:rPr>
                      <m:t>2</m:t>
                    </m:r>
                  </m:sup>
                </m:sSup>
              </m:e>
            </m:nary>
          </m:num>
          <m:den>
            <m:nary>
              <m:naryPr>
                <m:chr m:val="∑"/>
                <m:limLoc m:val="undOvr"/>
                <m:grow m:val="1"/>
                <m:ctrlPr>
                  <w:rPr>
                    <w:rFonts w:ascii="Cambria Math" w:hAnsi="Cambria Math"/>
                    <w:lang w:val="pt-BR"/>
                  </w:rPr>
                </m:ctrlPr>
              </m:naryPr>
              <m:sub>
                <m:r>
                  <w:rPr>
                    <w:rFonts w:ascii="Cambria Math" w:hAnsi="Cambria Math"/>
                    <w:lang w:val="pt-BR"/>
                  </w:rPr>
                  <m:t>z=0</m:t>
                </m:r>
              </m:sub>
              <m:sup>
                <m:r>
                  <w:rPr>
                    <w:rFonts w:ascii="Cambria Math" w:hAnsi="Cambria Math"/>
                    <w:lang w:val="pt-BR"/>
                  </w:rPr>
                  <m:t>h-1</m:t>
                </m:r>
              </m:sup>
              <m:e>
                <m:sSup>
                  <m:sSupPr>
                    <m:ctrlPr>
                      <w:rPr>
                        <w:rFonts w:ascii="Cambria Math" w:hAnsi="Cambria Math"/>
                        <w:lang w:val="pt-BR"/>
                      </w:rPr>
                    </m:ctrlPr>
                  </m:sSupPr>
                  <m:e>
                    <m:d>
                      <m:dPr>
                        <m:ctrlPr>
                          <w:rPr>
                            <w:rFonts w:ascii="Cambria Math" w:hAnsi="Cambria Math"/>
                            <w:lang w:val="pt-BR"/>
                          </w:rPr>
                        </m:ctrlPr>
                      </m:dPr>
                      <m:e>
                        <m:sSub>
                          <m:sSubPr>
                            <m:ctrlPr>
                              <w:rPr>
                                <w:rFonts w:ascii="Cambria Math" w:hAnsi="Cambria Math"/>
                                <w:lang w:val="pt-BR"/>
                              </w:rPr>
                            </m:ctrlPr>
                          </m:sSubPr>
                          <m:e>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m:t>
                                </m:r>
                              </m:sup>
                            </m:sSup>
                          </m:e>
                          <m:sub>
                            <m:r>
                              <w:rPr>
                                <w:rFonts w:ascii="Cambria Math" w:hAnsi="Cambria Math"/>
                                <w:lang w:val="pt-BR"/>
                              </w:rPr>
                              <m:t>i</m:t>
                            </m:r>
                          </m:sub>
                        </m:sSub>
                        <m:sSub>
                          <m:sSubPr>
                            <m:ctrlPr>
                              <w:rPr>
                                <w:rFonts w:ascii="Cambria Math" w:hAnsi="Cambria Math"/>
                                <w:lang w:val="pt-BR"/>
                              </w:rPr>
                            </m:ctrlPr>
                          </m:sSubPr>
                          <m:e>
                            <m:r>
                              <w:rPr>
                                <w:rFonts w:ascii="Cambria Math" w:hAnsi="Cambria Math"/>
                                <w:lang w:val="pt-BR"/>
                              </w:rPr>
                              <m:t>B</m:t>
                            </m:r>
                          </m:e>
                          <m:sub>
                            <m:r>
                              <w:rPr>
                                <w:rFonts w:ascii="Cambria Math" w:hAnsi="Cambria Math"/>
                                <w:lang w:val="pt-BR"/>
                              </w:rPr>
                              <m:t>z</m:t>
                            </m:r>
                          </m:sub>
                        </m:sSub>
                        <m:r>
                          <m:rPr>
                            <m:nor/>
                          </m:rPr>
                          <w:rPr>
                            <w:rFonts w:ascii="Times New Roman" w:hAnsi="Times New Roman"/>
                            <w:lang w:val="pt-BR"/>
                          </w:rPr>
                          <m:t> </m:t>
                        </m:r>
                        <m:r>
                          <w:rPr>
                            <w:rFonts w:ascii="Cambria Math" w:hAnsi="Cambria Math"/>
                            <w:lang w:val="pt-BR"/>
                          </w:rPr>
                          <m:t>Σ</m:t>
                        </m:r>
                        <m:r>
                          <m:rPr>
                            <m:nor/>
                          </m:rPr>
                          <w:rPr>
                            <w:rFonts w:ascii="Times New Roman" w:hAnsi="Times New Roman"/>
                            <w:lang w:val="pt-BR"/>
                          </w:rPr>
                          <m:t> </m:t>
                        </m:r>
                        <m:r>
                          <w:rPr>
                            <w:rFonts w:ascii="Cambria Math" w:hAnsi="Cambria Math"/>
                            <w:lang w:val="pt-BR"/>
                          </w:rPr>
                          <m:t>B</m:t>
                        </m:r>
                        <m:sSub>
                          <m:sSubPr>
                            <m:ctrlPr>
                              <w:rPr>
                                <w:rFonts w:ascii="Cambria Math" w:hAnsi="Cambria Math"/>
                                <w:lang w:val="pt-BR"/>
                              </w:rPr>
                            </m:ctrlPr>
                          </m:sSubPr>
                          <m:e>
                            <m:r>
                              <w:rPr>
                                <w:rFonts w:ascii="Cambria Math" w:hAnsi="Cambria Math"/>
                                <w:lang w:val="pt-BR"/>
                              </w:rPr>
                              <m:t>'</m:t>
                            </m:r>
                          </m:e>
                          <m:sub>
                            <m:r>
                              <w:rPr>
                                <w:rFonts w:ascii="Cambria Math" w:hAnsi="Cambria Math"/>
                                <w:lang w:val="pt-BR"/>
                              </w:rPr>
                              <m:t>z</m:t>
                            </m:r>
                          </m:sub>
                        </m:sSub>
                        <m:sSub>
                          <m:sSubPr>
                            <m:ctrlPr>
                              <w:rPr>
                                <w:rFonts w:ascii="Cambria Math" w:hAnsi="Cambria Math"/>
                                <w:lang w:val="pt-BR"/>
                              </w:rPr>
                            </m:ctrlPr>
                          </m:sSubPr>
                          <m:e>
                            <m:r>
                              <w:rPr>
                                <w:rFonts w:ascii="Cambria Math" w:hAnsi="Cambria Math"/>
                                <w:lang w:val="pt-BR"/>
                              </w:rPr>
                              <m:t>e</m:t>
                            </m:r>
                          </m:e>
                          <m:sub>
                            <m:r>
                              <w:rPr>
                                <w:rFonts w:ascii="Cambria Math" w:hAnsi="Cambria Math"/>
                                <w:lang w:val="pt-BR"/>
                              </w:rPr>
                              <m:t>i</m:t>
                            </m:r>
                          </m:sub>
                        </m:sSub>
                      </m:e>
                    </m:d>
                  </m:e>
                  <m:sup>
                    <m:r>
                      <w:rPr>
                        <w:rFonts w:ascii="Cambria Math" w:hAnsi="Cambria Math"/>
                        <w:lang w:val="pt-BR"/>
                      </w:rPr>
                      <m:t>2</m:t>
                    </m:r>
                  </m:sup>
                </m:sSup>
              </m:e>
            </m:nary>
          </m:den>
        </m:f>
      </m:oMath>
      <w:r w:rsidRPr="002347C5">
        <w:rPr>
          <w:rFonts w:ascii="Euclid" w:hAnsi="Euclid"/>
          <w:lang w:val="pt-BR"/>
        </w:rPr>
        <w:t>,</w:t>
      </w:r>
      <w:r w:rsidRPr="002347C5">
        <w:rPr>
          <w:rFonts w:ascii="Euclid" w:hAnsi="Euclid"/>
          <w:lang w:val="pt-BR"/>
        </w:rPr>
        <w:tab/>
      </w:r>
      <w:r w:rsidR="00667439">
        <w:rPr>
          <w:rFonts w:ascii="Euclid" w:hAnsi="Euclid"/>
          <w:lang w:val="pt-BR"/>
        </w:rPr>
        <w:t xml:space="preserve"> </w:t>
      </w:r>
      <w:r w:rsidRPr="00BD7907">
        <w:rPr>
          <w:rFonts w:ascii="Times New Roman" w:hAnsi="Times New Roman"/>
          <w:sz w:val="24"/>
          <w:szCs w:val="24"/>
          <w:lang w:val="pt-BR"/>
        </w:rPr>
        <w:t>(</w:t>
      </w:r>
      <w:r>
        <w:rPr>
          <w:rFonts w:ascii="Times New Roman" w:hAnsi="Times New Roman"/>
          <w:sz w:val="24"/>
          <w:szCs w:val="24"/>
          <w:lang w:val="pt-BR"/>
        </w:rPr>
        <w:t>3</w:t>
      </w:r>
      <w:r w:rsidRPr="00BD7907">
        <w:rPr>
          <w:rFonts w:ascii="Times New Roman" w:hAnsi="Times New Roman"/>
          <w:sz w:val="24"/>
          <w:szCs w:val="24"/>
          <w:lang w:val="pt-BR"/>
        </w:rPr>
        <w:t>)</w:t>
      </w:r>
    </w:p>
    <w:p w:rsidR="00BD7907" w:rsidRDefault="00BD7907" w:rsidP="00BD7907">
      <w:pPr>
        <w:spacing w:after="0" w:line="240" w:lineRule="auto"/>
        <w:ind w:left="709"/>
        <w:jc w:val="both"/>
        <w:rPr>
          <w:rFonts w:ascii="Times New Roman" w:hAnsi="Times New Roman" w:cs="Times New Roman"/>
          <w:noProof/>
          <w:sz w:val="24"/>
          <w:szCs w:val="24"/>
          <w:lang w:eastAsia="pt-BR"/>
        </w:rPr>
      </w:pPr>
      <w:r>
        <w:rPr>
          <w:rFonts w:ascii="Times New Roman" w:eastAsiaTheme="minorEastAsia" w:hAnsi="Times New Roman" w:cs="Times New Roman"/>
          <w:noProof/>
          <w:sz w:val="24"/>
          <w:szCs w:val="24"/>
          <w:lang w:eastAsia="pt-BR"/>
        </w:rPr>
        <w:t xml:space="preserve">onde </w:t>
      </w:r>
      <w:r w:rsidRPr="0031688D">
        <w:rPr>
          <w:rFonts w:ascii="Times New Roman" w:eastAsiaTheme="minorEastAsia" w:hAnsi="Times New Roman" w:cs="Times New Roman"/>
          <w:i/>
          <w:iCs/>
          <w:noProof/>
          <w:sz w:val="24"/>
          <w:szCs w:val="24"/>
          <w:lang w:eastAsia="pt-BR"/>
        </w:rPr>
        <w:t>i</w:t>
      </w:r>
      <w:r>
        <w:rPr>
          <w:rFonts w:ascii="Times New Roman" w:eastAsiaTheme="minorEastAsia" w:hAnsi="Times New Roman" w:cs="Times New Roman"/>
          <w:noProof/>
          <w:sz w:val="24"/>
          <w:szCs w:val="24"/>
          <w:lang w:eastAsia="pt-BR"/>
        </w:rPr>
        <w:t>,</w:t>
      </w:r>
      <w:r w:rsidRPr="0031688D">
        <w:rPr>
          <w:rFonts w:ascii="Times New Roman" w:eastAsiaTheme="minorEastAsia" w:hAnsi="Times New Roman" w:cs="Times New Roman"/>
          <w:i/>
          <w:iCs/>
          <w:noProof/>
          <w:sz w:val="24"/>
          <w:szCs w:val="24"/>
          <w:lang w:eastAsia="pt-BR"/>
        </w:rPr>
        <w:t>j</w:t>
      </w:r>
      <w:r>
        <w:rPr>
          <w:rFonts w:ascii="Times New Roman" w:eastAsiaTheme="minorEastAsia" w:hAnsi="Times New Roman" w:cs="Times New Roman"/>
          <w:i/>
          <w:iCs/>
          <w:noProof/>
          <w:sz w:val="24"/>
          <w:szCs w:val="24"/>
          <w:lang w:eastAsia="pt-BR"/>
        </w:rPr>
        <w:t xml:space="preserve"> </w:t>
      </w:r>
      <w:r>
        <w:rPr>
          <w:rFonts w:ascii="Times New Roman" w:eastAsiaTheme="minorEastAsia" w:hAnsi="Times New Roman" w:cs="Times New Roman"/>
          <w:noProof/>
          <w:sz w:val="24"/>
          <w:szCs w:val="24"/>
          <w:lang w:eastAsia="pt-BR"/>
        </w:rPr>
        <w:t xml:space="preserve">representam as variaveis endogenas, </w:t>
      </w:r>
      <m:oMath>
        <m:sSub>
          <m:sSubPr>
            <m:ctrlPr>
              <w:rPr>
                <w:rFonts w:ascii="Cambria Math" w:eastAsiaTheme="minorEastAsia" w:hAnsi="Cambria Math" w:cs="Times New Roman"/>
                <w:noProof/>
                <w:sz w:val="24"/>
                <w:szCs w:val="24"/>
                <w:lang w:eastAsia="pt-BR"/>
              </w:rPr>
            </m:ctrlPr>
          </m:sSubPr>
          <m:e>
            <m:r>
              <w:rPr>
                <w:rFonts w:ascii="Cambria Math" w:eastAsiaTheme="minorEastAsia" w:hAnsi="Cambria Math" w:cs="Times New Roman"/>
                <w:noProof/>
                <w:sz w:val="24"/>
                <w:szCs w:val="24"/>
                <w:lang w:eastAsia="pt-BR"/>
              </w:rPr>
              <m:t>σ</m:t>
            </m:r>
          </m:e>
          <m:sub>
            <m:r>
              <w:rPr>
                <w:rFonts w:ascii="Cambria Math" w:eastAsiaTheme="minorEastAsia" w:hAnsi="Cambria Math" w:cs="Times New Roman"/>
                <w:noProof/>
                <w:sz w:val="24"/>
                <w:szCs w:val="24"/>
                <w:lang w:eastAsia="pt-BR"/>
              </w:rPr>
              <m:t>jj</m:t>
            </m:r>
          </m:sub>
        </m:sSub>
      </m:oMath>
      <w:r>
        <w:rPr>
          <w:rFonts w:ascii="Times New Roman" w:hAnsi="Times New Roman" w:cs="Times New Roman"/>
          <w:sz w:val="24"/>
          <w:szCs w:val="24"/>
        </w:rPr>
        <w:t xml:space="preserve"> é o </w:t>
      </w:r>
      <w:r w:rsidRPr="0031688D">
        <w:rPr>
          <w:rFonts w:ascii="Times New Roman" w:hAnsi="Times New Roman" w:cs="Times New Roman"/>
          <w:i/>
          <w:iCs/>
          <w:sz w:val="24"/>
          <w:szCs w:val="24"/>
        </w:rPr>
        <w:t>j</w:t>
      </w:r>
      <w:r>
        <w:rPr>
          <w:rFonts w:ascii="Times New Roman" w:hAnsi="Times New Roman" w:cs="Times New Roman"/>
          <w:sz w:val="24"/>
          <w:szCs w:val="24"/>
        </w:rPr>
        <w:t xml:space="preserve">-ésimo elemento da </w:t>
      </w:r>
      <m:oMath>
        <m:r>
          <w:rPr>
            <w:rFonts w:ascii="Cambria Math" w:hAnsi="Cambria Math" w:cs="Times New Roman"/>
            <w:sz w:val="24"/>
            <w:szCs w:val="24"/>
          </w:rPr>
          <m:t>Σ</m:t>
        </m:r>
      </m:oMath>
      <w:r>
        <w:rPr>
          <w:rFonts w:ascii="Times New Roman" w:hAnsi="Times New Roman" w:cs="Times New Roman"/>
          <w:sz w:val="24"/>
          <w:szCs w:val="24"/>
        </w:rPr>
        <w:t xml:space="preserve"> e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Pr>
          <w:rFonts w:ascii="Times New Roman" w:hAnsi="Times New Roman" w:cs="Times New Roman"/>
          <w:sz w:val="24"/>
          <w:szCs w:val="24"/>
        </w:rPr>
        <w:t xml:space="preserve"> é um vetor de seleção de zeros, exceto pelo seu </w:t>
      </w:r>
      <w:r w:rsidRPr="0031688D">
        <w:rPr>
          <w:rFonts w:ascii="Times New Roman" w:hAnsi="Times New Roman" w:cs="Times New Roman"/>
          <w:i/>
          <w:iCs/>
          <w:sz w:val="24"/>
          <w:szCs w:val="24"/>
        </w:rPr>
        <w:t>i</w:t>
      </w:r>
      <w:r>
        <w:rPr>
          <w:rFonts w:ascii="Times New Roman" w:hAnsi="Times New Roman" w:cs="Times New Roman"/>
          <w:sz w:val="24"/>
          <w:szCs w:val="24"/>
        </w:rPr>
        <w:t xml:space="preserve">-ésimo elemento, </w:t>
      </w:r>
      <w:r w:rsidRPr="00A35A74">
        <w:rPr>
          <w:rFonts w:ascii="Times New Roman" w:hAnsi="Times New Roman" w:cs="Times New Roman"/>
          <w:sz w:val="24"/>
          <w:szCs w:val="24"/>
        </w:rPr>
        <w:t>que é equivalente a 1</w:t>
      </w:r>
      <w:r>
        <w:rPr>
          <w:rFonts w:ascii="Times New Roman" w:hAnsi="Times New Roman" w:cs="Times New Roman"/>
          <w:sz w:val="24"/>
          <w:szCs w:val="24"/>
        </w:rPr>
        <w:t xml:space="preserve">. Assim, o parâmetro </w:t>
      </w:r>
      <m:oMath>
        <m:sSubSup>
          <m:sSubSupPr>
            <m:ctrlPr>
              <w:rPr>
                <w:rFonts w:ascii="Cambria Math" w:hAnsi="Cambria Math" w:cs="Times New Roman"/>
                <w:sz w:val="24"/>
                <w:szCs w:val="24"/>
              </w:rPr>
            </m:ctrlPr>
          </m:sSubSupPr>
          <m:e>
            <m:r>
              <w:rPr>
                <w:rFonts w:ascii="Cambria Math" w:hAnsi="Cambria Math" w:cs="Times New Roman"/>
                <w:sz w:val="24"/>
                <w:szCs w:val="24"/>
              </w:rPr>
              <m:t>θ</m:t>
            </m:r>
          </m:e>
          <m:sub>
            <m:r>
              <w:rPr>
                <w:rFonts w:ascii="Cambria Math" w:hAnsi="Cambria Math" w:cs="Times New Roman"/>
                <w:sz w:val="24"/>
                <w:szCs w:val="24"/>
              </w:rPr>
              <m:t>i←j</m:t>
            </m:r>
          </m:sub>
          <m:sup>
            <m:r>
              <w:rPr>
                <w:rFonts w:ascii="Cambria Math" w:hAnsi="Cambria Math" w:cs="Times New Roman"/>
                <w:sz w:val="24"/>
                <w:szCs w:val="24"/>
              </w:rPr>
              <m:t>h</m:t>
            </m:r>
          </m:sup>
        </m:sSubSup>
      </m:oMath>
      <w:r>
        <w:rPr>
          <w:rFonts w:ascii="Times New Roman" w:hAnsi="Times New Roman" w:cs="Times New Roman"/>
          <w:sz w:val="24"/>
          <w:szCs w:val="24"/>
        </w:rPr>
        <w:t xml:space="preserve"> </w:t>
      </w:r>
      <w:r w:rsidRPr="00A35A74">
        <w:rPr>
          <w:rFonts w:ascii="Times New Roman" w:hAnsi="Times New Roman" w:cs="Times New Roman"/>
          <w:sz w:val="24"/>
          <w:szCs w:val="24"/>
        </w:rPr>
        <w:t xml:space="preserve">relata informações sobre a proporção do erro de previsão </w:t>
      </w:r>
      <w:r w:rsidRPr="00BB2A36">
        <w:rPr>
          <w:rFonts w:ascii="Times New Roman" w:eastAsiaTheme="minorEastAsia" w:hAnsi="Times New Roman" w:cs="Times New Roman"/>
          <w:i/>
          <w:iCs/>
          <w:noProof/>
          <w:sz w:val="24"/>
          <w:szCs w:val="24"/>
          <w:lang w:eastAsia="pt-BR"/>
        </w:rPr>
        <w:t>h</w:t>
      </w:r>
      <w:r>
        <w:rPr>
          <w:rFonts w:ascii="Times New Roman" w:eastAsiaTheme="minorEastAsia" w:hAnsi="Times New Roman" w:cs="Times New Roman"/>
          <w:i/>
          <w:iCs/>
          <w:noProof/>
          <w:sz w:val="24"/>
          <w:szCs w:val="24"/>
          <w:lang w:eastAsia="pt-BR"/>
        </w:rPr>
        <w:t xml:space="preserve"> </w:t>
      </w:r>
      <w:r>
        <w:rPr>
          <w:rFonts w:ascii="Times New Roman" w:eastAsiaTheme="minorEastAsia" w:hAnsi="Times New Roman" w:cs="Times New Roman"/>
          <w:noProof/>
          <w:sz w:val="24"/>
          <w:szCs w:val="24"/>
          <w:lang w:eastAsia="pt-BR"/>
        </w:rPr>
        <w:t xml:space="preserve">passos </w:t>
      </w:r>
      <w:r w:rsidRPr="00F262CF">
        <w:rPr>
          <w:rFonts w:ascii="Times New Roman" w:eastAsiaTheme="minorEastAsia" w:hAnsi="Times New Roman" w:cs="Times New Roman"/>
          <w:noProof/>
          <w:sz w:val="24"/>
          <w:szCs w:val="24"/>
          <w:lang w:eastAsia="pt-BR"/>
        </w:rPr>
        <w:t>à</w:t>
      </w:r>
      <w:r>
        <w:rPr>
          <w:rFonts w:ascii="Times New Roman" w:eastAsiaTheme="minorEastAsia" w:hAnsi="Times New Roman" w:cs="Times New Roman"/>
          <w:noProof/>
          <w:sz w:val="24"/>
          <w:szCs w:val="24"/>
          <w:lang w:eastAsia="pt-BR"/>
        </w:rPr>
        <w:t xml:space="preserve"> frente</w:t>
      </w:r>
      <w:r w:rsidRPr="00A35A74">
        <w:rPr>
          <w:rFonts w:ascii="Times New Roman" w:hAnsi="Times New Roman" w:cs="Times New Roman"/>
          <w:sz w:val="24"/>
          <w:szCs w:val="24"/>
        </w:rPr>
        <w:t xml:space="preserve"> para a variável </w:t>
      </w:r>
      <w:r w:rsidRPr="00A35A74">
        <w:rPr>
          <w:rFonts w:ascii="Times New Roman" w:hAnsi="Times New Roman" w:cs="Times New Roman"/>
          <w:i/>
          <w:iCs/>
          <w:sz w:val="24"/>
          <w:szCs w:val="24"/>
        </w:rPr>
        <w:t>i</w:t>
      </w:r>
      <w:r w:rsidRPr="00A35A74">
        <w:rPr>
          <w:rFonts w:ascii="Times New Roman" w:hAnsi="Times New Roman" w:cs="Times New Roman"/>
          <w:sz w:val="24"/>
          <w:szCs w:val="24"/>
        </w:rPr>
        <w:t xml:space="preserve"> que pode ser explicada pelos choques na variável </w:t>
      </w:r>
      <w:r w:rsidRPr="00A35A74">
        <w:rPr>
          <w:rFonts w:ascii="Times New Roman" w:hAnsi="Times New Roman" w:cs="Times New Roman"/>
          <w:i/>
          <w:iCs/>
          <w:sz w:val="24"/>
          <w:szCs w:val="24"/>
        </w:rPr>
        <w:t>j</w:t>
      </w:r>
      <w:r w:rsidRPr="00A35A74">
        <w:rPr>
          <w:rFonts w:ascii="Times New Roman" w:hAnsi="Times New Roman" w:cs="Times New Roman"/>
          <w:sz w:val="24"/>
          <w:szCs w:val="24"/>
        </w:rPr>
        <w:t xml:space="preserve">. </w:t>
      </w:r>
      <w:r w:rsidRPr="00922AE6">
        <w:rPr>
          <w:rFonts w:ascii="Times New Roman" w:hAnsi="Times New Roman" w:cs="Times New Roman"/>
          <w:noProof/>
          <w:sz w:val="24"/>
          <w:szCs w:val="24"/>
          <w:lang w:eastAsia="pt-BR"/>
        </w:rPr>
        <w:t>Mais precisamente, eles respondem às perguntas:</w:t>
      </w:r>
      <w:r>
        <w:rPr>
          <w:rFonts w:ascii="Times New Roman" w:hAnsi="Times New Roman" w:cs="Times New Roman"/>
          <w:noProof/>
          <w:sz w:val="24"/>
          <w:szCs w:val="24"/>
          <w:lang w:eastAsia="pt-BR"/>
        </w:rPr>
        <w:t xml:space="preserve"> </w:t>
      </w:r>
      <w:r w:rsidRPr="00922AE6">
        <w:rPr>
          <w:rFonts w:ascii="Times New Roman" w:hAnsi="Times New Roman" w:cs="Times New Roman"/>
          <w:noProof/>
          <w:sz w:val="24"/>
          <w:szCs w:val="24"/>
          <w:lang w:eastAsia="pt-BR"/>
        </w:rPr>
        <w:t xml:space="preserve">Qual fração da variação do erro de </w:t>
      </w:r>
      <w:r>
        <w:rPr>
          <w:rFonts w:ascii="Times New Roman" w:hAnsi="Times New Roman" w:cs="Times New Roman"/>
          <w:noProof/>
          <w:sz w:val="24"/>
          <w:szCs w:val="24"/>
          <w:lang w:eastAsia="pt-BR"/>
        </w:rPr>
        <w:t xml:space="preserve">previsão </w:t>
      </w:r>
      <w:r w:rsidRPr="00BB2A36">
        <w:rPr>
          <w:rFonts w:ascii="Times New Roman" w:eastAsiaTheme="minorEastAsia" w:hAnsi="Times New Roman" w:cs="Times New Roman"/>
          <w:i/>
          <w:iCs/>
          <w:noProof/>
          <w:sz w:val="24"/>
          <w:szCs w:val="24"/>
          <w:lang w:eastAsia="pt-BR"/>
        </w:rPr>
        <w:t>h</w:t>
      </w:r>
      <w:r w:rsidRPr="00922AE6">
        <w:rPr>
          <w:rFonts w:ascii="Times New Roman" w:hAnsi="Times New Roman" w:cs="Times New Roman"/>
          <w:noProof/>
          <w:sz w:val="24"/>
          <w:szCs w:val="24"/>
          <w:lang w:eastAsia="pt-BR"/>
        </w:rPr>
        <w:t xml:space="preserve"> passo</w:t>
      </w:r>
      <w:r w:rsidR="005D480F">
        <w:rPr>
          <w:rFonts w:ascii="Times New Roman" w:hAnsi="Times New Roman" w:cs="Times New Roman"/>
          <w:noProof/>
          <w:sz w:val="24"/>
          <w:szCs w:val="24"/>
          <w:lang w:eastAsia="pt-BR"/>
        </w:rPr>
        <w:t>s</w:t>
      </w:r>
      <w:r w:rsidRPr="00922AE6">
        <w:rPr>
          <w:rFonts w:ascii="Times New Roman" w:hAnsi="Times New Roman" w:cs="Times New Roman"/>
          <w:noProof/>
          <w:sz w:val="24"/>
          <w:szCs w:val="24"/>
          <w:lang w:eastAsia="pt-BR"/>
        </w:rPr>
        <w:t xml:space="preserve"> à frente </w:t>
      </w:r>
      <w:r>
        <w:rPr>
          <w:rFonts w:ascii="Times New Roman" w:hAnsi="Times New Roman" w:cs="Times New Roman"/>
          <w:noProof/>
          <w:sz w:val="24"/>
          <w:szCs w:val="24"/>
          <w:lang w:eastAsia="pt-BR"/>
        </w:rPr>
        <w:t xml:space="preserve">em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1</m:t>
            </m:r>
          </m:sub>
        </m:sSub>
      </m:oMath>
      <w:r>
        <w:rPr>
          <w:rFonts w:ascii="Times New Roman" w:eastAsiaTheme="minorEastAsia" w:hAnsi="Times New Roman" w:cs="Times New Roman"/>
          <w:noProof/>
          <w:sz w:val="24"/>
          <w:szCs w:val="24"/>
          <w:lang w:eastAsia="pt-BR"/>
        </w:rPr>
        <w:t xml:space="preserve"> </w:t>
      </w:r>
      <w:r w:rsidRPr="00922AE6">
        <w:rPr>
          <w:rFonts w:ascii="Times New Roman" w:hAnsi="Times New Roman" w:cs="Times New Roman"/>
          <w:noProof/>
          <w:sz w:val="24"/>
          <w:szCs w:val="24"/>
          <w:lang w:eastAsia="pt-BR"/>
        </w:rPr>
        <w:t xml:space="preserve">é devido a choques </w:t>
      </w:r>
      <w:r>
        <w:rPr>
          <w:rFonts w:ascii="Times New Roman" w:hAnsi="Times New Roman" w:cs="Times New Roman"/>
          <w:noProof/>
          <w:sz w:val="24"/>
          <w:szCs w:val="24"/>
          <w:lang w:eastAsia="pt-BR"/>
        </w:rPr>
        <w:t>em</w:t>
      </w:r>
      <w:r w:rsidRPr="00922AE6">
        <w:rPr>
          <w:rFonts w:ascii="Times New Roman" w:hAnsi="Times New Roman" w:cs="Times New Roman"/>
          <w:noProof/>
          <w:sz w:val="24"/>
          <w:szCs w:val="24"/>
          <w:lang w:eastAsia="pt-BR"/>
        </w:rPr>
        <w:t xml:space="preserve">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1</m:t>
            </m:r>
          </m:sub>
        </m:sSub>
      </m:oMath>
      <w:r w:rsidRPr="00922AE6">
        <w:rPr>
          <w:rFonts w:ascii="Times New Roman" w:hAnsi="Times New Roman" w:cs="Times New Roman"/>
          <w:noProof/>
          <w:sz w:val="24"/>
          <w:szCs w:val="24"/>
          <w:lang w:eastAsia="pt-BR"/>
        </w:rPr>
        <w:t xml:space="preserve">? Choques </w:t>
      </w:r>
      <w:r>
        <w:rPr>
          <w:rFonts w:ascii="Times New Roman" w:hAnsi="Times New Roman" w:cs="Times New Roman"/>
          <w:noProof/>
          <w:sz w:val="24"/>
          <w:szCs w:val="24"/>
          <w:lang w:eastAsia="pt-BR"/>
        </w:rPr>
        <w:t>em</w:t>
      </w:r>
      <w:r w:rsidRPr="00922AE6">
        <w:rPr>
          <w:rFonts w:ascii="Times New Roman" w:hAnsi="Times New Roman" w:cs="Times New Roman"/>
          <w:noProof/>
          <w:sz w:val="24"/>
          <w:szCs w:val="24"/>
          <w:lang w:eastAsia="pt-BR"/>
        </w:rPr>
        <w:t xml:space="preserve">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n</m:t>
            </m:r>
          </m:sub>
        </m:sSub>
      </m:oMath>
      <w:r w:rsidRPr="00922AE6">
        <w:rPr>
          <w:rFonts w:ascii="Times New Roman" w:hAnsi="Times New Roman" w:cs="Times New Roman"/>
          <w:noProof/>
          <w:sz w:val="24"/>
          <w:szCs w:val="24"/>
          <w:lang w:eastAsia="pt-BR"/>
        </w:rPr>
        <w:t>? E da mesma forma, que fração d</w:t>
      </w:r>
      <w:r>
        <w:rPr>
          <w:rFonts w:ascii="Times New Roman" w:hAnsi="Times New Roman" w:cs="Times New Roman"/>
          <w:noProof/>
          <w:sz w:val="24"/>
          <w:szCs w:val="24"/>
          <w:lang w:eastAsia="pt-BR"/>
        </w:rPr>
        <w:t>a</w:t>
      </w:r>
      <w:r w:rsidRPr="00922AE6">
        <w:rPr>
          <w:rFonts w:ascii="Times New Roman" w:hAnsi="Times New Roman" w:cs="Times New Roman"/>
          <w:noProof/>
          <w:sz w:val="24"/>
          <w:szCs w:val="24"/>
          <w:lang w:eastAsia="pt-BR"/>
        </w:rPr>
        <w:t xml:space="preserve"> variação de erro de </w:t>
      </w:r>
      <w:r>
        <w:rPr>
          <w:rFonts w:ascii="Times New Roman" w:hAnsi="Times New Roman" w:cs="Times New Roman"/>
          <w:noProof/>
          <w:sz w:val="24"/>
          <w:szCs w:val="24"/>
          <w:lang w:eastAsia="pt-BR"/>
        </w:rPr>
        <w:t xml:space="preserve">previsão </w:t>
      </w:r>
      <w:r w:rsidRPr="00BB2A36">
        <w:rPr>
          <w:rFonts w:ascii="Times New Roman" w:eastAsiaTheme="minorEastAsia" w:hAnsi="Times New Roman" w:cs="Times New Roman"/>
          <w:i/>
          <w:iCs/>
          <w:noProof/>
          <w:sz w:val="24"/>
          <w:szCs w:val="24"/>
          <w:lang w:eastAsia="pt-BR"/>
        </w:rPr>
        <w:t>h</w:t>
      </w:r>
      <w:r w:rsidRPr="00922AE6">
        <w:rPr>
          <w:rFonts w:ascii="Times New Roman" w:hAnsi="Times New Roman" w:cs="Times New Roman"/>
          <w:noProof/>
          <w:sz w:val="24"/>
          <w:szCs w:val="24"/>
          <w:lang w:eastAsia="pt-BR"/>
        </w:rPr>
        <w:t xml:space="preserve"> passo</w:t>
      </w:r>
      <w:r w:rsidR="005D480F">
        <w:rPr>
          <w:rFonts w:ascii="Times New Roman" w:hAnsi="Times New Roman" w:cs="Times New Roman"/>
          <w:noProof/>
          <w:sz w:val="24"/>
          <w:szCs w:val="24"/>
          <w:lang w:eastAsia="pt-BR"/>
        </w:rPr>
        <w:t>s</w:t>
      </w:r>
      <w:r w:rsidRPr="00922AE6">
        <w:rPr>
          <w:rFonts w:ascii="Times New Roman" w:hAnsi="Times New Roman" w:cs="Times New Roman"/>
          <w:noProof/>
          <w:sz w:val="24"/>
          <w:szCs w:val="24"/>
          <w:lang w:eastAsia="pt-BR"/>
        </w:rPr>
        <w:t xml:space="preserve"> à frente na previsão </w:t>
      </w:r>
      <w:r>
        <w:rPr>
          <w:rFonts w:ascii="Times New Roman" w:hAnsi="Times New Roman" w:cs="Times New Roman"/>
          <w:noProof/>
          <w:sz w:val="24"/>
          <w:szCs w:val="24"/>
          <w:lang w:eastAsia="pt-BR"/>
        </w:rPr>
        <w:t xml:space="preserve">de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n</m:t>
            </m:r>
          </m:sub>
        </m:sSub>
      </m:oMath>
      <w:r w:rsidRPr="00922AE6">
        <w:rPr>
          <w:rFonts w:ascii="Times New Roman" w:hAnsi="Times New Roman" w:cs="Times New Roman"/>
          <w:noProof/>
          <w:sz w:val="24"/>
          <w:szCs w:val="24"/>
          <w:lang w:eastAsia="pt-BR"/>
        </w:rPr>
        <w:t xml:space="preserve"> deve-se a choques </w:t>
      </w:r>
      <w:r>
        <w:rPr>
          <w:rFonts w:ascii="Times New Roman" w:hAnsi="Times New Roman" w:cs="Times New Roman"/>
          <w:noProof/>
          <w:sz w:val="24"/>
          <w:szCs w:val="24"/>
          <w:lang w:eastAsia="pt-BR"/>
        </w:rPr>
        <w:t>em</w:t>
      </w:r>
      <w:r w:rsidRPr="00922AE6">
        <w:rPr>
          <w:rFonts w:ascii="Times New Roman" w:hAnsi="Times New Roman" w:cs="Times New Roman"/>
          <w:noProof/>
          <w:sz w:val="24"/>
          <w:szCs w:val="24"/>
          <w:lang w:eastAsia="pt-BR"/>
        </w:rPr>
        <w:t xml:space="preserve">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1</m:t>
            </m:r>
          </m:sub>
        </m:sSub>
      </m:oMath>
      <w:r w:rsidRPr="00922AE6">
        <w:rPr>
          <w:rFonts w:ascii="Times New Roman" w:hAnsi="Times New Roman" w:cs="Times New Roman"/>
          <w:noProof/>
          <w:sz w:val="24"/>
          <w:szCs w:val="24"/>
          <w:lang w:eastAsia="pt-BR"/>
        </w:rPr>
        <w:t xml:space="preserve">? Choques </w:t>
      </w:r>
      <w:r>
        <w:rPr>
          <w:rFonts w:ascii="Times New Roman" w:hAnsi="Times New Roman" w:cs="Times New Roman"/>
          <w:noProof/>
          <w:sz w:val="24"/>
          <w:szCs w:val="24"/>
          <w:lang w:eastAsia="pt-BR"/>
        </w:rPr>
        <w:t>em</w:t>
      </w:r>
      <w:r w:rsidRPr="00922AE6">
        <w:rPr>
          <w:rFonts w:ascii="Times New Roman" w:hAnsi="Times New Roman" w:cs="Times New Roman"/>
          <w:noProof/>
          <w:sz w:val="24"/>
          <w:szCs w:val="24"/>
          <w:lang w:eastAsia="pt-BR"/>
        </w:rPr>
        <w:t xml:space="preserve"> </w:t>
      </w:r>
      <m:oMath>
        <m:sSub>
          <m:sSubPr>
            <m:ctrlPr>
              <w:rPr>
                <w:rFonts w:ascii="Cambria Math" w:hAnsi="Cambria Math" w:cs="Times New Roman"/>
                <w:i/>
                <w:noProof/>
                <w:sz w:val="24"/>
                <w:szCs w:val="24"/>
                <w:lang w:eastAsia="pt-BR"/>
              </w:rPr>
            </m:ctrlPr>
          </m:sSubPr>
          <m:e>
            <m:r>
              <w:rPr>
                <w:rFonts w:ascii="Cambria Math" w:hAnsi="Cambria Math" w:cs="Times New Roman"/>
                <w:noProof/>
                <w:sz w:val="24"/>
                <w:szCs w:val="24"/>
                <w:lang w:eastAsia="pt-BR"/>
              </w:rPr>
              <m:t>x</m:t>
            </m:r>
          </m:e>
          <m:sub>
            <m:r>
              <w:rPr>
                <w:rFonts w:ascii="Cambria Math" w:hAnsi="Cambria Math" w:cs="Times New Roman"/>
                <w:noProof/>
                <w:sz w:val="24"/>
                <w:szCs w:val="24"/>
                <w:lang w:eastAsia="pt-BR"/>
              </w:rPr>
              <m:t>n</m:t>
            </m:r>
          </m:sub>
        </m:sSub>
      </m:oMath>
      <w:r w:rsidRPr="00922AE6">
        <w:rPr>
          <w:rFonts w:ascii="Times New Roman" w:hAnsi="Times New Roman" w:cs="Times New Roman"/>
          <w:noProof/>
          <w:sz w:val="24"/>
          <w:szCs w:val="24"/>
          <w:lang w:eastAsia="pt-BR"/>
        </w:rPr>
        <w:t>?</w:t>
      </w:r>
    </w:p>
    <w:p w:rsidR="00BD7907" w:rsidRPr="00E31308" w:rsidRDefault="00BD7907" w:rsidP="00BD7907">
      <w:pPr>
        <w:spacing w:after="0" w:line="240" w:lineRule="auto"/>
        <w:ind w:left="709" w:firstLine="708"/>
        <w:jc w:val="both"/>
        <w:rPr>
          <w:rFonts w:ascii="Times New Roman" w:eastAsiaTheme="minorEastAsia" w:hAnsi="Times New Roman" w:cs="Times New Roman"/>
          <w:iCs/>
          <w:noProof/>
          <w:sz w:val="24"/>
          <w:szCs w:val="24"/>
          <w:lang w:eastAsia="pt-BR"/>
        </w:rPr>
      </w:pPr>
      <w:r>
        <w:rPr>
          <w:rFonts w:ascii="Times New Roman" w:hAnsi="Times New Roman" w:cs="Times New Roman"/>
          <w:noProof/>
          <w:sz w:val="24"/>
          <w:szCs w:val="24"/>
          <w:lang w:eastAsia="pt-BR"/>
        </w:rPr>
        <w:t xml:space="preserve">Usando essa informaçao </w:t>
      </w:r>
      <w:r w:rsidRPr="00984197">
        <w:rPr>
          <w:rFonts w:ascii="Times New Roman" w:hAnsi="Times New Roman" w:cs="Times New Roman"/>
          <w:noProof/>
          <w:sz w:val="24"/>
          <w:szCs w:val="24"/>
          <w:lang w:eastAsia="pt-BR"/>
        </w:rPr>
        <w:t>sobre a decomposição d</w:t>
      </w:r>
      <w:r>
        <w:rPr>
          <w:rFonts w:ascii="Times New Roman" w:hAnsi="Times New Roman" w:cs="Times New Roman"/>
          <w:noProof/>
          <w:sz w:val="24"/>
          <w:szCs w:val="24"/>
          <w:lang w:eastAsia="pt-BR"/>
        </w:rPr>
        <w:t>o erro de previsao da</w:t>
      </w:r>
      <w:r w:rsidRPr="00984197">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vari</w:t>
      </w:r>
      <w:r w:rsidR="005D480F">
        <w:rPr>
          <w:rFonts w:ascii="Times New Roman" w:hAnsi="Times New Roman" w:cs="Times New Roman"/>
          <w:noProof/>
          <w:sz w:val="24"/>
          <w:szCs w:val="24"/>
          <w:lang w:eastAsia="pt-BR"/>
        </w:rPr>
        <w:t>â</w:t>
      </w:r>
      <w:r>
        <w:rPr>
          <w:rFonts w:ascii="Times New Roman" w:hAnsi="Times New Roman" w:cs="Times New Roman"/>
          <w:noProof/>
          <w:sz w:val="24"/>
          <w:szCs w:val="24"/>
          <w:lang w:eastAsia="pt-BR"/>
        </w:rPr>
        <w:t xml:space="preserve">ncia, </w:t>
      </w:r>
      <w:r w:rsidRPr="006A25B6">
        <w:rPr>
          <w:rFonts w:ascii="Times New Roman" w:hAnsi="Times New Roman" w:cs="Times New Roman"/>
          <w:noProof/>
          <w:sz w:val="24"/>
          <w:szCs w:val="24"/>
          <w:lang w:eastAsia="pt-BR"/>
        </w:rPr>
        <w:t>Diebold e Yilmaz (2009), Diebold e Yilmaz (2012) e Diebold e Yilmaz (2014)</w:t>
      </w:r>
      <w:r>
        <w:rPr>
          <w:rFonts w:ascii="Times New Roman" w:hAnsi="Times New Roman" w:cs="Times New Roman"/>
          <w:noProof/>
          <w:sz w:val="24"/>
          <w:szCs w:val="24"/>
          <w:lang w:eastAsia="pt-BR"/>
        </w:rPr>
        <w:t xml:space="preserve"> </w:t>
      </w:r>
      <w:r w:rsidRPr="00984197">
        <w:rPr>
          <w:rFonts w:ascii="Times New Roman" w:hAnsi="Times New Roman" w:cs="Times New Roman"/>
          <w:noProof/>
          <w:sz w:val="24"/>
          <w:szCs w:val="24"/>
          <w:lang w:eastAsia="pt-BR"/>
        </w:rPr>
        <w:t>propõem identificar a conexão entre as variáveis endógenas.</w:t>
      </w:r>
      <w:r>
        <w:rPr>
          <w:rFonts w:ascii="Times New Roman" w:hAnsi="Times New Roman" w:cs="Times New Roman"/>
          <w:noProof/>
          <w:sz w:val="24"/>
          <w:szCs w:val="24"/>
          <w:lang w:eastAsia="pt-BR"/>
        </w:rPr>
        <w:t xml:space="preserve"> Consequentemente, as informaçoes fornecidas por </w:t>
      </w:r>
      <w:r w:rsidRPr="00F62E5F">
        <w:rPr>
          <w:noProof/>
          <w:position w:val="-14"/>
        </w:rPr>
        <w:object w:dxaOrig="440" w:dyaOrig="400">
          <v:shape id="_x0000_i1026" type="#_x0000_t75" alt="" style="width:21.75pt;height:20.25pt;mso-width-percent:0;mso-height-percent:0;mso-width-percent:0;mso-height-percent:0" o:ole="">
            <v:imagedata r:id="rId9" o:title=""/>
          </v:shape>
          <o:OLEObject Type="Embed" ProgID="Equation.DSMT4" ShapeID="_x0000_i1026" DrawAspect="Content" ObjectID="_1625251278" r:id="rId10"/>
        </w:object>
      </w:r>
      <w:r>
        <w:t xml:space="preserve"> </w:t>
      </w:r>
      <w:r>
        <w:rPr>
          <w:rFonts w:ascii="Times New Roman" w:hAnsi="Times New Roman" w:cs="Times New Roman"/>
          <w:sz w:val="24"/>
          <w:szCs w:val="24"/>
        </w:rPr>
        <w:t xml:space="preserve">podem ser usadas para </w:t>
      </w:r>
      <w:r w:rsidRPr="004960C7">
        <w:rPr>
          <w:rFonts w:ascii="Times New Roman" w:eastAsiaTheme="minorEastAsia" w:hAnsi="Times New Roman" w:cs="Times New Roman"/>
          <w:noProof/>
          <w:sz w:val="24"/>
          <w:szCs w:val="24"/>
          <w:lang w:eastAsia="pt-BR"/>
        </w:rPr>
        <w:t xml:space="preserve">converter o </w:t>
      </w:r>
      <w:r w:rsidRPr="004960C7">
        <w:rPr>
          <w:rFonts w:ascii="Times New Roman" w:eastAsiaTheme="minorEastAsia" w:hAnsi="Times New Roman" w:cs="Times New Roman"/>
          <w:i/>
          <w:noProof/>
          <w:sz w:val="24"/>
          <w:szCs w:val="24"/>
          <w:lang w:eastAsia="pt-BR"/>
        </w:rPr>
        <w:t>spillover</w:t>
      </w:r>
      <w:r>
        <w:rPr>
          <w:rFonts w:ascii="Times New Roman" w:eastAsiaTheme="minorEastAsia" w:hAnsi="Times New Roman" w:cs="Times New Roman"/>
          <w:noProof/>
          <w:sz w:val="24"/>
          <w:szCs w:val="24"/>
          <w:lang w:eastAsia="pt-BR"/>
        </w:rPr>
        <w:t xml:space="preserve"> total</w:t>
      </w:r>
      <w:r w:rsidRPr="004960C7">
        <w:rPr>
          <w:rFonts w:ascii="Times New Roman" w:eastAsiaTheme="minorEastAsia" w:hAnsi="Times New Roman" w:cs="Times New Roman"/>
          <w:noProof/>
          <w:sz w:val="24"/>
          <w:szCs w:val="24"/>
          <w:lang w:eastAsia="pt-BR"/>
        </w:rPr>
        <w:t xml:space="preserve"> </w:t>
      </w:r>
      <w:r>
        <w:rPr>
          <w:rFonts w:ascii="Times New Roman" w:eastAsiaTheme="minorEastAsia" w:hAnsi="Times New Roman" w:cs="Times New Roman"/>
          <w:noProof/>
          <w:sz w:val="24"/>
          <w:szCs w:val="24"/>
          <w:lang w:eastAsia="pt-BR"/>
        </w:rPr>
        <w:t xml:space="preserve">em </w:t>
      </w:r>
      <w:r w:rsidRPr="004960C7">
        <w:rPr>
          <w:rFonts w:ascii="Times New Roman" w:eastAsiaTheme="minorEastAsia" w:hAnsi="Times New Roman" w:cs="Times New Roman"/>
          <w:i/>
          <w:noProof/>
          <w:sz w:val="24"/>
          <w:szCs w:val="24"/>
          <w:lang w:eastAsia="pt-BR"/>
        </w:rPr>
        <w:t>spillover</w:t>
      </w:r>
      <w:r>
        <w:rPr>
          <w:rFonts w:ascii="Times New Roman" w:eastAsiaTheme="minorEastAsia" w:hAnsi="Times New Roman" w:cs="Times New Roman"/>
          <w:i/>
          <w:noProof/>
          <w:sz w:val="24"/>
          <w:szCs w:val="24"/>
          <w:lang w:eastAsia="pt-BR"/>
        </w:rPr>
        <w:t xml:space="preserve"> </w:t>
      </w:r>
      <w:r>
        <w:rPr>
          <w:rFonts w:ascii="Times New Roman" w:eastAsiaTheme="minorEastAsia" w:hAnsi="Times New Roman" w:cs="Times New Roman"/>
          <w:iCs/>
          <w:noProof/>
          <w:sz w:val="24"/>
          <w:szCs w:val="24"/>
          <w:lang w:eastAsia="pt-BR"/>
        </w:rPr>
        <w:t>enviado para ou recebido de uma variavel especifica, permitindo-nos co</w:t>
      </w:r>
      <w:r w:rsidR="005D480F">
        <w:rPr>
          <w:rFonts w:ascii="Times New Roman" w:eastAsiaTheme="minorEastAsia" w:hAnsi="Times New Roman" w:cs="Times New Roman"/>
          <w:iCs/>
          <w:noProof/>
          <w:sz w:val="24"/>
          <w:szCs w:val="24"/>
          <w:lang w:eastAsia="pt-BR"/>
        </w:rPr>
        <w:t>n</w:t>
      </w:r>
      <w:r>
        <w:rPr>
          <w:rFonts w:ascii="Times New Roman" w:eastAsiaTheme="minorEastAsia" w:hAnsi="Times New Roman" w:cs="Times New Roman"/>
          <w:iCs/>
          <w:noProof/>
          <w:sz w:val="24"/>
          <w:szCs w:val="24"/>
          <w:lang w:eastAsia="pt-BR"/>
        </w:rPr>
        <w:t xml:space="preserve">struir </w:t>
      </w:r>
      <w:r w:rsidR="005D480F">
        <w:rPr>
          <w:rFonts w:ascii="Times New Roman" w:eastAsiaTheme="minorEastAsia" w:hAnsi="Times New Roman" w:cs="Times New Roman"/>
          <w:iCs/>
          <w:noProof/>
          <w:sz w:val="24"/>
          <w:szCs w:val="24"/>
          <w:lang w:eastAsia="pt-BR"/>
        </w:rPr>
        <w:t xml:space="preserve">um </w:t>
      </w:r>
      <w:r w:rsidRPr="004960C7">
        <w:rPr>
          <w:rFonts w:ascii="Times New Roman" w:eastAsiaTheme="minorEastAsia" w:hAnsi="Times New Roman" w:cs="Times New Roman"/>
          <w:noProof/>
          <w:sz w:val="24"/>
          <w:szCs w:val="24"/>
          <w:lang w:eastAsia="pt-BR"/>
        </w:rPr>
        <w:t>índice facilmente interpretável</w:t>
      </w:r>
      <w:r>
        <w:rPr>
          <w:rFonts w:ascii="Times New Roman" w:eastAsiaTheme="minorEastAsia" w:hAnsi="Times New Roman" w:cs="Times New Roman"/>
          <w:noProof/>
          <w:sz w:val="24"/>
          <w:szCs w:val="24"/>
          <w:lang w:eastAsia="pt-BR"/>
        </w:rPr>
        <w:t xml:space="preserve"> </w:t>
      </w:r>
      <w:r w:rsidR="005D480F">
        <w:rPr>
          <w:rFonts w:ascii="Times New Roman" w:eastAsiaTheme="minorEastAsia" w:hAnsi="Times New Roman" w:cs="Times New Roman"/>
          <w:noProof/>
          <w:sz w:val="24"/>
          <w:szCs w:val="24"/>
          <w:lang w:eastAsia="pt-BR"/>
        </w:rPr>
        <w:t xml:space="preserve">capaz </w:t>
      </w:r>
      <w:r>
        <w:rPr>
          <w:rFonts w:ascii="Times New Roman" w:eastAsiaTheme="minorEastAsia" w:hAnsi="Times New Roman" w:cs="Times New Roman"/>
          <w:noProof/>
          <w:sz w:val="24"/>
          <w:szCs w:val="24"/>
          <w:lang w:eastAsia="pt-BR"/>
        </w:rPr>
        <w:t xml:space="preserve">de determinar receptores e trasmissores de choques dentro de um mercado. Ademais, essa abordagem </w:t>
      </w:r>
      <w:r w:rsidRPr="0070094C">
        <w:rPr>
          <w:rFonts w:ascii="Times New Roman" w:eastAsiaTheme="minorEastAsia" w:hAnsi="Times New Roman" w:cs="Times New Roman"/>
          <w:noProof/>
          <w:sz w:val="24"/>
          <w:szCs w:val="24"/>
          <w:lang w:eastAsia="pt-BR"/>
        </w:rPr>
        <w:t xml:space="preserve">fornece uma maneira flexível e atraente de medir a direção da contribuição da variável </w:t>
      </w:r>
      <w:r w:rsidRPr="0070094C">
        <w:rPr>
          <w:rFonts w:ascii="Times New Roman" w:eastAsiaTheme="minorEastAsia" w:hAnsi="Times New Roman" w:cs="Times New Roman"/>
          <w:i/>
          <w:iCs/>
          <w:noProof/>
          <w:sz w:val="24"/>
          <w:szCs w:val="24"/>
          <w:lang w:eastAsia="pt-BR"/>
        </w:rPr>
        <w:t>j</w:t>
      </w:r>
      <w:r w:rsidRPr="0070094C">
        <w:rPr>
          <w:rFonts w:ascii="Times New Roman" w:eastAsiaTheme="minorEastAsia" w:hAnsi="Times New Roman" w:cs="Times New Roman"/>
          <w:noProof/>
          <w:sz w:val="24"/>
          <w:szCs w:val="24"/>
          <w:lang w:eastAsia="pt-BR"/>
        </w:rPr>
        <w:t xml:space="preserve"> para a variável </w:t>
      </w:r>
      <w:r w:rsidRPr="0070094C">
        <w:rPr>
          <w:rFonts w:ascii="Times New Roman" w:eastAsiaTheme="minorEastAsia" w:hAnsi="Times New Roman" w:cs="Times New Roman"/>
          <w:i/>
          <w:iCs/>
          <w:noProof/>
          <w:sz w:val="24"/>
          <w:szCs w:val="24"/>
          <w:lang w:eastAsia="pt-BR"/>
        </w:rPr>
        <w:t>i</w:t>
      </w:r>
      <w:r w:rsidRPr="0070094C">
        <w:rPr>
          <w:rFonts w:ascii="Times New Roman" w:eastAsiaTheme="minorEastAsia" w:hAnsi="Times New Roman" w:cs="Times New Roman"/>
          <w:noProof/>
          <w:sz w:val="24"/>
          <w:szCs w:val="24"/>
          <w:lang w:eastAsia="pt-BR"/>
        </w:rPr>
        <w:t xml:space="preserve"> e vice-versa no horizonte </w:t>
      </w:r>
      <w:r w:rsidRPr="0070094C">
        <w:rPr>
          <w:rFonts w:ascii="Times New Roman" w:eastAsiaTheme="minorEastAsia" w:hAnsi="Times New Roman" w:cs="Times New Roman"/>
          <w:i/>
          <w:iCs/>
          <w:noProof/>
          <w:sz w:val="24"/>
          <w:szCs w:val="24"/>
          <w:lang w:eastAsia="pt-BR"/>
        </w:rPr>
        <w:t>h</w:t>
      </w:r>
      <w:r w:rsidRPr="0070094C">
        <w:rPr>
          <w:rFonts w:ascii="Times New Roman" w:eastAsiaTheme="minorEastAsia" w:hAnsi="Times New Roman" w:cs="Times New Roman"/>
          <w:noProof/>
          <w:sz w:val="24"/>
          <w:szCs w:val="24"/>
          <w:lang w:eastAsia="pt-BR"/>
        </w:rPr>
        <w:t>.</w:t>
      </w:r>
      <w:r>
        <w:rPr>
          <w:rFonts w:ascii="Times New Roman" w:eastAsiaTheme="minorEastAsia" w:hAnsi="Times New Roman" w:cs="Times New Roman"/>
          <w:noProof/>
          <w:sz w:val="24"/>
          <w:szCs w:val="24"/>
          <w:lang w:eastAsia="pt-BR"/>
        </w:rPr>
        <w:t xml:space="preserve"> Em termos mais especificos, podemos medir, para os diferentes </w:t>
      </w:r>
      <w:r w:rsidR="005D480F">
        <w:rPr>
          <w:rFonts w:ascii="Times New Roman" w:eastAsiaTheme="minorEastAsia" w:hAnsi="Times New Roman" w:cs="Times New Roman"/>
          <w:noProof/>
          <w:sz w:val="24"/>
          <w:szCs w:val="24"/>
          <w:lang w:eastAsia="pt-BR"/>
        </w:rPr>
        <w:t xml:space="preserve">preços dos </w:t>
      </w:r>
      <w:r>
        <w:rPr>
          <w:rFonts w:ascii="Times New Roman" w:eastAsiaTheme="minorEastAsia" w:hAnsi="Times New Roman" w:cs="Times New Roman"/>
          <w:noProof/>
          <w:sz w:val="24"/>
          <w:szCs w:val="24"/>
          <w:lang w:eastAsia="pt-BR"/>
        </w:rPr>
        <w:t>mercados de leite anali</w:t>
      </w:r>
      <w:r w:rsidR="005D480F">
        <w:rPr>
          <w:rFonts w:ascii="Times New Roman" w:eastAsiaTheme="minorEastAsia" w:hAnsi="Times New Roman" w:cs="Times New Roman"/>
          <w:noProof/>
          <w:sz w:val="24"/>
          <w:szCs w:val="24"/>
          <w:lang w:eastAsia="pt-BR"/>
        </w:rPr>
        <w:t>s</w:t>
      </w:r>
      <w:r>
        <w:rPr>
          <w:rFonts w:ascii="Times New Roman" w:eastAsiaTheme="minorEastAsia" w:hAnsi="Times New Roman" w:cs="Times New Roman"/>
          <w:noProof/>
          <w:sz w:val="24"/>
          <w:szCs w:val="24"/>
          <w:lang w:eastAsia="pt-BR"/>
        </w:rPr>
        <w:t>ado (</w:t>
      </w:r>
      <w:r>
        <w:rPr>
          <w:rFonts w:ascii="Times New Roman" w:hAnsi="Times New Roman" w:cs="Times New Roman"/>
          <w:noProof/>
          <w:sz w:val="24"/>
          <w:szCs w:val="24"/>
          <w:lang w:eastAsia="pt-BR"/>
        </w:rPr>
        <w:t>produtor, atacado e varejo)</w:t>
      </w:r>
      <w:r w:rsidR="005D480F">
        <w:rPr>
          <w:rFonts w:ascii="Times New Roman" w:hAnsi="Times New Roman" w:cs="Times New Roman"/>
          <w:noProof/>
          <w:sz w:val="24"/>
          <w:szCs w:val="24"/>
          <w:lang w:eastAsia="pt-BR"/>
        </w:rPr>
        <w:t>,</w:t>
      </w:r>
      <w:r>
        <w:rPr>
          <w:rFonts w:ascii="Times New Roman" w:hAnsi="Times New Roman" w:cs="Times New Roman"/>
          <w:noProof/>
          <w:sz w:val="24"/>
          <w:szCs w:val="24"/>
          <w:lang w:eastAsia="pt-BR"/>
        </w:rPr>
        <w:t xml:space="preserve"> a contribuiçao de cada um dos estados sobre a formaçao de preço</w:t>
      </w:r>
      <w:r w:rsidR="005D480F">
        <w:rPr>
          <w:rFonts w:ascii="Times New Roman" w:hAnsi="Times New Roman" w:cs="Times New Roman"/>
          <w:noProof/>
          <w:sz w:val="24"/>
          <w:szCs w:val="24"/>
          <w:lang w:eastAsia="pt-BR"/>
        </w:rPr>
        <w:t>s</w:t>
      </w:r>
      <w:r>
        <w:rPr>
          <w:rFonts w:ascii="Times New Roman" w:hAnsi="Times New Roman" w:cs="Times New Roman"/>
          <w:noProof/>
          <w:sz w:val="24"/>
          <w:szCs w:val="24"/>
          <w:lang w:eastAsia="pt-BR"/>
        </w:rPr>
        <w:t xml:space="preserve"> ao produtor, atacado e varejo. </w:t>
      </w:r>
    </w:p>
    <w:p w:rsidR="00BD7907" w:rsidRDefault="00BD7907" w:rsidP="00BD7907">
      <w:pPr>
        <w:pStyle w:val="PargrafodaLista"/>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t xml:space="preserve">Antes de estimar o modelo, é necessário verificar se as séries apresentam um comportamento constante no tempo, ou seja, sejam estacionárias. Ferreira (2018) afirma que um processo estocástico é estacionário se sua média e autocovariância são constantes no tempo. O autor sugere a utilização de testes estatísticos como Dickey-Fuller aumentado (ADF), KPSS (Kwiatkowski, Phillips, Schmidt e Shin) e Phillips-Perron (PP). </w:t>
      </w:r>
    </w:p>
    <w:p w:rsidR="00BD7907" w:rsidRDefault="00BD7907" w:rsidP="00BD7907">
      <w:pPr>
        <w:pStyle w:val="PargrafodaLista"/>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t xml:space="preserve">O próximo passo, após obter a ordem de integração das séries, foi determinar o número de defasagens do VAR. Conforme Pfaff (2008) </w:t>
      </w:r>
      <w:r w:rsidRPr="00A351FB">
        <w:rPr>
          <w:rFonts w:ascii="Times New Roman" w:hAnsi="Times New Roman" w:cs="Times New Roman"/>
          <w:i/>
          <w:sz w:val="24"/>
          <w:szCs w:val="24"/>
        </w:rPr>
        <w:t>apud</w:t>
      </w:r>
      <w:r>
        <w:rPr>
          <w:rFonts w:ascii="Times New Roman" w:hAnsi="Times New Roman" w:cs="Times New Roman"/>
          <w:sz w:val="24"/>
          <w:szCs w:val="24"/>
        </w:rPr>
        <w:t xml:space="preserve"> Ferreira (2018), a determinação da quantidade de defasagens do VAR se faz através de critérios de informação ou pelo erro final de previsão. Os três critérios utilizados foram Akaike (AIC), Schwartz (SC) e Hannan-Quinn (HQ) além do erro final </w:t>
      </w:r>
      <w:r>
        <w:rPr>
          <w:rFonts w:ascii="Times New Roman" w:hAnsi="Times New Roman" w:cs="Times New Roman"/>
          <w:sz w:val="24"/>
          <w:szCs w:val="24"/>
        </w:rPr>
        <w:lastRenderedPageBreak/>
        <w:t>de previsão (FPE). Sendo assim, a defasagem ótima é sempre aquela para qual o critério apresenta o menor valor.</w:t>
      </w:r>
    </w:p>
    <w:p w:rsidR="00BD7907" w:rsidRDefault="00BD7907" w:rsidP="00BD7907">
      <w:pPr>
        <w:pStyle w:val="PargrafodaLista"/>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t>Tendo obtido o número de defasagens, foram feitos os testes de análise dos resíduos. Para testar a presença de correlação residual, utilizou-se o teste de Portmanteu além do teste de Breusch-Godfrey. Por último, utilizando-se a decomposição de Choleski, calculou-se a decomposição da variância a qual, segundo Ferreira (2018) permite verificar quais variáveis são realmente importantes quando o objetivo é realizar previsões. Quanto maior for a contribuição percentual de uma variável para a variação total de outra, mais importante ela é para realizar boas previsões da qual realizamos a decomposição.</w:t>
      </w:r>
    </w:p>
    <w:p w:rsidR="00BD7907" w:rsidRDefault="00BD7907" w:rsidP="00BD7907">
      <w:pPr>
        <w:pStyle w:val="PargrafodaLista"/>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t>A ordenação das variáveis para a decomposição de Cholescki no modelo de transmissão de preços pagos ao produtor foi: MG, RS, PR, GO, SP, que são respectivamente, Minas Gerais, Rio Grande do Sul, Paraná, Goiás e São Paulo. Essa ordenação se justifica pelo ranking dos estados produtores, conforme citado anteriormente.</w:t>
      </w:r>
    </w:p>
    <w:p w:rsidR="00BD7907" w:rsidRDefault="00BD7907" w:rsidP="00BD7907">
      <w:pPr>
        <w:pStyle w:val="PargrafodaLista"/>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b/>
        <w:t>No caso dos preços do leite UHT no atacado, a ordenação das variáveis foi feita segundo o número de laticínios presentes em cada estado: MG, SP, PR, RS e GO. Reitera-se que, conjuntamente, esses estados possuem quase 60% dos laticínios atuantes no Brasil.</w:t>
      </w:r>
    </w:p>
    <w:p w:rsidR="00BD7907" w:rsidRDefault="00BD7907" w:rsidP="00BD7907">
      <w:pPr>
        <w:spacing w:after="0" w:line="240" w:lineRule="auto"/>
        <w:ind w:left="709" w:firstLine="708"/>
        <w:jc w:val="both"/>
        <w:rPr>
          <w:rFonts w:ascii="Times New Roman" w:hAnsi="Times New Roman" w:cs="Times New Roman"/>
          <w:noProof/>
          <w:sz w:val="24"/>
          <w:szCs w:val="24"/>
          <w:lang w:eastAsia="pt-BR"/>
        </w:rPr>
      </w:pPr>
      <w:r>
        <w:rPr>
          <w:rFonts w:ascii="Times New Roman" w:hAnsi="Times New Roman" w:cs="Times New Roman"/>
          <w:sz w:val="24"/>
          <w:szCs w:val="24"/>
        </w:rPr>
        <w:t xml:space="preserve">Por último, no caso do modelo de transmissão de preços no varejo, o critério para ordenação dos estados foi feito utilizando o critério de margem relativa total. A margem relativa total é obtida somando-se a margem relativa no varejo (diferença entre o preço no varejo e o preço pago ao produtor dividida pelo preço no varejo) mais a margem relativa no atacado (diferença entre o preço no atacado e o preço pago ao produtor dividida pelo preço no atacado). Conforme Carvalhaes et. al (2015), </w:t>
      </w:r>
      <w:r w:rsidRPr="00AC03E4">
        <w:rPr>
          <w:rFonts w:ascii="Times New Roman" w:hAnsi="Times New Roman" w:cs="Times New Roman"/>
          <w:sz w:val="24"/>
          <w:szCs w:val="24"/>
        </w:rPr>
        <w:t>a análise das margens de</w:t>
      </w:r>
      <w:r>
        <w:rPr>
          <w:rFonts w:ascii="Times New Roman" w:hAnsi="Times New Roman" w:cs="Times New Roman"/>
          <w:sz w:val="24"/>
          <w:szCs w:val="24"/>
        </w:rPr>
        <w:t xml:space="preserve"> </w:t>
      </w:r>
      <w:r w:rsidRPr="00AC03E4">
        <w:rPr>
          <w:rFonts w:ascii="Times New Roman" w:hAnsi="Times New Roman" w:cs="Times New Roman"/>
          <w:sz w:val="24"/>
          <w:szCs w:val="24"/>
        </w:rPr>
        <w:t>comercialização pode indicar que determinado</w:t>
      </w:r>
      <w:r>
        <w:rPr>
          <w:rFonts w:ascii="Times New Roman" w:hAnsi="Times New Roman" w:cs="Times New Roman"/>
          <w:sz w:val="24"/>
          <w:szCs w:val="24"/>
        </w:rPr>
        <w:t xml:space="preserve"> </w:t>
      </w:r>
      <w:r w:rsidRPr="00AC03E4">
        <w:rPr>
          <w:rFonts w:ascii="Times New Roman" w:hAnsi="Times New Roman" w:cs="Times New Roman"/>
          <w:sz w:val="24"/>
          <w:szCs w:val="24"/>
        </w:rPr>
        <w:t>agente que comercializa certo produto pode</w:t>
      </w:r>
      <w:r>
        <w:rPr>
          <w:rFonts w:ascii="Times New Roman" w:hAnsi="Times New Roman" w:cs="Times New Roman"/>
          <w:sz w:val="24"/>
          <w:szCs w:val="24"/>
        </w:rPr>
        <w:t xml:space="preserve"> e</w:t>
      </w:r>
      <w:r w:rsidRPr="00AC03E4">
        <w:rPr>
          <w:rFonts w:ascii="Times New Roman" w:hAnsi="Times New Roman" w:cs="Times New Roman"/>
          <w:sz w:val="24"/>
          <w:szCs w:val="24"/>
        </w:rPr>
        <w:t>star exercendo poder de mercado</w:t>
      </w:r>
      <w:r>
        <w:rPr>
          <w:rFonts w:ascii="Times New Roman" w:hAnsi="Times New Roman" w:cs="Times New Roman"/>
          <w:sz w:val="24"/>
          <w:szCs w:val="24"/>
        </w:rPr>
        <w:t>. Dessa forma, temos a seguinte disposição: SP, GO, PR, MG e RS.</w:t>
      </w:r>
    </w:p>
    <w:p w:rsidR="00BD7907" w:rsidRDefault="00BD7907" w:rsidP="00697DC6">
      <w:pPr>
        <w:spacing w:after="0" w:line="240" w:lineRule="auto"/>
        <w:ind w:left="709" w:firstLine="708"/>
        <w:jc w:val="both"/>
        <w:rPr>
          <w:rFonts w:ascii="Times New Roman" w:hAnsi="Times New Roman" w:cs="Times New Roman"/>
          <w:noProof/>
          <w:sz w:val="24"/>
          <w:szCs w:val="24"/>
          <w:lang w:eastAsia="pt-BR"/>
        </w:rPr>
      </w:pPr>
    </w:p>
    <w:p w:rsidR="00A96DCC" w:rsidRPr="00A96DCC" w:rsidRDefault="00A96DCC" w:rsidP="00A96DCC">
      <w:pPr>
        <w:pStyle w:val="PargrafodaLista"/>
        <w:numPr>
          <w:ilvl w:val="0"/>
          <w:numId w:val="1"/>
        </w:numPr>
        <w:spacing w:after="0" w:line="240" w:lineRule="auto"/>
        <w:jc w:val="both"/>
        <w:rPr>
          <w:rFonts w:ascii="Times New Roman" w:hAnsi="Times New Roman" w:cs="Times New Roman"/>
          <w:b/>
          <w:sz w:val="24"/>
          <w:szCs w:val="24"/>
        </w:rPr>
      </w:pPr>
      <w:r w:rsidRPr="00A96DCC">
        <w:rPr>
          <w:rFonts w:ascii="Times New Roman" w:hAnsi="Times New Roman" w:cs="Times New Roman"/>
          <w:b/>
          <w:sz w:val="24"/>
          <w:szCs w:val="24"/>
        </w:rPr>
        <w:t>Fonte e Tratamento dos Dados</w:t>
      </w:r>
    </w:p>
    <w:p w:rsidR="00A96DCC" w:rsidRDefault="00A96DCC" w:rsidP="00A96DCC">
      <w:pPr>
        <w:pStyle w:val="PargrafodaLista"/>
        <w:spacing w:after="0" w:line="240" w:lineRule="auto"/>
        <w:jc w:val="both"/>
        <w:rPr>
          <w:rFonts w:ascii="Times New Roman" w:hAnsi="Times New Roman" w:cs="Times New Roman"/>
          <w:sz w:val="24"/>
          <w:szCs w:val="24"/>
        </w:rPr>
      </w:pPr>
    </w:p>
    <w:p w:rsidR="00A96DCC" w:rsidRDefault="000830BB" w:rsidP="000830BB">
      <w:pPr>
        <w:pStyle w:val="PargrafodaLista"/>
        <w:spacing w:after="0" w:line="240" w:lineRule="auto"/>
        <w:ind w:left="709" w:firstLine="707"/>
        <w:jc w:val="both"/>
        <w:rPr>
          <w:rFonts w:ascii="Times New Roman" w:hAnsi="Times New Roman" w:cs="Times New Roman"/>
          <w:sz w:val="24"/>
          <w:szCs w:val="24"/>
        </w:rPr>
      </w:pPr>
      <w:r w:rsidRPr="000830BB">
        <w:rPr>
          <w:rFonts w:ascii="Times New Roman" w:hAnsi="Times New Roman" w:cs="Times New Roman"/>
          <w:sz w:val="24"/>
          <w:szCs w:val="24"/>
        </w:rPr>
        <w:t>Para o desenvolvimento das análises foram utilizadas as séries mensais dos preços do leite cru pago ao produtor incluindo frete e 2,3% do Funral, preços do leite UHT integral no atacado e no varejo no período de janeiro de 200</w:t>
      </w:r>
      <w:r w:rsidR="00F95C35">
        <w:rPr>
          <w:rFonts w:ascii="Times New Roman" w:hAnsi="Times New Roman" w:cs="Times New Roman"/>
          <w:sz w:val="24"/>
          <w:szCs w:val="24"/>
        </w:rPr>
        <w:t>7</w:t>
      </w:r>
      <w:r w:rsidRPr="000830BB">
        <w:rPr>
          <w:rFonts w:ascii="Times New Roman" w:hAnsi="Times New Roman" w:cs="Times New Roman"/>
          <w:sz w:val="24"/>
          <w:szCs w:val="24"/>
        </w:rPr>
        <w:t xml:space="preserve"> até dezembro de 2018. As variáveis e suas fontes estão demonstradas no quadro 1.</w:t>
      </w:r>
      <w:r w:rsidR="004265E7">
        <w:rPr>
          <w:rFonts w:ascii="Times New Roman" w:hAnsi="Times New Roman" w:cs="Times New Roman"/>
          <w:sz w:val="24"/>
          <w:szCs w:val="24"/>
        </w:rPr>
        <w:t xml:space="preserve"> O software utilizado na análise dos dados foi o RStudio.</w:t>
      </w:r>
    </w:p>
    <w:p w:rsidR="004265E7" w:rsidRDefault="004265E7" w:rsidP="004265E7">
      <w:pPr>
        <w:spacing w:after="0"/>
        <w:ind w:firstLine="708"/>
        <w:jc w:val="both"/>
        <w:rPr>
          <w:rFonts w:ascii="Times New Roman" w:hAnsi="Times New Roman" w:cs="Times New Roman"/>
          <w:noProof/>
          <w:sz w:val="24"/>
          <w:szCs w:val="24"/>
          <w:lang w:eastAsia="pt-BR"/>
        </w:rPr>
      </w:pPr>
    </w:p>
    <w:p w:rsidR="004265E7" w:rsidRDefault="004265E7" w:rsidP="004265E7">
      <w:pPr>
        <w:spacing w:after="0"/>
        <w:ind w:firstLine="708"/>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Quadro 1: Detalhamento das variáveis</w:t>
      </w:r>
    </w:p>
    <w:tbl>
      <w:tblPr>
        <w:tblStyle w:val="Tabelacomgrade"/>
        <w:tblW w:w="9497" w:type="dxa"/>
        <w:tblInd w:w="704" w:type="dxa"/>
        <w:tblLook w:val="04A0" w:firstRow="1" w:lastRow="0" w:firstColumn="1" w:lastColumn="0" w:noHBand="0" w:noVBand="1"/>
      </w:tblPr>
      <w:tblGrid>
        <w:gridCol w:w="2407"/>
        <w:gridCol w:w="4961"/>
        <w:gridCol w:w="2129"/>
      </w:tblGrid>
      <w:tr w:rsidR="004265E7" w:rsidTr="004265E7">
        <w:tc>
          <w:tcPr>
            <w:tcW w:w="2407" w:type="dxa"/>
          </w:tcPr>
          <w:p w:rsidR="004265E7" w:rsidRPr="00722893" w:rsidRDefault="004265E7" w:rsidP="004265E7">
            <w:pPr>
              <w:jc w:val="center"/>
              <w:rPr>
                <w:rFonts w:ascii="Times New Roman" w:hAnsi="Times New Roman" w:cs="Times New Roman"/>
                <w:b/>
                <w:noProof/>
                <w:sz w:val="24"/>
                <w:szCs w:val="24"/>
                <w:lang w:eastAsia="pt-BR"/>
              </w:rPr>
            </w:pPr>
            <w:r w:rsidRPr="00722893">
              <w:rPr>
                <w:rFonts w:ascii="Times New Roman" w:hAnsi="Times New Roman" w:cs="Times New Roman"/>
                <w:b/>
                <w:noProof/>
                <w:sz w:val="24"/>
                <w:szCs w:val="24"/>
                <w:lang w:eastAsia="pt-BR"/>
              </w:rPr>
              <w:t>Variável</w:t>
            </w:r>
          </w:p>
        </w:tc>
        <w:tc>
          <w:tcPr>
            <w:tcW w:w="4961" w:type="dxa"/>
          </w:tcPr>
          <w:p w:rsidR="004265E7" w:rsidRPr="00722893" w:rsidRDefault="004265E7" w:rsidP="004265E7">
            <w:pPr>
              <w:jc w:val="center"/>
              <w:rPr>
                <w:rFonts w:ascii="Times New Roman" w:hAnsi="Times New Roman" w:cs="Times New Roman"/>
                <w:b/>
                <w:noProof/>
                <w:sz w:val="24"/>
                <w:szCs w:val="24"/>
                <w:lang w:eastAsia="pt-BR"/>
              </w:rPr>
            </w:pPr>
            <w:r w:rsidRPr="00722893">
              <w:rPr>
                <w:rFonts w:ascii="Times New Roman" w:hAnsi="Times New Roman" w:cs="Times New Roman"/>
                <w:b/>
                <w:noProof/>
                <w:sz w:val="24"/>
                <w:szCs w:val="24"/>
                <w:lang w:eastAsia="pt-BR"/>
              </w:rPr>
              <w:t>Descrição da Variável</w:t>
            </w:r>
          </w:p>
        </w:tc>
        <w:tc>
          <w:tcPr>
            <w:tcW w:w="2129" w:type="dxa"/>
          </w:tcPr>
          <w:p w:rsidR="004265E7" w:rsidRPr="00722893" w:rsidRDefault="004265E7" w:rsidP="004265E7">
            <w:pPr>
              <w:jc w:val="center"/>
              <w:rPr>
                <w:rFonts w:ascii="Times New Roman" w:hAnsi="Times New Roman" w:cs="Times New Roman"/>
                <w:b/>
                <w:noProof/>
                <w:sz w:val="24"/>
                <w:szCs w:val="24"/>
                <w:lang w:eastAsia="pt-BR"/>
              </w:rPr>
            </w:pPr>
            <w:r w:rsidRPr="00722893">
              <w:rPr>
                <w:rFonts w:ascii="Times New Roman" w:hAnsi="Times New Roman" w:cs="Times New Roman"/>
                <w:b/>
                <w:noProof/>
                <w:sz w:val="24"/>
                <w:szCs w:val="24"/>
                <w:lang w:eastAsia="pt-BR"/>
              </w:rPr>
              <w:t>Fonte</w:t>
            </w:r>
          </w:p>
        </w:tc>
      </w:tr>
      <w:tr w:rsidR="004265E7" w:rsidTr="004265E7">
        <w:tc>
          <w:tcPr>
            <w:tcW w:w="2407" w:type="dxa"/>
            <w:vAlign w:val="center"/>
          </w:tcPr>
          <w:p w:rsidR="004265E7"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Preço do leite pago produtor</w:t>
            </w:r>
          </w:p>
        </w:tc>
        <w:tc>
          <w:tcPr>
            <w:tcW w:w="4961" w:type="dxa"/>
          </w:tcPr>
          <w:p w:rsidR="004265E7" w:rsidRPr="00722893" w:rsidRDefault="004265E7" w:rsidP="004265E7">
            <w:pPr>
              <w:jc w:val="both"/>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nominal do leite pago ao produtor</w:t>
            </w:r>
          </w:p>
          <w:p w:rsidR="004265E7" w:rsidRDefault="004265E7" w:rsidP="004265E7">
            <w:pPr>
              <w:jc w:val="both"/>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 xml:space="preserve">(R$/L) </w:t>
            </w:r>
            <w:r>
              <w:rPr>
                <w:rFonts w:ascii="Times New Roman" w:hAnsi="Times New Roman" w:cs="Times New Roman"/>
                <w:noProof/>
                <w:sz w:val="24"/>
                <w:szCs w:val="24"/>
                <w:lang w:eastAsia="pt-BR"/>
              </w:rPr>
              <w:t>–</w:t>
            </w:r>
            <w:r w:rsidRPr="00722893">
              <w:rPr>
                <w:rFonts w:ascii="Times New Roman" w:hAnsi="Times New Roman" w:cs="Times New Roman"/>
                <w:noProof/>
                <w:sz w:val="24"/>
                <w:szCs w:val="24"/>
                <w:lang w:eastAsia="pt-BR"/>
              </w:rPr>
              <w:t xml:space="preserve"> valores</w:t>
            </w:r>
            <w:r>
              <w:rPr>
                <w:rFonts w:ascii="Times New Roman" w:hAnsi="Times New Roman" w:cs="Times New Roman"/>
                <w:noProof/>
                <w:sz w:val="24"/>
                <w:szCs w:val="24"/>
                <w:lang w:eastAsia="pt-BR"/>
              </w:rPr>
              <w:t xml:space="preserve"> </w:t>
            </w:r>
            <w:r w:rsidRPr="00722893">
              <w:rPr>
                <w:rFonts w:ascii="Times New Roman" w:hAnsi="Times New Roman" w:cs="Times New Roman"/>
                <w:noProof/>
                <w:sz w:val="24"/>
                <w:szCs w:val="24"/>
                <w:lang w:eastAsia="pt-BR"/>
              </w:rPr>
              <w:t>brutos (incluídos frete e CESSR)</w:t>
            </w:r>
          </w:p>
        </w:tc>
        <w:tc>
          <w:tcPr>
            <w:tcW w:w="2129" w:type="dxa"/>
            <w:vAlign w:val="center"/>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CEPEA – ESALQ</w:t>
            </w:r>
          </w:p>
        </w:tc>
      </w:tr>
      <w:tr w:rsidR="004265E7" w:rsidTr="004265E7">
        <w:tc>
          <w:tcPr>
            <w:tcW w:w="2407" w:type="dxa"/>
            <w:vMerge w:val="restart"/>
            <w:vAlign w:val="center"/>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do leite no varejo</w:t>
            </w:r>
          </w:p>
        </w:tc>
        <w:tc>
          <w:tcPr>
            <w:tcW w:w="4961"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varejo</w:t>
            </w:r>
            <w:r>
              <w:rPr>
                <w:rFonts w:ascii="Times New Roman" w:hAnsi="Times New Roman" w:cs="Times New Roman"/>
                <w:noProof/>
                <w:sz w:val="24"/>
                <w:szCs w:val="24"/>
                <w:lang w:eastAsia="pt-BR"/>
              </w:rPr>
              <w:t xml:space="preserve"> – MG </w:t>
            </w:r>
          </w:p>
        </w:tc>
        <w:tc>
          <w:tcPr>
            <w:tcW w:w="2129" w:type="dxa"/>
          </w:tcPr>
          <w:p w:rsidR="004265E7"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IPEAD – </w:t>
            </w:r>
            <w:r w:rsidRPr="00722893">
              <w:rPr>
                <w:rFonts w:ascii="Times New Roman" w:hAnsi="Times New Roman" w:cs="Times New Roman"/>
                <w:noProof/>
                <w:sz w:val="24"/>
                <w:szCs w:val="24"/>
                <w:lang w:eastAsia="pt-BR"/>
              </w:rPr>
              <w:t>UFMG</w:t>
            </w:r>
            <w:r>
              <w:rPr>
                <w:rFonts w:ascii="Times New Roman" w:hAnsi="Times New Roman" w:cs="Times New Roman"/>
                <w:noProof/>
                <w:sz w:val="24"/>
                <w:szCs w:val="24"/>
                <w:lang w:eastAsia="pt-BR"/>
              </w:rPr>
              <w:t xml:space="preserve"> </w:t>
            </w:r>
          </w:p>
        </w:tc>
      </w:tr>
      <w:tr w:rsidR="004265E7" w:rsidTr="004265E7">
        <w:tc>
          <w:tcPr>
            <w:tcW w:w="2407" w:type="dxa"/>
            <w:vMerge/>
          </w:tcPr>
          <w:p w:rsidR="004265E7" w:rsidRDefault="004265E7" w:rsidP="004265E7">
            <w:pPr>
              <w:jc w:val="both"/>
              <w:rPr>
                <w:rFonts w:ascii="Times New Roman" w:hAnsi="Times New Roman" w:cs="Times New Roman"/>
                <w:noProof/>
                <w:sz w:val="24"/>
                <w:szCs w:val="24"/>
                <w:lang w:eastAsia="pt-BR"/>
              </w:rPr>
            </w:pPr>
          </w:p>
        </w:tc>
        <w:tc>
          <w:tcPr>
            <w:tcW w:w="4961"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varejo</w:t>
            </w:r>
            <w:r>
              <w:rPr>
                <w:rFonts w:ascii="Times New Roman" w:hAnsi="Times New Roman" w:cs="Times New Roman"/>
                <w:noProof/>
                <w:sz w:val="24"/>
                <w:szCs w:val="24"/>
                <w:lang w:eastAsia="pt-BR"/>
              </w:rPr>
              <w:t xml:space="preserve"> – RS</w:t>
            </w:r>
          </w:p>
        </w:tc>
        <w:tc>
          <w:tcPr>
            <w:tcW w:w="2129" w:type="dxa"/>
          </w:tcPr>
          <w:p w:rsidR="004265E7"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IEPE – </w:t>
            </w:r>
            <w:r w:rsidRPr="00722893">
              <w:rPr>
                <w:rFonts w:ascii="Times New Roman" w:hAnsi="Times New Roman" w:cs="Times New Roman"/>
                <w:noProof/>
                <w:sz w:val="24"/>
                <w:szCs w:val="24"/>
                <w:lang w:eastAsia="pt-BR"/>
              </w:rPr>
              <w:t>UFRGS</w:t>
            </w:r>
            <w:r>
              <w:rPr>
                <w:rFonts w:ascii="Times New Roman" w:hAnsi="Times New Roman" w:cs="Times New Roman"/>
                <w:noProof/>
                <w:sz w:val="24"/>
                <w:szCs w:val="24"/>
                <w:lang w:eastAsia="pt-BR"/>
              </w:rPr>
              <w:t xml:space="preserve"> </w:t>
            </w:r>
          </w:p>
        </w:tc>
      </w:tr>
      <w:tr w:rsidR="004265E7" w:rsidTr="004265E7">
        <w:tc>
          <w:tcPr>
            <w:tcW w:w="2407" w:type="dxa"/>
            <w:vMerge/>
          </w:tcPr>
          <w:p w:rsidR="004265E7" w:rsidRDefault="004265E7" w:rsidP="004265E7">
            <w:pPr>
              <w:jc w:val="both"/>
              <w:rPr>
                <w:rFonts w:ascii="Times New Roman" w:hAnsi="Times New Roman" w:cs="Times New Roman"/>
                <w:noProof/>
                <w:sz w:val="24"/>
                <w:szCs w:val="24"/>
                <w:lang w:eastAsia="pt-BR"/>
              </w:rPr>
            </w:pPr>
          </w:p>
        </w:tc>
        <w:tc>
          <w:tcPr>
            <w:tcW w:w="4961"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varejo</w:t>
            </w:r>
            <w:r>
              <w:rPr>
                <w:rFonts w:ascii="Times New Roman" w:hAnsi="Times New Roman" w:cs="Times New Roman"/>
                <w:noProof/>
                <w:sz w:val="24"/>
                <w:szCs w:val="24"/>
                <w:lang w:eastAsia="pt-BR"/>
              </w:rPr>
              <w:t xml:space="preserve"> – PR</w:t>
            </w:r>
          </w:p>
        </w:tc>
        <w:tc>
          <w:tcPr>
            <w:tcW w:w="2129" w:type="dxa"/>
          </w:tcPr>
          <w:p w:rsidR="004265E7" w:rsidRDefault="004265E7" w:rsidP="004265E7">
            <w:pPr>
              <w:jc w:val="center"/>
              <w:rPr>
                <w:rFonts w:ascii="Times New Roman" w:hAnsi="Times New Roman" w:cs="Times New Roman"/>
                <w:noProof/>
                <w:sz w:val="24"/>
                <w:szCs w:val="24"/>
                <w:lang w:eastAsia="pt-BR"/>
              </w:rPr>
            </w:pPr>
            <w:r w:rsidRPr="00D645F1">
              <w:rPr>
                <w:rFonts w:ascii="Times New Roman" w:hAnsi="Times New Roman" w:cs="Times New Roman"/>
                <w:noProof/>
                <w:sz w:val="24"/>
                <w:szCs w:val="24"/>
                <w:lang w:eastAsia="pt-BR"/>
              </w:rPr>
              <w:t>SEAB</w:t>
            </w:r>
            <w:r>
              <w:rPr>
                <w:rFonts w:ascii="Times New Roman" w:hAnsi="Times New Roman" w:cs="Times New Roman"/>
                <w:noProof/>
                <w:sz w:val="24"/>
                <w:szCs w:val="24"/>
                <w:lang w:eastAsia="pt-BR"/>
              </w:rPr>
              <w:t xml:space="preserve"> – </w:t>
            </w:r>
            <w:r w:rsidRPr="00D645F1">
              <w:rPr>
                <w:rFonts w:ascii="Times New Roman" w:hAnsi="Times New Roman" w:cs="Times New Roman"/>
                <w:noProof/>
                <w:sz w:val="24"/>
                <w:szCs w:val="24"/>
                <w:lang w:eastAsia="pt-BR"/>
              </w:rPr>
              <w:t>PR</w:t>
            </w:r>
            <w:r>
              <w:rPr>
                <w:rFonts w:ascii="Times New Roman" w:hAnsi="Times New Roman" w:cs="Times New Roman"/>
                <w:noProof/>
                <w:sz w:val="24"/>
                <w:szCs w:val="24"/>
                <w:lang w:eastAsia="pt-BR"/>
              </w:rPr>
              <w:t xml:space="preserve"> </w:t>
            </w:r>
          </w:p>
        </w:tc>
      </w:tr>
      <w:tr w:rsidR="004265E7" w:rsidTr="004265E7">
        <w:tc>
          <w:tcPr>
            <w:tcW w:w="2407" w:type="dxa"/>
            <w:vMerge/>
          </w:tcPr>
          <w:p w:rsidR="004265E7" w:rsidRDefault="004265E7" w:rsidP="004265E7">
            <w:pPr>
              <w:jc w:val="both"/>
              <w:rPr>
                <w:rFonts w:ascii="Times New Roman" w:hAnsi="Times New Roman" w:cs="Times New Roman"/>
                <w:noProof/>
                <w:sz w:val="24"/>
                <w:szCs w:val="24"/>
                <w:lang w:eastAsia="pt-BR"/>
              </w:rPr>
            </w:pPr>
          </w:p>
        </w:tc>
        <w:tc>
          <w:tcPr>
            <w:tcW w:w="4961"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varejo</w:t>
            </w:r>
            <w:r>
              <w:rPr>
                <w:rFonts w:ascii="Times New Roman" w:hAnsi="Times New Roman" w:cs="Times New Roman"/>
                <w:noProof/>
                <w:sz w:val="24"/>
                <w:szCs w:val="24"/>
                <w:lang w:eastAsia="pt-BR"/>
              </w:rPr>
              <w:t xml:space="preserve"> – GO</w:t>
            </w:r>
          </w:p>
        </w:tc>
        <w:tc>
          <w:tcPr>
            <w:tcW w:w="2129" w:type="dxa"/>
          </w:tcPr>
          <w:p w:rsidR="004265E7" w:rsidRDefault="004265E7" w:rsidP="004265E7">
            <w:pPr>
              <w:jc w:val="center"/>
              <w:rPr>
                <w:rFonts w:ascii="Times New Roman" w:hAnsi="Times New Roman" w:cs="Times New Roman"/>
                <w:noProof/>
                <w:sz w:val="24"/>
                <w:szCs w:val="24"/>
                <w:lang w:eastAsia="pt-BR"/>
              </w:rPr>
            </w:pPr>
            <w:r w:rsidRPr="00D645F1">
              <w:rPr>
                <w:rFonts w:ascii="Times New Roman" w:hAnsi="Times New Roman" w:cs="Times New Roman"/>
                <w:noProof/>
                <w:sz w:val="24"/>
                <w:szCs w:val="24"/>
                <w:lang w:eastAsia="pt-BR"/>
              </w:rPr>
              <w:t>SEGPLAN – GO</w:t>
            </w:r>
          </w:p>
        </w:tc>
      </w:tr>
      <w:tr w:rsidR="004265E7" w:rsidTr="004265E7">
        <w:tc>
          <w:tcPr>
            <w:tcW w:w="2407" w:type="dxa"/>
            <w:vMerge/>
          </w:tcPr>
          <w:p w:rsidR="004265E7" w:rsidRDefault="004265E7" w:rsidP="004265E7">
            <w:pPr>
              <w:jc w:val="both"/>
              <w:rPr>
                <w:rFonts w:ascii="Times New Roman" w:hAnsi="Times New Roman" w:cs="Times New Roman"/>
                <w:noProof/>
                <w:sz w:val="24"/>
                <w:szCs w:val="24"/>
                <w:lang w:eastAsia="pt-BR"/>
              </w:rPr>
            </w:pPr>
          </w:p>
        </w:tc>
        <w:tc>
          <w:tcPr>
            <w:tcW w:w="4961"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varejo</w:t>
            </w:r>
            <w:r>
              <w:rPr>
                <w:rFonts w:ascii="Times New Roman" w:hAnsi="Times New Roman" w:cs="Times New Roman"/>
                <w:noProof/>
                <w:sz w:val="24"/>
                <w:szCs w:val="24"/>
                <w:lang w:eastAsia="pt-BR"/>
              </w:rPr>
              <w:t xml:space="preserve"> – SP</w:t>
            </w:r>
          </w:p>
        </w:tc>
        <w:tc>
          <w:tcPr>
            <w:tcW w:w="2129" w:type="dxa"/>
          </w:tcPr>
          <w:p w:rsidR="004265E7"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IEA – SP</w:t>
            </w:r>
          </w:p>
        </w:tc>
      </w:tr>
      <w:tr w:rsidR="004265E7" w:rsidTr="004265E7">
        <w:tc>
          <w:tcPr>
            <w:tcW w:w="2407" w:type="dxa"/>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 xml:space="preserve">Preço do leite no </w:t>
            </w:r>
            <w:r>
              <w:rPr>
                <w:rFonts w:ascii="Times New Roman" w:hAnsi="Times New Roman" w:cs="Times New Roman"/>
                <w:noProof/>
                <w:sz w:val="24"/>
                <w:szCs w:val="24"/>
                <w:lang w:eastAsia="pt-BR"/>
              </w:rPr>
              <w:t>atacado</w:t>
            </w:r>
          </w:p>
        </w:tc>
        <w:tc>
          <w:tcPr>
            <w:tcW w:w="4961" w:type="dxa"/>
            <w:vAlign w:val="center"/>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Preço médio do leite UHT no atacado</w:t>
            </w:r>
          </w:p>
        </w:tc>
        <w:tc>
          <w:tcPr>
            <w:tcW w:w="2129" w:type="dxa"/>
            <w:vAlign w:val="center"/>
          </w:tcPr>
          <w:p w:rsidR="004265E7" w:rsidRDefault="004265E7" w:rsidP="004265E7">
            <w:pPr>
              <w:jc w:val="center"/>
              <w:rPr>
                <w:rFonts w:ascii="Times New Roman" w:hAnsi="Times New Roman" w:cs="Times New Roman"/>
                <w:noProof/>
                <w:sz w:val="24"/>
                <w:szCs w:val="24"/>
                <w:lang w:eastAsia="pt-BR"/>
              </w:rPr>
            </w:pPr>
            <w:r w:rsidRPr="00722893">
              <w:rPr>
                <w:rFonts w:ascii="Times New Roman" w:hAnsi="Times New Roman" w:cs="Times New Roman"/>
                <w:noProof/>
                <w:sz w:val="24"/>
                <w:szCs w:val="24"/>
                <w:lang w:eastAsia="pt-BR"/>
              </w:rPr>
              <w:t>CEPEA – ESALQ</w:t>
            </w:r>
          </w:p>
        </w:tc>
      </w:tr>
      <w:tr w:rsidR="004265E7" w:rsidTr="004265E7">
        <w:tc>
          <w:tcPr>
            <w:tcW w:w="2407" w:type="dxa"/>
          </w:tcPr>
          <w:p w:rsidR="004265E7" w:rsidRPr="00722893"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IGP – DI </w:t>
            </w:r>
          </w:p>
        </w:tc>
        <w:tc>
          <w:tcPr>
            <w:tcW w:w="4961" w:type="dxa"/>
          </w:tcPr>
          <w:p w:rsidR="004265E7" w:rsidRPr="00722893"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Índice Geral de Preços – Disponibilidade Interna</w:t>
            </w:r>
          </w:p>
        </w:tc>
        <w:tc>
          <w:tcPr>
            <w:tcW w:w="2129" w:type="dxa"/>
          </w:tcPr>
          <w:p w:rsidR="004265E7" w:rsidRPr="00722893" w:rsidRDefault="004265E7" w:rsidP="004265E7">
            <w:pPr>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FGV</w:t>
            </w:r>
          </w:p>
        </w:tc>
      </w:tr>
    </w:tbl>
    <w:p w:rsidR="004265E7" w:rsidRDefault="004265E7" w:rsidP="004265E7">
      <w:pPr>
        <w:pStyle w:val="PargrafodaLista"/>
        <w:spacing w:after="0" w:line="240" w:lineRule="auto"/>
        <w:ind w:left="709"/>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Fonte: Elaboração própria</w:t>
      </w:r>
    </w:p>
    <w:p w:rsidR="004265E7" w:rsidRDefault="004265E7" w:rsidP="004265E7">
      <w:pPr>
        <w:pStyle w:val="PargrafodaLista"/>
        <w:spacing w:after="0" w:line="240" w:lineRule="auto"/>
        <w:ind w:left="709"/>
        <w:jc w:val="both"/>
        <w:rPr>
          <w:rFonts w:ascii="Times New Roman" w:hAnsi="Times New Roman" w:cs="Times New Roman"/>
          <w:sz w:val="24"/>
          <w:szCs w:val="24"/>
        </w:rPr>
      </w:pPr>
    </w:p>
    <w:p w:rsidR="009677D5" w:rsidRDefault="005D480F" w:rsidP="009677D5">
      <w:pPr>
        <w:pStyle w:val="PargrafodaLista"/>
        <w:spacing w:after="0" w:line="240" w:lineRule="auto"/>
        <w:ind w:left="709" w:firstLine="707"/>
        <w:jc w:val="both"/>
        <w:rPr>
          <w:rFonts w:ascii="Times New Roman" w:hAnsi="Times New Roman" w:cs="Times New Roman"/>
          <w:sz w:val="24"/>
          <w:szCs w:val="24"/>
        </w:rPr>
      </w:pPr>
      <w:r>
        <w:rPr>
          <w:rFonts w:ascii="Times New Roman" w:hAnsi="Times New Roman" w:cs="Times New Roman"/>
          <w:sz w:val="24"/>
          <w:szCs w:val="24"/>
        </w:rPr>
        <w:t>A T</w:t>
      </w:r>
      <w:r w:rsidR="00F95C35" w:rsidRPr="00F95C35">
        <w:rPr>
          <w:rFonts w:ascii="Times New Roman" w:hAnsi="Times New Roman" w:cs="Times New Roman"/>
          <w:sz w:val="24"/>
          <w:szCs w:val="24"/>
        </w:rPr>
        <w:t>abela 1 contém as medidas de estatística descritiva</w:t>
      </w:r>
      <w:r w:rsidR="00F95C35">
        <w:rPr>
          <w:rFonts w:ascii="Times New Roman" w:hAnsi="Times New Roman" w:cs="Times New Roman"/>
          <w:sz w:val="24"/>
          <w:szCs w:val="24"/>
        </w:rPr>
        <w:t xml:space="preserve"> para </w:t>
      </w:r>
      <w:r w:rsidR="00F5279C">
        <w:rPr>
          <w:rFonts w:ascii="Times New Roman" w:hAnsi="Times New Roman" w:cs="Times New Roman"/>
          <w:sz w:val="24"/>
          <w:szCs w:val="24"/>
        </w:rPr>
        <w:t xml:space="preserve">as séries de preços utilizadas neste trabalho. Para </w:t>
      </w:r>
      <w:r w:rsidR="00F95C35">
        <w:rPr>
          <w:rFonts w:ascii="Times New Roman" w:hAnsi="Times New Roman" w:cs="Times New Roman"/>
          <w:sz w:val="24"/>
          <w:szCs w:val="24"/>
        </w:rPr>
        <w:t>os preços pagos ao produtor,</w:t>
      </w:r>
      <w:r w:rsidR="00F95C35" w:rsidRPr="00F95C35">
        <w:rPr>
          <w:rFonts w:ascii="Times New Roman" w:hAnsi="Times New Roman" w:cs="Times New Roman"/>
          <w:sz w:val="24"/>
          <w:szCs w:val="24"/>
        </w:rPr>
        <w:t xml:space="preserve"> percebe-se que as médias entre os estados produtores são bem próximas. O Estado de Goiás, quarto maior produtor nacional, apresentou o menor valor mínimo e também o maior valor máximo. Todos os estados apresentaram elevado desvio padrão indicando heterogeneidade dos preços pagos aos produtores.</w:t>
      </w:r>
    </w:p>
    <w:p w:rsidR="009677D5" w:rsidRDefault="009677D5" w:rsidP="004265E7">
      <w:pPr>
        <w:pStyle w:val="PargrafodaLista"/>
        <w:spacing w:after="0" w:line="240" w:lineRule="auto"/>
        <w:ind w:left="709" w:firstLine="707"/>
        <w:jc w:val="both"/>
        <w:rPr>
          <w:rFonts w:ascii="Times New Roman" w:hAnsi="Times New Roman" w:cs="Times New Roman"/>
          <w:sz w:val="24"/>
          <w:szCs w:val="24"/>
        </w:rPr>
      </w:pPr>
    </w:p>
    <w:p w:rsidR="00F95C35" w:rsidRDefault="00F95C35" w:rsidP="004265E7">
      <w:pPr>
        <w:pStyle w:val="PargrafodaLista"/>
        <w:spacing w:after="0" w:line="240" w:lineRule="auto"/>
        <w:ind w:left="709" w:firstLine="707"/>
        <w:jc w:val="both"/>
        <w:rPr>
          <w:rFonts w:ascii="Times New Roman" w:hAnsi="Times New Roman" w:cs="Times New Roman"/>
          <w:sz w:val="24"/>
          <w:szCs w:val="24"/>
        </w:rPr>
      </w:pPr>
      <w:r>
        <w:rPr>
          <w:rFonts w:ascii="Times New Roman" w:hAnsi="Times New Roman" w:cs="Times New Roman"/>
          <w:sz w:val="24"/>
          <w:szCs w:val="24"/>
        </w:rPr>
        <w:t xml:space="preserve">Tabela 1: Estatísticas Descritivas </w:t>
      </w:r>
    </w:p>
    <w:tbl>
      <w:tblPr>
        <w:tblW w:w="7675" w:type="dxa"/>
        <w:tblInd w:w="1409" w:type="dxa"/>
        <w:tblCellMar>
          <w:left w:w="70" w:type="dxa"/>
          <w:right w:w="70" w:type="dxa"/>
        </w:tblCellMar>
        <w:tblLook w:val="04A0" w:firstRow="1" w:lastRow="0" w:firstColumn="1" w:lastColumn="0" w:noHBand="0" w:noVBand="1"/>
      </w:tblPr>
      <w:tblGrid>
        <w:gridCol w:w="3444"/>
        <w:gridCol w:w="940"/>
        <w:gridCol w:w="800"/>
        <w:gridCol w:w="760"/>
        <w:gridCol w:w="780"/>
        <w:gridCol w:w="951"/>
      </w:tblGrid>
      <w:tr w:rsidR="009677D5" w:rsidRPr="00C86414" w:rsidTr="009677D5">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Preços Pagos ao Produtor</w:t>
            </w:r>
          </w:p>
        </w:tc>
        <w:tc>
          <w:tcPr>
            <w:tcW w:w="94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MG</w:t>
            </w:r>
          </w:p>
        </w:tc>
        <w:tc>
          <w:tcPr>
            <w:tcW w:w="80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RS</w:t>
            </w:r>
          </w:p>
        </w:tc>
        <w:tc>
          <w:tcPr>
            <w:tcW w:w="76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PR</w:t>
            </w:r>
          </w:p>
        </w:tc>
        <w:tc>
          <w:tcPr>
            <w:tcW w:w="780"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GO</w:t>
            </w:r>
          </w:p>
        </w:tc>
        <w:tc>
          <w:tcPr>
            <w:tcW w:w="951" w:type="dxa"/>
            <w:tcBorders>
              <w:top w:val="single" w:sz="4" w:space="0" w:color="auto"/>
              <w:left w:val="nil"/>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SP</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Média</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0,92</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0,86</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0,89</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0,92</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0,93</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Mediana</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0,88</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0,82</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0,86</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0,89</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0,90</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Máximo</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1,74</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1,64</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1,70</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1,79</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1,65</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Mínimo</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0,42</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0,42</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0,40</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0,38</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0,43</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Desvio Padrão</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0,31</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0,29</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0,31</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0,31</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0,30</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Assimetria</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0,54</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0,61</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0,51</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0,52</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0,46</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hideMark/>
          </w:tcPr>
          <w:p w:rsidR="009677D5" w:rsidRPr="00C86414" w:rsidRDefault="009677D5" w:rsidP="002830D3">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Curtose</w:t>
            </w:r>
          </w:p>
        </w:tc>
        <w:tc>
          <w:tcPr>
            <w:tcW w:w="94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2,68</w:t>
            </w:r>
          </w:p>
        </w:tc>
        <w:tc>
          <w:tcPr>
            <w:tcW w:w="80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2,71</w:t>
            </w:r>
          </w:p>
        </w:tc>
        <w:tc>
          <w:tcPr>
            <w:tcW w:w="76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2,66</w:t>
            </w:r>
          </w:p>
        </w:tc>
        <w:tc>
          <w:tcPr>
            <w:tcW w:w="780"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2,89</w:t>
            </w:r>
          </w:p>
        </w:tc>
        <w:tc>
          <w:tcPr>
            <w:tcW w:w="951" w:type="dxa"/>
            <w:tcBorders>
              <w:top w:val="nil"/>
              <w:left w:val="nil"/>
              <w:bottom w:val="single" w:sz="4" w:space="0" w:color="auto"/>
              <w:right w:val="single" w:sz="4" w:space="0" w:color="auto"/>
            </w:tcBorders>
            <w:shd w:val="clear" w:color="auto" w:fill="auto"/>
            <w:noWrap/>
            <w:vAlign w:val="center"/>
            <w:hideMark/>
          </w:tcPr>
          <w:p w:rsidR="009677D5" w:rsidRPr="00C86414" w:rsidRDefault="009677D5" w:rsidP="002830D3">
            <w:pPr>
              <w:spacing w:after="0" w:line="240" w:lineRule="auto"/>
              <w:jc w:val="center"/>
              <w:rPr>
                <w:rFonts w:ascii="Times New Roman" w:eastAsia="Times New Roman" w:hAnsi="Times New Roman" w:cs="Times New Roman"/>
                <w:color w:val="000000"/>
                <w:sz w:val="24"/>
                <w:szCs w:val="24"/>
                <w:lang w:eastAsia="pt-BR"/>
              </w:rPr>
            </w:pPr>
            <w:r w:rsidRPr="00C86414">
              <w:rPr>
                <w:rFonts w:ascii="Times New Roman" w:eastAsia="Times New Roman" w:hAnsi="Times New Roman" w:cs="Times New Roman"/>
                <w:color w:val="000000"/>
                <w:sz w:val="24"/>
                <w:szCs w:val="24"/>
                <w:lang w:eastAsia="pt-BR"/>
              </w:rPr>
              <w:t>2,52</w:t>
            </w:r>
          </w:p>
        </w:tc>
      </w:tr>
      <w:tr w:rsidR="009677D5" w:rsidRPr="00C86414" w:rsidTr="009677D5">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Preços no Atacado</w:t>
            </w:r>
          </w:p>
        </w:tc>
        <w:tc>
          <w:tcPr>
            <w:tcW w:w="940" w:type="dxa"/>
            <w:tcBorders>
              <w:top w:val="nil"/>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MG</w:t>
            </w:r>
          </w:p>
        </w:tc>
        <w:tc>
          <w:tcPr>
            <w:tcW w:w="800" w:type="dxa"/>
            <w:tcBorders>
              <w:top w:val="nil"/>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RS</w:t>
            </w:r>
          </w:p>
        </w:tc>
        <w:tc>
          <w:tcPr>
            <w:tcW w:w="760" w:type="dxa"/>
            <w:tcBorders>
              <w:top w:val="nil"/>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PR</w:t>
            </w:r>
          </w:p>
        </w:tc>
        <w:tc>
          <w:tcPr>
            <w:tcW w:w="780" w:type="dxa"/>
            <w:tcBorders>
              <w:top w:val="nil"/>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GO</w:t>
            </w:r>
          </w:p>
        </w:tc>
        <w:tc>
          <w:tcPr>
            <w:tcW w:w="951" w:type="dxa"/>
            <w:tcBorders>
              <w:top w:val="nil"/>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SP</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Média</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1,87</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1,84</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1,82</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1,91</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1,89</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Mediana</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1,80</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1,71</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1,78</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1,81</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1,82</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Máximo</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3,51</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3,53</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3,36</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3,53</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3,74</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Mínimo</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1,19</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1,04</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1,03</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1,20</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1,11</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Desvio Padrão</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0,40</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0,46</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0,43</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0,42</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0,45</w:t>
            </w:r>
          </w:p>
        </w:tc>
      </w:tr>
      <w:tr w:rsidR="00F5279C" w:rsidRPr="00C86414" w:rsidTr="00F5279C">
        <w:trPr>
          <w:trHeight w:val="315"/>
        </w:trPr>
        <w:tc>
          <w:tcPr>
            <w:tcW w:w="3444" w:type="dxa"/>
            <w:tcBorders>
              <w:top w:val="nil"/>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Assimetria</w:t>
            </w:r>
          </w:p>
        </w:tc>
        <w:tc>
          <w:tcPr>
            <w:tcW w:w="94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1,03</w:t>
            </w:r>
          </w:p>
        </w:tc>
        <w:tc>
          <w:tcPr>
            <w:tcW w:w="80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0,82</w:t>
            </w:r>
          </w:p>
        </w:tc>
        <w:tc>
          <w:tcPr>
            <w:tcW w:w="76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0,72</w:t>
            </w:r>
          </w:p>
        </w:tc>
        <w:tc>
          <w:tcPr>
            <w:tcW w:w="780"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1,05</w:t>
            </w:r>
          </w:p>
        </w:tc>
        <w:tc>
          <w:tcPr>
            <w:tcW w:w="951" w:type="dxa"/>
            <w:tcBorders>
              <w:top w:val="nil"/>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1,07</w:t>
            </w:r>
          </w:p>
        </w:tc>
      </w:tr>
      <w:tr w:rsidR="00F5279C"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F5279C" w:rsidRPr="00F5279C" w:rsidRDefault="00F5279C" w:rsidP="00F5279C">
            <w:pPr>
              <w:spacing w:after="0" w:line="240" w:lineRule="auto"/>
              <w:contextualSpacing/>
              <w:jc w:val="center"/>
              <w:rPr>
                <w:rFonts w:ascii="Times New Roman" w:eastAsia="Times New Roman" w:hAnsi="Times New Roman" w:cs="Times New Roman"/>
                <w:b/>
                <w:bCs/>
                <w:color w:val="000000"/>
                <w:sz w:val="24"/>
                <w:szCs w:val="24"/>
                <w:lang w:eastAsia="pt-BR"/>
              </w:rPr>
            </w:pPr>
            <w:r w:rsidRPr="00F5279C">
              <w:rPr>
                <w:rFonts w:ascii="Times New Roman" w:eastAsia="Times New Roman" w:hAnsi="Times New Roman" w:cs="Times New Roman"/>
                <w:b/>
                <w:bCs/>
                <w:color w:val="000000"/>
                <w:sz w:val="24"/>
                <w:szCs w:val="24"/>
                <w:lang w:eastAsia="pt-BR"/>
              </w:rPr>
              <w:t>Curtose</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4,83</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3,73</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3,93</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4,74</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F5279C" w:rsidRPr="00F5279C" w:rsidRDefault="00F5279C" w:rsidP="00F5279C">
            <w:pPr>
              <w:contextualSpacing/>
              <w:jc w:val="center"/>
              <w:rPr>
                <w:rFonts w:ascii="Times New Roman" w:hAnsi="Times New Roman" w:cs="Times New Roman"/>
                <w:sz w:val="24"/>
                <w:szCs w:val="24"/>
              </w:rPr>
            </w:pPr>
            <w:r w:rsidRPr="00F5279C">
              <w:rPr>
                <w:rFonts w:ascii="Times New Roman" w:hAnsi="Times New Roman" w:cs="Times New Roman"/>
                <w:sz w:val="24"/>
                <w:szCs w:val="24"/>
              </w:rPr>
              <w:t>5,14</w:t>
            </w:r>
          </w:p>
        </w:tc>
      </w:tr>
      <w:tr w:rsidR="009677D5" w:rsidRPr="00C86414" w:rsidTr="009677D5">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Preços no Varejo</w:t>
            </w:r>
          </w:p>
        </w:tc>
        <w:tc>
          <w:tcPr>
            <w:tcW w:w="940" w:type="dxa"/>
            <w:tcBorders>
              <w:top w:val="single" w:sz="4" w:space="0" w:color="auto"/>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MG</w:t>
            </w:r>
          </w:p>
        </w:tc>
        <w:tc>
          <w:tcPr>
            <w:tcW w:w="800" w:type="dxa"/>
            <w:tcBorders>
              <w:top w:val="single" w:sz="4" w:space="0" w:color="auto"/>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RS</w:t>
            </w:r>
          </w:p>
        </w:tc>
        <w:tc>
          <w:tcPr>
            <w:tcW w:w="760" w:type="dxa"/>
            <w:tcBorders>
              <w:top w:val="single" w:sz="4" w:space="0" w:color="auto"/>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PR</w:t>
            </w:r>
          </w:p>
        </w:tc>
        <w:tc>
          <w:tcPr>
            <w:tcW w:w="780" w:type="dxa"/>
            <w:tcBorders>
              <w:top w:val="single" w:sz="4" w:space="0" w:color="auto"/>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GO</w:t>
            </w:r>
          </w:p>
        </w:tc>
        <w:tc>
          <w:tcPr>
            <w:tcW w:w="951" w:type="dxa"/>
            <w:tcBorders>
              <w:top w:val="single" w:sz="4" w:space="0" w:color="auto"/>
              <w:left w:val="nil"/>
              <w:bottom w:val="single" w:sz="4" w:space="0" w:color="auto"/>
              <w:right w:val="single" w:sz="4" w:space="0" w:color="auto"/>
            </w:tcBorders>
            <w:shd w:val="clear" w:color="auto" w:fill="E7E6E6" w:themeFill="background2"/>
            <w:noWrap/>
            <w:vAlign w:val="center"/>
          </w:tcPr>
          <w:p w:rsidR="009677D5" w:rsidRPr="00C86414" w:rsidRDefault="009677D5" w:rsidP="009677D5">
            <w:pPr>
              <w:spacing w:after="0" w:line="240" w:lineRule="auto"/>
              <w:jc w:val="center"/>
              <w:rPr>
                <w:rFonts w:ascii="Times New Roman" w:eastAsia="Times New Roman" w:hAnsi="Times New Roman" w:cs="Times New Roman"/>
                <w:b/>
                <w:bCs/>
                <w:color w:val="000000"/>
                <w:sz w:val="24"/>
                <w:szCs w:val="24"/>
                <w:lang w:eastAsia="pt-BR"/>
              </w:rPr>
            </w:pPr>
            <w:r w:rsidRPr="00C86414">
              <w:rPr>
                <w:rFonts w:ascii="Times New Roman" w:eastAsia="Times New Roman" w:hAnsi="Times New Roman" w:cs="Times New Roman"/>
                <w:b/>
                <w:bCs/>
                <w:color w:val="000000"/>
                <w:sz w:val="24"/>
                <w:szCs w:val="24"/>
                <w:lang w:eastAsia="pt-BR"/>
              </w:rPr>
              <w:t>SP</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Média</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2,15</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2,08</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2,07</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2,30</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2,54</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Mediana</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1,96</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1,94</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1,95</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2,17</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2,44</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Máximo</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4,10</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3,67</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4,12</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4,26</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4,51</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Mínimo</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1,29</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1,21</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1,26</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1,19</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1,38</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Desvio Padrão</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0,54</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0,49</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0,50</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0,70</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0,62</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Assimetria</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1,07</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0,74</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1,32</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0,59</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spacing w:line="240" w:lineRule="auto"/>
              <w:contextualSpacing/>
              <w:jc w:val="center"/>
              <w:rPr>
                <w:rFonts w:ascii="Times New Roman" w:hAnsi="Times New Roman" w:cs="Times New Roman"/>
              </w:rPr>
            </w:pPr>
            <w:r w:rsidRPr="009677D5">
              <w:rPr>
                <w:rFonts w:ascii="Times New Roman" w:hAnsi="Times New Roman" w:cs="Times New Roman"/>
              </w:rPr>
              <w:t>0,52</w:t>
            </w:r>
          </w:p>
        </w:tc>
      </w:tr>
      <w:tr w:rsidR="009677D5" w:rsidRPr="00C86414" w:rsidTr="00F5279C">
        <w:trPr>
          <w:trHeight w:val="315"/>
        </w:trPr>
        <w:tc>
          <w:tcPr>
            <w:tcW w:w="344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677D5" w:rsidRPr="009677D5" w:rsidRDefault="009677D5" w:rsidP="009677D5">
            <w:pPr>
              <w:spacing w:after="0" w:line="240" w:lineRule="auto"/>
              <w:contextualSpacing/>
              <w:jc w:val="center"/>
              <w:rPr>
                <w:rFonts w:ascii="Times New Roman" w:eastAsia="Times New Roman" w:hAnsi="Times New Roman" w:cs="Times New Roman"/>
                <w:b/>
                <w:bCs/>
                <w:color w:val="000000"/>
                <w:sz w:val="24"/>
                <w:szCs w:val="24"/>
                <w:lang w:eastAsia="pt-BR"/>
              </w:rPr>
            </w:pPr>
            <w:r w:rsidRPr="009677D5">
              <w:rPr>
                <w:rFonts w:ascii="Times New Roman" w:eastAsia="Times New Roman" w:hAnsi="Times New Roman" w:cs="Times New Roman"/>
                <w:b/>
                <w:bCs/>
                <w:color w:val="000000"/>
                <w:sz w:val="24"/>
                <w:szCs w:val="24"/>
                <w:lang w:eastAsia="pt-BR"/>
              </w:rPr>
              <w:t>Curtose</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contextualSpacing/>
              <w:jc w:val="center"/>
              <w:rPr>
                <w:rFonts w:ascii="Times New Roman" w:hAnsi="Times New Roman" w:cs="Times New Roman"/>
                <w:sz w:val="24"/>
                <w:szCs w:val="24"/>
              </w:rPr>
            </w:pPr>
            <w:r w:rsidRPr="009677D5">
              <w:rPr>
                <w:rFonts w:ascii="Times New Roman" w:hAnsi="Times New Roman" w:cs="Times New Roman"/>
                <w:sz w:val="24"/>
                <w:szCs w:val="24"/>
              </w:rPr>
              <w:t>4,11</w:t>
            </w:r>
          </w:p>
        </w:tc>
        <w:tc>
          <w:tcPr>
            <w:tcW w:w="80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contextualSpacing/>
              <w:jc w:val="center"/>
              <w:rPr>
                <w:rFonts w:ascii="Times New Roman" w:hAnsi="Times New Roman" w:cs="Times New Roman"/>
                <w:sz w:val="24"/>
                <w:szCs w:val="24"/>
              </w:rPr>
            </w:pPr>
            <w:r w:rsidRPr="009677D5">
              <w:rPr>
                <w:rFonts w:ascii="Times New Roman" w:hAnsi="Times New Roman" w:cs="Times New Roman"/>
                <w:sz w:val="24"/>
                <w:szCs w:val="24"/>
              </w:rPr>
              <w:t>3,44</w:t>
            </w:r>
          </w:p>
        </w:tc>
        <w:tc>
          <w:tcPr>
            <w:tcW w:w="76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contextualSpacing/>
              <w:jc w:val="center"/>
              <w:rPr>
                <w:rFonts w:ascii="Times New Roman" w:hAnsi="Times New Roman" w:cs="Times New Roman"/>
                <w:sz w:val="24"/>
                <w:szCs w:val="24"/>
              </w:rPr>
            </w:pPr>
            <w:r w:rsidRPr="009677D5">
              <w:rPr>
                <w:rFonts w:ascii="Times New Roman" w:hAnsi="Times New Roman" w:cs="Times New Roman"/>
                <w:sz w:val="24"/>
                <w:szCs w:val="24"/>
              </w:rPr>
              <w:t>5,62</w:t>
            </w:r>
          </w:p>
        </w:tc>
        <w:tc>
          <w:tcPr>
            <w:tcW w:w="780"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contextualSpacing/>
              <w:jc w:val="center"/>
              <w:rPr>
                <w:rFonts w:ascii="Times New Roman" w:hAnsi="Times New Roman" w:cs="Times New Roman"/>
                <w:sz w:val="24"/>
                <w:szCs w:val="24"/>
              </w:rPr>
            </w:pPr>
            <w:r w:rsidRPr="009677D5">
              <w:rPr>
                <w:rFonts w:ascii="Times New Roman" w:hAnsi="Times New Roman" w:cs="Times New Roman"/>
                <w:sz w:val="24"/>
                <w:szCs w:val="24"/>
              </w:rPr>
              <w:t>2,71</w:t>
            </w:r>
          </w:p>
        </w:tc>
        <w:tc>
          <w:tcPr>
            <w:tcW w:w="951" w:type="dxa"/>
            <w:tcBorders>
              <w:top w:val="single" w:sz="4" w:space="0" w:color="auto"/>
              <w:left w:val="nil"/>
              <w:bottom w:val="single" w:sz="4" w:space="0" w:color="auto"/>
              <w:right w:val="single" w:sz="4" w:space="0" w:color="auto"/>
            </w:tcBorders>
            <w:shd w:val="clear" w:color="auto" w:fill="auto"/>
            <w:noWrap/>
            <w:vAlign w:val="center"/>
          </w:tcPr>
          <w:p w:rsidR="009677D5" w:rsidRPr="009677D5" w:rsidRDefault="009677D5" w:rsidP="00F5279C">
            <w:pPr>
              <w:contextualSpacing/>
              <w:jc w:val="center"/>
              <w:rPr>
                <w:rFonts w:ascii="Times New Roman" w:hAnsi="Times New Roman" w:cs="Times New Roman"/>
                <w:sz w:val="24"/>
                <w:szCs w:val="24"/>
              </w:rPr>
            </w:pPr>
            <w:r w:rsidRPr="009677D5">
              <w:rPr>
                <w:rFonts w:ascii="Times New Roman" w:hAnsi="Times New Roman" w:cs="Times New Roman"/>
                <w:sz w:val="24"/>
                <w:szCs w:val="24"/>
              </w:rPr>
              <w:t>3,28</w:t>
            </w:r>
          </w:p>
        </w:tc>
      </w:tr>
    </w:tbl>
    <w:p w:rsidR="00F95C35" w:rsidRDefault="008A0956" w:rsidP="00F5279C">
      <w:pPr>
        <w:pStyle w:val="PargrafodaLista"/>
        <w:spacing w:after="0" w:line="240" w:lineRule="auto"/>
        <w:ind w:left="1418" w:right="1132"/>
        <w:jc w:val="both"/>
        <w:rPr>
          <w:rFonts w:ascii="Times New Roman" w:hAnsi="Times New Roman" w:cs="Times New Roman"/>
          <w:sz w:val="24"/>
          <w:szCs w:val="24"/>
        </w:rPr>
      </w:pPr>
      <w:r>
        <w:rPr>
          <w:rFonts w:ascii="Times New Roman" w:hAnsi="Times New Roman" w:cs="Times New Roman"/>
          <w:sz w:val="24"/>
          <w:szCs w:val="24"/>
        </w:rPr>
        <w:t>Fonte: Elaboração própria com base nos dados da pesquisa</w:t>
      </w:r>
      <w:r w:rsidR="00F95C35" w:rsidRPr="00F95C35">
        <w:rPr>
          <w:rFonts w:ascii="Times New Roman" w:hAnsi="Times New Roman" w:cs="Times New Roman"/>
          <w:sz w:val="24"/>
          <w:szCs w:val="24"/>
        </w:rPr>
        <w:t>.</w:t>
      </w:r>
    </w:p>
    <w:p w:rsidR="00F95C35" w:rsidRDefault="00F95C35" w:rsidP="004265E7">
      <w:pPr>
        <w:pStyle w:val="PargrafodaLista"/>
        <w:spacing w:after="0" w:line="240" w:lineRule="auto"/>
        <w:ind w:left="709" w:firstLine="707"/>
        <w:jc w:val="both"/>
        <w:rPr>
          <w:rFonts w:ascii="Times New Roman" w:hAnsi="Times New Roman" w:cs="Times New Roman"/>
          <w:sz w:val="24"/>
          <w:szCs w:val="24"/>
        </w:rPr>
      </w:pPr>
    </w:p>
    <w:p w:rsidR="00F5279C" w:rsidRDefault="00F5279C" w:rsidP="004265E7">
      <w:pPr>
        <w:pStyle w:val="PargrafodaLista"/>
        <w:spacing w:after="0" w:line="240" w:lineRule="auto"/>
        <w:ind w:left="709" w:firstLine="707"/>
        <w:jc w:val="both"/>
        <w:rPr>
          <w:rFonts w:ascii="Times New Roman" w:hAnsi="Times New Roman" w:cs="Times New Roman"/>
          <w:sz w:val="24"/>
          <w:szCs w:val="24"/>
        </w:rPr>
      </w:pPr>
      <w:r>
        <w:rPr>
          <w:rFonts w:ascii="Times New Roman" w:hAnsi="Times New Roman" w:cs="Times New Roman"/>
          <w:sz w:val="24"/>
          <w:szCs w:val="24"/>
        </w:rPr>
        <w:t>Em relação aos preços praticados no atacado, destaque para o estado de São Paulo que apresenta o maior valor e o estado do Paraná com o menor valor. Outra observação relevante é, assim como as séries de preços pagos ao produtor, o elevado desvio-padrã</w:t>
      </w:r>
      <w:r w:rsidR="00E6415C">
        <w:rPr>
          <w:rFonts w:ascii="Times New Roman" w:hAnsi="Times New Roman" w:cs="Times New Roman"/>
          <w:sz w:val="24"/>
          <w:szCs w:val="24"/>
        </w:rPr>
        <w:t>o indicando heterogeneidade dos preços. Os preços nos estados de Minas Gerais, São Paulo e Goiás apresentaram distribuição assimétrica positiva.</w:t>
      </w:r>
    </w:p>
    <w:p w:rsidR="00E6415C" w:rsidRDefault="00E6415C" w:rsidP="004265E7">
      <w:pPr>
        <w:pStyle w:val="PargrafodaLista"/>
        <w:spacing w:after="0" w:line="240" w:lineRule="auto"/>
        <w:ind w:left="709" w:firstLine="707"/>
        <w:jc w:val="both"/>
        <w:rPr>
          <w:rFonts w:ascii="Times New Roman" w:hAnsi="Times New Roman" w:cs="Times New Roman"/>
          <w:sz w:val="24"/>
          <w:szCs w:val="24"/>
        </w:rPr>
      </w:pPr>
      <w:r>
        <w:rPr>
          <w:rFonts w:ascii="Times New Roman" w:hAnsi="Times New Roman" w:cs="Times New Roman"/>
          <w:sz w:val="24"/>
          <w:szCs w:val="24"/>
        </w:rPr>
        <w:t>Por fim, para os preços praticados no varejo, destaque para o valor mínimo praticado no estado de Goiás e a maior dispersão indicado pelo maior valor do desvio padrão.</w:t>
      </w:r>
      <w:r w:rsidR="008A4878">
        <w:rPr>
          <w:rFonts w:ascii="Times New Roman" w:hAnsi="Times New Roman" w:cs="Times New Roman"/>
          <w:sz w:val="24"/>
          <w:szCs w:val="24"/>
        </w:rPr>
        <w:t xml:space="preserve"> Já as estatísticas para curtose são superiores a três (com exceção do estado de Goiás),</w:t>
      </w:r>
      <w:r>
        <w:rPr>
          <w:rFonts w:ascii="Times New Roman" w:hAnsi="Times New Roman" w:cs="Times New Roman"/>
          <w:sz w:val="24"/>
          <w:szCs w:val="24"/>
        </w:rPr>
        <w:t xml:space="preserve"> </w:t>
      </w:r>
      <w:r w:rsidR="008A4878">
        <w:rPr>
          <w:rFonts w:ascii="Times New Roman" w:hAnsi="Times New Roman" w:cs="Times New Roman"/>
          <w:sz w:val="24"/>
          <w:szCs w:val="24"/>
        </w:rPr>
        <w:t>sugerindo que as curvas de funções de densidade de probabilidades são leptocúrticas.</w:t>
      </w:r>
    </w:p>
    <w:p w:rsidR="004265E7" w:rsidRDefault="004265E7" w:rsidP="004265E7">
      <w:pPr>
        <w:pStyle w:val="PargrafodaLista"/>
        <w:spacing w:after="0" w:line="240" w:lineRule="auto"/>
        <w:ind w:left="709" w:firstLine="707"/>
        <w:jc w:val="both"/>
        <w:rPr>
          <w:rFonts w:ascii="Times New Roman" w:hAnsi="Times New Roman" w:cs="Times New Roman"/>
          <w:sz w:val="24"/>
          <w:szCs w:val="24"/>
        </w:rPr>
      </w:pPr>
      <w:r w:rsidRPr="004265E7">
        <w:rPr>
          <w:rFonts w:ascii="Times New Roman" w:hAnsi="Times New Roman" w:cs="Times New Roman"/>
          <w:sz w:val="24"/>
          <w:szCs w:val="24"/>
        </w:rPr>
        <w:t xml:space="preserve">Todas as séries de preços foram transformadas em logaritimos naturais a partir da relação entre o preço no período </w:t>
      </w:r>
      <m:oMath>
        <m:r>
          <m:rPr>
            <m:sty m:val="p"/>
          </m:rPr>
          <w:rPr>
            <w:rFonts w:ascii="Cambria Math" w:hAnsi="Cambria Math" w:cs="Times New Roman"/>
            <w:sz w:val="24"/>
            <w:szCs w:val="24"/>
          </w:rPr>
          <m:t>t</m:t>
        </m:r>
      </m:oMath>
      <w:r w:rsidRPr="004265E7">
        <w:rPr>
          <w:rFonts w:ascii="Times New Roman" w:hAnsi="Times New Roman" w:cs="Times New Roman"/>
          <w:sz w:val="24"/>
          <w:szCs w:val="24"/>
        </w:rPr>
        <w:t xml:space="preserve"> e o preço no período </w:t>
      </w:r>
      <m:oMath>
        <m:r>
          <m:rPr>
            <m:sty m:val="p"/>
          </m:rPr>
          <w:rPr>
            <w:rFonts w:ascii="Cambria Math" w:hAnsi="Cambria Math" w:cs="Times New Roman"/>
            <w:sz w:val="24"/>
            <w:szCs w:val="24"/>
          </w:rPr>
          <m:t>t-1</m:t>
        </m:r>
      </m:oMath>
      <w:r w:rsidRPr="004265E7">
        <w:rPr>
          <w:rFonts w:ascii="Times New Roman" w:hAnsi="Times New Roman" w:cs="Times New Roman"/>
          <w:sz w:val="24"/>
          <w:szCs w:val="24"/>
        </w:rPr>
        <w:t xml:space="preserve">, de modo que os valores possam ser interpretados como rendimento dos preços. Além disso, todos as séries foram deflacionadas utilizando o IGP-DI, divulgado pela Fundação Getúlio Vargas (FGV). </w:t>
      </w:r>
    </w:p>
    <w:p w:rsidR="008A0956" w:rsidRDefault="008A0956" w:rsidP="004265E7">
      <w:pPr>
        <w:pStyle w:val="PargrafodaLista"/>
        <w:spacing w:after="0" w:line="240" w:lineRule="auto"/>
        <w:ind w:left="709" w:firstLine="707"/>
        <w:jc w:val="both"/>
        <w:rPr>
          <w:rFonts w:ascii="Times New Roman" w:hAnsi="Times New Roman" w:cs="Times New Roman"/>
          <w:sz w:val="24"/>
          <w:szCs w:val="24"/>
        </w:rPr>
      </w:pPr>
    </w:p>
    <w:p w:rsidR="008A0956" w:rsidRPr="008A0956" w:rsidRDefault="008A0956" w:rsidP="008A0956">
      <w:pPr>
        <w:pStyle w:val="PargrafodaLista"/>
        <w:numPr>
          <w:ilvl w:val="0"/>
          <w:numId w:val="1"/>
        </w:numPr>
        <w:spacing w:after="0" w:line="240" w:lineRule="auto"/>
        <w:jc w:val="both"/>
        <w:rPr>
          <w:rFonts w:ascii="Times New Roman" w:hAnsi="Times New Roman" w:cs="Times New Roman"/>
          <w:b/>
          <w:sz w:val="24"/>
          <w:szCs w:val="24"/>
        </w:rPr>
      </w:pPr>
      <w:r w:rsidRPr="008A0956">
        <w:rPr>
          <w:rFonts w:ascii="Times New Roman" w:hAnsi="Times New Roman" w:cs="Times New Roman"/>
          <w:b/>
          <w:sz w:val="24"/>
          <w:szCs w:val="24"/>
        </w:rPr>
        <w:t>Análise e Discussão dos Resultados</w:t>
      </w:r>
    </w:p>
    <w:p w:rsidR="008A0956" w:rsidRPr="004265E7" w:rsidRDefault="008A0956" w:rsidP="008A0956">
      <w:pPr>
        <w:pStyle w:val="PargrafodaLista"/>
        <w:spacing w:after="0" w:line="240" w:lineRule="auto"/>
        <w:jc w:val="both"/>
        <w:rPr>
          <w:rFonts w:ascii="Times New Roman" w:hAnsi="Times New Roman" w:cs="Times New Roman"/>
          <w:sz w:val="24"/>
          <w:szCs w:val="24"/>
        </w:rPr>
      </w:pPr>
    </w:p>
    <w:p w:rsidR="000830BB" w:rsidRDefault="004265E7" w:rsidP="004265E7">
      <w:pPr>
        <w:pStyle w:val="PargrafodaLista"/>
        <w:spacing w:after="0" w:line="240" w:lineRule="auto"/>
        <w:ind w:left="709" w:firstLine="707"/>
        <w:jc w:val="both"/>
        <w:rPr>
          <w:rFonts w:ascii="Times New Roman" w:hAnsi="Times New Roman" w:cs="Times New Roman"/>
          <w:sz w:val="24"/>
          <w:szCs w:val="24"/>
        </w:rPr>
      </w:pPr>
      <w:r w:rsidRPr="004265E7">
        <w:rPr>
          <w:rFonts w:ascii="Times New Roman" w:hAnsi="Times New Roman" w:cs="Times New Roman"/>
          <w:sz w:val="24"/>
          <w:szCs w:val="24"/>
        </w:rPr>
        <w:t>Com o objetivo de analisar a transmissão dos preços do leite pago ao produtor nos cinco estados produtores do Brasil, são expostos, primeiramente, os preços observados no período de janeiro d</w:t>
      </w:r>
      <w:r w:rsidR="00667439">
        <w:rPr>
          <w:rFonts w:ascii="Times New Roman" w:hAnsi="Times New Roman" w:cs="Times New Roman"/>
          <w:sz w:val="24"/>
          <w:szCs w:val="24"/>
        </w:rPr>
        <w:t>e 2007 até dezembro de 2018 no G</w:t>
      </w:r>
      <w:r w:rsidRPr="004265E7">
        <w:rPr>
          <w:rFonts w:ascii="Times New Roman" w:hAnsi="Times New Roman" w:cs="Times New Roman"/>
          <w:sz w:val="24"/>
          <w:szCs w:val="24"/>
        </w:rPr>
        <w:t>ráfico 1.</w:t>
      </w:r>
    </w:p>
    <w:p w:rsidR="00966CD8" w:rsidRDefault="00966CD8" w:rsidP="004265E7">
      <w:pPr>
        <w:spacing w:after="0"/>
        <w:ind w:left="709"/>
        <w:jc w:val="both"/>
        <w:rPr>
          <w:rFonts w:ascii="Times New Roman" w:hAnsi="Times New Roman" w:cs="Times New Roman"/>
          <w:noProof/>
          <w:sz w:val="24"/>
          <w:szCs w:val="24"/>
          <w:lang w:eastAsia="pt-BR"/>
        </w:rPr>
      </w:pPr>
    </w:p>
    <w:p w:rsidR="004265E7" w:rsidRDefault="004265E7" w:rsidP="004265E7">
      <w:pPr>
        <w:spacing w:after="0"/>
        <w:ind w:left="709"/>
        <w:jc w:val="both"/>
        <w:rPr>
          <w:rFonts w:ascii="Times New Roman" w:hAnsi="Times New Roman" w:cs="Times New Roman"/>
          <w:noProof/>
          <w:sz w:val="24"/>
          <w:szCs w:val="24"/>
          <w:lang w:eastAsia="pt-BR"/>
        </w:rPr>
      </w:pPr>
      <w:r w:rsidRPr="00EC0BD5">
        <w:rPr>
          <w:rFonts w:ascii="Times New Roman" w:hAnsi="Times New Roman" w:cs="Times New Roman"/>
          <w:noProof/>
          <w:sz w:val="24"/>
          <w:szCs w:val="24"/>
          <w:lang w:eastAsia="pt-BR"/>
        </w:rPr>
        <w:lastRenderedPageBreak/>
        <w:t xml:space="preserve">Gráfico 1 – </w:t>
      </w:r>
      <w:r>
        <w:rPr>
          <w:rFonts w:ascii="Times New Roman" w:hAnsi="Times New Roman" w:cs="Times New Roman"/>
          <w:noProof/>
          <w:sz w:val="24"/>
          <w:szCs w:val="24"/>
          <w:lang w:eastAsia="pt-BR"/>
        </w:rPr>
        <w:t>Comportamento</w:t>
      </w:r>
      <w:r w:rsidRPr="00EC0BD5">
        <w:rPr>
          <w:rFonts w:ascii="Times New Roman" w:hAnsi="Times New Roman" w:cs="Times New Roman"/>
          <w:noProof/>
          <w:sz w:val="24"/>
          <w:szCs w:val="24"/>
          <w:lang w:eastAsia="pt-BR"/>
        </w:rPr>
        <w:t xml:space="preserve"> dos preços </w:t>
      </w:r>
      <w:r>
        <w:rPr>
          <w:rFonts w:ascii="Times New Roman" w:hAnsi="Times New Roman" w:cs="Times New Roman"/>
          <w:noProof/>
          <w:sz w:val="24"/>
          <w:szCs w:val="24"/>
          <w:lang w:eastAsia="pt-BR"/>
        </w:rPr>
        <w:t xml:space="preserve">mensais pagos aos produtores nos cinco estados produtores </w:t>
      </w:r>
      <w:r w:rsidRPr="00EC0BD5">
        <w:rPr>
          <w:rFonts w:ascii="Times New Roman" w:hAnsi="Times New Roman" w:cs="Times New Roman"/>
          <w:noProof/>
          <w:sz w:val="24"/>
          <w:szCs w:val="24"/>
          <w:lang w:eastAsia="pt-BR"/>
        </w:rPr>
        <w:t>no período 0</w:t>
      </w:r>
      <w:r>
        <w:rPr>
          <w:rFonts w:ascii="Times New Roman" w:hAnsi="Times New Roman" w:cs="Times New Roman"/>
          <w:noProof/>
          <w:sz w:val="24"/>
          <w:szCs w:val="24"/>
          <w:lang w:eastAsia="pt-BR"/>
        </w:rPr>
        <w:t>1</w:t>
      </w:r>
      <w:r w:rsidRPr="00EC0BD5">
        <w:rPr>
          <w:rFonts w:ascii="Times New Roman" w:hAnsi="Times New Roman" w:cs="Times New Roman"/>
          <w:noProof/>
          <w:sz w:val="24"/>
          <w:szCs w:val="24"/>
          <w:lang w:eastAsia="pt-BR"/>
        </w:rPr>
        <w:t>/200</w:t>
      </w:r>
      <w:r w:rsidR="00966CD8">
        <w:rPr>
          <w:rFonts w:ascii="Times New Roman" w:hAnsi="Times New Roman" w:cs="Times New Roman"/>
          <w:noProof/>
          <w:sz w:val="24"/>
          <w:szCs w:val="24"/>
          <w:lang w:eastAsia="pt-BR"/>
        </w:rPr>
        <w:t>7</w:t>
      </w:r>
      <w:r w:rsidRPr="00EC0BD5">
        <w:rPr>
          <w:rFonts w:ascii="Times New Roman" w:hAnsi="Times New Roman" w:cs="Times New Roman"/>
          <w:noProof/>
          <w:sz w:val="24"/>
          <w:szCs w:val="24"/>
          <w:lang w:eastAsia="pt-BR"/>
        </w:rPr>
        <w:t xml:space="preserve"> – 12/2018</w:t>
      </w:r>
    </w:p>
    <w:p w:rsidR="004265E7" w:rsidRDefault="00FE6BC6" w:rsidP="004265E7">
      <w:pPr>
        <w:spacing w:after="0"/>
        <w:ind w:left="709"/>
        <w:jc w:val="center"/>
        <w:rPr>
          <w:rFonts w:ascii="Times New Roman" w:hAnsi="Times New Roman" w:cs="Times New Roman"/>
          <w:noProof/>
          <w:sz w:val="24"/>
          <w:szCs w:val="24"/>
          <w:lang w:eastAsia="pt-BR"/>
        </w:rPr>
      </w:pPr>
      <w:r>
        <w:rPr>
          <w:rFonts w:ascii="Times New Roman" w:hAnsi="Times New Roman" w:cs="Times New Roman"/>
          <w:noProof/>
          <w:sz w:val="24"/>
          <w:szCs w:val="24"/>
          <w:lang w:eastAsia="pt-BR"/>
        </w:rPr>
        <w:drawing>
          <wp:inline distT="0" distB="0" distL="0" distR="0" wp14:anchorId="460D0F7A">
            <wp:extent cx="6000750" cy="2089398"/>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911" cy="2096070"/>
                    </a:xfrm>
                    <a:prstGeom prst="rect">
                      <a:avLst/>
                    </a:prstGeom>
                    <a:noFill/>
                  </pic:spPr>
                </pic:pic>
              </a:graphicData>
            </a:graphic>
          </wp:inline>
        </w:drawing>
      </w:r>
    </w:p>
    <w:p w:rsidR="004265E7" w:rsidRDefault="004265E7" w:rsidP="004265E7">
      <w:pPr>
        <w:pStyle w:val="PargrafodaLista"/>
        <w:spacing w:after="0" w:line="240" w:lineRule="auto"/>
        <w:ind w:left="709"/>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 Fonte: Elaboração própria a partir de CEPEA (ESALQ).</w:t>
      </w:r>
    </w:p>
    <w:p w:rsidR="004265E7" w:rsidRDefault="004265E7" w:rsidP="004265E7">
      <w:pPr>
        <w:pStyle w:val="PargrafodaLista"/>
        <w:spacing w:after="0" w:line="240" w:lineRule="auto"/>
        <w:ind w:left="709"/>
        <w:jc w:val="both"/>
        <w:rPr>
          <w:rFonts w:ascii="Times New Roman" w:hAnsi="Times New Roman" w:cs="Times New Roman"/>
          <w:sz w:val="24"/>
          <w:szCs w:val="24"/>
        </w:rPr>
      </w:pPr>
    </w:p>
    <w:p w:rsidR="008524EB" w:rsidRPr="008524EB" w:rsidRDefault="008524EB" w:rsidP="008524EB">
      <w:pPr>
        <w:pStyle w:val="PargrafodaLista"/>
        <w:spacing w:after="0" w:line="240" w:lineRule="auto"/>
        <w:ind w:left="709" w:firstLine="707"/>
        <w:jc w:val="both"/>
        <w:rPr>
          <w:rFonts w:ascii="Times New Roman" w:hAnsi="Times New Roman" w:cs="Times New Roman"/>
          <w:sz w:val="24"/>
          <w:szCs w:val="24"/>
        </w:rPr>
      </w:pPr>
      <w:r w:rsidRPr="008524EB">
        <w:rPr>
          <w:rFonts w:ascii="Times New Roman" w:hAnsi="Times New Roman" w:cs="Times New Roman"/>
          <w:sz w:val="24"/>
          <w:szCs w:val="24"/>
        </w:rPr>
        <w:t>Pode-se perceber que existe um comportamento homogêneo entre os preços pagos nos cinco maiores estados produtores e desta forma, evidências sobre a integração destes entre esses mesmos estados. Um outro fato importante é a sazonalidade dos preços ao longo do ano ocasionada pela safra e entressafra do produto. Vilela et. al. (2017) argumentam que o alimento do rebanho torna-se mais escasso e caro na entressafra, período em que há menor oferta de leite, e o preço tende a subir. Isso tem estimulado uma expressiva parcela de produtores a se ajustarem para produzir cada vez mais na entressafra, a ponto de a diferença entre o leite produzido na safra e o produzido na entressafra ser hoje a menor da história. No curto prazo, a alternativa mais adotada e de resposta rápida é a disponibilidade de alimento às vacas em lactação, seja em quantidade, seja em qualidade.</w:t>
      </w:r>
    </w:p>
    <w:p w:rsidR="008524EB" w:rsidRPr="008524EB" w:rsidRDefault="008524EB" w:rsidP="008524EB">
      <w:pPr>
        <w:pStyle w:val="PargrafodaLista"/>
        <w:spacing w:after="0" w:line="240" w:lineRule="auto"/>
        <w:ind w:left="709" w:firstLine="707"/>
        <w:jc w:val="both"/>
        <w:rPr>
          <w:rFonts w:ascii="Times New Roman" w:hAnsi="Times New Roman" w:cs="Times New Roman"/>
          <w:sz w:val="24"/>
          <w:szCs w:val="24"/>
        </w:rPr>
      </w:pPr>
      <w:r w:rsidRPr="008524EB">
        <w:rPr>
          <w:rFonts w:ascii="Times New Roman" w:hAnsi="Times New Roman" w:cs="Times New Roman"/>
          <w:sz w:val="24"/>
          <w:szCs w:val="24"/>
        </w:rPr>
        <w:t>Assim, conforme destacado por Bacarji et. al. (2007), a produção brasileira de leite é maior no verão e menor no inverno. Tal comportamento reflete o sistema de produção, à base de pasto predominante no país. As forrageiras produzem mais no verão, o que causa maior produção de leite nesse período. A concentração da produção de forragem no verão resulta, também, em menor custo de produção de leite no verão, porque reduz o consumo de concentrado pelo rebanho e aumenta o de forragens no pasto. A combinação de maior produção de leite com menor custo de produção no verão cria condições para reduzir o preço pago ao produtor nessa época, visto que o preço de sobrevivência deste é menor. Desta forma, a sazonalidade da produção é acompanhada pela sazonalidade do preço do leite.</w:t>
      </w:r>
    </w:p>
    <w:p w:rsidR="00B07796" w:rsidRDefault="008524EB" w:rsidP="008524EB">
      <w:pPr>
        <w:pStyle w:val="PargrafodaLista"/>
        <w:spacing w:after="0" w:line="240" w:lineRule="auto"/>
        <w:ind w:left="709" w:firstLine="707"/>
        <w:jc w:val="both"/>
        <w:rPr>
          <w:rFonts w:ascii="Times New Roman" w:hAnsi="Times New Roman" w:cs="Times New Roman"/>
          <w:sz w:val="24"/>
          <w:szCs w:val="24"/>
        </w:rPr>
      </w:pPr>
      <w:r w:rsidRPr="008524EB">
        <w:rPr>
          <w:rFonts w:ascii="Times New Roman" w:hAnsi="Times New Roman" w:cs="Times New Roman"/>
          <w:sz w:val="24"/>
          <w:szCs w:val="24"/>
        </w:rPr>
        <w:t xml:space="preserve">O </w:t>
      </w:r>
      <w:r w:rsidR="00667439">
        <w:rPr>
          <w:rFonts w:ascii="Times New Roman" w:hAnsi="Times New Roman" w:cs="Times New Roman"/>
          <w:sz w:val="24"/>
          <w:szCs w:val="24"/>
        </w:rPr>
        <w:t>Gráfico 2 e o G</w:t>
      </w:r>
      <w:r w:rsidRPr="008524EB">
        <w:rPr>
          <w:rFonts w:ascii="Times New Roman" w:hAnsi="Times New Roman" w:cs="Times New Roman"/>
          <w:sz w:val="24"/>
          <w:szCs w:val="24"/>
        </w:rPr>
        <w:t xml:space="preserve">ráfico 3 refletem o comportamento dos preços do leite UHT integral no atacado e no varejo. Nota-se que as séries de preços apresentam uma tendência bem definida ao longo do tempo. </w:t>
      </w:r>
    </w:p>
    <w:p w:rsidR="008524EB" w:rsidRDefault="008524EB" w:rsidP="008524EB">
      <w:pPr>
        <w:spacing w:after="0"/>
        <w:ind w:left="709"/>
        <w:jc w:val="both"/>
        <w:rPr>
          <w:rFonts w:ascii="Times New Roman" w:hAnsi="Times New Roman" w:cs="Times New Roman"/>
          <w:noProof/>
          <w:sz w:val="24"/>
          <w:szCs w:val="24"/>
          <w:lang w:eastAsia="pt-BR"/>
        </w:rPr>
      </w:pPr>
      <w:r>
        <w:rPr>
          <w:rFonts w:ascii="Times New Roman" w:hAnsi="Times New Roman" w:cs="Times New Roman"/>
        </w:rPr>
        <w:t xml:space="preserve">Gráfico 2 </w:t>
      </w:r>
      <w:r w:rsidRPr="00EC0BD5">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Comportamento</w:t>
      </w:r>
      <w:r w:rsidRPr="00EC0BD5">
        <w:rPr>
          <w:rFonts w:ascii="Times New Roman" w:hAnsi="Times New Roman" w:cs="Times New Roman"/>
          <w:noProof/>
          <w:sz w:val="24"/>
          <w:szCs w:val="24"/>
          <w:lang w:eastAsia="pt-BR"/>
        </w:rPr>
        <w:t xml:space="preserve"> dos preços </w:t>
      </w:r>
      <w:r>
        <w:rPr>
          <w:rFonts w:ascii="Times New Roman" w:hAnsi="Times New Roman" w:cs="Times New Roman"/>
          <w:noProof/>
          <w:sz w:val="24"/>
          <w:szCs w:val="24"/>
          <w:lang w:eastAsia="pt-BR"/>
        </w:rPr>
        <w:t xml:space="preserve">mensais no atacado nos cinco estados produtores </w:t>
      </w:r>
      <w:r w:rsidRPr="00EC0BD5">
        <w:rPr>
          <w:rFonts w:ascii="Times New Roman" w:hAnsi="Times New Roman" w:cs="Times New Roman"/>
          <w:noProof/>
          <w:sz w:val="24"/>
          <w:szCs w:val="24"/>
          <w:lang w:eastAsia="pt-BR"/>
        </w:rPr>
        <w:t>no período 0</w:t>
      </w:r>
      <w:r>
        <w:rPr>
          <w:rFonts w:ascii="Times New Roman" w:hAnsi="Times New Roman" w:cs="Times New Roman"/>
          <w:noProof/>
          <w:sz w:val="24"/>
          <w:szCs w:val="24"/>
          <w:lang w:eastAsia="pt-BR"/>
        </w:rPr>
        <w:t>1</w:t>
      </w:r>
      <w:r w:rsidRPr="00EC0BD5">
        <w:rPr>
          <w:rFonts w:ascii="Times New Roman" w:hAnsi="Times New Roman" w:cs="Times New Roman"/>
          <w:noProof/>
          <w:sz w:val="24"/>
          <w:szCs w:val="24"/>
          <w:lang w:eastAsia="pt-BR"/>
        </w:rPr>
        <w:t>/200</w:t>
      </w:r>
      <w:r>
        <w:rPr>
          <w:rFonts w:ascii="Times New Roman" w:hAnsi="Times New Roman" w:cs="Times New Roman"/>
          <w:noProof/>
          <w:sz w:val="24"/>
          <w:szCs w:val="24"/>
          <w:lang w:eastAsia="pt-BR"/>
        </w:rPr>
        <w:t>7</w:t>
      </w:r>
      <w:r w:rsidRPr="00EC0BD5">
        <w:rPr>
          <w:rFonts w:ascii="Times New Roman" w:hAnsi="Times New Roman" w:cs="Times New Roman"/>
          <w:noProof/>
          <w:sz w:val="24"/>
          <w:szCs w:val="24"/>
          <w:lang w:eastAsia="pt-BR"/>
        </w:rPr>
        <w:t xml:space="preserve"> – 12/2018</w:t>
      </w:r>
    </w:p>
    <w:p w:rsidR="008524EB" w:rsidRDefault="00FE6BC6" w:rsidP="008524EB">
      <w:pPr>
        <w:spacing w:after="0" w:line="240" w:lineRule="auto"/>
        <w:ind w:left="709"/>
        <w:jc w:val="both"/>
        <w:rPr>
          <w:rFonts w:ascii="Times New Roman" w:hAnsi="Times New Roman" w:cs="Times New Roman"/>
        </w:rPr>
      </w:pPr>
      <w:r>
        <w:rPr>
          <w:rFonts w:ascii="Times New Roman" w:hAnsi="Times New Roman" w:cs="Times New Roman"/>
          <w:noProof/>
          <w:lang w:eastAsia="pt-BR"/>
        </w:rPr>
        <w:drawing>
          <wp:inline distT="0" distB="0" distL="0" distR="0" wp14:anchorId="7567782B">
            <wp:extent cx="6029325" cy="2113426"/>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552" cy="2121568"/>
                    </a:xfrm>
                    <a:prstGeom prst="rect">
                      <a:avLst/>
                    </a:prstGeom>
                    <a:noFill/>
                  </pic:spPr>
                </pic:pic>
              </a:graphicData>
            </a:graphic>
          </wp:inline>
        </w:drawing>
      </w:r>
    </w:p>
    <w:p w:rsidR="008524EB" w:rsidRDefault="008524EB" w:rsidP="008524EB">
      <w:pPr>
        <w:spacing w:after="0" w:line="240" w:lineRule="auto"/>
        <w:ind w:left="-284" w:firstLine="992"/>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Fonte: Elaboração própria a partir de CEPEA (ESALQ).</w:t>
      </w:r>
    </w:p>
    <w:p w:rsidR="008524EB" w:rsidRDefault="008524EB" w:rsidP="008524EB">
      <w:pPr>
        <w:spacing w:after="0" w:line="360" w:lineRule="auto"/>
        <w:ind w:left="-284"/>
        <w:jc w:val="both"/>
        <w:rPr>
          <w:rFonts w:ascii="Times New Roman" w:hAnsi="Times New Roman" w:cs="Times New Roman"/>
        </w:rPr>
      </w:pPr>
    </w:p>
    <w:p w:rsidR="008524EB" w:rsidRDefault="008524EB" w:rsidP="008524EB">
      <w:pPr>
        <w:spacing w:after="0"/>
        <w:ind w:left="709"/>
        <w:jc w:val="both"/>
        <w:rPr>
          <w:rFonts w:ascii="Times New Roman" w:hAnsi="Times New Roman" w:cs="Times New Roman"/>
          <w:noProof/>
          <w:sz w:val="24"/>
          <w:szCs w:val="24"/>
          <w:lang w:eastAsia="pt-BR"/>
        </w:rPr>
      </w:pPr>
      <w:r>
        <w:rPr>
          <w:rFonts w:ascii="Times New Roman" w:hAnsi="Times New Roman" w:cs="Times New Roman"/>
        </w:rPr>
        <w:t xml:space="preserve">Gráfico 3 </w:t>
      </w:r>
      <w:r w:rsidRPr="00EC0BD5">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Comportamento</w:t>
      </w:r>
      <w:r w:rsidRPr="00EC0BD5">
        <w:rPr>
          <w:rFonts w:ascii="Times New Roman" w:hAnsi="Times New Roman" w:cs="Times New Roman"/>
          <w:noProof/>
          <w:sz w:val="24"/>
          <w:szCs w:val="24"/>
          <w:lang w:eastAsia="pt-BR"/>
        </w:rPr>
        <w:t xml:space="preserve"> dos preços </w:t>
      </w:r>
      <w:r>
        <w:rPr>
          <w:rFonts w:ascii="Times New Roman" w:hAnsi="Times New Roman" w:cs="Times New Roman"/>
          <w:noProof/>
          <w:sz w:val="24"/>
          <w:szCs w:val="24"/>
          <w:lang w:eastAsia="pt-BR"/>
        </w:rPr>
        <w:t xml:space="preserve">mensais no varejo nos cinco estados produtores </w:t>
      </w:r>
      <w:r w:rsidRPr="00EC0BD5">
        <w:rPr>
          <w:rFonts w:ascii="Times New Roman" w:hAnsi="Times New Roman" w:cs="Times New Roman"/>
          <w:noProof/>
          <w:sz w:val="24"/>
          <w:szCs w:val="24"/>
          <w:lang w:eastAsia="pt-BR"/>
        </w:rPr>
        <w:t>no período 0</w:t>
      </w:r>
      <w:r>
        <w:rPr>
          <w:rFonts w:ascii="Times New Roman" w:hAnsi="Times New Roman" w:cs="Times New Roman"/>
          <w:noProof/>
          <w:sz w:val="24"/>
          <w:szCs w:val="24"/>
          <w:lang w:eastAsia="pt-BR"/>
        </w:rPr>
        <w:t>1</w:t>
      </w:r>
      <w:r w:rsidRPr="00EC0BD5">
        <w:rPr>
          <w:rFonts w:ascii="Times New Roman" w:hAnsi="Times New Roman" w:cs="Times New Roman"/>
          <w:noProof/>
          <w:sz w:val="24"/>
          <w:szCs w:val="24"/>
          <w:lang w:eastAsia="pt-BR"/>
        </w:rPr>
        <w:t>/200</w:t>
      </w:r>
      <w:r>
        <w:rPr>
          <w:rFonts w:ascii="Times New Roman" w:hAnsi="Times New Roman" w:cs="Times New Roman"/>
          <w:noProof/>
          <w:sz w:val="24"/>
          <w:szCs w:val="24"/>
          <w:lang w:eastAsia="pt-BR"/>
        </w:rPr>
        <w:t>7</w:t>
      </w:r>
      <w:r w:rsidRPr="00EC0BD5">
        <w:rPr>
          <w:rFonts w:ascii="Times New Roman" w:hAnsi="Times New Roman" w:cs="Times New Roman"/>
          <w:noProof/>
          <w:sz w:val="24"/>
          <w:szCs w:val="24"/>
          <w:lang w:eastAsia="pt-BR"/>
        </w:rPr>
        <w:t xml:space="preserve"> – 12/2018</w:t>
      </w:r>
    </w:p>
    <w:p w:rsidR="008524EB" w:rsidRDefault="00FE6BC6" w:rsidP="008524EB">
      <w:pPr>
        <w:spacing w:after="0" w:line="240" w:lineRule="auto"/>
        <w:ind w:left="709"/>
        <w:jc w:val="both"/>
        <w:rPr>
          <w:rFonts w:ascii="Times New Roman" w:hAnsi="Times New Roman" w:cs="Times New Roman"/>
        </w:rPr>
      </w:pPr>
      <w:r>
        <w:rPr>
          <w:rFonts w:ascii="Times New Roman" w:hAnsi="Times New Roman" w:cs="Times New Roman"/>
          <w:noProof/>
          <w:lang w:eastAsia="pt-BR"/>
        </w:rPr>
        <w:drawing>
          <wp:inline distT="0" distB="0" distL="0" distR="0" wp14:anchorId="7D7F8102">
            <wp:extent cx="6105525" cy="208332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896" cy="2091979"/>
                    </a:xfrm>
                    <a:prstGeom prst="rect">
                      <a:avLst/>
                    </a:prstGeom>
                    <a:noFill/>
                  </pic:spPr>
                </pic:pic>
              </a:graphicData>
            </a:graphic>
          </wp:inline>
        </w:drawing>
      </w:r>
    </w:p>
    <w:p w:rsidR="008524EB" w:rsidRDefault="008524EB" w:rsidP="008524EB">
      <w:pPr>
        <w:spacing w:after="0" w:line="240" w:lineRule="auto"/>
        <w:ind w:left="-284" w:firstLine="992"/>
        <w:jc w:val="both"/>
        <w:rPr>
          <w:rFonts w:ascii="Times New Roman" w:hAnsi="Times New Roman" w:cs="Times New Roman"/>
        </w:rPr>
      </w:pPr>
      <w:r>
        <w:rPr>
          <w:rFonts w:ascii="Times New Roman" w:hAnsi="Times New Roman" w:cs="Times New Roman"/>
        </w:rPr>
        <w:t>Fonte: Elaboração própria a partir de IPEAD (UFMG), IEPE (RS), SEAB (PR), SEGPLAN (GO) e IEA (SP)</w:t>
      </w:r>
    </w:p>
    <w:p w:rsidR="008524EB" w:rsidRDefault="008524EB" w:rsidP="008524EB">
      <w:pPr>
        <w:pStyle w:val="PargrafodaLista"/>
        <w:spacing w:after="0" w:line="240" w:lineRule="auto"/>
        <w:ind w:left="709" w:firstLine="707"/>
        <w:jc w:val="both"/>
        <w:rPr>
          <w:rFonts w:ascii="Times New Roman" w:hAnsi="Times New Roman" w:cs="Times New Roman"/>
          <w:sz w:val="24"/>
          <w:szCs w:val="24"/>
        </w:rPr>
      </w:pPr>
    </w:p>
    <w:p w:rsidR="008524EB" w:rsidRDefault="008524EB" w:rsidP="008524EB">
      <w:pPr>
        <w:spacing w:after="0" w:line="240" w:lineRule="auto"/>
        <w:ind w:left="709" w:firstLine="708"/>
        <w:jc w:val="both"/>
        <w:rPr>
          <w:rFonts w:ascii="Times New Roman" w:hAnsi="Times New Roman" w:cs="Times New Roman"/>
          <w:sz w:val="24"/>
          <w:szCs w:val="24"/>
        </w:rPr>
      </w:pPr>
      <w:r w:rsidRPr="00695BD7">
        <w:rPr>
          <w:rFonts w:ascii="Times New Roman" w:hAnsi="Times New Roman" w:cs="Times New Roman"/>
          <w:sz w:val="24"/>
          <w:szCs w:val="24"/>
        </w:rPr>
        <w:t>Dessa forma, para se detectar a estacionariedade, foram realizados os testes de raiz unitária</w:t>
      </w:r>
      <w:r>
        <w:rPr>
          <w:rFonts w:ascii="Times New Roman" w:hAnsi="Times New Roman" w:cs="Times New Roman"/>
          <w:sz w:val="24"/>
          <w:szCs w:val="24"/>
        </w:rPr>
        <w:t xml:space="preserve"> Dickey-Fuller Aumentado (ADF), Phillips-Perron (PP) e Kwiatkowski, Phillips, Schmidt e Shin (KPSS)</w:t>
      </w:r>
      <w:r w:rsidRPr="00695BD7">
        <w:rPr>
          <w:rFonts w:ascii="Times New Roman" w:hAnsi="Times New Roman" w:cs="Times New Roman"/>
          <w:sz w:val="24"/>
          <w:szCs w:val="24"/>
        </w:rPr>
        <w:t xml:space="preserve">. </w:t>
      </w:r>
      <w:r>
        <w:rPr>
          <w:rFonts w:ascii="Times New Roman" w:hAnsi="Times New Roman" w:cs="Times New Roman"/>
          <w:sz w:val="24"/>
          <w:szCs w:val="24"/>
        </w:rPr>
        <w:t xml:space="preserve">Os resultados estão </w:t>
      </w:r>
      <w:r w:rsidRPr="00542F22">
        <w:rPr>
          <w:rFonts w:ascii="Times New Roman" w:hAnsi="Times New Roman" w:cs="Times New Roman"/>
          <w:sz w:val="24"/>
          <w:szCs w:val="24"/>
        </w:rPr>
        <w:t xml:space="preserve">presentes na Tabela </w:t>
      </w:r>
      <w:r>
        <w:rPr>
          <w:rFonts w:ascii="Times New Roman" w:hAnsi="Times New Roman" w:cs="Times New Roman"/>
          <w:sz w:val="24"/>
          <w:szCs w:val="24"/>
        </w:rPr>
        <w:t>2</w:t>
      </w:r>
      <w:r w:rsidRPr="00542F22">
        <w:rPr>
          <w:rFonts w:ascii="Times New Roman" w:hAnsi="Times New Roman" w:cs="Times New Roman"/>
          <w:sz w:val="24"/>
          <w:szCs w:val="24"/>
        </w:rPr>
        <w:t xml:space="preserve"> e demonstram que para as </w:t>
      </w:r>
      <w:r>
        <w:rPr>
          <w:rFonts w:ascii="Times New Roman" w:hAnsi="Times New Roman" w:cs="Times New Roman"/>
          <w:sz w:val="24"/>
          <w:szCs w:val="24"/>
        </w:rPr>
        <w:t xml:space="preserve">três séries de preços, nos testes ADF e PP, o valor </w:t>
      </w:r>
      <w:r w:rsidRPr="00542F22">
        <w:rPr>
          <w:rFonts w:ascii="Times New Roman" w:hAnsi="Times New Roman" w:cs="Times New Roman"/>
          <w:sz w:val="24"/>
          <w:szCs w:val="24"/>
        </w:rPr>
        <w:t>calculado em módulo, é maior do que o valor c</w:t>
      </w:r>
      <w:r>
        <w:rPr>
          <w:rFonts w:ascii="Times New Roman" w:hAnsi="Times New Roman" w:cs="Times New Roman"/>
          <w:sz w:val="24"/>
          <w:szCs w:val="24"/>
        </w:rPr>
        <w:t xml:space="preserve">rítico do teste, considerando a </w:t>
      </w:r>
      <w:r w:rsidRPr="00542F22">
        <w:rPr>
          <w:rFonts w:ascii="Times New Roman" w:hAnsi="Times New Roman" w:cs="Times New Roman"/>
          <w:sz w:val="24"/>
          <w:szCs w:val="24"/>
        </w:rPr>
        <w:t>significância estatística de 5%.</w:t>
      </w:r>
      <w:r>
        <w:rPr>
          <w:rFonts w:ascii="Times New Roman" w:hAnsi="Times New Roman" w:cs="Times New Roman"/>
          <w:sz w:val="24"/>
          <w:szCs w:val="24"/>
        </w:rPr>
        <w:t xml:space="preserve"> </w:t>
      </w:r>
      <w:r w:rsidRPr="00F649BA">
        <w:rPr>
          <w:rFonts w:ascii="Times New Roman" w:hAnsi="Times New Roman" w:cs="Times New Roman"/>
          <w:sz w:val="24"/>
          <w:szCs w:val="24"/>
        </w:rPr>
        <w:t xml:space="preserve">Desta forma, as três </w:t>
      </w:r>
      <w:r>
        <w:rPr>
          <w:rFonts w:ascii="Times New Roman" w:hAnsi="Times New Roman" w:cs="Times New Roman"/>
          <w:sz w:val="24"/>
          <w:szCs w:val="24"/>
        </w:rPr>
        <w:t>séries de preços</w:t>
      </w:r>
      <w:r w:rsidRPr="00F649BA">
        <w:rPr>
          <w:rFonts w:ascii="Times New Roman" w:hAnsi="Times New Roman" w:cs="Times New Roman"/>
          <w:sz w:val="24"/>
          <w:szCs w:val="24"/>
        </w:rPr>
        <w:t xml:space="preserve"> apresenta</w:t>
      </w:r>
      <w:r>
        <w:rPr>
          <w:rFonts w:ascii="Times New Roman" w:hAnsi="Times New Roman" w:cs="Times New Roman"/>
          <w:sz w:val="24"/>
          <w:szCs w:val="24"/>
        </w:rPr>
        <w:t xml:space="preserve">m rejeição da hipótese nula, em </w:t>
      </w:r>
      <w:r w:rsidRPr="00F649BA">
        <w:rPr>
          <w:rFonts w:ascii="Times New Roman" w:hAnsi="Times New Roman" w:cs="Times New Roman"/>
          <w:sz w:val="24"/>
          <w:szCs w:val="24"/>
        </w:rPr>
        <w:t>que a série seja um passeio aleatório – rejeita-se a existência de raiz unitária –</w:t>
      </w:r>
      <w:r>
        <w:rPr>
          <w:rFonts w:ascii="Times New Roman" w:hAnsi="Times New Roman" w:cs="Times New Roman"/>
          <w:sz w:val="24"/>
          <w:szCs w:val="24"/>
        </w:rPr>
        <w:t xml:space="preserve"> </w:t>
      </w:r>
      <w:r w:rsidRPr="00F649BA">
        <w:rPr>
          <w:rFonts w:ascii="Times New Roman" w:hAnsi="Times New Roman" w:cs="Times New Roman"/>
          <w:sz w:val="24"/>
          <w:szCs w:val="24"/>
        </w:rPr>
        <w:t>uma vez que as variáveis são estacionárias, as séries são então, I (0).</w:t>
      </w:r>
    </w:p>
    <w:p w:rsidR="00172FB0" w:rsidRDefault="008524EB" w:rsidP="00172FB0">
      <w:pPr>
        <w:spacing w:after="0" w:line="240" w:lineRule="auto"/>
        <w:ind w:left="709" w:firstLine="708"/>
        <w:jc w:val="both"/>
        <w:rPr>
          <w:rFonts w:ascii="Times New Roman" w:hAnsi="Times New Roman" w:cs="Times New Roman"/>
          <w:sz w:val="24"/>
          <w:szCs w:val="24"/>
        </w:rPr>
      </w:pPr>
      <w:r w:rsidRPr="00172FB0">
        <w:rPr>
          <w:rFonts w:ascii="Times New Roman" w:hAnsi="Times New Roman" w:cs="Times New Roman"/>
          <w:sz w:val="24"/>
          <w:szCs w:val="24"/>
        </w:rPr>
        <w:t>No teste KPSS, ao contrário dos testes ADF e PP, a hipótese nula é que a variável é estacionária. Repare que, para as três séries, não se rejeita a hipótese nula. Neste caso, isso significa que as três séries são estacionárias.</w:t>
      </w: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pPr>
    </w:p>
    <w:p w:rsidR="00B634D7" w:rsidRDefault="00B634D7" w:rsidP="00172FB0">
      <w:pPr>
        <w:spacing w:after="0" w:line="240" w:lineRule="auto"/>
        <w:ind w:left="709" w:firstLine="708"/>
        <w:jc w:val="both"/>
        <w:rPr>
          <w:rFonts w:ascii="Times New Roman" w:hAnsi="Times New Roman" w:cs="Times New Roman"/>
          <w:sz w:val="24"/>
          <w:szCs w:val="24"/>
        </w:rPr>
        <w:sectPr w:rsidR="00B634D7" w:rsidSect="008524EB">
          <w:headerReference w:type="even" r:id="rId14"/>
          <w:headerReference w:type="default" r:id="rId15"/>
          <w:footerReference w:type="even" r:id="rId16"/>
          <w:footerReference w:type="default" r:id="rId17"/>
          <w:headerReference w:type="first" r:id="rId18"/>
          <w:footerReference w:type="first" r:id="rId19"/>
          <w:pgSz w:w="11906" w:h="16838"/>
          <w:pgMar w:top="1134" w:right="851" w:bottom="1134" w:left="851" w:header="708" w:footer="708" w:gutter="0"/>
          <w:cols w:space="708"/>
          <w:docGrid w:linePitch="360"/>
        </w:sectPr>
      </w:pPr>
    </w:p>
    <w:p w:rsidR="00435405" w:rsidRDefault="00435405" w:rsidP="0043540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Tabela 2: Testes de raiz unitária ADF, PP e KPSS</w:t>
      </w:r>
    </w:p>
    <w:tbl>
      <w:tblPr>
        <w:tblStyle w:val="Tabelacomgrade"/>
        <w:tblW w:w="13036" w:type="dxa"/>
        <w:jc w:val="center"/>
        <w:tblLook w:val="04A0" w:firstRow="1" w:lastRow="0" w:firstColumn="1" w:lastColumn="0" w:noHBand="0" w:noVBand="1"/>
      </w:tblPr>
      <w:tblGrid>
        <w:gridCol w:w="1976"/>
        <w:gridCol w:w="1705"/>
        <w:gridCol w:w="2030"/>
        <w:gridCol w:w="1549"/>
        <w:gridCol w:w="815"/>
        <w:gridCol w:w="3119"/>
        <w:gridCol w:w="1842"/>
      </w:tblGrid>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Variáveis</w:t>
            </w:r>
          </w:p>
        </w:tc>
        <w:tc>
          <w:tcPr>
            <w:tcW w:w="1705"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Estatística ADF</w:t>
            </w:r>
          </w:p>
        </w:tc>
        <w:tc>
          <w:tcPr>
            <w:tcW w:w="2030"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Valor Crítico (5%)</w:t>
            </w:r>
          </w:p>
        </w:tc>
        <w:tc>
          <w:tcPr>
            <w:tcW w:w="1549"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Probabilidade</w:t>
            </w:r>
          </w:p>
        </w:tc>
        <w:tc>
          <w:tcPr>
            <w:tcW w:w="815"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Lags</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Variáveis Exógenas</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Resultado</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Pagos ao Produtor</w:t>
            </w:r>
          </w:p>
        </w:tc>
        <w:tc>
          <w:tcPr>
            <w:tcW w:w="1705" w:type="dxa"/>
            <w:tcBorders>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842" w:type="dxa"/>
            <w:tcBorders>
              <w:lef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-7.238</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-6.430</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-6.343</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-7.265</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2</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-7.556</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Atacado</w:t>
            </w:r>
          </w:p>
        </w:tc>
        <w:tc>
          <w:tcPr>
            <w:tcW w:w="1705"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2030"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549"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815"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3119"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842" w:type="dxa"/>
            <w:shd w:val="clear" w:color="auto" w:fill="FFFFFF" w:themeFill="background1"/>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-8.010</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-9.077</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-7.593</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-8.707</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-8.601</w:t>
            </w:r>
          </w:p>
        </w:tc>
        <w:tc>
          <w:tcPr>
            <w:tcW w:w="2030"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4</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Varejo</w:t>
            </w:r>
          </w:p>
        </w:tc>
        <w:tc>
          <w:tcPr>
            <w:tcW w:w="1705" w:type="dxa"/>
            <w:tcBorders>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c>
          <w:tcPr>
            <w:tcW w:w="1842" w:type="dxa"/>
            <w:tcBorders>
              <w:left w:val="nil"/>
            </w:tcBorders>
            <w:shd w:val="clear" w:color="auto" w:fill="FFFFFF" w:themeFill="background1"/>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-8.215</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-8.351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-8.140</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-7.653</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2</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-7.551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Variáveis</w:t>
            </w:r>
          </w:p>
        </w:tc>
        <w:tc>
          <w:tcPr>
            <w:tcW w:w="1705"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Estatística PP</w:t>
            </w:r>
          </w:p>
        </w:tc>
        <w:tc>
          <w:tcPr>
            <w:tcW w:w="2030"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Valor Crítico (5%)</w:t>
            </w:r>
          </w:p>
        </w:tc>
        <w:tc>
          <w:tcPr>
            <w:tcW w:w="1549"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Probabilidade</w:t>
            </w:r>
          </w:p>
        </w:tc>
        <w:tc>
          <w:tcPr>
            <w:tcW w:w="815"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Lags</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Variáveis Exógenas</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Resultado</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b/>
              </w:rPr>
              <w:t>Pagos ao Produtor</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-3.832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0.0176</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16</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-4.082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0.0084</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16</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-5.182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0.0002</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12</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-3.735</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0.0231</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13</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-3.877</w:t>
            </w:r>
          </w:p>
        </w:tc>
        <w:tc>
          <w:tcPr>
            <w:tcW w:w="2030"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0.0154</w:t>
            </w:r>
          </w:p>
        </w:tc>
        <w:tc>
          <w:tcPr>
            <w:tcW w:w="81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15</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Atacado</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-6.471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16</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-5.257</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0.0001</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12</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-5.500</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18</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-4.911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0.0005</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19</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-7.853</w:t>
            </w:r>
          </w:p>
        </w:tc>
        <w:tc>
          <w:tcPr>
            <w:tcW w:w="2030"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12</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Varejo</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-5.971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9</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-5.318</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0.0001</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15</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-4.492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0.0022</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17</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-6.048</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0.0090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13</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-6.968</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-3.044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0.0000</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11</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Variáveis</w:t>
            </w:r>
          </w:p>
        </w:tc>
        <w:tc>
          <w:tcPr>
            <w:tcW w:w="1705"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Estatística KPSS</w:t>
            </w:r>
          </w:p>
        </w:tc>
        <w:tc>
          <w:tcPr>
            <w:tcW w:w="2030"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Valor Crítico (5%)</w:t>
            </w:r>
          </w:p>
        </w:tc>
        <w:tc>
          <w:tcPr>
            <w:tcW w:w="1549"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Probabilidade</w:t>
            </w:r>
          </w:p>
        </w:tc>
        <w:tc>
          <w:tcPr>
            <w:tcW w:w="815"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Lags</w:t>
            </w:r>
          </w:p>
        </w:tc>
        <w:tc>
          <w:tcPr>
            <w:tcW w:w="3119"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Variáveis Exógenas</w:t>
            </w:r>
          </w:p>
        </w:tc>
        <w:tc>
          <w:tcPr>
            <w:tcW w:w="1842" w:type="dxa"/>
            <w:tcBorders>
              <w:bottom w:val="single" w:sz="4" w:space="0" w:color="auto"/>
            </w:tcBorders>
            <w:vAlign w:val="center"/>
          </w:tcPr>
          <w:p w:rsidR="00435405" w:rsidRPr="008524EB" w:rsidRDefault="00435405" w:rsidP="00435405">
            <w:pPr>
              <w:contextualSpacing/>
              <w:jc w:val="center"/>
              <w:rPr>
                <w:rFonts w:ascii="Times New Roman" w:hAnsi="Times New Roman" w:cs="Times New Roman"/>
                <w:b/>
              </w:rPr>
            </w:pPr>
            <w:r w:rsidRPr="008524EB">
              <w:rPr>
                <w:rFonts w:ascii="Times New Roman" w:hAnsi="Times New Roman" w:cs="Times New Roman"/>
                <w:b/>
              </w:rPr>
              <w:t>Resultado</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b/>
              </w:rPr>
              <w:t>Pagos ao Produtor</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0.146</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0.025</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0.147</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2</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0.025</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0.148</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0.022</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0.149</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3</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0.022</w:t>
            </w:r>
          </w:p>
        </w:tc>
        <w:tc>
          <w:tcPr>
            <w:tcW w:w="2030"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0.150</w:t>
            </w:r>
          </w:p>
        </w:tc>
        <w:tc>
          <w:tcPr>
            <w:tcW w:w="1549"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5</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b/>
              </w:rPr>
              <w:t>Atacado</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0.053</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0.151</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10</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0.027</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0.152</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7</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0.060</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0.153</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10</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0.051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0.154</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10</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0.050</w:t>
            </w:r>
          </w:p>
        </w:tc>
        <w:tc>
          <w:tcPr>
            <w:tcW w:w="2030"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0.155</w:t>
            </w:r>
          </w:p>
        </w:tc>
        <w:tc>
          <w:tcPr>
            <w:tcW w:w="1549"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tcBorders>
              <w:bottom w:val="single" w:sz="4" w:space="0" w:color="auto"/>
            </w:tcBorders>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12</w:t>
            </w:r>
          </w:p>
        </w:tc>
        <w:tc>
          <w:tcPr>
            <w:tcW w:w="3119"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Borders>
              <w:bottom w:val="single" w:sz="4" w:space="0" w:color="auto"/>
            </w:tcBorders>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tcPr>
          <w:p w:rsidR="00435405" w:rsidRPr="008524EB" w:rsidRDefault="00435405" w:rsidP="002830D3">
            <w:pPr>
              <w:contextualSpacing/>
              <w:jc w:val="center"/>
              <w:rPr>
                <w:rFonts w:ascii="Times New Roman" w:hAnsi="Times New Roman" w:cs="Times New Roman"/>
                <w:b/>
              </w:rPr>
            </w:pPr>
            <w:r w:rsidRPr="008524EB">
              <w:rPr>
                <w:rFonts w:ascii="Times New Roman" w:hAnsi="Times New Roman" w:cs="Times New Roman"/>
                <w:b/>
              </w:rPr>
              <w:t>Varejo</w:t>
            </w:r>
          </w:p>
        </w:tc>
        <w:tc>
          <w:tcPr>
            <w:tcW w:w="1705" w:type="dxa"/>
            <w:tcBorders>
              <w:right w:val="nil"/>
            </w:tcBorders>
          </w:tcPr>
          <w:p w:rsidR="00435405" w:rsidRPr="008524EB" w:rsidRDefault="00435405" w:rsidP="002830D3">
            <w:pPr>
              <w:contextualSpacing/>
              <w:jc w:val="center"/>
              <w:rPr>
                <w:rFonts w:ascii="Times New Roman" w:hAnsi="Times New Roman" w:cs="Times New Roman"/>
              </w:rPr>
            </w:pPr>
          </w:p>
        </w:tc>
        <w:tc>
          <w:tcPr>
            <w:tcW w:w="2030"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54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815"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3119" w:type="dxa"/>
            <w:tcBorders>
              <w:left w:val="nil"/>
              <w:right w:val="nil"/>
            </w:tcBorders>
          </w:tcPr>
          <w:p w:rsidR="00435405" w:rsidRPr="008524EB" w:rsidRDefault="00435405" w:rsidP="002830D3">
            <w:pPr>
              <w:contextualSpacing/>
              <w:jc w:val="center"/>
              <w:rPr>
                <w:rFonts w:ascii="Times New Roman" w:hAnsi="Times New Roman" w:cs="Times New Roman"/>
              </w:rPr>
            </w:pPr>
          </w:p>
        </w:tc>
        <w:tc>
          <w:tcPr>
            <w:tcW w:w="1842" w:type="dxa"/>
            <w:tcBorders>
              <w:left w:val="nil"/>
            </w:tcBorders>
          </w:tcPr>
          <w:p w:rsidR="00435405" w:rsidRPr="008524EB" w:rsidRDefault="00435405" w:rsidP="002830D3">
            <w:pPr>
              <w:contextualSpacing/>
              <w:jc w:val="center"/>
              <w:rPr>
                <w:rFonts w:ascii="Times New Roman" w:hAnsi="Times New Roman" w:cs="Times New Roman"/>
              </w:rPr>
            </w:pP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GO</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0.024</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0.156</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6</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MG</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0.048</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0.157</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9</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RS</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0.043</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0.158</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9</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SP</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0.031</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0.159</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r w:rsidR="00435405" w:rsidRPr="008524EB" w:rsidTr="00435405">
        <w:trPr>
          <w:jc w:val="center"/>
        </w:trPr>
        <w:tc>
          <w:tcPr>
            <w:tcW w:w="1976"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PR</w:t>
            </w:r>
          </w:p>
        </w:tc>
        <w:tc>
          <w:tcPr>
            <w:tcW w:w="170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0.034</w:t>
            </w:r>
          </w:p>
        </w:tc>
        <w:tc>
          <w:tcPr>
            <w:tcW w:w="2030"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0.160</w:t>
            </w:r>
          </w:p>
        </w:tc>
        <w:tc>
          <w:tcPr>
            <w:tcW w:w="1549"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w:t>
            </w:r>
          </w:p>
        </w:tc>
        <w:tc>
          <w:tcPr>
            <w:tcW w:w="815" w:type="dxa"/>
            <w:vAlign w:val="center"/>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8</w:t>
            </w:r>
          </w:p>
        </w:tc>
        <w:tc>
          <w:tcPr>
            <w:tcW w:w="3119"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CONSTANTE E TENDÊNCIA</w:t>
            </w:r>
          </w:p>
        </w:tc>
        <w:tc>
          <w:tcPr>
            <w:tcW w:w="1842" w:type="dxa"/>
          </w:tcPr>
          <w:p w:rsidR="00435405" w:rsidRPr="008524EB" w:rsidRDefault="00435405" w:rsidP="002830D3">
            <w:pPr>
              <w:contextualSpacing/>
              <w:jc w:val="center"/>
              <w:rPr>
                <w:rFonts w:ascii="Times New Roman" w:hAnsi="Times New Roman" w:cs="Times New Roman"/>
              </w:rPr>
            </w:pPr>
            <w:r w:rsidRPr="008524EB">
              <w:rPr>
                <w:rFonts w:ascii="Times New Roman" w:hAnsi="Times New Roman" w:cs="Times New Roman"/>
              </w:rPr>
              <w:t>ESTACIONÁRIA</w:t>
            </w:r>
          </w:p>
        </w:tc>
      </w:tr>
    </w:tbl>
    <w:p w:rsidR="00435405" w:rsidRDefault="008A0956" w:rsidP="00435405">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5405">
        <w:rPr>
          <w:rFonts w:ascii="Times New Roman" w:hAnsi="Times New Roman" w:cs="Times New Roman"/>
          <w:sz w:val="24"/>
          <w:szCs w:val="24"/>
        </w:rPr>
        <w:t>Fonte: Elaboração própria a partir de dados da pesquisa.</w:t>
      </w:r>
    </w:p>
    <w:p w:rsidR="00B634D7" w:rsidRDefault="00B634D7" w:rsidP="00172FB0">
      <w:pPr>
        <w:spacing w:after="0" w:line="240" w:lineRule="auto"/>
        <w:ind w:left="709" w:firstLine="708"/>
        <w:jc w:val="both"/>
        <w:rPr>
          <w:rFonts w:ascii="Times New Roman" w:hAnsi="Times New Roman" w:cs="Times New Roman"/>
          <w:sz w:val="24"/>
          <w:szCs w:val="24"/>
        </w:rPr>
        <w:sectPr w:rsidR="00B634D7" w:rsidSect="00B634D7">
          <w:pgSz w:w="16838" w:h="11906" w:orient="landscape"/>
          <w:pgMar w:top="851" w:right="1134" w:bottom="851" w:left="1134" w:header="709" w:footer="709" w:gutter="0"/>
          <w:cols w:space="708"/>
          <w:docGrid w:linePitch="360"/>
        </w:sectPr>
      </w:pPr>
    </w:p>
    <w:p w:rsidR="00172FB0" w:rsidRPr="00172FB0" w:rsidRDefault="00172FB0" w:rsidP="00172FB0">
      <w:pPr>
        <w:spacing w:after="0" w:line="240" w:lineRule="auto"/>
        <w:ind w:left="709" w:firstLine="708"/>
        <w:jc w:val="both"/>
        <w:rPr>
          <w:rFonts w:ascii="Times New Roman" w:hAnsi="Times New Roman" w:cs="Times New Roman"/>
          <w:sz w:val="24"/>
          <w:szCs w:val="24"/>
        </w:rPr>
      </w:pPr>
      <w:r w:rsidRPr="00172FB0">
        <w:rPr>
          <w:rFonts w:ascii="Times New Roman" w:hAnsi="Times New Roman" w:cs="Times New Roman"/>
          <w:sz w:val="24"/>
          <w:szCs w:val="24"/>
        </w:rPr>
        <w:t xml:space="preserve">Utilizamos três critérios de informação: Hannan-Quin (HQ), Akaike (AIC) e Schwarz (SC) além do erro final de previsão (FP) conforme </w:t>
      </w:r>
      <w:r w:rsidR="00667439">
        <w:rPr>
          <w:rFonts w:ascii="Times New Roman" w:hAnsi="Times New Roman" w:cs="Times New Roman"/>
          <w:sz w:val="24"/>
          <w:szCs w:val="24"/>
        </w:rPr>
        <w:t>T</w:t>
      </w:r>
      <w:r w:rsidRPr="00172FB0">
        <w:rPr>
          <w:rFonts w:ascii="Times New Roman" w:hAnsi="Times New Roman" w:cs="Times New Roman"/>
          <w:sz w:val="24"/>
          <w:szCs w:val="24"/>
        </w:rPr>
        <w:t xml:space="preserve">abela 3 onde o *(asterisco) indica a defasagem ótima. Para a série de preços pagos ao produtor e a série de preços no varejo, devemos utilizar duas defasagens indicados pelo critério de Akaike e FPE. Já para a série de preços no atacado, utilizamos três defasagens indicados pelos mesmos critérios anteriores. </w:t>
      </w:r>
    </w:p>
    <w:p w:rsidR="00172FB0" w:rsidRDefault="00172FB0" w:rsidP="00172FB0">
      <w:pPr>
        <w:spacing w:after="0" w:line="240" w:lineRule="auto"/>
        <w:ind w:left="709"/>
        <w:jc w:val="both"/>
        <w:rPr>
          <w:rFonts w:ascii="Times New Roman" w:hAnsi="Times New Roman" w:cs="Times New Roman"/>
        </w:rPr>
      </w:pPr>
    </w:p>
    <w:p w:rsidR="00172FB0" w:rsidRPr="00F37764" w:rsidRDefault="00172FB0" w:rsidP="00172FB0">
      <w:pPr>
        <w:spacing w:after="0" w:line="240" w:lineRule="auto"/>
        <w:ind w:left="709"/>
        <w:jc w:val="both"/>
        <w:rPr>
          <w:rFonts w:ascii="Times New Roman" w:hAnsi="Times New Roman" w:cs="Times New Roman"/>
          <w:sz w:val="24"/>
          <w:szCs w:val="24"/>
        </w:rPr>
      </w:pPr>
      <w:r w:rsidRPr="00F37764">
        <w:rPr>
          <w:rFonts w:ascii="Times New Roman" w:hAnsi="Times New Roman" w:cs="Times New Roman"/>
          <w:sz w:val="24"/>
          <w:szCs w:val="24"/>
        </w:rPr>
        <w:t>Tabela 3: Determinação do número de defasagens no modelo VAR para as três séries de preços, janeiro de 2007 a dezembro de 2018.</w:t>
      </w:r>
    </w:p>
    <w:tbl>
      <w:tblPr>
        <w:tblStyle w:val="Tabelacomgrade"/>
        <w:tblW w:w="9439" w:type="dxa"/>
        <w:tblInd w:w="762" w:type="dxa"/>
        <w:tblLook w:val="04A0" w:firstRow="1" w:lastRow="0" w:firstColumn="1" w:lastColumn="0" w:noHBand="0" w:noVBand="1"/>
      </w:tblPr>
      <w:tblGrid>
        <w:gridCol w:w="1245"/>
        <w:gridCol w:w="2099"/>
        <w:gridCol w:w="2126"/>
        <w:gridCol w:w="2127"/>
        <w:gridCol w:w="1842"/>
      </w:tblGrid>
      <w:tr w:rsidR="00172FB0" w:rsidRPr="00CB3C40" w:rsidTr="00172FB0">
        <w:tc>
          <w:tcPr>
            <w:tcW w:w="1245" w:type="dxa"/>
            <w:vMerge w:val="restart"/>
            <w:vAlign w:val="center"/>
          </w:tcPr>
          <w:p w:rsidR="00172FB0" w:rsidRPr="00CF6C1F" w:rsidRDefault="00172FB0" w:rsidP="003E67CB">
            <w:pPr>
              <w:jc w:val="center"/>
              <w:rPr>
                <w:rFonts w:ascii="Times New Roman" w:hAnsi="Times New Roman" w:cs="Times New Roman"/>
                <w:b/>
                <w:i/>
                <w:sz w:val="24"/>
                <w:szCs w:val="24"/>
              </w:rPr>
            </w:pPr>
            <w:r w:rsidRPr="00CF6C1F">
              <w:rPr>
                <w:rFonts w:ascii="Times New Roman" w:hAnsi="Times New Roman" w:cs="Times New Roman"/>
                <w:b/>
                <w:i/>
                <w:sz w:val="24"/>
                <w:szCs w:val="24"/>
              </w:rPr>
              <w:t>Lag</w:t>
            </w:r>
          </w:p>
        </w:tc>
        <w:tc>
          <w:tcPr>
            <w:tcW w:w="2099" w:type="dxa"/>
          </w:tcPr>
          <w:p w:rsidR="00172FB0" w:rsidRPr="00CF6C1F" w:rsidRDefault="00172FB0" w:rsidP="003E67CB">
            <w:pPr>
              <w:jc w:val="center"/>
              <w:rPr>
                <w:rFonts w:ascii="Times New Roman" w:hAnsi="Times New Roman" w:cs="Times New Roman"/>
                <w:b/>
                <w:sz w:val="24"/>
                <w:szCs w:val="24"/>
              </w:rPr>
            </w:pPr>
            <w:r w:rsidRPr="00CF6C1F">
              <w:rPr>
                <w:rFonts w:ascii="Times New Roman" w:hAnsi="Times New Roman" w:cs="Times New Roman"/>
                <w:b/>
                <w:sz w:val="24"/>
                <w:szCs w:val="24"/>
              </w:rPr>
              <w:t>AIC</w:t>
            </w:r>
          </w:p>
        </w:tc>
        <w:tc>
          <w:tcPr>
            <w:tcW w:w="2126" w:type="dxa"/>
          </w:tcPr>
          <w:p w:rsidR="00172FB0" w:rsidRPr="00CF6C1F" w:rsidRDefault="00172FB0" w:rsidP="003E67CB">
            <w:pPr>
              <w:jc w:val="center"/>
              <w:rPr>
                <w:rFonts w:ascii="Times New Roman" w:hAnsi="Times New Roman" w:cs="Times New Roman"/>
                <w:b/>
                <w:sz w:val="24"/>
                <w:szCs w:val="24"/>
              </w:rPr>
            </w:pPr>
            <w:r w:rsidRPr="00CF6C1F">
              <w:rPr>
                <w:rFonts w:ascii="Times New Roman" w:hAnsi="Times New Roman" w:cs="Times New Roman"/>
                <w:b/>
                <w:sz w:val="24"/>
                <w:szCs w:val="24"/>
              </w:rPr>
              <w:t>HQ</w:t>
            </w:r>
          </w:p>
        </w:tc>
        <w:tc>
          <w:tcPr>
            <w:tcW w:w="2127" w:type="dxa"/>
          </w:tcPr>
          <w:p w:rsidR="00172FB0" w:rsidRPr="00CF6C1F" w:rsidRDefault="00172FB0" w:rsidP="003E67CB">
            <w:pPr>
              <w:jc w:val="center"/>
              <w:rPr>
                <w:rFonts w:ascii="Times New Roman" w:hAnsi="Times New Roman" w:cs="Times New Roman"/>
                <w:b/>
                <w:sz w:val="24"/>
                <w:szCs w:val="24"/>
              </w:rPr>
            </w:pPr>
            <w:r w:rsidRPr="00CF6C1F">
              <w:rPr>
                <w:rFonts w:ascii="Times New Roman" w:hAnsi="Times New Roman" w:cs="Times New Roman"/>
                <w:b/>
                <w:sz w:val="24"/>
                <w:szCs w:val="24"/>
              </w:rPr>
              <w:t>SC</w:t>
            </w:r>
          </w:p>
        </w:tc>
        <w:tc>
          <w:tcPr>
            <w:tcW w:w="1842" w:type="dxa"/>
          </w:tcPr>
          <w:p w:rsidR="00172FB0" w:rsidRPr="00CF6C1F" w:rsidRDefault="00172FB0" w:rsidP="003E67CB">
            <w:pPr>
              <w:jc w:val="center"/>
              <w:rPr>
                <w:rFonts w:ascii="Times New Roman" w:hAnsi="Times New Roman" w:cs="Times New Roman"/>
                <w:b/>
                <w:sz w:val="24"/>
                <w:szCs w:val="24"/>
              </w:rPr>
            </w:pPr>
            <w:r w:rsidRPr="00CF6C1F">
              <w:rPr>
                <w:rFonts w:ascii="Times New Roman" w:hAnsi="Times New Roman" w:cs="Times New Roman"/>
                <w:b/>
                <w:sz w:val="24"/>
                <w:szCs w:val="24"/>
              </w:rPr>
              <w:t>FPE</w:t>
            </w:r>
          </w:p>
        </w:tc>
      </w:tr>
      <w:tr w:rsidR="00172FB0" w:rsidRPr="00CB3C40" w:rsidTr="00172FB0">
        <w:tc>
          <w:tcPr>
            <w:tcW w:w="1245" w:type="dxa"/>
            <w:vMerge/>
          </w:tcPr>
          <w:p w:rsidR="00172FB0" w:rsidRPr="00CB3C40" w:rsidRDefault="00172FB0" w:rsidP="003E67CB">
            <w:pPr>
              <w:jc w:val="center"/>
              <w:rPr>
                <w:rFonts w:ascii="Times New Roman" w:hAnsi="Times New Roman" w:cs="Times New Roman"/>
                <w:sz w:val="24"/>
                <w:szCs w:val="24"/>
              </w:rPr>
            </w:pPr>
          </w:p>
        </w:tc>
        <w:tc>
          <w:tcPr>
            <w:tcW w:w="8194" w:type="dxa"/>
            <w:gridSpan w:val="4"/>
            <w:vAlign w:val="center"/>
          </w:tcPr>
          <w:p w:rsidR="00172FB0" w:rsidRPr="0043764F" w:rsidRDefault="00172FB0" w:rsidP="003E67CB">
            <w:pPr>
              <w:jc w:val="center"/>
              <w:rPr>
                <w:rFonts w:ascii="Times New Roman" w:hAnsi="Times New Roman" w:cs="Times New Roman"/>
                <w:b/>
                <w:sz w:val="24"/>
                <w:szCs w:val="24"/>
              </w:rPr>
            </w:pPr>
            <w:r w:rsidRPr="0043764F">
              <w:rPr>
                <w:rFonts w:ascii="Times New Roman" w:hAnsi="Times New Roman" w:cs="Times New Roman"/>
                <w:b/>
                <w:sz w:val="24"/>
                <w:szCs w:val="24"/>
              </w:rPr>
              <w:t>Preços pagos ao produtor</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1</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-3.857375</w:t>
            </w:r>
          </w:p>
        </w:tc>
        <w:tc>
          <w:tcPr>
            <w:tcW w:w="2126"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-3.831139</w:t>
            </w:r>
            <w:r w:rsidR="00172FB0">
              <w:rPr>
                <w:rFonts w:ascii="Times New Roman" w:hAnsi="Times New Roman" w:cs="Times New Roman"/>
                <w:sz w:val="24"/>
                <w:szCs w:val="24"/>
              </w:rPr>
              <w:t>*</w:t>
            </w:r>
          </w:p>
        </w:tc>
        <w:tc>
          <w:tcPr>
            <w:tcW w:w="2127"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-3.792813</w:t>
            </w:r>
            <w:r w:rsidR="00172FB0">
              <w:rPr>
                <w:rFonts w:ascii="Times New Roman" w:hAnsi="Times New Roman" w:cs="Times New Roman"/>
                <w:sz w:val="24"/>
                <w:szCs w:val="24"/>
              </w:rPr>
              <w:t>*</w:t>
            </w:r>
          </w:p>
        </w:tc>
        <w:tc>
          <w:tcPr>
            <w:tcW w:w="1842"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1.769130</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2</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-3.877976</w:t>
            </w:r>
            <w:r w:rsidR="00172FB0">
              <w:rPr>
                <w:rFonts w:ascii="Times New Roman" w:hAnsi="Times New Roman" w:cs="Times New Roman"/>
                <w:sz w:val="24"/>
                <w:szCs w:val="24"/>
              </w:rPr>
              <w:t>*</w:t>
            </w:r>
          </w:p>
        </w:tc>
        <w:tc>
          <w:tcPr>
            <w:tcW w:w="2126"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-3.829877</w:t>
            </w:r>
          </w:p>
        </w:tc>
        <w:tc>
          <w:tcPr>
            <w:tcW w:w="2127"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-3.759613</w:t>
            </w:r>
          </w:p>
        </w:tc>
        <w:tc>
          <w:tcPr>
            <w:tcW w:w="1842"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1.441945</w:t>
            </w:r>
            <w:r w:rsidR="00172FB0">
              <w:rPr>
                <w:rFonts w:ascii="Times New Roman" w:hAnsi="Times New Roman" w:cs="Times New Roman"/>
                <w:sz w:val="24"/>
                <w:szCs w:val="24"/>
              </w:rPr>
              <w:t>*</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3</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-3.865912</w:t>
            </w:r>
          </w:p>
        </w:tc>
        <w:tc>
          <w:tcPr>
            <w:tcW w:w="2126"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-3.795950</w:t>
            </w:r>
          </w:p>
        </w:tc>
        <w:tc>
          <w:tcPr>
            <w:tcW w:w="2127"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-3.693748</w:t>
            </w:r>
          </w:p>
        </w:tc>
        <w:tc>
          <w:tcPr>
            <w:tcW w:w="1842"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1.633000</w:t>
            </w:r>
          </w:p>
        </w:tc>
      </w:tr>
      <w:tr w:rsidR="00172FB0" w:rsidRPr="00CB3C40" w:rsidTr="00172FB0">
        <w:tc>
          <w:tcPr>
            <w:tcW w:w="1245" w:type="dxa"/>
          </w:tcPr>
          <w:p w:rsidR="00172FB0" w:rsidRPr="00CF6C1F" w:rsidRDefault="00172FB0" w:rsidP="003E67CB">
            <w:pPr>
              <w:jc w:val="center"/>
              <w:rPr>
                <w:rFonts w:ascii="Times New Roman" w:hAnsi="Times New Roman" w:cs="Times New Roman"/>
                <w:b/>
                <w:i/>
                <w:sz w:val="24"/>
                <w:szCs w:val="24"/>
              </w:rPr>
            </w:pPr>
            <w:r w:rsidRPr="00CF6C1F">
              <w:rPr>
                <w:rFonts w:ascii="Times New Roman" w:hAnsi="Times New Roman" w:cs="Times New Roman"/>
                <w:b/>
                <w:i/>
                <w:sz w:val="24"/>
                <w:szCs w:val="24"/>
              </w:rPr>
              <w:t>Lag</w:t>
            </w:r>
          </w:p>
        </w:tc>
        <w:tc>
          <w:tcPr>
            <w:tcW w:w="8194" w:type="dxa"/>
            <w:gridSpan w:val="4"/>
            <w:vAlign w:val="center"/>
          </w:tcPr>
          <w:p w:rsidR="00172FB0" w:rsidRPr="0043764F" w:rsidRDefault="00172FB0" w:rsidP="003E67CB">
            <w:pPr>
              <w:jc w:val="center"/>
              <w:rPr>
                <w:rFonts w:ascii="Times New Roman" w:hAnsi="Times New Roman" w:cs="Times New Roman"/>
                <w:b/>
                <w:sz w:val="24"/>
                <w:szCs w:val="24"/>
              </w:rPr>
            </w:pPr>
            <w:r w:rsidRPr="0043764F">
              <w:rPr>
                <w:rFonts w:ascii="Times New Roman" w:hAnsi="Times New Roman" w:cs="Times New Roman"/>
                <w:b/>
                <w:sz w:val="24"/>
                <w:szCs w:val="24"/>
              </w:rPr>
              <w:t>Atacado</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1</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-3.332774</w:t>
            </w:r>
          </w:p>
        </w:tc>
        <w:tc>
          <w:tcPr>
            <w:tcW w:w="2126" w:type="dxa"/>
          </w:tcPr>
          <w:p w:rsidR="00172FB0" w:rsidRPr="00CB3C40" w:rsidRDefault="000C36A9" w:rsidP="003E67CB">
            <w:pPr>
              <w:jc w:val="center"/>
              <w:rPr>
                <w:rFonts w:ascii="Times New Roman" w:hAnsi="Times New Roman" w:cs="Times New Roman"/>
                <w:sz w:val="24"/>
                <w:szCs w:val="24"/>
              </w:rPr>
            </w:pPr>
            <w:r>
              <w:rPr>
                <w:rFonts w:ascii="Times New Roman" w:hAnsi="Times New Roman" w:cs="Times New Roman"/>
                <w:sz w:val="24"/>
                <w:szCs w:val="24"/>
              </w:rPr>
              <w:t>-3.306538</w:t>
            </w:r>
            <w:r w:rsidR="00172FB0">
              <w:rPr>
                <w:rFonts w:ascii="Times New Roman" w:hAnsi="Times New Roman" w:cs="Times New Roman"/>
                <w:sz w:val="24"/>
                <w:szCs w:val="24"/>
              </w:rPr>
              <w:t>*</w:t>
            </w:r>
          </w:p>
        </w:tc>
        <w:tc>
          <w:tcPr>
            <w:tcW w:w="2127" w:type="dxa"/>
          </w:tcPr>
          <w:p w:rsidR="00172FB0" w:rsidRPr="0043764F" w:rsidRDefault="000C36A9" w:rsidP="003E67CB">
            <w:pPr>
              <w:jc w:val="center"/>
              <w:rPr>
                <w:rFonts w:ascii="Times New Roman" w:hAnsi="Times New Roman" w:cs="Times New Roman"/>
                <w:sz w:val="24"/>
                <w:szCs w:val="24"/>
              </w:rPr>
            </w:pPr>
            <w:r>
              <w:rPr>
                <w:rFonts w:ascii="Times New Roman" w:hAnsi="Times New Roman" w:cs="Times New Roman"/>
                <w:sz w:val="24"/>
                <w:szCs w:val="24"/>
              </w:rPr>
              <w:t>-3.268212</w:t>
            </w:r>
            <w:r w:rsidR="00172FB0">
              <w:rPr>
                <w:rFonts w:ascii="Times New Roman" w:hAnsi="Times New Roman" w:cs="Times New Roman"/>
                <w:sz w:val="24"/>
                <w:szCs w:val="24"/>
              </w:rPr>
              <w:t>*</w:t>
            </w:r>
          </w:p>
        </w:tc>
        <w:tc>
          <w:tcPr>
            <w:tcW w:w="1842" w:type="dxa"/>
          </w:tcPr>
          <w:p w:rsidR="00172FB0" w:rsidRPr="0043764F"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3.357947</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2</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-3.340916</w:t>
            </w:r>
          </w:p>
        </w:tc>
        <w:tc>
          <w:tcPr>
            <w:tcW w:w="2126" w:type="dxa"/>
          </w:tcPr>
          <w:p w:rsidR="00172FB0" w:rsidRPr="00CB3C40" w:rsidRDefault="00172FB0" w:rsidP="000C36A9">
            <w:pPr>
              <w:jc w:val="center"/>
              <w:rPr>
                <w:rFonts w:ascii="Times New Roman" w:hAnsi="Times New Roman" w:cs="Times New Roman"/>
                <w:sz w:val="24"/>
                <w:szCs w:val="24"/>
              </w:rPr>
            </w:pPr>
            <w:r w:rsidRPr="00CF6C1F">
              <w:rPr>
                <w:rFonts w:ascii="Times New Roman" w:hAnsi="Times New Roman" w:cs="Times New Roman"/>
                <w:sz w:val="24"/>
                <w:szCs w:val="24"/>
              </w:rPr>
              <w:t>-3.292817</w:t>
            </w:r>
          </w:p>
        </w:tc>
        <w:tc>
          <w:tcPr>
            <w:tcW w:w="2127" w:type="dxa"/>
          </w:tcPr>
          <w:p w:rsidR="00172FB0" w:rsidRPr="0043764F" w:rsidRDefault="00172FB0" w:rsidP="000C36A9">
            <w:pPr>
              <w:jc w:val="center"/>
              <w:rPr>
                <w:rFonts w:ascii="Times New Roman" w:hAnsi="Times New Roman" w:cs="Times New Roman"/>
                <w:sz w:val="24"/>
                <w:szCs w:val="24"/>
              </w:rPr>
            </w:pPr>
            <w:r w:rsidRPr="00CF6C1F">
              <w:rPr>
                <w:rFonts w:ascii="Times New Roman" w:hAnsi="Times New Roman" w:cs="Times New Roman"/>
                <w:sz w:val="24"/>
                <w:szCs w:val="24"/>
              </w:rPr>
              <w:t>-3.222553</w:t>
            </w:r>
          </w:p>
        </w:tc>
        <w:tc>
          <w:tcPr>
            <w:tcW w:w="1842" w:type="dxa"/>
          </w:tcPr>
          <w:p w:rsidR="00172FB0" w:rsidRPr="0043764F" w:rsidRDefault="00813567" w:rsidP="003E67CB">
            <w:pPr>
              <w:jc w:val="center"/>
              <w:rPr>
                <w:rFonts w:ascii="Times New Roman" w:hAnsi="Times New Roman" w:cs="Times New Roman"/>
                <w:sz w:val="24"/>
                <w:szCs w:val="24"/>
              </w:rPr>
            </w:pPr>
            <w:r>
              <w:rPr>
                <w:rFonts w:ascii="Times New Roman" w:hAnsi="Times New Roman" w:cs="Times New Roman"/>
                <w:sz w:val="24"/>
                <w:szCs w:val="24"/>
              </w:rPr>
              <w:t>3.100072</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3</w:t>
            </w:r>
          </w:p>
        </w:tc>
        <w:tc>
          <w:tcPr>
            <w:tcW w:w="2099" w:type="dxa"/>
          </w:tcPr>
          <w:p w:rsidR="00172FB0" w:rsidRPr="00CB3C40"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-3.355860</w:t>
            </w:r>
            <w:r w:rsidR="00172FB0">
              <w:rPr>
                <w:rFonts w:ascii="Times New Roman" w:hAnsi="Times New Roman" w:cs="Times New Roman"/>
                <w:sz w:val="24"/>
                <w:szCs w:val="24"/>
              </w:rPr>
              <w:t>*</w:t>
            </w:r>
          </w:p>
        </w:tc>
        <w:tc>
          <w:tcPr>
            <w:tcW w:w="2126" w:type="dxa"/>
          </w:tcPr>
          <w:p w:rsidR="00172FB0" w:rsidRPr="00CB3C40" w:rsidRDefault="00172FB0" w:rsidP="000C36A9">
            <w:pPr>
              <w:jc w:val="center"/>
              <w:rPr>
                <w:rFonts w:ascii="Times New Roman" w:hAnsi="Times New Roman" w:cs="Times New Roman"/>
                <w:sz w:val="24"/>
                <w:szCs w:val="24"/>
              </w:rPr>
            </w:pPr>
            <w:r w:rsidRPr="00CF6C1F">
              <w:rPr>
                <w:rFonts w:ascii="Times New Roman" w:hAnsi="Times New Roman" w:cs="Times New Roman"/>
                <w:sz w:val="24"/>
                <w:szCs w:val="24"/>
              </w:rPr>
              <w:t>-3.285898</w:t>
            </w:r>
          </w:p>
        </w:tc>
        <w:tc>
          <w:tcPr>
            <w:tcW w:w="2127" w:type="dxa"/>
          </w:tcPr>
          <w:p w:rsidR="00172FB0" w:rsidRPr="0043764F" w:rsidRDefault="00172FB0" w:rsidP="000C36A9">
            <w:pPr>
              <w:jc w:val="center"/>
              <w:rPr>
                <w:rFonts w:ascii="Times New Roman" w:hAnsi="Times New Roman" w:cs="Times New Roman"/>
                <w:sz w:val="24"/>
                <w:szCs w:val="24"/>
              </w:rPr>
            </w:pPr>
            <w:r w:rsidRPr="00CF6C1F">
              <w:rPr>
                <w:rFonts w:ascii="Times New Roman" w:hAnsi="Times New Roman" w:cs="Times New Roman"/>
                <w:sz w:val="24"/>
                <w:szCs w:val="24"/>
              </w:rPr>
              <w:t>-3.183696</w:t>
            </w:r>
          </w:p>
        </w:tc>
        <w:tc>
          <w:tcPr>
            <w:tcW w:w="1842" w:type="dxa"/>
          </w:tcPr>
          <w:p w:rsidR="00172FB0" w:rsidRPr="0043764F" w:rsidRDefault="00813567" w:rsidP="003E67CB">
            <w:pPr>
              <w:jc w:val="center"/>
              <w:rPr>
                <w:rFonts w:ascii="Times New Roman" w:hAnsi="Times New Roman" w:cs="Times New Roman"/>
                <w:sz w:val="24"/>
                <w:szCs w:val="24"/>
              </w:rPr>
            </w:pPr>
            <w:r>
              <w:rPr>
                <w:rFonts w:ascii="Times New Roman" w:hAnsi="Times New Roman" w:cs="Times New Roman"/>
                <w:sz w:val="24"/>
                <w:szCs w:val="24"/>
              </w:rPr>
              <w:t>2.679871</w:t>
            </w:r>
            <w:r w:rsidR="00172FB0">
              <w:rPr>
                <w:rFonts w:ascii="Times New Roman" w:hAnsi="Times New Roman" w:cs="Times New Roman"/>
                <w:sz w:val="24"/>
                <w:szCs w:val="24"/>
              </w:rPr>
              <w:t>*</w:t>
            </w:r>
          </w:p>
        </w:tc>
      </w:tr>
      <w:tr w:rsidR="00172FB0" w:rsidRPr="00CB3C40" w:rsidTr="00172FB0">
        <w:tc>
          <w:tcPr>
            <w:tcW w:w="1245" w:type="dxa"/>
          </w:tcPr>
          <w:p w:rsidR="00172FB0" w:rsidRPr="00CF6C1F" w:rsidRDefault="00172FB0" w:rsidP="003E67CB">
            <w:pPr>
              <w:jc w:val="center"/>
              <w:rPr>
                <w:rFonts w:ascii="Times New Roman" w:hAnsi="Times New Roman" w:cs="Times New Roman"/>
                <w:b/>
                <w:i/>
                <w:sz w:val="24"/>
                <w:szCs w:val="24"/>
              </w:rPr>
            </w:pPr>
            <w:r w:rsidRPr="00CF6C1F">
              <w:rPr>
                <w:rFonts w:ascii="Times New Roman" w:hAnsi="Times New Roman" w:cs="Times New Roman"/>
                <w:b/>
                <w:i/>
                <w:sz w:val="24"/>
                <w:szCs w:val="24"/>
              </w:rPr>
              <w:t>Lag</w:t>
            </w:r>
          </w:p>
        </w:tc>
        <w:tc>
          <w:tcPr>
            <w:tcW w:w="8194" w:type="dxa"/>
            <w:gridSpan w:val="4"/>
            <w:vAlign w:val="center"/>
          </w:tcPr>
          <w:p w:rsidR="00172FB0" w:rsidRPr="00CF6C1F" w:rsidRDefault="00172FB0" w:rsidP="003E67CB">
            <w:pPr>
              <w:jc w:val="center"/>
              <w:rPr>
                <w:rFonts w:ascii="Times New Roman" w:hAnsi="Times New Roman" w:cs="Times New Roman"/>
                <w:b/>
                <w:sz w:val="24"/>
                <w:szCs w:val="24"/>
              </w:rPr>
            </w:pPr>
            <w:r w:rsidRPr="00CF6C1F">
              <w:rPr>
                <w:rFonts w:ascii="Times New Roman" w:hAnsi="Times New Roman" w:cs="Times New Roman"/>
                <w:b/>
                <w:sz w:val="24"/>
                <w:szCs w:val="24"/>
              </w:rPr>
              <w:t>Varejo</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1</w:t>
            </w:r>
          </w:p>
        </w:tc>
        <w:tc>
          <w:tcPr>
            <w:tcW w:w="2099" w:type="dxa"/>
          </w:tcPr>
          <w:p w:rsidR="00172FB0" w:rsidRPr="00CF6C1F"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-3.380484</w:t>
            </w:r>
            <w:r w:rsidR="00172FB0" w:rsidRPr="008E4E5F">
              <w:rPr>
                <w:rFonts w:ascii="Times New Roman" w:hAnsi="Times New Roman" w:cs="Times New Roman"/>
                <w:sz w:val="24"/>
                <w:szCs w:val="24"/>
              </w:rPr>
              <w:t xml:space="preserve"> </w:t>
            </w:r>
          </w:p>
        </w:tc>
        <w:tc>
          <w:tcPr>
            <w:tcW w:w="2126" w:type="dxa"/>
          </w:tcPr>
          <w:p w:rsidR="00172FB0" w:rsidRPr="00CF6C1F" w:rsidRDefault="000C36A9" w:rsidP="003E67CB">
            <w:pPr>
              <w:jc w:val="center"/>
              <w:rPr>
                <w:rFonts w:ascii="Times New Roman" w:hAnsi="Times New Roman" w:cs="Times New Roman"/>
                <w:sz w:val="24"/>
                <w:szCs w:val="24"/>
              </w:rPr>
            </w:pPr>
            <w:r>
              <w:rPr>
                <w:rFonts w:ascii="Times New Roman" w:hAnsi="Times New Roman" w:cs="Times New Roman"/>
                <w:sz w:val="24"/>
                <w:szCs w:val="24"/>
              </w:rPr>
              <w:t>-3.354248</w:t>
            </w:r>
            <w:r w:rsidR="00172FB0">
              <w:rPr>
                <w:rFonts w:ascii="Times New Roman" w:hAnsi="Times New Roman" w:cs="Times New Roman"/>
                <w:sz w:val="24"/>
                <w:szCs w:val="24"/>
              </w:rPr>
              <w:t>*</w:t>
            </w:r>
          </w:p>
        </w:tc>
        <w:tc>
          <w:tcPr>
            <w:tcW w:w="2127" w:type="dxa"/>
          </w:tcPr>
          <w:p w:rsidR="00172FB0" w:rsidRPr="00CF6C1F" w:rsidRDefault="00172FB0" w:rsidP="000C36A9">
            <w:pPr>
              <w:jc w:val="center"/>
              <w:rPr>
                <w:rFonts w:ascii="Times New Roman" w:hAnsi="Times New Roman" w:cs="Times New Roman"/>
                <w:sz w:val="24"/>
                <w:szCs w:val="24"/>
              </w:rPr>
            </w:pPr>
            <w:r w:rsidRPr="008E4E5F">
              <w:rPr>
                <w:rFonts w:ascii="Times New Roman" w:hAnsi="Times New Roman" w:cs="Times New Roman"/>
                <w:sz w:val="24"/>
                <w:szCs w:val="24"/>
              </w:rPr>
              <w:t>-3.315922</w:t>
            </w:r>
            <w:r>
              <w:rPr>
                <w:rFonts w:ascii="Times New Roman" w:hAnsi="Times New Roman" w:cs="Times New Roman"/>
                <w:sz w:val="24"/>
                <w:szCs w:val="24"/>
              </w:rPr>
              <w:t>*</w:t>
            </w:r>
          </w:p>
        </w:tc>
        <w:tc>
          <w:tcPr>
            <w:tcW w:w="1842" w:type="dxa"/>
          </w:tcPr>
          <w:p w:rsidR="00172FB0" w:rsidRPr="00CF6C1F" w:rsidRDefault="00813567" w:rsidP="003E67CB">
            <w:pPr>
              <w:jc w:val="center"/>
              <w:rPr>
                <w:rFonts w:ascii="Times New Roman" w:hAnsi="Times New Roman" w:cs="Times New Roman"/>
                <w:sz w:val="24"/>
                <w:szCs w:val="24"/>
              </w:rPr>
            </w:pPr>
            <w:r>
              <w:rPr>
                <w:rFonts w:ascii="Times New Roman" w:hAnsi="Times New Roman" w:cs="Times New Roman"/>
                <w:sz w:val="24"/>
                <w:szCs w:val="24"/>
              </w:rPr>
              <w:t>2.083885</w:t>
            </w:r>
          </w:p>
        </w:tc>
      </w:tr>
      <w:tr w:rsidR="00172FB0" w:rsidRPr="00CB3C40" w:rsidTr="00172FB0">
        <w:tc>
          <w:tcPr>
            <w:tcW w:w="1245" w:type="dxa"/>
          </w:tcPr>
          <w:p w:rsidR="00172FB0" w:rsidRPr="00CB3C40" w:rsidRDefault="00172FB0" w:rsidP="003E67CB">
            <w:pPr>
              <w:jc w:val="center"/>
              <w:rPr>
                <w:rFonts w:ascii="Times New Roman" w:hAnsi="Times New Roman" w:cs="Times New Roman"/>
                <w:sz w:val="24"/>
                <w:szCs w:val="24"/>
              </w:rPr>
            </w:pPr>
            <w:r w:rsidRPr="00CB3C40">
              <w:rPr>
                <w:rFonts w:ascii="Times New Roman" w:hAnsi="Times New Roman" w:cs="Times New Roman"/>
                <w:sz w:val="24"/>
                <w:szCs w:val="24"/>
              </w:rPr>
              <w:t>2</w:t>
            </w:r>
          </w:p>
        </w:tc>
        <w:tc>
          <w:tcPr>
            <w:tcW w:w="2099" w:type="dxa"/>
          </w:tcPr>
          <w:p w:rsidR="00172FB0" w:rsidRPr="00CF6C1F" w:rsidRDefault="00813567" w:rsidP="003E67CB">
            <w:pPr>
              <w:jc w:val="center"/>
              <w:rPr>
                <w:rFonts w:ascii="Times New Roman" w:hAnsi="Times New Roman" w:cs="Times New Roman"/>
                <w:sz w:val="24"/>
                <w:szCs w:val="24"/>
              </w:rPr>
            </w:pPr>
            <w:r>
              <w:rPr>
                <w:rFonts w:ascii="Times New Roman" w:hAnsi="Times New Roman" w:cs="Times New Roman"/>
                <w:sz w:val="24"/>
                <w:szCs w:val="24"/>
              </w:rPr>
              <w:t>-3.396906</w:t>
            </w:r>
            <w:r w:rsidR="00172FB0">
              <w:rPr>
                <w:rFonts w:ascii="Times New Roman" w:hAnsi="Times New Roman" w:cs="Times New Roman"/>
                <w:sz w:val="24"/>
                <w:szCs w:val="24"/>
              </w:rPr>
              <w:t>*</w:t>
            </w:r>
          </w:p>
        </w:tc>
        <w:tc>
          <w:tcPr>
            <w:tcW w:w="2126" w:type="dxa"/>
          </w:tcPr>
          <w:p w:rsidR="00172FB0" w:rsidRPr="00CF6C1F" w:rsidRDefault="00172FB0" w:rsidP="000C36A9">
            <w:pPr>
              <w:jc w:val="center"/>
              <w:rPr>
                <w:rFonts w:ascii="Times New Roman" w:hAnsi="Times New Roman" w:cs="Times New Roman"/>
                <w:sz w:val="24"/>
                <w:szCs w:val="24"/>
              </w:rPr>
            </w:pPr>
            <w:r w:rsidRPr="008E4E5F">
              <w:rPr>
                <w:rFonts w:ascii="Times New Roman" w:hAnsi="Times New Roman" w:cs="Times New Roman"/>
                <w:sz w:val="24"/>
                <w:szCs w:val="24"/>
              </w:rPr>
              <w:t>-3.348806</w:t>
            </w:r>
          </w:p>
        </w:tc>
        <w:tc>
          <w:tcPr>
            <w:tcW w:w="2127" w:type="dxa"/>
          </w:tcPr>
          <w:p w:rsidR="00172FB0" w:rsidRPr="00CF6C1F" w:rsidRDefault="00172FB0" w:rsidP="000C36A9">
            <w:pPr>
              <w:jc w:val="center"/>
              <w:rPr>
                <w:rFonts w:ascii="Times New Roman" w:hAnsi="Times New Roman" w:cs="Times New Roman"/>
                <w:sz w:val="24"/>
                <w:szCs w:val="24"/>
              </w:rPr>
            </w:pPr>
            <w:r w:rsidRPr="008E4E5F">
              <w:rPr>
                <w:rFonts w:ascii="Times New Roman" w:hAnsi="Times New Roman" w:cs="Times New Roman"/>
                <w:sz w:val="24"/>
                <w:szCs w:val="24"/>
              </w:rPr>
              <w:t>-3.278543</w:t>
            </w:r>
          </w:p>
        </w:tc>
        <w:tc>
          <w:tcPr>
            <w:tcW w:w="1842" w:type="dxa"/>
          </w:tcPr>
          <w:p w:rsidR="00172FB0" w:rsidRPr="00CF6C1F" w:rsidRDefault="00813567" w:rsidP="003E67CB">
            <w:pPr>
              <w:jc w:val="center"/>
              <w:rPr>
                <w:rFonts w:ascii="Times New Roman" w:hAnsi="Times New Roman" w:cs="Times New Roman"/>
                <w:sz w:val="24"/>
                <w:szCs w:val="24"/>
              </w:rPr>
            </w:pPr>
            <w:r>
              <w:rPr>
                <w:rFonts w:ascii="Times New Roman" w:hAnsi="Times New Roman" w:cs="Times New Roman"/>
                <w:sz w:val="24"/>
                <w:szCs w:val="24"/>
              </w:rPr>
              <w:t>1.770973</w:t>
            </w:r>
            <w:r w:rsidR="00172FB0">
              <w:rPr>
                <w:rFonts w:ascii="Times New Roman" w:hAnsi="Times New Roman" w:cs="Times New Roman"/>
                <w:sz w:val="24"/>
                <w:szCs w:val="24"/>
              </w:rPr>
              <w:t>*</w:t>
            </w:r>
          </w:p>
        </w:tc>
      </w:tr>
    </w:tbl>
    <w:p w:rsidR="00172FB0" w:rsidRDefault="00172FB0" w:rsidP="00172FB0">
      <w:pPr>
        <w:spacing w:after="240" w:line="360" w:lineRule="auto"/>
        <w:ind w:left="-142" w:firstLine="850"/>
        <w:jc w:val="both"/>
        <w:rPr>
          <w:rFonts w:ascii="Times New Roman" w:hAnsi="Times New Roman" w:cs="Times New Roman"/>
        </w:rPr>
      </w:pPr>
      <w:r>
        <w:rPr>
          <w:rFonts w:ascii="Times New Roman" w:hAnsi="Times New Roman" w:cs="Times New Roman"/>
        </w:rPr>
        <w:t xml:space="preserve"> Fonte: Elaboração própria a partir de dados da pesquisa.</w:t>
      </w:r>
    </w:p>
    <w:p w:rsidR="00172FB0" w:rsidRDefault="00172FB0" w:rsidP="00172FB0">
      <w:pPr>
        <w:spacing w:after="0" w:line="240" w:lineRule="auto"/>
        <w:ind w:left="708" w:firstLine="710"/>
        <w:jc w:val="both"/>
        <w:rPr>
          <w:rFonts w:ascii="Times New Roman" w:eastAsiaTheme="minorEastAsia" w:hAnsi="Times New Roman" w:cs="Times New Roman"/>
          <w:noProof/>
          <w:sz w:val="24"/>
          <w:szCs w:val="24"/>
          <w:lang w:eastAsia="pt-BR"/>
        </w:rPr>
      </w:pPr>
      <w:r>
        <w:rPr>
          <w:rFonts w:ascii="Times New Roman" w:hAnsi="Times New Roman" w:cs="Times New Roman"/>
          <w:noProof/>
          <w:sz w:val="24"/>
          <w:szCs w:val="24"/>
          <w:lang w:eastAsia="pt-BR"/>
        </w:rPr>
        <w:t xml:space="preserve">Após estimarmos o VAR, apresentamos os resultados para o índice </w:t>
      </w:r>
      <w:r w:rsidRPr="00523AFE">
        <w:rPr>
          <w:rFonts w:ascii="Times New Roman" w:hAnsi="Times New Roman" w:cs="Times New Roman"/>
          <w:i/>
          <w:noProof/>
          <w:sz w:val="24"/>
          <w:szCs w:val="24"/>
          <w:lang w:eastAsia="pt-BR"/>
        </w:rPr>
        <w:t>Spillover</w:t>
      </w:r>
      <w:r w:rsidR="00523AFE">
        <w:rPr>
          <w:rFonts w:ascii="Times New Roman" w:hAnsi="Times New Roman" w:cs="Times New Roman"/>
          <w:noProof/>
          <w:sz w:val="24"/>
          <w:szCs w:val="24"/>
          <w:lang w:eastAsia="pt-BR"/>
        </w:rPr>
        <w:t xml:space="preserve"> em cada mercado</w:t>
      </w:r>
      <w:r>
        <w:rPr>
          <w:rFonts w:ascii="Times New Roman" w:hAnsi="Times New Roman" w:cs="Times New Roman"/>
          <w:noProof/>
          <w:sz w:val="24"/>
          <w:szCs w:val="24"/>
          <w:lang w:eastAsia="pt-BR"/>
        </w:rPr>
        <w:t xml:space="preserve">. </w:t>
      </w:r>
      <w:r w:rsidRPr="00366F10">
        <w:rPr>
          <w:rFonts w:ascii="Times New Roman" w:hAnsi="Times New Roman" w:cs="Times New Roman"/>
          <w:noProof/>
          <w:sz w:val="24"/>
          <w:szCs w:val="24"/>
          <w:lang w:eastAsia="pt-BR"/>
        </w:rPr>
        <w:t xml:space="preserve">A entrada </w:t>
      </w:r>
      <w:r w:rsidR="005D480F" w:rsidRPr="005D480F">
        <w:rPr>
          <w:rFonts w:ascii="Times New Roman" w:hAnsi="Times New Roman" w:cs="Times New Roman"/>
          <w:i/>
          <w:noProof/>
          <w:sz w:val="24"/>
          <w:szCs w:val="24"/>
          <w:lang w:eastAsia="pt-BR"/>
        </w:rPr>
        <w:t>i</w:t>
      </w:r>
      <w:r w:rsidR="005D480F">
        <w:rPr>
          <w:rFonts w:ascii="Times New Roman" w:hAnsi="Times New Roman" w:cs="Times New Roman"/>
          <w:noProof/>
          <w:sz w:val="24"/>
          <w:szCs w:val="24"/>
          <w:lang w:eastAsia="pt-BR"/>
        </w:rPr>
        <w:t xml:space="preserve">-ésima, </w:t>
      </w:r>
      <w:r w:rsidR="005D480F" w:rsidRPr="005D480F">
        <w:rPr>
          <w:rFonts w:ascii="Times New Roman" w:hAnsi="Times New Roman" w:cs="Times New Roman"/>
          <w:i/>
          <w:noProof/>
          <w:sz w:val="24"/>
          <w:szCs w:val="24"/>
          <w:lang w:eastAsia="pt-BR"/>
        </w:rPr>
        <w:t>j</w:t>
      </w:r>
      <w:r w:rsidR="005D480F">
        <w:rPr>
          <w:rFonts w:ascii="Times New Roman" w:hAnsi="Times New Roman" w:cs="Times New Roman"/>
          <w:noProof/>
          <w:sz w:val="24"/>
          <w:szCs w:val="24"/>
          <w:lang w:eastAsia="pt-BR"/>
        </w:rPr>
        <w:t xml:space="preserve">-ésima </w:t>
      </w:r>
      <w:r w:rsidR="00667439">
        <w:rPr>
          <w:rFonts w:ascii="Times New Roman" w:hAnsi="Times New Roman" w:cs="Times New Roman"/>
          <w:noProof/>
          <w:sz w:val="24"/>
          <w:szCs w:val="24"/>
          <w:lang w:eastAsia="pt-BR"/>
        </w:rPr>
        <w:t>na T</w:t>
      </w:r>
      <w:r w:rsidRPr="00366F10">
        <w:rPr>
          <w:rFonts w:ascii="Times New Roman" w:hAnsi="Times New Roman" w:cs="Times New Roman"/>
          <w:noProof/>
          <w:sz w:val="24"/>
          <w:szCs w:val="24"/>
          <w:lang w:eastAsia="pt-BR"/>
        </w:rPr>
        <w:t xml:space="preserve">abela </w:t>
      </w:r>
      <w:r w:rsidR="00667439">
        <w:rPr>
          <w:rFonts w:ascii="Times New Roman" w:hAnsi="Times New Roman" w:cs="Times New Roman"/>
          <w:noProof/>
          <w:sz w:val="24"/>
          <w:szCs w:val="24"/>
          <w:lang w:eastAsia="pt-BR"/>
        </w:rPr>
        <w:t xml:space="preserve">4 </w:t>
      </w:r>
      <w:r w:rsidRPr="00366F10">
        <w:rPr>
          <w:rFonts w:ascii="Times New Roman" w:hAnsi="Times New Roman" w:cs="Times New Roman"/>
          <w:noProof/>
          <w:sz w:val="24"/>
          <w:szCs w:val="24"/>
          <w:lang w:eastAsia="pt-BR"/>
        </w:rPr>
        <w:t xml:space="preserve">é a contribuição estimada para a variação do erro de previsão do </w:t>
      </w:r>
      <w:r>
        <w:rPr>
          <w:rFonts w:ascii="Times New Roman" w:hAnsi="Times New Roman" w:cs="Times New Roman"/>
          <w:noProof/>
          <w:sz w:val="24"/>
          <w:szCs w:val="24"/>
          <w:lang w:eastAsia="pt-BR"/>
        </w:rPr>
        <w:t>estado</w:t>
      </w:r>
      <w:r w:rsidRPr="00366F10">
        <w:rPr>
          <w:rFonts w:ascii="Times New Roman" w:hAnsi="Times New Roman" w:cs="Times New Roman"/>
          <w:noProof/>
          <w:sz w:val="24"/>
          <w:szCs w:val="24"/>
          <w:lang w:eastAsia="pt-BR"/>
        </w:rPr>
        <w:t xml:space="preserve"> </w:t>
      </w:r>
      <m:oMath>
        <m:r>
          <w:rPr>
            <w:rFonts w:ascii="Cambria Math" w:hAnsi="Cambria Math" w:cs="Times New Roman"/>
            <w:noProof/>
            <w:sz w:val="24"/>
            <w:szCs w:val="24"/>
            <w:lang w:eastAsia="pt-BR"/>
          </w:rPr>
          <m:t>i</m:t>
        </m:r>
      </m:oMath>
      <w:r w:rsidRPr="00366F10">
        <w:rPr>
          <w:rFonts w:ascii="Times New Roman" w:hAnsi="Times New Roman" w:cs="Times New Roman"/>
          <w:noProof/>
          <w:sz w:val="24"/>
          <w:szCs w:val="24"/>
          <w:lang w:eastAsia="pt-BR"/>
        </w:rPr>
        <w:t xml:space="preserve"> vindo d</w:t>
      </w:r>
      <w:r>
        <w:rPr>
          <w:rFonts w:ascii="Times New Roman" w:hAnsi="Times New Roman" w:cs="Times New Roman"/>
          <w:noProof/>
          <w:sz w:val="24"/>
          <w:szCs w:val="24"/>
          <w:lang w:eastAsia="pt-BR"/>
        </w:rPr>
        <w:t>os</w:t>
      </w:r>
      <w:r w:rsidRPr="00366F10">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retornos dos preços pagos ao produtor</w:t>
      </w:r>
      <w:r w:rsidRPr="00366F10">
        <w:rPr>
          <w:rFonts w:ascii="Times New Roman" w:hAnsi="Times New Roman" w:cs="Times New Roman"/>
          <w:noProof/>
          <w:sz w:val="24"/>
          <w:szCs w:val="24"/>
          <w:lang w:eastAsia="pt-BR"/>
        </w:rPr>
        <w:t xml:space="preserve"> para o </w:t>
      </w:r>
      <w:r>
        <w:rPr>
          <w:rFonts w:ascii="Times New Roman" w:hAnsi="Times New Roman" w:cs="Times New Roman"/>
          <w:noProof/>
          <w:sz w:val="24"/>
          <w:szCs w:val="24"/>
          <w:lang w:eastAsia="pt-BR"/>
        </w:rPr>
        <w:t>estado</w:t>
      </w:r>
      <w:r w:rsidRPr="00366F10">
        <w:rPr>
          <w:rFonts w:ascii="Times New Roman" w:hAnsi="Times New Roman" w:cs="Times New Roman"/>
          <w:noProof/>
          <w:sz w:val="24"/>
          <w:szCs w:val="24"/>
          <w:lang w:eastAsia="pt-BR"/>
        </w:rPr>
        <w:t xml:space="preserve"> </w:t>
      </w:r>
      <m:oMath>
        <m:r>
          <w:rPr>
            <w:rFonts w:ascii="Cambria Math" w:hAnsi="Cambria Math" w:cs="Times New Roman"/>
            <w:noProof/>
            <w:sz w:val="24"/>
            <w:szCs w:val="24"/>
            <w:lang w:eastAsia="pt-BR"/>
          </w:rPr>
          <m:t>j</m:t>
        </m:r>
      </m:oMath>
      <w:r>
        <w:rPr>
          <w:rFonts w:ascii="Times New Roman" w:eastAsiaTheme="minorEastAsia" w:hAnsi="Times New Roman" w:cs="Times New Roman"/>
          <w:noProof/>
          <w:sz w:val="24"/>
          <w:szCs w:val="24"/>
          <w:lang w:eastAsia="pt-BR"/>
        </w:rPr>
        <w:t xml:space="preserve">. </w:t>
      </w:r>
      <w:r w:rsidRPr="00366F10">
        <w:rPr>
          <w:rFonts w:ascii="Times New Roman" w:eastAsiaTheme="minorEastAsia" w:hAnsi="Times New Roman" w:cs="Times New Roman"/>
          <w:noProof/>
          <w:sz w:val="24"/>
          <w:szCs w:val="24"/>
          <w:lang w:eastAsia="pt-BR"/>
        </w:rPr>
        <w:t xml:space="preserve">Portanto, as somas de coluna fora da diagonal (chamadas de Contribuições para Outros) ou somas de linha (chamadas Contribuições de Outros), quando somadas entre </w:t>
      </w:r>
      <w:r>
        <w:rPr>
          <w:rFonts w:ascii="Times New Roman" w:eastAsiaTheme="minorEastAsia" w:hAnsi="Times New Roman" w:cs="Times New Roman"/>
          <w:noProof/>
          <w:sz w:val="24"/>
          <w:szCs w:val="24"/>
          <w:lang w:eastAsia="pt-BR"/>
        </w:rPr>
        <w:t>estados</w:t>
      </w:r>
      <w:r w:rsidRPr="00366F10">
        <w:rPr>
          <w:rFonts w:ascii="Times New Roman" w:eastAsiaTheme="minorEastAsia" w:hAnsi="Times New Roman" w:cs="Times New Roman"/>
          <w:noProof/>
          <w:sz w:val="24"/>
          <w:szCs w:val="24"/>
          <w:lang w:eastAsia="pt-BR"/>
        </w:rPr>
        <w:t xml:space="preserve">, fornecem o numerador do Índice </w:t>
      </w:r>
      <w:r w:rsidRPr="007F1B27">
        <w:rPr>
          <w:rFonts w:ascii="Times New Roman" w:eastAsiaTheme="minorEastAsia" w:hAnsi="Times New Roman" w:cs="Times New Roman"/>
          <w:i/>
          <w:noProof/>
          <w:sz w:val="24"/>
          <w:szCs w:val="24"/>
          <w:lang w:eastAsia="pt-BR"/>
        </w:rPr>
        <w:t>Spillover</w:t>
      </w:r>
      <w:r w:rsidRPr="00366F10">
        <w:rPr>
          <w:rFonts w:ascii="Times New Roman" w:eastAsiaTheme="minorEastAsia" w:hAnsi="Times New Roman" w:cs="Times New Roman"/>
          <w:noProof/>
          <w:sz w:val="24"/>
          <w:szCs w:val="24"/>
          <w:lang w:eastAsia="pt-BR"/>
        </w:rPr>
        <w:t>.</w:t>
      </w:r>
      <w:r>
        <w:rPr>
          <w:rFonts w:ascii="Times New Roman" w:hAnsi="Times New Roman" w:cs="Times New Roman"/>
          <w:noProof/>
          <w:sz w:val="24"/>
          <w:szCs w:val="24"/>
          <w:lang w:eastAsia="pt-BR"/>
        </w:rPr>
        <w:t xml:space="preserve"> </w:t>
      </w:r>
      <w:r w:rsidRPr="005B560F">
        <w:rPr>
          <w:rFonts w:ascii="Times New Roman" w:eastAsiaTheme="minorEastAsia" w:hAnsi="Times New Roman" w:cs="Times New Roman"/>
          <w:noProof/>
          <w:sz w:val="24"/>
          <w:szCs w:val="24"/>
          <w:lang w:eastAsia="pt-BR"/>
        </w:rPr>
        <w:t xml:space="preserve">Da mesma forma, as somas de coluna ou somas de linha (incluindo diagonais), quando somadas entre </w:t>
      </w:r>
      <w:r>
        <w:rPr>
          <w:rFonts w:ascii="Times New Roman" w:eastAsiaTheme="minorEastAsia" w:hAnsi="Times New Roman" w:cs="Times New Roman"/>
          <w:noProof/>
          <w:sz w:val="24"/>
          <w:szCs w:val="24"/>
          <w:lang w:eastAsia="pt-BR"/>
        </w:rPr>
        <w:t>estados</w:t>
      </w:r>
      <w:r w:rsidRPr="005B560F">
        <w:rPr>
          <w:rFonts w:ascii="Times New Roman" w:eastAsiaTheme="minorEastAsia" w:hAnsi="Times New Roman" w:cs="Times New Roman"/>
          <w:noProof/>
          <w:sz w:val="24"/>
          <w:szCs w:val="24"/>
          <w:lang w:eastAsia="pt-BR"/>
        </w:rPr>
        <w:t xml:space="preserve">, fornecem o denominador do Índice </w:t>
      </w:r>
      <w:r w:rsidRPr="007F1B27">
        <w:rPr>
          <w:rFonts w:ascii="Times New Roman" w:eastAsiaTheme="minorEastAsia" w:hAnsi="Times New Roman" w:cs="Times New Roman"/>
          <w:i/>
          <w:noProof/>
          <w:sz w:val="24"/>
          <w:szCs w:val="24"/>
          <w:lang w:eastAsia="pt-BR"/>
        </w:rPr>
        <w:t>Spillover</w:t>
      </w:r>
      <w:r>
        <w:rPr>
          <w:rFonts w:ascii="Times New Roman" w:eastAsiaTheme="minorEastAsia" w:hAnsi="Times New Roman" w:cs="Times New Roman"/>
          <w:noProof/>
          <w:sz w:val="24"/>
          <w:szCs w:val="24"/>
          <w:lang w:eastAsia="pt-BR"/>
        </w:rPr>
        <w:t>.</w:t>
      </w:r>
    </w:p>
    <w:p w:rsidR="00966CD8" w:rsidRDefault="00966CD8" w:rsidP="00172FB0">
      <w:pPr>
        <w:spacing w:after="0" w:line="240" w:lineRule="auto"/>
        <w:ind w:left="708" w:firstLine="710"/>
        <w:jc w:val="both"/>
        <w:rPr>
          <w:rFonts w:ascii="Times New Roman" w:eastAsiaTheme="minorEastAsia" w:hAnsi="Times New Roman" w:cs="Times New Roman"/>
          <w:noProof/>
          <w:sz w:val="24"/>
          <w:szCs w:val="24"/>
          <w:lang w:eastAsia="pt-BR"/>
        </w:rPr>
      </w:pPr>
    </w:p>
    <w:p w:rsidR="00523AFE" w:rsidRDefault="00523AFE" w:rsidP="00523AFE">
      <w:pPr>
        <w:spacing w:after="0"/>
        <w:ind w:firstLine="708"/>
        <w:rPr>
          <w:rFonts w:ascii="Times New Roman" w:eastAsiaTheme="minorEastAsia" w:hAnsi="Times New Roman" w:cs="Times New Roman"/>
          <w:noProof/>
          <w:sz w:val="24"/>
          <w:szCs w:val="24"/>
          <w:lang w:eastAsia="pt-BR"/>
        </w:rPr>
      </w:pPr>
      <w:r>
        <w:rPr>
          <w:rFonts w:ascii="Times New Roman" w:eastAsiaTheme="minorEastAsia" w:hAnsi="Times New Roman" w:cs="Times New Roman"/>
          <w:noProof/>
          <w:sz w:val="24"/>
          <w:szCs w:val="24"/>
          <w:lang w:eastAsia="pt-BR"/>
        </w:rPr>
        <w:t>Tabela</w:t>
      </w:r>
      <w:r w:rsidR="00435405">
        <w:rPr>
          <w:rFonts w:ascii="Times New Roman" w:eastAsiaTheme="minorEastAsia" w:hAnsi="Times New Roman" w:cs="Times New Roman"/>
          <w:noProof/>
          <w:sz w:val="24"/>
          <w:szCs w:val="24"/>
          <w:lang w:eastAsia="pt-BR"/>
        </w:rPr>
        <w:t xml:space="preserve"> 4</w:t>
      </w:r>
      <w:r>
        <w:rPr>
          <w:rFonts w:ascii="Times New Roman" w:eastAsiaTheme="minorEastAsia" w:hAnsi="Times New Roman" w:cs="Times New Roman"/>
          <w:noProof/>
          <w:sz w:val="24"/>
          <w:szCs w:val="24"/>
          <w:lang w:eastAsia="pt-BR"/>
        </w:rPr>
        <w:t xml:space="preserve">: </w:t>
      </w:r>
      <w:r w:rsidRPr="00F04FC9">
        <w:rPr>
          <w:rFonts w:ascii="Times New Roman" w:eastAsiaTheme="minorEastAsia" w:hAnsi="Times New Roman" w:cs="Times New Roman"/>
          <w:i/>
          <w:noProof/>
          <w:sz w:val="24"/>
          <w:szCs w:val="24"/>
          <w:lang w:eastAsia="pt-BR"/>
        </w:rPr>
        <w:t>Spillover</w:t>
      </w:r>
      <w:r>
        <w:rPr>
          <w:rFonts w:ascii="Times New Roman" w:eastAsiaTheme="minorEastAsia" w:hAnsi="Times New Roman" w:cs="Times New Roman"/>
          <w:noProof/>
          <w:sz w:val="24"/>
          <w:szCs w:val="24"/>
          <w:lang w:eastAsia="pt-BR"/>
        </w:rPr>
        <w:t xml:space="preserve"> de Volatilidade para os preços pagos ao produtor</w:t>
      </w:r>
    </w:p>
    <w:tbl>
      <w:tblPr>
        <w:tblStyle w:val="Tabelacomgrade"/>
        <w:tblW w:w="9483" w:type="dxa"/>
        <w:tblInd w:w="704" w:type="dxa"/>
        <w:tblLook w:val="04A0" w:firstRow="1" w:lastRow="0" w:firstColumn="1" w:lastColumn="0" w:noHBand="0" w:noVBand="1"/>
      </w:tblPr>
      <w:tblGrid>
        <w:gridCol w:w="2228"/>
        <w:gridCol w:w="1095"/>
        <w:gridCol w:w="1076"/>
        <w:gridCol w:w="1076"/>
        <w:gridCol w:w="1076"/>
        <w:gridCol w:w="1076"/>
        <w:gridCol w:w="1856"/>
      </w:tblGrid>
      <w:tr w:rsidR="00523AFE" w:rsidTr="00523AFE">
        <w:tc>
          <w:tcPr>
            <w:tcW w:w="2228" w:type="dxa"/>
          </w:tcPr>
          <w:p w:rsidR="00523AFE" w:rsidRPr="005A46F2" w:rsidRDefault="00523AFE" w:rsidP="003E67CB">
            <w:pPr>
              <w:jc w:val="center"/>
              <w:rPr>
                <w:rFonts w:ascii="Times New Roman" w:hAnsi="Times New Roman" w:cs="Times New Roman"/>
                <w:b/>
                <w:sz w:val="24"/>
                <w:szCs w:val="24"/>
              </w:rPr>
            </w:pPr>
          </w:p>
        </w:tc>
        <w:tc>
          <w:tcPr>
            <w:tcW w:w="1095" w:type="dxa"/>
            <w:vAlign w:val="center"/>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MG</w:t>
            </w:r>
          </w:p>
        </w:tc>
        <w:tc>
          <w:tcPr>
            <w:tcW w:w="1076" w:type="dxa"/>
            <w:vAlign w:val="center"/>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RS</w:t>
            </w:r>
          </w:p>
        </w:tc>
        <w:tc>
          <w:tcPr>
            <w:tcW w:w="1076" w:type="dxa"/>
            <w:vAlign w:val="center"/>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PR</w:t>
            </w:r>
          </w:p>
        </w:tc>
        <w:tc>
          <w:tcPr>
            <w:tcW w:w="1076" w:type="dxa"/>
            <w:vAlign w:val="center"/>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GO</w:t>
            </w:r>
          </w:p>
        </w:tc>
        <w:tc>
          <w:tcPr>
            <w:tcW w:w="1076" w:type="dxa"/>
            <w:vAlign w:val="center"/>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SP</w:t>
            </w:r>
          </w:p>
        </w:tc>
        <w:tc>
          <w:tcPr>
            <w:tcW w:w="1856" w:type="dxa"/>
          </w:tcPr>
          <w:p w:rsidR="00523AFE" w:rsidRPr="005A46F2" w:rsidRDefault="00523AFE" w:rsidP="003E67CB">
            <w:pPr>
              <w:jc w:val="center"/>
              <w:rPr>
                <w:rFonts w:ascii="Times New Roman" w:hAnsi="Times New Roman" w:cs="Times New Roman"/>
                <w:b/>
                <w:sz w:val="24"/>
                <w:szCs w:val="24"/>
              </w:rPr>
            </w:pPr>
            <w:r>
              <w:rPr>
                <w:rFonts w:ascii="Times New Roman" w:hAnsi="Times New Roman" w:cs="Times New Roman"/>
                <w:b/>
                <w:sz w:val="24"/>
                <w:szCs w:val="24"/>
              </w:rPr>
              <w:t>Contribuições de outros</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MG</w:t>
            </w:r>
          </w:p>
        </w:tc>
        <w:tc>
          <w:tcPr>
            <w:tcW w:w="1095"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84,00</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4,44</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3,83</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5,04</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2,70</w:t>
            </w:r>
          </w:p>
        </w:tc>
        <w:tc>
          <w:tcPr>
            <w:tcW w:w="185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16,00</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RS</w:t>
            </w:r>
          </w:p>
        </w:tc>
        <w:tc>
          <w:tcPr>
            <w:tcW w:w="1095"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58,97</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28,46</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6,78</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4,47</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1,43</w:t>
            </w:r>
          </w:p>
        </w:tc>
        <w:tc>
          <w:tcPr>
            <w:tcW w:w="185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71,64</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PR</w:t>
            </w:r>
          </w:p>
        </w:tc>
        <w:tc>
          <w:tcPr>
            <w:tcW w:w="1095"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64,29</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10,51</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18,12</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5,46</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1,62</w:t>
            </w:r>
          </w:p>
        </w:tc>
        <w:tc>
          <w:tcPr>
            <w:tcW w:w="185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81,88</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GO</w:t>
            </w:r>
          </w:p>
        </w:tc>
        <w:tc>
          <w:tcPr>
            <w:tcW w:w="1095"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78,64</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2,87</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2,66</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12,90</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2,92</w:t>
            </w:r>
          </w:p>
        </w:tc>
        <w:tc>
          <w:tcPr>
            <w:tcW w:w="185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87,10</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sidRPr="005A46F2">
              <w:rPr>
                <w:rFonts w:ascii="Times New Roman" w:hAnsi="Times New Roman" w:cs="Times New Roman"/>
                <w:b/>
                <w:sz w:val="24"/>
                <w:szCs w:val="24"/>
              </w:rPr>
              <w:t>SP</w:t>
            </w:r>
          </w:p>
        </w:tc>
        <w:tc>
          <w:tcPr>
            <w:tcW w:w="1095"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69,09</w:t>
            </w:r>
          </w:p>
        </w:tc>
        <w:tc>
          <w:tcPr>
            <w:tcW w:w="107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7</w:t>
            </w:r>
            <w:r w:rsidRPr="005A46F2">
              <w:rPr>
                <w:rFonts w:ascii="Times New Roman" w:hAnsi="Times New Roman" w:cs="Times New Roman"/>
                <w:sz w:val="24"/>
                <w:szCs w:val="24"/>
              </w:rPr>
              <w:t>,59</w:t>
            </w:r>
          </w:p>
        </w:tc>
        <w:tc>
          <w:tcPr>
            <w:tcW w:w="107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6,94</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6,55</w:t>
            </w:r>
          </w:p>
        </w:tc>
        <w:tc>
          <w:tcPr>
            <w:tcW w:w="1076" w:type="dxa"/>
          </w:tcPr>
          <w:p w:rsidR="00523AFE" w:rsidRPr="005A46F2" w:rsidRDefault="00523AFE" w:rsidP="003E67CB">
            <w:pPr>
              <w:jc w:val="center"/>
              <w:rPr>
                <w:rFonts w:ascii="Times New Roman" w:hAnsi="Times New Roman" w:cs="Times New Roman"/>
                <w:sz w:val="24"/>
                <w:szCs w:val="24"/>
              </w:rPr>
            </w:pPr>
            <w:r w:rsidRPr="005A46F2">
              <w:rPr>
                <w:rFonts w:ascii="Times New Roman" w:hAnsi="Times New Roman" w:cs="Times New Roman"/>
                <w:sz w:val="24"/>
                <w:szCs w:val="24"/>
              </w:rPr>
              <w:t>9,83</w:t>
            </w:r>
          </w:p>
        </w:tc>
        <w:tc>
          <w:tcPr>
            <w:tcW w:w="1856" w:type="dxa"/>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90,17</w:t>
            </w:r>
          </w:p>
        </w:tc>
      </w:tr>
      <w:tr w:rsidR="00523AFE" w:rsidTr="00523AFE">
        <w:tc>
          <w:tcPr>
            <w:tcW w:w="2228" w:type="dxa"/>
          </w:tcPr>
          <w:p w:rsidR="00523AFE" w:rsidRPr="005A46F2" w:rsidRDefault="00523AFE" w:rsidP="003E67CB">
            <w:pPr>
              <w:jc w:val="center"/>
              <w:rPr>
                <w:rFonts w:ascii="Times New Roman" w:hAnsi="Times New Roman" w:cs="Times New Roman"/>
                <w:b/>
                <w:sz w:val="24"/>
                <w:szCs w:val="24"/>
              </w:rPr>
            </w:pPr>
            <w:r>
              <w:rPr>
                <w:rFonts w:ascii="Times New Roman" w:hAnsi="Times New Roman" w:cs="Times New Roman"/>
                <w:b/>
                <w:sz w:val="24"/>
                <w:szCs w:val="24"/>
              </w:rPr>
              <w:t>Contribuições para outros</w:t>
            </w:r>
          </w:p>
        </w:tc>
        <w:tc>
          <w:tcPr>
            <w:tcW w:w="1095"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270,99</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25,41</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20,21</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21,52</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8,67</w:t>
            </w:r>
          </w:p>
        </w:tc>
        <w:tc>
          <w:tcPr>
            <w:tcW w:w="185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346,80</w:t>
            </w:r>
          </w:p>
        </w:tc>
      </w:tr>
      <w:tr w:rsidR="00523AFE" w:rsidTr="00523AFE">
        <w:tc>
          <w:tcPr>
            <w:tcW w:w="2228" w:type="dxa"/>
            <w:vAlign w:val="center"/>
          </w:tcPr>
          <w:p w:rsidR="00523AFE" w:rsidRDefault="00523AFE" w:rsidP="003E67CB">
            <w:pPr>
              <w:jc w:val="center"/>
              <w:rPr>
                <w:rFonts w:ascii="Times New Roman" w:hAnsi="Times New Roman" w:cs="Times New Roman"/>
                <w:b/>
                <w:sz w:val="24"/>
                <w:szCs w:val="24"/>
              </w:rPr>
            </w:pPr>
            <w:r>
              <w:rPr>
                <w:rFonts w:ascii="Times New Roman" w:hAnsi="Times New Roman" w:cs="Times New Roman"/>
                <w:b/>
                <w:sz w:val="24"/>
                <w:szCs w:val="24"/>
              </w:rPr>
              <w:t>Contribuições incluindo o próprio estado</w:t>
            </w:r>
          </w:p>
        </w:tc>
        <w:tc>
          <w:tcPr>
            <w:tcW w:w="1095" w:type="dxa"/>
            <w:vAlign w:val="center"/>
          </w:tcPr>
          <w:p w:rsidR="00523AFE" w:rsidRDefault="00523AFE" w:rsidP="003E67CB">
            <w:pPr>
              <w:jc w:val="center"/>
              <w:rPr>
                <w:rFonts w:ascii="Times New Roman" w:hAnsi="Times New Roman" w:cs="Times New Roman"/>
                <w:sz w:val="24"/>
                <w:szCs w:val="24"/>
              </w:rPr>
            </w:pPr>
            <w:r>
              <w:rPr>
                <w:rFonts w:ascii="Times New Roman" w:hAnsi="Times New Roman" w:cs="Times New Roman"/>
                <w:sz w:val="24"/>
                <w:szCs w:val="24"/>
              </w:rPr>
              <w:t>354,99</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53,87</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38,33</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34,42</w:t>
            </w:r>
          </w:p>
        </w:tc>
        <w:tc>
          <w:tcPr>
            <w:tcW w:w="107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18,50</w:t>
            </w:r>
          </w:p>
        </w:tc>
        <w:tc>
          <w:tcPr>
            <w:tcW w:w="1856" w:type="dxa"/>
            <w:vAlign w:val="center"/>
          </w:tcPr>
          <w:p w:rsidR="00523AFE" w:rsidRPr="005A46F2" w:rsidRDefault="00523AFE" w:rsidP="003E67CB">
            <w:pPr>
              <w:jc w:val="center"/>
              <w:rPr>
                <w:rFonts w:ascii="Times New Roman" w:hAnsi="Times New Roman" w:cs="Times New Roman"/>
                <w:sz w:val="24"/>
                <w:szCs w:val="24"/>
              </w:rPr>
            </w:pPr>
            <w:r>
              <w:rPr>
                <w:rFonts w:ascii="Times New Roman" w:hAnsi="Times New Roman" w:cs="Times New Roman"/>
                <w:sz w:val="24"/>
                <w:szCs w:val="24"/>
              </w:rPr>
              <w:t xml:space="preserve">Índice </w:t>
            </w:r>
            <w:r w:rsidRPr="007F1B27">
              <w:rPr>
                <w:rFonts w:ascii="Times New Roman" w:hAnsi="Times New Roman" w:cs="Times New Roman"/>
                <w:i/>
                <w:sz w:val="24"/>
                <w:szCs w:val="24"/>
              </w:rPr>
              <w:t>Spillover</w:t>
            </w:r>
            <w:r>
              <w:rPr>
                <w:rFonts w:ascii="Times New Roman" w:hAnsi="Times New Roman" w:cs="Times New Roman"/>
                <w:sz w:val="24"/>
                <w:szCs w:val="24"/>
              </w:rPr>
              <w:t xml:space="preserve"> = 69,34%</w:t>
            </w:r>
          </w:p>
        </w:tc>
      </w:tr>
    </w:tbl>
    <w:p w:rsidR="00523AFE" w:rsidRDefault="00523AFE" w:rsidP="00523AFE">
      <w:pPr>
        <w:ind w:firstLine="708"/>
        <w:rPr>
          <w:rFonts w:ascii="Times New Roman" w:eastAsiaTheme="minorEastAsia" w:hAnsi="Times New Roman" w:cs="Times New Roman"/>
          <w:noProof/>
          <w:sz w:val="24"/>
          <w:szCs w:val="24"/>
          <w:lang w:eastAsia="pt-BR"/>
        </w:rPr>
      </w:pPr>
      <w:r>
        <w:rPr>
          <w:rFonts w:ascii="Times New Roman" w:eastAsiaTheme="minorEastAsia" w:hAnsi="Times New Roman" w:cs="Times New Roman"/>
          <w:noProof/>
          <w:sz w:val="24"/>
          <w:szCs w:val="24"/>
          <w:lang w:eastAsia="pt-BR"/>
        </w:rPr>
        <w:t>Fonte: Elaboração própria a partir de dados da pesquisa.</w:t>
      </w:r>
    </w:p>
    <w:p w:rsidR="00523AFE" w:rsidRDefault="00523AFE" w:rsidP="00E9705D">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A tabela </w:t>
      </w:r>
      <w:r w:rsidRPr="007F1B27">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xml:space="preserve"> de volatilidade fornece uma decomposição do índice </w:t>
      </w:r>
      <w:r w:rsidRPr="007F1B27">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xml:space="preserve"> de volatilidade total. Através do resultado do índice </w:t>
      </w:r>
      <w:r w:rsidRPr="009B21F9">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69,34% da variância do erro de previsão</w:t>
      </w:r>
      <w:r w:rsidR="008B6A75">
        <w:rPr>
          <w:rFonts w:ascii="Times New Roman" w:hAnsi="Times New Roman" w:cs="Times New Roman"/>
          <w:noProof/>
          <w:sz w:val="24"/>
          <w:szCs w:val="24"/>
          <w:lang w:eastAsia="pt-BR"/>
        </w:rPr>
        <w:t>, dez meses a frente,</w:t>
      </w:r>
      <w:r>
        <w:rPr>
          <w:rFonts w:ascii="Times New Roman" w:hAnsi="Times New Roman" w:cs="Times New Roman"/>
          <w:noProof/>
          <w:sz w:val="24"/>
          <w:szCs w:val="24"/>
          <w:lang w:eastAsia="pt-BR"/>
        </w:rPr>
        <w:t xml:space="preserve"> nos cinco estados vem do </w:t>
      </w:r>
      <w:r w:rsidRPr="009B21F9">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xml:space="preserve">. Outra observação é o papel importante que Minas Gerais tem nas variações nos retornos dos preços pagos sobre os outros estados. </w:t>
      </w:r>
      <w:r w:rsidRPr="00B0277C">
        <w:rPr>
          <w:rFonts w:ascii="Times New Roman" w:hAnsi="Times New Roman" w:cs="Times New Roman"/>
          <w:noProof/>
          <w:sz w:val="24"/>
          <w:szCs w:val="24"/>
          <w:lang w:eastAsia="pt-BR"/>
        </w:rPr>
        <w:t xml:space="preserve">Constatou </w:t>
      </w:r>
      <w:r w:rsidR="00E9705D">
        <w:rPr>
          <w:rFonts w:ascii="Times New Roman" w:hAnsi="Times New Roman" w:cs="Times New Roman"/>
          <w:noProof/>
          <w:sz w:val="24"/>
          <w:szCs w:val="24"/>
          <w:lang w:eastAsia="pt-BR"/>
        </w:rPr>
        <w:t xml:space="preserve">que 58,97% da variância do erro de previsão, dez meses a frente, para os preços pagos ao produtor no Rio Grande do Sul são explicados por choques nos preços pagos ao produtor em Minas Gerais. </w:t>
      </w:r>
      <w:r>
        <w:rPr>
          <w:rFonts w:ascii="Times New Roman" w:hAnsi="Times New Roman" w:cs="Times New Roman"/>
          <w:noProof/>
          <w:sz w:val="24"/>
          <w:szCs w:val="24"/>
          <w:lang w:eastAsia="pt-BR"/>
        </w:rPr>
        <w:t>Já no estado de São Paulo, o percentual atinge 69,09% enquanto no estado do Paraná esse valor fica em 64,29%. Repare que, no estado de Goiás, esse valor se eleva para 78,64%.</w:t>
      </w:r>
    </w:p>
    <w:p w:rsidR="005951FF" w:rsidRDefault="005951FF" w:rsidP="009F5412">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Na analise dos dados de </w:t>
      </w:r>
      <w:r w:rsidRPr="0045386A">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xml:space="preserve"> referentes ao Rio Grande do Sul, ao final de dez meses, </w:t>
      </w:r>
      <w:r w:rsidR="00E9705D">
        <w:rPr>
          <w:rFonts w:ascii="Times New Roman" w:hAnsi="Times New Roman" w:cs="Times New Roman"/>
          <w:noProof/>
          <w:sz w:val="24"/>
          <w:szCs w:val="24"/>
          <w:lang w:eastAsia="pt-BR"/>
        </w:rPr>
        <w:t>a variância do erro de previsão n</w:t>
      </w:r>
      <w:r>
        <w:rPr>
          <w:rFonts w:ascii="Times New Roman" w:hAnsi="Times New Roman" w:cs="Times New Roman"/>
          <w:noProof/>
          <w:sz w:val="24"/>
          <w:szCs w:val="24"/>
          <w:lang w:eastAsia="pt-BR"/>
        </w:rPr>
        <w:t xml:space="preserve">o preço pago ao produtor neste estado é explicado em 28,46% por si mesmo e em 10,51% pelo preço praticado no Paraná. Já no Paraná, 18,12% da variância do </w:t>
      </w:r>
      <w:r w:rsidR="00E9705D">
        <w:rPr>
          <w:rFonts w:ascii="Times New Roman" w:hAnsi="Times New Roman" w:cs="Times New Roman"/>
          <w:noProof/>
          <w:sz w:val="24"/>
          <w:szCs w:val="24"/>
          <w:lang w:eastAsia="pt-BR"/>
        </w:rPr>
        <w:t xml:space="preserve">erro de previsão no </w:t>
      </w:r>
      <w:r>
        <w:rPr>
          <w:rFonts w:ascii="Times New Roman" w:hAnsi="Times New Roman" w:cs="Times New Roman"/>
          <w:noProof/>
          <w:sz w:val="24"/>
          <w:szCs w:val="24"/>
          <w:lang w:eastAsia="pt-BR"/>
        </w:rPr>
        <w:t xml:space="preserve">preço paranaense é explicado pelo seu próprio preço e 6,94% pelo preço praticado no estado paulista. Dessa forma, para os dois estados, o maior </w:t>
      </w:r>
      <w:r w:rsidR="00896065">
        <w:rPr>
          <w:rFonts w:ascii="Times New Roman" w:hAnsi="Times New Roman" w:cs="Times New Roman"/>
          <w:noProof/>
          <w:sz w:val="24"/>
          <w:szCs w:val="24"/>
          <w:lang w:eastAsia="pt-BR"/>
        </w:rPr>
        <w:t xml:space="preserve">transmissor de choques nos </w:t>
      </w:r>
      <w:r>
        <w:rPr>
          <w:rFonts w:ascii="Times New Roman" w:hAnsi="Times New Roman" w:cs="Times New Roman"/>
          <w:noProof/>
          <w:sz w:val="24"/>
          <w:szCs w:val="24"/>
          <w:lang w:eastAsia="pt-BR"/>
        </w:rPr>
        <w:t>preços é o estado de Minas Gerais seguido pelos próprios preços.</w:t>
      </w:r>
    </w:p>
    <w:p w:rsidR="00FE6ECA" w:rsidRDefault="00FE6ECA" w:rsidP="00FE6ECA">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No estado de Goiás, apenas 12,90% d</w:t>
      </w:r>
      <w:r w:rsidR="00896065">
        <w:rPr>
          <w:rFonts w:ascii="Times New Roman" w:hAnsi="Times New Roman" w:cs="Times New Roman"/>
          <w:noProof/>
          <w:sz w:val="24"/>
          <w:szCs w:val="24"/>
          <w:lang w:eastAsia="pt-BR"/>
        </w:rPr>
        <w:t>a variância do erro de previsão n</w:t>
      </w:r>
      <w:r>
        <w:rPr>
          <w:rFonts w:ascii="Times New Roman" w:hAnsi="Times New Roman" w:cs="Times New Roman"/>
          <w:noProof/>
          <w:sz w:val="24"/>
          <w:szCs w:val="24"/>
          <w:lang w:eastAsia="pt-BR"/>
        </w:rPr>
        <w:t xml:space="preserve">os preços pagos produtor goiano são explicados por si mesmo. Embora seja o quarto maior produtor nacional com 8,93% da produção nacional; assume posição de tomador de preços. Esse fato pode estar ligado a falta de políticas públicas que incentivem </w:t>
      </w:r>
      <w:r w:rsidR="002830D3">
        <w:rPr>
          <w:rFonts w:ascii="Times New Roman" w:hAnsi="Times New Roman" w:cs="Times New Roman"/>
          <w:noProof/>
          <w:sz w:val="24"/>
          <w:szCs w:val="24"/>
          <w:lang w:eastAsia="pt-BR"/>
        </w:rPr>
        <w:t xml:space="preserve">a </w:t>
      </w:r>
      <w:r>
        <w:rPr>
          <w:rFonts w:ascii="Times New Roman" w:hAnsi="Times New Roman" w:cs="Times New Roman"/>
          <w:noProof/>
          <w:sz w:val="24"/>
          <w:szCs w:val="24"/>
          <w:lang w:eastAsia="pt-BR"/>
        </w:rPr>
        <w:t>eficiência na produção além da expansão das lavouras de culturas como a cana de açúçar e soja.</w:t>
      </w:r>
    </w:p>
    <w:p w:rsidR="009F5412" w:rsidRDefault="009F5412" w:rsidP="009F5412">
      <w:pPr>
        <w:spacing w:after="0" w:line="240" w:lineRule="auto"/>
        <w:ind w:left="709" w:firstLine="707"/>
        <w:jc w:val="both"/>
        <w:rPr>
          <w:rFonts w:ascii="Times New Roman" w:hAnsi="Times New Roman" w:cs="Times New Roman"/>
          <w:noProof/>
          <w:sz w:val="24"/>
          <w:szCs w:val="24"/>
          <w:lang w:eastAsia="pt-BR"/>
        </w:rPr>
      </w:pPr>
      <w:r w:rsidRPr="009F5412">
        <w:rPr>
          <w:rFonts w:ascii="Times New Roman" w:hAnsi="Times New Roman" w:cs="Times New Roman"/>
          <w:noProof/>
          <w:sz w:val="24"/>
          <w:szCs w:val="24"/>
          <w:lang w:eastAsia="pt-BR"/>
        </w:rPr>
        <w:t xml:space="preserve">A </w:t>
      </w:r>
      <w:r w:rsidR="00667439">
        <w:rPr>
          <w:rFonts w:ascii="Times New Roman" w:hAnsi="Times New Roman" w:cs="Times New Roman"/>
          <w:noProof/>
          <w:sz w:val="24"/>
          <w:szCs w:val="24"/>
          <w:lang w:eastAsia="pt-BR"/>
        </w:rPr>
        <w:t>F</w:t>
      </w:r>
      <w:r>
        <w:rPr>
          <w:rFonts w:ascii="Times New Roman" w:hAnsi="Times New Roman" w:cs="Times New Roman"/>
          <w:noProof/>
          <w:sz w:val="24"/>
          <w:szCs w:val="24"/>
          <w:lang w:eastAsia="pt-BR"/>
        </w:rPr>
        <w:t>igura 1</w:t>
      </w:r>
      <w:r w:rsidRPr="009F5412">
        <w:rPr>
          <w:rFonts w:ascii="Times New Roman" w:hAnsi="Times New Roman" w:cs="Times New Roman"/>
          <w:noProof/>
          <w:sz w:val="24"/>
          <w:szCs w:val="24"/>
          <w:lang w:eastAsia="pt-BR"/>
        </w:rPr>
        <w:t xml:space="preserve"> mostra um mapa das relações de rede e</w:t>
      </w:r>
      <w:r>
        <w:rPr>
          <w:rFonts w:ascii="Times New Roman" w:hAnsi="Times New Roman" w:cs="Times New Roman"/>
          <w:noProof/>
          <w:sz w:val="24"/>
          <w:szCs w:val="24"/>
          <w:lang w:eastAsia="pt-BR"/>
        </w:rPr>
        <w:t xml:space="preserve">ntre </w:t>
      </w:r>
      <w:r w:rsidR="00356A7A">
        <w:rPr>
          <w:rFonts w:ascii="Times New Roman" w:hAnsi="Times New Roman" w:cs="Times New Roman"/>
          <w:noProof/>
          <w:sz w:val="24"/>
          <w:szCs w:val="24"/>
          <w:lang w:eastAsia="pt-BR"/>
        </w:rPr>
        <w:t>os</w:t>
      </w:r>
      <w:r>
        <w:rPr>
          <w:rFonts w:ascii="Times New Roman" w:hAnsi="Times New Roman" w:cs="Times New Roman"/>
          <w:noProof/>
          <w:sz w:val="24"/>
          <w:szCs w:val="24"/>
          <w:lang w:eastAsia="pt-BR"/>
        </w:rPr>
        <w:t xml:space="preserve"> </w:t>
      </w:r>
      <w:r w:rsidR="00356A7A" w:rsidRPr="00356A7A">
        <w:rPr>
          <w:rFonts w:ascii="Times New Roman" w:hAnsi="Times New Roman" w:cs="Times New Roman"/>
          <w:i/>
          <w:noProof/>
          <w:sz w:val="24"/>
          <w:szCs w:val="24"/>
          <w:lang w:eastAsia="pt-BR"/>
        </w:rPr>
        <w:t>spillovers</w:t>
      </w:r>
      <w:r>
        <w:rPr>
          <w:rFonts w:ascii="Times New Roman" w:hAnsi="Times New Roman" w:cs="Times New Roman"/>
          <w:noProof/>
          <w:sz w:val="24"/>
          <w:szCs w:val="24"/>
          <w:lang w:eastAsia="pt-BR"/>
        </w:rPr>
        <w:t xml:space="preserve"> dos preços pagos ao produtor em cada estado</w:t>
      </w:r>
      <w:r w:rsidRPr="009F5412">
        <w:rPr>
          <w:rFonts w:ascii="Times New Roman" w:hAnsi="Times New Roman" w:cs="Times New Roman"/>
          <w:noProof/>
          <w:sz w:val="24"/>
          <w:szCs w:val="24"/>
          <w:lang w:eastAsia="pt-BR"/>
        </w:rPr>
        <w:t xml:space="preserve">, ou seja, a </w:t>
      </w:r>
      <w:r w:rsidR="00896065">
        <w:rPr>
          <w:rFonts w:ascii="Times New Roman" w:hAnsi="Times New Roman" w:cs="Times New Roman"/>
          <w:noProof/>
          <w:sz w:val="24"/>
          <w:szCs w:val="24"/>
          <w:lang w:eastAsia="pt-BR"/>
        </w:rPr>
        <w:t>variância do erro de previsão</w:t>
      </w:r>
      <w:r w:rsidRPr="009F5412">
        <w:rPr>
          <w:rFonts w:ascii="Times New Roman" w:hAnsi="Times New Roman" w:cs="Times New Roman"/>
          <w:noProof/>
          <w:sz w:val="24"/>
          <w:szCs w:val="24"/>
          <w:lang w:eastAsia="pt-BR"/>
        </w:rPr>
        <w:t xml:space="preserve"> que </w:t>
      </w:r>
      <w:r>
        <w:rPr>
          <w:rFonts w:ascii="Times New Roman" w:hAnsi="Times New Roman" w:cs="Times New Roman"/>
          <w:noProof/>
          <w:sz w:val="24"/>
          <w:szCs w:val="24"/>
          <w:lang w:eastAsia="pt-BR"/>
        </w:rPr>
        <w:t>os estados</w:t>
      </w:r>
      <w:r w:rsidRPr="009F5412">
        <w:rPr>
          <w:rFonts w:ascii="Times New Roman" w:hAnsi="Times New Roman" w:cs="Times New Roman"/>
          <w:noProof/>
          <w:sz w:val="24"/>
          <w:szCs w:val="24"/>
          <w:lang w:eastAsia="pt-BR"/>
        </w:rPr>
        <w:t xml:space="preserve"> individuais </w:t>
      </w:r>
      <w:r w:rsidR="00896065">
        <w:rPr>
          <w:rFonts w:ascii="Times New Roman" w:hAnsi="Times New Roman" w:cs="Times New Roman"/>
          <w:noProof/>
          <w:sz w:val="24"/>
          <w:szCs w:val="24"/>
          <w:lang w:eastAsia="pt-BR"/>
        </w:rPr>
        <w:t xml:space="preserve">transmitem e </w:t>
      </w:r>
      <w:r w:rsidRPr="009F5412">
        <w:rPr>
          <w:rFonts w:ascii="Times New Roman" w:hAnsi="Times New Roman" w:cs="Times New Roman"/>
          <w:noProof/>
          <w:sz w:val="24"/>
          <w:szCs w:val="24"/>
          <w:lang w:eastAsia="pt-BR"/>
        </w:rPr>
        <w:t xml:space="preserve">recebem dos outros </w:t>
      </w:r>
      <w:r>
        <w:rPr>
          <w:rFonts w:ascii="Times New Roman" w:hAnsi="Times New Roman" w:cs="Times New Roman"/>
          <w:noProof/>
          <w:sz w:val="24"/>
          <w:szCs w:val="24"/>
          <w:lang w:eastAsia="pt-BR"/>
        </w:rPr>
        <w:t>quatro</w:t>
      </w:r>
      <w:r w:rsidRPr="009F5412">
        <w:rPr>
          <w:rFonts w:ascii="Times New Roman" w:hAnsi="Times New Roman" w:cs="Times New Roman"/>
          <w:noProof/>
          <w:sz w:val="24"/>
          <w:szCs w:val="24"/>
          <w:lang w:eastAsia="pt-BR"/>
        </w:rPr>
        <w:t xml:space="preserve"> </w:t>
      </w:r>
      <w:r>
        <w:rPr>
          <w:rFonts w:ascii="Times New Roman" w:hAnsi="Times New Roman" w:cs="Times New Roman"/>
          <w:noProof/>
          <w:sz w:val="24"/>
          <w:szCs w:val="24"/>
          <w:lang w:eastAsia="pt-BR"/>
        </w:rPr>
        <w:t>estados</w:t>
      </w:r>
      <w:r w:rsidRPr="009F5412">
        <w:rPr>
          <w:rFonts w:ascii="Times New Roman" w:hAnsi="Times New Roman" w:cs="Times New Roman"/>
          <w:noProof/>
          <w:sz w:val="24"/>
          <w:szCs w:val="24"/>
          <w:lang w:eastAsia="pt-BR"/>
        </w:rPr>
        <w:t xml:space="preserve"> da rede durante o período </w:t>
      </w:r>
      <w:r>
        <w:rPr>
          <w:rFonts w:ascii="Times New Roman" w:hAnsi="Times New Roman" w:cs="Times New Roman"/>
          <w:noProof/>
          <w:sz w:val="24"/>
          <w:szCs w:val="24"/>
          <w:lang w:eastAsia="pt-BR"/>
        </w:rPr>
        <w:t>selecionado.</w:t>
      </w:r>
    </w:p>
    <w:p w:rsidR="00435405" w:rsidRDefault="00435405" w:rsidP="009F5412">
      <w:pPr>
        <w:spacing w:after="0" w:line="240" w:lineRule="auto"/>
        <w:ind w:left="709" w:firstLine="707"/>
        <w:jc w:val="both"/>
        <w:rPr>
          <w:rFonts w:ascii="Times New Roman" w:hAnsi="Times New Roman" w:cs="Times New Roman"/>
          <w:noProof/>
          <w:sz w:val="24"/>
          <w:szCs w:val="24"/>
          <w:lang w:eastAsia="pt-BR"/>
        </w:rPr>
      </w:pPr>
    </w:p>
    <w:p w:rsidR="00435405" w:rsidRDefault="00435405" w:rsidP="009F5412">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Figura 1: </w:t>
      </w:r>
      <w:r w:rsidRPr="00435405">
        <w:rPr>
          <w:rFonts w:ascii="Times New Roman" w:hAnsi="Times New Roman" w:cs="Times New Roman"/>
          <w:noProof/>
          <w:sz w:val="24"/>
          <w:szCs w:val="24"/>
          <w:lang w:eastAsia="pt-BR"/>
        </w:rPr>
        <w:t xml:space="preserve">Mapa da rede de </w:t>
      </w:r>
      <w:r w:rsidRPr="00435405">
        <w:rPr>
          <w:rFonts w:ascii="Times New Roman" w:hAnsi="Times New Roman" w:cs="Times New Roman"/>
          <w:i/>
          <w:noProof/>
          <w:sz w:val="24"/>
          <w:szCs w:val="24"/>
          <w:lang w:eastAsia="pt-BR"/>
        </w:rPr>
        <w:t>spillover</w:t>
      </w:r>
      <w:r w:rsidRPr="00435405">
        <w:rPr>
          <w:rFonts w:ascii="Times New Roman" w:hAnsi="Times New Roman" w:cs="Times New Roman"/>
          <w:noProof/>
          <w:sz w:val="24"/>
          <w:szCs w:val="24"/>
          <w:lang w:eastAsia="pt-BR"/>
        </w:rPr>
        <w:t xml:space="preserve"> dos </w:t>
      </w:r>
      <w:r>
        <w:rPr>
          <w:rFonts w:ascii="Times New Roman" w:hAnsi="Times New Roman" w:cs="Times New Roman"/>
          <w:noProof/>
          <w:sz w:val="24"/>
          <w:szCs w:val="24"/>
          <w:lang w:eastAsia="pt-BR"/>
        </w:rPr>
        <w:t>preços pagos ao produtor</w:t>
      </w:r>
    </w:p>
    <w:p w:rsidR="009F5412" w:rsidRDefault="00356A7A" w:rsidP="00356A7A">
      <w:pPr>
        <w:spacing w:after="0" w:line="240" w:lineRule="auto"/>
        <w:ind w:left="709" w:firstLine="707"/>
        <w:jc w:val="center"/>
        <w:rPr>
          <w:rFonts w:ascii="Times New Roman" w:hAnsi="Times New Roman" w:cs="Times New Roman"/>
          <w:noProof/>
          <w:sz w:val="24"/>
          <w:szCs w:val="24"/>
          <w:lang w:eastAsia="pt-BR"/>
        </w:rPr>
      </w:pPr>
      <w:r w:rsidRPr="00356A7A">
        <w:rPr>
          <w:noProof/>
          <w:lang w:eastAsia="pt-BR"/>
        </w:rPr>
        <w:drawing>
          <wp:inline distT="0" distB="0" distL="0" distR="0" wp14:anchorId="7D0FC452" wp14:editId="378330A4">
            <wp:extent cx="4314286" cy="3942857"/>
            <wp:effectExtent l="0" t="0" r="127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286" cy="3942857"/>
                    </a:xfrm>
                    <a:prstGeom prst="rect">
                      <a:avLst/>
                    </a:prstGeom>
                  </pic:spPr>
                </pic:pic>
              </a:graphicData>
            </a:graphic>
          </wp:inline>
        </w:drawing>
      </w:r>
    </w:p>
    <w:p w:rsidR="00435405" w:rsidRPr="009F5412" w:rsidRDefault="00435405" w:rsidP="00435405">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Fonte: Elaboração própria com base nos resultados da pesquisa.</w:t>
      </w:r>
    </w:p>
    <w:p w:rsidR="00356A7A" w:rsidRDefault="00356A7A" w:rsidP="009F5412">
      <w:pPr>
        <w:spacing w:after="0" w:line="240" w:lineRule="auto"/>
        <w:ind w:left="709" w:firstLine="707"/>
        <w:jc w:val="both"/>
        <w:rPr>
          <w:rFonts w:ascii="Times New Roman" w:hAnsi="Times New Roman" w:cs="Times New Roman"/>
          <w:noProof/>
          <w:sz w:val="24"/>
          <w:szCs w:val="24"/>
          <w:lang w:eastAsia="pt-BR"/>
        </w:rPr>
      </w:pPr>
    </w:p>
    <w:p w:rsidR="009F5412" w:rsidRPr="009F5412" w:rsidRDefault="009F5412" w:rsidP="009F5412">
      <w:pPr>
        <w:spacing w:after="0" w:line="240" w:lineRule="auto"/>
        <w:ind w:left="709" w:firstLine="707"/>
        <w:jc w:val="both"/>
        <w:rPr>
          <w:rFonts w:ascii="Times New Roman" w:hAnsi="Times New Roman" w:cs="Times New Roman"/>
          <w:noProof/>
          <w:sz w:val="24"/>
          <w:szCs w:val="24"/>
          <w:lang w:eastAsia="pt-BR"/>
        </w:rPr>
      </w:pPr>
      <w:r w:rsidRPr="009F5412">
        <w:rPr>
          <w:rFonts w:ascii="Times New Roman" w:hAnsi="Times New Roman" w:cs="Times New Roman"/>
          <w:noProof/>
          <w:sz w:val="24"/>
          <w:szCs w:val="24"/>
          <w:lang w:eastAsia="pt-BR"/>
        </w:rPr>
        <w:t xml:space="preserve">Cada uma das </w:t>
      </w:r>
      <w:r w:rsidR="00D16D96">
        <w:rPr>
          <w:rFonts w:ascii="Times New Roman" w:hAnsi="Times New Roman" w:cs="Times New Roman"/>
          <w:noProof/>
          <w:sz w:val="24"/>
          <w:szCs w:val="24"/>
          <w:lang w:eastAsia="pt-BR"/>
        </w:rPr>
        <w:t>setas</w:t>
      </w:r>
      <w:r w:rsidRPr="009F5412">
        <w:rPr>
          <w:rFonts w:ascii="Times New Roman" w:hAnsi="Times New Roman" w:cs="Times New Roman"/>
          <w:noProof/>
          <w:sz w:val="24"/>
          <w:szCs w:val="24"/>
          <w:lang w:eastAsia="pt-BR"/>
        </w:rPr>
        <w:t xml:space="preserve"> define </w:t>
      </w:r>
      <w:r w:rsidR="00356A7A">
        <w:rPr>
          <w:rFonts w:ascii="Times New Roman" w:hAnsi="Times New Roman" w:cs="Times New Roman"/>
          <w:noProof/>
          <w:sz w:val="24"/>
          <w:szCs w:val="24"/>
          <w:lang w:eastAsia="pt-BR"/>
        </w:rPr>
        <w:t>o efeito colateral (</w:t>
      </w:r>
      <w:r w:rsidR="00356A7A" w:rsidRPr="00896065">
        <w:rPr>
          <w:rFonts w:ascii="Times New Roman" w:hAnsi="Times New Roman" w:cs="Times New Roman"/>
          <w:i/>
          <w:noProof/>
          <w:sz w:val="24"/>
          <w:szCs w:val="24"/>
          <w:lang w:eastAsia="pt-BR"/>
        </w:rPr>
        <w:t>spillover</w:t>
      </w:r>
      <w:r w:rsidR="00356A7A">
        <w:rPr>
          <w:rFonts w:ascii="Times New Roman" w:hAnsi="Times New Roman" w:cs="Times New Roman"/>
          <w:noProof/>
          <w:sz w:val="24"/>
          <w:szCs w:val="24"/>
          <w:lang w:eastAsia="pt-BR"/>
        </w:rPr>
        <w:t>)</w:t>
      </w:r>
      <w:r w:rsidRPr="009F5412">
        <w:rPr>
          <w:rFonts w:ascii="Times New Roman" w:hAnsi="Times New Roman" w:cs="Times New Roman"/>
          <w:noProof/>
          <w:sz w:val="24"/>
          <w:szCs w:val="24"/>
          <w:lang w:eastAsia="pt-BR"/>
        </w:rPr>
        <w:t xml:space="preserve"> recebid</w:t>
      </w:r>
      <w:r w:rsidR="00356A7A">
        <w:rPr>
          <w:rFonts w:ascii="Times New Roman" w:hAnsi="Times New Roman" w:cs="Times New Roman"/>
          <w:noProof/>
          <w:sz w:val="24"/>
          <w:szCs w:val="24"/>
          <w:lang w:eastAsia="pt-BR"/>
        </w:rPr>
        <w:t>o</w:t>
      </w:r>
      <w:r w:rsidRPr="009F5412">
        <w:rPr>
          <w:rFonts w:ascii="Times New Roman" w:hAnsi="Times New Roman" w:cs="Times New Roman"/>
          <w:noProof/>
          <w:sz w:val="24"/>
          <w:szCs w:val="24"/>
          <w:lang w:eastAsia="pt-BR"/>
        </w:rPr>
        <w:t xml:space="preserve"> ou transmitid</w:t>
      </w:r>
      <w:r w:rsidR="00356A7A">
        <w:rPr>
          <w:rFonts w:ascii="Times New Roman" w:hAnsi="Times New Roman" w:cs="Times New Roman"/>
          <w:noProof/>
          <w:sz w:val="24"/>
          <w:szCs w:val="24"/>
          <w:lang w:eastAsia="pt-BR"/>
        </w:rPr>
        <w:t>o</w:t>
      </w:r>
      <w:r w:rsidRPr="009F5412">
        <w:rPr>
          <w:rFonts w:ascii="Times New Roman" w:hAnsi="Times New Roman" w:cs="Times New Roman"/>
          <w:noProof/>
          <w:sz w:val="24"/>
          <w:szCs w:val="24"/>
          <w:lang w:eastAsia="pt-BR"/>
        </w:rPr>
        <w:t>. A cor representa o tamanho d</w:t>
      </w:r>
      <w:r w:rsidR="00356A7A">
        <w:rPr>
          <w:rFonts w:ascii="Times New Roman" w:hAnsi="Times New Roman" w:cs="Times New Roman"/>
          <w:noProof/>
          <w:sz w:val="24"/>
          <w:szCs w:val="24"/>
          <w:lang w:eastAsia="pt-BR"/>
        </w:rPr>
        <w:t>o</w:t>
      </w:r>
      <w:r w:rsidRPr="009F5412">
        <w:rPr>
          <w:rFonts w:ascii="Times New Roman" w:hAnsi="Times New Roman" w:cs="Times New Roman"/>
          <w:noProof/>
          <w:sz w:val="24"/>
          <w:szCs w:val="24"/>
          <w:lang w:eastAsia="pt-BR"/>
        </w:rPr>
        <w:t xml:space="preserve"> </w:t>
      </w:r>
      <w:r w:rsidR="00356A7A" w:rsidRPr="00356A7A">
        <w:rPr>
          <w:rFonts w:ascii="Times New Roman" w:hAnsi="Times New Roman" w:cs="Times New Roman"/>
          <w:i/>
          <w:noProof/>
          <w:sz w:val="24"/>
          <w:szCs w:val="24"/>
          <w:lang w:eastAsia="pt-BR"/>
        </w:rPr>
        <w:t>spillover</w:t>
      </w:r>
      <w:r w:rsidRPr="009F5412">
        <w:rPr>
          <w:rFonts w:ascii="Times New Roman" w:hAnsi="Times New Roman" w:cs="Times New Roman"/>
          <w:noProof/>
          <w:sz w:val="24"/>
          <w:szCs w:val="24"/>
          <w:lang w:eastAsia="pt-BR"/>
        </w:rPr>
        <w:t xml:space="preserve"> </w:t>
      </w:r>
      <w:r w:rsidR="00356A7A">
        <w:rPr>
          <w:rFonts w:ascii="Times New Roman" w:hAnsi="Times New Roman" w:cs="Times New Roman"/>
          <w:noProof/>
          <w:sz w:val="24"/>
          <w:szCs w:val="24"/>
          <w:lang w:eastAsia="pt-BR"/>
        </w:rPr>
        <w:t>–</w:t>
      </w:r>
      <w:r w:rsidRPr="009F5412">
        <w:rPr>
          <w:rFonts w:ascii="Times New Roman" w:hAnsi="Times New Roman" w:cs="Times New Roman"/>
          <w:noProof/>
          <w:sz w:val="24"/>
          <w:szCs w:val="24"/>
          <w:lang w:eastAsia="pt-BR"/>
        </w:rPr>
        <w:t xml:space="preserve"> vermelho</w:t>
      </w:r>
      <w:r w:rsidR="00356A7A">
        <w:rPr>
          <w:rFonts w:ascii="Times New Roman" w:hAnsi="Times New Roman" w:cs="Times New Roman"/>
          <w:noProof/>
          <w:sz w:val="24"/>
          <w:szCs w:val="24"/>
          <w:lang w:eastAsia="pt-BR"/>
        </w:rPr>
        <w:t xml:space="preserve"> </w:t>
      </w:r>
      <w:r w:rsidRPr="009F5412">
        <w:rPr>
          <w:rFonts w:ascii="Times New Roman" w:hAnsi="Times New Roman" w:cs="Times New Roman"/>
          <w:noProof/>
          <w:sz w:val="24"/>
          <w:szCs w:val="24"/>
          <w:lang w:eastAsia="pt-BR"/>
        </w:rPr>
        <w:t xml:space="preserve">para </w:t>
      </w:r>
      <w:r w:rsidR="00356A7A" w:rsidRPr="00356A7A">
        <w:rPr>
          <w:rFonts w:ascii="Times New Roman" w:hAnsi="Times New Roman" w:cs="Times New Roman"/>
          <w:i/>
          <w:noProof/>
          <w:sz w:val="24"/>
          <w:szCs w:val="24"/>
          <w:lang w:eastAsia="pt-BR"/>
        </w:rPr>
        <w:t>spillover</w:t>
      </w:r>
      <w:r w:rsidRPr="009F5412">
        <w:rPr>
          <w:rFonts w:ascii="Times New Roman" w:hAnsi="Times New Roman" w:cs="Times New Roman"/>
          <w:noProof/>
          <w:sz w:val="24"/>
          <w:szCs w:val="24"/>
          <w:lang w:eastAsia="pt-BR"/>
        </w:rPr>
        <w:t xml:space="preserve"> </w:t>
      </w:r>
      <w:r w:rsidR="00356A7A">
        <w:rPr>
          <w:rFonts w:ascii="Times New Roman" w:hAnsi="Times New Roman" w:cs="Times New Roman"/>
          <w:noProof/>
          <w:sz w:val="24"/>
          <w:szCs w:val="24"/>
          <w:lang w:eastAsia="pt-BR"/>
        </w:rPr>
        <w:t>maior que 20%</w:t>
      </w:r>
      <w:r w:rsidRPr="009F5412">
        <w:rPr>
          <w:rFonts w:ascii="Times New Roman" w:hAnsi="Times New Roman" w:cs="Times New Roman"/>
          <w:noProof/>
          <w:sz w:val="24"/>
          <w:szCs w:val="24"/>
          <w:lang w:eastAsia="pt-BR"/>
        </w:rPr>
        <w:t xml:space="preserve">o, azul para </w:t>
      </w:r>
      <w:r w:rsidR="00356A7A">
        <w:rPr>
          <w:rFonts w:ascii="Times New Roman" w:hAnsi="Times New Roman" w:cs="Times New Roman"/>
          <w:noProof/>
          <w:sz w:val="24"/>
          <w:szCs w:val="24"/>
          <w:lang w:eastAsia="pt-BR"/>
        </w:rPr>
        <w:t>spillover menor que 10%</w:t>
      </w:r>
      <w:r w:rsidRPr="009F5412">
        <w:rPr>
          <w:rFonts w:ascii="Times New Roman" w:hAnsi="Times New Roman" w:cs="Times New Roman"/>
          <w:noProof/>
          <w:sz w:val="24"/>
          <w:szCs w:val="24"/>
          <w:lang w:eastAsia="pt-BR"/>
        </w:rPr>
        <w:t xml:space="preserve"> e verde para </w:t>
      </w:r>
      <w:r w:rsidR="00356A7A" w:rsidRPr="00356A7A">
        <w:rPr>
          <w:rFonts w:ascii="Times New Roman" w:hAnsi="Times New Roman" w:cs="Times New Roman"/>
          <w:i/>
          <w:noProof/>
          <w:sz w:val="24"/>
          <w:szCs w:val="24"/>
          <w:lang w:eastAsia="pt-BR"/>
        </w:rPr>
        <w:t>spillover</w:t>
      </w:r>
      <w:r w:rsidR="00356A7A">
        <w:rPr>
          <w:rFonts w:ascii="Times New Roman" w:hAnsi="Times New Roman" w:cs="Times New Roman"/>
          <w:noProof/>
          <w:sz w:val="24"/>
          <w:szCs w:val="24"/>
          <w:lang w:eastAsia="pt-BR"/>
        </w:rPr>
        <w:t xml:space="preserve"> entre 10% e 20%. </w:t>
      </w:r>
      <w:r w:rsidR="00356A7A" w:rsidRPr="00356A7A">
        <w:rPr>
          <w:rFonts w:ascii="Times New Roman" w:hAnsi="Times New Roman" w:cs="Times New Roman"/>
          <w:noProof/>
          <w:sz w:val="24"/>
          <w:szCs w:val="24"/>
          <w:lang w:eastAsia="pt-BR"/>
        </w:rPr>
        <w:t>O tamanho d</w:t>
      </w:r>
      <w:r w:rsidR="00D16D96">
        <w:rPr>
          <w:rFonts w:ascii="Times New Roman" w:hAnsi="Times New Roman" w:cs="Times New Roman"/>
          <w:noProof/>
          <w:sz w:val="24"/>
          <w:szCs w:val="24"/>
          <w:lang w:eastAsia="pt-BR"/>
        </w:rPr>
        <w:t>a</w:t>
      </w:r>
      <w:r w:rsidR="00356A7A" w:rsidRPr="00356A7A">
        <w:rPr>
          <w:rFonts w:ascii="Times New Roman" w:hAnsi="Times New Roman" w:cs="Times New Roman"/>
          <w:noProof/>
          <w:sz w:val="24"/>
          <w:szCs w:val="24"/>
          <w:lang w:eastAsia="pt-BR"/>
        </w:rPr>
        <w:t xml:space="preserve"> </w:t>
      </w:r>
      <w:r w:rsidR="00D16D96">
        <w:rPr>
          <w:rFonts w:ascii="Times New Roman" w:hAnsi="Times New Roman" w:cs="Times New Roman"/>
          <w:noProof/>
          <w:sz w:val="24"/>
          <w:szCs w:val="24"/>
          <w:lang w:eastAsia="pt-BR"/>
        </w:rPr>
        <w:t xml:space="preserve">fatia no círculo </w:t>
      </w:r>
      <w:r w:rsidR="00356A7A" w:rsidRPr="00356A7A">
        <w:rPr>
          <w:rFonts w:ascii="Times New Roman" w:hAnsi="Times New Roman" w:cs="Times New Roman"/>
          <w:noProof/>
          <w:sz w:val="24"/>
          <w:szCs w:val="24"/>
          <w:lang w:eastAsia="pt-BR"/>
        </w:rPr>
        <w:t>que representa cada um d</w:t>
      </w:r>
      <w:r w:rsidR="00356A7A">
        <w:rPr>
          <w:rFonts w:ascii="Times New Roman" w:hAnsi="Times New Roman" w:cs="Times New Roman"/>
          <w:noProof/>
          <w:sz w:val="24"/>
          <w:szCs w:val="24"/>
          <w:lang w:eastAsia="pt-BR"/>
        </w:rPr>
        <w:t>os</w:t>
      </w:r>
      <w:r w:rsidR="00356A7A" w:rsidRPr="00356A7A">
        <w:rPr>
          <w:rFonts w:ascii="Times New Roman" w:hAnsi="Times New Roman" w:cs="Times New Roman"/>
          <w:noProof/>
          <w:sz w:val="24"/>
          <w:szCs w:val="24"/>
          <w:lang w:eastAsia="pt-BR"/>
        </w:rPr>
        <w:t xml:space="preserve"> </w:t>
      </w:r>
      <w:r w:rsidR="00356A7A">
        <w:rPr>
          <w:rFonts w:ascii="Times New Roman" w:hAnsi="Times New Roman" w:cs="Times New Roman"/>
          <w:noProof/>
          <w:sz w:val="24"/>
          <w:szCs w:val="24"/>
          <w:lang w:eastAsia="pt-BR"/>
        </w:rPr>
        <w:t>estados</w:t>
      </w:r>
      <w:r w:rsidR="00356A7A" w:rsidRPr="00356A7A">
        <w:rPr>
          <w:rFonts w:ascii="Times New Roman" w:hAnsi="Times New Roman" w:cs="Times New Roman"/>
          <w:noProof/>
          <w:sz w:val="24"/>
          <w:szCs w:val="24"/>
          <w:lang w:eastAsia="pt-BR"/>
        </w:rPr>
        <w:t xml:space="preserve"> ilustra o </w:t>
      </w:r>
      <w:r w:rsidR="00356A7A" w:rsidRPr="00356A7A">
        <w:rPr>
          <w:rFonts w:ascii="Times New Roman" w:hAnsi="Times New Roman" w:cs="Times New Roman"/>
          <w:i/>
          <w:noProof/>
          <w:sz w:val="24"/>
          <w:szCs w:val="24"/>
          <w:lang w:eastAsia="pt-BR"/>
        </w:rPr>
        <w:t>spillover</w:t>
      </w:r>
      <w:r w:rsidR="00356A7A" w:rsidRPr="00356A7A">
        <w:rPr>
          <w:rFonts w:ascii="Times New Roman" w:hAnsi="Times New Roman" w:cs="Times New Roman"/>
          <w:noProof/>
          <w:sz w:val="24"/>
          <w:szCs w:val="24"/>
          <w:lang w:eastAsia="pt-BR"/>
        </w:rPr>
        <w:t xml:space="preserve"> total relativo gerado pel</w:t>
      </w:r>
      <w:r w:rsidR="00356A7A">
        <w:rPr>
          <w:rFonts w:ascii="Times New Roman" w:hAnsi="Times New Roman" w:cs="Times New Roman"/>
          <w:noProof/>
          <w:sz w:val="24"/>
          <w:szCs w:val="24"/>
          <w:lang w:eastAsia="pt-BR"/>
        </w:rPr>
        <w:t>o</w:t>
      </w:r>
      <w:r w:rsidR="00356A7A" w:rsidRPr="00356A7A">
        <w:rPr>
          <w:rFonts w:ascii="Times New Roman" w:hAnsi="Times New Roman" w:cs="Times New Roman"/>
          <w:noProof/>
          <w:sz w:val="24"/>
          <w:szCs w:val="24"/>
          <w:lang w:eastAsia="pt-BR"/>
        </w:rPr>
        <w:t xml:space="preserve"> </w:t>
      </w:r>
      <w:r w:rsidR="00356A7A">
        <w:rPr>
          <w:rFonts w:ascii="Times New Roman" w:hAnsi="Times New Roman" w:cs="Times New Roman"/>
          <w:noProof/>
          <w:sz w:val="24"/>
          <w:szCs w:val="24"/>
          <w:lang w:eastAsia="pt-BR"/>
        </w:rPr>
        <w:t>estado</w:t>
      </w:r>
      <w:r w:rsidR="00356A7A" w:rsidRPr="00356A7A">
        <w:rPr>
          <w:rFonts w:ascii="Times New Roman" w:hAnsi="Times New Roman" w:cs="Times New Roman"/>
          <w:noProof/>
          <w:sz w:val="24"/>
          <w:szCs w:val="24"/>
          <w:lang w:eastAsia="pt-BR"/>
        </w:rPr>
        <w:t xml:space="preserve"> em comparação com </w:t>
      </w:r>
      <w:r w:rsidR="00356A7A">
        <w:rPr>
          <w:rFonts w:ascii="Times New Roman" w:hAnsi="Times New Roman" w:cs="Times New Roman"/>
          <w:noProof/>
          <w:sz w:val="24"/>
          <w:szCs w:val="24"/>
          <w:lang w:eastAsia="pt-BR"/>
        </w:rPr>
        <w:t>o</w:t>
      </w:r>
      <w:r w:rsidR="00356A7A" w:rsidRPr="00356A7A">
        <w:rPr>
          <w:rFonts w:ascii="Times New Roman" w:hAnsi="Times New Roman" w:cs="Times New Roman"/>
          <w:noProof/>
          <w:sz w:val="24"/>
          <w:szCs w:val="24"/>
          <w:lang w:eastAsia="pt-BR"/>
        </w:rPr>
        <w:t>s out</w:t>
      </w:r>
      <w:r w:rsidR="00356A7A">
        <w:rPr>
          <w:rFonts w:ascii="Times New Roman" w:hAnsi="Times New Roman" w:cs="Times New Roman"/>
          <w:noProof/>
          <w:sz w:val="24"/>
          <w:szCs w:val="24"/>
          <w:lang w:eastAsia="pt-BR"/>
        </w:rPr>
        <w:t>ro</w:t>
      </w:r>
      <w:r w:rsidR="00356A7A" w:rsidRPr="00356A7A">
        <w:rPr>
          <w:rFonts w:ascii="Times New Roman" w:hAnsi="Times New Roman" w:cs="Times New Roman"/>
          <w:noProof/>
          <w:sz w:val="24"/>
          <w:szCs w:val="24"/>
          <w:lang w:eastAsia="pt-BR"/>
        </w:rPr>
        <w:t xml:space="preserve">s </w:t>
      </w:r>
      <w:r w:rsidR="00356A7A">
        <w:rPr>
          <w:rFonts w:ascii="Times New Roman" w:hAnsi="Times New Roman" w:cs="Times New Roman"/>
          <w:noProof/>
          <w:sz w:val="24"/>
          <w:szCs w:val="24"/>
          <w:lang w:eastAsia="pt-BR"/>
        </w:rPr>
        <w:t>estados</w:t>
      </w:r>
      <w:r w:rsidR="00356A7A" w:rsidRPr="00356A7A">
        <w:rPr>
          <w:rFonts w:ascii="Times New Roman" w:hAnsi="Times New Roman" w:cs="Times New Roman"/>
          <w:noProof/>
          <w:sz w:val="24"/>
          <w:szCs w:val="24"/>
          <w:lang w:eastAsia="pt-BR"/>
        </w:rPr>
        <w:t>.</w:t>
      </w:r>
      <w:r w:rsidR="00D16D96" w:rsidRPr="00D16D96">
        <w:t xml:space="preserve"> </w:t>
      </w:r>
      <w:r w:rsidR="00D16D96" w:rsidRPr="00D16D96">
        <w:rPr>
          <w:rFonts w:ascii="Times New Roman" w:hAnsi="Times New Roman" w:cs="Times New Roman"/>
          <w:noProof/>
          <w:sz w:val="24"/>
          <w:szCs w:val="24"/>
          <w:lang w:eastAsia="pt-BR"/>
        </w:rPr>
        <w:t xml:space="preserve">Os resultados demonstram o papel influente do </w:t>
      </w:r>
      <w:r w:rsidR="00D16D96">
        <w:rPr>
          <w:rFonts w:ascii="Times New Roman" w:hAnsi="Times New Roman" w:cs="Times New Roman"/>
          <w:noProof/>
          <w:sz w:val="24"/>
          <w:szCs w:val="24"/>
          <w:lang w:eastAsia="pt-BR"/>
        </w:rPr>
        <w:t>estado de Minas Gerais</w:t>
      </w:r>
      <w:r w:rsidR="00D16D96" w:rsidRPr="00D16D96">
        <w:rPr>
          <w:rFonts w:ascii="Times New Roman" w:hAnsi="Times New Roman" w:cs="Times New Roman"/>
          <w:noProof/>
          <w:sz w:val="24"/>
          <w:szCs w:val="24"/>
          <w:lang w:eastAsia="pt-BR"/>
        </w:rPr>
        <w:t xml:space="preserve"> na </w:t>
      </w:r>
      <w:r w:rsidR="00896065">
        <w:rPr>
          <w:rFonts w:ascii="Times New Roman" w:hAnsi="Times New Roman" w:cs="Times New Roman"/>
          <w:noProof/>
          <w:sz w:val="24"/>
          <w:szCs w:val="24"/>
          <w:lang w:eastAsia="pt-BR"/>
        </w:rPr>
        <w:t>variância do erro de previsão</w:t>
      </w:r>
      <w:r w:rsidR="00B634D7">
        <w:rPr>
          <w:rFonts w:ascii="Times New Roman" w:hAnsi="Times New Roman" w:cs="Times New Roman"/>
          <w:noProof/>
          <w:sz w:val="24"/>
          <w:szCs w:val="24"/>
          <w:lang w:eastAsia="pt-BR"/>
        </w:rPr>
        <w:t xml:space="preserve"> dos preços</w:t>
      </w:r>
      <w:r w:rsidR="00D16D96" w:rsidRPr="00D16D96">
        <w:rPr>
          <w:rFonts w:ascii="Times New Roman" w:hAnsi="Times New Roman" w:cs="Times New Roman"/>
          <w:noProof/>
          <w:sz w:val="24"/>
          <w:szCs w:val="24"/>
          <w:lang w:eastAsia="pt-BR"/>
        </w:rPr>
        <w:t xml:space="preserve"> ao sistema, </w:t>
      </w:r>
      <w:r w:rsidR="00B634D7">
        <w:rPr>
          <w:rFonts w:ascii="Times New Roman" w:hAnsi="Times New Roman" w:cs="Times New Roman"/>
          <w:noProof/>
          <w:sz w:val="24"/>
          <w:szCs w:val="24"/>
          <w:lang w:eastAsia="pt-BR"/>
        </w:rPr>
        <w:t>tanto</w:t>
      </w:r>
      <w:r w:rsidR="00D16D96" w:rsidRPr="00D16D96">
        <w:rPr>
          <w:rFonts w:ascii="Times New Roman" w:hAnsi="Times New Roman" w:cs="Times New Roman"/>
          <w:noProof/>
          <w:sz w:val="24"/>
          <w:szCs w:val="24"/>
          <w:lang w:eastAsia="pt-BR"/>
        </w:rPr>
        <w:t xml:space="preserve"> recebe</w:t>
      </w:r>
      <w:r w:rsidR="00B634D7">
        <w:rPr>
          <w:rFonts w:ascii="Times New Roman" w:hAnsi="Times New Roman" w:cs="Times New Roman"/>
          <w:noProof/>
          <w:sz w:val="24"/>
          <w:szCs w:val="24"/>
          <w:lang w:eastAsia="pt-BR"/>
        </w:rPr>
        <w:t>ndo</w:t>
      </w:r>
      <w:r w:rsidR="00D16D96" w:rsidRPr="00D16D96">
        <w:rPr>
          <w:rFonts w:ascii="Times New Roman" w:hAnsi="Times New Roman" w:cs="Times New Roman"/>
          <w:noProof/>
          <w:sz w:val="24"/>
          <w:szCs w:val="24"/>
          <w:lang w:eastAsia="pt-BR"/>
        </w:rPr>
        <w:t xml:space="preserve"> </w:t>
      </w:r>
      <w:r w:rsidR="00B634D7">
        <w:rPr>
          <w:rFonts w:ascii="Times New Roman" w:hAnsi="Times New Roman" w:cs="Times New Roman"/>
          <w:noProof/>
          <w:sz w:val="24"/>
          <w:szCs w:val="24"/>
          <w:lang w:eastAsia="pt-BR"/>
        </w:rPr>
        <w:t xml:space="preserve">quanto </w:t>
      </w:r>
      <w:r w:rsidR="00D16D96" w:rsidRPr="00D16D96">
        <w:rPr>
          <w:rFonts w:ascii="Times New Roman" w:hAnsi="Times New Roman" w:cs="Times New Roman"/>
          <w:noProof/>
          <w:sz w:val="24"/>
          <w:szCs w:val="24"/>
          <w:lang w:eastAsia="pt-BR"/>
        </w:rPr>
        <w:t>transmiti</w:t>
      </w:r>
      <w:r w:rsidR="00B634D7">
        <w:rPr>
          <w:rFonts w:ascii="Times New Roman" w:hAnsi="Times New Roman" w:cs="Times New Roman"/>
          <w:noProof/>
          <w:sz w:val="24"/>
          <w:szCs w:val="24"/>
          <w:lang w:eastAsia="pt-BR"/>
        </w:rPr>
        <w:t>ndo.</w:t>
      </w:r>
    </w:p>
    <w:p w:rsidR="00523AFE" w:rsidRDefault="00523AFE" w:rsidP="00B634D7">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Esse efeito ocorre pois o estado de Minas Gerais é o maior produtor nacional de leite. Perobelli et. al (2018) afirmam que as mudanças tecnológicas elevaram a produtividade nas bacias leiteiras mineiras gerando, desta forma, economias de escala e diferenciação de produtos.</w:t>
      </w:r>
      <w:r w:rsidR="00B634D7">
        <w:rPr>
          <w:rFonts w:ascii="Times New Roman" w:hAnsi="Times New Roman" w:cs="Times New Roman"/>
          <w:noProof/>
          <w:sz w:val="24"/>
          <w:szCs w:val="24"/>
          <w:lang w:eastAsia="pt-BR"/>
        </w:rPr>
        <w:t xml:space="preserve"> N</w:t>
      </w:r>
      <w:r w:rsidRPr="004B105D">
        <w:rPr>
          <w:rFonts w:ascii="Times New Roman" w:hAnsi="Times New Roman" w:cs="Times New Roman"/>
          <w:noProof/>
          <w:sz w:val="24"/>
          <w:szCs w:val="24"/>
          <w:lang w:eastAsia="pt-BR"/>
        </w:rPr>
        <w:t>o caso do</w:t>
      </w:r>
      <w:r>
        <w:rPr>
          <w:rFonts w:ascii="Times New Roman" w:hAnsi="Times New Roman" w:cs="Times New Roman"/>
          <w:noProof/>
          <w:sz w:val="24"/>
          <w:szCs w:val="24"/>
          <w:lang w:eastAsia="pt-BR"/>
        </w:rPr>
        <w:t>s</w:t>
      </w:r>
      <w:r w:rsidRPr="004B105D">
        <w:rPr>
          <w:rFonts w:ascii="Times New Roman" w:hAnsi="Times New Roman" w:cs="Times New Roman"/>
          <w:noProof/>
          <w:sz w:val="24"/>
          <w:szCs w:val="24"/>
          <w:lang w:eastAsia="pt-BR"/>
        </w:rPr>
        <w:t xml:space="preserve"> preço</w:t>
      </w:r>
      <w:r>
        <w:rPr>
          <w:rFonts w:ascii="Times New Roman" w:hAnsi="Times New Roman" w:cs="Times New Roman"/>
          <w:noProof/>
          <w:sz w:val="24"/>
          <w:szCs w:val="24"/>
          <w:lang w:eastAsia="pt-BR"/>
        </w:rPr>
        <w:t>s</w:t>
      </w:r>
      <w:r w:rsidRPr="004B105D">
        <w:rPr>
          <w:rFonts w:ascii="Times New Roman" w:hAnsi="Times New Roman" w:cs="Times New Roman"/>
          <w:noProof/>
          <w:sz w:val="24"/>
          <w:szCs w:val="24"/>
          <w:lang w:eastAsia="pt-BR"/>
        </w:rPr>
        <w:t xml:space="preserve"> pago</w:t>
      </w:r>
      <w:r>
        <w:rPr>
          <w:rFonts w:ascii="Times New Roman" w:hAnsi="Times New Roman" w:cs="Times New Roman"/>
          <w:noProof/>
          <w:sz w:val="24"/>
          <w:szCs w:val="24"/>
          <w:lang w:eastAsia="pt-BR"/>
        </w:rPr>
        <w:t>s</w:t>
      </w:r>
      <w:r w:rsidRPr="004B105D">
        <w:rPr>
          <w:rFonts w:ascii="Times New Roman" w:hAnsi="Times New Roman" w:cs="Times New Roman"/>
          <w:noProof/>
          <w:sz w:val="24"/>
          <w:szCs w:val="24"/>
          <w:lang w:eastAsia="pt-BR"/>
        </w:rPr>
        <w:t xml:space="preserve"> ao produt</w:t>
      </w:r>
      <w:r>
        <w:rPr>
          <w:rFonts w:ascii="Times New Roman" w:hAnsi="Times New Roman" w:cs="Times New Roman"/>
          <w:noProof/>
          <w:sz w:val="24"/>
          <w:szCs w:val="24"/>
          <w:lang w:eastAsia="pt-BR"/>
        </w:rPr>
        <w:t xml:space="preserve">or de Goiás, esses sofrem com o </w:t>
      </w:r>
      <w:r w:rsidRPr="004B105D">
        <w:rPr>
          <w:rFonts w:ascii="Times New Roman" w:hAnsi="Times New Roman" w:cs="Times New Roman"/>
          <w:noProof/>
          <w:sz w:val="24"/>
          <w:szCs w:val="24"/>
          <w:lang w:eastAsia="pt-BR"/>
        </w:rPr>
        <w:t>processo de concorrência e seguem o estado</w:t>
      </w:r>
      <w:r>
        <w:rPr>
          <w:rFonts w:ascii="Times New Roman" w:hAnsi="Times New Roman" w:cs="Times New Roman"/>
          <w:noProof/>
          <w:sz w:val="24"/>
          <w:szCs w:val="24"/>
          <w:lang w:eastAsia="pt-BR"/>
        </w:rPr>
        <w:t xml:space="preserve"> com maior poder explicativo do </w:t>
      </w:r>
      <w:r w:rsidRPr="004B105D">
        <w:rPr>
          <w:rFonts w:ascii="Times New Roman" w:hAnsi="Times New Roman" w:cs="Times New Roman"/>
          <w:noProof/>
          <w:sz w:val="24"/>
          <w:szCs w:val="24"/>
          <w:lang w:eastAsia="pt-BR"/>
        </w:rPr>
        <w:t xml:space="preserve">mercado Minas </w:t>
      </w:r>
      <w:r w:rsidR="00B634D7">
        <w:rPr>
          <w:rFonts w:ascii="Times New Roman" w:hAnsi="Times New Roman" w:cs="Times New Roman"/>
          <w:noProof/>
          <w:sz w:val="24"/>
          <w:szCs w:val="24"/>
          <w:lang w:eastAsia="pt-BR"/>
        </w:rPr>
        <w:t>G</w:t>
      </w:r>
      <w:r w:rsidRPr="004B105D">
        <w:rPr>
          <w:rFonts w:ascii="Times New Roman" w:hAnsi="Times New Roman" w:cs="Times New Roman"/>
          <w:noProof/>
          <w:sz w:val="24"/>
          <w:szCs w:val="24"/>
          <w:lang w:eastAsia="pt-BR"/>
        </w:rPr>
        <w:t>erais</w:t>
      </w:r>
      <w:r w:rsidR="00B634D7">
        <w:rPr>
          <w:rFonts w:ascii="Times New Roman" w:hAnsi="Times New Roman" w:cs="Times New Roman"/>
          <w:noProof/>
          <w:sz w:val="24"/>
          <w:szCs w:val="24"/>
          <w:lang w:eastAsia="pt-BR"/>
        </w:rPr>
        <w:t xml:space="preserve"> (Melo et. al, 2018).</w:t>
      </w:r>
    </w:p>
    <w:p w:rsidR="00855B79" w:rsidRDefault="00667439" w:rsidP="0064052F">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Na T</w:t>
      </w:r>
      <w:r w:rsidR="00435405">
        <w:rPr>
          <w:rFonts w:ascii="Times New Roman" w:hAnsi="Times New Roman" w:cs="Times New Roman"/>
          <w:noProof/>
          <w:sz w:val="24"/>
          <w:szCs w:val="24"/>
          <w:lang w:eastAsia="pt-BR"/>
        </w:rPr>
        <w:t xml:space="preserve">abela 5, consta os resultados do </w:t>
      </w:r>
      <w:r w:rsidR="00435405" w:rsidRPr="00D32A70">
        <w:rPr>
          <w:rFonts w:ascii="Times New Roman" w:hAnsi="Times New Roman" w:cs="Times New Roman"/>
          <w:i/>
          <w:noProof/>
          <w:sz w:val="24"/>
          <w:szCs w:val="24"/>
          <w:lang w:eastAsia="pt-BR"/>
        </w:rPr>
        <w:t>spillover</w:t>
      </w:r>
      <w:r w:rsidR="00435405">
        <w:rPr>
          <w:rFonts w:ascii="Times New Roman" w:hAnsi="Times New Roman" w:cs="Times New Roman"/>
          <w:noProof/>
          <w:sz w:val="24"/>
          <w:szCs w:val="24"/>
          <w:lang w:eastAsia="pt-BR"/>
        </w:rPr>
        <w:t xml:space="preserve"> para os preços no atacado. </w:t>
      </w:r>
      <w:r w:rsidR="0064052F">
        <w:rPr>
          <w:rFonts w:ascii="Times New Roman" w:hAnsi="Times New Roman" w:cs="Times New Roman"/>
          <w:noProof/>
          <w:sz w:val="24"/>
          <w:szCs w:val="24"/>
          <w:lang w:eastAsia="pt-BR"/>
        </w:rPr>
        <w:t xml:space="preserve">O resultado do índice </w:t>
      </w:r>
      <w:r w:rsidR="0064052F" w:rsidRPr="009B21F9">
        <w:rPr>
          <w:rFonts w:ascii="Times New Roman" w:hAnsi="Times New Roman" w:cs="Times New Roman"/>
          <w:i/>
          <w:noProof/>
          <w:sz w:val="24"/>
          <w:szCs w:val="24"/>
          <w:lang w:eastAsia="pt-BR"/>
        </w:rPr>
        <w:t>spillover</w:t>
      </w:r>
      <w:r w:rsidR="0064052F">
        <w:rPr>
          <w:rFonts w:ascii="Times New Roman" w:hAnsi="Times New Roman" w:cs="Times New Roman"/>
          <w:i/>
          <w:noProof/>
          <w:sz w:val="24"/>
          <w:szCs w:val="24"/>
          <w:lang w:eastAsia="pt-BR"/>
        </w:rPr>
        <w:t xml:space="preserve"> </w:t>
      </w:r>
      <w:r w:rsidR="0064052F">
        <w:rPr>
          <w:rFonts w:ascii="Times New Roman" w:hAnsi="Times New Roman" w:cs="Times New Roman"/>
          <w:noProof/>
          <w:sz w:val="24"/>
          <w:szCs w:val="24"/>
          <w:lang w:eastAsia="pt-BR"/>
        </w:rPr>
        <w:t>demonstra que 67,02% da variância do erro de previsão</w:t>
      </w:r>
      <w:r w:rsidR="00896065">
        <w:rPr>
          <w:rFonts w:ascii="Times New Roman" w:hAnsi="Times New Roman" w:cs="Times New Roman"/>
          <w:noProof/>
          <w:sz w:val="24"/>
          <w:szCs w:val="24"/>
          <w:lang w:eastAsia="pt-BR"/>
        </w:rPr>
        <w:t>, dez meses a frente,</w:t>
      </w:r>
      <w:r w:rsidR="0064052F">
        <w:rPr>
          <w:rFonts w:ascii="Times New Roman" w:hAnsi="Times New Roman" w:cs="Times New Roman"/>
          <w:noProof/>
          <w:sz w:val="24"/>
          <w:szCs w:val="24"/>
          <w:lang w:eastAsia="pt-BR"/>
        </w:rPr>
        <w:t xml:space="preserve"> nos cinco estados vem do </w:t>
      </w:r>
      <w:r w:rsidR="0064052F" w:rsidRPr="009B21F9">
        <w:rPr>
          <w:rFonts w:ascii="Times New Roman" w:hAnsi="Times New Roman" w:cs="Times New Roman"/>
          <w:i/>
          <w:noProof/>
          <w:sz w:val="24"/>
          <w:szCs w:val="24"/>
          <w:lang w:eastAsia="pt-BR"/>
        </w:rPr>
        <w:t>spillover</w:t>
      </w:r>
      <w:r w:rsidR="0064052F">
        <w:rPr>
          <w:rFonts w:ascii="Times New Roman" w:hAnsi="Times New Roman" w:cs="Times New Roman"/>
          <w:noProof/>
          <w:sz w:val="24"/>
          <w:szCs w:val="24"/>
          <w:lang w:eastAsia="pt-BR"/>
        </w:rPr>
        <w:t>. Assim,</w:t>
      </w:r>
      <w:r w:rsidR="00D32A70">
        <w:rPr>
          <w:rFonts w:ascii="Times New Roman" w:hAnsi="Times New Roman" w:cs="Times New Roman"/>
          <w:noProof/>
          <w:sz w:val="24"/>
          <w:szCs w:val="24"/>
          <w:lang w:eastAsia="pt-BR"/>
        </w:rPr>
        <w:t xml:space="preserve"> </w:t>
      </w:r>
      <w:r w:rsidR="00896065">
        <w:rPr>
          <w:rFonts w:ascii="Times New Roman" w:hAnsi="Times New Roman" w:cs="Times New Roman"/>
          <w:noProof/>
          <w:sz w:val="24"/>
          <w:szCs w:val="24"/>
          <w:lang w:eastAsia="pt-BR"/>
        </w:rPr>
        <w:t>os choques n</w:t>
      </w:r>
      <w:r w:rsidR="00D32A70">
        <w:rPr>
          <w:rFonts w:ascii="Times New Roman" w:hAnsi="Times New Roman" w:cs="Times New Roman"/>
          <w:noProof/>
          <w:sz w:val="24"/>
          <w:szCs w:val="24"/>
          <w:lang w:eastAsia="pt-BR"/>
        </w:rPr>
        <w:t xml:space="preserve">os preços praticados no atacado mineiro e paulista são responsáveis pelas </w:t>
      </w:r>
      <w:r w:rsidR="00896065">
        <w:rPr>
          <w:rFonts w:ascii="Times New Roman" w:hAnsi="Times New Roman" w:cs="Times New Roman"/>
          <w:noProof/>
          <w:sz w:val="24"/>
          <w:szCs w:val="24"/>
          <w:lang w:eastAsia="pt-BR"/>
        </w:rPr>
        <w:t xml:space="preserve">variâncias </w:t>
      </w:r>
      <w:r w:rsidR="00D32A70">
        <w:rPr>
          <w:rFonts w:ascii="Times New Roman" w:hAnsi="Times New Roman" w:cs="Times New Roman"/>
          <w:noProof/>
          <w:sz w:val="24"/>
          <w:szCs w:val="24"/>
          <w:lang w:eastAsia="pt-BR"/>
        </w:rPr>
        <w:t xml:space="preserve">no erro de previsão, dez meses a frente, dos estados paranense, gaúcho e goiano.  </w:t>
      </w:r>
      <w:r w:rsidR="00855B79">
        <w:rPr>
          <w:rFonts w:ascii="Times New Roman" w:hAnsi="Times New Roman" w:cs="Times New Roman"/>
          <w:noProof/>
          <w:sz w:val="24"/>
          <w:szCs w:val="24"/>
          <w:lang w:eastAsia="pt-BR"/>
        </w:rPr>
        <w:t>No caso de Minas Gerais, estado que possui o maior número de latícinios, os resultados indicam forte integração entre a produção, processamento e comercialização.</w:t>
      </w:r>
    </w:p>
    <w:p w:rsidR="002830D3" w:rsidRDefault="002830D3" w:rsidP="00855B79">
      <w:pPr>
        <w:spacing w:after="0" w:line="240" w:lineRule="auto"/>
        <w:ind w:left="709" w:firstLine="707"/>
        <w:jc w:val="both"/>
        <w:rPr>
          <w:rFonts w:ascii="Times New Roman" w:hAnsi="Times New Roman" w:cs="Times New Roman"/>
          <w:noProof/>
          <w:sz w:val="24"/>
          <w:szCs w:val="24"/>
          <w:lang w:eastAsia="pt-BR"/>
        </w:rPr>
      </w:pPr>
    </w:p>
    <w:p w:rsidR="002830D3" w:rsidRPr="00F04FC9" w:rsidRDefault="002830D3" w:rsidP="002830D3">
      <w:pPr>
        <w:spacing w:after="0"/>
        <w:ind w:firstLine="708"/>
        <w:rPr>
          <w:rFonts w:ascii="Times New Roman" w:hAnsi="Times New Roman" w:cs="Times New Roman"/>
          <w:sz w:val="24"/>
          <w:szCs w:val="24"/>
        </w:rPr>
      </w:pPr>
      <w:r w:rsidRPr="00F04FC9">
        <w:rPr>
          <w:rFonts w:ascii="Times New Roman" w:hAnsi="Times New Roman" w:cs="Times New Roman"/>
          <w:sz w:val="24"/>
          <w:szCs w:val="24"/>
        </w:rPr>
        <w:t xml:space="preserve">Tabela </w:t>
      </w:r>
      <w:r>
        <w:rPr>
          <w:rFonts w:ascii="Times New Roman" w:hAnsi="Times New Roman" w:cs="Times New Roman"/>
          <w:sz w:val="24"/>
          <w:szCs w:val="24"/>
        </w:rPr>
        <w:t>5</w:t>
      </w:r>
      <w:r w:rsidRPr="00F04FC9">
        <w:rPr>
          <w:rFonts w:ascii="Times New Roman" w:hAnsi="Times New Roman" w:cs="Times New Roman"/>
          <w:sz w:val="24"/>
          <w:szCs w:val="24"/>
        </w:rPr>
        <w:t xml:space="preserve">: </w:t>
      </w:r>
      <w:r w:rsidRPr="00F04FC9">
        <w:rPr>
          <w:rFonts w:ascii="Times New Roman" w:hAnsi="Times New Roman" w:cs="Times New Roman"/>
          <w:i/>
          <w:sz w:val="24"/>
          <w:szCs w:val="24"/>
        </w:rPr>
        <w:t>Spillover</w:t>
      </w:r>
      <w:r w:rsidRPr="00F04FC9">
        <w:rPr>
          <w:rFonts w:ascii="Times New Roman" w:hAnsi="Times New Roman" w:cs="Times New Roman"/>
          <w:sz w:val="24"/>
          <w:szCs w:val="24"/>
        </w:rPr>
        <w:t xml:space="preserve"> de Volatilidade para os preços no Atacado</w:t>
      </w:r>
    </w:p>
    <w:tbl>
      <w:tblPr>
        <w:tblStyle w:val="Tabelacomgrade"/>
        <w:tblW w:w="9523" w:type="dxa"/>
        <w:tblInd w:w="704" w:type="dxa"/>
        <w:tblLook w:val="04A0" w:firstRow="1" w:lastRow="0" w:firstColumn="1" w:lastColumn="0" w:noHBand="0" w:noVBand="1"/>
      </w:tblPr>
      <w:tblGrid>
        <w:gridCol w:w="2268"/>
        <w:gridCol w:w="1095"/>
        <w:gridCol w:w="1076"/>
        <w:gridCol w:w="1076"/>
        <w:gridCol w:w="1076"/>
        <w:gridCol w:w="1076"/>
        <w:gridCol w:w="1856"/>
      </w:tblGrid>
      <w:tr w:rsidR="002830D3" w:rsidTr="002830D3">
        <w:tc>
          <w:tcPr>
            <w:tcW w:w="2268" w:type="dxa"/>
          </w:tcPr>
          <w:p w:rsidR="002830D3" w:rsidRDefault="002830D3" w:rsidP="002830D3"/>
        </w:tc>
        <w:tc>
          <w:tcPr>
            <w:tcW w:w="1095" w:type="dxa"/>
            <w:vAlign w:val="center"/>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MG</w:t>
            </w:r>
          </w:p>
        </w:tc>
        <w:tc>
          <w:tcPr>
            <w:tcW w:w="1076" w:type="dxa"/>
            <w:vAlign w:val="center"/>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SP</w:t>
            </w:r>
          </w:p>
        </w:tc>
        <w:tc>
          <w:tcPr>
            <w:tcW w:w="1076" w:type="dxa"/>
            <w:vAlign w:val="center"/>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PR</w:t>
            </w:r>
          </w:p>
        </w:tc>
        <w:tc>
          <w:tcPr>
            <w:tcW w:w="1076" w:type="dxa"/>
            <w:vAlign w:val="center"/>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RS</w:t>
            </w:r>
          </w:p>
        </w:tc>
        <w:tc>
          <w:tcPr>
            <w:tcW w:w="1076" w:type="dxa"/>
            <w:vAlign w:val="center"/>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GO</w:t>
            </w:r>
          </w:p>
        </w:tc>
        <w:tc>
          <w:tcPr>
            <w:tcW w:w="1856" w:type="dxa"/>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Contribuições de outros</w:t>
            </w:r>
          </w:p>
        </w:tc>
      </w:tr>
      <w:tr w:rsidR="002830D3" w:rsidTr="002830D3">
        <w:tc>
          <w:tcPr>
            <w:tcW w:w="2268" w:type="dxa"/>
          </w:tcPr>
          <w:p w:rsidR="002830D3" w:rsidRPr="00D32A70" w:rsidRDefault="002830D3" w:rsidP="002830D3">
            <w:pPr>
              <w:jc w:val="center"/>
              <w:rPr>
                <w:rFonts w:ascii="Times New Roman" w:hAnsi="Times New Roman" w:cs="Times New Roman"/>
                <w:b/>
                <w:sz w:val="24"/>
                <w:szCs w:val="24"/>
              </w:rPr>
            </w:pPr>
            <w:r w:rsidRPr="00D32A70">
              <w:rPr>
                <w:rFonts w:ascii="Times New Roman" w:hAnsi="Times New Roman" w:cs="Times New Roman"/>
                <w:b/>
                <w:sz w:val="24"/>
                <w:szCs w:val="24"/>
              </w:rPr>
              <w:t>MG</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50,74</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42</w:t>
            </w:r>
            <w:r>
              <w:rPr>
                <w:rFonts w:ascii="Times New Roman" w:hAnsi="Times New Roman" w:cs="Times New Roman"/>
                <w:sz w:val="24"/>
                <w:szCs w:val="24"/>
              </w:rPr>
              <w:t>,00</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1,90</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0,83</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4,53</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49,26</w:t>
            </w:r>
          </w:p>
        </w:tc>
      </w:tr>
      <w:tr w:rsidR="002830D3" w:rsidTr="002830D3">
        <w:tc>
          <w:tcPr>
            <w:tcW w:w="2268" w:type="dxa"/>
          </w:tcPr>
          <w:p w:rsidR="002830D3" w:rsidRPr="00D32A70" w:rsidRDefault="002830D3" w:rsidP="002830D3">
            <w:pPr>
              <w:jc w:val="center"/>
              <w:rPr>
                <w:rFonts w:ascii="Times New Roman" w:hAnsi="Times New Roman" w:cs="Times New Roman"/>
                <w:b/>
                <w:sz w:val="24"/>
                <w:szCs w:val="24"/>
              </w:rPr>
            </w:pPr>
            <w:r w:rsidRPr="00D32A70">
              <w:rPr>
                <w:rFonts w:ascii="Times New Roman" w:hAnsi="Times New Roman" w:cs="Times New Roman"/>
                <w:b/>
                <w:sz w:val="24"/>
                <w:szCs w:val="24"/>
              </w:rPr>
              <w:t>SP</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42,23</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53,58</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1,40</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1,09</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1,7</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46,42</w:t>
            </w:r>
          </w:p>
        </w:tc>
      </w:tr>
      <w:tr w:rsidR="002830D3" w:rsidTr="002830D3">
        <w:tc>
          <w:tcPr>
            <w:tcW w:w="2268" w:type="dxa"/>
          </w:tcPr>
          <w:p w:rsidR="002830D3" w:rsidRPr="00D32A70" w:rsidRDefault="002830D3" w:rsidP="002830D3">
            <w:pPr>
              <w:jc w:val="center"/>
              <w:rPr>
                <w:rFonts w:ascii="Times New Roman" w:hAnsi="Times New Roman" w:cs="Times New Roman"/>
                <w:b/>
                <w:sz w:val="24"/>
                <w:szCs w:val="24"/>
              </w:rPr>
            </w:pPr>
            <w:r w:rsidRPr="00D32A70">
              <w:rPr>
                <w:rFonts w:ascii="Times New Roman" w:hAnsi="Times New Roman" w:cs="Times New Roman"/>
                <w:b/>
                <w:sz w:val="24"/>
                <w:szCs w:val="24"/>
              </w:rPr>
              <w:t>PR</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37,81</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37,96</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19,98</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1,99</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2,25</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80,01</w:t>
            </w:r>
          </w:p>
        </w:tc>
      </w:tr>
      <w:tr w:rsidR="002830D3" w:rsidTr="002830D3">
        <w:tc>
          <w:tcPr>
            <w:tcW w:w="2268" w:type="dxa"/>
          </w:tcPr>
          <w:p w:rsidR="002830D3" w:rsidRPr="00D32A70" w:rsidRDefault="002830D3" w:rsidP="002830D3">
            <w:pPr>
              <w:jc w:val="center"/>
              <w:rPr>
                <w:rFonts w:ascii="Times New Roman" w:hAnsi="Times New Roman" w:cs="Times New Roman"/>
                <w:b/>
                <w:sz w:val="24"/>
                <w:szCs w:val="24"/>
              </w:rPr>
            </w:pPr>
            <w:r w:rsidRPr="00D32A70">
              <w:rPr>
                <w:rFonts w:ascii="Times New Roman" w:hAnsi="Times New Roman" w:cs="Times New Roman"/>
                <w:b/>
                <w:sz w:val="24"/>
                <w:szCs w:val="24"/>
              </w:rPr>
              <w:t>RS</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29,47</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51,52</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2,70</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15,61</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0,7</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84,39</w:t>
            </w:r>
          </w:p>
        </w:tc>
      </w:tr>
      <w:tr w:rsidR="002830D3" w:rsidTr="002830D3">
        <w:tc>
          <w:tcPr>
            <w:tcW w:w="2268" w:type="dxa"/>
          </w:tcPr>
          <w:p w:rsidR="002830D3" w:rsidRPr="00D32A70" w:rsidRDefault="002830D3" w:rsidP="002830D3">
            <w:pPr>
              <w:jc w:val="center"/>
              <w:rPr>
                <w:rFonts w:ascii="Times New Roman" w:hAnsi="Times New Roman" w:cs="Times New Roman"/>
                <w:b/>
                <w:sz w:val="24"/>
                <w:szCs w:val="24"/>
              </w:rPr>
            </w:pPr>
            <w:r w:rsidRPr="00D32A70">
              <w:rPr>
                <w:rFonts w:ascii="Times New Roman" w:hAnsi="Times New Roman" w:cs="Times New Roman"/>
                <w:b/>
                <w:sz w:val="24"/>
                <w:szCs w:val="24"/>
              </w:rPr>
              <w:t>GO</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45,46</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28,02</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0,95</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0,57</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24,99</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75,00</w:t>
            </w:r>
          </w:p>
        </w:tc>
      </w:tr>
      <w:tr w:rsidR="002830D3" w:rsidTr="002830D3">
        <w:tc>
          <w:tcPr>
            <w:tcW w:w="2268" w:type="dxa"/>
          </w:tcPr>
          <w:p w:rsidR="002830D3" w:rsidRPr="005A46F2"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Contribuições para outros</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154,97</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159,50</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6,95</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4,48</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9,18</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335,08</w:t>
            </w:r>
          </w:p>
        </w:tc>
      </w:tr>
      <w:tr w:rsidR="002830D3" w:rsidTr="002830D3">
        <w:tc>
          <w:tcPr>
            <w:tcW w:w="2268" w:type="dxa"/>
            <w:vAlign w:val="center"/>
          </w:tcPr>
          <w:p w:rsidR="002830D3" w:rsidRDefault="002830D3" w:rsidP="002830D3">
            <w:pPr>
              <w:jc w:val="center"/>
              <w:rPr>
                <w:rFonts w:ascii="Times New Roman" w:hAnsi="Times New Roman" w:cs="Times New Roman"/>
                <w:b/>
                <w:sz w:val="24"/>
                <w:szCs w:val="24"/>
              </w:rPr>
            </w:pPr>
            <w:r>
              <w:rPr>
                <w:rFonts w:ascii="Times New Roman" w:hAnsi="Times New Roman" w:cs="Times New Roman"/>
                <w:b/>
                <w:sz w:val="24"/>
                <w:szCs w:val="24"/>
              </w:rPr>
              <w:t>Contribuições incluindo o próprio estado</w:t>
            </w:r>
          </w:p>
        </w:tc>
        <w:tc>
          <w:tcPr>
            <w:tcW w:w="1095"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205,71</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213,08</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26,93</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20,09</w:t>
            </w:r>
          </w:p>
        </w:tc>
        <w:tc>
          <w:tcPr>
            <w:tcW w:w="107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34,17</w:t>
            </w:r>
          </w:p>
        </w:tc>
        <w:tc>
          <w:tcPr>
            <w:tcW w:w="1856" w:type="dxa"/>
            <w:vAlign w:val="center"/>
          </w:tcPr>
          <w:p w:rsidR="002830D3" w:rsidRPr="00F37764" w:rsidRDefault="002830D3" w:rsidP="002830D3">
            <w:pPr>
              <w:jc w:val="center"/>
              <w:rPr>
                <w:rFonts w:ascii="Times New Roman" w:hAnsi="Times New Roman" w:cs="Times New Roman"/>
                <w:sz w:val="24"/>
                <w:szCs w:val="24"/>
              </w:rPr>
            </w:pPr>
            <w:r w:rsidRPr="00F37764">
              <w:rPr>
                <w:rFonts w:ascii="Times New Roman" w:hAnsi="Times New Roman" w:cs="Times New Roman"/>
                <w:sz w:val="24"/>
                <w:szCs w:val="24"/>
              </w:rPr>
              <w:t xml:space="preserve">Índice </w:t>
            </w:r>
            <w:r w:rsidRPr="0045386A">
              <w:rPr>
                <w:rFonts w:ascii="Times New Roman" w:hAnsi="Times New Roman" w:cs="Times New Roman"/>
                <w:i/>
                <w:sz w:val="24"/>
                <w:szCs w:val="24"/>
              </w:rPr>
              <w:t>Spillover</w:t>
            </w:r>
            <w:r w:rsidRPr="00F37764">
              <w:rPr>
                <w:rFonts w:ascii="Times New Roman" w:hAnsi="Times New Roman" w:cs="Times New Roman"/>
                <w:sz w:val="24"/>
                <w:szCs w:val="24"/>
              </w:rPr>
              <w:t xml:space="preserve"> = 67,02%</w:t>
            </w:r>
          </w:p>
        </w:tc>
      </w:tr>
    </w:tbl>
    <w:p w:rsidR="002830D3" w:rsidRDefault="002830D3" w:rsidP="002830D3">
      <w:pPr>
        <w:ind w:firstLine="708"/>
      </w:pPr>
      <w:r>
        <w:rPr>
          <w:rFonts w:ascii="Times New Roman" w:eastAsiaTheme="minorEastAsia" w:hAnsi="Times New Roman" w:cs="Times New Roman"/>
          <w:noProof/>
          <w:sz w:val="24"/>
          <w:szCs w:val="24"/>
          <w:lang w:eastAsia="pt-BR"/>
        </w:rPr>
        <w:t>Fonte: Elaboração própria a partir de dados da pesquisa.</w:t>
      </w:r>
      <w:r>
        <w:t xml:space="preserve"> </w:t>
      </w:r>
    </w:p>
    <w:p w:rsidR="00514532" w:rsidRDefault="00855B79" w:rsidP="00855B79">
      <w:pPr>
        <w:spacing w:after="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Para o estado de São Paulo, </w:t>
      </w:r>
      <w:r w:rsidR="00514532">
        <w:rPr>
          <w:rFonts w:ascii="Times New Roman" w:hAnsi="Times New Roman" w:cs="Times New Roman"/>
          <w:noProof/>
          <w:sz w:val="24"/>
          <w:szCs w:val="24"/>
          <w:lang w:eastAsia="pt-BR"/>
        </w:rPr>
        <w:t>a explicação decorre dos elevados custos de produção do leite</w:t>
      </w:r>
      <w:r>
        <w:rPr>
          <w:rFonts w:ascii="Times New Roman" w:hAnsi="Times New Roman" w:cs="Times New Roman"/>
          <w:noProof/>
          <w:sz w:val="24"/>
          <w:szCs w:val="24"/>
          <w:lang w:eastAsia="pt-BR"/>
        </w:rPr>
        <w:t xml:space="preserve"> </w:t>
      </w:r>
      <w:r w:rsidR="00514532">
        <w:rPr>
          <w:rFonts w:ascii="Times New Roman" w:hAnsi="Times New Roman" w:cs="Times New Roman"/>
          <w:noProof/>
          <w:sz w:val="24"/>
          <w:szCs w:val="24"/>
          <w:lang w:eastAsia="pt-BR"/>
        </w:rPr>
        <w:t xml:space="preserve">na região. </w:t>
      </w:r>
      <w:r w:rsidR="00514532" w:rsidRPr="00514532">
        <w:rPr>
          <w:rFonts w:ascii="Times New Roman" w:hAnsi="Times New Roman" w:cs="Times New Roman"/>
          <w:noProof/>
          <w:sz w:val="24"/>
          <w:szCs w:val="24"/>
          <w:lang w:eastAsia="pt-BR"/>
        </w:rPr>
        <w:t>Ghobril</w:t>
      </w:r>
      <w:r w:rsidR="00514532">
        <w:rPr>
          <w:rFonts w:ascii="Times New Roman" w:hAnsi="Times New Roman" w:cs="Times New Roman"/>
          <w:noProof/>
          <w:sz w:val="24"/>
          <w:szCs w:val="24"/>
          <w:lang w:eastAsia="pt-BR"/>
        </w:rPr>
        <w:t xml:space="preserve"> et. al. (2018) afirmam que a</w:t>
      </w:r>
      <w:r w:rsidR="00514532" w:rsidRPr="00514532">
        <w:rPr>
          <w:rFonts w:ascii="Times New Roman" w:hAnsi="Times New Roman" w:cs="Times New Roman"/>
          <w:noProof/>
          <w:sz w:val="24"/>
          <w:szCs w:val="24"/>
          <w:lang w:eastAsia="pt-BR"/>
        </w:rPr>
        <w:t xml:space="preserve"> concorrência em relação à produção de outros estados também tem sua parcela nos obstáculos que a produção paulista tem de superar. Os custos de produção destes estados são inferiores aos dos produtores paulistas, tornando o mercado de São Paulo interessante para colocar parte da sua produção a preços mais competitivos</w:t>
      </w:r>
      <w:r w:rsidR="00514532">
        <w:rPr>
          <w:rFonts w:ascii="Times New Roman" w:hAnsi="Times New Roman" w:cs="Times New Roman"/>
          <w:noProof/>
          <w:sz w:val="24"/>
          <w:szCs w:val="24"/>
          <w:lang w:eastAsia="pt-BR"/>
        </w:rPr>
        <w:t>. Neste caso, os preços pagos aos produtores paulistas acabam sendo afetados pela condição de oferta dos outros estados.</w:t>
      </w:r>
    </w:p>
    <w:p w:rsidR="002830D3" w:rsidRDefault="002830D3" w:rsidP="002830D3">
      <w:pPr>
        <w:spacing w:after="0" w:line="240" w:lineRule="auto"/>
        <w:ind w:left="709" w:firstLine="707"/>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Figura 2: </w:t>
      </w:r>
      <w:r w:rsidRPr="00435405">
        <w:rPr>
          <w:rFonts w:ascii="Times New Roman" w:hAnsi="Times New Roman" w:cs="Times New Roman"/>
          <w:noProof/>
          <w:sz w:val="24"/>
          <w:szCs w:val="24"/>
          <w:lang w:eastAsia="pt-BR"/>
        </w:rPr>
        <w:t xml:space="preserve">Mapa da rede de </w:t>
      </w:r>
      <w:r w:rsidRPr="00435405">
        <w:rPr>
          <w:rFonts w:ascii="Times New Roman" w:hAnsi="Times New Roman" w:cs="Times New Roman"/>
          <w:i/>
          <w:noProof/>
          <w:sz w:val="24"/>
          <w:szCs w:val="24"/>
          <w:lang w:eastAsia="pt-BR"/>
        </w:rPr>
        <w:t>spillover</w:t>
      </w:r>
      <w:r w:rsidRPr="00435405">
        <w:rPr>
          <w:rFonts w:ascii="Times New Roman" w:hAnsi="Times New Roman" w:cs="Times New Roman"/>
          <w:noProof/>
          <w:sz w:val="24"/>
          <w:szCs w:val="24"/>
          <w:lang w:eastAsia="pt-BR"/>
        </w:rPr>
        <w:t xml:space="preserve"> dos </w:t>
      </w:r>
      <w:r>
        <w:rPr>
          <w:rFonts w:ascii="Times New Roman" w:hAnsi="Times New Roman" w:cs="Times New Roman"/>
          <w:noProof/>
          <w:sz w:val="24"/>
          <w:szCs w:val="24"/>
          <w:lang w:eastAsia="pt-BR"/>
        </w:rPr>
        <w:t>preços no atacado</w:t>
      </w:r>
    </w:p>
    <w:p w:rsidR="00172FB0" w:rsidRPr="00172FB0" w:rsidRDefault="002830D3" w:rsidP="002830D3">
      <w:pPr>
        <w:spacing w:after="0" w:line="240" w:lineRule="auto"/>
        <w:ind w:left="708" w:firstLine="1"/>
        <w:jc w:val="center"/>
        <w:rPr>
          <w:rFonts w:ascii="Times New Roman" w:hAnsi="Times New Roman" w:cs="Times New Roman"/>
          <w:noProof/>
          <w:sz w:val="24"/>
          <w:szCs w:val="24"/>
          <w:lang w:eastAsia="pt-BR"/>
        </w:rPr>
      </w:pPr>
      <w:r w:rsidRPr="002830D3">
        <w:rPr>
          <w:noProof/>
          <w:lang w:eastAsia="pt-BR"/>
        </w:rPr>
        <w:drawing>
          <wp:inline distT="0" distB="0" distL="0" distR="0" wp14:anchorId="44D332B0" wp14:editId="3D0EBDCC">
            <wp:extent cx="3232612" cy="290512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8648" cy="2937510"/>
                    </a:xfrm>
                    <a:prstGeom prst="rect">
                      <a:avLst/>
                    </a:prstGeom>
                  </pic:spPr>
                </pic:pic>
              </a:graphicData>
            </a:graphic>
          </wp:inline>
        </w:drawing>
      </w:r>
    </w:p>
    <w:p w:rsidR="00172FB0" w:rsidRDefault="002830D3" w:rsidP="002830D3">
      <w:pPr>
        <w:spacing w:after="240" w:line="360" w:lineRule="auto"/>
        <w:ind w:left="566" w:firstLine="850"/>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Fonte: Elaboração própria com base nos resultados da pesquisa.</w:t>
      </w:r>
    </w:p>
    <w:p w:rsidR="0064052F" w:rsidRPr="00CE4220" w:rsidRDefault="00667439" w:rsidP="0064052F">
      <w:pPr>
        <w:spacing w:after="240" w:line="240" w:lineRule="auto"/>
        <w:ind w:left="709" w:firstLine="851"/>
        <w:contextualSpacing/>
        <w:jc w:val="both"/>
        <w:rPr>
          <w:rFonts w:ascii="Times New Roman" w:hAnsi="Times New Roman" w:cs="Times New Roman"/>
          <w:sz w:val="24"/>
          <w:szCs w:val="24"/>
        </w:rPr>
      </w:pPr>
      <w:r>
        <w:rPr>
          <w:rFonts w:ascii="Times New Roman" w:hAnsi="Times New Roman" w:cs="Times New Roman"/>
          <w:sz w:val="24"/>
          <w:szCs w:val="24"/>
        </w:rPr>
        <w:t>A F</w:t>
      </w:r>
      <w:r w:rsidR="002830D3" w:rsidRPr="00CE4220">
        <w:rPr>
          <w:rFonts w:ascii="Times New Roman" w:hAnsi="Times New Roman" w:cs="Times New Roman"/>
          <w:sz w:val="24"/>
          <w:szCs w:val="24"/>
        </w:rPr>
        <w:t xml:space="preserve">igura 2 mostra a distribuição dos </w:t>
      </w:r>
      <w:r w:rsidR="002830D3" w:rsidRPr="00CE4220">
        <w:rPr>
          <w:rFonts w:ascii="Times New Roman" w:hAnsi="Times New Roman" w:cs="Times New Roman"/>
          <w:i/>
          <w:sz w:val="24"/>
          <w:szCs w:val="24"/>
        </w:rPr>
        <w:t>spillovers</w:t>
      </w:r>
      <w:r w:rsidR="002830D3" w:rsidRPr="00CE4220">
        <w:rPr>
          <w:rFonts w:ascii="Times New Roman" w:hAnsi="Times New Roman" w:cs="Times New Roman"/>
          <w:sz w:val="24"/>
          <w:szCs w:val="24"/>
        </w:rPr>
        <w:t xml:space="preserve"> para os preços no atacado. Os estados do Paraná, Rio Grande do Sul e Goiás são os estados que mais sofrem influências dos</w:t>
      </w:r>
      <w:r w:rsidR="00896065">
        <w:rPr>
          <w:rFonts w:ascii="Times New Roman" w:hAnsi="Times New Roman" w:cs="Times New Roman"/>
          <w:sz w:val="24"/>
          <w:szCs w:val="24"/>
        </w:rPr>
        <w:t xml:space="preserve"> choques</w:t>
      </w:r>
      <w:r w:rsidR="002830D3" w:rsidRPr="00CE4220">
        <w:rPr>
          <w:rFonts w:ascii="Times New Roman" w:hAnsi="Times New Roman" w:cs="Times New Roman"/>
          <w:sz w:val="24"/>
          <w:szCs w:val="24"/>
        </w:rPr>
        <w:t xml:space="preserve"> vindo dos outros estados. No caso do Paraná e Rio Grande Sul</w:t>
      </w:r>
      <w:r w:rsidR="0064052F" w:rsidRPr="00CE4220">
        <w:rPr>
          <w:rFonts w:ascii="Times New Roman" w:hAnsi="Times New Roman" w:cs="Times New Roman"/>
          <w:sz w:val="24"/>
          <w:szCs w:val="24"/>
        </w:rPr>
        <w:t>, estes estados ainda sofrem com a importação de lácteos vindo da Argentina e do Uruguai, muitas vezes a preços mais atraentes que os próprios produtos internos. Essas importações impactam negativamente a lucratividade do setor em face da desregulamentação na oferta interna.</w:t>
      </w:r>
    </w:p>
    <w:p w:rsidR="0004438F" w:rsidRPr="0004438F" w:rsidRDefault="00667439" w:rsidP="003D18CA">
      <w:pPr>
        <w:spacing w:after="240" w:line="240" w:lineRule="auto"/>
        <w:ind w:left="709" w:firstLine="850"/>
        <w:jc w:val="both"/>
        <w:rPr>
          <w:rFonts w:ascii="Times New Roman" w:hAnsi="Times New Roman" w:cs="Times New Roman"/>
          <w:sz w:val="24"/>
          <w:szCs w:val="24"/>
        </w:rPr>
      </w:pPr>
      <w:r>
        <w:rPr>
          <w:rFonts w:ascii="Times New Roman" w:hAnsi="Times New Roman" w:cs="Times New Roman"/>
          <w:sz w:val="24"/>
          <w:szCs w:val="24"/>
        </w:rPr>
        <w:t>Por fim, a T</w:t>
      </w:r>
      <w:r w:rsidR="0064052F" w:rsidRPr="00CE4220">
        <w:rPr>
          <w:rFonts w:ascii="Times New Roman" w:hAnsi="Times New Roman" w:cs="Times New Roman"/>
          <w:sz w:val="24"/>
          <w:szCs w:val="24"/>
        </w:rPr>
        <w:t xml:space="preserve">abela 6 evidencia os resultados para </w:t>
      </w:r>
      <w:r w:rsidR="0045386A" w:rsidRPr="00CE4220">
        <w:rPr>
          <w:rFonts w:ascii="Times New Roman" w:hAnsi="Times New Roman" w:cs="Times New Roman"/>
          <w:sz w:val="24"/>
          <w:szCs w:val="24"/>
        </w:rPr>
        <w:t xml:space="preserve">os preços praticados no varejo. O índice </w:t>
      </w:r>
      <w:r w:rsidR="0045386A" w:rsidRPr="00CE4220">
        <w:rPr>
          <w:rFonts w:ascii="Times New Roman" w:hAnsi="Times New Roman" w:cs="Times New Roman"/>
          <w:i/>
          <w:sz w:val="24"/>
          <w:szCs w:val="24"/>
        </w:rPr>
        <w:t>spillover</w:t>
      </w:r>
      <w:r w:rsidR="0045386A" w:rsidRPr="00CE4220">
        <w:rPr>
          <w:rFonts w:ascii="Times New Roman" w:hAnsi="Times New Roman" w:cs="Times New Roman"/>
          <w:sz w:val="24"/>
          <w:szCs w:val="24"/>
        </w:rPr>
        <w:t xml:space="preserve"> </w:t>
      </w:r>
      <w:r w:rsidR="0045386A" w:rsidRPr="00CE4220">
        <w:rPr>
          <w:rFonts w:ascii="Times New Roman" w:hAnsi="Times New Roman" w:cs="Times New Roman"/>
          <w:noProof/>
          <w:sz w:val="24"/>
          <w:szCs w:val="24"/>
          <w:lang w:eastAsia="pt-BR"/>
        </w:rPr>
        <w:t>demonstra que 62,05% da variância do erro de previsão</w:t>
      </w:r>
      <w:r w:rsidR="00813567">
        <w:rPr>
          <w:rFonts w:ascii="Times New Roman" w:hAnsi="Times New Roman" w:cs="Times New Roman"/>
          <w:noProof/>
          <w:sz w:val="24"/>
          <w:szCs w:val="24"/>
          <w:lang w:eastAsia="pt-BR"/>
        </w:rPr>
        <w:t>, dez meses a frente,</w:t>
      </w:r>
      <w:r w:rsidR="0045386A" w:rsidRPr="00CE4220">
        <w:rPr>
          <w:rFonts w:ascii="Times New Roman" w:hAnsi="Times New Roman" w:cs="Times New Roman"/>
          <w:noProof/>
          <w:sz w:val="24"/>
          <w:szCs w:val="24"/>
          <w:lang w:eastAsia="pt-BR"/>
        </w:rPr>
        <w:t xml:space="preserve"> nos cinco estados vem do </w:t>
      </w:r>
      <w:r w:rsidR="0045386A" w:rsidRPr="00CE4220">
        <w:rPr>
          <w:rFonts w:ascii="Times New Roman" w:hAnsi="Times New Roman" w:cs="Times New Roman"/>
          <w:i/>
          <w:noProof/>
          <w:sz w:val="24"/>
          <w:szCs w:val="24"/>
          <w:lang w:eastAsia="pt-BR"/>
        </w:rPr>
        <w:t>spillover</w:t>
      </w:r>
      <w:r w:rsidR="0045386A" w:rsidRPr="00CE4220">
        <w:rPr>
          <w:rFonts w:ascii="Times New Roman" w:hAnsi="Times New Roman" w:cs="Times New Roman"/>
          <w:noProof/>
          <w:sz w:val="24"/>
          <w:szCs w:val="24"/>
          <w:lang w:eastAsia="pt-BR"/>
        </w:rPr>
        <w:t>. Outra observação é o papel importante que São Paulo tem nas vari</w:t>
      </w:r>
      <w:r w:rsidR="00813567">
        <w:rPr>
          <w:rFonts w:ascii="Times New Roman" w:hAnsi="Times New Roman" w:cs="Times New Roman"/>
          <w:noProof/>
          <w:sz w:val="24"/>
          <w:szCs w:val="24"/>
          <w:lang w:eastAsia="pt-BR"/>
        </w:rPr>
        <w:t>âncias do erro de previsão</w:t>
      </w:r>
      <w:r w:rsidR="0045386A" w:rsidRPr="00CE4220">
        <w:rPr>
          <w:rFonts w:ascii="Times New Roman" w:hAnsi="Times New Roman" w:cs="Times New Roman"/>
          <w:noProof/>
          <w:sz w:val="24"/>
          <w:szCs w:val="24"/>
          <w:lang w:eastAsia="pt-BR"/>
        </w:rPr>
        <w:t xml:space="preserve"> dos preços no varejo sobre os outros estados. </w:t>
      </w:r>
      <w:r w:rsidR="0004438F">
        <w:rPr>
          <w:rFonts w:ascii="Times New Roman" w:hAnsi="Times New Roman" w:cs="Times New Roman"/>
          <w:sz w:val="24"/>
          <w:szCs w:val="24"/>
        </w:rPr>
        <w:t xml:space="preserve">O estado de São Paulo apresenta a maior população residente dentre todos os estados brasileiros fato que provoca uma maior demanda pelo leite UHT dada a característica inelástica do produto. Além disso, dado a maior renda </w:t>
      </w:r>
      <w:r w:rsidR="0004438F" w:rsidRPr="0004438F">
        <w:rPr>
          <w:rFonts w:ascii="Times New Roman" w:hAnsi="Times New Roman" w:cs="Times New Roman"/>
          <w:i/>
          <w:sz w:val="24"/>
          <w:szCs w:val="24"/>
        </w:rPr>
        <w:t>per capita</w:t>
      </w:r>
      <w:r w:rsidR="0004438F">
        <w:rPr>
          <w:rFonts w:ascii="Times New Roman" w:hAnsi="Times New Roman" w:cs="Times New Roman"/>
          <w:i/>
          <w:sz w:val="24"/>
          <w:szCs w:val="24"/>
        </w:rPr>
        <w:t xml:space="preserve"> </w:t>
      </w:r>
      <w:r w:rsidR="0004438F">
        <w:rPr>
          <w:rFonts w:ascii="Times New Roman" w:hAnsi="Times New Roman" w:cs="Times New Roman"/>
          <w:sz w:val="24"/>
          <w:szCs w:val="24"/>
        </w:rPr>
        <w:t xml:space="preserve">atrelada ao baixo nível de oferta interna, o estado recebe leite fluído vindo dos estados de Minas Gerais e Paraná. </w:t>
      </w:r>
    </w:p>
    <w:p w:rsidR="0045386A" w:rsidRPr="00F04FC9" w:rsidRDefault="0045386A" w:rsidP="003D18CA">
      <w:pPr>
        <w:spacing w:after="0" w:line="240" w:lineRule="auto"/>
        <w:ind w:firstLine="708"/>
        <w:rPr>
          <w:rFonts w:ascii="Times New Roman" w:hAnsi="Times New Roman" w:cs="Times New Roman"/>
          <w:sz w:val="24"/>
          <w:szCs w:val="24"/>
        </w:rPr>
      </w:pPr>
      <w:r w:rsidRPr="00F04FC9">
        <w:rPr>
          <w:rFonts w:ascii="Times New Roman" w:hAnsi="Times New Roman" w:cs="Times New Roman"/>
          <w:sz w:val="24"/>
          <w:szCs w:val="24"/>
        </w:rPr>
        <w:t xml:space="preserve">Tabela </w:t>
      </w:r>
      <w:r>
        <w:rPr>
          <w:rFonts w:ascii="Times New Roman" w:hAnsi="Times New Roman" w:cs="Times New Roman"/>
          <w:sz w:val="24"/>
          <w:szCs w:val="24"/>
        </w:rPr>
        <w:t>6</w:t>
      </w:r>
      <w:r w:rsidRPr="00F04FC9">
        <w:rPr>
          <w:rFonts w:ascii="Times New Roman" w:hAnsi="Times New Roman" w:cs="Times New Roman"/>
          <w:sz w:val="24"/>
          <w:szCs w:val="24"/>
        </w:rPr>
        <w:t xml:space="preserve">: </w:t>
      </w:r>
      <w:r w:rsidRPr="00F04FC9">
        <w:rPr>
          <w:rFonts w:ascii="Times New Roman" w:hAnsi="Times New Roman" w:cs="Times New Roman"/>
          <w:i/>
          <w:sz w:val="24"/>
          <w:szCs w:val="24"/>
        </w:rPr>
        <w:t>Spillover</w:t>
      </w:r>
      <w:r w:rsidRPr="00F04FC9">
        <w:rPr>
          <w:rFonts w:ascii="Times New Roman" w:hAnsi="Times New Roman" w:cs="Times New Roman"/>
          <w:sz w:val="24"/>
          <w:szCs w:val="24"/>
        </w:rPr>
        <w:t xml:space="preserve"> de Volatilidade para os preços no </w:t>
      </w:r>
      <w:r>
        <w:rPr>
          <w:rFonts w:ascii="Times New Roman" w:hAnsi="Times New Roman" w:cs="Times New Roman"/>
          <w:sz w:val="24"/>
          <w:szCs w:val="24"/>
        </w:rPr>
        <w:t>Varejo</w:t>
      </w:r>
    </w:p>
    <w:tbl>
      <w:tblPr>
        <w:tblStyle w:val="Tabelacomgrade"/>
        <w:tblW w:w="9523" w:type="dxa"/>
        <w:tblInd w:w="704" w:type="dxa"/>
        <w:tblLook w:val="04A0" w:firstRow="1" w:lastRow="0" w:firstColumn="1" w:lastColumn="0" w:noHBand="0" w:noVBand="1"/>
      </w:tblPr>
      <w:tblGrid>
        <w:gridCol w:w="2268"/>
        <w:gridCol w:w="1095"/>
        <w:gridCol w:w="1076"/>
        <w:gridCol w:w="1076"/>
        <w:gridCol w:w="1076"/>
        <w:gridCol w:w="1076"/>
        <w:gridCol w:w="1856"/>
      </w:tblGrid>
      <w:tr w:rsidR="0045386A" w:rsidTr="00564F09">
        <w:tc>
          <w:tcPr>
            <w:tcW w:w="2268" w:type="dxa"/>
          </w:tcPr>
          <w:p w:rsidR="0045386A" w:rsidRDefault="0045386A" w:rsidP="00564F09"/>
        </w:tc>
        <w:tc>
          <w:tcPr>
            <w:tcW w:w="1095" w:type="dxa"/>
            <w:vAlign w:val="center"/>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SP</w:t>
            </w:r>
          </w:p>
        </w:tc>
        <w:tc>
          <w:tcPr>
            <w:tcW w:w="1076" w:type="dxa"/>
            <w:vAlign w:val="center"/>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GO</w:t>
            </w:r>
          </w:p>
        </w:tc>
        <w:tc>
          <w:tcPr>
            <w:tcW w:w="1076" w:type="dxa"/>
            <w:vAlign w:val="center"/>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PR</w:t>
            </w:r>
          </w:p>
        </w:tc>
        <w:tc>
          <w:tcPr>
            <w:tcW w:w="1076" w:type="dxa"/>
            <w:vAlign w:val="center"/>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MG</w:t>
            </w:r>
          </w:p>
        </w:tc>
        <w:tc>
          <w:tcPr>
            <w:tcW w:w="1076" w:type="dxa"/>
            <w:vAlign w:val="center"/>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RS</w:t>
            </w:r>
          </w:p>
        </w:tc>
        <w:tc>
          <w:tcPr>
            <w:tcW w:w="1856" w:type="dxa"/>
          </w:tcPr>
          <w:p w:rsidR="0045386A" w:rsidRPr="005A46F2" w:rsidRDefault="0045386A" w:rsidP="00564F09">
            <w:pPr>
              <w:jc w:val="center"/>
              <w:rPr>
                <w:rFonts w:ascii="Times New Roman" w:hAnsi="Times New Roman" w:cs="Times New Roman"/>
                <w:b/>
                <w:sz w:val="24"/>
                <w:szCs w:val="24"/>
              </w:rPr>
            </w:pPr>
            <w:r>
              <w:rPr>
                <w:rFonts w:ascii="Times New Roman" w:hAnsi="Times New Roman" w:cs="Times New Roman"/>
                <w:b/>
                <w:sz w:val="24"/>
                <w:szCs w:val="24"/>
              </w:rPr>
              <w:t>Contribuições de outros</w:t>
            </w:r>
          </w:p>
        </w:tc>
      </w:tr>
      <w:tr w:rsidR="0045386A" w:rsidTr="0045386A">
        <w:tc>
          <w:tcPr>
            <w:tcW w:w="2268" w:type="dxa"/>
            <w:vAlign w:val="center"/>
          </w:tcPr>
          <w:p w:rsidR="0045386A" w:rsidRPr="0045386A" w:rsidRDefault="0045386A" w:rsidP="0045386A">
            <w:pPr>
              <w:jc w:val="center"/>
              <w:rPr>
                <w:rFonts w:ascii="Times New Roman" w:hAnsi="Times New Roman" w:cs="Times New Roman"/>
                <w:b/>
                <w:sz w:val="24"/>
                <w:szCs w:val="24"/>
              </w:rPr>
            </w:pPr>
            <w:r w:rsidRPr="0045386A">
              <w:rPr>
                <w:rFonts w:ascii="Times New Roman" w:hAnsi="Times New Roman" w:cs="Times New Roman"/>
                <w:b/>
                <w:sz w:val="24"/>
                <w:szCs w:val="24"/>
              </w:rPr>
              <w:t>SP</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74,55</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6,44</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1,79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2,50</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14,72</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25,45</w:t>
            </w:r>
          </w:p>
        </w:tc>
      </w:tr>
      <w:tr w:rsidR="0045386A" w:rsidTr="0045386A">
        <w:tc>
          <w:tcPr>
            <w:tcW w:w="2268" w:type="dxa"/>
            <w:vAlign w:val="center"/>
          </w:tcPr>
          <w:p w:rsidR="0045386A" w:rsidRPr="0045386A" w:rsidRDefault="0045386A" w:rsidP="0045386A">
            <w:pPr>
              <w:jc w:val="center"/>
              <w:rPr>
                <w:rFonts w:ascii="Times New Roman" w:hAnsi="Times New Roman" w:cs="Times New Roman"/>
                <w:b/>
                <w:sz w:val="24"/>
                <w:szCs w:val="24"/>
              </w:rPr>
            </w:pPr>
            <w:r w:rsidRPr="0045386A">
              <w:rPr>
                <w:rFonts w:ascii="Times New Roman" w:hAnsi="Times New Roman" w:cs="Times New Roman"/>
                <w:b/>
                <w:sz w:val="24"/>
                <w:szCs w:val="24"/>
              </w:rPr>
              <w:t>GO</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52,14</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34,29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1,52</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3,74</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8,32</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65,72</w:t>
            </w:r>
          </w:p>
        </w:tc>
      </w:tr>
      <w:tr w:rsidR="0045386A" w:rsidTr="0045386A">
        <w:tc>
          <w:tcPr>
            <w:tcW w:w="2268" w:type="dxa"/>
            <w:vAlign w:val="center"/>
          </w:tcPr>
          <w:p w:rsidR="0045386A" w:rsidRPr="0045386A" w:rsidRDefault="0045386A" w:rsidP="0045386A">
            <w:pPr>
              <w:jc w:val="center"/>
              <w:rPr>
                <w:rFonts w:ascii="Times New Roman" w:hAnsi="Times New Roman" w:cs="Times New Roman"/>
                <w:b/>
                <w:sz w:val="24"/>
                <w:szCs w:val="24"/>
              </w:rPr>
            </w:pPr>
            <w:r w:rsidRPr="0045386A">
              <w:rPr>
                <w:rFonts w:ascii="Times New Roman" w:hAnsi="Times New Roman" w:cs="Times New Roman"/>
                <w:b/>
                <w:sz w:val="24"/>
                <w:szCs w:val="24"/>
              </w:rPr>
              <w:t>PR</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53,46</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7,59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21,95</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4,04</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12,95</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78,04</w:t>
            </w:r>
          </w:p>
        </w:tc>
      </w:tr>
      <w:tr w:rsidR="0045386A" w:rsidTr="0045386A">
        <w:tc>
          <w:tcPr>
            <w:tcW w:w="2268" w:type="dxa"/>
            <w:vAlign w:val="center"/>
          </w:tcPr>
          <w:p w:rsidR="0045386A" w:rsidRPr="0045386A" w:rsidRDefault="0045386A" w:rsidP="0045386A">
            <w:pPr>
              <w:jc w:val="center"/>
              <w:rPr>
                <w:rFonts w:ascii="Times New Roman" w:hAnsi="Times New Roman" w:cs="Times New Roman"/>
                <w:b/>
                <w:sz w:val="24"/>
                <w:szCs w:val="24"/>
              </w:rPr>
            </w:pPr>
            <w:r w:rsidRPr="0045386A">
              <w:rPr>
                <w:rFonts w:ascii="Times New Roman" w:hAnsi="Times New Roman" w:cs="Times New Roman"/>
                <w:b/>
                <w:sz w:val="24"/>
                <w:szCs w:val="24"/>
              </w:rPr>
              <w:t>MG</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49,21</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5,97</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2,02</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29,80</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13,00</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70,20</w:t>
            </w:r>
          </w:p>
        </w:tc>
      </w:tr>
      <w:tr w:rsidR="0045386A" w:rsidTr="0045386A">
        <w:tc>
          <w:tcPr>
            <w:tcW w:w="2268" w:type="dxa"/>
            <w:vAlign w:val="center"/>
          </w:tcPr>
          <w:p w:rsidR="0045386A" w:rsidRPr="0045386A" w:rsidRDefault="0045386A" w:rsidP="0045386A">
            <w:pPr>
              <w:jc w:val="center"/>
              <w:rPr>
                <w:rFonts w:ascii="Times New Roman" w:hAnsi="Times New Roman" w:cs="Times New Roman"/>
                <w:b/>
                <w:sz w:val="24"/>
                <w:szCs w:val="24"/>
              </w:rPr>
            </w:pPr>
            <w:r w:rsidRPr="0045386A">
              <w:rPr>
                <w:rFonts w:ascii="Times New Roman" w:hAnsi="Times New Roman" w:cs="Times New Roman"/>
                <w:b/>
                <w:sz w:val="24"/>
                <w:szCs w:val="24"/>
              </w:rPr>
              <w:t>RS</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51,49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7,99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4,75</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6,60</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29,16</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70,83</w:t>
            </w:r>
          </w:p>
        </w:tc>
      </w:tr>
      <w:tr w:rsidR="0045386A" w:rsidTr="0045386A">
        <w:tc>
          <w:tcPr>
            <w:tcW w:w="2268" w:type="dxa"/>
          </w:tcPr>
          <w:p w:rsidR="0045386A" w:rsidRPr="005A46F2" w:rsidRDefault="0045386A" w:rsidP="0045386A">
            <w:pPr>
              <w:jc w:val="center"/>
              <w:rPr>
                <w:rFonts w:ascii="Times New Roman" w:hAnsi="Times New Roman" w:cs="Times New Roman"/>
                <w:b/>
                <w:sz w:val="24"/>
                <w:szCs w:val="24"/>
              </w:rPr>
            </w:pPr>
            <w:r>
              <w:rPr>
                <w:rFonts w:ascii="Times New Roman" w:hAnsi="Times New Roman" w:cs="Times New Roman"/>
                <w:b/>
                <w:sz w:val="24"/>
                <w:szCs w:val="24"/>
              </w:rPr>
              <w:t>Contribuições para outros</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206,30</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27,99</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10,08</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16,88</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48,99</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310,24</w:t>
            </w:r>
          </w:p>
        </w:tc>
      </w:tr>
      <w:tr w:rsidR="0045386A" w:rsidTr="0045386A">
        <w:tc>
          <w:tcPr>
            <w:tcW w:w="2268" w:type="dxa"/>
            <w:vAlign w:val="center"/>
          </w:tcPr>
          <w:p w:rsidR="0045386A" w:rsidRDefault="0045386A" w:rsidP="0045386A">
            <w:pPr>
              <w:jc w:val="center"/>
              <w:rPr>
                <w:rFonts w:ascii="Times New Roman" w:hAnsi="Times New Roman" w:cs="Times New Roman"/>
                <w:b/>
                <w:sz w:val="24"/>
                <w:szCs w:val="24"/>
              </w:rPr>
            </w:pPr>
            <w:r>
              <w:rPr>
                <w:rFonts w:ascii="Times New Roman" w:hAnsi="Times New Roman" w:cs="Times New Roman"/>
                <w:b/>
                <w:sz w:val="24"/>
                <w:szCs w:val="24"/>
              </w:rPr>
              <w:t>Contribuições incluindo o próprio estado</w:t>
            </w:r>
          </w:p>
        </w:tc>
        <w:tc>
          <w:tcPr>
            <w:tcW w:w="1095"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280,85</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62,28</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32,03</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46,68</w:t>
            </w:r>
          </w:p>
        </w:tc>
        <w:tc>
          <w:tcPr>
            <w:tcW w:w="107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78,15</w:t>
            </w:r>
          </w:p>
        </w:tc>
        <w:tc>
          <w:tcPr>
            <w:tcW w:w="1856" w:type="dxa"/>
            <w:vAlign w:val="center"/>
          </w:tcPr>
          <w:p w:rsidR="0045386A" w:rsidRPr="0045386A" w:rsidRDefault="0045386A" w:rsidP="0045386A">
            <w:pPr>
              <w:jc w:val="center"/>
              <w:rPr>
                <w:rFonts w:ascii="Times New Roman" w:hAnsi="Times New Roman" w:cs="Times New Roman"/>
                <w:sz w:val="24"/>
                <w:szCs w:val="24"/>
              </w:rPr>
            </w:pPr>
            <w:r w:rsidRPr="0045386A">
              <w:rPr>
                <w:rFonts w:ascii="Times New Roman" w:hAnsi="Times New Roman" w:cs="Times New Roman"/>
                <w:sz w:val="24"/>
                <w:szCs w:val="24"/>
              </w:rPr>
              <w:t xml:space="preserve">Índice </w:t>
            </w:r>
            <w:r w:rsidRPr="0045386A">
              <w:rPr>
                <w:rFonts w:ascii="Times New Roman" w:hAnsi="Times New Roman" w:cs="Times New Roman"/>
                <w:i/>
                <w:sz w:val="24"/>
                <w:szCs w:val="24"/>
              </w:rPr>
              <w:t>Spillover</w:t>
            </w:r>
            <w:r w:rsidRPr="0045386A">
              <w:rPr>
                <w:rFonts w:ascii="Times New Roman" w:hAnsi="Times New Roman" w:cs="Times New Roman"/>
                <w:sz w:val="24"/>
                <w:szCs w:val="24"/>
              </w:rPr>
              <w:t xml:space="preserve"> = 62,05%</w:t>
            </w:r>
          </w:p>
        </w:tc>
      </w:tr>
    </w:tbl>
    <w:p w:rsidR="0045386A" w:rsidRDefault="0045386A" w:rsidP="003D18CA">
      <w:pPr>
        <w:spacing w:line="240" w:lineRule="auto"/>
        <w:ind w:firstLine="708"/>
      </w:pPr>
      <w:r>
        <w:rPr>
          <w:rFonts w:ascii="Times New Roman" w:eastAsiaTheme="minorEastAsia" w:hAnsi="Times New Roman" w:cs="Times New Roman"/>
          <w:noProof/>
          <w:sz w:val="24"/>
          <w:szCs w:val="24"/>
          <w:lang w:eastAsia="pt-BR"/>
        </w:rPr>
        <w:t>Fonte: Elaboração própria a partir de dados da pesquisa.</w:t>
      </w:r>
      <w:r>
        <w:t xml:space="preserve"> </w:t>
      </w:r>
    </w:p>
    <w:p w:rsidR="0004438F" w:rsidRDefault="0004438F" w:rsidP="003D18CA">
      <w:pPr>
        <w:spacing w:line="240" w:lineRule="auto"/>
        <w:ind w:firstLine="708"/>
        <w:jc w:val="center"/>
      </w:pPr>
      <w:r>
        <w:rPr>
          <w:rFonts w:ascii="Times New Roman" w:hAnsi="Times New Roman" w:cs="Times New Roman"/>
          <w:noProof/>
          <w:sz w:val="24"/>
          <w:szCs w:val="24"/>
          <w:lang w:eastAsia="pt-BR"/>
        </w:rPr>
        <w:t xml:space="preserve">Figura 3: </w:t>
      </w:r>
      <w:r w:rsidRPr="00435405">
        <w:rPr>
          <w:rFonts w:ascii="Times New Roman" w:hAnsi="Times New Roman" w:cs="Times New Roman"/>
          <w:noProof/>
          <w:sz w:val="24"/>
          <w:szCs w:val="24"/>
          <w:lang w:eastAsia="pt-BR"/>
        </w:rPr>
        <w:t xml:space="preserve">Mapa da rede de </w:t>
      </w:r>
      <w:r w:rsidRPr="00435405">
        <w:rPr>
          <w:rFonts w:ascii="Times New Roman" w:hAnsi="Times New Roman" w:cs="Times New Roman"/>
          <w:i/>
          <w:noProof/>
          <w:sz w:val="24"/>
          <w:szCs w:val="24"/>
          <w:lang w:eastAsia="pt-BR"/>
        </w:rPr>
        <w:t>spillover</w:t>
      </w:r>
      <w:r w:rsidRPr="00435405">
        <w:rPr>
          <w:rFonts w:ascii="Times New Roman" w:hAnsi="Times New Roman" w:cs="Times New Roman"/>
          <w:noProof/>
          <w:sz w:val="24"/>
          <w:szCs w:val="24"/>
          <w:lang w:eastAsia="pt-BR"/>
        </w:rPr>
        <w:t xml:space="preserve"> dos </w:t>
      </w:r>
      <w:r>
        <w:rPr>
          <w:rFonts w:ascii="Times New Roman" w:hAnsi="Times New Roman" w:cs="Times New Roman"/>
          <w:noProof/>
          <w:sz w:val="24"/>
          <w:szCs w:val="24"/>
          <w:lang w:eastAsia="pt-BR"/>
        </w:rPr>
        <w:t>preços no varejo</w:t>
      </w:r>
    </w:p>
    <w:p w:rsidR="0004438F" w:rsidRDefault="0004438F" w:rsidP="008A0956">
      <w:pPr>
        <w:spacing w:after="240" w:line="240" w:lineRule="auto"/>
        <w:ind w:left="709" w:firstLine="851"/>
        <w:contextualSpacing/>
        <w:jc w:val="center"/>
        <w:rPr>
          <w:rFonts w:ascii="Times New Roman" w:hAnsi="Times New Roman" w:cs="Times New Roman"/>
          <w:noProof/>
          <w:sz w:val="24"/>
          <w:szCs w:val="24"/>
          <w:lang w:eastAsia="pt-BR"/>
        </w:rPr>
      </w:pPr>
      <w:r w:rsidRPr="0004438F">
        <w:rPr>
          <w:noProof/>
          <w:lang w:eastAsia="pt-BR"/>
        </w:rPr>
        <w:drawing>
          <wp:inline distT="0" distB="0" distL="0" distR="0" wp14:anchorId="41B3FC4A" wp14:editId="30E2680B">
            <wp:extent cx="3904513" cy="351472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7348" cy="3526278"/>
                    </a:xfrm>
                    <a:prstGeom prst="rect">
                      <a:avLst/>
                    </a:prstGeom>
                  </pic:spPr>
                </pic:pic>
              </a:graphicData>
            </a:graphic>
          </wp:inline>
        </w:drawing>
      </w:r>
    </w:p>
    <w:p w:rsidR="0004438F" w:rsidRDefault="008A0956" w:rsidP="0004438F">
      <w:pPr>
        <w:spacing w:after="240" w:line="240" w:lineRule="auto"/>
        <w:ind w:left="709" w:firstLine="851"/>
        <w:contextualSpacing/>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                    </w:t>
      </w:r>
      <w:r w:rsidR="0004438F">
        <w:rPr>
          <w:rFonts w:ascii="Times New Roman" w:hAnsi="Times New Roman" w:cs="Times New Roman"/>
          <w:noProof/>
          <w:sz w:val="24"/>
          <w:szCs w:val="24"/>
          <w:lang w:eastAsia="pt-BR"/>
        </w:rPr>
        <w:t>Fonte: Elaboração própria com base nos resultados da pesquisa.</w:t>
      </w:r>
    </w:p>
    <w:p w:rsidR="0004438F" w:rsidRDefault="00667439" w:rsidP="0004438F">
      <w:pPr>
        <w:spacing w:after="240" w:line="240" w:lineRule="auto"/>
        <w:ind w:left="709" w:firstLine="851"/>
        <w:contextualSpacing/>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A F</w:t>
      </w:r>
      <w:r w:rsidR="0004438F">
        <w:rPr>
          <w:rFonts w:ascii="Times New Roman" w:hAnsi="Times New Roman" w:cs="Times New Roman"/>
          <w:noProof/>
          <w:sz w:val="24"/>
          <w:szCs w:val="24"/>
          <w:lang w:eastAsia="pt-BR"/>
        </w:rPr>
        <w:t xml:space="preserve">igura 3 ilustra o comportamento dos </w:t>
      </w:r>
      <w:r w:rsidR="0004438F" w:rsidRPr="00813567">
        <w:rPr>
          <w:rFonts w:ascii="Times New Roman" w:hAnsi="Times New Roman" w:cs="Times New Roman"/>
          <w:i/>
          <w:noProof/>
          <w:sz w:val="24"/>
          <w:szCs w:val="24"/>
          <w:lang w:eastAsia="pt-BR"/>
        </w:rPr>
        <w:t>spillovers</w:t>
      </w:r>
      <w:r w:rsidR="0004438F">
        <w:rPr>
          <w:rFonts w:ascii="Times New Roman" w:hAnsi="Times New Roman" w:cs="Times New Roman"/>
          <w:noProof/>
          <w:sz w:val="24"/>
          <w:szCs w:val="24"/>
          <w:lang w:eastAsia="pt-BR"/>
        </w:rPr>
        <w:t xml:space="preserve"> e sua integração entre os estados selecionados na pesquisa. </w:t>
      </w:r>
      <w:r w:rsidR="00813567">
        <w:rPr>
          <w:rFonts w:ascii="Times New Roman" w:hAnsi="Times New Roman" w:cs="Times New Roman"/>
          <w:noProof/>
          <w:sz w:val="24"/>
          <w:szCs w:val="24"/>
          <w:lang w:eastAsia="pt-BR"/>
        </w:rPr>
        <w:t>Os choques no</w:t>
      </w:r>
      <w:r w:rsidR="0004438F" w:rsidRPr="00CE4220">
        <w:rPr>
          <w:rFonts w:ascii="Times New Roman" w:hAnsi="Times New Roman" w:cs="Times New Roman"/>
          <w:noProof/>
          <w:sz w:val="24"/>
          <w:szCs w:val="24"/>
          <w:lang w:eastAsia="pt-BR"/>
        </w:rPr>
        <w:t xml:space="preserve">s preços no varejo em São Paulo são </w:t>
      </w:r>
      <w:r w:rsidR="00813567">
        <w:rPr>
          <w:rFonts w:ascii="Times New Roman" w:hAnsi="Times New Roman" w:cs="Times New Roman"/>
          <w:noProof/>
          <w:sz w:val="24"/>
          <w:szCs w:val="24"/>
          <w:lang w:eastAsia="pt-BR"/>
        </w:rPr>
        <w:t xml:space="preserve">responsáveis por 52,14% da variância </w:t>
      </w:r>
      <w:r w:rsidR="0004438F" w:rsidRPr="00CE4220">
        <w:rPr>
          <w:rFonts w:ascii="Times New Roman" w:hAnsi="Times New Roman" w:cs="Times New Roman"/>
          <w:noProof/>
          <w:sz w:val="24"/>
          <w:szCs w:val="24"/>
          <w:lang w:eastAsia="pt-BR"/>
        </w:rPr>
        <w:t xml:space="preserve">do erro na previsão, dez meses a frente, </w:t>
      </w:r>
      <w:r w:rsidR="00813567">
        <w:rPr>
          <w:rFonts w:ascii="Times New Roman" w:hAnsi="Times New Roman" w:cs="Times New Roman"/>
          <w:noProof/>
          <w:sz w:val="24"/>
          <w:szCs w:val="24"/>
          <w:lang w:eastAsia="pt-BR"/>
        </w:rPr>
        <w:t>n</w:t>
      </w:r>
      <w:r w:rsidR="0004438F" w:rsidRPr="00CE4220">
        <w:rPr>
          <w:rFonts w:ascii="Times New Roman" w:hAnsi="Times New Roman" w:cs="Times New Roman"/>
          <w:noProof/>
          <w:sz w:val="24"/>
          <w:szCs w:val="24"/>
          <w:lang w:eastAsia="pt-BR"/>
        </w:rPr>
        <w:t>os preços no varejo em Goiás. Já no estado do Rio Grande do Sul, o percentual fica em 51,49% enquanto no estado de Minas Gerais esse valor fica em 49,21%. Repare que, no estado do Paraná, esse valor se eleva para 53,46%.</w:t>
      </w:r>
      <w:r w:rsidR="0004438F">
        <w:rPr>
          <w:rFonts w:ascii="Times New Roman" w:hAnsi="Times New Roman" w:cs="Times New Roman"/>
          <w:noProof/>
          <w:sz w:val="24"/>
          <w:szCs w:val="24"/>
          <w:lang w:eastAsia="pt-BR"/>
        </w:rPr>
        <w:t xml:space="preserve"> </w:t>
      </w:r>
    </w:p>
    <w:p w:rsidR="00667439" w:rsidRDefault="008A0956" w:rsidP="0004438F">
      <w:pPr>
        <w:spacing w:after="240" w:line="240" w:lineRule="auto"/>
        <w:ind w:left="709" w:firstLine="851"/>
        <w:contextualSpacing/>
        <w:jc w:val="both"/>
        <w:rPr>
          <w:rFonts w:ascii="Times New Roman" w:hAnsi="Times New Roman" w:cs="Times New Roman"/>
          <w:sz w:val="24"/>
          <w:szCs w:val="24"/>
        </w:rPr>
      </w:pPr>
      <w:r>
        <w:rPr>
          <w:rFonts w:ascii="Times New Roman" w:hAnsi="Times New Roman" w:cs="Times New Roman"/>
          <w:sz w:val="24"/>
          <w:szCs w:val="24"/>
        </w:rPr>
        <w:t xml:space="preserve">Em suma, a análise conjunta dos </w:t>
      </w:r>
      <w:r w:rsidRPr="008A0956">
        <w:rPr>
          <w:rFonts w:ascii="Times New Roman" w:hAnsi="Times New Roman" w:cs="Times New Roman"/>
          <w:i/>
          <w:sz w:val="24"/>
          <w:szCs w:val="24"/>
        </w:rPr>
        <w:t>spillovers</w:t>
      </w:r>
      <w:r>
        <w:rPr>
          <w:rFonts w:ascii="Times New Roman" w:hAnsi="Times New Roman" w:cs="Times New Roman"/>
          <w:sz w:val="24"/>
          <w:szCs w:val="24"/>
        </w:rPr>
        <w:t xml:space="preserve"> dos preços pagos ao produtor, atacado e varejo nos principais estados indica que o estado de Minas Gerais e São Paulo exercem papel relevante na formação de preços nos outros estados. Tais resultados sugerem que as práticas adotadas nesses estados podem ser repassadas para os outros no sentido de melhorar a eficiência e consequentemente os preços.</w:t>
      </w:r>
      <w:r w:rsidR="00667439">
        <w:rPr>
          <w:rFonts w:ascii="Times New Roman" w:hAnsi="Times New Roman" w:cs="Times New Roman"/>
          <w:sz w:val="24"/>
          <w:szCs w:val="24"/>
        </w:rPr>
        <w:t xml:space="preserve"> </w:t>
      </w:r>
      <w:r w:rsidR="00667439" w:rsidRPr="00667439">
        <w:rPr>
          <w:rFonts w:ascii="Times New Roman" w:hAnsi="Times New Roman" w:cs="Times New Roman"/>
          <w:sz w:val="24"/>
          <w:szCs w:val="24"/>
        </w:rPr>
        <w:t xml:space="preserve">Ademais, o Índice </w:t>
      </w:r>
      <w:r w:rsidR="00667439" w:rsidRPr="00667439">
        <w:rPr>
          <w:rFonts w:ascii="Times New Roman" w:hAnsi="Times New Roman" w:cs="Times New Roman"/>
          <w:i/>
          <w:sz w:val="24"/>
          <w:szCs w:val="24"/>
        </w:rPr>
        <w:t>Spillover</w:t>
      </w:r>
      <w:r w:rsidR="00667439" w:rsidRPr="00667439">
        <w:rPr>
          <w:rFonts w:ascii="Times New Roman" w:hAnsi="Times New Roman" w:cs="Times New Roman"/>
          <w:sz w:val="24"/>
          <w:szCs w:val="24"/>
        </w:rPr>
        <w:t xml:space="preserve"> de cada mercado </w:t>
      </w:r>
      <w:r w:rsidR="00667439">
        <w:rPr>
          <w:rFonts w:ascii="Times New Roman" w:hAnsi="Times New Roman" w:cs="Times New Roman"/>
          <w:sz w:val="24"/>
          <w:szCs w:val="24"/>
        </w:rPr>
        <w:t>apresenta maior valor</w:t>
      </w:r>
      <w:r w:rsidR="00667439" w:rsidRPr="00667439">
        <w:rPr>
          <w:rFonts w:ascii="Times New Roman" w:hAnsi="Times New Roman" w:cs="Times New Roman"/>
          <w:sz w:val="24"/>
          <w:szCs w:val="24"/>
        </w:rPr>
        <w:t xml:space="preserve"> no preço </w:t>
      </w:r>
      <w:r w:rsidR="00667439">
        <w:rPr>
          <w:rFonts w:ascii="Times New Roman" w:hAnsi="Times New Roman" w:cs="Times New Roman"/>
          <w:sz w:val="24"/>
          <w:szCs w:val="24"/>
        </w:rPr>
        <w:t>pago a</w:t>
      </w:r>
      <w:r w:rsidR="00667439" w:rsidRPr="00667439">
        <w:rPr>
          <w:rFonts w:ascii="Times New Roman" w:hAnsi="Times New Roman" w:cs="Times New Roman"/>
          <w:sz w:val="24"/>
          <w:szCs w:val="24"/>
        </w:rPr>
        <w:t xml:space="preserve">o produtor </w:t>
      </w:r>
      <w:r w:rsidR="00667439">
        <w:rPr>
          <w:rFonts w:ascii="Times New Roman" w:hAnsi="Times New Roman" w:cs="Times New Roman"/>
          <w:sz w:val="24"/>
          <w:szCs w:val="24"/>
        </w:rPr>
        <w:t>atingindo</w:t>
      </w:r>
      <w:r w:rsidR="004D5990">
        <w:rPr>
          <w:rFonts w:ascii="Times New Roman" w:hAnsi="Times New Roman" w:cs="Times New Roman"/>
          <w:sz w:val="24"/>
          <w:szCs w:val="24"/>
        </w:rPr>
        <w:t xml:space="preserve"> 67,02% sucessivamente o preço n</w:t>
      </w:r>
      <w:r w:rsidR="00667439" w:rsidRPr="00667439">
        <w:rPr>
          <w:rFonts w:ascii="Times New Roman" w:hAnsi="Times New Roman" w:cs="Times New Roman"/>
          <w:sz w:val="24"/>
          <w:szCs w:val="24"/>
        </w:rPr>
        <w:t xml:space="preserve">o atacado com 67,02% e finalmente </w:t>
      </w:r>
      <w:r w:rsidR="004D5990">
        <w:rPr>
          <w:rFonts w:ascii="Times New Roman" w:hAnsi="Times New Roman" w:cs="Times New Roman"/>
          <w:sz w:val="24"/>
          <w:szCs w:val="24"/>
        </w:rPr>
        <w:t xml:space="preserve">o </w:t>
      </w:r>
      <w:r w:rsidR="00667439" w:rsidRPr="00667439">
        <w:rPr>
          <w:rFonts w:ascii="Times New Roman" w:hAnsi="Times New Roman" w:cs="Times New Roman"/>
          <w:sz w:val="24"/>
          <w:szCs w:val="24"/>
        </w:rPr>
        <w:t xml:space="preserve">preço </w:t>
      </w:r>
      <w:r w:rsidR="004D5990">
        <w:rPr>
          <w:rFonts w:ascii="Times New Roman" w:hAnsi="Times New Roman" w:cs="Times New Roman"/>
          <w:sz w:val="24"/>
          <w:szCs w:val="24"/>
        </w:rPr>
        <w:t>n</w:t>
      </w:r>
      <w:r w:rsidR="00667439" w:rsidRPr="00667439">
        <w:rPr>
          <w:rFonts w:ascii="Times New Roman" w:hAnsi="Times New Roman" w:cs="Times New Roman"/>
          <w:sz w:val="24"/>
          <w:szCs w:val="24"/>
        </w:rPr>
        <w:t>o varejo com 62,05%</w:t>
      </w:r>
      <w:r w:rsidR="00667439">
        <w:rPr>
          <w:rFonts w:ascii="Times New Roman" w:hAnsi="Times New Roman" w:cs="Times New Roman"/>
          <w:sz w:val="24"/>
          <w:szCs w:val="24"/>
        </w:rPr>
        <w:t>.</w:t>
      </w:r>
      <w:r w:rsidR="004D5990">
        <w:rPr>
          <w:rFonts w:ascii="Times New Roman" w:hAnsi="Times New Roman" w:cs="Times New Roman"/>
          <w:sz w:val="24"/>
          <w:szCs w:val="24"/>
        </w:rPr>
        <w:t xml:space="preserve"> Em relação aos preços pagos ao produtor, a explicação decorre da participação percentual de cada estado na produção nacional. Ou seja, mesmo Minas Gerais e Rio Grande Sul serem os maiores estados produtores, os outros três estados apresentam participações bem </w:t>
      </w:r>
      <w:r w:rsidR="0017469F">
        <w:rPr>
          <w:rFonts w:ascii="Times New Roman" w:hAnsi="Times New Roman" w:cs="Times New Roman"/>
          <w:sz w:val="24"/>
          <w:szCs w:val="24"/>
        </w:rPr>
        <w:t>significativas em termos percentuais indicando um alto grau de integração.</w:t>
      </w:r>
    </w:p>
    <w:p w:rsidR="008A0956" w:rsidRDefault="008A0956" w:rsidP="008A0956">
      <w:pPr>
        <w:pStyle w:val="PargrafodaLista"/>
        <w:numPr>
          <w:ilvl w:val="0"/>
          <w:numId w:val="1"/>
        </w:numPr>
        <w:spacing w:after="240" w:line="240" w:lineRule="auto"/>
        <w:jc w:val="both"/>
        <w:rPr>
          <w:rFonts w:ascii="Times New Roman" w:hAnsi="Times New Roman" w:cs="Times New Roman"/>
          <w:b/>
          <w:noProof/>
          <w:sz w:val="24"/>
          <w:szCs w:val="24"/>
          <w:lang w:eastAsia="pt-BR"/>
        </w:rPr>
      </w:pPr>
      <w:r w:rsidRPr="00001611">
        <w:rPr>
          <w:rFonts w:ascii="Times New Roman" w:hAnsi="Times New Roman" w:cs="Times New Roman"/>
          <w:b/>
          <w:noProof/>
          <w:sz w:val="24"/>
          <w:szCs w:val="24"/>
          <w:lang w:eastAsia="pt-BR"/>
        </w:rPr>
        <w:t>Conclusões</w:t>
      </w:r>
    </w:p>
    <w:p w:rsidR="00006143" w:rsidRDefault="00006143" w:rsidP="00006143">
      <w:pPr>
        <w:pStyle w:val="PargrafodaLista"/>
        <w:spacing w:after="240" w:line="240" w:lineRule="auto"/>
        <w:jc w:val="both"/>
        <w:rPr>
          <w:rFonts w:ascii="Times New Roman" w:hAnsi="Times New Roman" w:cs="Times New Roman"/>
          <w:b/>
          <w:noProof/>
          <w:sz w:val="24"/>
          <w:szCs w:val="24"/>
          <w:lang w:eastAsia="pt-BR"/>
        </w:rPr>
      </w:pPr>
    </w:p>
    <w:p w:rsidR="00006143" w:rsidRDefault="00951337"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Este artigo teve como objetivo identificar a transmissão de preços nos preços pagos ao produtor, atacado e varejo nos estados de Minas Gerais, Rio Grande do Sul, Paraná, Goiás e São Paulo no período de janeiro de 2007 até dezembro de 2018. Aplicando a metodologia do </w:t>
      </w:r>
      <w:r w:rsidRPr="00951337">
        <w:rPr>
          <w:rFonts w:ascii="Times New Roman" w:hAnsi="Times New Roman" w:cs="Times New Roman"/>
          <w:i/>
          <w:noProof/>
          <w:sz w:val="24"/>
          <w:szCs w:val="24"/>
          <w:lang w:eastAsia="pt-BR"/>
        </w:rPr>
        <w:t>spillover</w:t>
      </w:r>
      <w:r>
        <w:rPr>
          <w:rFonts w:ascii="Times New Roman" w:hAnsi="Times New Roman" w:cs="Times New Roman"/>
          <w:noProof/>
          <w:sz w:val="24"/>
          <w:szCs w:val="24"/>
          <w:lang w:eastAsia="pt-BR"/>
        </w:rPr>
        <w:t>, foram obtidos resultados importantes sobre a dinâmica de funcionamento dos mercados que merecem destaque.</w:t>
      </w:r>
    </w:p>
    <w:p w:rsidR="00D824BE" w:rsidRDefault="00951337"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Com relação aos preços pagos ao produtor, demonstrou-se que o estado de Minas Gerais </w:t>
      </w:r>
      <w:r w:rsidR="00BB379B">
        <w:rPr>
          <w:rFonts w:ascii="Times New Roman" w:hAnsi="Times New Roman" w:cs="Times New Roman"/>
          <w:noProof/>
          <w:sz w:val="24"/>
          <w:szCs w:val="24"/>
          <w:lang w:eastAsia="pt-BR"/>
        </w:rPr>
        <w:t>exerce maior poder sobre a formação de preços nos outros quatro estados.</w:t>
      </w:r>
      <w:r w:rsidR="00D824BE">
        <w:rPr>
          <w:rFonts w:ascii="Times New Roman" w:hAnsi="Times New Roman" w:cs="Times New Roman"/>
          <w:noProof/>
          <w:sz w:val="24"/>
          <w:szCs w:val="24"/>
          <w:lang w:eastAsia="pt-BR"/>
        </w:rPr>
        <w:t xml:space="preserve"> Essa constatação se deve ao estado ocupar a primeira posição na produção nacional com tradição na bovinocultara leiteira. Outro fato relevante é o papel do Rio Grande do Sul e Paraná possuindo efeito considerado sobre os preços dos outros estados, possivelmente devido ao papel como segundo e terceiro maior produtor</w:t>
      </w:r>
      <w:r w:rsidR="00A03235">
        <w:rPr>
          <w:rFonts w:ascii="Times New Roman" w:hAnsi="Times New Roman" w:cs="Times New Roman"/>
          <w:noProof/>
          <w:sz w:val="24"/>
          <w:szCs w:val="24"/>
          <w:lang w:eastAsia="pt-BR"/>
        </w:rPr>
        <w:t>es</w:t>
      </w:r>
      <w:r w:rsidR="00D824BE">
        <w:rPr>
          <w:rFonts w:ascii="Times New Roman" w:hAnsi="Times New Roman" w:cs="Times New Roman"/>
          <w:noProof/>
          <w:sz w:val="24"/>
          <w:szCs w:val="24"/>
          <w:lang w:eastAsia="pt-BR"/>
        </w:rPr>
        <w:t xml:space="preserve"> naciona</w:t>
      </w:r>
      <w:r w:rsidR="00A03235">
        <w:rPr>
          <w:rFonts w:ascii="Times New Roman" w:hAnsi="Times New Roman" w:cs="Times New Roman"/>
          <w:noProof/>
          <w:sz w:val="24"/>
          <w:szCs w:val="24"/>
          <w:lang w:eastAsia="pt-BR"/>
        </w:rPr>
        <w:t>is</w:t>
      </w:r>
      <w:r w:rsidR="00D824BE">
        <w:rPr>
          <w:rFonts w:ascii="Times New Roman" w:hAnsi="Times New Roman" w:cs="Times New Roman"/>
          <w:noProof/>
          <w:sz w:val="24"/>
          <w:szCs w:val="24"/>
          <w:lang w:eastAsia="pt-BR"/>
        </w:rPr>
        <w:t>.</w:t>
      </w:r>
      <w:r w:rsidR="0017469F">
        <w:rPr>
          <w:rFonts w:ascii="Times New Roman" w:hAnsi="Times New Roman" w:cs="Times New Roman"/>
          <w:noProof/>
          <w:sz w:val="24"/>
          <w:szCs w:val="24"/>
          <w:lang w:eastAsia="pt-BR"/>
        </w:rPr>
        <w:t xml:space="preserve"> Além disso, o índice spillover apresentou o maior valor dentre as três séries preços analisadas indicando uma elevada integração entre os estados selecionados.</w:t>
      </w:r>
    </w:p>
    <w:p w:rsidR="0071028D" w:rsidRDefault="00BB379B"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 </w:t>
      </w:r>
      <w:r w:rsidR="00A03235">
        <w:rPr>
          <w:rFonts w:ascii="Times New Roman" w:hAnsi="Times New Roman" w:cs="Times New Roman"/>
          <w:noProof/>
          <w:sz w:val="24"/>
          <w:szCs w:val="24"/>
          <w:lang w:eastAsia="pt-BR"/>
        </w:rPr>
        <w:t xml:space="preserve">Já nos preços no atacado, os destaques são os estados de Minas Gerais e São Paulo com forte influência na determinação de preços sobre os outros três estados. São Paulo, estado com a segunda maior quantidade de laticínios, recebe grandes quantidades de leite cru dos estados de Minas Gerais e Paraná onde o custo de produção é inferior a produção paulista. Do total de leite fluido </w:t>
      </w:r>
      <w:r w:rsidR="0071028D">
        <w:rPr>
          <w:rFonts w:ascii="Times New Roman" w:hAnsi="Times New Roman" w:cs="Times New Roman"/>
          <w:noProof/>
          <w:sz w:val="24"/>
          <w:szCs w:val="24"/>
          <w:lang w:eastAsia="pt-BR"/>
        </w:rPr>
        <w:t>inspecionado utilizado pelos laticiníos paulistas no ano de 2017, 40% foram oriundos de outros estados.</w:t>
      </w:r>
    </w:p>
    <w:p w:rsidR="001014AD" w:rsidRDefault="0071028D"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Por fim, analisando os preços no varejo, </w:t>
      </w:r>
      <w:r w:rsidR="001014AD">
        <w:rPr>
          <w:rFonts w:ascii="Times New Roman" w:hAnsi="Times New Roman" w:cs="Times New Roman"/>
          <w:noProof/>
          <w:sz w:val="24"/>
          <w:szCs w:val="24"/>
          <w:lang w:eastAsia="pt-BR"/>
        </w:rPr>
        <w:t>o estado de São Paulo exerceu maior poder explicativo na formação de preços dos outros estados. Além de possuir a maior margem relativsa total, é o maior mercado consumidor sendo o estado que possui  a maior renda per capita nacional. Outro fato relevante, é a taxa negativa de crescimento da produção paulista configurando um quadro de demanda maior que a oferta.</w:t>
      </w:r>
    </w:p>
    <w:p w:rsidR="00EF0B74" w:rsidRDefault="00EF0B74"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Todos os resultados expostos evidenciam o critério heterogêneo tanto da produção, comercialização e consumo nos mercados especificos. De fato, produtores, atacadistas e varejistas ficam disputando margens de lucros a cada ciclo durante o ano dificultando a previsão de cenários assim como a elaboração de políticas públicas.</w:t>
      </w:r>
    </w:p>
    <w:p w:rsidR="00A03235" w:rsidRDefault="001014AD" w:rsidP="00951337">
      <w:pPr>
        <w:pStyle w:val="PargrafodaLista"/>
        <w:spacing w:after="240" w:line="240" w:lineRule="auto"/>
        <w:ind w:left="709" w:firstLine="707"/>
        <w:jc w:val="both"/>
        <w:rPr>
          <w:rFonts w:ascii="Times New Roman" w:hAnsi="Times New Roman" w:cs="Times New Roman"/>
          <w:noProof/>
          <w:sz w:val="24"/>
          <w:szCs w:val="24"/>
          <w:lang w:eastAsia="pt-BR"/>
        </w:rPr>
      </w:pPr>
      <w:r>
        <w:rPr>
          <w:rFonts w:ascii="Times New Roman" w:hAnsi="Times New Roman" w:cs="Times New Roman"/>
          <w:noProof/>
          <w:sz w:val="24"/>
          <w:szCs w:val="24"/>
          <w:lang w:eastAsia="pt-BR"/>
        </w:rPr>
        <w:t xml:space="preserve"> </w:t>
      </w:r>
      <w:r w:rsidR="00A03235">
        <w:rPr>
          <w:rFonts w:ascii="Times New Roman" w:hAnsi="Times New Roman" w:cs="Times New Roman"/>
          <w:noProof/>
          <w:sz w:val="24"/>
          <w:szCs w:val="24"/>
          <w:lang w:eastAsia="pt-BR"/>
        </w:rPr>
        <w:t xml:space="preserve"> </w:t>
      </w:r>
    </w:p>
    <w:p w:rsidR="008A0956" w:rsidRPr="00001611" w:rsidRDefault="008A0956" w:rsidP="008A0956">
      <w:pPr>
        <w:pStyle w:val="PargrafodaLista"/>
        <w:numPr>
          <w:ilvl w:val="0"/>
          <w:numId w:val="1"/>
        </w:numPr>
        <w:spacing w:after="240" w:line="240" w:lineRule="auto"/>
        <w:jc w:val="both"/>
        <w:rPr>
          <w:rFonts w:ascii="Times New Roman" w:hAnsi="Times New Roman" w:cs="Times New Roman"/>
          <w:b/>
          <w:noProof/>
          <w:sz w:val="24"/>
          <w:szCs w:val="24"/>
          <w:lang w:eastAsia="pt-BR"/>
        </w:rPr>
      </w:pPr>
      <w:r w:rsidRPr="00001611">
        <w:rPr>
          <w:rFonts w:ascii="Times New Roman" w:hAnsi="Times New Roman" w:cs="Times New Roman"/>
          <w:b/>
          <w:noProof/>
          <w:sz w:val="24"/>
          <w:szCs w:val="24"/>
          <w:lang w:eastAsia="pt-BR"/>
        </w:rPr>
        <w:t>Referências</w:t>
      </w:r>
    </w:p>
    <w:p w:rsidR="00094B7C" w:rsidRDefault="00094B7C" w:rsidP="0056352F">
      <w:pPr>
        <w:spacing w:after="240" w:line="240" w:lineRule="auto"/>
        <w:ind w:left="709"/>
        <w:jc w:val="both"/>
        <w:rPr>
          <w:rFonts w:ascii="Times New Roman" w:hAnsi="Times New Roman" w:cs="Times New Roman"/>
          <w:sz w:val="24"/>
          <w:szCs w:val="24"/>
        </w:rPr>
      </w:pPr>
      <w:r w:rsidRPr="00094B7C">
        <w:rPr>
          <w:rFonts w:ascii="Times New Roman" w:hAnsi="Times New Roman" w:cs="Times New Roman"/>
          <w:sz w:val="24"/>
          <w:szCs w:val="24"/>
        </w:rPr>
        <w:t>BACARJI, G.A.; HALL, J.R.; ZANON, H. Os impactos da Sazonalidade da prod</w:t>
      </w:r>
      <w:r w:rsidR="0056352F">
        <w:rPr>
          <w:rFonts w:ascii="Times New Roman" w:hAnsi="Times New Roman" w:cs="Times New Roman"/>
          <w:sz w:val="24"/>
          <w:szCs w:val="24"/>
        </w:rPr>
        <w:t xml:space="preserve">ução de Leite numa Industria de </w:t>
      </w:r>
      <w:r w:rsidRPr="00094B7C">
        <w:rPr>
          <w:rFonts w:ascii="Times New Roman" w:hAnsi="Times New Roman" w:cs="Times New Roman"/>
          <w:sz w:val="24"/>
          <w:szCs w:val="24"/>
        </w:rPr>
        <w:t xml:space="preserve">Laticínio no Estado de Mato Grosso do Sul. Universidade para o Desenvolvimento do Estado e da </w:t>
      </w:r>
      <w:r w:rsidR="0056352F">
        <w:rPr>
          <w:rFonts w:ascii="Times New Roman" w:hAnsi="Times New Roman" w:cs="Times New Roman"/>
          <w:sz w:val="24"/>
          <w:szCs w:val="24"/>
        </w:rPr>
        <w:t xml:space="preserve">Região do </w:t>
      </w:r>
      <w:r w:rsidRPr="00094B7C">
        <w:rPr>
          <w:rFonts w:ascii="Times New Roman" w:hAnsi="Times New Roman" w:cs="Times New Roman"/>
          <w:sz w:val="24"/>
          <w:szCs w:val="24"/>
        </w:rPr>
        <w:t>Pantanal (UNIDERP)</w:t>
      </w:r>
      <w:r w:rsidR="0056352F">
        <w:rPr>
          <w:rFonts w:ascii="Times New Roman" w:hAnsi="Times New Roman" w:cs="Times New Roman"/>
          <w:sz w:val="24"/>
          <w:szCs w:val="24"/>
        </w:rPr>
        <w:t>, Faculdade de Dourados – FAD/IESD</w:t>
      </w:r>
      <w:r w:rsidRPr="00094B7C">
        <w:rPr>
          <w:rFonts w:ascii="Times New Roman" w:hAnsi="Times New Roman" w:cs="Times New Roman"/>
          <w:sz w:val="24"/>
          <w:szCs w:val="24"/>
        </w:rPr>
        <w:t>– Dourados, M</w:t>
      </w:r>
      <w:r w:rsidR="0056352F">
        <w:rPr>
          <w:rFonts w:ascii="Times New Roman" w:hAnsi="Times New Roman" w:cs="Times New Roman"/>
          <w:sz w:val="24"/>
          <w:szCs w:val="24"/>
        </w:rPr>
        <w:t xml:space="preserve">S, Brasil. 2007. Disponível em: </w:t>
      </w:r>
      <w:r w:rsidRPr="00094B7C">
        <w:rPr>
          <w:rFonts w:ascii="Times New Roman" w:hAnsi="Times New Roman" w:cs="Times New Roman"/>
          <w:sz w:val="24"/>
          <w:szCs w:val="24"/>
        </w:rPr>
        <w:t>http://www.aedb.br/seg</w:t>
      </w:r>
      <w:r w:rsidR="0056352F">
        <w:rPr>
          <w:rFonts w:ascii="Times New Roman" w:hAnsi="Times New Roman" w:cs="Times New Roman"/>
          <w:sz w:val="24"/>
          <w:szCs w:val="24"/>
        </w:rPr>
        <w:t>et/arquivos/artigos07/757_19-</w:t>
      </w:r>
      <w:r w:rsidRPr="00094B7C">
        <w:rPr>
          <w:rFonts w:ascii="Times New Roman" w:hAnsi="Times New Roman" w:cs="Times New Roman"/>
          <w:sz w:val="24"/>
          <w:szCs w:val="24"/>
        </w:rPr>
        <w:t>07_Artigo%20Seg</w:t>
      </w:r>
      <w:r w:rsidR="0056352F">
        <w:rPr>
          <w:rFonts w:ascii="Times New Roman" w:hAnsi="Times New Roman" w:cs="Times New Roman"/>
          <w:sz w:val="24"/>
          <w:szCs w:val="24"/>
        </w:rPr>
        <w:t xml:space="preserve">et_aprovado_poster.pdf&gt;. Acesso </w:t>
      </w:r>
      <w:r w:rsidRPr="00094B7C">
        <w:rPr>
          <w:rFonts w:ascii="Times New Roman" w:hAnsi="Times New Roman" w:cs="Times New Roman"/>
          <w:sz w:val="24"/>
          <w:szCs w:val="24"/>
        </w:rPr>
        <w:t xml:space="preserve">em </w:t>
      </w:r>
      <w:r w:rsidR="0056352F">
        <w:rPr>
          <w:rFonts w:ascii="Times New Roman" w:hAnsi="Times New Roman" w:cs="Times New Roman"/>
          <w:sz w:val="24"/>
          <w:szCs w:val="24"/>
        </w:rPr>
        <w:t>julho de 2019.</w:t>
      </w:r>
    </w:p>
    <w:p w:rsidR="0056352F" w:rsidRDefault="0056352F"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BORGES M.S.</w:t>
      </w:r>
      <w:r w:rsidRPr="00564F09">
        <w:rPr>
          <w:rFonts w:ascii="Times New Roman" w:hAnsi="Times New Roman" w:cs="Times New Roman"/>
          <w:sz w:val="24"/>
          <w:szCs w:val="24"/>
        </w:rPr>
        <w:t>;</w:t>
      </w:r>
      <w:r>
        <w:rPr>
          <w:rFonts w:ascii="Times New Roman" w:hAnsi="Times New Roman" w:cs="Times New Roman"/>
          <w:sz w:val="24"/>
          <w:szCs w:val="24"/>
        </w:rPr>
        <w:t xml:space="preserve"> CASTRO M.C.D.</w:t>
      </w:r>
      <w:r w:rsidRPr="00564F09">
        <w:rPr>
          <w:rFonts w:ascii="Times New Roman" w:hAnsi="Times New Roman" w:cs="Times New Roman"/>
          <w:sz w:val="24"/>
          <w:szCs w:val="24"/>
        </w:rPr>
        <w:t>;</w:t>
      </w:r>
      <w:r>
        <w:rPr>
          <w:rFonts w:ascii="Times New Roman" w:hAnsi="Times New Roman" w:cs="Times New Roman"/>
          <w:sz w:val="24"/>
          <w:szCs w:val="24"/>
        </w:rPr>
        <w:t xml:space="preserve"> GUEDES, C.A.M. e ALIMONDA, H.A.</w:t>
      </w:r>
      <w:r w:rsidRPr="00DA37CF">
        <w:t xml:space="preserve"> </w:t>
      </w:r>
      <w:r w:rsidRPr="00DA37CF">
        <w:rPr>
          <w:rFonts w:ascii="Times New Roman" w:hAnsi="Times New Roman" w:cs="Times New Roman"/>
          <w:sz w:val="24"/>
          <w:szCs w:val="24"/>
        </w:rPr>
        <w:t xml:space="preserve">Modernização, Trabalho e Produtividade </w:t>
      </w:r>
      <w:r>
        <w:rPr>
          <w:rFonts w:ascii="Times New Roman" w:hAnsi="Times New Roman" w:cs="Times New Roman"/>
          <w:sz w:val="24"/>
          <w:szCs w:val="24"/>
        </w:rPr>
        <w:t xml:space="preserve">na Pequena Produção Leiteira na </w:t>
      </w:r>
      <w:r w:rsidRPr="00DA37CF">
        <w:rPr>
          <w:rFonts w:ascii="Times New Roman" w:hAnsi="Times New Roman" w:cs="Times New Roman"/>
          <w:sz w:val="24"/>
          <w:szCs w:val="24"/>
        </w:rPr>
        <w:t>Argentina e no Brasil</w:t>
      </w:r>
      <w:r>
        <w:rPr>
          <w:rFonts w:ascii="Times New Roman" w:hAnsi="Times New Roman" w:cs="Times New Roman"/>
          <w:sz w:val="24"/>
          <w:szCs w:val="24"/>
        </w:rPr>
        <w:t xml:space="preserve">. </w:t>
      </w:r>
      <w:r w:rsidRPr="00DA37CF">
        <w:rPr>
          <w:rFonts w:ascii="Times New Roman" w:hAnsi="Times New Roman" w:cs="Times New Roman"/>
          <w:sz w:val="24"/>
          <w:szCs w:val="24"/>
        </w:rPr>
        <w:t>Revista ADM.MADE, Rio de Janeiro, ano 14, v.18, n.1, p.12-31, janeiro/abril, 2014</w:t>
      </w:r>
      <w:r>
        <w:rPr>
          <w:rFonts w:ascii="Times New Roman" w:hAnsi="Times New Roman" w:cs="Times New Roman"/>
          <w:sz w:val="24"/>
          <w:szCs w:val="24"/>
        </w:rPr>
        <w:t>.</w:t>
      </w:r>
    </w:p>
    <w:p w:rsidR="0056352F" w:rsidRDefault="0056352F" w:rsidP="0056352F">
      <w:pPr>
        <w:spacing w:after="240" w:line="240" w:lineRule="auto"/>
        <w:ind w:left="709"/>
        <w:jc w:val="both"/>
        <w:rPr>
          <w:rFonts w:ascii="Times New Roman" w:hAnsi="Times New Roman" w:cs="Times New Roman"/>
          <w:sz w:val="24"/>
          <w:szCs w:val="24"/>
        </w:rPr>
      </w:pPr>
      <w:r w:rsidRPr="00094B7C">
        <w:rPr>
          <w:rFonts w:ascii="Times New Roman" w:hAnsi="Times New Roman" w:cs="Times New Roman"/>
          <w:sz w:val="24"/>
          <w:szCs w:val="24"/>
          <w:shd w:val="clear" w:color="auto" w:fill="FFFFFF"/>
        </w:rPr>
        <w:t>CARVALHAES, G., CUNHA, C., WANDER, A. Margem de comercialização do leite em Goiás. </w:t>
      </w:r>
      <w:r w:rsidRPr="00094B7C">
        <w:rPr>
          <w:rStyle w:val="Forte"/>
          <w:rFonts w:ascii="Times New Roman" w:hAnsi="Times New Roman" w:cs="Times New Roman"/>
          <w:b w:val="0"/>
          <w:sz w:val="24"/>
          <w:szCs w:val="24"/>
          <w:shd w:val="clear" w:color="auto" w:fill="FFFFFF"/>
        </w:rPr>
        <w:t>Revista de Política Agrícola</w:t>
      </w:r>
      <w:r w:rsidRPr="00094B7C">
        <w:rPr>
          <w:rFonts w:ascii="Times New Roman" w:hAnsi="Times New Roman" w:cs="Times New Roman"/>
          <w:sz w:val="24"/>
          <w:szCs w:val="24"/>
          <w:shd w:val="clear" w:color="auto" w:fill="FFFFFF"/>
        </w:rPr>
        <w:t>, 24, mai. 2015. Disponível em: &lt;</w:t>
      </w:r>
      <w:hyperlink r:id="rId23" w:tgtFrame="_new" w:history="1">
        <w:r w:rsidRPr="00094B7C">
          <w:rPr>
            <w:rStyle w:val="Hyperlink"/>
            <w:rFonts w:ascii="Times New Roman" w:hAnsi="Times New Roman" w:cs="Times New Roman"/>
            <w:color w:val="auto"/>
            <w:sz w:val="24"/>
            <w:szCs w:val="24"/>
            <w:u w:val="none"/>
            <w:shd w:val="clear" w:color="auto" w:fill="FFFFFF"/>
          </w:rPr>
          <w:t>https://seer.sede.embrapa.br/index.php/RPA/article/view/965</w:t>
        </w:r>
      </w:hyperlink>
      <w:r w:rsidRPr="00094B7C">
        <w:rPr>
          <w:rFonts w:ascii="Times New Roman" w:hAnsi="Times New Roman" w:cs="Times New Roman"/>
          <w:sz w:val="24"/>
          <w:szCs w:val="24"/>
          <w:shd w:val="clear" w:color="auto" w:fill="FFFFFF"/>
        </w:rPr>
        <w:t>&gt;. Acesso em</w:t>
      </w:r>
      <w:r>
        <w:rPr>
          <w:rFonts w:ascii="Times New Roman" w:hAnsi="Times New Roman" w:cs="Times New Roman"/>
          <w:sz w:val="24"/>
          <w:szCs w:val="24"/>
          <w:shd w:val="clear" w:color="auto" w:fill="FFFFFF"/>
        </w:rPr>
        <w:t xml:space="preserve"> julho de</w:t>
      </w:r>
      <w:r w:rsidRPr="00094B7C">
        <w:rPr>
          <w:rFonts w:ascii="Times New Roman" w:hAnsi="Times New Roman" w:cs="Times New Roman"/>
          <w:sz w:val="24"/>
          <w:szCs w:val="24"/>
          <w:shd w:val="clear" w:color="auto" w:fill="FFFFFF"/>
        </w:rPr>
        <w:t xml:space="preserve"> 2019.</w:t>
      </w:r>
    </w:p>
    <w:p w:rsidR="0056352F" w:rsidRDefault="0056352F" w:rsidP="0056352F">
      <w:pPr>
        <w:spacing w:after="240" w:line="240" w:lineRule="auto"/>
        <w:ind w:left="709"/>
        <w:jc w:val="both"/>
        <w:rPr>
          <w:rFonts w:ascii="Times New Roman" w:hAnsi="Times New Roman" w:cs="Times New Roman"/>
          <w:sz w:val="24"/>
          <w:szCs w:val="24"/>
        </w:rPr>
      </w:pPr>
      <w:r w:rsidRPr="00E94669">
        <w:rPr>
          <w:rFonts w:ascii="Times New Roman" w:hAnsi="Times New Roman" w:cs="Times New Roman"/>
          <w:sz w:val="24"/>
          <w:szCs w:val="24"/>
        </w:rPr>
        <w:t>D</w:t>
      </w:r>
      <w:r>
        <w:rPr>
          <w:rFonts w:ascii="Times New Roman" w:hAnsi="Times New Roman" w:cs="Times New Roman"/>
          <w:sz w:val="24"/>
          <w:szCs w:val="24"/>
        </w:rPr>
        <w:t>IEBOLD</w:t>
      </w:r>
      <w:r w:rsidRPr="00E94669">
        <w:rPr>
          <w:rFonts w:ascii="Times New Roman" w:hAnsi="Times New Roman" w:cs="Times New Roman"/>
          <w:sz w:val="24"/>
          <w:szCs w:val="24"/>
        </w:rPr>
        <w:t xml:space="preserve">, F.X. </w:t>
      </w:r>
      <w:r>
        <w:rPr>
          <w:rFonts w:ascii="Times New Roman" w:hAnsi="Times New Roman" w:cs="Times New Roman"/>
          <w:sz w:val="24"/>
          <w:szCs w:val="24"/>
        </w:rPr>
        <w:t>e</w:t>
      </w:r>
      <w:r w:rsidRPr="00E94669">
        <w:rPr>
          <w:rFonts w:ascii="Times New Roman" w:hAnsi="Times New Roman" w:cs="Times New Roman"/>
          <w:sz w:val="24"/>
          <w:szCs w:val="24"/>
        </w:rPr>
        <w:t xml:space="preserve"> Y</w:t>
      </w:r>
      <w:r>
        <w:rPr>
          <w:rFonts w:ascii="Times New Roman" w:hAnsi="Times New Roman" w:cs="Times New Roman"/>
          <w:sz w:val="24"/>
          <w:szCs w:val="24"/>
        </w:rPr>
        <w:t>ILMAZ</w:t>
      </w:r>
      <w:r w:rsidRPr="00E94669">
        <w:rPr>
          <w:rFonts w:ascii="Times New Roman" w:hAnsi="Times New Roman" w:cs="Times New Roman"/>
          <w:sz w:val="24"/>
          <w:szCs w:val="24"/>
        </w:rPr>
        <w:t>, K.  Measuring Financial Asset Return and Volatility Spillovers, With Application to Global Equity Markets</w:t>
      </w:r>
      <w:r>
        <w:rPr>
          <w:rFonts w:ascii="Times New Roman" w:hAnsi="Times New Roman" w:cs="Times New Roman"/>
          <w:sz w:val="24"/>
          <w:szCs w:val="24"/>
        </w:rPr>
        <w:t>. Economic Journal, 119, 158-171, 2009.</w:t>
      </w:r>
    </w:p>
    <w:p w:rsidR="0056352F" w:rsidRDefault="0056352F" w:rsidP="0056352F">
      <w:pPr>
        <w:spacing w:after="240" w:line="240" w:lineRule="auto"/>
        <w:ind w:left="709"/>
        <w:jc w:val="both"/>
        <w:rPr>
          <w:rFonts w:ascii="Times New Roman" w:hAnsi="Times New Roman" w:cs="Times New Roman"/>
          <w:sz w:val="24"/>
          <w:szCs w:val="24"/>
        </w:rPr>
      </w:pPr>
      <w:r w:rsidRPr="00E94669">
        <w:rPr>
          <w:rFonts w:ascii="Times New Roman" w:hAnsi="Times New Roman" w:cs="Times New Roman"/>
          <w:sz w:val="24"/>
          <w:szCs w:val="24"/>
        </w:rPr>
        <w:t>D</w:t>
      </w:r>
      <w:r>
        <w:rPr>
          <w:rFonts w:ascii="Times New Roman" w:hAnsi="Times New Roman" w:cs="Times New Roman"/>
          <w:sz w:val="24"/>
          <w:szCs w:val="24"/>
        </w:rPr>
        <w:t>IEBOLD</w:t>
      </w:r>
      <w:r w:rsidRPr="00E94669">
        <w:rPr>
          <w:rFonts w:ascii="Times New Roman" w:hAnsi="Times New Roman" w:cs="Times New Roman"/>
          <w:sz w:val="24"/>
          <w:szCs w:val="24"/>
        </w:rPr>
        <w:t xml:space="preserve">, F.X. </w:t>
      </w:r>
      <w:r>
        <w:rPr>
          <w:rFonts w:ascii="Times New Roman" w:hAnsi="Times New Roman" w:cs="Times New Roman"/>
          <w:sz w:val="24"/>
          <w:szCs w:val="24"/>
        </w:rPr>
        <w:t>e</w:t>
      </w:r>
      <w:r w:rsidRPr="00E94669">
        <w:rPr>
          <w:rFonts w:ascii="Times New Roman" w:hAnsi="Times New Roman" w:cs="Times New Roman"/>
          <w:sz w:val="24"/>
          <w:szCs w:val="24"/>
        </w:rPr>
        <w:t xml:space="preserve"> Y</w:t>
      </w:r>
      <w:r>
        <w:rPr>
          <w:rFonts w:ascii="Times New Roman" w:hAnsi="Times New Roman" w:cs="Times New Roman"/>
          <w:sz w:val="24"/>
          <w:szCs w:val="24"/>
        </w:rPr>
        <w:t>ILMAZ</w:t>
      </w:r>
      <w:r w:rsidRPr="00E94669">
        <w:rPr>
          <w:rFonts w:ascii="Times New Roman" w:hAnsi="Times New Roman" w:cs="Times New Roman"/>
          <w:sz w:val="24"/>
          <w:szCs w:val="24"/>
        </w:rPr>
        <w:t>, K</w:t>
      </w:r>
      <w:r>
        <w:rPr>
          <w:rFonts w:ascii="Times New Roman" w:hAnsi="Times New Roman" w:cs="Times New Roman"/>
          <w:sz w:val="24"/>
          <w:szCs w:val="24"/>
        </w:rPr>
        <w:t>.</w:t>
      </w:r>
      <w:r w:rsidRPr="00E94669">
        <w:rPr>
          <w:rFonts w:ascii="Times New Roman" w:hAnsi="Times New Roman" w:cs="Times New Roman"/>
          <w:sz w:val="24"/>
          <w:szCs w:val="24"/>
        </w:rPr>
        <w:t xml:space="preserve"> Better to Give than to Receive: Forecast-Based Measurement of Volatility Spillovers</w:t>
      </w:r>
      <w:r>
        <w:rPr>
          <w:rFonts w:ascii="Times New Roman" w:hAnsi="Times New Roman" w:cs="Times New Roman"/>
          <w:sz w:val="24"/>
          <w:szCs w:val="24"/>
        </w:rPr>
        <w:t xml:space="preserve">. </w:t>
      </w:r>
      <w:r w:rsidRPr="00E94669">
        <w:rPr>
          <w:rFonts w:ascii="Times New Roman" w:hAnsi="Times New Roman" w:cs="Times New Roman"/>
          <w:sz w:val="24"/>
          <w:szCs w:val="24"/>
        </w:rPr>
        <w:t>International Journal of Forecasting, 28(1), 57-66</w:t>
      </w:r>
      <w:r>
        <w:rPr>
          <w:rFonts w:ascii="Times New Roman" w:hAnsi="Times New Roman" w:cs="Times New Roman"/>
          <w:sz w:val="24"/>
          <w:szCs w:val="24"/>
        </w:rPr>
        <w:t>, 2012.</w:t>
      </w:r>
    </w:p>
    <w:p w:rsidR="0056352F" w:rsidRDefault="0056352F" w:rsidP="0056352F">
      <w:pPr>
        <w:spacing w:after="240" w:line="240" w:lineRule="auto"/>
        <w:ind w:left="709"/>
        <w:jc w:val="both"/>
        <w:rPr>
          <w:rFonts w:ascii="Times New Roman" w:hAnsi="Times New Roman" w:cs="Times New Roman"/>
          <w:sz w:val="24"/>
          <w:szCs w:val="24"/>
        </w:rPr>
      </w:pPr>
      <w:r w:rsidRPr="00E94669">
        <w:rPr>
          <w:rFonts w:ascii="Times New Roman" w:hAnsi="Times New Roman" w:cs="Times New Roman"/>
          <w:sz w:val="24"/>
          <w:szCs w:val="24"/>
        </w:rPr>
        <w:t>D</w:t>
      </w:r>
      <w:r>
        <w:rPr>
          <w:rFonts w:ascii="Times New Roman" w:hAnsi="Times New Roman" w:cs="Times New Roman"/>
          <w:sz w:val="24"/>
          <w:szCs w:val="24"/>
        </w:rPr>
        <w:t>IEBOLD</w:t>
      </w:r>
      <w:r w:rsidRPr="00E94669">
        <w:rPr>
          <w:rFonts w:ascii="Times New Roman" w:hAnsi="Times New Roman" w:cs="Times New Roman"/>
          <w:sz w:val="24"/>
          <w:szCs w:val="24"/>
        </w:rPr>
        <w:t xml:space="preserve">, F.X. </w:t>
      </w:r>
      <w:r>
        <w:rPr>
          <w:rFonts w:ascii="Times New Roman" w:hAnsi="Times New Roman" w:cs="Times New Roman"/>
          <w:sz w:val="24"/>
          <w:szCs w:val="24"/>
        </w:rPr>
        <w:t>e</w:t>
      </w:r>
      <w:r w:rsidRPr="00E94669">
        <w:rPr>
          <w:rFonts w:ascii="Times New Roman" w:hAnsi="Times New Roman" w:cs="Times New Roman"/>
          <w:sz w:val="24"/>
          <w:szCs w:val="24"/>
        </w:rPr>
        <w:t xml:space="preserve"> Y</w:t>
      </w:r>
      <w:r>
        <w:rPr>
          <w:rFonts w:ascii="Times New Roman" w:hAnsi="Times New Roman" w:cs="Times New Roman"/>
          <w:sz w:val="24"/>
          <w:szCs w:val="24"/>
        </w:rPr>
        <w:t>ILMAZ</w:t>
      </w:r>
      <w:r w:rsidRPr="00E94669">
        <w:rPr>
          <w:rFonts w:ascii="Times New Roman" w:hAnsi="Times New Roman" w:cs="Times New Roman"/>
          <w:sz w:val="24"/>
          <w:szCs w:val="24"/>
        </w:rPr>
        <w:t>, K</w:t>
      </w:r>
      <w:r>
        <w:rPr>
          <w:rFonts w:ascii="Times New Roman" w:hAnsi="Times New Roman" w:cs="Times New Roman"/>
          <w:sz w:val="24"/>
          <w:szCs w:val="24"/>
        </w:rPr>
        <w:t>.</w:t>
      </w:r>
      <w:r w:rsidRPr="00E94669">
        <w:rPr>
          <w:rFonts w:ascii="Times New Roman" w:hAnsi="Times New Roman" w:cs="Times New Roman"/>
          <w:sz w:val="24"/>
          <w:szCs w:val="24"/>
        </w:rPr>
        <w:t xml:space="preserve"> On the Network Topology of Variance Decompositions: Measuring the Connectedness of Financial Firms</w:t>
      </w:r>
      <w:r>
        <w:rPr>
          <w:rFonts w:ascii="Times New Roman" w:hAnsi="Times New Roman" w:cs="Times New Roman"/>
          <w:sz w:val="24"/>
          <w:szCs w:val="24"/>
        </w:rPr>
        <w:t>.</w:t>
      </w:r>
      <w:r w:rsidRPr="00E94669">
        <w:rPr>
          <w:rFonts w:ascii="Times New Roman" w:hAnsi="Times New Roman" w:cs="Times New Roman"/>
          <w:sz w:val="24"/>
          <w:szCs w:val="24"/>
        </w:rPr>
        <w:t xml:space="preserve"> Journal o</w:t>
      </w:r>
      <w:r>
        <w:rPr>
          <w:rFonts w:ascii="Times New Roman" w:hAnsi="Times New Roman" w:cs="Times New Roman"/>
          <w:sz w:val="24"/>
          <w:szCs w:val="24"/>
        </w:rPr>
        <w:t>f Econometrics, 182(1), 119-134, 2014.</w:t>
      </w:r>
    </w:p>
    <w:p w:rsidR="0056352F" w:rsidRDefault="0056352F" w:rsidP="0056352F">
      <w:pPr>
        <w:spacing w:after="240" w:line="240" w:lineRule="auto"/>
        <w:ind w:left="709"/>
        <w:jc w:val="both"/>
        <w:rPr>
          <w:rFonts w:ascii="Times New Roman" w:hAnsi="Times New Roman" w:cs="Times New Roman"/>
          <w:sz w:val="24"/>
          <w:szCs w:val="24"/>
        </w:rPr>
      </w:pPr>
      <w:r w:rsidRPr="00F9201F">
        <w:rPr>
          <w:rFonts w:ascii="Times New Roman" w:hAnsi="Times New Roman" w:cs="Times New Roman"/>
          <w:sz w:val="24"/>
          <w:szCs w:val="24"/>
        </w:rPr>
        <w:t>FERNANDES, R. A. S.; BRAGA, M. J.; LIMA, J. E. DE. Elasticidade de transmissão e formação espacial de preços de leite ao produtor nos maiores estados produtores. Revista de Economia e Administração, v. 9, n. 3, p. 368–385, 2010.</w:t>
      </w:r>
    </w:p>
    <w:p w:rsidR="0056352F" w:rsidRDefault="0056352F"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FERREIRA, P. G. C. Modelo vetorial autoregressivo. Análise de séries temporais em R: curso introdutório. 1. ed. – Rio de Janeiro: Elsevier: FGV IBRE, 2018.</w:t>
      </w:r>
    </w:p>
    <w:p w:rsidR="00AA74F7" w:rsidRDefault="00AA74F7"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GHOBRIL, C. N.; BUENO </w:t>
      </w:r>
      <w:r w:rsidRPr="00AA74F7">
        <w:rPr>
          <w:rFonts w:ascii="Times New Roman" w:hAnsi="Times New Roman" w:cs="Times New Roman"/>
          <w:sz w:val="24"/>
          <w:szCs w:val="24"/>
        </w:rPr>
        <w:t>C</w:t>
      </w:r>
      <w:r>
        <w:rPr>
          <w:rFonts w:ascii="Times New Roman" w:hAnsi="Times New Roman" w:cs="Times New Roman"/>
          <w:sz w:val="24"/>
          <w:szCs w:val="24"/>
        </w:rPr>
        <w:t>.</w:t>
      </w:r>
      <w:r w:rsidRPr="00AA74F7">
        <w:rPr>
          <w:rFonts w:ascii="Times New Roman" w:hAnsi="Times New Roman" w:cs="Times New Roman"/>
          <w:sz w:val="24"/>
          <w:szCs w:val="24"/>
        </w:rPr>
        <w:t xml:space="preserve"> R</w:t>
      </w:r>
      <w:r>
        <w:rPr>
          <w:rFonts w:ascii="Times New Roman" w:hAnsi="Times New Roman" w:cs="Times New Roman"/>
          <w:sz w:val="24"/>
          <w:szCs w:val="24"/>
        </w:rPr>
        <w:t>.</w:t>
      </w:r>
      <w:r w:rsidRPr="00AA74F7">
        <w:rPr>
          <w:rFonts w:ascii="Times New Roman" w:hAnsi="Times New Roman" w:cs="Times New Roman"/>
          <w:sz w:val="24"/>
          <w:szCs w:val="24"/>
        </w:rPr>
        <w:t xml:space="preserve"> F</w:t>
      </w:r>
      <w:r>
        <w:rPr>
          <w:rFonts w:ascii="Times New Roman" w:hAnsi="Times New Roman" w:cs="Times New Roman"/>
          <w:sz w:val="24"/>
          <w:szCs w:val="24"/>
        </w:rPr>
        <w:t>.;</w:t>
      </w:r>
      <w:r w:rsidRPr="00AA74F7">
        <w:rPr>
          <w:rFonts w:ascii="Times New Roman" w:hAnsi="Times New Roman" w:cs="Times New Roman"/>
          <w:sz w:val="24"/>
          <w:szCs w:val="24"/>
        </w:rPr>
        <w:t xml:space="preserve"> </w:t>
      </w:r>
      <w:r>
        <w:rPr>
          <w:rFonts w:ascii="Times New Roman" w:hAnsi="Times New Roman" w:cs="Times New Roman"/>
          <w:sz w:val="24"/>
          <w:szCs w:val="24"/>
        </w:rPr>
        <w:t xml:space="preserve">SILVA </w:t>
      </w:r>
      <w:r w:rsidRPr="00AA74F7">
        <w:rPr>
          <w:rFonts w:ascii="Times New Roman" w:hAnsi="Times New Roman" w:cs="Times New Roman"/>
          <w:sz w:val="24"/>
          <w:szCs w:val="24"/>
        </w:rPr>
        <w:t>R</w:t>
      </w:r>
      <w:r>
        <w:rPr>
          <w:rFonts w:ascii="Times New Roman" w:hAnsi="Times New Roman" w:cs="Times New Roman"/>
          <w:sz w:val="24"/>
          <w:szCs w:val="24"/>
        </w:rPr>
        <w:t>.</w:t>
      </w:r>
      <w:r w:rsidRPr="00AA74F7">
        <w:rPr>
          <w:rFonts w:ascii="Times New Roman" w:hAnsi="Times New Roman" w:cs="Times New Roman"/>
          <w:sz w:val="24"/>
          <w:szCs w:val="24"/>
        </w:rPr>
        <w:t xml:space="preserve"> O</w:t>
      </w:r>
      <w:r>
        <w:rPr>
          <w:rFonts w:ascii="Times New Roman" w:hAnsi="Times New Roman" w:cs="Times New Roman"/>
          <w:sz w:val="24"/>
          <w:szCs w:val="24"/>
        </w:rPr>
        <w:t xml:space="preserve">. </w:t>
      </w:r>
      <w:r w:rsidRPr="00AA74F7">
        <w:rPr>
          <w:rFonts w:ascii="Times New Roman" w:hAnsi="Times New Roman" w:cs="Times New Roman"/>
          <w:sz w:val="24"/>
          <w:szCs w:val="24"/>
        </w:rPr>
        <w:t>P</w:t>
      </w:r>
      <w:r>
        <w:rPr>
          <w:rFonts w:ascii="Times New Roman" w:hAnsi="Times New Roman" w:cs="Times New Roman"/>
          <w:sz w:val="24"/>
          <w:szCs w:val="24"/>
        </w:rPr>
        <w:t>.</w:t>
      </w:r>
      <w:r w:rsidRPr="00AA74F7">
        <w:rPr>
          <w:rFonts w:ascii="Times New Roman" w:hAnsi="Times New Roman" w:cs="Times New Roman"/>
          <w:sz w:val="24"/>
          <w:szCs w:val="24"/>
        </w:rPr>
        <w:t xml:space="preserve"> Diagnóstico da Produção e Consumo de Leite no Estado de São Paulo</w:t>
      </w:r>
      <w:r>
        <w:rPr>
          <w:rFonts w:ascii="Times New Roman" w:hAnsi="Times New Roman" w:cs="Times New Roman"/>
          <w:sz w:val="24"/>
          <w:szCs w:val="24"/>
        </w:rPr>
        <w:t xml:space="preserve">. </w:t>
      </w:r>
      <w:r w:rsidRPr="00AA74F7">
        <w:rPr>
          <w:rFonts w:ascii="Times New Roman" w:hAnsi="Times New Roman" w:cs="Times New Roman"/>
          <w:sz w:val="24"/>
          <w:szCs w:val="24"/>
        </w:rPr>
        <w:t>nstituto de Economia Agrícola (IEA)</w:t>
      </w:r>
      <w:r>
        <w:rPr>
          <w:rFonts w:ascii="Times New Roman" w:hAnsi="Times New Roman" w:cs="Times New Roman"/>
          <w:sz w:val="24"/>
          <w:szCs w:val="24"/>
        </w:rPr>
        <w:t>, 2018.</w:t>
      </w:r>
    </w:p>
    <w:p w:rsidR="00AA74F7" w:rsidRDefault="00AA74F7" w:rsidP="00AA74F7">
      <w:pPr>
        <w:spacing w:after="240" w:line="240" w:lineRule="auto"/>
        <w:ind w:left="709"/>
        <w:jc w:val="both"/>
        <w:rPr>
          <w:rFonts w:ascii="Times New Roman" w:hAnsi="Times New Roman" w:cs="Times New Roman"/>
          <w:sz w:val="24"/>
          <w:szCs w:val="24"/>
        </w:rPr>
      </w:pPr>
      <w:r w:rsidRPr="004363AE">
        <w:rPr>
          <w:rFonts w:ascii="Times New Roman" w:hAnsi="Times New Roman" w:cs="Times New Roman"/>
          <w:sz w:val="24"/>
          <w:szCs w:val="24"/>
        </w:rPr>
        <w:t>GOMES, R.A.R. et al. O setor de produtos lác</w:t>
      </w:r>
      <w:r>
        <w:rPr>
          <w:rFonts w:ascii="Times New Roman" w:hAnsi="Times New Roman" w:cs="Times New Roman"/>
          <w:sz w:val="24"/>
          <w:szCs w:val="24"/>
        </w:rPr>
        <w:t xml:space="preserve">teos. In: ZACARCHENCO, P.B; VAN </w:t>
      </w:r>
      <w:r w:rsidRPr="004363AE">
        <w:rPr>
          <w:rFonts w:ascii="Times New Roman" w:hAnsi="Times New Roman" w:cs="Times New Roman"/>
          <w:sz w:val="24"/>
          <w:szCs w:val="24"/>
        </w:rPr>
        <w:t>DENDER, A.G.F.; REGO, R.A (Ed.). Brasil dairy trends 2020. Campinas:ITAL, 20</w:t>
      </w:r>
      <w:r>
        <w:rPr>
          <w:rFonts w:ascii="Times New Roman" w:hAnsi="Times New Roman" w:cs="Times New Roman"/>
          <w:sz w:val="24"/>
          <w:szCs w:val="24"/>
        </w:rPr>
        <w:t xml:space="preserve">17. </w:t>
      </w:r>
      <w:r w:rsidRPr="004363AE">
        <w:rPr>
          <w:rFonts w:ascii="Times New Roman" w:hAnsi="Times New Roman" w:cs="Times New Roman"/>
          <w:sz w:val="24"/>
          <w:szCs w:val="24"/>
        </w:rPr>
        <w:t>p.11-46</w:t>
      </w:r>
      <w:r>
        <w:rPr>
          <w:rFonts w:ascii="Times New Roman" w:hAnsi="Times New Roman" w:cs="Times New Roman"/>
          <w:sz w:val="24"/>
          <w:szCs w:val="24"/>
        </w:rPr>
        <w:t>.</w:t>
      </w:r>
    </w:p>
    <w:p w:rsidR="0056352F" w:rsidRDefault="0056352F" w:rsidP="0056352F">
      <w:pPr>
        <w:spacing w:after="240" w:line="240" w:lineRule="auto"/>
        <w:ind w:left="709"/>
        <w:jc w:val="both"/>
        <w:rPr>
          <w:rFonts w:ascii="Times New Roman" w:hAnsi="Times New Roman" w:cs="Times New Roman"/>
          <w:sz w:val="24"/>
          <w:szCs w:val="24"/>
        </w:rPr>
      </w:pPr>
      <w:r w:rsidRPr="00DA37CF">
        <w:rPr>
          <w:rFonts w:ascii="Times New Roman" w:hAnsi="Times New Roman" w:cs="Times New Roman"/>
          <w:sz w:val="24"/>
          <w:szCs w:val="24"/>
        </w:rPr>
        <w:t>IBGE. Pesquisa da pecuária municipal e censo agropecuário. Rio de Janeiro: Sidra, 201</w:t>
      </w:r>
      <w:r>
        <w:rPr>
          <w:rFonts w:ascii="Times New Roman" w:hAnsi="Times New Roman" w:cs="Times New Roman"/>
          <w:sz w:val="24"/>
          <w:szCs w:val="24"/>
        </w:rPr>
        <w:t>9</w:t>
      </w:r>
      <w:r w:rsidRPr="00DA37CF">
        <w:rPr>
          <w:rFonts w:ascii="Times New Roman" w:hAnsi="Times New Roman" w:cs="Times New Roman"/>
          <w:sz w:val="24"/>
          <w:szCs w:val="24"/>
        </w:rPr>
        <w:t>. Disponível</w:t>
      </w:r>
      <w:r>
        <w:rPr>
          <w:rFonts w:ascii="Times New Roman" w:hAnsi="Times New Roman" w:cs="Times New Roman"/>
          <w:sz w:val="24"/>
          <w:szCs w:val="24"/>
        </w:rPr>
        <w:t xml:space="preserve"> </w:t>
      </w:r>
      <w:r w:rsidRPr="00DA37CF">
        <w:rPr>
          <w:rFonts w:ascii="Times New Roman" w:hAnsi="Times New Roman" w:cs="Times New Roman"/>
          <w:sz w:val="24"/>
          <w:szCs w:val="24"/>
        </w:rPr>
        <w:t>em:&lt;http</w:t>
      </w:r>
      <w:r>
        <w:rPr>
          <w:rFonts w:ascii="Times New Roman" w:hAnsi="Times New Roman" w:cs="Times New Roman"/>
          <w:sz w:val="24"/>
          <w:szCs w:val="24"/>
        </w:rPr>
        <w:t>://www.sidra.ibge.gov.br</w:t>
      </w:r>
      <w:r w:rsidRPr="00564F09">
        <w:rPr>
          <w:rFonts w:ascii="Times New Roman" w:hAnsi="Times New Roman" w:cs="Times New Roman"/>
          <w:sz w:val="24"/>
          <w:szCs w:val="24"/>
        </w:rPr>
        <w:t>&gt;</w:t>
      </w:r>
      <w:r>
        <w:rPr>
          <w:rFonts w:ascii="Times New Roman" w:hAnsi="Times New Roman" w:cs="Times New Roman"/>
          <w:sz w:val="24"/>
          <w:szCs w:val="24"/>
        </w:rPr>
        <w:t xml:space="preserve">. </w:t>
      </w:r>
      <w:r w:rsidRPr="00DA37CF">
        <w:rPr>
          <w:rFonts w:ascii="Times New Roman" w:hAnsi="Times New Roman" w:cs="Times New Roman"/>
          <w:sz w:val="24"/>
          <w:szCs w:val="24"/>
        </w:rPr>
        <w:t>Acesso em j</w:t>
      </w:r>
      <w:r>
        <w:rPr>
          <w:rFonts w:ascii="Times New Roman" w:hAnsi="Times New Roman" w:cs="Times New Roman"/>
          <w:sz w:val="24"/>
          <w:szCs w:val="24"/>
        </w:rPr>
        <w:t xml:space="preserve">ulho de </w:t>
      </w:r>
      <w:r w:rsidRPr="00DA37CF">
        <w:rPr>
          <w:rFonts w:ascii="Times New Roman" w:hAnsi="Times New Roman" w:cs="Times New Roman"/>
          <w:sz w:val="24"/>
          <w:szCs w:val="24"/>
        </w:rPr>
        <w:t>201</w:t>
      </w:r>
      <w:r>
        <w:rPr>
          <w:rFonts w:ascii="Times New Roman" w:hAnsi="Times New Roman" w:cs="Times New Roman"/>
          <w:sz w:val="24"/>
          <w:szCs w:val="24"/>
        </w:rPr>
        <w:t>9</w:t>
      </w:r>
      <w:r w:rsidRPr="00DA37CF">
        <w:rPr>
          <w:rFonts w:ascii="Times New Roman" w:hAnsi="Times New Roman" w:cs="Times New Roman"/>
          <w:sz w:val="24"/>
          <w:szCs w:val="24"/>
        </w:rPr>
        <w:t>.</w:t>
      </w:r>
    </w:p>
    <w:p w:rsidR="0056352F" w:rsidRDefault="0056352F" w:rsidP="0056352F">
      <w:pPr>
        <w:spacing w:after="240" w:line="240" w:lineRule="auto"/>
        <w:ind w:left="709"/>
        <w:jc w:val="both"/>
        <w:rPr>
          <w:rFonts w:ascii="Times New Roman" w:hAnsi="Times New Roman" w:cs="Times New Roman"/>
          <w:sz w:val="24"/>
          <w:szCs w:val="24"/>
        </w:rPr>
      </w:pPr>
      <w:r w:rsidRPr="00672843">
        <w:rPr>
          <w:rFonts w:ascii="Times New Roman" w:hAnsi="Times New Roman" w:cs="Times New Roman"/>
          <w:sz w:val="24"/>
          <w:szCs w:val="24"/>
        </w:rPr>
        <w:t>KRUGMAN, P. R., OBSTFLED, M., MELITZ, M. J. (tradução Ana Julia Perrotti-Garcia).</w:t>
      </w:r>
      <w:r>
        <w:rPr>
          <w:rFonts w:ascii="Times New Roman" w:hAnsi="Times New Roman" w:cs="Times New Roman"/>
          <w:sz w:val="24"/>
          <w:szCs w:val="24"/>
        </w:rPr>
        <w:t xml:space="preserve"> </w:t>
      </w:r>
      <w:r w:rsidRPr="00672843">
        <w:rPr>
          <w:rFonts w:ascii="Times New Roman" w:hAnsi="Times New Roman" w:cs="Times New Roman"/>
          <w:sz w:val="24"/>
          <w:szCs w:val="24"/>
        </w:rPr>
        <w:t>Economia Internacional – São Paulo: Pearson Education do Brasil, 2015.</w:t>
      </w:r>
    </w:p>
    <w:p w:rsidR="0056352F" w:rsidRDefault="0056352F" w:rsidP="0056352F">
      <w:pPr>
        <w:spacing w:after="240" w:line="240" w:lineRule="auto"/>
        <w:ind w:left="709"/>
        <w:jc w:val="both"/>
        <w:rPr>
          <w:rFonts w:ascii="Times New Roman" w:hAnsi="Times New Roman" w:cs="Times New Roman"/>
          <w:sz w:val="24"/>
          <w:szCs w:val="24"/>
        </w:rPr>
      </w:pPr>
      <w:r w:rsidRPr="00AF612C">
        <w:rPr>
          <w:rFonts w:ascii="Times New Roman" w:hAnsi="Times New Roman" w:cs="Times New Roman"/>
          <w:sz w:val="24"/>
          <w:szCs w:val="24"/>
        </w:rPr>
        <w:t>L</w:t>
      </w:r>
      <w:r>
        <w:rPr>
          <w:rFonts w:ascii="Times New Roman" w:hAnsi="Times New Roman" w:cs="Times New Roman"/>
          <w:sz w:val="24"/>
          <w:szCs w:val="24"/>
        </w:rPr>
        <w:t>IMA</w:t>
      </w:r>
      <w:r w:rsidRPr="00AF612C">
        <w:rPr>
          <w:rFonts w:ascii="Times New Roman" w:hAnsi="Times New Roman" w:cs="Times New Roman"/>
          <w:sz w:val="24"/>
          <w:szCs w:val="24"/>
        </w:rPr>
        <w:t>, L</w:t>
      </w:r>
      <w:r>
        <w:rPr>
          <w:rFonts w:ascii="Times New Roman" w:hAnsi="Times New Roman" w:cs="Times New Roman"/>
          <w:sz w:val="24"/>
          <w:szCs w:val="24"/>
        </w:rPr>
        <w:t xml:space="preserve">., </w:t>
      </w:r>
      <w:r w:rsidRPr="00AF612C">
        <w:rPr>
          <w:rFonts w:ascii="Times New Roman" w:hAnsi="Times New Roman" w:cs="Times New Roman"/>
          <w:sz w:val="24"/>
          <w:szCs w:val="24"/>
        </w:rPr>
        <w:t>PEREZ</w:t>
      </w:r>
      <w:r w:rsidRPr="00564F09">
        <w:rPr>
          <w:rFonts w:ascii="Times New Roman" w:hAnsi="Times New Roman" w:cs="Times New Roman"/>
          <w:sz w:val="24"/>
          <w:szCs w:val="24"/>
        </w:rPr>
        <w:t>;</w:t>
      </w:r>
      <w:r w:rsidRPr="00AF612C">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AF612C">
        <w:rPr>
          <w:rFonts w:ascii="Times New Roman" w:hAnsi="Times New Roman" w:cs="Times New Roman"/>
          <w:sz w:val="24"/>
          <w:szCs w:val="24"/>
        </w:rPr>
        <w:t>BENÍCIO PAES CHAVES, J</w:t>
      </w:r>
      <w:r>
        <w:rPr>
          <w:rFonts w:ascii="Times New Roman" w:hAnsi="Times New Roman" w:cs="Times New Roman"/>
          <w:sz w:val="24"/>
          <w:szCs w:val="24"/>
        </w:rPr>
        <w:t xml:space="preserve">. </w:t>
      </w:r>
      <w:r w:rsidRPr="00AF612C">
        <w:rPr>
          <w:rFonts w:ascii="Times New Roman" w:hAnsi="Times New Roman" w:cs="Times New Roman"/>
          <w:sz w:val="24"/>
          <w:szCs w:val="24"/>
        </w:rPr>
        <w:t xml:space="preserve">A </w:t>
      </w:r>
      <w:r>
        <w:rPr>
          <w:rFonts w:ascii="Times New Roman" w:hAnsi="Times New Roman" w:cs="Times New Roman"/>
          <w:sz w:val="24"/>
          <w:szCs w:val="24"/>
        </w:rPr>
        <w:t>indústria de laticínios no Brasil</w:t>
      </w:r>
      <w:r w:rsidRPr="00AF612C">
        <w:rPr>
          <w:rFonts w:ascii="Times New Roman" w:hAnsi="Times New Roman" w:cs="Times New Roman"/>
          <w:sz w:val="24"/>
          <w:szCs w:val="24"/>
        </w:rPr>
        <w:t xml:space="preserve"> – U</w:t>
      </w:r>
      <w:r>
        <w:rPr>
          <w:rFonts w:ascii="Times New Roman" w:hAnsi="Times New Roman" w:cs="Times New Roman"/>
          <w:sz w:val="24"/>
          <w:szCs w:val="24"/>
        </w:rPr>
        <w:t>m</w:t>
      </w:r>
      <w:r w:rsidRPr="00AF612C">
        <w:rPr>
          <w:rFonts w:ascii="Times New Roman" w:hAnsi="Times New Roman" w:cs="Times New Roman"/>
          <w:sz w:val="24"/>
          <w:szCs w:val="24"/>
        </w:rPr>
        <w:t xml:space="preserve"> </w:t>
      </w:r>
      <w:r>
        <w:rPr>
          <w:rFonts w:ascii="Times New Roman" w:hAnsi="Times New Roman" w:cs="Times New Roman"/>
          <w:sz w:val="24"/>
          <w:szCs w:val="24"/>
        </w:rPr>
        <w:t>estudo exploratório</w:t>
      </w:r>
      <w:r w:rsidRPr="00AF612C">
        <w:rPr>
          <w:rFonts w:ascii="Times New Roman" w:hAnsi="Times New Roman" w:cs="Times New Roman"/>
          <w:sz w:val="24"/>
          <w:szCs w:val="24"/>
        </w:rPr>
        <w:t>. Boletim do Centro de Pesquisa de Processamento de Aliment</w:t>
      </w:r>
      <w:r>
        <w:rPr>
          <w:rFonts w:ascii="Times New Roman" w:hAnsi="Times New Roman" w:cs="Times New Roman"/>
          <w:sz w:val="24"/>
          <w:szCs w:val="24"/>
        </w:rPr>
        <w:t>os. 35. 10.5380/cep.v35i1.55942, 2017.</w:t>
      </w:r>
    </w:p>
    <w:p w:rsidR="0056352F" w:rsidRDefault="0056352F" w:rsidP="0056352F">
      <w:pPr>
        <w:spacing w:after="240" w:line="240" w:lineRule="auto"/>
        <w:ind w:left="709"/>
        <w:jc w:val="both"/>
        <w:rPr>
          <w:rFonts w:ascii="Times New Roman" w:hAnsi="Times New Roman" w:cs="Times New Roman"/>
          <w:sz w:val="24"/>
          <w:szCs w:val="24"/>
        </w:rPr>
      </w:pPr>
      <w:r w:rsidRPr="00001611">
        <w:rPr>
          <w:rFonts w:ascii="Times New Roman" w:hAnsi="Times New Roman" w:cs="Times New Roman"/>
          <w:sz w:val="24"/>
          <w:szCs w:val="24"/>
        </w:rPr>
        <w:t xml:space="preserve">MAPA. Ministério da Agricultura, Pecuária e Abastecimento. Disponível em &lt;www.mapa.gov.br&gt;. Acesso em </w:t>
      </w:r>
      <w:r>
        <w:rPr>
          <w:rFonts w:ascii="Times New Roman" w:hAnsi="Times New Roman" w:cs="Times New Roman"/>
          <w:sz w:val="24"/>
          <w:szCs w:val="24"/>
        </w:rPr>
        <w:t>julho de</w:t>
      </w:r>
      <w:r w:rsidRPr="00001611">
        <w:rPr>
          <w:rFonts w:ascii="Times New Roman" w:hAnsi="Times New Roman" w:cs="Times New Roman"/>
          <w:sz w:val="24"/>
          <w:szCs w:val="24"/>
        </w:rPr>
        <w:t xml:space="preserve"> 201</w:t>
      </w:r>
      <w:r>
        <w:rPr>
          <w:rFonts w:ascii="Times New Roman" w:hAnsi="Times New Roman" w:cs="Times New Roman"/>
          <w:sz w:val="24"/>
          <w:szCs w:val="24"/>
        </w:rPr>
        <w:t>9</w:t>
      </w:r>
      <w:r w:rsidRPr="00001611">
        <w:rPr>
          <w:rFonts w:ascii="Times New Roman" w:hAnsi="Times New Roman" w:cs="Times New Roman"/>
          <w:sz w:val="24"/>
          <w:szCs w:val="24"/>
        </w:rPr>
        <w:t>.</w:t>
      </w:r>
    </w:p>
    <w:p w:rsidR="0056352F" w:rsidRDefault="0056352F"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MEDEIROS, A. P.; MORAES, B. M. M.; BENDER FILHO, R. </w:t>
      </w:r>
      <w:r w:rsidRPr="00F9201F">
        <w:rPr>
          <w:rFonts w:ascii="Times New Roman" w:hAnsi="Times New Roman" w:cs="Times New Roman"/>
          <w:sz w:val="24"/>
          <w:szCs w:val="24"/>
        </w:rPr>
        <w:t>I</w:t>
      </w:r>
      <w:r>
        <w:rPr>
          <w:rFonts w:ascii="Times New Roman" w:hAnsi="Times New Roman" w:cs="Times New Roman"/>
          <w:sz w:val="24"/>
          <w:szCs w:val="24"/>
        </w:rPr>
        <w:t>ntegração espacial nos preços do leite</w:t>
      </w:r>
      <w:r w:rsidRPr="00F9201F">
        <w:rPr>
          <w:rFonts w:ascii="Times New Roman" w:hAnsi="Times New Roman" w:cs="Times New Roman"/>
          <w:sz w:val="24"/>
          <w:szCs w:val="24"/>
        </w:rPr>
        <w:t xml:space="preserve">: </w:t>
      </w:r>
      <w:r>
        <w:rPr>
          <w:rFonts w:ascii="Times New Roman" w:hAnsi="Times New Roman" w:cs="Times New Roman"/>
          <w:sz w:val="24"/>
          <w:szCs w:val="24"/>
        </w:rPr>
        <w:t>análise dos principais estados produtores brasileiros. Ensaios</w:t>
      </w:r>
      <w:r w:rsidRPr="00F9201F">
        <w:rPr>
          <w:rFonts w:ascii="Times New Roman" w:hAnsi="Times New Roman" w:cs="Times New Roman"/>
          <w:sz w:val="24"/>
          <w:szCs w:val="24"/>
        </w:rPr>
        <w:t xml:space="preserve"> FEE (</w:t>
      </w:r>
      <w:r>
        <w:rPr>
          <w:rFonts w:ascii="Times New Roman" w:hAnsi="Times New Roman" w:cs="Times New Roman"/>
          <w:sz w:val="24"/>
          <w:szCs w:val="24"/>
        </w:rPr>
        <w:t>online)</w:t>
      </w:r>
      <w:r w:rsidRPr="00F9201F">
        <w:rPr>
          <w:rFonts w:ascii="Times New Roman" w:hAnsi="Times New Roman" w:cs="Times New Roman"/>
          <w:sz w:val="24"/>
          <w:szCs w:val="24"/>
        </w:rPr>
        <w:t>, v. 38, p. 625-652, 2017.</w:t>
      </w:r>
    </w:p>
    <w:p w:rsidR="0056352F" w:rsidRDefault="0056352F"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MELO, A. S.</w:t>
      </w:r>
      <w:r w:rsidRPr="00F9201F">
        <w:rPr>
          <w:rFonts w:ascii="Times New Roman" w:hAnsi="Times New Roman" w:cs="Times New Roman"/>
          <w:sz w:val="24"/>
          <w:szCs w:val="24"/>
        </w:rPr>
        <w:t>; BOR</w:t>
      </w:r>
      <w:r>
        <w:rPr>
          <w:rFonts w:ascii="Times New Roman" w:hAnsi="Times New Roman" w:cs="Times New Roman"/>
          <w:sz w:val="24"/>
          <w:szCs w:val="24"/>
        </w:rPr>
        <w:t xml:space="preserve">BA, M. C.; BARROS, J. E. M.; RAMOS, J. E. S. </w:t>
      </w:r>
      <w:r w:rsidRPr="00F9201F">
        <w:rPr>
          <w:rFonts w:ascii="Times New Roman" w:hAnsi="Times New Roman" w:cs="Times New Roman"/>
          <w:sz w:val="24"/>
          <w:szCs w:val="24"/>
        </w:rPr>
        <w:t>Transmissão de preços pagos aos produtores de leite nos estados brasileiros de maior produção com foco no estado baiano no período de quinze anos. C</w:t>
      </w:r>
      <w:r>
        <w:rPr>
          <w:rFonts w:ascii="Times New Roman" w:hAnsi="Times New Roman" w:cs="Times New Roman"/>
          <w:sz w:val="24"/>
          <w:szCs w:val="24"/>
        </w:rPr>
        <w:t>iências Sociais Aplicadas em Revista (online)</w:t>
      </w:r>
      <w:r w:rsidRPr="00F9201F">
        <w:rPr>
          <w:rFonts w:ascii="Times New Roman" w:hAnsi="Times New Roman" w:cs="Times New Roman"/>
          <w:sz w:val="24"/>
          <w:szCs w:val="24"/>
        </w:rPr>
        <w:t>, v. 18, p. 144-165, 2018.</w:t>
      </w:r>
    </w:p>
    <w:p w:rsidR="001A1656" w:rsidRDefault="001A1656" w:rsidP="001A1656">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MTE. </w:t>
      </w:r>
      <w:r w:rsidRPr="001A1656">
        <w:rPr>
          <w:rFonts w:ascii="Times New Roman" w:hAnsi="Times New Roman" w:cs="Times New Roman"/>
          <w:sz w:val="24"/>
          <w:szCs w:val="24"/>
        </w:rPr>
        <w:t>M</w:t>
      </w:r>
      <w:r>
        <w:rPr>
          <w:rFonts w:ascii="Times New Roman" w:hAnsi="Times New Roman" w:cs="Times New Roman"/>
          <w:sz w:val="24"/>
          <w:szCs w:val="24"/>
        </w:rPr>
        <w:t>inistério do Trabalho e Emprego</w:t>
      </w:r>
      <w:r w:rsidRPr="001A1656">
        <w:rPr>
          <w:rFonts w:ascii="Times New Roman" w:hAnsi="Times New Roman" w:cs="Times New Roman"/>
          <w:sz w:val="24"/>
          <w:szCs w:val="24"/>
        </w:rPr>
        <w:t>.</w:t>
      </w:r>
      <w:r>
        <w:rPr>
          <w:rFonts w:ascii="Times New Roman" w:hAnsi="Times New Roman" w:cs="Times New Roman"/>
          <w:sz w:val="24"/>
          <w:szCs w:val="24"/>
        </w:rPr>
        <w:t xml:space="preserve"> Relação Anual de Informações Sociais – RAIS. Disponível em: </w:t>
      </w:r>
      <w:r w:rsidRPr="001A1656">
        <w:rPr>
          <w:rFonts w:ascii="Times New Roman" w:hAnsi="Times New Roman" w:cs="Times New Roman"/>
          <w:sz w:val="24"/>
          <w:szCs w:val="24"/>
        </w:rPr>
        <w:t>&lt;http://www.mte.gov.br/</w:t>
      </w:r>
      <w:r>
        <w:rPr>
          <w:rFonts w:ascii="Times New Roman" w:hAnsi="Times New Roman" w:cs="Times New Roman"/>
          <w:sz w:val="24"/>
          <w:szCs w:val="24"/>
        </w:rPr>
        <w:t>rais</w:t>
      </w:r>
      <w:r w:rsidRPr="001A1656">
        <w:rPr>
          <w:rFonts w:ascii="Times New Roman" w:hAnsi="Times New Roman" w:cs="Times New Roman"/>
          <w:sz w:val="24"/>
          <w:szCs w:val="24"/>
        </w:rPr>
        <w:t xml:space="preserve">/default.asp&gt;. Acesso em </w:t>
      </w:r>
      <w:r>
        <w:rPr>
          <w:rFonts w:ascii="Times New Roman" w:hAnsi="Times New Roman" w:cs="Times New Roman"/>
          <w:sz w:val="24"/>
          <w:szCs w:val="24"/>
        </w:rPr>
        <w:t>julho de 20</w:t>
      </w:r>
      <w:r w:rsidRPr="001A1656">
        <w:rPr>
          <w:rFonts w:ascii="Times New Roman" w:hAnsi="Times New Roman" w:cs="Times New Roman"/>
          <w:sz w:val="24"/>
          <w:szCs w:val="24"/>
        </w:rPr>
        <w:t>1</w:t>
      </w:r>
      <w:r>
        <w:rPr>
          <w:rFonts w:ascii="Times New Roman" w:hAnsi="Times New Roman" w:cs="Times New Roman"/>
          <w:sz w:val="24"/>
          <w:szCs w:val="24"/>
        </w:rPr>
        <w:t>9</w:t>
      </w:r>
      <w:r w:rsidRPr="001A1656">
        <w:rPr>
          <w:rFonts w:ascii="Times New Roman" w:hAnsi="Times New Roman" w:cs="Times New Roman"/>
          <w:sz w:val="24"/>
          <w:szCs w:val="24"/>
        </w:rPr>
        <w:t>.</w:t>
      </w:r>
    </w:p>
    <w:p w:rsidR="00F24FE1" w:rsidRDefault="00F24FE1" w:rsidP="00DA37CF">
      <w:pPr>
        <w:spacing w:after="240" w:line="240" w:lineRule="auto"/>
        <w:ind w:left="709"/>
        <w:jc w:val="both"/>
        <w:rPr>
          <w:rFonts w:ascii="Times New Roman" w:hAnsi="Times New Roman" w:cs="Times New Roman"/>
          <w:sz w:val="24"/>
          <w:szCs w:val="24"/>
        </w:rPr>
      </w:pPr>
      <w:r w:rsidRPr="00F24FE1">
        <w:rPr>
          <w:rFonts w:ascii="Times New Roman" w:hAnsi="Times New Roman" w:cs="Times New Roman"/>
          <w:sz w:val="24"/>
          <w:szCs w:val="24"/>
        </w:rPr>
        <w:t>P</w:t>
      </w:r>
      <w:r>
        <w:rPr>
          <w:rFonts w:ascii="Times New Roman" w:hAnsi="Times New Roman" w:cs="Times New Roman"/>
          <w:sz w:val="24"/>
          <w:szCs w:val="24"/>
        </w:rPr>
        <w:t>EROBELLI</w:t>
      </w:r>
      <w:r w:rsidRPr="00F24FE1">
        <w:rPr>
          <w:rFonts w:ascii="Times New Roman" w:hAnsi="Times New Roman" w:cs="Times New Roman"/>
          <w:sz w:val="24"/>
          <w:szCs w:val="24"/>
        </w:rPr>
        <w:t>, F</w:t>
      </w:r>
      <w:r>
        <w:rPr>
          <w:rFonts w:ascii="Times New Roman" w:hAnsi="Times New Roman" w:cs="Times New Roman"/>
          <w:sz w:val="24"/>
          <w:szCs w:val="24"/>
        </w:rPr>
        <w:t>.</w:t>
      </w:r>
      <w:r w:rsidRPr="00F24FE1">
        <w:rPr>
          <w:rFonts w:ascii="Times New Roman" w:hAnsi="Times New Roman" w:cs="Times New Roman"/>
          <w:sz w:val="24"/>
          <w:szCs w:val="24"/>
        </w:rPr>
        <w:t xml:space="preserve"> S</w:t>
      </w:r>
      <w:r>
        <w:rPr>
          <w:rFonts w:ascii="Times New Roman" w:hAnsi="Times New Roman" w:cs="Times New Roman"/>
          <w:sz w:val="24"/>
          <w:szCs w:val="24"/>
        </w:rPr>
        <w:t>.</w:t>
      </w:r>
      <w:r w:rsidRPr="00564F09">
        <w:rPr>
          <w:rFonts w:ascii="Times New Roman" w:hAnsi="Times New Roman" w:cs="Times New Roman"/>
          <w:sz w:val="24"/>
          <w:szCs w:val="24"/>
        </w:rPr>
        <w:t>;</w:t>
      </w:r>
      <w:r>
        <w:rPr>
          <w:rFonts w:ascii="Times New Roman" w:hAnsi="Times New Roman" w:cs="Times New Roman"/>
          <w:sz w:val="24"/>
          <w:szCs w:val="24"/>
        </w:rPr>
        <w:t xml:space="preserve"> ARAUJO JUNIOR</w:t>
      </w:r>
      <w:r w:rsidRPr="00F24FE1">
        <w:rPr>
          <w:rFonts w:ascii="Times New Roman" w:hAnsi="Times New Roman" w:cs="Times New Roman"/>
          <w:sz w:val="24"/>
          <w:szCs w:val="24"/>
        </w:rPr>
        <w:t>, I</w:t>
      </w:r>
      <w:r>
        <w:rPr>
          <w:rFonts w:ascii="Times New Roman" w:hAnsi="Times New Roman" w:cs="Times New Roman"/>
          <w:sz w:val="24"/>
          <w:szCs w:val="24"/>
        </w:rPr>
        <w:t>.</w:t>
      </w:r>
      <w:r w:rsidRPr="00F24FE1">
        <w:rPr>
          <w:rFonts w:ascii="Times New Roman" w:hAnsi="Times New Roman" w:cs="Times New Roman"/>
          <w:sz w:val="24"/>
          <w:szCs w:val="24"/>
        </w:rPr>
        <w:t xml:space="preserve"> F</w:t>
      </w:r>
      <w:r>
        <w:rPr>
          <w:rFonts w:ascii="Times New Roman" w:hAnsi="Times New Roman" w:cs="Times New Roman"/>
          <w:sz w:val="24"/>
          <w:szCs w:val="24"/>
        </w:rPr>
        <w:t>.</w:t>
      </w:r>
      <w:r w:rsidRPr="00564F09">
        <w:rPr>
          <w:rFonts w:ascii="Times New Roman" w:hAnsi="Times New Roman" w:cs="Times New Roman"/>
          <w:sz w:val="24"/>
          <w:szCs w:val="24"/>
        </w:rPr>
        <w:t>;</w:t>
      </w:r>
      <w:r w:rsidRPr="00F24FE1">
        <w:rPr>
          <w:rFonts w:ascii="Times New Roman" w:hAnsi="Times New Roman" w:cs="Times New Roman"/>
          <w:sz w:val="24"/>
          <w:szCs w:val="24"/>
        </w:rPr>
        <w:t xml:space="preserve"> C</w:t>
      </w:r>
      <w:r>
        <w:rPr>
          <w:rFonts w:ascii="Times New Roman" w:hAnsi="Times New Roman" w:cs="Times New Roman"/>
          <w:sz w:val="24"/>
          <w:szCs w:val="24"/>
        </w:rPr>
        <w:t>ASTRO</w:t>
      </w:r>
      <w:r w:rsidRPr="00F24FE1">
        <w:rPr>
          <w:rFonts w:ascii="Times New Roman" w:hAnsi="Times New Roman" w:cs="Times New Roman"/>
          <w:sz w:val="24"/>
          <w:szCs w:val="24"/>
        </w:rPr>
        <w:t>, L</w:t>
      </w:r>
      <w:r>
        <w:rPr>
          <w:rFonts w:ascii="Times New Roman" w:hAnsi="Times New Roman" w:cs="Times New Roman"/>
          <w:sz w:val="24"/>
          <w:szCs w:val="24"/>
        </w:rPr>
        <w:t>.</w:t>
      </w:r>
      <w:r w:rsidRPr="00F24FE1">
        <w:rPr>
          <w:rFonts w:ascii="Times New Roman" w:hAnsi="Times New Roman" w:cs="Times New Roman"/>
          <w:sz w:val="24"/>
          <w:szCs w:val="24"/>
        </w:rPr>
        <w:t xml:space="preserve"> S</w:t>
      </w:r>
      <w:r>
        <w:rPr>
          <w:rFonts w:ascii="Times New Roman" w:hAnsi="Times New Roman" w:cs="Times New Roman"/>
          <w:sz w:val="24"/>
          <w:szCs w:val="24"/>
        </w:rPr>
        <w:t xml:space="preserve">. </w:t>
      </w:r>
      <w:r w:rsidRPr="00F24FE1">
        <w:rPr>
          <w:rFonts w:ascii="Times New Roman" w:hAnsi="Times New Roman" w:cs="Times New Roman"/>
          <w:sz w:val="24"/>
          <w:szCs w:val="24"/>
        </w:rPr>
        <w:t>As dimensões espaciais da cadeia produtiva do leite em Minas Gerais</w:t>
      </w:r>
      <w:r>
        <w:rPr>
          <w:rFonts w:ascii="Times New Roman" w:hAnsi="Times New Roman" w:cs="Times New Roman"/>
          <w:sz w:val="24"/>
          <w:szCs w:val="24"/>
        </w:rPr>
        <w:t>. Nova Economia, 28(1), 297-337, 2018.</w:t>
      </w:r>
    </w:p>
    <w:p w:rsidR="00AF612C" w:rsidRDefault="00AF612C" w:rsidP="00DA37CF">
      <w:pPr>
        <w:spacing w:after="240" w:line="240" w:lineRule="auto"/>
        <w:ind w:left="709"/>
        <w:jc w:val="both"/>
        <w:rPr>
          <w:rFonts w:ascii="Times New Roman" w:hAnsi="Times New Roman" w:cs="Times New Roman"/>
          <w:sz w:val="24"/>
          <w:szCs w:val="24"/>
        </w:rPr>
      </w:pPr>
      <w:r w:rsidRPr="00AF612C">
        <w:rPr>
          <w:rFonts w:ascii="Times New Roman" w:hAnsi="Times New Roman" w:cs="Times New Roman"/>
          <w:sz w:val="24"/>
          <w:szCs w:val="24"/>
        </w:rPr>
        <w:t>SORIO, A. Cadeia Agroindustrial do Leite no Brasil (Diagnóstico dos Fatores Limitantes à Competitividade), Ministério da Indústria, Comércio Exterior e Serviços, Dezembro de 2018</w:t>
      </w:r>
      <w:r w:rsidR="004363AE">
        <w:rPr>
          <w:rFonts w:ascii="Times New Roman" w:hAnsi="Times New Roman" w:cs="Times New Roman"/>
          <w:sz w:val="24"/>
          <w:szCs w:val="24"/>
        </w:rPr>
        <w:t>.</w:t>
      </w:r>
    </w:p>
    <w:p w:rsidR="00DA37CF" w:rsidRDefault="00094B7C" w:rsidP="00564F09">
      <w:pPr>
        <w:spacing w:after="240" w:line="240" w:lineRule="auto"/>
        <w:ind w:left="709"/>
        <w:jc w:val="both"/>
        <w:rPr>
          <w:rFonts w:ascii="Times New Roman" w:hAnsi="Times New Roman" w:cs="Times New Roman"/>
          <w:sz w:val="24"/>
          <w:szCs w:val="24"/>
        </w:rPr>
      </w:pPr>
      <w:r w:rsidRPr="00094B7C">
        <w:rPr>
          <w:rFonts w:ascii="Times New Roman" w:hAnsi="Times New Roman" w:cs="Times New Roman"/>
          <w:sz w:val="24"/>
          <w:szCs w:val="24"/>
        </w:rPr>
        <w:t>VILELA, D., RESENDE, J., LEITE, J., ALVES, E. A evolução do leite no Brasil em cinco décadas. Revista de Política Agrícola, 26, ago. 2017.</w:t>
      </w:r>
    </w:p>
    <w:p w:rsidR="0056352F" w:rsidRDefault="0056352F" w:rsidP="0056352F">
      <w:pPr>
        <w:spacing w:after="240" w:line="240" w:lineRule="auto"/>
        <w:ind w:left="709"/>
        <w:jc w:val="both"/>
        <w:rPr>
          <w:rFonts w:ascii="Times New Roman" w:hAnsi="Times New Roman" w:cs="Times New Roman"/>
          <w:sz w:val="24"/>
          <w:szCs w:val="24"/>
        </w:rPr>
      </w:pPr>
      <w:r>
        <w:rPr>
          <w:rFonts w:ascii="Times New Roman" w:hAnsi="Times New Roman" w:cs="Times New Roman"/>
          <w:sz w:val="24"/>
          <w:szCs w:val="24"/>
        </w:rPr>
        <w:t>VILELA, D (Org.)</w:t>
      </w:r>
      <w:r w:rsidRPr="00564F09">
        <w:rPr>
          <w:rFonts w:ascii="Times New Roman" w:hAnsi="Times New Roman" w:cs="Times New Roman"/>
          <w:sz w:val="24"/>
          <w:szCs w:val="24"/>
        </w:rPr>
        <w:t>;</w:t>
      </w:r>
      <w:r>
        <w:rPr>
          <w:rFonts w:ascii="Times New Roman" w:hAnsi="Times New Roman" w:cs="Times New Roman"/>
          <w:sz w:val="24"/>
          <w:szCs w:val="24"/>
        </w:rPr>
        <w:t xml:space="preserve"> BRESSAN, M (Org.); GOMES, A T (Org.); GOMES, A. T. (Org.); LEITE, J. L. B. (Org.); MARTINS, M. C. (Org.); NOGUEIRA NETTO, V. (Org.)</w:t>
      </w:r>
      <w:r w:rsidRPr="00564F09">
        <w:rPr>
          <w:rFonts w:ascii="Times New Roman" w:hAnsi="Times New Roman" w:cs="Times New Roman"/>
          <w:sz w:val="24"/>
          <w:szCs w:val="24"/>
        </w:rPr>
        <w:t xml:space="preserve">. O agronegócio do leite e políticas públicas para o </w:t>
      </w:r>
      <w:r>
        <w:rPr>
          <w:rFonts w:ascii="Times New Roman" w:hAnsi="Times New Roman" w:cs="Times New Roman"/>
          <w:sz w:val="24"/>
          <w:szCs w:val="24"/>
        </w:rPr>
        <w:t>seu desenvolvimento sustentável</w:t>
      </w:r>
      <w:r w:rsidRPr="00564F09">
        <w:rPr>
          <w:rFonts w:ascii="Times New Roman" w:hAnsi="Times New Roman" w:cs="Times New Roman"/>
          <w:sz w:val="24"/>
          <w:szCs w:val="24"/>
        </w:rPr>
        <w:t>. Juiz de Fora: Embrapa Gado de Leite, 2002. 546</w:t>
      </w:r>
      <w:r>
        <w:rPr>
          <w:rFonts w:ascii="Times New Roman" w:hAnsi="Times New Roman" w:cs="Times New Roman"/>
          <w:sz w:val="24"/>
          <w:szCs w:val="24"/>
        </w:rPr>
        <w:t xml:space="preserve"> p</w:t>
      </w:r>
      <w:r w:rsidRPr="00564F09">
        <w:rPr>
          <w:rFonts w:ascii="Times New Roman" w:hAnsi="Times New Roman" w:cs="Times New Roman"/>
          <w:sz w:val="24"/>
          <w:szCs w:val="24"/>
        </w:rPr>
        <w:t>.</w:t>
      </w:r>
    </w:p>
    <w:p w:rsidR="0056352F" w:rsidRDefault="0056352F" w:rsidP="0056352F">
      <w:pPr>
        <w:spacing w:after="240" w:line="240" w:lineRule="auto"/>
        <w:ind w:left="709"/>
        <w:jc w:val="both"/>
        <w:rPr>
          <w:rFonts w:ascii="Times New Roman" w:hAnsi="Times New Roman" w:cs="Times New Roman"/>
          <w:sz w:val="24"/>
          <w:szCs w:val="24"/>
        </w:rPr>
      </w:pPr>
      <w:r w:rsidRPr="00564F09">
        <w:rPr>
          <w:rFonts w:ascii="Times New Roman" w:hAnsi="Times New Roman" w:cs="Times New Roman"/>
          <w:sz w:val="24"/>
          <w:szCs w:val="24"/>
        </w:rPr>
        <w:t xml:space="preserve">USDA. </w:t>
      </w:r>
      <w:r>
        <w:rPr>
          <w:rFonts w:ascii="Times New Roman" w:hAnsi="Times New Roman" w:cs="Times New Roman"/>
          <w:sz w:val="24"/>
          <w:szCs w:val="24"/>
        </w:rPr>
        <w:t>USDA Dairy Outlook</w:t>
      </w:r>
      <w:r w:rsidRPr="00564F09">
        <w:rPr>
          <w:rFonts w:ascii="Times New Roman" w:hAnsi="Times New Roman" w:cs="Times New Roman"/>
          <w:sz w:val="24"/>
          <w:szCs w:val="24"/>
        </w:rPr>
        <w:t>. Disponíve</w:t>
      </w:r>
      <w:r>
        <w:rPr>
          <w:rFonts w:ascii="Times New Roman" w:hAnsi="Times New Roman" w:cs="Times New Roman"/>
          <w:sz w:val="24"/>
          <w:szCs w:val="24"/>
        </w:rPr>
        <w:t>l em: &lt;http://www.usda.gov/oce</w:t>
      </w:r>
      <w:r w:rsidRPr="00564F09">
        <w:rPr>
          <w:rFonts w:ascii="Times New Roman" w:hAnsi="Times New Roman" w:cs="Times New Roman"/>
          <w:sz w:val="24"/>
          <w:szCs w:val="24"/>
        </w:rPr>
        <w:t>/</w:t>
      </w:r>
      <w:r>
        <w:rPr>
          <w:rFonts w:ascii="Times New Roman" w:hAnsi="Times New Roman" w:cs="Times New Roman"/>
          <w:sz w:val="24"/>
          <w:szCs w:val="24"/>
        </w:rPr>
        <w:t>forum</w:t>
      </w:r>
      <w:r w:rsidRPr="00564F09">
        <w:rPr>
          <w:rFonts w:ascii="Times New Roman" w:hAnsi="Times New Roman" w:cs="Times New Roman"/>
          <w:sz w:val="24"/>
          <w:szCs w:val="24"/>
        </w:rPr>
        <w:t>o/</w:t>
      </w:r>
      <w:r>
        <w:rPr>
          <w:rFonts w:ascii="Times New Roman" w:hAnsi="Times New Roman" w:cs="Times New Roman"/>
          <w:sz w:val="24"/>
          <w:szCs w:val="24"/>
        </w:rPr>
        <w:t>2019</w:t>
      </w:r>
      <w:r w:rsidRPr="00564F09">
        <w:rPr>
          <w:rFonts w:ascii="Times New Roman" w:hAnsi="Times New Roman" w:cs="Times New Roman"/>
          <w:sz w:val="24"/>
          <w:szCs w:val="24"/>
        </w:rPr>
        <w:t>/</w:t>
      </w:r>
      <w:r>
        <w:rPr>
          <w:rFonts w:ascii="Times New Roman" w:hAnsi="Times New Roman" w:cs="Times New Roman"/>
          <w:sz w:val="24"/>
          <w:szCs w:val="24"/>
        </w:rPr>
        <w:t>outlooks</w:t>
      </w:r>
      <w:r w:rsidRPr="00564F09">
        <w:rPr>
          <w:rFonts w:ascii="Times New Roman" w:hAnsi="Times New Roman" w:cs="Times New Roman"/>
          <w:sz w:val="24"/>
          <w:szCs w:val="24"/>
        </w:rPr>
        <w:t>/</w:t>
      </w:r>
      <w:r>
        <w:rPr>
          <w:rFonts w:ascii="Times New Roman" w:hAnsi="Times New Roman" w:cs="Times New Roman"/>
          <w:sz w:val="24"/>
          <w:szCs w:val="24"/>
        </w:rPr>
        <w:t>Dairy</w:t>
      </w:r>
      <w:r w:rsidRPr="00564F09">
        <w:rPr>
          <w:rFonts w:ascii="Times New Roman" w:hAnsi="Times New Roman" w:cs="Times New Roman"/>
          <w:sz w:val="24"/>
          <w:szCs w:val="24"/>
        </w:rPr>
        <w:t xml:space="preserve">&gt;. Acesso em </w:t>
      </w:r>
      <w:r>
        <w:rPr>
          <w:rFonts w:ascii="Times New Roman" w:hAnsi="Times New Roman" w:cs="Times New Roman"/>
          <w:sz w:val="24"/>
          <w:szCs w:val="24"/>
        </w:rPr>
        <w:t>julho</w:t>
      </w:r>
      <w:r w:rsidRPr="00564F09">
        <w:rPr>
          <w:rFonts w:ascii="Times New Roman" w:hAnsi="Times New Roman" w:cs="Times New Roman"/>
          <w:sz w:val="24"/>
          <w:szCs w:val="24"/>
        </w:rPr>
        <w:t xml:space="preserve"> </w:t>
      </w:r>
      <w:r>
        <w:rPr>
          <w:rFonts w:ascii="Times New Roman" w:hAnsi="Times New Roman" w:cs="Times New Roman"/>
          <w:sz w:val="24"/>
          <w:szCs w:val="24"/>
        </w:rPr>
        <w:t>d</w:t>
      </w:r>
      <w:r w:rsidRPr="00564F09">
        <w:rPr>
          <w:rFonts w:ascii="Times New Roman" w:hAnsi="Times New Roman" w:cs="Times New Roman"/>
          <w:sz w:val="24"/>
          <w:szCs w:val="24"/>
        </w:rPr>
        <w:t>e 201</w:t>
      </w:r>
      <w:r>
        <w:rPr>
          <w:rFonts w:ascii="Times New Roman" w:hAnsi="Times New Roman" w:cs="Times New Roman"/>
          <w:sz w:val="24"/>
          <w:szCs w:val="24"/>
        </w:rPr>
        <w:t>8</w:t>
      </w:r>
      <w:r w:rsidRPr="00564F09">
        <w:rPr>
          <w:rFonts w:ascii="Times New Roman" w:hAnsi="Times New Roman" w:cs="Times New Roman"/>
          <w:sz w:val="24"/>
          <w:szCs w:val="24"/>
        </w:rPr>
        <w:t>.</w:t>
      </w:r>
    </w:p>
    <w:p w:rsidR="0056352F" w:rsidRDefault="0056352F" w:rsidP="00564F09">
      <w:pPr>
        <w:spacing w:after="240" w:line="240" w:lineRule="auto"/>
        <w:ind w:left="709"/>
        <w:jc w:val="both"/>
        <w:rPr>
          <w:rFonts w:ascii="Times New Roman" w:hAnsi="Times New Roman" w:cs="Times New Roman"/>
          <w:sz w:val="24"/>
          <w:szCs w:val="24"/>
        </w:rPr>
      </w:pPr>
    </w:p>
    <w:p w:rsidR="00094B7C" w:rsidRDefault="00094B7C" w:rsidP="00564F09">
      <w:pPr>
        <w:spacing w:after="240" w:line="240" w:lineRule="auto"/>
        <w:ind w:left="709"/>
        <w:jc w:val="both"/>
        <w:rPr>
          <w:rFonts w:ascii="Times New Roman" w:hAnsi="Times New Roman" w:cs="Times New Roman"/>
          <w:sz w:val="24"/>
          <w:szCs w:val="24"/>
        </w:rPr>
      </w:pPr>
    </w:p>
    <w:p w:rsidR="00564F09" w:rsidRDefault="00564F09" w:rsidP="00564F09">
      <w:pPr>
        <w:spacing w:after="240" w:line="240" w:lineRule="auto"/>
        <w:ind w:left="709"/>
        <w:jc w:val="both"/>
        <w:rPr>
          <w:rFonts w:ascii="Times New Roman" w:hAnsi="Times New Roman" w:cs="Times New Roman"/>
          <w:sz w:val="24"/>
          <w:szCs w:val="24"/>
        </w:rPr>
      </w:pPr>
    </w:p>
    <w:p w:rsidR="0064052F" w:rsidRDefault="0064052F" w:rsidP="0064052F">
      <w:pPr>
        <w:spacing w:after="240" w:line="240" w:lineRule="auto"/>
        <w:ind w:left="709" w:firstLine="850"/>
        <w:jc w:val="both"/>
        <w:rPr>
          <w:rFonts w:ascii="Times New Roman" w:hAnsi="Times New Roman" w:cs="Times New Roman"/>
        </w:rPr>
      </w:pPr>
    </w:p>
    <w:p w:rsidR="002830D3" w:rsidRDefault="0064052F" w:rsidP="0064052F">
      <w:pPr>
        <w:spacing w:after="240" w:line="360" w:lineRule="auto"/>
        <w:ind w:left="709" w:firstLine="850"/>
        <w:jc w:val="both"/>
        <w:rPr>
          <w:rFonts w:ascii="Times New Roman" w:hAnsi="Times New Roman" w:cs="Times New Roman"/>
        </w:rPr>
      </w:pPr>
      <w:r>
        <w:rPr>
          <w:rFonts w:ascii="Times New Roman" w:hAnsi="Times New Roman" w:cs="Times New Roman"/>
        </w:rPr>
        <w:t xml:space="preserve"> </w:t>
      </w:r>
    </w:p>
    <w:p w:rsidR="00172FB0" w:rsidRDefault="00172FB0" w:rsidP="0064052F">
      <w:pPr>
        <w:spacing w:after="0" w:line="240" w:lineRule="auto"/>
        <w:ind w:left="709" w:firstLine="708"/>
        <w:jc w:val="both"/>
        <w:rPr>
          <w:rFonts w:ascii="Times New Roman" w:hAnsi="Times New Roman" w:cs="Times New Roman"/>
          <w:sz w:val="24"/>
          <w:szCs w:val="24"/>
        </w:rPr>
      </w:pPr>
    </w:p>
    <w:sectPr w:rsidR="00172FB0" w:rsidSect="00514532">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FFA" w:rsidRDefault="006C1FFA" w:rsidP="00EB760C">
      <w:pPr>
        <w:spacing w:after="0" w:line="240" w:lineRule="auto"/>
      </w:pPr>
      <w:r>
        <w:separator/>
      </w:r>
    </w:p>
  </w:endnote>
  <w:endnote w:type="continuationSeparator" w:id="0">
    <w:p w:rsidR="006C1FFA" w:rsidRDefault="006C1FFA" w:rsidP="00EB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Euclid">
    <w:altName w:val="Cambria"/>
    <w:charset w:val="00"/>
    <w:family w:val="roman"/>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E4" w:rsidRDefault="006E1BE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680729"/>
      <w:docPartObj>
        <w:docPartGallery w:val="Page Numbers (Bottom of Page)"/>
        <w:docPartUnique/>
      </w:docPartObj>
    </w:sdtPr>
    <w:sdtEndPr/>
    <w:sdtContent>
      <w:p w:rsidR="003D18CA" w:rsidRDefault="003D18CA">
        <w:pPr>
          <w:pStyle w:val="Rodap"/>
          <w:jc w:val="right"/>
        </w:pPr>
        <w:r w:rsidRPr="003D18CA">
          <w:rPr>
            <w:rFonts w:ascii="Times New Roman" w:hAnsi="Times New Roman" w:cs="Times New Roman"/>
          </w:rPr>
          <w:fldChar w:fldCharType="begin"/>
        </w:r>
        <w:r w:rsidRPr="003D18CA">
          <w:rPr>
            <w:rFonts w:ascii="Times New Roman" w:hAnsi="Times New Roman" w:cs="Times New Roman"/>
          </w:rPr>
          <w:instrText>PAGE   \* MERGEFORMAT</w:instrText>
        </w:r>
        <w:r w:rsidRPr="003D18CA">
          <w:rPr>
            <w:rFonts w:ascii="Times New Roman" w:hAnsi="Times New Roman" w:cs="Times New Roman"/>
          </w:rPr>
          <w:fldChar w:fldCharType="separate"/>
        </w:r>
        <w:r w:rsidR="00385CB3">
          <w:rPr>
            <w:rFonts w:ascii="Times New Roman" w:hAnsi="Times New Roman" w:cs="Times New Roman"/>
            <w:noProof/>
          </w:rPr>
          <w:t>1</w:t>
        </w:r>
        <w:r w:rsidRPr="003D18CA">
          <w:rPr>
            <w:rFonts w:ascii="Times New Roman" w:hAnsi="Times New Roman" w:cs="Times New Roman"/>
          </w:rPr>
          <w:fldChar w:fldCharType="end"/>
        </w:r>
      </w:p>
    </w:sdtContent>
  </w:sdt>
  <w:p w:rsidR="003D18CA" w:rsidRDefault="003D18C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E4" w:rsidRDefault="006E1B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FFA" w:rsidRDefault="006C1FFA" w:rsidP="00EB760C">
      <w:pPr>
        <w:spacing w:after="0" w:line="240" w:lineRule="auto"/>
      </w:pPr>
      <w:r>
        <w:separator/>
      </w:r>
    </w:p>
  </w:footnote>
  <w:footnote w:type="continuationSeparator" w:id="0">
    <w:p w:rsidR="006C1FFA" w:rsidRDefault="006C1FFA" w:rsidP="00EB760C">
      <w:pPr>
        <w:spacing w:after="0" w:line="240" w:lineRule="auto"/>
      </w:pPr>
      <w:r>
        <w:continuationSeparator/>
      </w:r>
    </w:p>
  </w:footnote>
  <w:footnote w:id="1">
    <w:p w:rsidR="0010157C" w:rsidRPr="00550E21" w:rsidRDefault="0010157C">
      <w:pPr>
        <w:pStyle w:val="Textodenotaderodap"/>
        <w:rPr>
          <w:rFonts w:ascii="Times New Roman" w:hAnsi="Times New Roman" w:cs="Times New Roman"/>
        </w:rPr>
      </w:pPr>
      <w:r w:rsidRPr="00550E21">
        <w:rPr>
          <w:rStyle w:val="Refdenotaderodap"/>
          <w:rFonts w:ascii="Times New Roman" w:hAnsi="Times New Roman" w:cs="Times New Roman"/>
        </w:rPr>
        <w:footnoteRef/>
      </w:r>
      <w:r w:rsidRPr="00550E21">
        <w:rPr>
          <w:rFonts w:ascii="Times New Roman" w:hAnsi="Times New Roman" w:cs="Times New Roman"/>
        </w:rPr>
        <w:t xml:space="preserve"> Doutorando em Economia Aplicada, Universidade do Estado do Rio de Janeiro (UERJ) e Professor Assistente V no IBMEC-RJ.</w:t>
      </w:r>
    </w:p>
  </w:footnote>
  <w:footnote w:id="2">
    <w:p w:rsidR="004D5990" w:rsidRPr="00A4614B" w:rsidRDefault="004D5990" w:rsidP="004D5990">
      <w:pPr>
        <w:pStyle w:val="Textodenotaderodap"/>
      </w:pPr>
      <w:r>
        <w:rPr>
          <w:rStyle w:val="Refdenotaderodap"/>
        </w:rPr>
        <w:footnoteRef/>
      </w:r>
      <w:r>
        <w:t xml:space="preserve"> </w:t>
      </w:r>
      <w:r>
        <w:rPr>
          <w:rFonts w:ascii="Times New Roman" w:hAnsi="Times New Roman" w:cs="Times New Roman"/>
        </w:rPr>
        <w:t>Professor Adjunto</w:t>
      </w:r>
      <w:r w:rsidRPr="00A4614B">
        <w:rPr>
          <w:rFonts w:ascii="Times New Roman" w:hAnsi="Times New Roman" w:cs="Times New Roman"/>
        </w:rPr>
        <w:t xml:space="preserve"> </w:t>
      </w:r>
      <w:r>
        <w:rPr>
          <w:rFonts w:ascii="Times New Roman" w:hAnsi="Times New Roman" w:cs="Times New Roman"/>
        </w:rPr>
        <w:t xml:space="preserve">na </w:t>
      </w:r>
      <w:r w:rsidRPr="00550E21">
        <w:rPr>
          <w:rFonts w:ascii="Times New Roman" w:hAnsi="Times New Roman" w:cs="Times New Roman"/>
        </w:rPr>
        <w:t>Universidade do Estado do Rio de Janeiro (UERJ</w:t>
      </w:r>
      <w:r>
        <w:rPr>
          <w:rFonts w:ascii="Times New Roman" w:hAnsi="Times New Roman" w:cs="Times New Roman"/>
        </w:rPr>
        <w:t>).</w:t>
      </w:r>
    </w:p>
    <w:p w:rsidR="004D5990" w:rsidRDefault="004D5990">
      <w:pPr>
        <w:pStyle w:val="Textodenotaderodap"/>
      </w:pPr>
    </w:p>
  </w:footnote>
  <w:footnote w:id="3">
    <w:p w:rsidR="0010157C" w:rsidRPr="004143A8" w:rsidRDefault="0010157C" w:rsidP="004143A8">
      <w:pPr>
        <w:pStyle w:val="Textodenotaderodap"/>
        <w:jc w:val="both"/>
        <w:rPr>
          <w:rFonts w:ascii="Times New Roman" w:hAnsi="Times New Roman" w:cs="Times New Roman"/>
        </w:rPr>
      </w:pPr>
      <w:r w:rsidRPr="004143A8">
        <w:rPr>
          <w:rStyle w:val="Refdenotaderodap"/>
          <w:rFonts w:ascii="Times New Roman" w:hAnsi="Times New Roman" w:cs="Times New Roman"/>
        </w:rPr>
        <w:footnoteRef/>
      </w:r>
      <w:r w:rsidRPr="004143A8">
        <w:rPr>
          <w:rFonts w:ascii="Times New Roman" w:hAnsi="Times New Roman" w:cs="Times New Roman"/>
        </w:rPr>
        <w:t xml:space="preserve"> Leite UHT (</w:t>
      </w:r>
      <w:r w:rsidRPr="004143A8">
        <w:rPr>
          <w:rFonts w:ascii="Times New Roman" w:hAnsi="Times New Roman" w:cs="Times New Roman"/>
          <w:i/>
        </w:rPr>
        <w:t>ultra high temperature</w:t>
      </w:r>
      <w:r w:rsidRPr="004143A8">
        <w:rPr>
          <w:rFonts w:ascii="Times New Roman" w:hAnsi="Times New Roman" w:cs="Times New Roman"/>
        </w:rPr>
        <w:t>) é submetido a uma elevada temperatura (130°C a 150°C) durante cerca de 2 a 4 segundos, num processo térmico de fluxo contínuo. Após o tempo definido, é</w:t>
      </w:r>
      <w:r>
        <w:rPr>
          <w:rFonts w:ascii="Times New Roman" w:hAnsi="Times New Roman" w:cs="Times New Roman"/>
        </w:rPr>
        <w:t xml:space="preserve"> </w:t>
      </w:r>
      <w:r w:rsidRPr="004143A8">
        <w:rPr>
          <w:rFonts w:ascii="Times New Roman" w:hAnsi="Times New Roman" w:cs="Times New Roman"/>
        </w:rPr>
        <w:t>imediatamente resfriado a uma temperatura inferior a 32°C e envasado em embalagens hermeticamente fechadas e esterilizadas.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E4" w:rsidRDefault="006E1BE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E4" w:rsidRDefault="006E1BE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BE4" w:rsidRDefault="006E1BE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863F1"/>
    <w:multiLevelType w:val="hybridMultilevel"/>
    <w:tmpl w:val="BC1021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AF"/>
    <w:rsid w:val="00001611"/>
    <w:rsid w:val="00006143"/>
    <w:rsid w:val="00036E68"/>
    <w:rsid w:val="0004438F"/>
    <w:rsid w:val="00075909"/>
    <w:rsid w:val="000830BB"/>
    <w:rsid w:val="00091896"/>
    <w:rsid w:val="00094B7C"/>
    <w:rsid w:val="000A5074"/>
    <w:rsid w:val="000B0BC3"/>
    <w:rsid w:val="000C36A9"/>
    <w:rsid w:val="000D43DA"/>
    <w:rsid w:val="001014AD"/>
    <w:rsid w:val="0010157C"/>
    <w:rsid w:val="0010251F"/>
    <w:rsid w:val="00130904"/>
    <w:rsid w:val="00136BB5"/>
    <w:rsid w:val="00142F39"/>
    <w:rsid w:val="00153CBD"/>
    <w:rsid w:val="0016709E"/>
    <w:rsid w:val="00172FB0"/>
    <w:rsid w:val="0017469F"/>
    <w:rsid w:val="00174FA4"/>
    <w:rsid w:val="00193823"/>
    <w:rsid w:val="001A1656"/>
    <w:rsid w:val="001B570E"/>
    <w:rsid w:val="001D64E6"/>
    <w:rsid w:val="001E2AFE"/>
    <w:rsid w:val="00204FBB"/>
    <w:rsid w:val="0023143E"/>
    <w:rsid w:val="002534BF"/>
    <w:rsid w:val="00263944"/>
    <w:rsid w:val="00282E65"/>
    <w:rsid w:val="002830D3"/>
    <w:rsid w:val="00286046"/>
    <w:rsid w:val="002A5581"/>
    <w:rsid w:val="002C25EC"/>
    <w:rsid w:val="002E653D"/>
    <w:rsid w:val="00356A7A"/>
    <w:rsid w:val="00385CB3"/>
    <w:rsid w:val="003B56F9"/>
    <w:rsid w:val="003C03C5"/>
    <w:rsid w:val="003C2820"/>
    <w:rsid w:val="003D18CA"/>
    <w:rsid w:val="003E66F4"/>
    <w:rsid w:val="003E67CB"/>
    <w:rsid w:val="0040014C"/>
    <w:rsid w:val="004143A8"/>
    <w:rsid w:val="00420609"/>
    <w:rsid w:val="004265E7"/>
    <w:rsid w:val="00435405"/>
    <w:rsid w:val="004363AE"/>
    <w:rsid w:val="0045386A"/>
    <w:rsid w:val="0046509F"/>
    <w:rsid w:val="004B2FED"/>
    <w:rsid w:val="004D5990"/>
    <w:rsid w:val="004F48C0"/>
    <w:rsid w:val="004F48F2"/>
    <w:rsid w:val="00514532"/>
    <w:rsid w:val="00523AFE"/>
    <w:rsid w:val="00550E21"/>
    <w:rsid w:val="0056352F"/>
    <w:rsid w:val="00564F09"/>
    <w:rsid w:val="005840AF"/>
    <w:rsid w:val="005951FF"/>
    <w:rsid w:val="005B2108"/>
    <w:rsid w:val="005C7E0D"/>
    <w:rsid w:val="005D480F"/>
    <w:rsid w:val="006359E4"/>
    <w:rsid w:val="0064052F"/>
    <w:rsid w:val="0065332C"/>
    <w:rsid w:val="00667439"/>
    <w:rsid w:val="00672843"/>
    <w:rsid w:val="00682F15"/>
    <w:rsid w:val="00697DC6"/>
    <w:rsid w:val="006B2B0E"/>
    <w:rsid w:val="006C1FFA"/>
    <w:rsid w:val="006E1BE4"/>
    <w:rsid w:val="0071028D"/>
    <w:rsid w:val="00724FF9"/>
    <w:rsid w:val="007471D2"/>
    <w:rsid w:val="007807CF"/>
    <w:rsid w:val="00792486"/>
    <w:rsid w:val="007F1FFB"/>
    <w:rsid w:val="00813567"/>
    <w:rsid w:val="0082513E"/>
    <w:rsid w:val="0084469C"/>
    <w:rsid w:val="008524EB"/>
    <w:rsid w:val="00855B79"/>
    <w:rsid w:val="008648A3"/>
    <w:rsid w:val="00896065"/>
    <w:rsid w:val="008973AC"/>
    <w:rsid w:val="008A0956"/>
    <w:rsid w:val="008A4878"/>
    <w:rsid w:val="008B6A75"/>
    <w:rsid w:val="008D0E8C"/>
    <w:rsid w:val="00951337"/>
    <w:rsid w:val="0095325C"/>
    <w:rsid w:val="009616DC"/>
    <w:rsid w:val="00966CD8"/>
    <w:rsid w:val="009677D5"/>
    <w:rsid w:val="009F5412"/>
    <w:rsid w:val="00A03235"/>
    <w:rsid w:val="00A167E3"/>
    <w:rsid w:val="00A2146F"/>
    <w:rsid w:val="00A351FB"/>
    <w:rsid w:val="00A67B60"/>
    <w:rsid w:val="00A76CB8"/>
    <w:rsid w:val="00A86BF4"/>
    <w:rsid w:val="00A9316B"/>
    <w:rsid w:val="00A96DCC"/>
    <w:rsid w:val="00AA1FCB"/>
    <w:rsid w:val="00AA72A8"/>
    <w:rsid w:val="00AA74F7"/>
    <w:rsid w:val="00AC03E4"/>
    <w:rsid w:val="00AF46F8"/>
    <w:rsid w:val="00AF612C"/>
    <w:rsid w:val="00B00710"/>
    <w:rsid w:val="00B07796"/>
    <w:rsid w:val="00B14256"/>
    <w:rsid w:val="00B16242"/>
    <w:rsid w:val="00B47854"/>
    <w:rsid w:val="00B55D13"/>
    <w:rsid w:val="00B634D7"/>
    <w:rsid w:val="00B6652D"/>
    <w:rsid w:val="00BB379B"/>
    <w:rsid w:val="00BD0578"/>
    <w:rsid w:val="00BD7907"/>
    <w:rsid w:val="00C30B97"/>
    <w:rsid w:val="00CA0F39"/>
    <w:rsid w:val="00CB2C5A"/>
    <w:rsid w:val="00CC4A69"/>
    <w:rsid w:val="00CE4220"/>
    <w:rsid w:val="00D16D96"/>
    <w:rsid w:val="00D32A70"/>
    <w:rsid w:val="00D60751"/>
    <w:rsid w:val="00D650AE"/>
    <w:rsid w:val="00D824BE"/>
    <w:rsid w:val="00DA37CF"/>
    <w:rsid w:val="00E31B75"/>
    <w:rsid w:val="00E6415C"/>
    <w:rsid w:val="00E72CA9"/>
    <w:rsid w:val="00E87481"/>
    <w:rsid w:val="00E92557"/>
    <w:rsid w:val="00E94669"/>
    <w:rsid w:val="00E9705D"/>
    <w:rsid w:val="00E97868"/>
    <w:rsid w:val="00EB05F4"/>
    <w:rsid w:val="00EB760C"/>
    <w:rsid w:val="00EF0B74"/>
    <w:rsid w:val="00EF17C0"/>
    <w:rsid w:val="00F13B44"/>
    <w:rsid w:val="00F24FE1"/>
    <w:rsid w:val="00F31A40"/>
    <w:rsid w:val="00F37764"/>
    <w:rsid w:val="00F5279C"/>
    <w:rsid w:val="00F9201F"/>
    <w:rsid w:val="00F95C35"/>
    <w:rsid w:val="00FC4D42"/>
    <w:rsid w:val="00FE6BC6"/>
    <w:rsid w:val="00FE6ECA"/>
    <w:rsid w:val="00FF0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40AF"/>
    <w:pPr>
      <w:ind w:left="720"/>
      <w:contextualSpacing/>
    </w:pPr>
  </w:style>
  <w:style w:type="table" w:styleId="Tabelacomgrade">
    <w:name w:val="Table Grid"/>
    <w:basedOn w:val="Tabelanormal"/>
    <w:uiPriority w:val="39"/>
    <w:rsid w:val="00426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4265E7"/>
    <w:rPr>
      <w:color w:val="808080"/>
    </w:rPr>
  </w:style>
  <w:style w:type="paragraph" w:styleId="Textodenotaderodap">
    <w:name w:val="footnote text"/>
    <w:basedOn w:val="Normal"/>
    <w:link w:val="TextodenotaderodapChar"/>
    <w:uiPriority w:val="99"/>
    <w:semiHidden/>
    <w:unhideWhenUsed/>
    <w:rsid w:val="00EB760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760C"/>
    <w:rPr>
      <w:sz w:val="20"/>
      <w:szCs w:val="20"/>
    </w:rPr>
  </w:style>
  <w:style w:type="character" w:styleId="Refdenotaderodap">
    <w:name w:val="footnote reference"/>
    <w:basedOn w:val="Fontepargpadro"/>
    <w:uiPriority w:val="99"/>
    <w:semiHidden/>
    <w:unhideWhenUsed/>
    <w:rsid w:val="00EB760C"/>
    <w:rPr>
      <w:vertAlign w:val="superscript"/>
    </w:rPr>
  </w:style>
  <w:style w:type="character" w:styleId="Hyperlink">
    <w:name w:val="Hyperlink"/>
    <w:basedOn w:val="Fontepargpadro"/>
    <w:uiPriority w:val="99"/>
    <w:unhideWhenUsed/>
    <w:rsid w:val="00564F09"/>
    <w:rPr>
      <w:color w:val="0000FF"/>
      <w:u w:val="single"/>
    </w:rPr>
  </w:style>
  <w:style w:type="character" w:styleId="Forte">
    <w:name w:val="Strong"/>
    <w:basedOn w:val="Fontepargpadro"/>
    <w:uiPriority w:val="22"/>
    <w:qFormat/>
    <w:rsid w:val="00094B7C"/>
    <w:rPr>
      <w:b/>
      <w:bCs/>
    </w:rPr>
  </w:style>
  <w:style w:type="paragraph" w:customStyle="1" w:styleId="MTDisplayEquation">
    <w:name w:val="MTDisplayEquation"/>
    <w:basedOn w:val="Normal"/>
    <w:next w:val="Normal"/>
    <w:link w:val="MTDisplayEquationCar"/>
    <w:rsid w:val="00BD7907"/>
    <w:pPr>
      <w:tabs>
        <w:tab w:val="center" w:pos="4240"/>
        <w:tab w:val="right" w:pos="8500"/>
      </w:tabs>
      <w:spacing w:after="200" w:line="276" w:lineRule="auto"/>
      <w:jc w:val="both"/>
    </w:pPr>
    <w:rPr>
      <w:rFonts w:ascii="Calibri" w:eastAsia="Calibri" w:hAnsi="Calibri" w:cs="Times New Roman"/>
      <w:lang w:val="en-US"/>
    </w:rPr>
  </w:style>
  <w:style w:type="character" w:customStyle="1" w:styleId="MTDisplayEquationCar">
    <w:name w:val="MTDisplayEquation Car"/>
    <w:basedOn w:val="Fontepargpadro"/>
    <w:link w:val="MTDisplayEquation"/>
    <w:rsid w:val="00BD7907"/>
    <w:rPr>
      <w:rFonts w:ascii="Calibri" w:eastAsia="Calibri" w:hAnsi="Calibri" w:cs="Times New Roman"/>
      <w:lang w:val="en-US"/>
    </w:rPr>
  </w:style>
  <w:style w:type="paragraph" w:styleId="Cabealho">
    <w:name w:val="header"/>
    <w:basedOn w:val="Normal"/>
    <w:link w:val="CabealhoChar"/>
    <w:uiPriority w:val="99"/>
    <w:unhideWhenUsed/>
    <w:rsid w:val="003D18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D18CA"/>
  </w:style>
  <w:style w:type="paragraph" w:styleId="Rodap">
    <w:name w:val="footer"/>
    <w:basedOn w:val="Normal"/>
    <w:link w:val="RodapChar"/>
    <w:uiPriority w:val="99"/>
    <w:unhideWhenUsed/>
    <w:rsid w:val="003D18CA"/>
    <w:pPr>
      <w:tabs>
        <w:tab w:val="center" w:pos="4252"/>
        <w:tab w:val="right" w:pos="8504"/>
      </w:tabs>
      <w:spacing w:after="0" w:line="240" w:lineRule="auto"/>
    </w:pPr>
  </w:style>
  <w:style w:type="character" w:customStyle="1" w:styleId="RodapChar">
    <w:name w:val="Rodapé Char"/>
    <w:basedOn w:val="Fontepargpadro"/>
    <w:link w:val="Rodap"/>
    <w:uiPriority w:val="99"/>
    <w:rsid w:val="003D1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wmf"/><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seer.sede.embrapa.br/index.php/RPA/article/view/965" TargetMode="External"/><Relationship Id="rId10" Type="http://schemas.openxmlformats.org/officeDocument/2006/relationships/oleObject" Target="embeddings/oleObject2.bin"/><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6826</Words>
  <Characters>36864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2019-07-22T00:55:00Z</dcterms:created>
  <dcterms:modified xsi:type="dcterms:W3CDTF">2019-07-22T00:55:00Z</dcterms:modified>
</cp:coreProperties>
</file>