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81C" w:rsidRDefault="004F280F" w:rsidP="00514949">
      <w:pPr>
        <w:pStyle w:val="BNDES"/>
        <w:spacing w:after="120"/>
        <w:jc w:val="center"/>
        <w:rPr>
          <w:rFonts w:ascii="Times New Roman" w:hAnsi="Times New Roman"/>
          <w:b/>
        </w:rPr>
      </w:pPr>
      <w:r>
        <w:rPr>
          <w:rFonts w:ascii="Times New Roman" w:hAnsi="Times New Roman"/>
          <w:b/>
        </w:rPr>
        <w:t>Esgotamento Sanitário</w:t>
      </w:r>
      <w:r w:rsidR="00B53BBF" w:rsidRPr="00B53BBF">
        <w:rPr>
          <w:rFonts w:ascii="Times New Roman" w:hAnsi="Times New Roman"/>
          <w:b/>
        </w:rPr>
        <w:t xml:space="preserve"> e Saúde Infantil</w:t>
      </w:r>
      <w:r w:rsidR="005118E2">
        <w:rPr>
          <w:rFonts w:ascii="Times New Roman" w:hAnsi="Times New Roman"/>
          <w:b/>
        </w:rPr>
        <w:t xml:space="preserve"> nos Municípios Brasileiros</w:t>
      </w:r>
      <w:r w:rsidR="00B53BBF" w:rsidRPr="00B53BBF">
        <w:rPr>
          <w:rFonts w:ascii="Times New Roman" w:hAnsi="Times New Roman"/>
          <w:b/>
        </w:rPr>
        <w:t xml:space="preserve">: </w:t>
      </w:r>
      <w:r>
        <w:rPr>
          <w:rFonts w:ascii="Times New Roman" w:hAnsi="Times New Roman"/>
          <w:b/>
        </w:rPr>
        <w:t>A</w:t>
      </w:r>
      <w:r w:rsidR="00B53BBF" w:rsidRPr="00B53BBF">
        <w:rPr>
          <w:rFonts w:ascii="Times New Roman" w:hAnsi="Times New Roman"/>
          <w:b/>
        </w:rPr>
        <w:t xml:space="preserve">nálise a partir da </w:t>
      </w:r>
      <w:r>
        <w:rPr>
          <w:rFonts w:ascii="Times New Roman" w:hAnsi="Times New Roman"/>
          <w:b/>
        </w:rPr>
        <w:t>E</w:t>
      </w:r>
      <w:r w:rsidR="00B53BBF" w:rsidRPr="00B53BBF">
        <w:rPr>
          <w:rFonts w:ascii="Times New Roman" w:hAnsi="Times New Roman"/>
          <w:b/>
        </w:rPr>
        <w:t xml:space="preserve">xpansão no </w:t>
      </w:r>
      <w:r>
        <w:rPr>
          <w:rFonts w:ascii="Times New Roman" w:hAnsi="Times New Roman"/>
          <w:b/>
        </w:rPr>
        <w:t>A</w:t>
      </w:r>
      <w:r w:rsidR="00B53BBF" w:rsidRPr="00B53BBF">
        <w:rPr>
          <w:rFonts w:ascii="Times New Roman" w:hAnsi="Times New Roman"/>
          <w:b/>
        </w:rPr>
        <w:t xml:space="preserve">cesso a </w:t>
      </w:r>
      <w:r>
        <w:rPr>
          <w:rFonts w:ascii="Times New Roman" w:hAnsi="Times New Roman"/>
          <w:b/>
        </w:rPr>
        <w:t>F</w:t>
      </w:r>
      <w:r w:rsidR="00B53BBF" w:rsidRPr="00B53BBF">
        <w:rPr>
          <w:rFonts w:ascii="Times New Roman" w:hAnsi="Times New Roman"/>
          <w:b/>
        </w:rPr>
        <w:t xml:space="preserve">inanciamento de </w:t>
      </w:r>
      <w:r>
        <w:rPr>
          <w:rFonts w:ascii="Times New Roman" w:hAnsi="Times New Roman"/>
          <w:b/>
        </w:rPr>
        <w:t>L</w:t>
      </w:r>
      <w:r w:rsidR="00B53BBF" w:rsidRPr="00B53BBF">
        <w:rPr>
          <w:rFonts w:ascii="Times New Roman" w:hAnsi="Times New Roman"/>
          <w:b/>
        </w:rPr>
        <w:t xml:space="preserve">ongo </w:t>
      </w:r>
      <w:r>
        <w:rPr>
          <w:rFonts w:ascii="Times New Roman" w:hAnsi="Times New Roman"/>
          <w:b/>
        </w:rPr>
        <w:t>P</w:t>
      </w:r>
      <w:r w:rsidR="00B53BBF" w:rsidRPr="00B53BBF">
        <w:rPr>
          <w:rFonts w:ascii="Times New Roman" w:hAnsi="Times New Roman"/>
          <w:b/>
        </w:rPr>
        <w:t>razo</w:t>
      </w:r>
    </w:p>
    <w:p w:rsidR="005118E2" w:rsidRDefault="005118E2" w:rsidP="00514949">
      <w:pPr>
        <w:pStyle w:val="BNDES"/>
        <w:spacing w:after="120"/>
        <w:jc w:val="center"/>
        <w:rPr>
          <w:rFonts w:ascii="Times New Roman" w:hAnsi="Times New Roman"/>
          <w:b/>
        </w:rPr>
      </w:pPr>
    </w:p>
    <w:p w:rsidR="005118E2" w:rsidRPr="005118E2" w:rsidRDefault="005118E2" w:rsidP="005118E2">
      <w:pPr>
        <w:pStyle w:val="BNDES"/>
        <w:spacing w:after="120"/>
        <w:jc w:val="center"/>
        <w:rPr>
          <w:rFonts w:ascii="Times New Roman" w:hAnsi="Times New Roman"/>
          <w:b/>
        </w:rPr>
      </w:pPr>
      <w:r w:rsidRPr="005118E2">
        <w:rPr>
          <w:rFonts w:ascii="Times New Roman" w:hAnsi="Times New Roman"/>
          <w:b/>
        </w:rPr>
        <w:t>ANPEC- 4</w:t>
      </w:r>
      <w:r w:rsidR="00492F3C">
        <w:rPr>
          <w:rFonts w:ascii="Times New Roman" w:hAnsi="Times New Roman"/>
          <w:b/>
        </w:rPr>
        <w:t>7</w:t>
      </w:r>
      <w:r w:rsidRPr="005118E2">
        <w:rPr>
          <w:rFonts w:ascii="Times New Roman" w:hAnsi="Times New Roman"/>
          <w:b/>
        </w:rPr>
        <w:t>º Encontro Nacional de Economia</w:t>
      </w:r>
    </w:p>
    <w:p w:rsidR="005118E2" w:rsidRPr="005118E2" w:rsidRDefault="005118E2" w:rsidP="005118E2">
      <w:pPr>
        <w:pStyle w:val="BNDES"/>
        <w:spacing w:after="120"/>
        <w:jc w:val="center"/>
        <w:rPr>
          <w:rFonts w:ascii="Times New Roman" w:hAnsi="Times New Roman"/>
          <w:b/>
        </w:rPr>
      </w:pPr>
    </w:p>
    <w:p w:rsidR="005118E2" w:rsidRPr="005118E2" w:rsidRDefault="005118E2" w:rsidP="005118E2">
      <w:pPr>
        <w:pStyle w:val="BNDES"/>
        <w:spacing w:after="120"/>
        <w:jc w:val="center"/>
        <w:rPr>
          <w:rFonts w:ascii="Times New Roman" w:hAnsi="Times New Roman"/>
          <w:b/>
        </w:rPr>
      </w:pPr>
      <w:r w:rsidRPr="005118E2">
        <w:rPr>
          <w:rFonts w:ascii="Times New Roman" w:hAnsi="Times New Roman"/>
          <w:b/>
        </w:rPr>
        <w:t>Área 1</w:t>
      </w:r>
      <w:r w:rsidR="00492F3C">
        <w:rPr>
          <w:rFonts w:ascii="Times New Roman" w:hAnsi="Times New Roman"/>
          <w:b/>
        </w:rPr>
        <w:t>2</w:t>
      </w:r>
      <w:r w:rsidRPr="005118E2">
        <w:rPr>
          <w:rFonts w:ascii="Times New Roman" w:hAnsi="Times New Roman"/>
          <w:b/>
        </w:rPr>
        <w:t xml:space="preserve"> – </w:t>
      </w:r>
      <w:r w:rsidR="00492F3C" w:rsidRPr="00492F3C">
        <w:rPr>
          <w:rFonts w:ascii="Times New Roman" w:hAnsi="Times New Roman"/>
          <w:b/>
        </w:rPr>
        <w:t>Economia Social e Demografia Econômica</w:t>
      </w:r>
    </w:p>
    <w:p w:rsidR="005118E2" w:rsidRPr="005118E2" w:rsidRDefault="005118E2" w:rsidP="005118E2">
      <w:pPr>
        <w:pStyle w:val="BNDES"/>
        <w:spacing w:after="120"/>
        <w:jc w:val="center"/>
        <w:rPr>
          <w:rFonts w:ascii="Times New Roman" w:hAnsi="Times New Roman"/>
          <w:b/>
        </w:rPr>
      </w:pPr>
    </w:p>
    <w:p w:rsidR="005118E2" w:rsidRPr="005118E2" w:rsidRDefault="00492F3C" w:rsidP="005118E2">
      <w:pPr>
        <w:pStyle w:val="BNDES"/>
        <w:spacing w:after="120"/>
        <w:jc w:val="center"/>
        <w:rPr>
          <w:rFonts w:ascii="Times New Roman" w:hAnsi="Times New Roman"/>
          <w:b/>
        </w:rPr>
      </w:pPr>
      <w:r>
        <w:rPr>
          <w:rFonts w:ascii="Times New Roman" w:hAnsi="Times New Roman"/>
          <w:b/>
        </w:rPr>
        <w:t>André de Albuquerque Sant’Anna</w:t>
      </w:r>
      <w:r>
        <w:rPr>
          <w:rStyle w:val="Refdenotaderodap"/>
          <w:rFonts w:ascii="Times New Roman" w:hAnsi="Times New Roman"/>
          <w:b/>
        </w:rPr>
        <w:footnoteReference w:id="1"/>
      </w:r>
      <w:r w:rsidR="005118E2" w:rsidRPr="005118E2">
        <w:rPr>
          <w:rFonts w:ascii="Times New Roman" w:hAnsi="Times New Roman"/>
          <w:b/>
        </w:rPr>
        <w:t xml:space="preserve"> (BNDES) </w:t>
      </w:r>
    </w:p>
    <w:p w:rsidR="00492F3C" w:rsidRPr="005118E2" w:rsidRDefault="00492F3C" w:rsidP="00492F3C">
      <w:pPr>
        <w:pStyle w:val="BNDES"/>
        <w:spacing w:after="120"/>
        <w:jc w:val="center"/>
        <w:rPr>
          <w:rFonts w:ascii="Times New Roman" w:hAnsi="Times New Roman"/>
          <w:b/>
        </w:rPr>
      </w:pPr>
      <w:r w:rsidRPr="005118E2">
        <w:rPr>
          <w:rFonts w:ascii="Times New Roman" w:hAnsi="Times New Roman"/>
          <w:b/>
        </w:rPr>
        <w:t>Ricardo Agostini Martini</w:t>
      </w:r>
      <w:r>
        <w:rPr>
          <w:rStyle w:val="Refdenotaderodap"/>
          <w:rFonts w:ascii="Times New Roman" w:hAnsi="Times New Roman"/>
          <w:b/>
        </w:rPr>
        <w:footnoteReference w:id="2"/>
      </w:r>
      <w:r w:rsidRPr="005118E2">
        <w:rPr>
          <w:rFonts w:ascii="Times New Roman" w:hAnsi="Times New Roman"/>
          <w:b/>
        </w:rPr>
        <w:t xml:space="preserve"> (BNDES) </w:t>
      </w:r>
    </w:p>
    <w:p w:rsidR="005118E2" w:rsidRDefault="00492F3C" w:rsidP="005118E2">
      <w:pPr>
        <w:pStyle w:val="BNDES"/>
        <w:spacing w:after="120"/>
        <w:jc w:val="center"/>
        <w:rPr>
          <w:rFonts w:ascii="Times New Roman" w:hAnsi="Times New Roman"/>
          <w:b/>
        </w:rPr>
      </w:pPr>
      <w:bookmarkStart w:id="0" w:name="_GoBack"/>
      <w:r>
        <w:rPr>
          <w:rFonts w:ascii="Times New Roman" w:hAnsi="Times New Roman"/>
          <w:b/>
        </w:rPr>
        <w:t>Letícia Barbosa Pimentel</w:t>
      </w:r>
      <w:r>
        <w:rPr>
          <w:rStyle w:val="Refdenotaderodap"/>
          <w:rFonts w:ascii="Times New Roman" w:hAnsi="Times New Roman"/>
          <w:b/>
        </w:rPr>
        <w:footnoteReference w:id="3"/>
      </w:r>
      <w:r w:rsidR="005118E2" w:rsidRPr="005118E2">
        <w:rPr>
          <w:rFonts w:ascii="Times New Roman" w:hAnsi="Times New Roman"/>
          <w:b/>
        </w:rPr>
        <w:t xml:space="preserve"> (BNDES)</w:t>
      </w:r>
    </w:p>
    <w:bookmarkEnd w:id="0"/>
    <w:p w:rsidR="00327FD1" w:rsidRPr="00603063" w:rsidRDefault="00327FD1" w:rsidP="00514949">
      <w:pPr>
        <w:pStyle w:val="BNDES"/>
        <w:spacing w:after="120"/>
        <w:jc w:val="center"/>
        <w:rPr>
          <w:rFonts w:ascii="Times New Roman" w:hAnsi="Times New Roman"/>
          <w:b/>
        </w:rPr>
      </w:pPr>
    </w:p>
    <w:p w:rsidR="007A7A86" w:rsidRDefault="005118E2" w:rsidP="007A7A86">
      <w:pPr>
        <w:pStyle w:val="BNDES"/>
        <w:spacing w:after="120"/>
        <w:rPr>
          <w:rFonts w:ascii="Times New Roman" w:hAnsi="Times New Roman"/>
        </w:rPr>
      </w:pPr>
      <w:r w:rsidRPr="006C01C1">
        <w:rPr>
          <w:rFonts w:ascii="Times New Roman" w:hAnsi="Times New Roman"/>
          <w:b/>
        </w:rPr>
        <w:t>Resumo:</w:t>
      </w:r>
      <w:r>
        <w:rPr>
          <w:rFonts w:ascii="Times New Roman" w:hAnsi="Times New Roman"/>
        </w:rPr>
        <w:t xml:space="preserve"> </w:t>
      </w:r>
      <w:r w:rsidR="007A7A86">
        <w:rPr>
          <w:rFonts w:ascii="Times New Roman" w:hAnsi="Times New Roman"/>
        </w:rPr>
        <w:t xml:space="preserve">O presente artigo procura analisar os efeitos </w:t>
      </w:r>
      <w:r w:rsidR="00A90BA3">
        <w:rPr>
          <w:rFonts w:ascii="Times New Roman" w:hAnsi="Times New Roman"/>
        </w:rPr>
        <w:t>da expansão no acesso a recursos para investimentos em esgotamento sanitário por parte dos municípios brasileiros</w:t>
      </w:r>
      <w:r w:rsidR="00A90BA3">
        <w:rPr>
          <w:rFonts w:ascii="Times New Roman" w:hAnsi="Times New Roman"/>
        </w:rPr>
        <w:t xml:space="preserve"> </w:t>
      </w:r>
      <w:r w:rsidR="007A7A86">
        <w:rPr>
          <w:rFonts w:ascii="Times New Roman" w:hAnsi="Times New Roman"/>
        </w:rPr>
        <w:t>sobre variáveis relacionadas à saúde infantil. Mais especificamente, procura-se aqui verificar o impacto das mudanças institucionais</w:t>
      </w:r>
      <w:r w:rsidR="00A90BA3">
        <w:rPr>
          <w:rFonts w:ascii="Times New Roman" w:hAnsi="Times New Roman"/>
        </w:rPr>
        <w:t xml:space="preserve"> </w:t>
      </w:r>
      <w:proofErr w:type="gramStart"/>
      <w:r w:rsidR="00A90BA3">
        <w:rPr>
          <w:rFonts w:ascii="Times New Roman" w:hAnsi="Times New Roman"/>
        </w:rPr>
        <w:t>implementadas</w:t>
      </w:r>
      <w:proofErr w:type="gramEnd"/>
      <w:r w:rsidR="007A7A86">
        <w:rPr>
          <w:rFonts w:ascii="Times New Roman" w:hAnsi="Times New Roman"/>
        </w:rPr>
        <w:t xml:space="preserve"> a partir de 2007, as quais </w:t>
      </w:r>
      <w:r w:rsidR="00A90BA3">
        <w:rPr>
          <w:rFonts w:ascii="Times New Roman" w:hAnsi="Times New Roman"/>
        </w:rPr>
        <w:t xml:space="preserve">promoveram um descontigenciamento do orçamento para investimentos em saneamento básico, o que </w:t>
      </w:r>
      <w:r w:rsidR="007A7A86">
        <w:rPr>
          <w:rFonts w:ascii="Times New Roman" w:hAnsi="Times New Roman"/>
        </w:rPr>
        <w:t>permiti</w:t>
      </w:r>
      <w:r w:rsidR="00A90BA3">
        <w:rPr>
          <w:rFonts w:ascii="Times New Roman" w:hAnsi="Times New Roman"/>
        </w:rPr>
        <w:t>u</w:t>
      </w:r>
      <w:r w:rsidR="007A7A86">
        <w:rPr>
          <w:rFonts w:ascii="Times New Roman" w:hAnsi="Times New Roman"/>
        </w:rPr>
        <w:t xml:space="preserve"> que municípios de menor porte passassem a dispor de recursos de longo prazo para investir </w:t>
      </w:r>
      <w:r w:rsidR="00A90BA3">
        <w:rPr>
          <w:rFonts w:ascii="Times New Roman" w:hAnsi="Times New Roman"/>
        </w:rPr>
        <w:t>no setor</w:t>
      </w:r>
      <w:r w:rsidR="007A7A86">
        <w:rPr>
          <w:rFonts w:ascii="Times New Roman" w:hAnsi="Times New Roman"/>
        </w:rPr>
        <w:t>. Foi comparado o desempenho de municípios que passaram a investir em esgotamento sanitário a partir de 2009</w:t>
      </w:r>
      <w:r w:rsidR="00A90BA3">
        <w:rPr>
          <w:rFonts w:ascii="Times New Roman" w:hAnsi="Times New Roman"/>
        </w:rPr>
        <w:t>, ano dos primeiros desembolsos relacionados com as mudanças institucionais,</w:t>
      </w:r>
      <w:r w:rsidR="007A7A86">
        <w:rPr>
          <w:rFonts w:ascii="Times New Roman" w:hAnsi="Times New Roman"/>
        </w:rPr>
        <w:t xml:space="preserve"> com o desempenho de municípios que nunca investiram no setor, por meio da técnica de pareamento via </w:t>
      </w:r>
      <w:proofErr w:type="spellStart"/>
      <w:r w:rsidR="007A7A86" w:rsidRPr="00676406">
        <w:rPr>
          <w:rFonts w:ascii="Times New Roman" w:hAnsi="Times New Roman"/>
          <w:i/>
        </w:rPr>
        <w:t>Propensity</w:t>
      </w:r>
      <w:proofErr w:type="spellEnd"/>
      <w:r w:rsidR="007A7A86" w:rsidRPr="00676406">
        <w:rPr>
          <w:rFonts w:ascii="Times New Roman" w:hAnsi="Times New Roman"/>
          <w:i/>
        </w:rPr>
        <w:t xml:space="preserve"> Score </w:t>
      </w:r>
      <w:proofErr w:type="spellStart"/>
      <w:r w:rsidR="007A7A86" w:rsidRPr="00676406">
        <w:rPr>
          <w:rFonts w:ascii="Times New Roman" w:hAnsi="Times New Roman"/>
          <w:i/>
        </w:rPr>
        <w:t>Matching</w:t>
      </w:r>
      <w:proofErr w:type="spellEnd"/>
      <w:r w:rsidR="007A7A86">
        <w:rPr>
          <w:rFonts w:ascii="Times New Roman" w:hAnsi="Times New Roman"/>
        </w:rPr>
        <w:t xml:space="preserve"> e por regressões baseadas em efeitos fixos. Observou-se que a expansão do financiamento ao investimento reduziu uma morte a cada 1.000 nascidos nos municípios beneficiados</w:t>
      </w:r>
      <w:r w:rsidR="00A90BA3">
        <w:rPr>
          <w:rFonts w:ascii="Times New Roman" w:hAnsi="Times New Roman"/>
        </w:rPr>
        <w:t xml:space="preserve"> por ano</w:t>
      </w:r>
      <w:r w:rsidR="007A7A86">
        <w:rPr>
          <w:rFonts w:ascii="Times New Roman" w:hAnsi="Times New Roman"/>
        </w:rPr>
        <w:t xml:space="preserve">. Os efeitos foram mais fortes nos municípios localizados nas regiões Norte e Nordeste, </w:t>
      </w:r>
      <w:r w:rsidR="000D4F97">
        <w:rPr>
          <w:rFonts w:ascii="Times New Roman" w:hAnsi="Times New Roman"/>
        </w:rPr>
        <w:t xml:space="preserve">sobre mortes por afecções no período perinatal </w:t>
      </w:r>
      <w:r w:rsidR="007A7A86">
        <w:rPr>
          <w:rFonts w:ascii="Times New Roman" w:hAnsi="Times New Roman"/>
        </w:rPr>
        <w:t xml:space="preserve">e sobre o peso </w:t>
      </w:r>
      <w:r w:rsidR="000D4F97">
        <w:rPr>
          <w:rFonts w:ascii="Times New Roman" w:hAnsi="Times New Roman"/>
        </w:rPr>
        <w:t xml:space="preserve">médio </w:t>
      </w:r>
      <w:r w:rsidR="007A7A86">
        <w:rPr>
          <w:rFonts w:ascii="Times New Roman" w:hAnsi="Times New Roman"/>
        </w:rPr>
        <w:t>do recém-nascido.</w:t>
      </w:r>
    </w:p>
    <w:p w:rsidR="0051282D" w:rsidRDefault="0051282D" w:rsidP="00514949">
      <w:pPr>
        <w:pStyle w:val="BNDES"/>
        <w:spacing w:after="120"/>
        <w:rPr>
          <w:rFonts w:ascii="Times New Roman" w:hAnsi="Times New Roman"/>
        </w:rPr>
      </w:pPr>
      <w:r w:rsidRPr="006C01C1">
        <w:rPr>
          <w:rFonts w:ascii="Times New Roman" w:hAnsi="Times New Roman"/>
          <w:b/>
        </w:rPr>
        <w:t>Palavras-chave:</w:t>
      </w:r>
      <w:r w:rsidR="005118E2">
        <w:rPr>
          <w:rFonts w:ascii="Times New Roman" w:hAnsi="Times New Roman"/>
        </w:rPr>
        <w:t xml:space="preserve"> saneamento; avaliação de </w:t>
      </w:r>
      <w:r w:rsidR="000D4F97">
        <w:rPr>
          <w:rFonts w:ascii="Times New Roman" w:hAnsi="Times New Roman"/>
        </w:rPr>
        <w:t>política pública</w:t>
      </w:r>
      <w:r w:rsidR="005118E2">
        <w:rPr>
          <w:rFonts w:ascii="Times New Roman" w:hAnsi="Times New Roman"/>
        </w:rPr>
        <w:t>; saúde infantil; dados em painel; pareamento.</w:t>
      </w:r>
    </w:p>
    <w:p w:rsidR="0051282D" w:rsidRDefault="0051282D" w:rsidP="00514949">
      <w:pPr>
        <w:pStyle w:val="BNDES"/>
        <w:spacing w:after="120"/>
        <w:rPr>
          <w:rFonts w:ascii="Times New Roman" w:hAnsi="Times New Roman"/>
        </w:rPr>
      </w:pPr>
      <w:r w:rsidRPr="006C01C1">
        <w:rPr>
          <w:rFonts w:ascii="Times New Roman" w:hAnsi="Times New Roman"/>
          <w:b/>
        </w:rPr>
        <w:t>Código JEL:</w:t>
      </w:r>
      <w:r w:rsidR="005118E2">
        <w:rPr>
          <w:rFonts w:ascii="Times New Roman" w:hAnsi="Times New Roman"/>
        </w:rPr>
        <w:t xml:space="preserve"> C23, I18, H75.</w:t>
      </w:r>
    </w:p>
    <w:p w:rsidR="005118E2" w:rsidRDefault="005118E2" w:rsidP="00514949">
      <w:pPr>
        <w:pStyle w:val="BNDES"/>
        <w:spacing w:after="120"/>
        <w:rPr>
          <w:rFonts w:ascii="Times New Roman" w:hAnsi="Times New Roman"/>
        </w:rPr>
      </w:pPr>
    </w:p>
    <w:p w:rsidR="0051282D" w:rsidRDefault="000D4F97" w:rsidP="00514949">
      <w:pPr>
        <w:pStyle w:val="BNDES"/>
        <w:spacing w:after="120"/>
        <w:rPr>
          <w:rFonts w:ascii="Times New Roman" w:hAnsi="Times New Roman"/>
        </w:rPr>
      </w:pPr>
      <w:r w:rsidRPr="000D4F97">
        <w:rPr>
          <w:rFonts w:ascii="Times New Roman" w:hAnsi="Times New Roman"/>
          <w:b/>
        </w:rPr>
        <w:t>Abstract:</w:t>
      </w:r>
      <w:r>
        <w:rPr>
          <w:rFonts w:ascii="Times New Roman" w:hAnsi="Times New Roman"/>
        </w:rPr>
        <w:t xml:space="preserve"> </w:t>
      </w:r>
      <w:proofErr w:type="spellStart"/>
      <w:r w:rsidR="00A90BA3" w:rsidRPr="00A90BA3">
        <w:rPr>
          <w:rFonts w:ascii="Times New Roman" w:hAnsi="Times New Roman"/>
        </w:rPr>
        <w:t>This</w:t>
      </w:r>
      <w:proofErr w:type="spellEnd"/>
      <w:r w:rsidR="00A90BA3" w:rsidRPr="00A90BA3">
        <w:rPr>
          <w:rFonts w:ascii="Times New Roman" w:hAnsi="Times New Roman"/>
        </w:rPr>
        <w:t xml:space="preserve"> </w:t>
      </w:r>
      <w:proofErr w:type="spellStart"/>
      <w:r w:rsidR="00A90BA3" w:rsidRPr="00A90BA3">
        <w:rPr>
          <w:rFonts w:ascii="Times New Roman" w:hAnsi="Times New Roman"/>
        </w:rPr>
        <w:t>article</w:t>
      </w:r>
      <w:proofErr w:type="spellEnd"/>
      <w:r w:rsidR="00A90BA3" w:rsidRPr="00A90BA3">
        <w:rPr>
          <w:rFonts w:ascii="Times New Roman" w:hAnsi="Times New Roman"/>
        </w:rPr>
        <w:t xml:space="preserve"> </w:t>
      </w:r>
      <w:proofErr w:type="spellStart"/>
      <w:r w:rsidR="00A90BA3" w:rsidRPr="00A90BA3">
        <w:rPr>
          <w:rFonts w:ascii="Times New Roman" w:hAnsi="Times New Roman"/>
        </w:rPr>
        <w:t>aims</w:t>
      </w:r>
      <w:proofErr w:type="spell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analyze</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effects</w:t>
      </w:r>
      <w:proofErr w:type="spellEnd"/>
      <w:r w:rsidR="00A90BA3" w:rsidRPr="00A90BA3">
        <w:rPr>
          <w:rFonts w:ascii="Times New Roman" w:hAnsi="Times New Roman"/>
        </w:rPr>
        <w:t xml:space="preserv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expansion</w:t>
      </w:r>
      <w:proofErr w:type="spellEnd"/>
      <w:r w:rsidR="00A90BA3" w:rsidRPr="00A90BA3">
        <w:rPr>
          <w:rFonts w:ascii="Times New Roman" w:hAnsi="Times New Roman"/>
        </w:rPr>
        <w:t xml:space="preserv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proofErr w:type="gramStart"/>
      <w:r w:rsidR="00A90BA3" w:rsidRPr="00A90BA3">
        <w:rPr>
          <w:rFonts w:ascii="Times New Roman" w:hAnsi="Times New Roman"/>
        </w:rPr>
        <w:t>access</w:t>
      </w:r>
      <w:proofErr w:type="spellEnd"/>
      <w:proofErr w:type="gram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resources</w:t>
      </w:r>
      <w:proofErr w:type="spellEnd"/>
      <w:r w:rsidR="00A90BA3" w:rsidRPr="00A90BA3">
        <w:rPr>
          <w:rFonts w:ascii="Times New Roman" w:hAnsi="Times New Roman"/>
        </w:rPr>
        <w:t xml:space="preserve"> for </w:t>
      </w:r>
      <w:proofErr w:type="spellStart"/>
      <w:r w:rsidR="00A90BA3" w:rsidRPr="00A90BA3">
        <w:rPr>
          <w:rFonts w:ascii="Times New Roman" w:hAnsi="Times New Roman"/>
        </w:rPr>
        <w:t>investments</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sanitary</w:t>
      </w:r>
      <w:proofErr w:type="spellEnd"/>
      <w:r w:rsidR="00A90BA3" w:rsidRPr="00A90BA3">
        <w:rPr>
          <w:rFonts w:ascii="Times New Roman" w:hAnsi="Times New Roman"/>
        </w:rPr>
        <w:t xml:space="preserve"> </w:t>
      </w:r>
      <w:proofErr w:type="spellStart"/>
      <w:r w:rsidR="00A90BA3" w:rsidRPr="00A90BA3">
        <w:rPr>
          <w:rFonts w:ascii="Times New Roman" w:hAnsi="Times New Roman"/>
        </w:rPr>
        <w:t>sewage</w:t>
      </w:r>
      <w:proofErr w:type="spellEnd"/>
      <w:r w:rsidR="00A90BA3" w:rsidRPr="00A90BA3">
        <w:rPr>
          <w:rFonts w:ascii="Times New Roman" w:hAnsi="Times New Roman"/>
        </w:rPr>
        <w:t xml:space="preserve"> </w:t>
      </w:r>
      <w:proofErr w:type="spellStart"/>
      <w:r w:rsidR="00A90BA3" w:rsidRPr="00A90BA3">
        <w:rPr>
          <w:rFonts w:ascii="Times New Roman" w:hAnsi="Times New Roman"/>
        </w:rPr>
        <w:t>by</w:t>
      </w:r>
      <w:proofErr w:type="spellEnd"/>
      <w:r w:rsidR="00A90BA3" w:rsidRPr="00A90BA3">
        <w:rPr>
          <w:rFonts w:ascii="Times New Roman" w:hAnsi="Times New Roman"/>
        </w:rPr>
        <w:t xml:space="preserve"> </w:t>
      </w:r>
      <w:proofErr w:type="spellStart"/>
      <w:r w:rsidR="00A90BA3" w:rsidRPr="00A90BA3">
        <w:rPr>
          <w:rFonts w:ascii="Times New Roman" w:hAnsi="Times New Roman"/>
        </w:rPr>
        <w:t>Brazilian</w:t>
      </w:r>
      <w:proofErr w:type="spellEnd"/>
      <w:r w:rsidR="00A90BA3" w:rsidRPr="00A90BA3">
        <w:rPr>
          <w:rFonts w:ascii="Times New Roman" w:hAnsi="Times New Roman"/>
        </w:rPr>
        <w:t xml:space="preserve"> </w:t>
      </w:r>
      <w:proofErr w:type="spellStart"/>
      <w:r w:rsidR="00A90BA3" w:rsidRPr="00A90BA3">
        <w:rPr>
          <w:rFonts w:ascii="Times New Roman" w:hAnsi="Times New Roman"/>
        </w:rPr>
        <w:t>municipalities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on</w:t>
      </w:r>
      <w:proofErr w:type="spellEnd"/>
      <w:r w:rsidR="00A90BA3" w:rsidRPr="00A90BA3">
        <w:rPr>
          <w:rFonts w:ascii="Times New Roman" w:hAnsi="Times New Roman"/>
        </w:rPr>
        <w:t xml:space="preserve"> </w:t>
      </w:r>
      <w:proofErr w:type="spellStart"/>
      <w:r w:rsidR="00A90BA3" w:rsidRPr="00A90BA3">
        <w:rPr>
          <w:rFonts w:ascii="Times New Roman" w:hAnsi="Times New Roman"/>
        </w:rPr>
        <w:t>variables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related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child</w:t>
      </w:r>
      <w:proofErr w:type="spellEnd"/>
      <w:r w:rsidR="00A90BA3" w:rsidRPr="00A90BA3">
        <w:rPr>
          <w:rFonts w:ascii="Times New Roman" w:hAnsi="Times New Roman"/>
        </w:rPr>
        <w:t xml:space="preserve"> </w:t>
      </w:r>
      <w:proofErr w:type="spellStart"/>
      <w:r w:rsidR="00A90BA3" w:rsidRPr="00A90BA3">
        <w:rPr>
          <w:rFonts w:ascii="Times New Roman" w:hAnsi="Times New Roman"/>
        </w:rPr>
        <w:t>health</w:t>
      </w:r>
      <w:proofErr w:type="spellEnd"/>
      <w:r w:rsidR="00A90BA3" w:rsidRPr="00A90BA3">
        <w:rPr>
          <w:rFonts w:ascii="Times New Roman" w:hAnsi="Times New Roman"/>
        </w:rPr>
        <w:t xml:space="preserve">. More </w:t>
      </w:r>
      <w:proofErr w:type="spellStart"/>
      <w:r w:rsidR="00A90BA3" w:rsidRPr="00A90BA3">
        <w:rPr>
          <w:rFonts w:ascii="Times New Roman" w:hAnsi="Times New Roman"/>
        </w:rPr>
        <w:t>specifically</w:t>
      </w:r>
      <w:proofErr w:type="spellEnd"/>
      <w:r w:rsidR="00A90BA3" w:rsidRPr="00A90BA3">
        <w:rPr>
          <w:rFonts w:ascii="Times New Roman" w:hAnsi="Times New Roman"/>
        </w:rPr>
        <w:t xml:space="preserve">, it </w:t>
      </w:r>
      <w:proofErr w:type="spellStart"/>
      <w:r w:rsidR="00A90BA3" w:rsidRPr="00A90BA3">
        <w:rPr>
          <w:rFonts w:ascii="Times New Roman" w:hAnsi="Times New Roman"/>
        </w:rPr>
        <w:t>seeks</w:t>
      </w:r>
      <w:proofErr w:type="spell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verify</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impact</w:t>
      </w:r>
      <w:proofErr w:type="spellEnd"/>
      <w:r w:rsidR="00A90BA3" w:rsidRPr="00A90BA3">
        <w:rPr>
          <w:rFonts w:ascii="Times New Roman" w:hAnsi="Times New Roman"/>
        </w:rPr>
        <w:t xml:space="preserv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institutional</w:t>
      </w:r>
      <w:proofErr w:type="spellEnd"/>
      <w:r w:rsidR="00A90BA3" w:rsidRPr="00A90BA3">
        <w:rPr>
          <w:rFonts w:ascii="Times New Roman" w:hAnsi="Times New Roman"/>
        </w:rPr>
        <w:t xml:space="preserve"> </w:t>
      </w:r>
      <w:proofErr w:type="spellStart"/>
      <w:r w:rsidR="00A90BA3" w:rsidRPr="00A90BA3">
        <w:rPr>
          <w:rFonts w:ascii="Times New Roman" w:hAnsi="Times New Roman"/>
        </w:rPr>
        <w:t>changes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implemented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since</w:t>
      </w:r>
      <w:proofErr w:type="spellEnd"/>
      <w:r w:rsidR="00A90BA3" w:rsidRPr="00A90BA3">
        <w:rPr>
          <w:rFonts w:ascii="Times New Roman" w:hAnsi="Times New Roman"/>
        </w:rPr>
        <w:t xml:space="preserve"> 2007, </w:t>
      </w:r>
      <w:proofErr w:type="spellStart"/>
      <w:r w:rsidR="00A90BA3" w:rsidRPr="00A90BA3">
        <w:rPr>
          <w:rFonts w:ascii="Times New Roman" w:hAnsi="Times New Roman"/>
        </w:rPr>
        <w:t>which</w:t>
      </w:r>
      <w:proofErr w:type="spellEnd"/>
      <w:r w:rsidR="00A90BA3" w:rsidRPr="00A90BA3">
        <w:rPr>
          <w:rFonts w:ascii="Times New Roman" w:hAnsi="Times New Roman"/>
        </w:rPr>
        <w:t xml:space="preserve"> </w:t>
      </w:r>
      <w:proofErr w:type="spellStart"/>
      <w:r w:rsidR="00A90BA3" w:rsidRPr="00A90BA3">
        <w:rPr>
          <w:rFonts w:ascii="Times New Roman" w:hAnsi="Times New Roman"/>
        </w:rPr>
        <w:t>promoted</w:t>
      </w:r>
      <w:proofErr w:type="spellEnd"/>
      <w:r w:rsidR="00A90BA3" w:rsidRPr="00A90BA3">
        <w:rPr>
          <w:rFonts w:ascii="Times New Roman" w:hAnsi="Times New Roman"/>
        </w:rPr>
        <w:t xml:space="preserve"> a </w:t>
      </w:r>
      <w:proofErr w:type="spellStart"/>
      <w:r w:rsidR="00A90BA3" w:rsidRPr="00A90BA3">
        <w:rPr>
          <w:rFonts w:ascii="Times New Roman" w:hAnsi="Times New Roman"/>
        </w:rPr>
        <w:t>reduction</w:t>
      </w:r>
      <w:proofErr w:type="spellEnd"/>
      <w:r w:rsidR="00A90BA3" w:rsidRPr="00A90BA3">
        <w:rPr>
          <w:rFonts w:ascii="Times New Roman" w:hAnsi="Times New Roman"/>
        </w:rPr>
        <w:t xml:space="preserv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budget for </w:t>
      </w:r>
      <w:proofErr w:type="spellStart"/>
      <w:r w:rsidR="00A90BA3" w:rsidRPr="00A90BA3">
        <w:rPr>
          <w:rFonts w:ascii="Times New Roman" w:hAnsi="Times New Roman"/>
        </w:rPr>
        <w:t>investments</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basic</w:t>
      </w:r>
      <w:proofErr w:type="spellEnd"/>
      <w:r w:rsidR="00A90BA3" w:rsidRPr="00A90BA3">
        <w:rPr>
          <w:rFonts w:ascii="Times New Roman" w:hAnsi="Times New Roman"/>
        </w:rPr>
        <w:t xml:space="preserve"> </w:t>
      </w:r>
      <w:proofErr w:type="spellStart"/>
      <w:r w:rsidR="00A90BA3" w:rsidRPr="00A90BA3">
        <w:rPr>
          <w:rFonts w:ascii="Times New Roman" w:hAnsi="Times New Roman"/>
        </w:rPr>
        <w:t>sanitation</w:t>
      </w:r>
      <w:proofErr w:type="spellEnd"/>
      <w:r w:rsidR="00A90BA3" w:rsidRPr="00A90BA3">
        <w:rPr>
          <w:rFonts w:ascii="Times New Roman" w:hAnsi="Times New Roman"/>
        </w:rPr>
        <w:t xml:space="preserve">, </w:t>
      </w:r>
      <w:proofErr w:type="spellStart"/>
      <w:r w:rsidR="00A90BA3" w:rsidRPr="00A90BA3">
        <w:rPr>
          <w:rFonts w:ascii="Times New Roman" w:hAnsi="Times New Roman"/>
        </w:rPr>
        <w:t>which</w:t>
      </w:r>
      <w:proofErr w:type="spellEnd"/>
      <w:r w:rsidR="00A90BA3" w:rsidRPr="00A90BA3">
        <w:rPr>
          <w:rFonts w:ascii="Times New Roman" w:hAnsi="Times New Roman"/>
        </w:rPr>
        <w:t xml:space="preserve"> </w:t>
      </w:r>
      <w:proofErr w:type="spellStart"/>
      <w:r w:rsidR="00A90BA3" w:rsidRPr="00A90BA3">
        <w:rPr>
          <w:rFonts w:ascii="Times New Roman" w:hAnsi="Times New Roman"/>
        </w:rPr>
        <w:t>allowed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smaller</w:t>
      </w:r>
      <w:proofErr w:type="spellEnd"/>
      <w:r w:rsidR="00A90BA3" w:rsidRPr="00A90BA3">
        <w:rPr>
          <w:rFonts w:ascii="Times New Roman" w:hAnsi="Times New Roman"/>
        </w:rPr>
        <w:t xml:space="preserve"> </w:t>
      </w:r>
      <w:proofErr w:type="spellStart"/>
      <w:r w:rsidR="00A90BA3" w:rsidRPr="00A90BA3">
        <w:rPr>
          <w:rFonts w:ascii="Times New Roman" w:hAnsi="Times New Roman"/>
        </w:rPr>
        <w:t>municipalities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have</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long-term</w:t>
      </w:r>
      <w:proofErr w:type="spellEnd"/>
      <w:r w:rsidR="00A90BA3" w:rsidRPr="00A90BA3">
        <w:rPr>
          <w:rFonts w:ascii="Times New Roman" w:hAnsi="Times New Roman"/>
        </w:rPr>
        <w:t xml:space="preserve"> </w:t>
      </w:r>
      <w:proofErr w:type="spellStart"/>
      <w:r w:rsidR="00A90BA3" w:rsidRPr="00A90BA3">
        <w:rPr>
          <w:rFonts w:ascii="Times New Roman" w:hAnsi="Times New Roman"/>
        </w:rPr>
        <w:t>resources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invest</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industry</w:t>
      </w:r>
      <w:proofErr w:type="spellEnd"/>
      <w:r w:rsidR="00A90BA3" w:rsidRPr="00A90BA3">
        <w:rPr>
          <w:rFonts w:ascii="Times New Roman" w:hAnsi="Times New Roman"/>
        </w:rPr>
        <w:t xml:space="preserve">. The </w:t>
      </w:r>
      <w:proofErr w:type="gramStart"/>
      <w:r w:rsidR="00A90BA3" w:rsidRPr="00A90BA3">
        <w:rPr>
          <w:rFonts w:ascii="Times New Roman" w:hAnsi="Times New Roman"/>
        </w:rPr>
        <w:t>performance</w:t>
      </w:r>
      <w:proofErr w:type="gramEnd"/>
      <w:r w:rsidR="00A90BA3" w:rsidRPr="00A90BA3">
        <w:rPr>
          <w:rFonts w:ascii="Times New Roman" w:hAnsi="Times New Roman"/>
        </w:rPr>
        <w:t xml:space="preserv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municipalities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that</w:t>
      </w:r>
      <w:proofErr w:type="spellEnd"/>
      <w:r w:rsidR="00A90BA3" w:rsidRPr="00A90BA3">
        <w:rPr>
          <w:rFonts w:ascii="Times New Roman" w:hAnsi="Times New Roman"/>
        </w:rPr>
        <w:t xml:space="preserve"> </w:t>
      </w:r>
      <w:proofErr w:type="spellStart"/>
      <w:r w:rsidR="00A90BA3" w:rsidRPr="00A90BA3">
        <w:rPr>
          <w:rFonts w:ascii="Times New Roman" w:hAnsi="Times New Roman"/>
        </w:rPr>
        <w:t>started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invest</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sanitary</w:t>
      </w:r>
      <w:proofErr w:type="spellEnd"/>
      <w:r w:rsidR="00A90BA3" w:rsidRPr="00A90BA3">
        <w:rPr>
          <w:rFonts w:ascii="Times New Roman" w:hAnsi="Times New Roman"/>
        </w:rPr>
        <w:t xml:space="preserve"> </w:t>
      </w:r>
      <w:proofErr w:type="spellStart"/>
      <w:r w:rsidR="00A90BA3" w:rsidRPr="00A90BA3">
        <w:rPr>
          <w:rFonts w:ascii="Times New Roman" w:hAnsi="Times New Roman"/>
        </w:rPr>
        <w:t>sewage</w:t>
      </w:r>
      <w:proofErr w:type="spellEnd"/>
      <w:r w:rsidR="00A90BA3" w:rsidRPr="00A90BA3">
        <w:rPr>
          <w:rFonts w:ascii="Times New Roman" w:hAnsi="Times New Roman"/>
        </w:rPr>
        <w:t xml:space="preserve"> </w:t>
      </w:r>
      <w:proofErr w:type="spellStart"/>
      <w:r w:rsidR="00A90BA3" w:rsidRPr="00A90BA3">
        <w:rPr>
          <w:rFonts w:ascii="Times New Roman" w:hAnsi="Times New Roman"/>
        </w:rPr>
        <w:t>from</w:t>
      </w:r>
      <w:proofErr w:type="spellEnd"/>
      <w:r w:rsidR="00A90BA3" w:rsidRPr="00A90BA3">
        <w:rPr>
          <w:rFonts w:ascii="Times New Roman" w:hAnsi="Times New Roman"/>
        </w:rPr>
        <w:t xml:space="preserve"> 2009,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year</w:t>
      </w:r>
      <w:proofErr w:type="spellEnd"/>
      <w:r w:rsidR="00A90BA3" w:rsidRPr="00A90BA3">
        <w:rPr>
          <w:rFonts w:ascii="Times New Roman" w:hAnsi="Times New Roman"/>
        </w:rPr>
        <w:t xml:space="preserv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first</w:t>
      </w:r>
      <w:proofErr w:type="spellEnd"/>
      <w:r w:rsidR="00A90BA3" w:rsidRPr="00A90BA3">
        <w:rPr>
          <w:rFonts w:ascii="Times New Roman" w:hAnsi="Times New Roman"/>
        </w:rPr>
        <w:t xml:space="preserve"> </w:t>
      </w:r>
      <w:proofErr w:type="spellStart"/>
      <w:r w:rsidR="00A90BA3" w:rsidRPr="00A90BA3">
        <w:rPr>
          <w:rFonts w:ascii="Times New Roman" w:hAnsi="Times New Roman"/>
        </w:rPr>
        <w:t>disbursements</w:t>
      </w:r>
      <w:proofErr w:type="spellEnd"/>
      <w:r w:rsidR="00A90BA3" w:rsidRPr="00A90BA3">
        <w:rPr>
          <w:rFonts w:ascii="Times New Roman" w:hAnsi="Times New Roman"/>
        </w:rPr>
        <w:t xml:space="preserve"> </w:t>
      </w:r>
      <w:proofErr w:type="spellStart"/>
      <w:r w:rsidR="00A90BA3" w:rsidRPr="00A90BA3">
        <w:rPr>
          <w:rFonts w:ascii="Times New Roman" w:hAnsi="Times New Roman"/>
        </w:rPr>
        <w:t>related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institutional</w:t>
      </w:r>
      <w:proofErr w:type="spellEnd"/>
      <w:r w:rsidR="00A90BA3" w:rsidRPr="00A90BA3">
        <w:rPr>
          <w:rFonts w:ascii="Times New Roman" w:hAnsi="Times New Roman"/>
        </w:rPr>
        <w:t xml:space="preserve"> </w:t>
      </w:r>
      <w:proofErr w:type="spellStart"/>
      <w:r w:rsidR="00A90BA3" w:rsidRPr="00A90BA3">
        <w:rPr>
          <w:rFonts w:ascii="Times New Roman" w:hAnsi="Times New Roman"/>
        </w:rPr>
        <w:t>changes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was</w:t>
      </w:r>
      <w:proofErr w:type="spellEnd"/>
      <w:r w:rsidR="00A90BA3" w:rsidRPr="00A90BA3">
        <w:rPr>
          <w:rFonts w:ascii="Times New Roman" w:hAnsi="Times New Roman"/>
        </w:rPr>
        <w:t xml:space="preserve"> </w:t>
      </w:r>
      <w:proofErr w:type="spellStart"/>
      <w:r w:rsidR="00A90BA3" w:rsidRPr="00A90BA3">
        <w:rPr>
          <w:rFonts w:ascii="Times New Roman" w:hAnsi="Times New Roman"/>
        </w:rPr>
        <w:t>compared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with</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performance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municipalities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that</w:t>
      </w:r>
      <w:proofErr w:type="spellEnd"/>
      <w:r w:rsidR="00A90BA3" w:rsidRPr="00A90BA3">
        <w:rPr>
          <w:rFonts w:ascii="Times New Roman" w:hAnsi="Times New Roman"/>
        </w:rPr>
        <w:t xml:space="preserve"> </w:t>
      </w:r>
      <w:proofErr w:type="spellStart"/>
      <w:r w:rsidR="00A90BA3" w:rsidRPr="00A90BA3">
        <w:rPr>
          <w:rFonts w:ascii="Times New Roman" w:hAnsi="Times New Roman"/>
        </w:rPr>
        <w:t>never</w:t>
      </w:r>
      <w:proofErr w:type="spellEnd"/>
      <w:r w:rsidR="00A90BA3" w:rsidRPr="00A90BA3">
        <w:rPr>
          <w:rFonts w:ascii="Times New Roman" w:hAnsi="Times New Roman"/>
        </w:rPr>
        <w:t xml:space="preserve"> </w:t>
      </w:r>
      <w:proofErr w:type="spellStart"/>
      <w:r w:rsidR="00A90BA3" w:rsidRPr="00A90BA3">
        <w:rPr>
          <w:rFonts w:ascii="Times New Roman" w:hAnsi="Times New Roman"/>
        </w:rPr>
        <w:t>invested</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sector, </w:t>
      </w:r>
      <w:proofErr w:type="spellStart"/>
      <w:r w:rsidR="00A90BA3" w:rsidRPr="00A90BA3">
        <w:rPr>
          <w:rFonts w:ascii="Times New Roman" w:hAnsi="Times New Roman"/>
        </w:rPr>
        <w:t>through</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technique</w:t>
      </w:r>
      <w:proofErr w:type="spellEnd"/>
      <w:r w:rsidR="00A90BA3" w:rsidRPr="00A90BA3">
        <w:rPr>
          <w:rFonts w:ascii="Times New Roman" w:hAnsi="Times New Roman"/>
        </w:rPr>
        <w:t xml:space="preserve"> </w:t>
      </w:r>
      <w:proofErr w:type="spellStart"/>
      <w:r w:rsid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Propensity</w:t>
      </w:r>
      <w:proofErr w:type="spellEnd"/>
      <w:r w:rsidR="00A90BA3" w:rsidRPr="00A90BA3">
        <w:rPr>
          <w:rFonts w:ascii="Times New Roman" w:hAnsi="Times New Roman"/>
        </w:rPr>
        <w:t xml:space="preserve"> Score </w:t>
      </w:r>
      <w:proofErr w:type="spellStart"/>
      <w:r w:rsidR="00A90BA3" w:rsidRPr="00A90BA3">
        <w:rPr>
          <w:rFonts w:ascii="Times New Roman" w:hAnsi="Times New Roman"/>
        </w:rPr>
        <w:t>Matching</w:t>
      </w:r>
      <w:proofErr w:type="spellEnd"/>
      <w:r w:rsidR="00A90BA3" w:rsidRPr="00A90BA3">
        <w:rPr>
          <w:rFonts w:ascii="Times New Roman" w:hAnsi="Times New Roman"/>
        </w:rPr>
        <w:t xml:space="preserve"> </w:t>
      </w:r>
      <w:proofErr w:type="spellStart"/>
      <w:r w:rsidR="00A90BA3" w:rsidRPr="00A90BA3">
        <w:rPr>
          <w:rFonts w:ascii="Times New Roman" w:hAnsi="Times New Roman"/>
        </w:rPr>
        <w:t>and</w:t>
      </w:r>
      <w:proofErr w:type="spellEnd"/>
      <w:r w:rsidR="00A90BA3" w:rsidRPr="00A90BA3">
        <w:rPr>
          <w:rFonts w:ascii="Times New Roman" w:hAnsi="Times New Roman"/>
        </w:rPr>
        <w:t xml:space="preserve"> </w:t>
      </w:r>
      <w:proofErr w:type="spellStart"/>
      <w:r w:rsidR="00A90BA3" w:rsidRPr="00A90BA3">
        <w:rPr>
          <w:rFonts w:ascii="Times New Roman" w:hAnsi="Times New Roman"/>
        </w:rPr>
        <w:t>by</w:t>
      </w:r>
      <w:proofErr w:type="spellEnd"/>
      <w:r w:rsidR="00A90BA3" w:rsidRPr="00A90BA3">
        <w:rPr>
          <w:rFonts w:ascii="Times New Roman" w:hAnsi="Times New Roman"/>
        </w:rPr>
        <w:t xml:space="preserve"> </w:t>
      </w:r>
      <w:proofErr w:type="spellStart"/>
      <w:r w:rsidR="00A90BA3" w:rsidRPr="00A90BA3">
        <w:rPr>
          <w:rFonts w:ascii="Times New Roman" w:hAnsi="Times New Roman"/>
        </w:rPr>
        <w:t>regressions</w:t>
      </w:r>
      <w:proofErr w:type="spellEnd"/>
      <w:r w:rsidR="00A90BA3" w:rsidRPr="00A90BA3">
        <w:rPr>
          <w:rFonts w:ascii="Times New Roman" w:hAnsi="Times New Roman"/>
        </w:rPr>
        <w:t xml:space="preserve"> </w:t>
      </w:r>
      <w:proofErr w:type="spellStart"/>
      <w:r w:rsidR="00A90BA3" w:rsidRPr="00A90BA3">
        <w:rPr>
          <w:rFonts w:ascii="Times New Roman" w:hAnsi="Times New Roman"/>
        </w:rPr>
        <w:t>based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on</w:t>
      </w:r>
      <w:proofErr w:type="spellEnd"/>
      <w:r w:rsidR="00A90BA3" w:rsidRPr="00A90BA3">
        <w:rPr>
          <w:rFonts w:ascii="Times New Roman" w:hAnsi="Times New Roman"/>
        </w:rPr>
        <w:t xml:space="preserve"> </w:t>
      </w:r>
      <w:proofErr w:type="spellStart"/>
      <w:r w:rsidR="00A90BA3" w:rsidRPr="00A90BA3">
        <w:rPr>
          <w:rFonts w:ascii="Times New Roman" w:hAnsi="Times New Roman"/>
        </w:rPr>
        <w:t>fixed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effects</w:t>
      </w:r>
      <w:proofErr w:type="spellEnd"/>
      <w:r w:rsidR="00A90BA3" w:rsidRPr="00A90BA3">
        <w:rPr>
          <w:rFonts w:ascii="Times New Roman" w:hAnsi="Times New Roman"/>
        </w:rPr>
        <w:t xml:space="preserve">. It </w:t>
      </w:r>
      <w:proofErr w:type="spellStart"/>
      <w:r w:rsidR="00A90BA3" w:rsidRPr="00A90BA3">
        <w:rPr>
          <w:rFonts w:ascii="Times New Roman" w:hAnsi="Times New Roman"/>
        </w:rPr>
        <w:t>was</w:t>
      </w:r>
      <w:proofErr w:type="spellEnd"/>
      <w:r w:rsidR="00A90BA3" w:rsidRPr="00A90BA3">
        <w:rPr>
          <w:rFonts w:ascii="Times New Roman" w:hAnsi="Times New Roman"/>
        </w:rPr>
        <w:t xml:space="preserve"> </w:t>
      </w:r>
      <w:proofErr w:type="spellStart"/>
      <w:r w:rsidR="00A90BA3" w:rsidRPr="00A90BA3">
        <w:rPr>
          <w:rFonts w:ascii="Times New Roman" w:hAnsi="Times New Roman"/>
        </w:rPr>
        <w:t>observed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that</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expansion</w:t>
      </w:r>
      <w:proofErr w:type="spellEnd"/>
      <w:r w:rsidR="00A90BA3" w:rsidRPr="00A90BA3">
        <w:rPr>
          <w:rFonts w:ascii="Times New Roman" w:hAnsi="Times New Roman"/>
        </w:rPr>
        <w:t xml:space="preserv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investment</w:t>
      </w:r>
      <w:proofErr w:type="spellEnd"/>
      <w:r w:rsidR="00A90BA3" w:rsidRPr="00A90BA3">
        <w:rPr>
          <w:rFonts w:ascii="Times New Roman" w:hAnsi="Times New Roman"/>
        </w:rPr>
        <w:t xml:space="preserve"> </w:t>
      </w:r>
      <w:proofErr w:type="spellStart"/>
      <w:r w:rsidR="00A90BA3" w:rsidRPr="00A90BA3">
        <w:rPr>
          <w:rFonts w:ascii="Times New Roman" w:hAnsi="Times New Roman"/>
        </w:rPr>
        <w:t>financing</w:t>
      </w:r>
      <w:proofErr w:type="spellEnd"/>
      <w:r w:rsidR="00A90BA3" w:rsidRPr="00A90BA3">
        <w:rPr>
          <w:rFonts w:ascii="Times New Roman" w:hAnsi="Times New Roman"/>
        </w:rPr>
        <w:t xml:space="preserve"> </w:t>
      </w:r>
      <w:proofErr w:type="spellStart"/>
      <w:r w:rsidR="00A90BA3" w:rsidRPr="00A90BA3">
        <w:rPr>
          <w:rFonts w:ascii="Times New Roman" w:hAnsi="Times New Roman"/>
        </w:rPr>
        <w:t>reduced</w:t>
      </w:r>
      <w:proofErr w:type="spellEnd"/>
      <w:r w:rsidR="00A90BA3" w:rsidRPr="00A90BA3">
        <w:rPr>
          <w:rFonts w:ascii="Times New Roman" w:hAnsi="Times New Roman"/>
        </w:rPr>
        <w:t xml:space="preserve"> </w:t>
      </w:r>
      <w:proofErr w:type="spellStart"/>
      <w:r w:rsidR="00A90BA3" w:rsidRPr="00A90BA3">
        <w:rPr>
          <w:rFonts w:ascii="Times New Roman" w:hAnsi="Times New Roman"/>
        </w:rPr>
        <w:t>one</w:t>
      </w:r>
      <w:proofErr w:type="spellEnd"/>
      <w:r w:rsidR="00A90BA3" w:rsidRPr="00A90BA3">
        <w:rPr>
          <w:rFonts w:ascii="Times New Roman" w:hAnsi="Times New Roman"/>
        </w:rPr>
        <w:t xml:space="preserve"> </w:t>
      </w:r>
      <w:proofErr w:type="spellStart"/>
      <w:r w:rsidR="00A90BA3" w:rsidRPr="00A90BA3">
        <w:rPr>
          <w:rFonts w:ascii="Times New Roman" w:hAnsi="Times New Roman"/>
        </w:rPr>
        <w:t>death</w:t>
      </w:r>
      <w:proofErr w:type="spellEnd"/>
      <w:r w:rsidR="00A90BA3" w:rsidRPr="00A90BA3">
        <w:rPr>
          <w:rFonts w:ascii="Times New Roman" w:hAnsi="Times New Roman"/>
        </w:rPr>
        <w:t xml:space="preserve"> for </w:t>
      </w:r>
      <w:proofErr w:type="spellStart"/>
      <w:r w:rsidR="00A90BA3" w:rsidRPr="00A90BA3">
        <w:rPr>
          <w:rFonts w:ascii="Times New Roman" w:hAnsi="Times New Roman"/>
        </w:rPr>
        <w:t>every</w:t>
      </w:r>
      <w:proofErr w:type="spellEnd"/>
      <w:r w:rsidR="00A90BA3" w:rsidRPr="00A90BA3">
        <w:rPr>
          <w:rFonts w:ascii="Times New Roman" w:hAnsi="Times New Roman"/>
        </w:rPr>
        <w:t xml:space="preserve"> 1,000 </w:t>
      </w:r>
      <w:proofErr w:type="spellStart"/>
      <w:proofErr w:type="gramStart"/>
      <w:r w:rsidR="00A90BA3" w:rsidRPr="00A90BA3">
        <w:rPr>
          <w:rFonts w:ascii="Times New Roman" w:hAnsi="Times New Roman"/>
        </w:rPr>
        <w:t>born</w:t>
      </w:r>
      <w:proofErr w:type="spellEnd"/>
      <w:proofErr w:type="gramEnd"/>
      <w:r w:rsidR="00A90BA3" w:rsidRPr="00A90BA3">
        <w:rPr>
          <w:rFonts w:ascii="Times New Roman" w:hAnsi="Times New Roman"/>
        </w:rPr>
        <w:t xml:space="preserve"> in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beneficiary</w:t>
      </w:r>
      <w:proofErr w:type="spellEnd"/>
      <w:r w:rsidR="00A90BA3" w:rsidRPr="00A90BA3">
        <w:rPr>
          <w:rFonts w:ascii="Times New Roman" w:hAnsi="Times New Roman"/>
        </w:rPr>
        <w:t xml:space="preserve"> </w:t>
      </w:r>
      <w:proofErr w:type="spellStart"/>
      <w:r w:rsidR="00A90BA3" w:rsidRPr="00A90BA3">
        <w:rPr>
          <w:rFonts w:ascii="Times New Roman" w:hAnsi="Times New Roman"/>
        </w:rPr>
        <w:t>municipalities</w:t>
      </w:r>
      <w:proofErr w:type="spellEnd"/>
      <w:r w:rsidR="00A90BA3">
        <w:rPr>
          <w:rFonts w:ascii="Times New Roman" w:hAnsi="Times New Roman"/>
        </w:rPr>
        <w:t xml:space="preserve"> </w:t>
      </w:r>
      <w:proofErr w:type="spellStart"/>
      <w:r w:rsidR="00A90BA3">
        <w:rPr>
          <w:rFonts w:ascii="Times New Roman" w:hAnsi="Times New Roman"/>
        </w:rPr>
        <w:t>by</w:t>
      </w:r>
      <w:proofErr w:type="spellEnd"/>
      <w:r w:rsidR="00A90BA3">
        <w:rPr>
          <w:rFonts w:ascii="Times New Roman" w:hAnsi="Times New Roman"/>
        </w:rPr>
        <w:t xml:space="preserve"> </w:t>
      </w:r>
      <w:proofErr w:type="spellStart"/>
      <w:r w:rsidR="00A90BA3">
        <w:rPr>
          <w:rFonts w:ascii="Times New Roman" w:hAnsi="Times New Roman"/>
        </w:rPr>
        <w:t>year</w:t>
      </w:r>
      <w:proofErr w:type="spellEnd"/>
      <w:r w:rsidR="00A90BA3" w:rsidRPr="00A90BA3">
        <w:rPr>
          <w:rFonts w:ascii="Times New Roman" w:hAnsi="Times New Roman"/>
        </w:rPr>
        <w:t xml:space="preserve">. The </w:t>
      </w:r>
      <w:proofErr w:type="spellStart"/>
      <w:r w:rsidR="00A90BA3" w:rsidRPr="00A90BA3">
        <w:rPr>
          <w:rFonts w:ascii="Times New Roman" w:hAnsi="Times New Roman"/>
        </w:rPr>
        <w:t>effects</w:t>
      </w:r>
      <w:proofErr w:type="spellEnd"/>
      <w:r w:rsidR="00A90BA3" w:rsidRPr="00A90BA3">
        <w:rPr>
          <w:rFonts w:ascii="Times New Roman" w:hAnsi="Times New Roman"/>
        </w:rPr>
        <w:t xml:space="preserve"> </w:t>
      </w:r>
      <w:proofErr w:type="spellStart"/>
      <w:r w:rsidR="00A90BA3" w:rsidRPr="00A90BA3">
        <w:rPr>
          <w:rFonts w:ascii="Times New Roman" w:hAnsi="Times New Roman"/>
        </w:rPr>
        <w:t>were</w:t>
      </w:r>
      <w:proofErr w:type="spellEnd"/>
      <w:r w:rsidR="00A90BA3" w:rsidRPr="00A90BA3">
        <w:rPr>
          <w:rFonts w:ascii="Times New Roman" w:hAnsi="Times New Roman"/>
        </w:rPr>
        <w:t xml:space="preserve"> </w:t>
      </w:r>
      <w:proofErr w:type="spellStart"/>
      <w:r w:rsidR="00A90BA3" w:rsidRPr="00A90BA3">
        <w:rPr>
          <w:rFonts w:ascii="Times New Roman" w:hAnsi="Times New Roman"/>
        </w:rPr>
        <w:t>stronger</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municipalities</w:t>
      </w:r>
      <w:proofErr w:type="spellEnd"/>
      <w:r w:rsidR="00A90BA3" w:rsidRPr="00A90BA3">
        <w:rPr>
          <w:rFonts w:ascii="Times New Roman" w:hAnsi="Times New Roman"/>
        </w:rPr>
        <w:t xml:space="preserve"> </w:t>
      </w:r>
      <w:proofErr w:type="spellStart"/>
      <w:r w:rsidR="00A90BA3" w:rsidRPr="00A90BA3">
        <w:rPr>
          <w:rFonts w:ascii="Times New Roman" w:hAnsi="Times New Roman"/>
        </w:rPr>
        <w:t>located</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North </w:t>
      </w:r>
      <w:proofErr w:type="spellStart"/>
      <w:r w:rsidR="00A90BA3" w:rsidRPr="00A90BA3">
        <w:rPr>
          <w:rFonts w:ascii="Times New Roman" w:hAnsi="Times New Roman"/>
        </w:rPr>
        <w:t>and</w:t>
      </w:r>
      <w:proofErr w:type="spellEnd"/>
      <w:r w:rsidR="00A90BA3" w:rsidRPr="00A90BA3">
        <w:rPr>
          <w:rFonts w:ascii="Times New Roman" w:hAnsi="Times New Roman"/>
        </w:rPr>
        <w:t xml:space="preserve"> </w:t>
      </w:r>
      <w:proofErr w:type="spellStart"/>
      <w:r w:rsidR="00A90BA3" w:rsidRPr="00A90BA3">
        <w:rPr>
          <w:rFonts w:ascii="Times New Roman" w:hAnsi="Times New Roman"/>
        </w:rPr>
        <w:t>Northeast</w:t>
      </w:r>
      <w:proofErr w:type="spellEnd"/>
      <w:r w:rsidR="00A90BA3" w:rsidRPr="00A90BA3">
        <w:rPr>
          <w:rFonts w:ascii="Times New Roman" w:hAnsi="Times New Roman"/>
        </w:rPr>
        <w:t xml:space="preserve"> </w:t>
      </w:r>
      <w:proofErr w:type="spellStart"/>
      <w:r w:rsidR="00A90BA3" w:rsidRPr="00A90BA3">
        <w:rPr>
          <w:rFonts w:ascii="Times New Roman" w:hAnsi="Times New Roman"/>
        </w:rPr>
        <w:t>regions</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deaths</w:t>
      </w:r>
      <w:proofErr w:type="spellEnd"/>
      <w:r w:rsidR="00A90BA3" w:rsidRPr="00A90BA3">
        <w:rPr>
          <w:rFonts w:ascii="Times New Roman" w:hAnsi="Times New Roman"/>
        </w:rPr>
        <w:t xml:space="preserve"> </w:t>
      </w:r>
      <w:proofErr w:type="spellStart"/>
      <w:r w:rsidR="00A90BA3" w:rsidRPr="00A90BA3">
        <w:rPr>
          <w:rFonts w:ascii="Times New Roman" w:hAnsi="Times New Roman"/>
        </w:rPr>
        <w:t>due</w:t>
      </w:r>
      <w:proofErr w:type="spellEnd"/>
      <w:r w:rsidR="00A90BA3" w:rsidRPr="00A90BA3">
        <w:rPr>
          <w:rFonts w:ascii="Times New Roman" w:hAnsi="Times New Roman"/>
        </w:rPr>
        <w:t xml:space="preserve"> </w:t>
      </w:r>
      <w:proofErr w:type="spellStart"/>
      <w:r w:rsidR="00A90BA3" w:rsidRPr="00A90BA3">
        <w:rPr>
          <w:rFonts w:ascii="Times New Roman" w:hAnsi="Times New Roman"/>
        </w:rPr>
        <w:t>to</w:t>
      </w:r>
      <w:proofErr w:type="spellEnd"/>
      <w:r w:rsidR="00A90BA3" w:rsidRPr="00A90BA3">
        <w:rPr>
          <w:rFonts w:ascii="Times New Roman" w:hAnsi="Times New Roman"/>
        </w:rPr>
        <w:t xml:space="preserve"> </w:t>
      </w:r>
      <w:proofErr w:type="spellStart"/>
      <w:r w:rsidR="00A90BA3" w:rsidRPr="00A90BA3">
        <w:rPr>
          <w:rFonts w:ascii="Times New Roman" w:hAnsi="Times New Roman"/>
        </w:rPr>
        <w:t>conditions</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perinatal </w:t>
      </w:r>
      <w:proofErr w:type="spellStart"/>
      <w:r w:rsidR="00A90BA3" w:rsidRPr="00A90BA3">
        <w:rPr>
          <w:rFonts w:ascii="Times New Roman" w:hAnsi="Times New Roman"/>
        </w:rPr>
        <w:t>period</w:t>
      </w:r>
      <w:proofErr w:type="spellEnd"/>
      <w:r w:rsidR="00A90BA3" w:rsidRPr="00A90BA3">
        <w:rPr>
          <w:rFonts w:ascii="Times New Roman" w:hAnsi="Times New Roman"/>
        </w:rPr>
        <w:t xml:space="preserve"> </w:t>
      </w:r>
      <w:proofErr w:type="spellStart"/>
      <w:r w:rsidR="00A90BA3" w:rsidRPr="00A90BA3">
        <w:rPr>
          <w:rFonts w:ascii="Times New Roman" w:hAnsi="Times New Roman"/>
        </w:rPr>
        <w:t>and</w:t>
      </w:r>
      <w:proofErr w:type="spellEnd"/>
      <w:r w:rsidR="00A90BA3" w:rsidRPr="00A90BA3">
        <w:rPr>
          <w:rFonts w:ascii="Times New Roman" w:hAnsi="Times New Roman"/>
        </w:rPr>
        <w:t xml:space="preserve"> in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mean</w:t>
      </w:r>
      <w:proofErr w:type="spellEnd"/>
      <w:r w:rsidR="00A90BA3" w:rsidRPr="00A90BA3">
        <w:rPr>
          <w:rFonts w:ascii="Times New Roman" w:hAnsi="Times New Roman"/>
        </w:rPr>
        <w:t xml:space="preserve"> </w:t>
      </w:r>
      <w:proofErr w:type="spellStart"/>
      <w:r w:rsidR="00A90BA3" w:rsidRPr="00A90BA3">
        <w:rPr>
          <w:rFonts w:ascii="Times New Roman" w:hAnsi="Times New Roman"/>
        </w:rPr>
        <w:t>weight</w:t>
      </w:r>
      <w:proofErr w:type="spellEnd"/>
      <w:r w:rsidR="00A90BA3" w:rsidRPr="00A90BA3">
        <w:rPr>
          <w:rFonts w:ascii="Times New Roman" w:hAnsi="Times New Roman"/>
        </w:rPr>
        <w:t xml:space="preserve"> </w:t>
      </w:r>
      <w:proofErr w:type="spellStart"/>
      <w:r w:rsidR="00A90BA3" w:rsidRPr="00A90BA3">
        <w:rPr>
          <w:rFonts w:ascii="Times New Roman" w:hAnsi="Times New Roman"/>
        </w:rPr>
        <w:t>of</w:t>
      </w:r>
      <w:proofErr w:type="spellEnd"/>
      <w:r w:rsidR="00A90BA3" w:rsidRPr="00A90BA3">
        <w:rPr>
          <w:rFonts w:ascii="Times New Roman" w:hAnsi="Times New Roman"/>
        </w:rPr>
        <w:t xml:space="preserve"> </w:t>
      </w:r>
      <w:proofErr w:type="spellStart"/>
      <w:r w:rsidR="00A90BA3" w:rsidRPr="00A90BA3">
        <w:rPr>
          <w:rFonts w:ascii="Times New Roman" w:hAnsi="Times New Roman"/>
        </w:rPr>
        <w:t>the</w:t>
      </w:r>
      <w:proofErr w:type="spellEnd"/>
      <w:r w:rsidR="00A90BA3" w:rsidRPr="00A90BA3">
        <w:rPr>
          <w:rFonts w:ascii="Times New Roman" w:hAnsi="Times New Roman"/>
        </w:rPr>
        <w:t xml:space="preserve"> </w:t>
      </w:r>
      <w:proofErr w:type="spellStart"/>
      <w:r w:rsidR="00A90BA3" w:rsidRPr="00A90BA3">
        <w:rPr>
          <w:rFonts w:ascii="Times New Roman" w:hAnsi="Times New Roman"/>
        </w:rPr>
        <w:t>newborn</w:t>
      </w:r>
      <w:proofErr w:type="spellEnd"/>
      <w:r w:rsidR="00A90BA3" w:rsidRPr="00A90BA3">
        <w:rPr>
          <w:rFonts w:ascii="Times New Roman" w:hAnsi="Times New Roman"/>
        </w:rPr>
        <w:t>.</w:t>
      </w:r>
    </w:p>
    <w:p w:rsidR="0051282D" w:rsidRDefault="0051282D" w:rsidP="00514949">
      <w:pPr>
        <w:pStyle w:val="BNDES"/>
        <w:spacing w:after="120"/>
        <w:rPr>
          <w:rFonts w:ascii="Times New Roman" w:hAnsi="Times New Roman"/>
        </w:rPr>
      </w:pPr>
      <w:proofErr w:type="spellStart"/>
      <w:r w:rsidRPr="000D4F97">
        <w:rPr>
          <w:rFonts w:ascii="Times New Roman" w:hAnsi="Times New Roman"/>
          <w:b/>
        </w:rPr>
        <w:t>Keywords</w:t>
      </w:r>
      <w:proofErr w:type="spellEnd"/>
      <w:r w:rsidR="006C01C1" w:rsidRPr="000D4F97">
        <w:rPr>
          <w:rFonts w:ascii="Times New Roman" w:hAnsi="Times New Roman"/>
          <w:b/>
        </w:rPr>
        <w:t>:</w:t>
      </w:r>
      <w:r w:rsidR="006C01C1">
        <w:rPr>
          <w:rFonts w:ascii="Times New Roman" w:hAnsi="Times New Roman"/>
        </w:rPr>
        <w:t xml:space="preserve"> </w:t>
      </w:r>
      <w:proofErr w:type="spellStart"/>
      <w:r w:rsidR="000D4F97" w:rsidRPr="000D4F97">
        <w:rPr>
          <w:rFonts w:ascii="Times New Roman" w:hAnsi="Times New Roman"/>
        </w:rPr>
        <w:t>sanitation</w:t>
      </w:r>
      <w:proofErr w:type="spellEnd"/>
      <w:r w:rsidR="000D4F97" w:rsidRPr="000D4F97">
        <w:rPr>
          <w:rFonts w:ascii="Times New Roman" w:hAnsi="Times New Roman"/>
        </w:rPr>
        <w:t xml:space="preserve">; </w:t>
      </w:r>
      <w:proofErr w:type="spellStart"/>
      <w:r w:rsidR="000D4F97" w:rsidRPr="000D4F97">
        <w:rPr>
          <w:rFonts w:ascii="Times New Roman" w:hAnsi="Times New Roman"/>
        </w:rPr>
        <w:t>public</w:t>
      </w:r>
      <w:proofErr w:type="spellEnd"/>
      <w:r w:rsidR="000D4F97" w:rsidRPr="000D4F97">
        <w:rPr>
          <w:rFonts w:ascii="Times New Roman" w:hAnsi="Times New Roman"/>
        </w:rPr>
        <w:t xml:space="preserve"> </w:t>
      </w:r>
      <w:proofErr w:type="spellStart"/>
      <w:r w:rsidR="000D4F97" w:rsidRPr="000D4F97">
        <w:rPr>
          <w:rFonts w:ascii="Times New Roman" w:hAnsi="Times New Roman"/>
        </w:rPr>
        <w:t>policy</w:t>
      </w:r>
      <w:proofErr w:type="spellEnd"/>
      <w:r w:rsidR="000D4F97" w:rsidRPr="000D4F97">
        <w:rPr>
          <w:rFonts w:ascii="Times New Roman" w:hAnsi="Times New Roman"/>
        </w:rPr>
        <w:t xml:space="preserve"> </w:t>
      </w:r>
      <w:proofErr w:type="spellStart"/>
      <w:r w:rsidR="000D4F97" w:rsidRPr="000D4F97">
        <w:rPr>
          <w:rFonts w:ascii="Times New Roman" w:hAnsi="Times New Roman"/>
        </w:rPr>
        <w:t>evaluation</w:t>
      </w:r>
      <w:proofErr w:type="spellEnd"/>
      <w:r w:rsidR="000D4F97" w:rsidRPr="000D4F97">
        <w:rPr>
          <w:rFonts w:ascii="Times New Roman" w:hAnsi="Times New Roman"/>
        </w:rPr>
        <w:t xml:space="preserve">; </w:t>
      </w:r>
      <w:proofErr w:type="spellStart"/>
      <w:r w:rsidR="000D4F97">
        <w:rPr>
          <w:rFonts w:ascii="Times New Roman" w:hAnsi="Times New Roman"/>
        </w:rPr>
        <w:t>c</w:t>
      </w:r>
      <w:r w:rsidR="000D4F97" w:rsidRPr="000D4F97">
        <w:rPr>
          <w:rFonts w:ascii="Times New Roman" w:hAnsi="Times New Roman"/>
        </w:rPr>
        <w:t>hildren's</w:t>
      </w:r>
      <w:proofErr w:type="spellEnd"/>
      <w:r w:rsidR="000D4F97" w:rsidRPr="000D4F97">
        <w:rPr>
          <w:rFonts w:ascii="Times New Roman" w:hAnsi="Times New Roman"/>
        </w:rPr>
        <w:t xml:space="preserve"> </w:t>
      </w:r>
      <w:proofErr w:type="spellStart"/>
      <w:r w:rsidR="000D4F97" w:rsidRPr="000D4F97">
        <w:rPr>
          <w:rFonts w:ascii="Times New Roman" w:hAnsi="Times New Roman"/>
        </w:rPr>
        <w:t>health</w:t>
      </w:r>
      <w:proofErr w:type="spellEnd"/>
      <w:r w:rsidR="000D4F97" w:rsidRPr="000D4F97">
        <w:rPr>
          <w:rFonts w:ascii="Times New Roman" w:hAnsi="Times New Roman"/>
        </w:rPr>
        <w:t xml:space="preserve">; </w:t>
      </w:r>
      <w:proofErr w:type="spellStart"/>
      <w:r w:rsidR="000D4F97" w:rsidRPr="000D4F97">
        <w:rPr>
          <w:rFonts w:ascii="Times New Roman" w:hAnsi="Times New Roman"/>
        </w:rPr>
        <w:t>panel</w:t>
      </w:r>
      <w:proofErr w:type="spellEnd"/>
      <w:r w:rsidR="000D4F97" w:rsidRPr="000D4F97">
        <w:rPr>
          <w:rFonts w:ascii="Times New Roman" w:hAnsi="Times New Roman"/>
        </w:rPr>
        <w:t xml:space="preserve"> data; </w:t>
      </w:r>
      <w:proofErr w:type="spellStart"/>
      <w:r w:rsidR="000D4F97">
        <w:rPr>
          <w:rFonts w:ascii="Times New Roman" w:hAnsi="Times New Roman"/>
        </w:rPr>
        <w:t>matching</w:t>
      </w:r>
      <w:proofErr w:type="spellEnd"/>
      <w:r w:rsidR="000D4F97" w:rsidRPr="000D4F97">
        <w:rPr>
          <w:rFonts w:ascii="Times New Roman" w:hAnsi="Times New Roman"/>
        </w:rPr>
        <w:t>.</w:t>
      </w:r>
    </w:p>
    <w:p w:rsidR="0051282D" w:rsidRDefault="005118E2" w:rsidP="00514949">
      <w:pPr>
        <w:rPr>
          <w:rFonts w:ascii="Times New Roman" w:hAnsi="Times New Roman"/>
        </w:rPr>
      </w:pPr>
      <w:r w:rsidRPr="000D4F97">
        <w:rPr>
          <w:rFonts w:ascii="Times New Roman" w:hAnsi="Times New Roman"/>
          <w:b/>
        </w:rPr>
        <w:t xml:space="preserve">JEL </w:t>
      </w:r>
      <w:proofErr w:type="spellStart"/>
      <w:r w:rsidRPr="000D4F97">
        <w:rPr>
          <w:rFonts w:ascii="Times New Roman" w:hAnsi="Times New Roman"/>
          <w:b/>
        </w:rPr>
        <w:t>Code</w:t>
      </w:r>
      <w:proofErr w:type="spellEnd"/>
      <w:r w:rsidRPr="000D4F97">
        <w:rPr>
          <w:rFonts w:ascii="Times New Roman" w:hAnsi="Times New Roman"/>
          <w:b/>
        </w:rPr>
        <w:t>:</w:t>
      </w:r>
      <w:r>
        <w:rPr>
          <w:rFonts w:ascii="Times New Roman" w:hAnsi="Times New Roman"/>
        </w:rPr>
        <w:t xml:space="preserve"> </w:t>
      </w:r>
      <w:r>
        <w:rPr>
          <w:rFonts w:ascii="Times New Roman" w:hAnsi="Times New Roman"/>
        </w:rPr>
        <w:t>C23, I18, H75.</w:t>
      </w:r>
      <w:r w:rsidR="0051282D">
        <w:rPr>
          <w:rFonts w:ascii="Times New Roman" w:hAnsi="Times New Roman"/>
        </w:rPr>
        <w:br w:type="page"/>
      </w:r>
    </w:p>
    <w:p w:rsidR="0051282D" w:rsidRPr="008F6792" w:rsidRDefault="0051282D" w:rsidP="00514949">
      <w:pPr>
        <w:pStyle w:val="BNDES"/>
        <w:numPr>
          <w:ilvl w:val="0"/>
          <w:numId w:val="1"/>
        </w:numPr>
        <w:spacing w:after="120"/>
        <w:ind w:left="284" w:hanging="284"/>
        <w:rPr>
          <w:rFonts w:ascii="Times New Roman" w:hAnsi="Times New Roman"/>
          <w:b/>
        </w:rPr>
      </w:pPr>
      <w:r w:rsidRPr="008F6792">
        <w:rPr>
          <w:rFonts w:ascii="Times New Roman" w:hAnsi="Times New Roman"/>
          <w:b/>
        </w:rPr>
        <w:lastRenderedPageBreak/>
        <w:t>Introdução</w:t>
      </w:r>
    </w:p>
    <w:p w:rsidR="007D6AC9" w:rsidRDefault="007D71E6" w:rsidP="00800096">
      <w:pPr>
        <w:pStyle w:val="BNDES"/>
        <w:spacing w:after="120"/>
        <w:rPr>
          <w:rFonts w:ascii="Times New Roman" w:hAnsi="Times New Roman"/>
        </w:rPr>
      </w:pPr>
      <w:r>
        <w:rPr>
          <w:rFonts w:ascii="Times New Roman" w:hAnsi="Times New Roman"/>
        </w:rPr>
        <w:t xml:space="preserve">O presente artigo procura analisar os efeitos </w:t>
      </w:r>
      <w:r w:rsidR="00A90BA3">
        <w:rPr>
          <w:rFonts w:ascii="Times New Roman" w:hAnsi="Times New Roman"/>
        </w:rPr>
        <w:t>da expansão no acesso a recursos para investimentos em esgotamento sanitário por parte dos municípios brasileiros, ocorrid</w:t>
      </w:r>
      <w:r w:rsidR="00A90BA3">
        <w:rPr>
          <w:rFonts w:ascii="Times New Roman" w:hAnsi="Times New Roman"/>
        </w:rPr>
        <w:t>a</w:t>
      </w:r>
      <w:r w:rsidR="00A90BA3">
        <w:rPr>
          <w:rFonts w:ascii="Times New Roman" w:hAnsi="Times New Roman"/>
        </w:rPr>
        <w:t xml:space="preserve"> no período recente</w:t>
      </w:r>
      <w:r w:rsidR="00A90BA3">
        <w:rPr>
          <w:rFonts w:ascii="Times New Roman" w:hAnsi="Times New Roman"/>
        </w:rPr>
        <w:t xml:space="preserve">, </w:t>
      </w:r>
      <w:r>
        <w:rPr>
          <w:rFonts w:ascii="Times New Roman" w:hAnsi="Times New Roman"/>
        </w:rPr>
        <w:t>sobre variáveis relacionadas à saúde infantil. Mais especificamente, procura-se aqui verificar o impacto das mudanças institucionais a partir de 2007, as quais permitiram que municípios de menor porte passassem a dispor de recursos de longo prazo para investir em saneamento.</w:t>
      </w:r>
    </w:p>
    <w:p w:rsidR="00800096" w:rsidRPr="00800096" w:rsidRDefault="00800096" w:rsidP="00800096">
      <w:pPr>
        <w:pStyle w:val="BNDES"/>
        <w:spacing w:after="120"/>
        <w:rPr>
          <w:rFonts w:ascii="Times New Roman" w:hAnsi="Times New Roman"/>
        </w:rPr>
      </w:pPr>
      <w:r w:rsidRPr="00800096">
        <w:rPr>
          <w:rFonts w:ascii="Times New Roman" w:hAnsi="Times New Roman"/>
        </w:rPr>
        <w:t xml:space="preserve">O saneamento é um direito humano fundamental, reconhecido pela Organização das Nações Unidas (ONU) </w:t>
      </w:r>
      <w:r w:rsidR="00A90BA3">
        <w:rPr>
          <w:rFonts w:ascii="Times New Roman" w:hAnsi="Times New Roman"/>
        </w:rPr>
        <w:t xml:space="preserve">através da </w:t>
      </w:r>
      <w:r w:rsidR="00A90BA3" w:rsidRPr="00A90BA3">
        <w:rPr>
          <w:rFonts w:ascii="Times New Roman" w:hAnsi="Times New Roman"/>
        </w:rPr>
        <w:t>Resolução A/RES/64/292</w:t>
      </w:r>
      <w:r w:rsidR="00A90BA3">
        <w:rPr>
          <w:rFonts w:ascii="Times New Roman" w:hAnsi="Times New Roman"/>
        </w:rPr>
        <w:t>, de 28 de julho de</w:t>
      </w:r>
      <w:r w:rsidRPr="00800096">
        <w:rPr>
          <w:rFonts w:ascii="Times New Roman" w:hAnsi="Times New Roman"/>
        </w:rPr>
        <w:t xml:space="preserve"> 2010. Além de ser um elemento essencial da saúde pública e de um padrão de vida digno, agrega benefícios ao meio ambiente, à produtividade da força de trabalho e da educação infantil, geração de empregos, valorização imobiliária, aumento do turismo, além de outras vantagens. Soma-se a isso também a geração de emprego e renda que os investimentos no setor são capazes de gerar.</w:t>
      </w:r>
      <w:r w:rsidR="004F670C" w:rsidRPr="004F670C">
        <w:rPr>
          <w:rFonts w:ascii="Times New Roman" w:hAnsi="Times New Roman"/>
        </w:rPr>
        <w:t xml:space="preserve"> </w:t>
      </w:r>
      <w:r w:rsidRPr="00800096">
        <w:rPr>
          <w:rFonts w:ascii="Times New Roman" w:hAnsi="Times New Roman"/>
        </w:rPr>
        <w:t xml:space="preserve">Assim, observa-se que a falta de saneamento gera custos sociais relevantes e sua universalização, por outro lado, pode levar a ganhos para a economia. Para países em desenvolvimento, foi estimado que cada dólar investido no setor </w:t>
      </w:r>
      <w:proofErr w:type="gramStart"/>
      <w:r w:rsidRPr="00800096">
        <w:rPr>
          <w:rFonts w:ascii="Times New Roman" w:hAnsi="Times New Roman"/>
        </w:rPr>
        <w:t>pode</w:t>
      </w:r>
      <w:proofErr w:type="gramEnd"/>
      <w:r w:rsidRPr="00800096">
        <w:rPr>
          <w:rFonts w:ascii="Times New Roman" w:hAnsi="Times New Roman"/>
        </w:rPr>
        <w:t xml:space="preserve"> gerar um retorno de US$ 5 a US$ 28 para a economia</w:t>
      </w:r>
      <w:r w:rsidR="00F604C4">
        <w:rPr>
          <w:rFonts w:ascii="Times New Roman" w:hAnsi="Times New Roman"/>
        </w:rPr>
        <w:t xml:space="preserve"> </w:t>
      </w:r>
      <w:r w:rsidR="00F604C4" w:rsidRPr="00800096">
        <w:rPr>
          <w:rFonts w:ascii="Times New Roman" w:hAnsi="Times New Roman"/>
        </w:rPr>
        <w:t>(UNESCO, 2015)</w:t>
      </w:r>
      <w:r w:rsidRPr="00800096">
        <w:rPr>
          <w:rFonts w:ascii="Times New Roman" w:hAnsi="Times New Roman"/>
        </w:rPr>
        <w:t>.</w:t>
      </w:r>
      <w:r w:rsidR="00F604C4" w:rsidRPr="00F604C4">
        <w:rPr>
          <w:rFonts w:ascii="Times New Roman" w:hAnsi="Times New Roman"/>
        </w:rPr>
        <w:t xml:space="preserve"> </w:t>
      </w:r>
      <w:r w:rsidR="00F604C4">
        <w:rPr>
          <w:rFonts w:ascii="Times New Roman" w:hAnsi="Times New Roman"/>
        </w:rPr>
        <w:t>Portanto, a provisão adequada de saneamento básico pode ser interpretada como uma marca de desenvolvimento econômico.</w:t>
      </w:r>
    </w:p>
    <w:p w:rsidR="00800096" w:rsidRDefault="00F604C4" w:rsidP="00800096">
      <w:pPr>
        <w:pStyle w:val="BNDES"/>
        <w:spacing w:after="120"/>
        <w:rPr>
          <w:rFonts w:ascii="Times New Roman" w:hAnsi="Times New Roman"/>
        </w:rPr>
      </w:pPr>
      <w:r>
        <w:rPr>
          <w:rFonts w:ascii="Times New Roman" w:hAnsi="Times New Roman"/>
        </w:rPr>
        <w:t xml:space="preserve">O Brasil possui um déficit crônico de cobertura de saneamento básico. </w:t>
      </w:r>
      <w:r w:rsidR="00AE2A68">
        <w:rPr>
          <w:rFonts w:ascii="Times New Roman" w:hAnsi="Times New Roman"/>
        </w:rPr>
        <w:t>A deficiência é mais grave n</w:t>
      </w:r>
      <w:r>
        <w:rPr>
          <w:rFonts w:ascii="Times New Roman" w:hAnsi="Times New Roman"/>
        </w:rPr>
        <w:t>o que se refere à cobertura de esgoto,</w:t>
      </w:r>
      <w:r w:rsidR="00AE2A68">
        <w:rPr>
          <w:rFonts w:ascii="Times New Roman" w:hAnsi="Times New Roman"/>
        </w:rPr>
        <w:t xml:space="preserve"> já que</w:t>
      </w:r>
      <w:r>
        <w:rPr>
          <w:rFonts w:ascii="Times New Roman" w:hAnsi="Times New Roman"/>
        </w:rPr>
        <w:t xml:space="preserve"> </w:t>
      </w:r>
      <w:proofErr w:type="gramStart"/>
      <w:r>
        <w:rPr>
          <w:rFonts w:ascii="Times New Roman" w:hAnsi="Times New Roman"/>
        </w:rPr>
        <w:t>estima-se</w:t>
      </w:r>
      <w:proofErr w:type="gramEnd"/>
      <w:r>
        <w:rPr>
          <w:rFonts w:ascii="Times New Roman" w:hAnsi="Times New Roman"/>
        </w:rPr>
        <w:t xml:space="preserve"> que o percentual de atendimento, em 2016, era de apenas 52,4% da população brasileira. D</w:t>
      </w:r>
      <w:r w:rsidR="00800096" w:rsidRPr="00800096">
        <w:rPr>
          <w:rFonts w:ascii="Times New Roman" w:hAnsi="Times New Roman"/>
        </w:rPr>
        <w:t>iante disso, deve-se observar o quadro de prestação desses serviços no Brasil com preocupação, tanto no que diz respeito ao déficit total do acesso aos serviços, quanto no que concerne às discrepâncias regionais (Tabela 1).</w:t>
      </w:r>
    </w:p>
    <w:p w:rsidR="00800096" w:rsidRDefault="00800096" w:rsidP="00800096">
      <w:pPr>
        <w:pStyle w:val="BNDES"/>
        <w:spacing w:after="120"/>
        <w:rPr>
          <w:rFonts w:ascii="Times New Roman" w:hAnsi="Times New Roman"/>
        </w:rPr>
      </w:pPr>
    </w:p>
    <w:p w:rsidR="00F604C4" w:rsidRDefault="00F604C4" w:rsidP="00F604C4">
      <w:pPr>
        <w:pStyle w:val="BNDES"/>
        <w:spacing w:after="120"/>
        <w:jc w:val="center"/>
        <w:rPr>
          <w:rFonts w:ascii="Times New Roman" w:hAnsi="Times New Roman"/>
        </w:rPr>
      </w:pPr>
      <w:r>
        <w:rPr>
          <w:rFonts w:ascii="Times New Roman" w:hAnsi="Times New Roman"/>
        </w:rPr>
        <w:t>Tabela 1: Prestação de Serviços de Saneamento Básico à População (2016)</w:t>
      </w:r>
    </w:p>
    <w:tbl>
      <w:tblPr>
        <w:tblW w:w="8018" w:type="dxa"/>
        <w:jc w:val="center"/>
        <w:tblInd w:w="-1312" w:type="dxa"/>
        <w:tblCellMar>
          <w:left w:w="70" w:type="dxa"/>
          <w:right w:w="70" w:type="dxa"/>
        </w:tblCellMar>
        <w:tblLook w:val="04A0" w:firstRow="1" w:lastRow="0" w:firstColumn="1" w:lastColumn="0" w:noHBand="0" w:noVBand="1"/>
      </w:tblPr>
      <w:tblGrid>
        <w:gridCol w:w="1540"/>
        <w:gridCol w:w="2175"/>
        <w:gridCol w:w="2132"/>
        <w:gridCol w:w="2171"/>
      </w:tblGrid>
      <w:tr w:rsidR="006F43CA" w:rsidRPr="006F43CA" w:rsidTr="004D1DEA">
        <w:trPr>
          <w:trHeight w:val="945"/>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43CA" w:rsidRPr="006F43CA" w:rsidRDefault="006F43CA" w:rsidP="006F43CA">
            <w:pPr>
              <w:jc w:val="center"/>
              <w:rPr>
                <w:rFonts w:ascii="Times New Roman" w:hAnsi="Times New Roman"/>
                <w:b/>
                <w:bCs/>
                <w:color w:val="000000"/>
              </w:rPr>
            </w:pPr>
            <w:r w:rsidRPr="006F43CA">
              <w:rPr>
                <w:rFonts w:ascii="Times New Roman" w:hAnsi="Times New Roman"/>
                <w:b/>
                <w:bCs/>
                <w:color w:val="000000"/>
              </w:rPr>
              <w:t>Região</w:t>
            </w:r>
          </w:p>
        </w:tc>
        <w:tc>
          <w:tcPr>
            <w:tcW w:w="2175" w:type="dxa"/>
            <w:tcBorders>
              <w:top w:val="single" w:sz="4" w:space="0" w:color="auto"/>
              <w:left w:val="nil"/>
              <w:bottom w:val="single" w:sz="4" w:space="0" w:color="auto"/>
              <w:right w:val="single" w:sz="4" w:space="0" w:color="auto"/>
            </w:tcBorders>
            <w:shd w:val="clear" w:color="auto" w:fill="auto"/>
            <w:vAlign w:val="center"/>
            <w:hideMark/>
          </w:tcPr>
          <w:p w:rsidR="006F43CA" w:rsidRPr="006F43CA" w:rsidRDefault="006F43CA" w:rsidP="006F43CA">
            <w:pPr>
              <w:jc w:val="center"/>
              <w:rPr>
                <w:rFonts w:ascii="Times New Roman" w:hAnsi="Times New Roman"/>
                <w:b/>
                <w:bCs/>
                <w:color w:val="000000"/>
              </w:rPr>
            </w:pPr>
            <w:r w:rsidRPr="006F43CA">
              <w:rPr>
                <w:rFonts w:ascii="Times New Roman" w:hAnsi="Times New Roman"/>
                <w:b/>
                <w:bCs/>
                <w:color w:val="000000"/>
              </w:rPr>
              <w:t>Água - índice de atendimento (%</w:t>
            </w:r>
            <w:proofErr w:type="gramStart"/>
            <w:r w:rsidRPr="006F43CA">
              <w:rPr>
                <w:rFonts w:ascii="Times New Roman" w:hAnsi="Times New Roman"/>
                <w:b/>
                <w:bCs/>
                <w:color w:val="000000"/>
              </w:rPr>
              <w:t>)</w:t>
            </w:r>
            <w:proofErr w:type="gramEnd"/>
            <w:r w:rsidRPr="006F43CA">
              <w:rPr>
                <w:rFonts w:ascii="Times New Roman" w:hAnsi="Times New Roman"/>
                <w:b/>
                <w:bCs/>
                <w:color w:val="000000"/>
              </w:rPr>
              <w:t>*</w:t>
            </w:r>
          </w:p>
        </w:tc>
        <w:tc>
          <w:tcPr>
            <w:tcW w:w="2132" w:type="dxa"/>
            <w:tcBorders>
              <w:top w:val="single" w:sz="4" w:space="0" w:color="auto"/>
              <w:left w:val="nil"/>
              <w:bottom w:val="single" w:sz="4" w:space="0" w:color="auto"/>
              <w:right w:val="single" w:sz="4" w:space="0" w:color="auto"/>
            </w:tcBorders>
            <w:shd w:val="clear" w:color="auto" w:fill="auto"/>
            <w:vAlign w:val="center"/>
            <w:hideMark/>
          </w:tcPr>
          <w:p w:rsidR="006F43CA" w:rsidRPr="006F43CA" w:rsidRDefault="006F43CA" w:rsidP="006F43CA">
            <w:pPr>
              <w:jc w:val="center"/>
              <w:rPr>
                <w:rFonts w:ascii="Times New Roman" w:hAnsi="Times New Roman"/>
                <w:b/>
                <w:bCs/>
                <w:color w:val="000000"/>
              </w:rPr>
            </w:pPr>
            <w:r w:rsidRPr="006F43CA">
              <w:rPr>
                <w:rFonts w:ascii="Times New Roman" w:hAnsi="Times New Roman"/>
                <w:b/>
                <w:bCs/>
                <w:color w:val="000000"/>
              </w:rPr>
              <w:t>Esgoto - índice de atendimento (%</w:t>
            </w:r>
            <w:proofErr w:type="gramStart"/>
            <w:r w:rsidRPr="006F43CA">
              <w:rPr>
                <w:rFonts w:ascii="Times New Roman" w:hAnsi="Times New Roman"/>
                <w:b/>
                <w:bCs/>
                <w:color w:val="000000"/>
              </w:rPr>
              <w:t>)</w:t>
            </w:r>
            <w:proofErr w:type="gramEnd"/>
            <w:r w:rsidRPr="006F43CA">
              <w:rPr>
                <w:rFonts w:ascii="Times New Roman" w:hAnsi="Times New Roman"/>
                <w:b/>
                <w:bCs/>
                <w:color w:val="000000"/>
              </w:rPr>
              <w:t>**</w:t>
            </w:r>
          </w:p>
        </w:tc>
        <w:tc>
          <w:tcPr>
            <w:tcW w:w="2171" w:type="dxa"/>
            <w:tcBorders>
              <w:top w:val="single" w:sz="4" w:space="0" w:color="auto"/>
              <w:left w:val="nil"/>
              <w:bottom w:val="single" w:sz="4" w:space="0" w:color="auto"/>
              <w:right w:val="single" w:sz="4" w:space="0" w:color="auto"/>
            </w:tcBorders>
            <w:shd w:val="clear" w:color="auto" w:fill="auto"/>
            <w:vAlign w:val="center"/>
            <w:hideMark/>
          </w:tcPr>
          <w:p w:rsidR="006F43CA" w:rsidRPr="006F43CA" w:rsidRDefault="004D1DEA" w:rsidP="006F43CA">
            <w:pPr>
              <w:jc w:val="center"/>
              <w:rPr>
                <w:rFonts w:ascii="Times New Roman" w:hAnsi="Times New Roman"/>
                <w:b/>
                <w:bCs/>
                <w:color w:val="000000"/>
              </w:rPr>
            </w:pPr>
            <w:r w:rsidRPr="006F43CA">
              <w:rPr>
                <w:rFonts w:ascii="Times New Roman" w:hAnsi="Times New Roman"/>
                <w:b/>
                <w:bCs/>
                <w:color w:val="000000"/>
              </w:rPr>
              <w:t>Esgoto</w:t>
            </w:r>
            <w:r w:rsidR="006F43CA" w:rsidRPr="006F43CA">
              <w:rPr>
                <w:rFonts w:ascii="Times New Roman" w:hAnsi="Times New Roman"/>
                <w:b/>
                <w:bCs/>
                <w:color w:val="000000"/>
              </w:rPr>
              <w:t xml:space="preserve"> - índice de tratamento (%</w:t>
            </w:r>
            <w:proofErr w:type="gramStart"/>
            <w:r w:rsidR="006F43CA" w:rsidRPr="006F43CA">
              <w:rPr>
                <w:rFonts w:ascii="Times New Roman" w:hAnsi="Times New Roman"/>
                <w:b/>
                <w:bCs/>
                <w:color w:val="000000"/>
              </w:rPr>
              <w:t>)</w:t>
            </w:r>
            <w:proofErr w:type="gramEnd"/>
            <w:r w:rsidR="006F43CA" w:rsidRPr="006F43CA">
              <w:rPr>
                <w:rFonts w:ascii="Times New Roman" w:hAnsi="Times New Roman"/>
                <w:b/>
                <w:bCs/>
                <w:color w:val="000000"/>
              </w:rPr>
              <w:t>***</w:t>
            </w:r>
          </w:p>
        </w:tc>
      </w:tr>
      <w:tr w:rsidR="006F43CA" w:rsidRPr="006F43CA" w:rsidTr="004D1DEA">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F43CA" w:rsidRPr="006F43CA" w:rsidRDefault="006F43CA" w:rsidP="006F43CA">
            <w:pPr>
              <w:rPr>
                <w:rFonts w:ascii="Times New Roman" w:hAnsi="Times New Roman"/>
                <w:color w:val="000000"/>
              </w:rPr>
            </w:pPr>
            <w:r w:rsidRPr="006F43CA">
              <w:rPr>
                <w:rFonts w:ascii="Times New Roman" w:hAnsi="Times New Roman"/>
                <w:color w:val="000000"/>
              </w:rPr>
              <w:t>Norte</w:t>
            </w:r>
          </w:p>
        </w:tc>
        <w:tc>
          <w:tcPr>
            <w:tcW w:w="2175"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57,5</w:t>
            </w:r>
          </w:p>
        </w:tc>
        <w:tc>
          <w:tcPr>
            <w:tcW w:w="2132"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10,2</w:t>
            </w:r>
          </w:p>
        </w:tc>
        <w:tc>
          <w:tcPr>
            <w:tcW w:w="2171"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22,6</w:t>
            </w:r>
          </w:p>
        </w:tc>
      </w:tr>
      <w:tr w:rsidR="006F43CA" w:rsidRPr="006F43CA" w:rsidTr="004D1DEA">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F43CA" w:rsidRPr="006F43CA" w:rsidRDefault="006F43CA" w:rsidP="006F43CA">
            <w:pPr>
              <w:rPr>
                <w:rFonts w:ascii="Times New Roman" w:hAnsi="Times New Roman"/>
                <w:color w:val="000000"/>
              </w:rPr>
            </w:pPr>
            <w:r w:rsidRPr="006F43CA">
              <w:rPr>
                <w:rFonts w:ascii="Times New Roman" w:hAnsi="Times New Roman"/>
                <w:color w:val="000000"/>
              </w:rPr>
              <w:t>Centro-Oeste</w:t>
            </w:r>
          </w:p>
        </w:tc>
        <w:tc>
          <w:tcPr>
            <w:tcW w:w="2175"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90,1</w:t>
            </w:r>
          </w:p>
        </w:tc>
        <w:tc>
          <w:tcPr>
            <w:tcW w:w="2132"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53,9</w:t>
            </w:r>
          </w:p>
        </w:tc>
        <w:tc>
          <w:tcPr>
            <w:tcW w:w="2171"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52</w:t>
            </w:r>
            <w:r w:rsidR="00A241E1">
              <w:rPr>
                <w:rFonts w:ascii="Times New Roman" w:hAnsi="Times New Roman"/>
                <w:color w:val="000000"/>
              </w:rPr>
              <w:t>,0</w:t>
            </w:r>
          </w:p>
        </w:tc>
      </w:tr>
      <w:tr w:rsidR="006F43CA" w:rsidRPr="006F43CA" w:rsidTr="004D1DEA">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F43CA" w:rsidRPr="006F43CA" w:rsidRDefault="006F43CA" w:rsidP="006F43CA">
            <w:pPr>
              <w:rPr>
                <w:rFonts w:ascii="Times New Roman" w:hAnsi="Times New Roman"/>
                <w:color w:val="000000"/>
              </w:rPr>
            </w:pPr>
            <w:r w:rsidRPr="006F43CA">
              <w:rPr>
                <w:rFonts w:ascii="Times New Roman" w:hAnsi="Times New Roman"/>
                <w:color w:val="000000"/>
              </w:rPr>
              <w:t>Nordeste</w:t>
            </w:r>
          </w:p>
        </w:tc>
        <w:tc>
          <w:tcPr>
            <w:tcW w:w="2175"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73,3</w:t>
            </w:r>
          </w:p>
        </w:tc>
        <w:tc>
          <w:tcPr>
            <w:tcW w:w="2132"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26,9</w:t>
            </w:r>
          </w:p>
        </w:tc>
        <w:tc>
          <w:tcPr>
            <w:tcW w:w="2171"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34,7</w:t>
            </w:r>
          </w:p>
        </w:tc>
      </w:tr>
      <w:tr w:rsidR="006F43CA" w:rsidRPr="006F43CA" w:rsidTr="004D1DEA">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F43CA" w:rsidRPr="006F43CA" w:rsidRDefault="006F43CA" w:rsidP="006F43CA">
            <w:pPr>
              <w:rPr>
                <w:rFonts w:ascii="Times New Roman" w:hAnsi="Times New Roman"/>
                <w:color w:val="000000"/>
              </w:rPr>
            </w:pPr>
            <w:r w:rsidRPr="006F43CA">
              <w:rPr>
                <w:rFonts w:ascii="Times New Roman" w:hAnsi="Times New Roman"/>
                <w:color w:val="000000"/>
              </w:rPr>
              <w:t>Sudeste</w:t>
            </w:r>
          </w:p>
        </w:tc>
        <w:tc>
          <w:tcPr>
            <w:tcW w:w="2175"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91,3</w:t>
            </w:r>
          </w:p>
        </w:tc>
        <w:tc>
          <w:tcPr>
            <w:tcW w:w="2132"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78,6</w:t>
            </w:r>
          </w:p>
        </w:tc>
        <w:tc>
          <w:tcPr>
            <w:tcW w:w="2171"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50,4</w:t>
            </w:r>
          </w:p>
        </w:tc>
      </w:tr>
      <w:tr w:rsidR="006F43CA" w:rsidRPr="006F43CA" w:rsidTr="004D1DEA">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F43CA" w:rsidRPr="006F43CA" w:rsidRDefault="006F43CA" w:rsidP="006F43CA">
            <w:pPr>
              <w:rPr>
                <w:rFonts w:ascii="Times New Roman" w:hAnsi="Times New Roman"/>
                <w:color w:val="000000"/>
              </w:rPr>
            </w:pPr>
            <w:r w:rsidRPr="006F43CA">
              <w:rPr>
                <w:rFonts w:ascii="Times New Roman" w:hAnsi="Times New Roman"/>
                <w:color w:val="000000"/>
              </w:rPr>
              <w:t>Sul</w:t>
            </w:r>
          </w:p>
        </w:tc>
        <w:tc>
          <w:tcPr>
            <w:tcW w:w="2175"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89,7</w:t>
            </w:r>
          </w:p>
        </w:tc>
        <w:tc>
          <w:tcPr>
            <w:tcW w:w="2132"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43,9</w:t>
            </w:r>
          </w:p>
        </w:tc>
        <w:tc>
          <w:tcPr>
            <w:tcW w:w="2171"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color w:val="000000"/>
              </w:rPr>
            </w:pPr>
            <w:r w:rsidRPr="006F43CA">
              <w:rPr>
                <w:rFonts w:ascii="Times New Roman" w:hAnsi="Times New Roman"/>
                <w:color w:val="000000"/>
              </w:rPr>
              <w:t>44,9</w:t>
            </w:r>
          </w:p>
        </w:tc>
      </w:tr>
      <w:tr w:rsidR="006F43CA" w:rsidRPr="006F43CA" w:rsidTr="004D1DEA">
        <w:trPr>
          <w:trHeight w:val="315"/>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6F43CA" w:rsidRPr="006F43CA" w:rsidRDefault="006F43CA" w:rsidP="006F43CA">
            <w:pPr>
              <w:rPr>
                <w:rFonts w:ascii="Times New Roman" w:hAnsi="Times New Roman"/>
                <w:b/>
                <w:bCs/>
                <w:color w:val="000000"/>
              </w:rPr>
            </w:pPr>
            <w:r w:rsidRPr="006F43CA">
              <w:rPr>
                <w:rFonts w:ascii="Times New Roman" w:hAnsi="Times New Roman"/>
                <w:b/>
                <w:bCs/>
                <w:color w:val="000000"/>
              </w:rPr>
              <w:t>Brasil</w:t>
            </w:r>
          </w:p>
        </w:tc>
        <w:tc>
          <w:tcPr>
            <w:tcW w:w="2175"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b/>
                <w:bCs/>
                <w:color w:val="000000"/>
              </w:rPr>
            </w:pPr>
            <w:r w:rsidRPr="006F43CA">
              <w:rPr>
                <w:rFonts w:ascii="Times New Roman" w:hAnsi="Times New Roman"/>
                <w:b/>
                <w:bCs/>
                <w:color w:val="000000"/>
              </w:rPr>
              <w:t>83,5</w:t>
            </w:r>
          </w:p>
        </w:tc>
        <w:tc>
          <w:tcPr>
            <w:tcW w:w="2132"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b/>
                <w:bCs/>
                <w:color w:val="000000"/>
              </w:rPr>
            </w:pPr>
            <w:r w:rsidRPr="006F43CA">
              <w:rPr>
                <w:rFonts w:ascii="Times New Roman" w:hAnsi="Times New Roman"/>
                <w:b/>
                <w:bCs/>
                <w:color w:val="000000"/>
              </w:rPr>
              <w:t>52,4</w:t>
            </w:r>
          </w:p>
        </w:tc>
        <w:tc>
          <w:tcPr>
            <w:tcW w:w="2171" w:type="dxa"/>
            <w:tcBorders>
              <w:top w:val="nil"/>
              <w:left w:val="nil"/>
              <w:bottom w:val="single" w:sz="4" w:space="0" w:color="auto"/>
              <w:right w:val="single" w:sz="4" w:space="0" w:color="auto"/>
            </w:tcBorders>
            <w:shd w:val="clear" w:color="auto" w:fill="auto"/>
            <w:noWrap/>
            <w:vAlign w:val="bottom"/>
            <w:hideMark/>
          </w:tcPr>
          <w:p w:rsidR="006F43CA" w:rsidRPr="006F43CA" w:rsidRDefault="006F43CA" w:rsidP="006F43CA">
            <w:pPr>
              <w:jc w:val="right"/>
              <w:rPr>
                <w:rFonts w:ascii="Times New Roman" w:hAnsi="Times New Roman"/>
                <w:b/>
                <w:bCs/>
                <w:color w:val="000000"/>
              </w:rPr>
            </w:pPr>
            <w:r w:rsidRPr="006F43CA">
              <w:rPr>
                <w:rFonts w:ascii="Times New Roman" w:hAnsi="Times New Roman"/>
                <w:b/>
                <w:bCs/>
                <w:color w:val="000000"/>
              </w:rPr>
              <w:t>46</w:t>
            </w:r>
            <w:r w:rsidR="00A241E1">
              <w:rPr>
                <w:rFonts w:ascii="Times New Roman" w:hAnsi="Times New Roman"/>
                <w:b/>
                <w:bCs/>
                <w:color w:val="000000"/>
              </w:rPr>
              <w:t>,0</w:t>
            </w:r>
          </w:p>
        </w:tc>
      </w:tr>
      <w:tr w:rsidR="006F43CA" w:rsidRPr="00602C04" w:rsidTr="004D1DEA">
        <w:trPr>
          <w:trHeight w:val="315"/>
          <w:jc w:val="center"/>
        </w:trPr>
        <w:tc>
          <w:tcPr>
            <w:tcW w:w="1540" w:type="dxa"/>
            <w:tcBorders>
              <w:top w:val="nil"/>
              <w:left w:val="nil"/>
              <w:bottom w:val="nil"/>
              <w:right w:val="nil"/>
            </w:tcBorders>
            <w:shd w:val="clear" w:color="auto" w:fill="auto"/>
            <w:noWrap/>
            <w:vAlign w:val="bottom"/>
            <w:hideMark/>
          </w:tcPr>
          <w:p w:rsidR="006F43CA" w:rsidRPr="00602C04" w:rsidRDefault="006F43CA" w:rsidP="006F43CA">
            <w:pPr>
              <w:rPr>
                <w:rFonts w:ascii="Times New Roman" w:hAnsi="Times New Roman"/>
                <w:color w:val="000000"/>
                <w:sz w:val="20"/>
              </w:rPr>
            </w:pPr>
            <w:r w:rsidRPr="00602C04">
              <w:rPr>
                <w:rFonts w:ascii="Times New Roman" w:hAnsi="Times New Roman"/>
                <w:color w:val="000000"/>
                <w:sz w:val="20"/>
              </w:rPr>
              <w:t>Fonte: SNIS</w:t>
            </w:r>
          </w:p>
        </w:tc>
        <w:tc>
          <w:tcPr>
            <w:tcW w:w="2175" w:type="dxa"/>
            <w:tcBorders>
              <w:top w:val="nil"/>
              <w:left w:val="nil"/>
              <w:bottom w:val="nil"/>
              <w:right w:val="nil"/>
            </w:tcBorders>
            <w:shd w:val="clear" w:color="auto" w:fill="auto"/>
            <w:noWrap/>
            <w:vAlign w:val="bottom"/>
            <w:hideMark/>
          </w:tcPr>
          <w:p w:rsidR="006F43CA" w:rsidRPr="00602C04" w:rsidRDefault="006F43CA" w:rsidP="006F43CA">
            <w:pPr>
              <w:rPr>
                <w:rFonts w:ascii="Times New Roman" w:hAnsi="Times New Roman"/>
                <w:color w:val="000000"/>
                <w:sz w:val="20"/>
              </w:rPr>
            </w:pPr>
          </w:p>
        </w:tc>
        <w:tc>
          <w:tcPr>
            <w:tcW w:w="2132" w:type="dxa"/>
            <w:tcBorders>
              <w:top w:val="nil"/>
              <w:left w:val="nil"/>
              <w:bottom w:val="nil"/>
              <w:right w:val="nil"/>
            </w:tcBorders>
            <w:shd w:val="clear" w:color="auto" w:fill="auto"/>
            <w:noWrap/>
            <w:vAlign w:val="bottom"/>
            <w:hideMark/>
          </w:tcPr>
          <w:p w:rsidR="006F43CA" w:rsidRPr="00602C04" w:rsidRDefault="006F43CA" w:rsidP="006F43CA">
            <w:pPr>
              <w:rPr>
                <w:rFonts w:ascii="Times New Roman" w:hAnsi="Times New Roman"/>
                <w:color w:val="000000"/>
                <w:sz w:val="20"/>
              </w:rPr>
            </w:pPr>
          </w:p>
        </w:tc>
        <w:tc>
          <w:tcPr>
            <w:tcW w:w="2171" w:type="dxa"/>
            <w:tcBorders>
              <w:top w:val="nil"/>
              <w:left w:val="nil"/>
              <w:bottom w:val="nil"/>
              <w:right w:val="nil"/>
            </w:tcBorders>
            <w:shd w:val="clear" w:color="auto" w:fill="auto"/>
            <w:noWrap/>
            <w:vAlign w:val="bottom"/>
            <w:hideMark/>
          </w:tcPr>
          <w:p w:rsidR="006F43CA" w:rsidRPr="00602C04" w:rsidRDefault="006F43CA" w:rsidP="006F43CA">
            <w:pPr>
              <w:rPr>
                <w:rFonts w:ascii="Times New Roman" w:hAnsi="Times New Roman"/>
                <w:color w:val="000000"/>
                <w:sz w:val="20"/>
              </w:rPr>
            </w:pPr>
          </w:p>
        </w:tc>
      </w:tr>
      <w:tr w:rsidR="006F43CA" w:rsidRPr="00602C04" w:rsidTr="00602C04">
        <w:trPr>
          <w:trHeight w:val="487"/>
          <w:jc w:val="center"/>
        </w:trPr>
        <w:tc>
          <w:tcPr>
            <w:tcW w:w="8018" w:type="dxa"/>
            <w:gridSpan w:val="4"/>
            <w:tcBorders>
              <w:top w:val="nil"/>
              <w:left w:val="nil"/>
              <w:bottom w:val="nil"/>
              <w:right w:val="nil"/>
            </w:tcBorders>
            <w:shd w:val="clear" w:color="auto" w:fill="auto"/>
            <w:vAlign w:val="bottom"/>
            <w:hideMark/>
          </w:tcPr>
          <w:p w:rsidR="006F43CA" w:rsidRPr="00602C04" w:rsidRDefault="006F43CA" w:rsidP="004D1DEA">
            <w:pPr>
              <w:rPr>
                <w:rFonts w:ascii="Times New Roman" w:hAnsi="Times New Roman"/>
                <w:color w:val="000000"/>
                <w:sz w:val="20"/>
              </w:rPr>
            </w:pPr>
            <w:r w:rsidRPr="00602C04">
              <w:rPr>
                <w:rFonts w:ascii="Times New Roman" w:hAnsi="Times New Roman"/>
                <w:color w:val="000000"/>
                <w:sz w:val="20"/>
              </w:rPr>
              <w:t>* População total atendida com abastecimento de água/População total re</w:t>
            </w:r>
            <w:r w:rsidR="004D1DEA" w:rsidRPr="00602C04">
              <w:rPr>
                <w:rFonts w:ascii="Times New Roman" w:hAnsi="Times New Roman"/>
                <w:color w:val="000000"/>
                <w:sz w:val="20"/>
              </w:rPr>
              <w:t>s</w:t>
            </w:r>
            <w:r w:rsidRPr="00602C04">
              <w:rPr>
                <w:rFonts w:ascii="Times New Roman" w:hAnsi="Times New Roman"/>
                <w:color w:val="000000"/>
                <w:sz w:val="20"/>
              </w:rPr>
              <w:t>idente nos municípios com abastecimento de água, segundo o IBGE.</w:t>
            </w:r>
          </w:p>
        </w:tc>
      </w:tr>
      <w:tr w:rsidR="006F43CA" w:rsidRPr="00602C04" w:rsidTr="00602C04">
        <w:trPr>
          <w:trHeight w:val="423"/>
          <w:jc w:val="center"/>
        </w:trPr>
        <w:tc>
          <w:tcPr>
            <w:tcW w:w="8018" w:type="dxa"/>
            <w:gridSpan w:val="4"/>
            <w:tcBorders>
              <w:top w:val="nil"/>
              <w:left w:val="nil"/>
              <w:bottom w:val="nil"/>
              <w:right w:val="nil"/>
            </w:tcBorders>
            <w:shd w:val="clear" w:color="auto" w:fill="auto"/>
            <w:vAlign w:val="bottom"/>
            <w:hideMark/>
          </w:tcPr>
          <w:p w:rsidR="006F43CA" w:rsidRPr="00602C04" w:rsidRDefault="006F43CA" w:rsidP="004D1DEA">
            <w:pPr>
              <w:rPr>
                <w:rFonts w:ascii="Times New Roman" w:hAnsi="Times New Roman"/>
                <w:color w:val="000000"/>
                <w:sz w:val="20"/>
              </w:rPr>
            </w:pPr>
            <w:r w:rsidRPr="00602C04">
              <w:rPr>
                <w:rFonts w:ascii="Times New Roman" w:hAnsi="Times New Roman"/>
                <w:color w:val="000000"/>
                <w:sz w:val="20"/>
              </w:rPr>
              <w:t>** População total atendida com esgotamento sanitário/População total re</w:t>
            </w:r>
            <w:r w:rsidR="004D1DEA" w:rsidRPr="00602C04">
              <w:rPr>
                <w:rFonts w:ascii="Times New Roman" w:hAnsi="Times New Roman"/>
                <w:color w:val="000000"/>
                <w:sz w:val="20"/>
              </w:rPr>
              <w:t>s</w:t>
            </w:r>
            <w:r w:rsidRPr="00602C04">
              <w:rPr>
                <w:rFonts w:ascii="Times New Roman" w:hAnsi="Times New Roman"/>
                <w:color w:val="000000"/>
                <w:sz w:val="20"/>
              </w:rPr>
              <w:t>idente nos municípios com abastecimento de água, segundo o IBGE.</w:t>
            </w:r>
          </w:p>
        </w:tc>
      </w:tr>
      <w:tr w:rsidR="006F43CA" w:rsidRPr="00602C04" w:rsidTr="004D1DEA">
        <w:trPr>
          <w:trHeight w:val="315"/>
          <w:jc w:val="center"/>
        </w:trPr>
        <w:tc>
          <w:tcPr>
            <w:tcW w:w="8018" w:type="dxa"/>
            <w:gridSpan w:val="4"/>
            <w:tcBorders>
              <w:top w:val="nil"/>
              <w:left w:val="nil"/>
              <w:bottom w:val="nil"/>
              <w:right w:val="nil"/>
            </w:tcBorders>
            <w:shd w:val="clear" w:color="auto" w:fill="auto"/>
            <w:noWrap/>
            <w:vAlign w:val="bottom"/>
            <w:hideMark/>
          </w:tcPr>
          <w:p w:rsidR="006F43CA" w:rsidRPr="00602C04" w:rsidRDefault="006F43CA" w:rsidP="006F43CA">
            <w:pPr>
              <w:rPr>
                <w:rFonts w:ascii="Times New Roman" w:hAnsi="Times New Roman"/>
                <w:color w:val="000000"/>
                <w:sz w:val="20"/>
              </w:rPr>
            </w:pPr>
            <w:r w:rsidRPr="00602C04">
              <w:rPr>
                <w:rFonts w:ascii="Times New Roman" w:hAnsi="Times New Roman"/>
                <w:color w:val="000000"/>
                <w:sz w:val="20"/>
              </w:rPr>
              <w:t>*** Volume de esgoto tratado/Volume de água consumido.</w:t>
            </w:r>
          </w:p>
        </w:tc>
      </w:tr>
    </w:tbl>
    <w:p w:rsidR="006F43CA" w:rsidRDefault="006F43CA" w:rsidP="00800096">
      <w:pPr>
        <w:pStyle w:val="BNDES"/>
        <w:spacing w:after="120"/>
        <w:rPr>
          <w:rFonts w:ascii="Times New Roman" w:hAnsi="Times New Roman"/>
        </w:rPr>
      </w:pPr>
    </w:p>
    <w:p w:rsidR="00F604C4" w:rsidRDefault="00F604C4" w:rsidP="00F604C4">
      <w:pPr>
        <w:pStyle w:val="BNDES"/>
        <w:spacing w:after="120"/>
        <w:rPr>
          <w:rFonts w:ascii="Times New Roman" w:hAnsi="Times New Roman"/>
        </w:rPr>
      </w:pPr>
      <w:r w:rsidRPr="00800096">
        <w:rPr>
          <w:rFonts w:ascii="Times New Roman" w:hAnsi="Times New Roman"/>
        </w:rPr>
        <w:t xml:space="preserve">Em relação à estrutura do setor de saneamento no Brasil, o serviço pode ser prestado diretamente pelos municípios ou, através de concessões às empresas do setor público ou privado. </w:t>
      </w:r>
      <w:r w:rsidR="007D71E6">
        <w:rPr>
          <w:rFonts w:ascii="Times New Roman" w:hAnsi="Times New Roman"/>
        </w:rPr>
        <w:t>Nesse sentido, a Resolução n. 3.437 de 2007</w:t>
      </w:r>
      <w:r w:rsidR="00EE173F">
        <w:rPr>
          <w:rFonts w:ascii="Times New Roman" w:hAnsi="Times New Roman"/>
        </w:rPr>
        <w:t xml:space="preserve"> e outras subsequentes</w:t>
      </w:r>
      <w:r w:rsidR="007D71E6">
        <w:rPr>
          <w:rFonts w:ascii="Times New Roman" w:hAnsi="Times New Roman"/>
        </w:rPr>
        <w:t xml:space="preserve">, do Conselho Monetário Nacional (CMN), permitiu o descontigenciamento de até R$ 6 bilhões do orçamento para investimentos em saneamento. Essa medida focalizou projetos selecionados pelo Ministério das Cidades e permitiu que novos municípios tivessem acesso a crédito de longo prazo para realizar investimentos por meio de suas empresas municipais de prestação de serviços de saneamento. </w:t>
      </w:r>
      <w:proofErr w:type="gramStart"/>
      <w:r w:rsidR="007D71E6">
        <w:rPr>
          <w:rFonts w:ascii="Times New Roman" w:hAnsi="Times New Roman"/>
        </w:rPr>
        <w:t>São</w:t>
      </w:r>
      <w:proofErr w:type="gramEnd"/>
      <w:r w:rsidR="007D71E6">
        <w:rPr>
          <w:rFonts w:ascii="Times New Roman" w:hAnsi="Times New Roman"/>
        </w:rPr>
        <w:t xml:space="preserve"> esses municípios o foco da presente avaliação.</w:t>
      </w:r>
    </w:p>
    <w:p w:rsidR="007D6AC9" w:rsidRDefault="007D71E6" w:rsidP="00F604C4">
      <w:pPr>
        <w:pStyle w:val="BNDES"/>
        <w:spacing w:after="120"/>
        <w:rPr>
          <w:rFonts w:ascii="Times New Roman" w:hAnsi="Times New Roman"/>
        </w:rPr>
      </w:pPr>
      <w:r>
        <w:rPr>
          <w:rFonts w:ascii="Times New Roman" w:hAnsi="Times New Roman"/>
        </w:rPr>
        <w:lastRenderedPageBreak/>
        <w:t xml:space="preserve">Apesar das deficiências do Brasil no setor de saneamento, as avaliações empíricas de impacto de políticas públicas no setor são escassas e recentes. Em relação a efeitos de mudanças institucionais nessa área, a escassez bibliográfica é ainda maior. Mesmo nesses casos, a maior parte dos trabalhos foca </w:t>
      </w:r>
      <w:r w:rsidR="00676406">
        <w:rPr>
          <w:rFonts w:ascii="Times New Roman" w:hAnsi="Times New Roman"/>
        </w:rPr>
        <w:t>as consequências da privatização de empresas prestadoras desses serviços. Ou seja, falta na literatura um trabalho que enfoque os efeitos de mudanças institucionais sobre os investimentos públicos no setor de saneamento, sobretudo com foco nas suas consequências em termos de bem-estar social, como é o caso da saúde infantil. É exatamente nesse ponto que o presente trabalho busca contribuir.</w:t>
      </w:r>
    </w:p>
    <w:p w:rsidR="00676406" w:rsidRDefault="00676406" w:rsidP="00F604C4">
      <w:pPr>
        <w:pStyle w:val="BNDES"/>
        <w:spacing w:after="120"/>
        <w:rPr>
          <w:rFonts w:ascii="Times New Roman" w:hAnsi="Times New Roman"/>
        </w:rPr>
      </w:pPr>
      <w:r>
        <w:rPr>
          <w:rFonts w:ascii="Times New Roman" w:hAnsi="Times New Roman"/>
        </w:rPr>
        <w:t xml:space="preserve">Para cumprir com seus objetivos, o trabalho analisou dados em nível municipal no período de 2005 a 2016. Foi comparado o desempenho de indicadores de saúde infantil em municípios que passaram a investir em esgotamento sanitário a partir de 2009 com o desempenho de municípios que nunca investiram no setor. </w:t>
      </w:r>
      <w:r w:rsidR="00AE2A68">
        <w:rPr>
          <w:rFonts w:ascii="Times New Roman" w:hAnsi="Times New Roman"/>
        </w:rPr>
        <w:t xml:space="preserve">O ano de 2009 foi escolhido como início do período de tratamento porque foi o ano em que as contratações iniciadas pelo PAC traduziram-se nos primeiros desembolsos. </w:t>
      </w:r>
      <w:r>
        <w:rPr>
          <w:rFonts w:ascii="Times New Roman" w:hAnsi="Times New Roman"/>
        </w:rPr>
        <w:t xml:space="preserve">Para controlar as diferenças entre os perfis de municípios dos dois grupos, utilizou-se a técnica de pareamento via </w:t>
      </w:r>
      <w:proofErr w:type="spellStart"/>
      <w:r w:rsidRPr="00676406">
        <w:rPr>
          <w:rFonts w:ascii="Times New Roman" w:hAnsi="Times New Roman"/>
          <w:i/>
        </w:rPr>
        <w:t>Propensity</w:t>
      </w:r>
      <w:proofErr w:type="spellEnd"/>
      <w:r w:rsidRPr="00676406">
        <w:rPr>
          <w:rFonts w:ascii="Times New Roman" w:hAnsi="Times New Roman"/>
          <w:i/>
        </w:rPr>
        <w:t xml:space="preserve"> Score </w:t>
      </w:r>
      <w:proofErr w:type="spellStart"/>
      <w:r w:rsidRPr="00676406">
        <w:rPr>
          <w:rFonts w:ascii="Times New Roman" w:hAnsi="Times New Roman"/>
          <w:i/>
        </w:rPr>
        <w:t>Matching</w:t>
      </w:r>
      <w:proofErr w:type="spellEnd"/>
      <w:r>
        <w:rPr>
          <w:rFonts w:ascii="Times New Roman" w:hAnsi="Times New Roman"/>
        </w:rPr>
        <w:t xml:space="preserve">. </w:t>
      </w:r>
      <w:r w:rsidR="00DA59F7">
        <w:rPr>
          <w:rFonts w:ascii="Times New Roman" w:hAnsi="Times New Roman"/>
        </w:rPr>
        <w:t>Para controlar possíveis efeitos individuais constantes no tempo que influenciam a propensão a investir no setor, foram adotadas regress</w:t>
      </w:r>
      <w:r w:rsidR="007A7A86">
        <w:rPr>
          <w:rFonts w:ascii="Times New Roman" w:hAnsi="Times New Roman"/>
        </w:rPr>
        <w:t>ões baseadas</w:t>
      </w:r>
      <w:r w:rsidR="00DA59F7">
        <w:rPr>
          <w:rFonts w:ascii="Times New Roman" w:hAnsi="Times New Roman"/>
        </w:rPr>
        <w:t xml:space="preserve"> </w:t>
      </w:r>
      <w:r w:rsidR="007A7A86">
        <w:rPr>
          <w:rFonts w:ascii="Times New Roman" w:hAnsi="Times New Roman"/>
        </w:rPr>
        <w:t>em</w:t>
      </w:r>
      <w:r w:rsidR="00DA59F7">
        <w:rPr>
          <w:rFonts w:ascii="Times New Roman" w:hAnsi="Times New Roman"/>
        </w:rPr>
        <w:t xml:space="preserve"> efeitos fixos. Observou-se que a expansão do financiamento ao investimento reduziu uma morte a cada 1.000 nascidos nos municípios beneficiados. Os efeitos foram mais fortes </w:t>
      </w:r>
      <w:r w:rsidR="007A7A86">
        <w:rPr>
          <w:rFonts w:ascii="Times New Roman" w:hAnsi="Times New Roman"/>
        </w:rPr>
        <w:t>nos municípios localizados nas</w:t>
      </w:r>
      <w:r w:rsidR="00DA59F7">
        <w:rPr>
          <w:rFonts w:ascii="Times New Roman" w:hAnsi="Times New Roman"/>
        </w:rPr>
        <w:t xml:space="preserve"> regiões Norte e Nordeste, sobre </w:t>
      </w:r>
      <w:r w:rsidR="000D4F97">
        <w:rPr>
          <w:rFonts w:ascii="Times New Roman" w:hAnsi="Times New Roman"/>
        </w:rPr>
        <w:t>mortes</w:t>
      </w:r>
      <w:r w:rsidR="000D4F97">
        <w:rPr>
          <w:rFonts w:ascii="Times New Roman" w:hAnsi="Times New Roman"/>
        </w:rPr>
        <w:t xml:space="preserve"> por afecções no período perinatal</w:t>
      </w:r>
      <w:r w:rsidR="000D4F97">
        <w:rPr>
          <w:rFonts w:ascii="Times New Roman" w:hAnsi="Times New Roman"/>
        </w:rPr>
        <w:t xml:space="preserve"> </w:t>
      </w:r>
      <w:r w:rsidR="00DA59F7">
        <w:rPr>
          <w:rFonts w:ascii="Times New Roman" w:hAnsi="Times New Roman"/>
        </w:rPr>
        <w:t>e sobre o peso do recém-nascido.</w:t>
      </w:r>
    </w:p>
    <w:p w:rsidR="007D6AC9" w:rsidRPr="00800096" w:rsidRDefault="00DA59F7" w:rsidP="00F604C4">
      <w:pPr>
        <w:pStyle w:val="BNDES"/>
        <w:spacing w:after="120"/>
        <w:rPr>
          <w:rFonts w:ascii="Times New Roman" w:hAnsi="Times New Roman"/>
        </w:rPr>
      </w:pPr>
      <w:r>
        <w:rPr>
          <w:rFonts w:ascii="Times New Roman" w:hAnsi="Times New Roman"/>
        </w:rPr>
        <w:t>O trabalho está estruturado da seguinte maneira. Essa introdução está seguida</w:t>
      </w:r>
      <w:r w:rsidR="00F9393D">
        <w:rPr>
          <w:rFonts w:ascii="Times New Roman" w:hAnsi="Times New Roman"/>
        </w:rPr>
        <w:t xml:space="preserve"> de uma revisão da literatura internacional e brasileira sobre avaliações de impacto de políticas de saneamento. A seguir, será apresentado o arcabouço institucional recente do Brasil nesse setor, destacando as mudanças propiciadas pelo PAC. Após isso, será apresentada a base de dados, assim como uma definição dos municípios classificados nos grupos de tratamento e de controle da avaliação. Por fim, serão apresentados a estratégia empírica adotada, os resultados verificados e as considerações finais.</w:t>
      </w:r>
    </w:p>
    <w:p w:rsidR="008245B9" w:rsidRDefault="008245B9" w:rsidP="00514949">
      <w:pPr>
        <w:pStyle w:val="BNDES"/>
        <w:spacing w:after="120"/>
        <w:rPr>
          <w:rFonts w:ascii="Times New Roman" w:hAnsi="Times New Roman"/>
        </w:rPr>
      </w:pPr>
    </w:p>
    <w:p w:rsidR="006C234B" w:rsidRDefault="006C234B" w:rsidP="00514949">
      <w:pPr>
        <w:pStyle w:val="BNDES"/>
        <w:numPr>
          <w:ilvl w:val="0"/>
          <w:numId w:val="1"/>
        </w:numPr>
        <w:spacing w:after="120"/>
        <w:ind w:left="284" w:hanging="284"/>
        <w:rPr>
          <w:rFonts w:ascii="Times New Roman" w:hAnsi="Times New Roman"/>
          <w:b/>
        </w:rPr>
      </w:pPr>
      <w:r>
        <w:rPr>
          <w:rFonts w:ascii="Times New Roman" w:hAnsi="Times New Roman"/>
          <w:b/>
        </w:rPr>
        <w:t>Revisão da literatura</w:t>
      </w:r>
    </w:p>
    <w:p w:rsidR="00F55429" w:rsidRDefault="00F55429" w:rsidP="00514949">
      <w:pPr>
        <w:spacing w:after="120"/>
        <w:jc w:val="both"/>
        <w:rPr>
          <w:rFonts w:ascii="Times New Roman" w:hAnsi="Times New Roman"/>
        </w:rPr>
      </w:pPr>
      <w:r>
        <w:rPr>
          <w:rFonts w:ascii="Times New Roman" w:hAnsi="Times New Roman"/>
        </w:rPr>
        <w:t>A literatura sobre saneamento básico e seu</w:t>
      </w:r>
      <w:r w:rsidR="00272E1B">
        <w:rPr>
          <w:rFonts w:ascii="Times New Roman" w:hAnsi="Times New Roman"/>
        </w:rPr>
        <w:t xml:space="preserve">s efeitos trata, sobretudo, da importância da disponibilidade de água tratada para a saúde. </w:t>
      </w:r>
      <w:proofErr w:type="spellStart"/>
      <w:r w:rsidR="00272E1B">
        <w:rPr>
          <w:rFonts w:ascii="Times New Roman" w:hAnsi="Times New Roman"/>
        </w:rPr>
        <w:t>Cutler</w:t>
      </w:r>
      <w:proofErr w:type="spellEnd"/>
      <w:r w:rsidR="00272E1B">
        <w:rPr>
          <w:rFonts w:ascii="Times New Roman" w:hAnsi="Times New Roman"/>
        </w:rPr>
        <w:t xml:space="preserve"> e Miller (2005</w:t>
      </w:r>
      <w:r w:rsidR="003F18E5">
        <w:rPr>
          <w:rFonts w:ascii="Times New Roman" w:hAnsi="Times New Roman"/>
        </w:rPr>
        <w:t>a</w:t>
      </w:r>
      <w:r w:rsidR="00272E1B">
        <w:rPr>
          <w:rFonts w:ascii="Times New Roman" w:hAnsi="Times New Roman"/>
        </w:rPr>
        <w:t>), por exemplo, analisam os impactos causais da adoção de duas tecnologias – fluoração e cloração - que permitiram o provimento de água limpa e tratada em larga escala no início do século XX, nos Estados Unidos. De acordo com os autores, a adoção dessas tecnologias foi responsável por metade da redução na mortalidade nas maiores cidades daquele país.</w:t>
      </w:r>
      <w:r w:rsidR="00C1789B">
        <w:rPr>
          <w:rFonts w:ascii="Times New Roman" w:hAnsi="Times New Roman"/>
        </w:rPr>
        <w:t xml:space="preserve"> Em um contexto similar – a área de Boston, no período compreendido entre 1880 e 1920 -, </w:t>
      </w:r>
      <w:proofErr w:type="spellStart"/>
      <w:r w:rsidR="00C1789B">
        <w:rPr>
          <w:rFonts w:ascii="Times New Roman" w:hAnsi="Times New Roman"/>
        </w:rPr>
        <w:t>Alsan</w:t>
      </w:r>
      <w:proofErr w:type="spellEnd"/>
      <w:r w:rsidR="00C1789B">
        <w:rPr>
          <w:rFonts w:ascii="Times New Roman" w:hAnsi="Times New Roman"/>
        </w:rPr>
        <w:t xml:space="preserve"> e </w:t>
      </w:r>
      <w:proofErr w:type="spellStart"/>
      <w:r w:rsidR="00C1789B">
        <w:rPr>
          <w:rFonts w:ascii="Times New Roman" w:hAnsi="Times New Roman"/>
        </w:rPr>
        <w:t>Goldin</w:t>
      </w:r>
      <w:proofErr w:type="spellEnd"/>
      <w:r w:rsidR="00C1789B">
        <w:rPr>
          <w:rFonts w:ascii="Times New Roman" w:hAnsi="Times New Roman"/>
        </w:rPr>
        <w:t xml:space="preserve"> (2019) apresentam análise que incorpora aos efeitos da água tratada, os efeitos de uma estrutura adequada de esgotamento sanitário. </w:t>
      </w:r>
      <w:r w:rsidR="00C64B3A">
        <w:rPr>
          <w:rFonts w:ascii="Times New Roman" w:hAnsi="Times New Roman"/>
        </w:rPr>
        <w:t xml:space="preserve">De acordo com as autoras, as intervenções tiveram caráter complementar e foram responsáveis por </w:t>
      </w:r>
      <w:r w:rsidR="00946C23">
        <w:rPr>
          <w:rFonts w:ascii="Times New Roman" w:hAnsi="Times New Roman"/>
        </w:rPr>
        <w:t>48%</w:t>
      </w:r>
      <w:r w:rsidR="00C64B3A">
        <w:rPr>
          <w:rFonts w:ascii="Times New Roman" w:hAnsi="Times New Roman"/>
        </w:rPr>
        <w:t xml:space="preserve"> do declínio na mortalidade infantil durante o período analisado.</w:t>
      </w:r>
      <w:r w:rsidR="00474CD2">
        <w:rPr>
          <w:rFonts w:ascii="Times New Roman" w:hAnsi="Times New Roman"/>
        </w:rPr>
        <w:t xml:space="preserve"> </w:t>
      </w:r>
      <w:r w:rsidR="00474CD2" w:rsidRPr="00474CD2">
        <w:rPr>
          <w:rFonts w:ascii="Times New Roman" w:hAnsi="Times New Roman"/>
        </w:rPr>
        <w:t xml:space="preserve">Tais efeitos têm potencial de impactos de longo prazo, uma vez que podem afetar, inclusive, o desenvolvimento cognitivo da população infantil (Spears e </w:t>
      </w:r>
      <w:proofErr w:type="gramStart"/>
      <w:r w:rsidR="00474CD2" w:rsidRPr="00474CD2">
        <w:rPr>
          <w:rFonts w:ascii="Times New Roman" w:hAnsi="Times New Roman"/>
        </w:rPr>
        <w:t>Lamba,</w:t>
      </w:r>
      <w:proofErr w:type="gramEnd"/>
      <w:r w:rsidR="00474CD2" w:rsidRPr="00474CD2">
        <w:rPr>
          <w:rFonts w:ascii="Times New Roman" w:hAnsi="Times New Roman"/>
        </w:rPr>
        <w:t xml:space="preserve"> 2013).</w:t>
      </w:r>
    </w:p>
    <w:p w:rsidR="00E27256" w:rsidRDefault="00A91A59" w:rsidP="00514949">
      <w:pPr>
        <w:pStyle w:val="BNDES"/>
        <w:spacing w:after="120"/>
        <w:rPr>
          <w:rFonts w:ascii="Times New Roman" w:hAnsi="Times New Roman"/>
        </w:rPr>
      </w:pPr>
      <w:r>
        <w:rPr>
          <w:rFonts w:ascii="Times New Roman" w:hAnsi="Times New Roman"/>
        </w:rPr>
        <w:t xml:space="preserve">Em países em desenvolvimento, dada a ainda significativa escassez no acesso a serviços adequados de saneamento básico, a literatura costuma focar nos efeitos da propriedade dos ativos sobre a provisão de serviços. </w:t>
      </w:r>
      <w:r w:rsidR="00E17724">
        <w:rPr>
          <w:rFonts w:ascii="Times New Roman" w:hAnsi="Times New Roman"/>
        </w:rPr>
        <w:t xml:space="preserve">Nesse sentido, </w:t>
      </w:r>
      <w:proofErr w:type="spellStart"/>
      <w:r w:rsidR="00E17724">
        <w:rPr>
          <w:rFonts w:ascii="Times New Roman" w:hAnsi="Times New Roman"/>
        </w:rPr>
        <w:t>Galiani</w:t>
      </w:r>
      <w:proofErr w:type="spellEnd"/>
      <w:r w:rsidR="00E17724">
        <w:rPr>
          <w:rFonts w:ascii="Times New Roman" w:hAnsi="Times New Roman"/>
        </w:rPr>
        <w:t xml:space="preserve"> </w:t>
      </w:r>
      <w:proofErr w:type="gramStart"/>
      <w:r w:rsidR="00E17724">
        <w:rPr>
          <w:rFonts w:ascii="Times New Roman" w:hAnsi="Times New Roman"/>
        </w:rPr>
        <w:t>et</w:t>
      </w:r>
      <w:proofErr w:type="gramEnd"/>
      <w:r w:rsidR="00E17724">
        <w:rPr>
          <w:rFonts w:ascii="Times New Roman" w:hAnsi="Times New Roman"/>
        </w:rPr>
        <w:t xml:space="preserve"> al. (2005)</w:t>
      </w:r>
      <w:r w:rsidR="00C228BB">
        <w:rPr>
          <w:rFonts w:ascii="Times New Roman" w:hAnsi="Times New Roman"/>
        </w:rPr>
        <w:t xml:space="preserve"> discutem como a privatização de serviços de água em alguns municípios da Argentina resultou em maior acesso à água, além de melhor qualidade da água, com efeitos sobre indicadores de saúde. </w:t>
      </w:r>
      <w:r w:rsidR="006B1807">
        <w:rPr>
          <w:rFonts w:ascii="Times New Roman" w:hAnsi="Times New Roman"/>
        </w:rPr>
        <w:t xml:space="preserve">Esses resultados, porém, </w:t>
      </w:r>
      <w:proofErr w:type="gramStart"/>
      <w:r w:rsidR="006B1807">
        <w:rPr>
          <w:rFonts w:ascii="Times New Roman" w:hAnsi="Times New Roman"/>
        </w:rPr>
        <w:t>parecem</w:t>
      </w:r>
      <w:proofErr w:type="gramEnd"/>
      <w:r w:rsidR="006B1807">
        <w:rPr>
          <w:rFonts w:ascii="Times New Roman" w:hAnsi="Times New Roman"/>
        </w:rPr>
        <w:t xml:space="preserve"> não ser generalizáveis. Lambert (2019) analisa a privatização dos sistemas de água e esgoto em Guayaquil, Equador. O autor não encontra efeitos significativos sobre indicadores de mortalidade, para diversas idades. </w:t>
      </w:r>
      <w:proofErr w:type="spellStart"/>
      <w:r w:rsidR="00144DD6">
        <w:rPr>
          <w:rFonts w:ascii="Times New Roman" w:hAnsi="Times New Roman"/>
        </w:rPr>
        <w:t>Borraz</w:t>
      </w:r>
      <w:proofErr w:type="spellEnd"/>
      <w:r w:rsidR="00144DD6">
        <w:rPr>
          <w:rFonts w:ascii="Times New Roman" w:hAnsi="Times New Roman"/>
        </w:rPr>
        <w:t xml:space="preserve"> </w:t>
      </w:r>
      <w:proofErr w:type="gramStart"/>
      <w:r w:rsidR="00144DD6">
        <w:rPr>
          <w:rFonts w:ascii="Times New Roman" w:hAnsi="Times New Roman"/>
        </w:rPr>
        <w:t>et</w:t>
      </w:r>
      <w:proofErr w:type="gramEnd"/>
      <w:r w:rsidR="00144DD6">
        <w:rPr>
          <w:rFonts w:ascii="Times New Roman" w:hAnsi="Times New Roman"/>
        </w:rPr>
        <w:t xml:space="preserve"> al (2013) estudam o processo de nacionalização dos serviços de água, que ocorreram a partir de 2004, no Uruguai. Os autores encontram efeitos positivos sobre acesso à rede de saneamento, bem como na qualidade da água e redução em indicadores de mortalidade. </w:t>
      </w:r>
    </w:p>
    <w:p w:rsidR="00A91A59" w:rsidRDefault="00E216BF" w:rsidP="00514949">
      <w:pPr>
        <w:pStyle w:val="BNDES"/>
        <w:spacing w:after="120"/>
        <w:rPr>
          <w:rFonts w:ascii="Times New Roman" w:hAnsi="Times New Roman"/>
        </w:rPr>
      </w:pPr>
      <w:r>
        <w:rPr>
          <w:rFonts w:ascii="Times New Roman" w:hAnsi="Times New Roman"/>
        </w:rPr>
        <w:t>C</w:t>
      </w:r>
      <w:r w:rsidR="002E041A">
        <w:rPr>
          <w:rFonts w:ascii="Times New Roman" w:hAnsi="Times New Roman"/>
        </w:rPr>
        <w:t xml:space="preserve">omo salienta </w:t>
      </w:r>
      <w:proofErr w:type="spellStart"/>
      <w:r w:rsidR="002E041A">
        <w:rPr>
          <w:rFonts w:ascii="Times New Roman" w:hAnsi="Times New Roman"/>
        </w:rPr>
        <w:t>Bardhan</w:t>
      </w:r>
      <w:proofErr w:type="spellEnd"/>
      <w:r w:rsidR="0016059A">
        <w:rPr>
          <w:rFonts w:ascii="Times New Roman" w:hAnsi="Times New Roman"/>
        </w:rPr>
        <w:t xml:space="preserve"> (2016)</w:t>
      </w:r>
      <w:r w:rsidR="002E041A">
        <w:rPr>
          <w:rFonts w:ascii="Times New Roman" w:hAnsi="Times New Roman"/>
        </w:rPr>
        <w:t xml:space="preserve">, </w:t>
      </w:r>
      <w:r w:rsidR="001617CD">
        <w:rPr>
          <w:rFonts w:ascii="Times New Roman" w:hAnsi="Times New Roman"/>
        </w:rPr>
        <w:t xml:space="preserve">uma característica normalmente negligenciada </w:t>
      </w:r>
      <w:r w:rsidR="00BC450C">
        <w:rPr>
          <w:rFonts w:ascii="Times New Roman" w:hAnsi="Times New Roman"/>
        </w:rPr>
        <w:t xml:space="preserve">nas discussões sobre privatização em setores de utilidade pública é a multiplicidade de objetivos na prestação dos serviços. Por exemplo, não é incomum que companhias que prestam serviço de acesso a saneamento sejam requeridas a </w:t>
      </w:r>
      <w:r w:rsidR="00BC450C">
        <w:rPr>
          <w:rFonts w:ascii="Times New Roman" w:hAnsi="Times New Roman"/>
        </w:rPr>
        <w:lastRenderedPageBreak/>
        <w:t>fazer subsídio-cruzado, a fim de garantir que mesmo as camadas mais pobres da população possam gozar do direito à água.</w:t>
      </w:r>
      <w:r w:rsidR="0035280B">
        <w:rPr>
          <w:rFonts w:ascii="Times New Roman" w:hAnsi="Times New Roman"/>
        </w:rPr>
        <w:t xml:space="preserve"> Nesse contexto, não é óbvio que a prestação privada do serviço seja mais eficiente, mesmo do ponto de vista teórico.</w:t>
      </w:r>
    </w:p>
    <w:p w:rsidR="00E216BF" w:rsidRDefault="00E216BF" w:rsidP="00514949">
      <w:pPr>
        <w:pStyle w:val="BNDES"/>
        <w:spacing w:after="120"/>
        <w:rPr>
          <w:rFonts w:ascii="Times New Roman" w:hAnsi="Times New Roman"/>
        </w:rPr>
      </w:pPr>
      <w:r>
        <w:rPr>
          <w:rFonts w:ascii="Times New Roman" w:hAnsi="Times New Roman"/>
        </w:rPr>
        <w:t xml:space="preserve">De fato, um resultado clássico na literatura de economia do setor-público é </w:t>
      </w:r>
      <w:r w:rsidR="000130C4">
        <w:rPr>
          <w:rFonts w:ascii="Times New Roman" w:hAnsi="Times New Roman"/>
        </w:rPr>
        <w:t>que o mercado privado não é capaz de prover o nível eficiente de um bem público</w:t>
      </w:r>
      <w:r w:rsidR="00453CAF">
        <w:rPr>
          <w:rFonts w:ascii="Times New Roman" w:hAnsi="Times New Roman"/>
        </w:rPr>
        <w:t xml:space="preserve"> (</w:t>
      </w:r>
      <w:proofErr w:type="spellStart"/>
      <w:r w:rsidR="00453CAF">
        <w:rPr>
          <w:rFonts w:ascii="Times New Roman" w:hAnsi="Times New Roman"/>
        </w:rPr>
        <w:t>Laffont</w:t>
      </w:r>
      <w:proofErr w:type="spellEnd"/>
      <w:r w:rsidR="00453CAF">
        <w:rPr>
          <w:rFonts w:ascii="Times New Roman" w:hAnsi="Times New Roman"/>
        </w:rPr>
        <w:t>, 1988)</w:t>
      </w:r>
      <w:r w:rsidR="000130C4">
        <w:rPr>
          <w:rFonts w:ascii="Times New Roman" w:hAnsi="Times New Roman"/>
        </w:rPr>
        <w:t>.</w:t>
      </w:r>
      <w:r w:rsidR="00334C10">
        <w:rPr>
          <w:rFonts w:ascii="Times New Roman" w:hAnsi="Times New Roman"/>
        </w:rPr>
        <w:t xml:space="preserve"> </w:t>
      </w:r>
      <w:r w:rsidR="004469CE">
        <w:rPr>
          <w:rFonts w:ascii="Times New Roman" w:hAnsi="Times New Roman"/>
        </w:rPr>
        <w:t xml:space="preserve">Em geral, dadas as características de </w:t>
      </w:r>
      <w:proofErr w:type="gramStart"/>
      <w:r w:rsidR="004469CE">
        <w:rPr>
          <w:rFonts w:ascii="Times New Roman" w:hAnsi="Times New Roman"/>
        </w:rPr>
        <w:t>não-exclusão</w:t>
      </w:r>
      <w:proofErr w:type="gramEnd"/>
      <w:r w:rsidR="004469CE">
        <w:rPr>
          <w:rFonts w:ascii="Times New Roman" w:hAnsi="Times New Roman"/>
        </w:rPr>
        <w:t xml:space="preserve"> e não rivalidade no consumo, os indivíduos tendem a não revelar suas preferências sobre um bem público, o que acarreta em </w:t>
      </w:r>
      <w:proofErr w:type="spellStart"/>
      <w:r w:rsidR="004469CE">
        <w:rPr>
          <w:rFonts w:ascii="Times New Roman" w:hAnsi="Times New Roman"/>
        </w:rPr>
        <w:t>subfinanciamento</w:t>
      </w:r>
      <w:proofErr w:type="spellEnd"/>
      <w:r w:rsidR="004469CE">
        <w:rPr>
          <w:rFonts w:ascii="Times New Roman" w:hAnsi="Times New Roman"/>
        </w:rPr>
        <w:t xml:space="preserve"> de bens daquela natureza.</w:t>
      </w:r>
      <w:r w:rsidR="006A6DF7">
        <w:rPr>
          <w:rFonts w:ascii="Times New Roman" w:hAnsi="Times New Roman"/>
        </w:rPr>
        <w:t xml:space="preserve"> Nesse aspecto, </w:t>
      </w:r>
      <w:proofErr w:type="spellStart"/>
      <w:r w:rsidR="006A6DF7">
        <w:rPr>
          <w:rFonts w:ascii="Times New Roman" w:hAnsi="Times New Roman"/>
        </w:rPr>
        <w:t>Cutler</w:t>
      </w:r>
      <w:proofErr w:type="spellEnd"/>
      <w:r w:rsidR="006A6DF7">
        <w:rPr>
          <w:rFonts w:ascii="Times New Roman" w:hAnsi="Times New Roman"/>
        </w:rPr>
        <w:t xml:space="preserve"> e Miller (2005b)</w:t>
      </w:r>
      <w:r w:rsidR="00AC37C4">
        <w:rPr>
          <w:rFonts w:ascii="Times New Roman" w:hAnsi="Times New Roman"/>
        </w:rPr>
        <w:t xml:space="preserve"> </w:t>
      </w:r>
      <w:r w:rsidR="006A6DF7">
        <w:rPr>
          <w:rFonts w:ascii="Times New Roman" w:hAnsi="Times New Roman"/>
        </w:rPr>
        <w:t>discutem o papel da criação de um mercado de títulos de dívidas municipais, no final do século XIX, para a expansão de sistemas de saneamento, nos Estados Unidos.</w:t>
      </w:r>
    </w:p>
    <w:p w:rsidR="00B9199A" w:rsidRPr="00B9199A" w:rsidRDefault="00B9199A" w:rsidP="00514949">
      <w:pPr>
        <w:spacing w:after="120"/>
        <w:jc w:val="both"/>
        <w:rPr>
          <w:rFonts w:ascii="Times New Roman" w:hAnsi="Times New Roman"/>
        </w:rPr>
      </w:pPr>
      <w:r>
        <w:rPr>
          <w:rFonts w:ascii="Times New Roman" w:hAnsi="Times New Roman"/>
        </w:rPr>
        <w:t>A literatura econômica sobre o tema ainda é relativamente escassa no Brasil, apesar de o país</w:t>
      </w:r>
      <w:r w:rsidRPr="00B9199A">
        <w:rPr>
          <w:rFonts w:ascii="Times New Roman" w:hAnsi="Times New Roman"/>
        </w:rPr>
        <w:t xml:space="preserve"> ainda possui</w:t>
      </w:r>
      <w:r>
        <w:rPr>
          <w:rFonts w:ascii="Times New Roman" w:hAnsi="Times New Roman"/>
        </w:rPr>
        <w:t>r</w:t>
      </w:r>
      <w:r w:rsidRPr="00B9199A">
        <w:rPr>
          <w:rFonts w:ascii="Times New Roman" w:hAnsi="Times New Roman"/>
        </w:rPr>
        <w:t xml:space="preserve"> um déficit significativo de cobertura de saneamento básico, sobretudo em atendimento de esgoto.</w:t>
      </w:r>
      <w:r>
        <w:rPr>
          <w:rFonts w:ascii="Times New Roman" w:hAnsi="Times New Roman"/>
        </w:rPr>
        <w:t xml:space="preserve"> </w:t>
      </w:r>
      <w:r w:rsidRPr="00B9199A">
        <w:rPr>
          <w:rFonts w:ascii="Times New Roman" w:hAnsi="Times New Roman"/>
        </w:rPr>
        <w:t xml:space="preserve">Essa deficiência na provisão desses serviços tem impactos substanciais sobre a saúde da população, além de efeitos potenciais sobre outras dimensões como produtividade e educação (Rocha e Soares, 2015; Ortiz-Correa </w:t>
      </w:r>
      <w:proofErr w:type="gramStart"/>
      <w:r w:rsidRPr="00B9199A">
        <w:rPr>
          <w:rFonts w:ascii="Times New Roman" w:hAnsi="Times New Roman"/>
        </w:rPr>
        <w:t>et</w:t>
      </w:r>
      <w:proofErr w:type="gramEnd"/>
      <w:r w:rsidRPr="00B9199A">
        <w:rPr>
          <w:rFonts w:ascii="Times New Roman" w:hAnsi="Times New Roman"/>
        </w:rPr>
        <w:t xml:space="preserve"> al, 2016). Diante da desigualdade no acesso ao saneamento (Pimentel </w:t>
      </w:r>
      <w:proofErr w:type="gramStart"/>
      <w:r w:rsidRPr="00B9199A">
        <w:rPr>
          <w:rFonts w:ascii="Times New Roman" w:hAnsi="Times New Roman"/>
        </w:rPr>
        <w:t>et</w:t>
      </w:r>
      <w:proofErr w:type="gramEnd"/>
      <w:r w:rsidRPr="00B9199A">
        <w:rPr>
          <w:rFonts w:ascii="Times New Roman" w:hAnsi="Times New Roman"/>
        </w:rPr>
        <w:t xml:space="preserve"> al, 2017), políticas de ampliação da</w:t>
      </w:r>
      <w:r>
        <w:rPr>
          <w:rFonts w:ascii="Times New Roman" w:hAnsi="Times New Roman"/>
        </w:rPr>
        <w:t xml:space="preserve"> oferta desse serviço público tê</w:t>
      </w:r>
      <w:r w:rsidRPr="00B9199A">
        <w:rPr>
          <w:rFonts w:ascii="Times New Roman" w:hAnsi="Times New Roman"/>
        </w:rPr>
        <w:t>m, ademais, importantes efeitos no que se refere à redução na desigualdade de resultados e de oportunidades.</w:t>
      </w:r>
    </w:p>
    <w:p w:rsidR="0013320A" w:rsidRDefault="00B9199A" w:rsidP="00514949">
      <w:pPr>
        <w:spacing w:after="120"/>
        <w:jc w:val="both"/>
        <w:rPr>
          <w:rFonts w:ascii="Times New Roman" w:hAnsi="Times New Roman"/>
        </w:rPr>
      </w:pPr>
      <w:r w:rsidRPr="00B9199A">
        <w:rPr>
          <w:rFonts w:ascii="Times New Roman" w:hAnsi="Times New Roman"/>
        </w:rPr>
        <w:t xml:space="preserve">Além disso, investimentos em saneamento, considerando apenas seus efeitos sobre saúde, tendem a ser custo-efetivos. Mendonça e Motta (2005) estimaram o custo unitário por morte evitada com expansão dos serviços de água e esgoto em R$ 168 mil e R$ 241 mil, por exemplo. Em exercício para a região do Semiárido, Rocha e Soares (2015) mostram que a expansão para cobertura total de água e esgoto seria custo-efetiva mesmo considerando apenas os efeitos sobre mortalidade infantil, </w:t>
      </w:r>
      <w:proofErr w:type="gramStart"/>
      <w:r w:rsidRPr="00B9199A">
        <w:rPr>
          <w:rFonts w:ascii="Times New Roman" w:hAnsi="Times New Roman"/>
        </w:rPr>
        <w:t>sob parâmetros</w:t>
      </w:r>
      <w:proofErr w:type="gramEnd"/>
      <w:r w:rsidRPr="00B9199A">
        <w:rPr>
          <w:rFonts w:ascii="Times New Roman" w:hAnsi="Times New Roman"/>
        </w:rPr>
        <w:t xml:space="preserve"> bastante razoáveis.</w:t>
      </w:r>
      <w:r>
        <w:rPr>
          <w:rFonts w:ascii="Times New Roman" w:hAnsi="Times New Roman"/>
        </w:rPr>
        <w:t xml:space="preserve"> </w:t>
      </w:r>
    </w:p>
    <w:p w:rsidR="00B9199A" w:rsidRDefault="0013320A" w:rsidP="00514949">
      <w:pPr>
        <w:spacing w:after="120"/>
        <w:jc w:val="both"/>
        <w:rPr>
          <w:rFonts w:ascii="Times New Roman" w:hAnsi="Times New Roman"/>
        </w:rPr>
      </w:pPr>
      <w:r>
        <w:rPr>
          <w:rFonts w:ascii="Times New Roman" w:hAnsi="Times New Roman"/>
        </w:rPr>
        <w:t xml:space="preserve">Há, ainda, uma literatura que trata dos efeitos de privatizações e da regulação no setor sobre o desempenho econômico do setor, além de efeitos sobre bem-estar, em especial, saúde e educação. </w:t>
      </w:r>
      <w:proofErr w:type="spellStart"/>
      <w:r>
        <w:rPr>
          <w:rFonts w:ascii="Times New Roman" w:hAnsi="Times New Roman"/>
        </w:rPr>
        <w:t>Serôa</w:t>
      </w:r>
      <w:proofErr w:type="spellEnd"/>
      <w:r>
        <w:rPr>
          <w:rFonts w:ascii="Times New Roman" w:hAnsi="Times New Roman"/>
        </w:rPr>
        <w:t xml:space="preserve"> da Motta e Moreira (2006) estimam como regulação e </w:t>
      </w:r>
      <w:proofErr w:type="gramStart"/>
      <w:r>
        <w:rPr>
          <w:rFonts w:ascii="Times New Roman" w:hAnsi="Times New Roman"/>
        </w:rPr>
        <w:t>natureza do capital afetam</w:t>
      </w:r>
      <w:proofErr w:type="gramEnd"/>
      <w:r>
        <w:rPr>
          <w:rFonts w:ascii="Times New Roman" w:hAnsi="Times New Roman"/>
        </w:rPr>
        <w:t xml:space="preserve"> o desempenho de operadoras de saneamento no Brasil. </w:t>
      </w:r>
      <w:r w:rsidR="008178A3">
        <w:rPr>
          <w:rFonts w:ascii="Times New Roman" w:hAnsi="Times New Roman"/>
        </w:rPr>
        <w:t xml:space="preserve">De acordo com os autores, que analisam dados entre 1998 e 2002, a carência de regulação não estimularia avanços na fronteira tecnológica. No que se refere a impactos sobre bem-estar, </w:t>
      </w:r>
      <w:proofErr w:type="spellStart"/>
      <w:r>
        <w:rPr>
          <w:rFonts w:ascii="Times New Roman" w:hAnsi="Times New Roman"/>
        </w:rPr>
        <w:t>Saiani</w:t>
      </w:r>
      <w:proofErr w:type="spellEnd"/>
      <w:r>
        <w:rPr>
          <w:rFonts w:ascii="Times New Roman" w:hAnsi="Times New Roman"/>
        </w:rPr>
        <w:t xml:space="preserve"> e Azevedo (2018) investigam </w:t>
      </w:r>
      <w:r w:rsidR="008178A3">
        <w:rPr>
          <w:rFonts w:ascii="Times New Roman" w:hAnsi="Times New Roman"/>
        </w:rPr>
        <w:t xml:space="preserve">como </w:t>
      </w:r>
      <w:r>
        <w:rPr>
          <w:rFonts w:ascii="Times New Roman" w:hAnsi="Times New Roman"/>
        </w:rPr>
        <w:t>distint</w:t>
      </w:r>
      <w:r w:rsidR="008178A3">
        <w:rPr>
          <w:rFonts w:ascii="Times New Roman" w:hAnsi="Times New Roman"/>
        </w:rPr>
        <w:t>a</w:t>
      </w:r>
      <w:r>
        <w:rPr>
          <w:rFonts w:ascii="Times New Roman" w:hAnsi="Times New Roman"/>
        </w:rPr>
        <w:t xml:space="preserve">s </w:t>
      </w:r>
      <w:r w:rsidR="008178A3">
        <w:rPr>
          <w:rFonts w:ascii="Times New Roman" w:hAnsi="Times New Roman"/>
        </w:rPr>
        <w:t xml:space="preserve">formas de privatização têm impactos diferentes sobre indicadores de saúde. </w:t>
      </w:r>
      <w:proofErr w:type="spellStart"/>
      <w:r w:rsidR="00B9199A">
        <w:rPr>
          <w:rFonts w:ascii="Times New Roman" w:hAnsi="Times New Roman"/>
        </w:rPr>
        <w:t>Scriptore</w:t>
      </w:r>
      <w:proofErr w:type="spellEnd"/>
      <w:r>
        <w:rPr>
          <w:rFonts w:ascii="Times New Roman" w:hAnsi="Times New Roman"/>
        </w:rPr>
        <w:t xml:space="preserve"> </w:t>
      </w:r>
      <w:proofErr w:type="gramStart"/>
      <w:r>
        <w:rPr>
          <w:rFonts w:ascii="Times New Roman" w:hAnsi="Times New Roman"/>
        </w:rPr>
        <w:t>et</w:t>
      </w:r>
      <w:proofErr w:type="gramEnd"/>
      <w:r>
        <w:rPr>
          <w:rFonts w:ascii="Times New Roman" w:hAnsi="Times New Roman"/>
        </w:rPr>
        <w:t xml:space="preserve"> al</w:t>
      </w:r>
      <w:r w:rsidR="008178A3">
        <w:rPr>
          <w:rFonts w:ascii="Times New Roman" w:hAnsi="Times New Roman"/>
        </w:rPr>
        <w:t xml:space="preserve"> (2018)</w:t>
      </w:r>
      <w:r w:rsidR="00D4180D">
        <w:rPr>
          <w:rFonts w:ascii="Times New Roman" w:hAnsi="Times New Roman"/>
        </w:rPr>
        <w:t xml:space="preserve"> utilizam informações sobre privatização nos serviços de saneamento entre 2000 e 2010 como variável instrumental para avaliar efeitos sobre educação. De acordo com os autores, a expansão no acesso ao setor tem impactos em diversas variáveis relativas á educação, tais como: frequência escolar, distorção idade-série e abandono escolar. </w:t>
      </w:r>
    </w:p>
    <w:p w:rsidR="0077039F" w:rsidRDefault="0077039F" w:rsidP="00514949">
      <w:pPr>
        <w:spacing w:after="120"/>
        <w:jc w:val="both"/>
        <w:rPr>
          <w:rFonts w:ascii="Times New Roman" w:hAnsi="Times New Roman"/>
        </w:rPr>
      </w:pPr>
      <w:r>
        <w:rPr>
          <w:rFonts w:ascii="Times New Roman" w:hAnsi="Times New Roman"/>
        </w:rPr>
        <w:t xml:space="preserve">No que se refere à análise de políticas e mudanças institucionais, apenas </w:t>
      </w:r>
      <w:proofErr w:type="spellStart"/>
      <w:r w:rsidR="001F7303">
        <w:rPr>
          <w:rFonts w:ascii="Times New Roman" w:hAnsi="Times New Roman"/>
        </w:rPr>
        <w:t>Kresch</w:t>
      </w:r>
      <w:proofErr w:type="spellEnd"/>
      <w:r w:rsidR="001F7303">
        <w:rPr>
          <w:rFonts w:ascii="Times New Roman" w:hAnsi="Times New Roman"/>
        </w:rPr>
        <w:t xml:space="preserve"> (2017) investiga como a Lei de Saneamento, de 2007, afetou os incentivos a investir de companhias de saneamento estaduais e municipais. Nesse sentido, esse artigo traz uma contribuição para a literatura, ao avaliar como uma política que estimulou o crédito de longo prazo para o setor teve impactos sobre o acesso ao esgotamento sanitário e suas consequências sobre variáveis relacionadas à saúde infantil.</w:t>
      </w:r>
    </w:p>
    <w:p w:rsidR="00796401" w:rsidRPr="00B9199A" w:rsidRDefault="00796401" w:rsidP="00514949">
      <w:pPr>
        <w:spacing w:after="120"/>
        <w:jc w:val="both"/>
        <w:rPr>
          <w:rFonts w:ascii="Times New Roman" w:hAnsi="Times New Roman"/>
        </w:rPr>
      </w:pPr>
    </w:p>
    <w:p w:rsidR="00844248" w:rsidRDefault="00844248" w:rsidP="00514949">
      <w:pPr>
        <w:pStyle w:val="BNDES"/>
        <w:numPr>
          <w:ilvl w:val="0"/>
          <w:numId w:val="1"/>
        </w:numPr>
        <w:spacing w:after="120"/>
        <w:ind w:left="284" w:hanging="284"/>
        <w:rPr>
          <w:rFonts w:ascii="Times New Roman" w:hAnsi="Times New Roman"/>
          <w:b/>
        </w:rPr>
      </w:pPr>
      <w:r w:rsidRPr="008F6792">
        <w:rPr>
          <w:rFonts w:ascii="Times New Roman" w:hAnsi="Times New Roman"/>
          <w:b/>
        </w:rPr>
        <w:t>Arcabouço Institucional</w:t>
      </w:r>
    </w:p>
    <w:p w:rsidR="00F604C4" w:rsidRDefault="00F604C4" w:rsidP="00F604C4">
      <w:pPr>
        <w:pStyle w:val="BNDES"/>
        <w:spacing w:after="120"/>
        <w:rPr>
          <w:rFonts w:ascii="Times New Roman" w:hAnsi="Times New Roman"/>
        </w:rPr>
      </w:pPr>
      <w:r w:rsidRPr="00800096">
        <w:rPr>
          <w:rFonts w:ascii="Times New Roman" w:hAnsi="Times New Roman"/>
        </w:rPr>
        <w:t>Para superar os déficits apresentados até 2033, o Plano Nacional de Saneamento Básico</w:t>
      </w:r>
      <w:r>
        <w:rPr>
          <w:rFonts w:ascii="Times New Roman" w:hAnsi="Times New Roman"/>
        </w:rPr>
        <w:t xml:space="preserve"> (</w:t>
      </w:r>
      <w:proofErr w:type="spellStart"/>
      <w:r>
        <w:rPr>
          <w:rFonts w:ascii="Times New Roman" w:hAnsi="Times New Roman"/>
        </w:rPr>
        <w:t>Plansab</w:t>
      </w:r>
      <w:proofErr w:type="spellEnd"/>
      <w:r>
        <w:rPr>
          <w:rFonts w:ascii="Times New Roman" w:hAnsi="Times New Roman"/>
        </w:rPr>
        <w:t>)</w:t>
      </w:r>
      <w:r w:rsidRPr="00800096">
        <w:rPr>
          <w:rFonts w:ascii="Times New Roman" w:hAnsi="Times New Roman"/>
        </w:rPr>
        <w:t>, em sua revisão quadrienal, realizada em 2018, estabeleceu como sendo necessários investimentos da ordem de R$ 25,5 bilhões (a preços de 2017) em abastecimento de água e esgotamento sanitário. A média de investimento entre 2007 e 2017, porém, foi de R$ 11,9 bilhões por ano (a preços de 2017), bastante aquém do necessário. Um fator relevante para a realização de investimentos é o acesso dos prestadores de serviços a fontes de recursos de longo prazo, adequadas aos elevados prazos de implantação e maturação dos investimentos no setor, bem como às externalidades sociais resultantes destes.</w:t>
      </w:r>
    </w:p>
    <w:p w:rsidR="007D6AC9" w:rsidRPr="00800096" w:rsidRDefault="00800096" w:rsidP="007D6AC9">
      <w:pPr>
        <w:pStyle w:val="BNDES"/>
        <w:spacing w:after="120"/>
        <w:rPr>
          <w:rFonts w:ascii="Times New Roman" w:hAnsi="Times New Roman"/>
        </w:rPr>
      </w:pPr>
      <w:r w:rsidRPr="00800096">
        <w:rPr>
          <w:rFonts w:ascii="Times New Roman" w:hAnsi="Times New Roman"/>
        </w:rPr>
        <w:t xml:space="preserve">Conforme mencionado, os investimentos necessários para atingir as metas do </w:t>
      </w:r>
      <w:proofErr w:type="spellStart"/>
      <w:r w:rsidRPr="00800096">
        <w:rPr>
          <w:rFonts w:ascii="Times New Roman" w:hAnsi="Times New Roman"/>
        </w:rPr>
        <w:t>Plansab</w:t>
      </w:r>
      <w:proofErr w:type="spellEnd"/>
      <w:r w:rsidRPr="00800096">
        <w:rPr>
          <w:rFonts w:ascii="Times New Roman" w:hAnsi="Times New Roman"/>
        </w:rPr>
        <w:t xml:space="preserve"> são da ordem de R$ 25,5 bilhões por ano, até 2033. No entanto, investiu-se entre 2007 e 2017 R$ 11,9 bilhões por ano, em </w:t>
      </w:r>
      <w:r w:rsidRPr="00800096">
        <w:rPr>
          <w:rFonts w:ascii="Times New Roman" w:hAnsi="Times New Roman"/>
        </w:rPr>
        <w:lastRenderedPageBreak/>
        <w:t>média. Não obstante, cumpre observar que, a partir de 2009 houve uma elevação significativa no patamar dos recursos investidos, como é possível observar no gráfico abaixo.</w:t>
      </w:r>
      <w:r w:rsidR="007D6AC9" w:rsidRPr="007D6AC9">
        <w:rPr>
          <w:rFonts w:ascii="Times New Roman" w:hAnsi="Times New Roman"/>
        </w:rPr>
        <w:t xml:space="preserve"> </w:t>
      </w:r>
      <w:r w:rsidR="007D6AC9">
        <w:rPr>
          <w:rFonts w:ascii="Times New Roman" w:hAnsi="Times New Roman"/>
        </w:rPr>
        <w:t xml:space="preserve"> </w:t>
      </w:r>
      <w:r w:rsidR="007D6AC9" w:rsidRPr="00800096">
        <w:rPr>
          <w:rFonts w:ascii="Times New Roman" w:hAnsi="Times New Roman"/>
        </w:rPr>
        <w:t>Pode-se perceber que, de fato, há uma inflexão no período posterior a 2009, R$ 14,4 bilhões em 2014, um crescimento real de 89% em relação a 2007. Isto ocorre</w:t>
      </w:r>
      <w:proofErr w:type="gramStart"/>
      <w:r w:rsidR="007D6AC9" w:rsidRPr="00800096">
        <w:rPr>
          <w:rFonts w:ascii="Times New Roman" w:hAnsi="Times New Roman"/>
        </w:rPr>
        <w:t xml:space="preserve"> pois</w:t>
      </w:r>
      <w:proofErr w:type="gramEnd"/>
      <w:r w:rsidR="007D6AC9" w:rsidRPr="00800096">
        <w:rPr>
          <w:rFonts w:ascii="Times New Roman" w:hAnsi="Times New Roman"/>
        </w:rPr>
        <w:t xml:space="preserve"> é a partir de 2009 que os recursos contratados no âmbito do Programa de Aceleração do Crescimento (PAC) começam a se refletir em desembolsos. </w:t>
      </w:r>
    </w:p>
    <w:p w:rsidR="00800096" w:rsidRPr="00800096" w:rsidRDefault="00800096" w:rsidP="00800096">
      <w:pPr>
        <w:pStyle w:val="BNDES"/>
        <w:spacing w:after="120"/>
        <w:rPr>
          <w:rFonts w:ascii="Times New Roman" w:hAnsi="Times New Roman"/>
        </w:rPr>
      </w:pPr>
    </w:p>
    <w:p w:rsidR="00800096" w:rsidRDefault="00B9493D" w:rsidP="007D6AC9">
      <w:pPr>
        <w:pStyle w:val="BNDES"/>
        <w:spacing w:after="120"/>
        <w:jc w:val="center"/>
        <w:rPr>
          <w:rFonts w:ascii="Times New Roman" w:hAnsi="Times New Roman"/>
        </w:rPr>
      </w:pPr>
      <w:r>
        <w:rPr>
          <w:rFonts w:ascii="Times New Roman" w:hAnsi="Times New Roman"/>
        </w:rPr>
        <w:t>Figura 1</w:t>
      </w:r>
      <w:r w:rsidR="007D6AC9">
        <w:rPr>
          <w:rFonts w:ascii="Times New Roman" w:hAnsi="Times New Roman"/>
        </w:rPr>
        <w:t>: Investimentos Anuais em Saneamento Básico (R$ bilhões)</w:t>
      </w:r>
    </w:p>
    <w:p w:rsidR="00800096" w:rsidRPr="00800096" w:rsidRDefault="00800096" w:rsidP="00800096">
      <w:pPr>
        <w:pStyle w:val="BNDES"/>
        <w:spacing w:after="120"/>
        <w:jc w:val="center"/>
        <w:rPr>
          <w:rFonts w:ascii="Times New Roman" w:hAnsi="Times New Roman"/>
        </w:rPr>
      </w:pPr>
      <w:r>
        <w:rPr>
          <w:rFonts w:ascii="Times New Roman" w:hAnsi="Times New Roman"/>
          <w:noProof/>
        </w:rPr>
        <w:drawing>
          <wp:inline distT="0" distB="0" distL="0" distR="0" wp14:anchorId="5BDB2854" wp14:editId="01A6FBCE">
            <wp:extent cx="5711446" cy="195404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55" cy="1956989"/>
                    </a:xfrm>
                    <a:prstGeom prst="rect">
                      <a:avLst/>
                    </a:prstGeom>
                    <a:noFill/>
                  </pic:spPr>
                </pic:pic>
              </a:graphicData>
            </a:graphic>
          </wp:inline>
        </w:drawing>
      </w:r>
    </w:p>
    <w:p w:rsidR="00800096" w:rsidRDefault="007D6AC9" w:rsidP="007D6AC9">
      <w:pPr>
        <w:pStyle w:val="BNDES"/>
        <w:spacing w:after="120"/>
        <w:jc w:val="center"/>
        <w:rPr>
          <w:rFonts w:ascii="Times New Roman" w:hAnsi="Times New Roman"/>
        </w:rPr>
      </w:pPr>
      <w:r>
        <w:rPr>
          <w:rFonts w:ascii="Times New Roman" w:hAnsi="Times New Roman"/>
        </w:rPr>
        <w:t>Fonte: elaboração própria.</w:t>
      </w:r>
    </w:p>
    <w:p w:rsidR="007D6AC9" w:rsidRPr="00800096" w:rsidRDefault="007D6AC9" w:rsidP="00800096">
      <w:pPr>
        <w:pStyle w:val="BNDES"/>
        <w:spacing w:after="120"/>
        <w:rPr>
          <w:rFonts w:ascii="Times New Roman" w:hAnsi="Times New Roman"/>
        </w:rPr>
      </w:pPr>
    </w:p>
    <w:p w:rsidR="00800096" w:rsidRPr="00800096" w:rsidRDefault="00800096" w:rsidP="00800096">
      <w:pPr>
        <w:pStyle w:val="BNDES"/>
        <w:spacing w:after="120"/>
        <w:rPr>
          <w:rFonts w:ascii="Times New Roman" w:hAnsi="Times New Roman"/>
        </w:rPr>
      </w:pPr>
      <w:r w:rsidRPr="00800096">
        <w:rPr>
          <w:rFonts w:ascii="Times New Roman" w:hAnsi="Times New Roman"/>
        </w:rPr>
        <w:t>O PAC foi criado pelo Decreto nº 6025, de 22/01/2007</w:t>
      </w:r>
      <w:r w:rsidR="007D6AC9">
        <w:rPr>
          <w:rFonts w:ascii="Times New Roman" w:hAnsi="Times New Roman"/>
        </w:rPr>
        <w:t>.</w:t>
      </w:r>
      <w:r w:rsidRPr="00800096">
        <w:rPr>
          <w:rFonts w:ascii="Times New Roman" w:hAnsi="Times New Roman"/>
        </w:rPr>
        <w:t xml:space="preserve"> </w:t>
      </w:r>
      <w:r w:rsidR="007D6AC9">
        <w:rPr>
          <w:rFonts w:ascii="Times New Roman" w:hAnsi="Times New Roman"/>
        </w:rPr>
        <w:t>N</w:t>
      </w:r>
      <w:r w:rsidRPr="00800096">
        <w:rPr>
          <w:rFonts w:ascii="Times New Roman" w:hAnsi="Times New Roman"/>
        </w:rPr>
        <w:t>o que diz respeito especificamente aos setores de água e esgoto, o PAC tinha como objetivo, respectivamente: (i) melhorar e expandir o abastecimento de água das áreas urbanas; investir em irrigação, estudos e projetos, e revitalização para ampliar a infraestrutura de abastecimento de água no Nordeste e regiões com escassez de água; e (</w:t>
      </w:r>
      <w:proofErr w:type="spellStart"/>
      <w:proofErr w:type="gramStart"/>
      <w:r w:rsidRPr="00800096">
        <w:rPr>
          <w:rFonts w:ascii="Times New Roman" w:hAnsi="Times New Roman"/>
        </w:rPr>
        <w:t>ii</w:t>
      </w:r>
      <w:proofErr w:type="spellEnd"/>
      <w:proofErr w:type="gramEnd"/>
      <w:r w:rsidRPr="00800096">
        <w:rPr>
          <w:rFonts w:ascii="Times New Roman" w:hAnsi="Times New Roman"/>
        </w:rPr>
        <w:t xml:space="preserve">) aumentar a cobertura de coleta e tratamento de esgoto, proteger os mananciais, despoluir cursos d’água e tratar os resíduos sólidos. </w:t>
      </w:r>
    </w:p>
    <w:p w:rsidR="00800096" w:rsidRPr="00800096" w:rsidRDefault="00800096" w:rsidP="00800096">
      <w:pPr>
        <w:pStyle w:val="BNDES"/>
        <w:spacing w:after="120"/>
        <w:rPr>
          <w:rFonts w:ascii="Times New Roman" w:hAnsi="Times New Roman"/>
        </w:rPr>
      </w:pPr>
      <w:r w:rsidRPr="00800096">
        <w:rPr>
          <w:rFonts w:ascii="Times New Roman" w:hAnsi="Times New Roman"/>
        </w:rPr>
        <w:t xml:space="preserve">A dotação destinada ao saneamento no PAC </w:t>
      </w:r>
      <w:proofErr w:type="gramStart"/>
      <w:r w:rsidRPr="00800096">
        <w:rPr>
          <w:rFonts w:ascii="Times New Roman" w:hAnsi="Times New Roman"/>
        </w:rPr>
        <w:t>1</w:t>
      </w:r>
      <w:proofErr w:type="gramEnd"/>
      <w:r w:rsidRPr="00800096">
        <w:rPr>
          <w:rFonts w:ascii="Times New Roman" w:hAnsi="Times New Roman"/>
        </w:rPr>
        <w:t xml:space="preserve"> </w:t>
      </w:r>
      <w:r w:rsidR="007D6AC9">
        <w:rPr>
          <w:rFonts w:ascii="Times New Roman" w:hAnsi="Times New Roman"/>
        </w:rPr>
        <w:t xml:space="preserve">(vigente entre 2007 e 2010) </w:t>
      </w:r>
      <w:r w:rsidRPr="00800096">
        <w:rPr>
          <w:rFonts w:ascii="Times New Roman" w:hAnsi="Times New Roman"/>
        </w:rPr>
        <w:t xml:space="preserve">e </w:t>
      </w:r>
      <w:r w:rsidR="007D6AC9">
        <w:rPr>
          <w:rFonts w:ascii="Times New Roman" w:hAnsi="Times New Roman"/>
        </w:rPr>
        <w:t xml:space="preserve">no PAC </w:t>
      </w:r>
      <w:r w:rsidRPr="00800096">
        <w:rPr>
          <w:rFonts w:ascii="Times New Roman" w:hAnsi="Times New Roman"/>
        </w:rPr>
        <w:t xml:space="preserve">2 </w:t>
      </w:r>
      <w:r w:rsidR="007D6AC9">
        <w:rPr>
          <w:rFonts w:ascii="Times New Roman" w:hAnsi="Times New Roman"/>
        </w:rPr>
        <w:t xml:space="preserve">(vigente entre 2011 e 2014) </w:t>
      </w:r>
      <w:r w:rsidRPr="00800096">
        <w:rPr>
          <w:rFonts w:ascii="Times New Roman" w:hAnsi="Times New Roman"/>
        </w:rPr>
        <w:t>foram, respectivamente, de R$ 40 bilhões e de R$ 45 bilhões. Estes recursos tiveram como fontes repasses do Orçamento Geral da União; financiamentos do BNDES e da Caixa Econômica Federal; e contrapartidas dos estados e municípios beneficiados.</w:t>
      </w:r>
    </w:p>
    <w:p w:rsidR="00800096" w:rsidRPr="00800096" w:rsidRDefault="00800096" w:rsidP="00800096">
      <w:pPr>
        <w:pStyle w:val="BNDES"/>
        <w:spacing w:after="120"/>
        <w:rPr>
          <w:rFonts w:ascii="Times New Roman" w:hAnsi="Times New Roman"/>
        </w:rPr>
      </w:pPr>
      <w:r w:rsidRPr="00800096">
        <w:rPr>
          <w:rFonts w:ascii="Times New Roman" w:hAnsi="Times New Roman"/>
        </w:rPr>
        <w:t xml:space="preserve">Deve-se observar que os projetos do PAC enfrentaram problemas em sua execução.  </w:t>
      </w:r>
      <w:proofErr w:type="gramStart"/>
      <w:r w:rsidRPr="00800096">
        <w:rPr>
          <w:rFonts w:ascii="Times New Roman" w:hAnsi="Times New Roman"/>
        </w:rPr>
        <w:t>em</w:t>
      </w:r>
      <w:proofErr w:type="gramEnd"/>
      <w:r w:rsidRPr="00800096">
        <w:rPr>
          <w:rFonts w:ascii="Times New Roman" w:hAnsi="Times New Roman"/>
        </w:rPr>
        <w:t xml:space="preserve"> razão de: (i) ausência de planejamento de médio e longo prazo dos prestadores; (</w:t>
      </w:r>
      <w:proofErr w:type="spellStart"/>
      <w:r w:rsidRPr="00800096">
        <w:rPr>
          <w:rFonts w:ascii="Times New Roman" w:hAnsi="Times New Roman"/>
        </w:rPr>
        <w:t>ii</w:t>
      </w:r>
      <w:proofErr w:type="spellEnd"/>
      <w:r w:rsidRPr="00800096">
        <w:rPr>
          <w:rFonts w:ascii="Times New Roman" w:hAnsi="Times New Roman"/>
        </w:rPr>
        <w:t>) dificuldades em elaborar projetos e implementá-los; (</w:t>
      </w:r>
      <w:proofErr w:type="spellStart"/>
      <w:r w:rsidRPr="00800096">
        <w:rPr>
          <w:rFonts w:ascii="Times New Roman" w:hAnsi="Times New Roman"/>
        </w:rPr>
        <w:t>iii</w:t>
      </w:r>
      <w:proofErr w:type="spellEnd"/>
      <w:r w:rsidRPr="00800096">
        <w:rPr>
          <w:rFonts w:ascii="Times New Roman" w:hAnsi="Times New Roman"/>
        </w:rPr>
        <w:t>) baixa capacidade de execução e acompanhamento dos investimentos; (</w:t>
      </w:r>
      <w:proofErr w:type="spellStart"/>
      <w:r w:rsidRPr="00800096">
        <w:rPr>
          <w:rFonts w:ascii="Times New Roman" w:hAnsi="Times New Roman"/>
        </w:rPr>
        <w:t>iv</w:t>
      </w:r>
      <w:proofErr w:type="spellEnd"/>
      <w:r w:rsidRPr="00800096">
        <w:rPr>
          <w:rFonts w:ascii="Times New Roman" w:hAnsi="Times New Roman"/>
        </w:rPr>
        <w:t xml:space="preserve">) equipes reduzidas para elaboração de grande número de licitações simultâneas; (v) descontinuidade administrativa; (vi) dificuldades relativas à obtenção de licenças e a deficiências cadastrais de diversas ordens. Estes fatores ensejaram significativas alterações do orçamento inicialmente previsto e atrasos nas execuções das obras. </w:t>
      </w:r>
    </w:p>
    <w:p w:rsidR="00800096" w:rsidRPr="00800096" w:rsidRDefault="00800096" w:rsidP="00800096">
      <w:pPr>
        <w:pStyle w:val="BNDES"/>
        <w:spacing w:after="120"/>
        <w:rPr>
          <w:rFonts w:ascii="Times New Roman" w:hAnsi="Times New Roman"/>
        </w:rPr>
      </w:pPr>
      <w:r w:rsidRPr="00800096">
        <w:rPr>
          <w:rFonts w:ascii="Times New Roman" w:hAnsi="Times New Roman"/>
        </w:rPr>
        <w:t xml:space="preserve">A elevação dos investimentos e consequente provisão dos serviços de abastecimento de água e esgoto para milhões de cidadãos só foram possíveis graças ao </w:t>
      </w:r>
      <w:r w:rsidR="007D6AC9" w:rsidRPr="00800096">
        <w:rPr>
          <w:rFonts w:ascii="Times New Roman" w:hAnsi="Times New Roman"/>
        </w:rPr>
        <w:t>descontigenciamento</w:t>
      </w:r>
      <w:r w:rsidRPr="00800096">
        <w:rPr>
          <w:rFonts w:ascii="Times New Roman" w:hAnsi="Times New Roman"/>
        </w:rPr>
        <w:t xml:space="preserve"> de crédito propiciado pelo PAC.</w:t>
      </w:r>
      <w:r w:rsidR="007D6AC9">
        <w:rPr>
          <w:rFonts w:ascii="Times New Roman" w:hAnsi="Times New Roman"/>
        </w:rPr>
        <w:t xml:space="preserve"> </w:t>
      </w:r>
      <w:r w:rsidRPr="00800096">
        <w:rPr>
          <w:rFonts w:ascii="Times New Roman" w:hAnsi="Times New Roman"/>
        </w:rPr>
        <w:t>De 2001 a 2017, as operações de crédito realizadas por entes públicos (da administração direta e indireta) foram regulamentadas pela Resolução nº 2.827 do Conselho Monetário Nacional (CMN). Tal resolução estabelecia um limite global de R$ 1 bilhão para operações de crédito com o setor público (excetuando Petrobrás e Eletrobrás). Este limite, porém, foi rapidamente alcançado, criando uma nova situação de restrição de crédito.</w:t>
      </w:r>
    </w:p>
    <w:p w:rsidR="00800096" w:rsidRPr="00800096" w:rsidRDefault="00800096" w:rsidP="00800096">
      <w:pPr>
        <w:pStyle w:val="BNDES"/>
        <w:spacing w:after="120"/>
        <w:rPr>
          <w:rFonts w:ascii="Times New Roman" w:hAnsi="Times New Roman"/>
        </w:rPr>
      </w:pPr>
      <w:r w:rsidRPr="00800096">
        <w:rPr>
          <w:rFonts w:ascii="Times New Roman" w:hAnsi="Times New Roman"/>
        </w:rPr>
        <w:t xml:space="preserve">A partir de 2007, então, como forma de possibilitar os investimentos no âmbito do PAC, o </w:t>
      </w:r>
      <w:r w:rsidR="007D6AC9" w:rsidRPr="00800096">
        <w:rPr>
          <w:rFonts w:ascii="Times New Roman" w:hAnsi="Times New Roman"/>
        </w:rPr>
        <w:t>descontigenciamento</w:t>
      </w:r>
      <w:r w:rsidRPr="00800096">
        <w:rPr>
          <w:rFonts w:ascii="Times New Roman" w:hAnsi="Times New Roman"/>
        </w:rPr>
        <w:t xml:space="preserve"> de recursos passou a ser realizado através da inserção de dispositivos na Resolução </w:t>
      </w:r>
      <w:r w:rsidRPr="00800096">
        <w:rPr>
          <w:rFonts w:ascii="Times New Roman" w:hAnsi="Times New Roman"/>
        </w:rPr>
        <w:lastRenderedPageBreak/>
        <w:t>2.827, estabelecendo novos limites setoriais. No caso do saneamento, a utilização destes montantes ocorria através de seleções de projetos realizadas pela Secretaria Nacional de Saneamento (SNSA).</w:t>
      </w:r>
    </w:p>
    <w:p w:rsidR="00800096" w:rsidRPr="00800096" w:rsidRDefault="00800096" w:rsidP="00800096">
      <w:pPr>
        <w:pStyle w:val="BNDES"/>
        <w:spacing w:after="120"/>
        <w:rPr>
          <w:rFonts w:ascii="Times New Roman" w:hAnsi="Times New Roman"/>
        </w:rPr>
      </w:pPr>
      <w:r w:rsidRPr="00800096">
        <w:rPr>
          <w:rFonts w:ascii="Times New Roman" w:hAnsi="Times New Roman"/>
        </w:rPr>
        <w:t>A seleção realizada pela SNSA levava em conta requisitos institucionais e legais mínimos pelos prestadores (como a regularidade das concessões, no caso de delegação da prestação, a comprovação de regulação dos serviços, dentre outros) e requisitos dos projetos (estabelecimento dos itens financiáveis, por exemplo). Com isso, possibilitou-se o acesso dos entes públicos a crédito para investimento em projetos de saneamento. O efeito do acesso ao crédito por parte das prestadoras municipais sobre os indicadores de saúde será objeto da próxima sessão.</w:t>
      </w:r>
    </w:p>
    <w:p w:rsidR="00796401" w:rsidRPr="008F6792" w:rsidRDefault="00796401" w:rsidP="00796401">
      <w:pPr>
        <w:pStyle w:val="BNDES"/>
        <w:spacing w:after="120"/>
        <w:ind w:left="284"/>
        <w:rPr>
          <w:rFonts w:ascii="Times New Roman" w:hAnsi="Times New Roman"/>
          <w:b/>
        </w:rPr>
      </w:pPr>
    </w:p>
    <w:p w:rsidR="00844248" w:rsidRDefault="00844248" w:rsidP="00514949">
      <w:pPr>
        <w:pStyle w:val="BNDES"/>
        <w:numPr>
          <w:ilvl w:val="0"/>
          <w:numId w:val="1"/>
        </w:numPr>
        <w:spacing w:after="120"/>
        <w:ind w:left="284" w:hanging="284"/>
        <w:rPr>
          <w:rFonts w:ascii="Times New Roman" w:hAnsi="Times New Roman"/>
          <w:b/>
        </w:rPr>
      </w:pPr>
      <w:r w:rsidRPr="008F6792">
        <w:rPr>
          <w:rFonts w:ascii="Times New Roman" w:hAnsi="Times New Roman"/>
          <w:b/>
        </w:rPr>
        <w:t>Base de Dados</w:t>
      </w:r>
    </w:p>
    <w:p w:rsidR="00C31370" w:rsidRDefault="00C31370" w:rsidP="00C31370">
      <w:pPr>
        <w:pStyle w:val="BNDES"/>
        <w:spacing w:after="120"/>
        <w:rPr>
          <w:rFonts w:ascii="Times New Roman" w:hAnsi="Times New Roman"/>
        </w:rPr>
      </w:pPr>
      <w:r>
        <w:rPr>
          <w:rFonts w:ascii="Times New Roman" w:hAnsi="Times New Roman"/>
        </w:rPr>
        <w:t xml:space="preserve">Uma das ações do PAC (2007-2010) foi o descontigenciamento de crédito para projetos de saneamento básico, com o objetivo de fomentar investimentos nesse setor. O descontigenciamento de crédito possibilitou o acesso de </w:t>
      </w:r>
      <w:proofErr w:type="gramStart"/>
      <w:r>
        <w:rPr>
          <w:rFonts w:ascii="Times New Roman" w:hAnsi="Times New Roman"/>
        </w:rPr>
        <w:t>algumas prestadoras municipais a recursos para investimentos, o</w:t>
      </w:r>
      <w:proofErr w:type="gramEnd"/>
      <w:r>
        <w:rPr>
          <w:rFonts w:ascii="Times New Roman" w:hAnsi="Times New Roman"/>
        </w:rPr>
        <w:t xml:space="preserve"> que não ocorria antes da Resolução 3.437/2007, do Banco Central, que retirava do contingenciamento até R$ 6 bilhões para investimentos em saneamento. Posteriormente, esse limite foi ampliado para R$ 18,1 bilhões, com a Resolução 3.958/2011, também emitida pelo Banco Central. Essas resoluções determinavam, ainda, que a contratação das operações de crédito deveriam ser </w:t>
      </w:r>
      <w:proofErr w:type="gramStart"/>
      <w:r>
        <w:rPr>
          <w:rFonts w:ascii="Times New Roman" w:hAnsi="Times New Roman"/>
        </w:rPr>
        <w:t>precedidas de habilitação</w:t>
      </w:r>
      <w:proofErr w:type="gramEnd"/>
      <w:r>
        <w:rPr>
          <w:rFonts w:ascii="Times New Roman" w:hAnsi="Times New Roman"/>
        </w:rPr>
        <w:t xml:space="preserve"> pelo Ministério das Cidades. </w:t>
      </w:r>
    </w:p>
    <w:p w:rsidR="00371B0A" w:rsidRDefault="00EE231F" w:rsidP="00514949">
      <w:pPr>
        <w:pStyle w:val="BNDES"/>
        <w:spacing w:after="120"/>
        <w:rPr>
          <w:rFonts w:ascii="Times New Roman" w:hAnsi="Times New Roman"/>
        </w:rPr>
      </w:pPr>
      <w:r w:rsidRPr="00EE231F">
        <w:rPr>
          <w:rFonts w:ascii="Times New Roman" w:hAnsi="Times New Roman"/>
        </w:rPr>
        <w:t xml:space="preserve">O </w:t>
      </w:r>
      <w:r>
        <w:rPr>
          <w:rFonts w:ascii="Times New Roman" w:hAnsi="Times New Roman"/>
        </w:rPr>
        <w:t>presente trabalho</w:t>
      </w:r>
      <w:r w:rsidR="00C31370">
        <w:rPr>
          <w:rFonts w:ascii="Times New Roman" w:hAnsi="Times New Roman"/>
        </w:rPr>
        <w:t>, nesse sentido, procura fazer uma avaliação de impacto dessas mudanças institucionais no financiamento do saneamento básico sobre indicadores de mortalidade infantil nos municípios brasileiros. Para isso, levantou</w:t>
      </w:r>
      <w:r>
        <w:rPr>
          <w:rFonts w:ascii="Times New Roman" w:hAnsi="Times New Roman"/>
        </w:rPr>
        <w:t>-se de uma base de dados com 2</w:t>
      </w:r>
      <w:r w:rsidR="00796401">
        <w:rPr>
          <w:rFonts w:ascii="Times New Roman" w:hAnsi="Times New Roman"/>
        </w:rPr>
        <w:t>0</w:t>
      </w:r>
      <w:r>
        <w:rPr>
          <w:rFonts w:ascii="Times New Roman" w:hAnsi="Times New Roman"/>
        </w:rPr>
        <w:t xml:space="preserve"> variáveis em nível municipal, que constitui um painel de 2005 a 2016. As variáveis contempladas provêm de </w:t>
      </w:r>
      <w:r w:rsidR="00C31370">
        <w:rPr>
          <w:rFonts w:ascii="Times New Roman" w:hAnsi="Times New Roman"/>
        </w:rPr>
        <w:t>cinco</w:t>
      </w:r>
      <w:r>
        <w:rPr>
          <w:rFonts w:ascii="Times New Roman" w:hAnsi="Times New Roman"/>
        </w:rPr>
        <w:t xml:space="preserve"> fontes, de acordo com o tipo de informação que contêm. </w:t>
      </w:r>
    </w:p>
    <w:p w:rsidR="00EE231F" w:rsidRPr="00EE231F" w:rsidRDefault="00EE231F" w:rsidP="00514949">
      <w:pPr>
        <w:pStyle w:val="BNDES"/>
        <w:spacing w:after="120"/>
        <w:rPr>
          <w:rFonts w:ascii="Times New Roman" w:hAnsi="Times New Roman"/>
        </w:rPr>
      </w:pPr>
      <w:r w:rsidRPr="00EE231F">
        <w:rPr>
          <w:rFonts w:ascii="Times New Roman" w:hAnsi="Times New Roman"/>
        </w:rPr>
        <w:t>O Sistema Nacional de Informações Sobre Saneamento (SNIS) é uma base de dados divulgada pela Secretaria Nacional</w:t>
      </w:r>
      <w:r>
        <w:rPr>
          <w:rFonts w:ascii="Times New Roman" w:hAnsi="Times New Roman"/>
        </w:rPr>
        <w:t xml:space="preserve"> </w:t>
      </w:r>
      <w:r w:rsidRPr="00EE231F">
        <w:rPr>
          <w:rFonts w:ascii="Times New Roman" w:hAnsi="Times New Roman"/>
        </w:rPr>
        <w:t>de Saneamento do Ministério do Desenvolvimento Regional (SNS/MDR). Os dados dos serviços de água e esgotos são</w:t>
      </w:r>
      <w:r>
        <w:rPr>
          <w:rFonts w:ascii="Times New Roman" w:hAnsi="Times New Roman"/>
        </w:rPr>
        <w:t xml:space="preserve"> </w:t>
      </w:r>
      <w:r w:rsidRPr="00EE231F">
        <w:rPr>
          <w:rFonts w:ascii="Times New Roman" w:hAnsi="Times New Roman"/>
        </w:rPr>
        <w:t>fornecidos ao SNIS por companhias estaduais, empresas e autarquias municipais, empresas privadas e, em muitos casos,</w:t>
      </w:r>
      <w:r>
        <w:rPr>
          <w:rFonts w:ascii="Times New Roman" w:hAnsi="Times New Roman"/>
        </w:rPr>
        <w:t xml:space="preserve"> </w:t>
      </w:r>
      <w:r w:rsidRPr="00EE231F">
        <w:rPr>
          <w:rFonts w:ascii="Times New Roman" w:hAnsi="Times New Roman"/>
        </w:rPr>
        <w:t>pelas próprias prefeituras, todos denominados no SNIS como prestadores de serviços. As informações e os indicadores</w:t>
      </w:r>
      <w:r>
        <w:rPr>
          <w:rFonts w:ascii="Times New Roman" w:hAnsi="Times New Roman"/>
        </w:rPr>
        <w:t xml:space="preserve"> </w:t>
      </w:r>
      <w:r w:rsidRPr="00EE231F">
        <w:rPr>
          <w:rFonts w:ascii="Times New Roman" w:hAnsi="Times New Roman"/>
        </w:rPr>
        <w:t>do sistema permitem</w:t>
      </w:r>
      <w:r>
        <w:rPr>
          <w:rFonts w:ascii="Times New Roman" w:hAnsi="Times New Roman"/>
        </w:rPr>
        <w:t xml:space="preserve"> </w:t>
      </w:r>
      <w:r w:rsidRPr="00EE231F">
        <w:rPr>
          <w:rFonts w:ascii="Times New Roman" w:hAnsi="Times New Roman"/>
        </w:rPr>
        <w:t>identificar, com</w:t>
      </w:r>
      <w:r>
        <w:rPr>
          <w:rFonts w:ascii="Times New Roman" w:hAnsi="Times New Roman"/>
        </w:rPr>
        <w:t xml:space="preserve"> </w:t>
      </w:r>
      <w:r w:rsidRPr="00EE231F">
        <w:rPr>
          <w:rFonts w:ascii="Times New Roman" w:hAnsi="Times New Roman"/>
        </w:rPr>
        <w:t>objetividade, aspectos da gestão dos serviços nos municípios brasileiros (MDR, 2019</w:t>
      </w:r>
      <w:proofErr w:type="gramStart"/>
      <w:r w:rsidRPr="00EE231F">
        <w:rPr>
          <w:rFonts w:ascii="Times New Roman" w:hAnsi="Times New Roman"/>
        </w:rPr>
        <w:t>)</w:t>
      </w:r>
      <w:proofErr w:type="gramEnd"/>
      <w:r w:rsidR="00581F8C">
        <w:rPr>
          <w:rStyle w:val="Refdenotaderodap"/>
          <w:rFonts w:ascii="Times New Roman" w:hAnsi="Times New Roman"/>
        </w:rPr>
        <w:footnoteReference w:id="4"/>
      </w:r>
      <w:r w:rsidRPr="00EE231F">
        <w:rPr>
          <w:rFonts w:ascii="Times New Roman" w:hAnsi="Times New Roman"/>
        </w:rPr>
        <w:t>.</w:t>
      </w:r>
    </w:p>
    <w:p w:rsidR="00EE231F" w:rsidRDefault="00EE231F" w:rsidP="00514949">
      <w:pPr>
        <w:pStyle w:val="BNDES"/>
        <w:spacing w:after="120"/>
        <w:rPr>
          <w:rFonts w:ascii="Times New Roman" w:hAnsi="Times New Roman"/>
        </w:rPr>
      </w:pPr>
      <w:r>
        <w:rPr>
          <w:rFonts w:ascii="Times New Roman" w:hAnsi="Times New Roman"/>
        </w:rPr>
        <w:t>As informações sobre indicadores de saúde foram obtidas com o</w:t>
      </w:r>
      <w:r w:rsidRPr="00EE231F">
        <w:rPr>
          <w:rFonts w:ascii="Times New Roman" w:hAnsi="Times New Roman"/>
        </w:rPr>
        <w:t xml:space="preserve"> Departamento de Informática do Sistema Único de Saúde (DATASUS)</w:t>
      </w:r>
      <w:r>
        <w:rPr>
          <w:rFonts w:ascii="Times New Roman" w:hAnsi="Times New Roman"/>
        </w:rPr>
        <w:t>. Essas informações são divididas em três bases: o</w:t>
      </w:r>
      <w:r w:rsidRPr="00EE231F">
        <w:rPr>
          <w:rFonts w:ascii="Times New Roman" w:hAnsi="Times New Roman"/>
        </w:rPr>
        <w:t xml:space="preserve"> Sistema de Informações sobre Mortalidade (SIM), com dados de causas de mortes; </w:t>
      </w:r>
      <w:r>
        <w:rPr>
          <w:rFonts w:ascii="Times New Roman" w:hAnsi="Times New Roman"/>
        </w:rPr>
        <w:t>o</w:t>
      </w:r>
      <w:r w:rsidRPr="00EE231F">
        <w:rPr>
          <w:rFonts w:ascii="Times New Roman" w:hAnsi="Times New Roman"/>
        </w:rPr>
        <w:t xml:space="preserve"> Cadastro Nacional de Estabelecimentos de Saúde (CNES),</w:t>
      </w:r>
      <w:r>
        <w:rPr>
          <w:rFonts w:ascii="Times New Roman" w:hAnsi="Times New Roman"/>
        </w:rPr>
        <w:t xml:space="preserve"> </w:t>
      </w:r>
      <w:r w:rsidRPr="00EE231F">
        <w:rPr>
          <w:rFonts w:ascii="Times New Roman" w:hAnsi="Times New Roman"/>
        </w:rPr>
        <w:t>com informações sobre número de estabelecimentos e equipamentos de saúde;</w:t>
      </w:r>
      <w:r>
        <w:rPr>
          <w:rFonts w:ascii="Times New Roman" w:hAnsi="Times New Roman"/>
        </w:rPr>
        <w:t xml:space="preserve"> e o </w:t>
      </w:r>
      <w:r w:rsidRPr="00EE231F">
        <w:rPr>
          <w:rFonts w:ascii="Times New Roman" w:hAnsi="Times New Roman"/>
        </w:rPr>
        <w:t>Sistema de Informações de Nascidos Vivos</w:t>
      </w:r>
      <w:r>
        <w:rPr>
          <w:rFonts w:ascii="Times New Roman" w:hAnsi="Times New Roman"/>
        </w:rPr>
        <w:t xml:space="preserve"> (SINASC), com informações sobre nascimentos.</w:t>
      </w:r>
    </w:p>
    <w:p w:rsidR="00EE231F" w:rsidRDefault="00EE231F" w:rsidP="00514949">
      <w:pPr>
        <w:pStyle w:val="BNDES"/>
        <w:spacing w:after="120"/>
        <w:rPr>
          <w:rFonts w:ascii="Times New Roman" w:hAnsi="Times New Roman"/>
        </w:rPr>
      </w:pPr>
      <w:r>
        <w:rPr>
          <w:rFonts w:ascii="Times New Roman" w:hAnsi="Times New Roman"/>
        </w:rPr>
        <w:t xml:space="preserve">Além dessas fontes, foram obtidos indicadores de PIB e população no </w:t>
      </w:r>
      <w:r w:rsidRPr="00EE231F">
        <w:rPr>
          <w:rFonts w:ascii="Times New Roman" w:hAnsi="Times New Roman"/>
        </w:rPr>
        <w:t>Sistema IBGE de Recuperação Automática – SIDRA</w:t>
      </w:r>
      <w:r w:rsidR="00C821CD">
        <w:rPr>
          <w:rFonts w:ascii="Times New Roman" w:hAnsi="Times New Roman"/>
        </w:rPr>
        <w:t>, do Instituto Brasileiro de Geografia e Estatística (IBGE). Por fim, foram obtidas i</w:t>
      </w:r>
      <w:r w:rsidR="00C821CD" w:rsidRPr="00C821CD">
        <w:rPr>
          <w:rFonts w:ascii="Times New Roman" w:hAnsi="Times New Roman"/>
        </w:rPr>
        <w:t>nformações financeiras dos municípios (</w:t>
      </w:r>
      <w:proofErr w:type="spellStart"/>
      <w:proofErr w:type="gramStart"/>
      <w:r w:rsidR="00C821CD" w:rsidRPr="00C821CD">
        <w:rPr>
          <w:rFonts w:ascii="Times New Roman" w:hAnsi="Times New Roman"/>
        </w:rPr>
        <w:t>FinBra</w:t>
      </w:r>
      <w:proofErr w:type="spellEnd"/>
      <w:proofErr w:type="gramEnd"/>
      <w:r w:rsidR="00C821CD" w:rsidRPr="00C821CD">
        <w:rPr>
          <w:rFonts w:ascii="Times New Roman" w:hAnsi="Times New Roman"/>
        </w:rPr>
        <w:t xml:space="preserve">), banco de dados criado pela Secretaria do Tesouro Nacional (STN), em convênio com a Caixa Econômica Federal (CEF). Essa base inclui informações sobre receitas e despesas públicas desagregadas </w:t>
      </w:r>
      <w:r w:rsidR="00C821CD">
        <w:rPr>
          <w:rFonts w:ascii="Times New Roman" w:hAnsi="Times New Roman"/>
        </w:rPr>
        <w:t>por função.</w:t>
      </w:r>
      <w:r w:rsidR="00406E4C">
        <w:rPr>
          <w:rFonts w:ascii="Times New Roman" w:hAnsi="Times New Roman"/>
        </w:rPr>
        <w:t xml:space="preserve"> </w:t>
      </w:r>
      <w:r w:rsidR="00796401">
        <w:rPr>
          <w:rFonts w:ascii="Times New Roman" w:hAnsi="Times New Roman"/>
        </w:rPr>
        <w:t xml:space="preserve">Todas as variáveis financeiras incluídas no trabalho foram deflacionadas para valores de 2016 por meio do Índice de Preços ao Consumidor Amplo (IPCA), do IBGE. </w:t>
      </w:r>
      <w:r w:rsidR="00406E4C">
        <w:rPr>
          <w:rFonts w:ascii="Times New Roman" w:hAnsi="Times New Roman"/>
        </w:rPr>
        <w:t xml:space="preserve">Um resumo com as </w:t>
      </w:r>
      <w:r w:rsidR="00262CCB" w:rsidRPr="00B6448F">
        <w:rPr>
          <w:rFonts w:ascii="Times New Roman" w:hAnsi="Times New Roman"/>
        </w:rPr>
        <w:t>2</w:t>
      </w:r>
      <w:r w:rsidR="00796401">
        <w:rPr>
          <w:rFonts w:ascii="Times New Roman" w:hAnsi="Times New Roman"/>
        </w:rPr>
        <w:t>0</w:t>
      </w:r>
      <w:r w:rsidR="00262CCB">
        <w:rPr>
          <w:rFonts w:ascii="Times New Roman" w:hAnsi="Times New Roman"/>
        </w:rPr>
        <w:t xml:space="preserve"> </w:t>
      </w:r>
      <w:r w:rsidR="00406E4C">
        <w:rPr>
          <w:rFonts w:ascii="Times New Roman" w:hAnsi="Times New Roman"/>
        </w:rPr>
        <w:t xml:space="preserve">variáveis </w:t>
      </w:r>
      <w:r w:rsidR="00796401">
        <w:rPr>
          <w:rFonts w:ascii="Times New Roman" w:hAnsi="Times New Roman"/>
        </w:rPr>
        <w:t xml:space="preserve">aqui </w:t>
      </w:r>
      <w:r w:rsidR="00406E4C">
        <w:rPr>
          <w:rFonts w:ascii="Times New Roman" w:hAnsi="Times New Roman"/>
        </w:rPr>
        <w:t>cobertas encontra-se na tabela a seguir:</w:t>
      </w:r>
    </w:p>
    <w:p w:rsidR="00492F3C" w:rsidRDefault="00492F3C" w:rsidP="00514949">
      <w:pPr>
        <w:pStyle w:val="BNDES"/>
        <w:spacing w:after="120"/>
        <w:rPr>
          <w:rFonts w:ascii="Times New Roman" w:hAnsi="Times New Roman"/>
        </w:rPr>
      </w:pPr>
    </w:p>
    <w:p w:rsidR="00406E4C" w:rsidRDefault="00406E4C" w:rsidP="00514949">
      <w:pPr>
        <w:pStyle w:val="BNDES"/>
        <w:spacing w:after="120"/>
        <w:jc w:val="center"/>
        <w:rPr>
          <w:rFonts w:ascii="Times New Roman" w:hAnsi="Times New Roman"/>
        </w:rPr>
      </w:pPr>
      <w:r>
        <w:rPr>
          <w:rFonts w:ascii="Times New Roman" w:hAnsi="Times New Roman"/>
        </w:rPr>
        <w:t xml:space="preserve">Tabela </w:t>
      </w:r>
      <w:r w:rsidR="00B9493D">
        <w:rPr>
          <w:rFonts w:ascii="Times New Roman" w:hAnsi="Times New Roman"/>
        </w:rPr>
        <w:t>2</w:t>
      </w:r>
      <w:r>
        <w:rPr>
          <w:rFonts w:ascii="Times New Roman" w:hAnsi="Times New Roman"/>
        </w:rPr>
        <w:t>: Descrição das Variáveis</w:t>
      </w:r>
      <w:r w:rsidR="008B2206">
        <w:rPr>
          <w:rFonts w:ascii="Times New Roman" w:hAnsi="Times New Roman"/>
        </w:rPr>
        <w:t xml:space="preserve"> Utilizadas</w:t>
      </w:r>
    </w:p>
    <w:tbl>
      <w:tblPr>
        <w:tblStyle w:val="Tabelacomgrade"/>
        <w:tblW w:w="9426" w:type="dxa"/>
        <w:jc w:val="center"/>
        <w:tblInd w:w="-349" w:type="dxa"/>
        <w:tblLook w:val="04A0" w:firstRow="1" w:lastRow="0" w:firstColumn="1" w:lastColumn="0" w:noHBand="0" w:noVBand="1"/>
      </w:tblPr>
      <w:tblGrid>
        <w:gridCol w:w="3155"/>
        <w:gridCol w:w="2837"/>
        <w:gridCol w:w="1528"/>
        <w:gridCol w:w="1906"/>
      </w:tblGrid>
      <w:tr w:rsidR="00803794" w:rsidRPr="00E10422" w:rsidTr="00514949">
        <w:trPr>
          <w:jc w:val="center"/>
        </w:trPr>
        <w:tc>
          <w:tcPr>
            <w:tcW w:w="3155" w:type="dxa"/>
          </w:tcPr>
          <w:p w:rsidR="00803794" w:rsidRPr="00E10422" w:rsidRDefault="00803794" w:rsidP="00514949">
            <w:pPr>
              <w:rPr>
                <w:rFonts w:ascii="Times New Roman" w:hAnsi="Times New Roman"/>
                <w:b/>
                <w:color w:val="000000"/>
                <w:sz w:val="20"/>
                <w:szCs w:val="20"/>
              </w:rPr>
            </w:pPr>
            <w:r w:rsidRPr="00E10422">
              <w:rPr>
                <w:rFonts w:ascii="Times New Roman" w:hAnsi="Times New Roman"/>
                <w:b/>
                <w:color w:val="000000"/>
                <w:sz w:val="20"/>
                <w:szCs w:val="20"/>
              </w:rPr>
              <w:t>Variável</w:t>
            </w:r>
          </w:p>
        </w:tc>
        <w:tc>
          <w:tcPr>
            <w:tcW w:w="2837" w:type="dxa"/>
            <w:vAlign w:val="bottom"/>
          </w:tcPr>
          <w:p w:rsidR="00803794" w:rsidRPr="00E10422" w:rsidRDefault="00803794" w:rsidP="00514949">
            <w:pPr>
              <w:pStyle w:val="BNDES"/>
              <w:spacing w:after="120"/>
              <w:jc w:val="left"/>
              <w:rPr>
                <w:rFonts w:ascii="Times New Roman" w:hAnsi="Times New Roman"/>
                <w:b/>
                <w:sz w:val="20"/>
                <w:szCs w:val="20"/>
              </w:rPr>
            </w:pPr>
            <w:r w:rsidRPr="00E10422">
              <w:rPr>
                <w:rFonts w:ascii="Times New Roman" w:hAnsi="Times New Roman"/>
                <w:b/>
                <w:sz w:val="20"/>
                <w:szCs w:val="20"/>
              </w:rPr>
              <w:t>Descrição</w:t>
            </w:r>
          </w:p>
        </w:tc>
        <w:tc>
          <w:tcPr>
            <w:tcW w:w="1528" w:type="dxa"/>
          </w:tcPr>
          <w:p w:rsidR="00803794" w:rsidRPr="00E10422" w:rsidRDefault="00803794" w:rsidP="00514949">
            <w:pPr>
              <w:pStyle w:val="BNDES"/>
              <w:spacing w:after="120"/>
              <w:jc w:val="left"/>
              <w:rPr>
                <w:rFonts w:ascii="Times New Roman" w:hAnsi="Times New Roman"/>
                <w:b/>
                <w:sz w:val="20"/>
                <w:szCs w:val="20"/>
              </w:rPr>
            </w:pPr>
            <w:r>
              <w:rPr>
                <w:rFonts w:ascii="Times New Roman" w:hAnsi="Times New Roman"/>
                <w:b/>
                <w:sz w:val="20"/>
                <w:szCs w:val="20"/>
              </w:rPr>
              <w:t>Unidade</w:t>
            </w:r>
          </w:p>
        </w:tc>
        <w:tc>
          <w:tcPr>
            <w:tcW w:w="1906" w:type="dxa"/>
            <w:vAlign w:val="bottom"/>
          </w:tcPr>
          <w:p w:rsidR="00803794" w:rsidRPr="00E10422" w:rsidRDefault="00803794" w:rsidP="00514949">
            <w:pPr>
              <w:pStyle w:val="BNDES"/>
              <w:spacing w:after="120"/>
              <w:jc w:val="left"/>
              <w:rPr>
                <w:rFonts w:ascii="Times New Roman" w:hAnsi="Times New Roman"/>
                <w:b/>
                <w:sz w:val="20"/>
                <w:szCs w:val="20"/>
              </w:rPr>
            </w:pPr>
            <w:r w:rsidRPr="00E10422">
              <w:rPr>
                <w:rFonts w:ascii="Times New Roman" w:hAnsi="Times New Roman"/>
                <w:b/>
                <w:sz w:val="20"/>
                <w:szCs w:val="20"/>
              </w:rPr>
              <w:t>Fonte</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 xml:space="preserve">Investimento </w:t>
            </w:r>
            <w:r w:rsidR="00D83CCE">
              <w:rPr>
                <w:rFonts w:ascii="Times New Roman" w:hAnsi="Times New Roman"/>
                <w:color w:val="000000"/>
                <w:sz w:val="20"/>
                <w:szCs w:val="20"/>
              </w:rPr>
              <w:t>em esgoto</w:t>
            </w:r>
          </w:p>
        </w:tc>
        <w:tc>
          <w:tcPr>
            <w:tcW w:w="2837" w:type="dxa"/>
          </w:tcPr>
          <w:p w:rsidR="00803794" w:rsidRPr="00406E4C" w:rsidRDefault="00803794" w:rsidP="00514949">
            <w:pPr>
              <w:pStyle w:val="BNDES"/>
              <w:spacing w:after="120"/>
              <w:rPr>
                <w:rFonts w:ascii="Times New Roman" w:hAnsi="Times New Roman"/>
                <w:sz w:val="20"/>
                <w:szCs w:val="20"/>
              </w:rPr>
            </w:pPr>
            <w:r w:rsidRPr="00E10422">
              <w:rPr>
                <w:rFonts w:ascii="Times New Roman" w:hAnsi="Times New Roman"/>
                <w:sz w:val="20"/>
                <w:szCs w:val="20"/>
              </w:rPr>
              <w:t xml:space="preserve">Valor do investimento </w:t>
            </w:r>
            <w:r w:rsidRPr="00803794">
              <w:rPr>
                <w:rFonts w:ascii="Times New Roman" w:hAnsi="Times New Roman"/>
                <w:sz w:val="20"/>
                <w:szCs w:val="20"/>
              </w:rPr>
              <w:t>em equipamentos e instalações</w:t>
            </w:r>
            <w:r>
              <w:rPr>
                <w:rFonts w:ascii="Times New Roman" w:hAnsi="Times New Roman"/>
                <w:sz w:val="20"/>
                <w:szCs w:val="20"/>
              </w:rPr>
              <w:t xml:space="preserve"> </w:t>
            </w:r>
            <w:r w:rsidRPr="00803794">
              <w:rPr>
                <w:rFonts w:ascii="Times New Roman" w:hAnsi="Times New Roman"/>
                <w:sz w:val="20"/>
                <w:szCs w:val="20"/>
              </w:rPr>
              <w:t>incorporados ao</w:t>
            </w:r>
            <w:r w:rsidRPr="00E10422">
              <w:rPr>
                <w:rFonts w:ascii="Times New Roman" w:hAnsi="Times New Roman"/>
                <w:sz w:val="20"/>
                <w:szCs w:val="20"/>
              </w:rPr>
              <w:t xml:space="preserve"> sistema</w:t>
            </w:r>
            <w:r>
              <w:rPr>
                <w:rFonts w:ascii="Times New Roman" w:hAnsi="Times New Roman"/>
                <w:sz w:val="20"/>
                <w:szCs w:val="20"/>
              </w:rPr>
              <w:t xml:space="preserve"> </w:t>
            </w:r>
            <w:r w:rsidRPr="00E10422">
              <w:rPr>
                <w:rFonts w:ascii="Times New Roman" w:hAnsi="Times New Roman"/>
                <w:sz w:val="20"/>
                <w:szCs w:val="20"/>
              </w:rPr>
              <w:t>de esgotamento sanitário</w:t>
            </w:r>
            <w:r>
              <w:rPr>
                <w:rFonts w:ascii="Times New Roman" w:hAnsi="Times New Roman"/>
                <w:sz w:val="20"/>
                <w:szCs w:val="20"/>
              </w:rPr>
              <w:t xml:space="preserve"> no ano de referência</w:t>
            </w:r>
            <w:r w:rsidR="00D83CCE">
              <w:rPr>
                <w:rFonts w:ascii="Times New Roman" w:hAnsi="Times New Roman"/>
                <w:sz w:val="20"/>
                <w:szCs w:val="20"/>
              </w:rPr>
              <w:t>, por município</w:t>
            </w:r>
            <w:r>
              <w:rPr>
                <w:rFonts w:ascii="Times New Roman" w:hAnsi="Times New Roman"/>
                <w:sz w:val="20"/>
                <w:szCs w:val="20"/>
              </w:rPr>
              <w:t>.</w:t>
            </w:r>
          </w:p>
        </w:tc>
        <w:tc>
          <w:tcPr>
            <w:tcW w:w="1528" w:type="dxa"/>
          </w:tcPr>
          <w:p w:rsidR="00803794" w:rsidRDefault="00803794" w:rsidP="00514949">
            <w:pPr>
              <w:pStyle w:val="BNDES"/>
              <w:spacing w:after="120"/>
              <w:rPr>
                <w:rFonts w:ascii="Times New Roman" w:hAnsi="Times New Roman"/>
                <w:sz w:val="20"/>
                <w:szCs w:val="20"/>
              </w:rPr>
            </w:pPr>
            <w:r>
              <w:rPr>
                <w:rFonts w:ascii="Times New Roman" w:hAnsi="Times New Roman"/>
                <w:sz w:val="20"/>
                <w:szCs w:val="20"/>
              </w:rPr>
              <w:t>R$</w:t>
            </w:r>
          </w:p>
        </w:tc>
        <w:tc>
          <w:tcPr>
            <w:tcW w:w="1906"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SNIS</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Prestadora municipal</w:t>
            </w:r>
          </w:p>
        </w:tc>
        <w:tc>
          <w:tcPr>
            <w:tcW w:w="2837"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Município com empresa municipal prestadora de serviços de esgotamento sanitário.</w:t>
            </w:r>
          </w:p>
        </w:tc>
        <w:tc>
          <w:tcPr>
            <w:tcW w:w="1528" w:type="dxa"/>
          </w:tcPr>
          <w:p w:rsidR="00803794" w:rsidRPr="00C31370" w:rsidRDefault="00803794" w:rsidP="00514949">
            <w:pPr>
              <w:pStyle w:val="BNDES"/>
              <w:spacing w:after="120"/>
              <w:rPr>
                <w:rFonts w:ascii="Times New Roman" w:hAnsi="Times New Roman"/>
                <w:i/>
                <w:sz w:val="20"/>
                <w:szCs w:val="20"/>
              </w:rPr>
            </w:pPr>
            <w:proofErr w:type="spellStart"/>
            <w:r w:rsidRPr="00C31370">
              <w:rPr>
                <w:rFonts w:ascii="Times New Roman" w:hAnsi="Times New Roman"/>
                <w:i/>
                <w:sz w:val="20"/>
                <w:szCs w:val="20"/>
              </w:rPr>
              <w:t>Dummy</w:t>
            </w:r>
            <w:proofErr w:type="spellEnd"/>
          </w:p>
        </w:tc>
        <w:tc>
          <w:tcPr>
            <w:tcW w:w="1906"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SNIS</w:t>
            </w:r>
          </w:p>
        </w:tc>
      </w:tr>
      <w:tr w:rsidR="00803794" w:rsidTr="00514949">
        <w:trPr>
          <w:jc w:val="center"/>
        </w:trPr>
        <w:tc>
          <w:tcPr>
            <w:tcW w:w="3155" w:type="dxa"/>
          </w:tcPr>
          <w:p w:rsidR="00803794" w:rsidRPr="00406E4C" w:rsidRDefault="000A4E38" w:rsidP="00514949">
            <w:pPr>
              <w:rPr>
                <w:rFonts w:ascii="Times New Roman" w:hAnsi="Times New Roman"/>
                <w:color w:val="000000"/>
                <w:sz w:val="20"/>
                <w:szCs w:val="20"/>
              </w:rPr>
            </w:pPr>
            <w:r>
              <w:rPr>
                <w:rFonts w:ascii="Times New Roman" w:hAnsi="Times New Roman"/>
                <w:color w:val="000000"/>
                <w:sz w:val="20"/>
                <w:szCs w:val="20"/>
              </w:rPr>
              <w:t>Taxa de</w:t>
            </w:r>
            <w:r w:rsidR="00514949">
              <w:rPr>
                <w:rFonts w:ascii="Times New Roman" w:hAnsi="Times New Roman"/>
                <w:color w:val="000000"/>
                <w:sz w:val="20"/>
                <w:szCs w:val="20"/>
              </w:rPr>
              <w:t xml:space="preserve"> </w:t>
            </w:r>
            <w:proofErr w:type="gramStart"/>
            <w:r w:rsidR="00514949">
              <w:rPr>
                <w:rFonts w:ascii="Times New Roman" w:hAnsi="Times New Roman"/>
                <w:color w:val="000000"/>
                <w:sz w:val="20"/>
                <w:szCs w:val="20"/>
              </w:rPr>
              <w:t>pré natal</w:t>
            </w:r>
            <w:proofErr w:type="gramEnd"/>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 Exame Pré Natal</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w:t>
            </w:r>
          </w:p>
        </w:tc>
        <w:tc>
          <w:tcPr>
            <w:tcW w:w="1906"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SINASC/DATASUS</w:t>
            </w:r>
          </w:p>
        </w:tc>
      </w:tr>
      <w:tr w:rsidR="00803794" w:rsidTr="00514949">
        <w:trPr>
          <w:jc w:val="center"/>
        </w:trPr>
        <w:tc>
          <w:tcPr>
            <w:tcW w:w="3155" w:type="dxa"/>
          </w:tcPr>
          <w:p w:rsidR="00803794" w:rsidRPr="00406E4C" w:rsidRDefault="009D270F" w:rsidP="009D270F">
            <w:pPr>
              <w:rPr>
                <w:rFonts w:ascii="Times New Roman" w:hAnsi="Times New Roman"/>
                <w:color w:val="000000"/>
                <w:sz w:val="20"/>
                <w:szCs w:val="20"/>
              </w:rPr>
            </w:pPr>
            <w:r>
              <w:rPr>
                <w:rFonts w:ascii="Times New Roman" w:hAnsi="Times New Roman"/>
                <w:color w:val="000000"/>
                <w:sz w:val="20"/>
                <w:szCs w:val="20"/>
              </w:rPr>
              <w:t>Mortalidade perinatal</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w:t>
            </w:r>
            <w:r w:rsidR="00D83CCE">
              <w:rPr>
                <w:rFonts w:ascii="Times New Roman" w:hAnsi="Times New Roman"/>
                <w:sz w:val="20"/>
                <w:szCs w:val="20"/>
              </w:rPr>
              <w:t xml:space="preserve"> Mortalidade Infantil por Afecções no Período</w:t>
            </w:r>
            <w:r w:rsidR="00C31370">
              <w:rPr>
                <w:rFonts w:ascii="Times New Roman" w:hAnsi="Times New Roman"/>
                <w:sz w:val="20"/>
                <w:szCs w:val="20"/>
              </w:rPr>
              <w:t xml:space="preserve"> </w:t>
            </w:r>
            <w:r w:rsidRPr="00406E4C">
              <w:rPr>
                <w:rFonts w:ascii="Times New Roman" w:hAnsi="Times New Roman"/>
                <w:sz w:val="20"/>
                <w:szCs w:val="20"/>
              </w:rPr>
              <w:t>Perinatal</w:t>
            </w:r>
          </w:p>
        </w:tc>
        <w:tc>
          <w:tcPr>
            <w:tcW w:w="1528" w:type="dxa"/>
          </w:tcPr>
          <w:p w:rsidR="00803794" w:rsidRPr="00406E4C" w:rsidRDefault="00D83CCE" w:rsidP="00514949">
            <w:pPr>
              <w:pStyle w:val="BNDES"/>
              <w:spacing w:after="120"/>
              <w:rPr>
                <w:rFonts w:ascii="Times New Roman" w:hAnsi="Times New Roman"/>
                <w:sz w:val="20"/>
                <w:szCs w:val="20"/>
              </w:rPr>
            </w:pPr>
            <w:r>
              <w:rPr>
                <w:rFonts w:ascii="Times New Roman" w:hAnsi="Times New Roman"/>
                <w:sz w:val="20"/>
                <w:szCs w:val="20"/>
              </w:rPr>
              <w:t>Por mil nascidos vivos</w:t>
            </w:r>
          </w:p>
        </w:tc>
        <w:tc>
          <w:tcPr>
            <w:tcW w:w="1906"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SINASC/DATASUS</w:t>
            </w:r>
          </w:p>
        </w:tc>
      </w:tr>
      <w:tr w:rsidR="00803794" w:rsidTr="00514949">
        <w:trPr>
          <w:jc w:val="center"/>
        </w:trPr>
        <w:tc>
          <w:tcPr>
            <w:tcW w:w="3155" w:type="dxa"/>
          </w:tcPr>
          <w:p w:rsidR="00803794" w:rsidRPr="00406E4C" w:rsidRDefault="00581F8C" w:rsidP="00514949">
            <w:pPr>
              <w:rPr>
                <w:rFonts w:ascii="Times New Roman" w:hAnsi="Times New Roman"/>
                <w:color w:val="000000"/>
                <w:sz w:val="20"/>
                <w:szCs w:val="20"/>
              </w:rPr>
            </w:pPr>
            <w:r w:rsidRPr="00406E4C">
              <w:rPr>
                <w:rFonts w:ascii="Times New Roman" w:hAnsi="Times New Roman"/>
                <w:color w:val="000000"/>
                <w:sz w:val="20"/>
                <w:szCs w:val="20"/>
              </w:rPr>
              <w:t>P</w:t>
            </w:r>
            <w:r w:rsidR="00803794" w:rsidRPr="00406E4C">
              <w:rPr>
                <w:rFonts w:ascii="Times New Roman" w:hAnsi="Times New Roman"/>
                <w:color w:val="000000"/>
                <w:sz w:val="20"/>
                <w:szCs w:val="20"/>
              </w:rPr>
              <w:t>eso</w:t>
            </w:r>
            <w:r w:rsidR="000A4E38">
              <w:rPr>
                <w:rFonts w:ascii="Times New Roman" w:hAnsi="Times New Roman"/>
                <w:color w:val="000000"/>
                <w:sz w:val="20"/>
                <w:szCs w:val="20"/>
              </w:rPr>
              <w:t xml:space="preserve"> ao nascer</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Peso ao Nascer</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Gramas</w:t>
            </w:r>
          </w:p>
        </w:tc>
        <w:tc>
          <w:tcPr>
            <w:tcW w:w="1906"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SINASC/DATASUS</w:t>
            </w:r>
          </w:p>
        </w:tc>
      </w:tr>
      <w:tr w:rsidR="00803794" w:rsidTr="00514949">
        <w:trPr>
          <w:jc w:val="center"/>
        </w:trPr>
        <w:tc>
          <w:tcPr>
            <w:tcW w:w="3155" w:type="dxa"/>
          </w:tcPr>
          <w:p w:rsidR="00803794" w:rsidRPr="00406E4C" w:rsidRDefault="000A4E38" w:rsidP="00514949">
            <w:pPr>
              <w:rPr>
                <w:rFonts w:ascii="Times New Roman" w:hAnsi="Times New Roman"/>
                <w:color w:val="000000"/>
                <w:sz w:val="20"/>
                <w:szCs w:val="20"/>
              </w:rPr>
            </w:pPr>
            <w:r>
              <w:rPr>
                <w:rFonts w:ascii="Times New Roman" w:hAnsi="Times New Roman"/>
                <w:color w:val="000000"/>
                <w:sz w:val="20"/>
                <w:szCs w:val="20"/>
              </w:rPr>
              <w:t xml:space="preserve">Taxa de </w:t>
            </w:r>
            <w:r w:rsidR="00514949">
              <w:rPr>
                <w:rFonts w:ascii="Times New Roman" w:hAnsi="Times New Roman"/>
                <w:color w:val="000000"/>
                <w:sz w:val="20"/>
                <w:szCs w:val="20"/>
              </w:rPr>
              <w:t>Baixo Peso</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 Nascidos com Baixo Peso</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w:t>
            </w:r>
          </w:p>
        </w:tc>
        <w:tc>
          <w:tcPr>
            <w:tcW w:w="1906"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SINASC/DATASUS</w:t>
            </w:r>
          </w:p>
        </w:tc>
      </w:tr>
      <w:tr w:rsidR="00803794" w:rsidTr="00514949">
        <w:trPr>
          <w:jc w:val="center"/>
        </w:trPr>
        <w:tc>
          <w:tcPr>
            <w:tcW w:w="3155" w:type="dxa"/>
          </w:tcPr>
          <w:p w:rsidR="00803794" w:rsidRPr="00406E4C" w:rsidRDefault="000A4E38" w:rsidP="00514949">
            <w:pPr>
              <w:rPr>
                <w:rFonts w:ascii="Times New Roman" w:hAnsi="Times New Roman"/>
                <w:color w:val="000000"/>
                <w:sz w:val="20"/>
                <w:szCs w:val="20"/>
              </w:rPr>
            </w:pPr>
            <w:r>
              <w:rPr>
                <w:rFonts w:ascii="Times New Roman" w:hAnsi="Times New Roman"/>
                <w:color w:val="000000"/>
                <w:sz w:val="20"/>
                <w:szCs w:val="20"/>
              </w:rPr>
              <w:t>Taxa de gestação a termo</w:t>
            </w:r>
          </w:p>
        </w:tc>
        <w:tc>
          <w:tcPr>
            <w:tcW w:w="2837"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Taxa de Gestação de 37 a 41 Semanas</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w:t>
            </w:r>
          </w:p>
        </w:tc>
        <w:tc>
          <w:tcPr>
            <w:tcW w:w="1906"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SINASC/DATASUS</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Mortalidade total</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 Mortalidade Infantil</w:t>
            </w:r>
          </w:p>
        </w:tc>
        <w:tc>
          <w:tcPr>
            <w:tcW w:w="1528" w:type="dxa"/>
          </w:tcPr>
          <w:p w:rsidR="00803794" w:rsidRDefault="00D83CCE" w:rsidP="00514949">
            <w:pPr>
              <w:pStyle w:val="BNDES"/>
              <w:spacing w:after="120"/>
              <w:rPr>
                <w:rFonts w:ascii="Times New Roman" w:hAnsi="Times New Roman"/>
                <w:sz w:val="20"/>
                <w:szCs w:val="20"/>
              </w:rPr>
            </w:pPr>
            <w:r>
              <w:rPr>
                <w:rFonts w:ascii="Times New Roman" w:hAnsi="Times New Roman"/>
                <w:sz w:val="20"/>
                <w:szCs w:val="20"/>
              </w:rPr>
              <w:t>Por mil nascidos vivos</w:t>
            </w:r>
          </w:p>
        </w:tc>
        <w:tc>
          <w:tcPr>
            <w:tcW w:w="1906"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SIM/DATASUS</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Mortalidade por congênitas</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 Mortalidade Infantil por Doenças Congênitas</w:t>
            </w:r>
          </w:p>
        </w:tc>
        <w:tc>
          <w:tcPr>
            <w:tcW w:w="1528" w:type="dxa"/>
          </w:tcPr>
          <w:p w:rsidR="00803794" w:rsidRDefault="00D83CCE" w:rsidP="00514949">
            <w:pPr>
              <w:pStyle w:val="BNDES"/>
              <w:spacing w:after="120"/>
              <w:rPr>
                <w:rFonts w:ascii="Times New Roman" w:hAnsi="Times New Roman"/>
                <w:sz w:val="20"/>
                <w:szCs w:val="20"/>
              </w:rPr>
            </w:pPr>
            <w:r>
              <w:rPr>
                <w:rFonts w:ascii="Times New Roman" w:hAnsi="Times New Roman"/>
                <w:sz w:val="20"/>
                <w:szCs w:val="20"/>
              </w:rPr>
              <w:t>Por mil nascidos vivos</w:t>
            </w:r>
          </w:p>
        </w:tc>
        <w:tc>
          <w:tcPr>
            <w:tcW w:w="1906"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SIM/DATASUS</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Mortalidade por circulatório</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 Mortalidade Infantil por Doenças do Sistema Circulatório</w:t>
            </w:r>
          </w:p>
        </w:tc>
        <w:tc>
          <w:tcPr>
            <w:tcW w:w="1528" w:type="dxa"/>
          </w:tcPr>
          <w:p w:rsidR="00803794" w:rsidRDefault="00D83CCE" w:rsidP="00514949">
            <w:pPr>
              <w:pStyle w:val="BNDES"/>
              <w:spacing w:after="120"/>
              <w:rPr>
                <w:rFonts w:ascii="Times New Roman" w:hAnsi="Times New Roman"/>
                <w:sz w:val="20"/>
                <w:szCs w:val="20"/>
              </w:rPr>
            </w:pPr>
            <w:r>
              <w:rPr>
                <w:rFonts w:ascii="Times New Roman" w:hAnsi="Times New Roman"/>
                <w:sz w:val="20"/>
                <w:szCs w:val="20"/>
              </w:rPr>
              <w:t>Por mil nascidos vivos</w:t>
            </w:r>
          </w:p>
        </w:tc>
        <w:tc>
          <w:tcPr>
            <w:tcW w:w="1906"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SIM/DATASUS</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Mortalidade por digestivo</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 Mortalidade Infantil por Doenças do Sistema Digestivo</w:t>
            </w:r>
          </w:p>
        </w:tc>
        <w:tc>
          <w:tcPr>
            <w:tcW w:w="1528" w:type="dxa"/>
          </w:tcPr>
          <w:p w:rsidR="00803794" w:rsidRDefault="00D83CCE" w:rsidP="00514949">
            <w:pPr>
              <w:pStyle w:val="BNDES"/>
              <w:spacing w:after="120"/>
              <w:rPr>
                <w:rFonts w:ascii="Times New Roman" w:hAnsi="Times New Roman"/>
                <w:sz w:val="20"/>
                <w:szCs w:val="20"/>
              </w:rPr>
            </w:pPr>
            <w:r>
              <w:rPr>
                <w:rFonts w:ascii="Times New Roman" w:hAnsi="Times New Roman"/>
                <w:sz w:val="20"/>
                <w:szCs w:val="20"/>
              </w:rPr>
              <w:t>Por mil nascidos vivos</w:t>
            </w:r>
          </w:p>
        </w:tc>
        <w:tc>
          <w:tcPr>
            <w:tcW w:w="1906"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SIM/DATASUS</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Mortalidade por neoplasias</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 Mortalidade Infantil por Neoplasias</w:t>
            </w:r>
          </w:p>
        </w:tc>
        <w:tc>
          <w:tcPr>
            <w:tcW w:w="1528" w:type="dxa"/>
          </w:tcPr>
          <w:p w:rsidR="00803794" w:rsidRDefault="00D83CCE" w:rsidP="00514949">
            <w:pPr>
              <w:pStyle w:val="BNDES"/>
              <w:spacing w:after="120"/>
              <w:rPr>
                <w:rFonts w:ascii="Times New Roman" w:hAnsi="Times New Roman"/>
                <w:sz w:val="20"/>
                <w:szCs w:val="20"/>
              </w:rPr>
            </w:pPr>
            <w:r>
              <w:rPr>
                <w:rFonts w:ascii="Times New Roman" w:hAnsi="Times New Roman"/>
                <w:sz w:val="20"/>
                <w:szCs w:val="20"/>
              </w:rPr>
              <w:t>Por mil nascidos vivos</w:t>
            </w:r>
          </w:p>
        </w:tc>
        <w:tc>
          <w:tcPr>
            <w:tcW w:w="1906"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SIM/DATASUS</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Mortalidade por respiratório</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Taxa de Mortalidade Infantil por Doenças do Sistema Respiratório</w:t>
            </w:r>
          </w:p>
        </w:tc>
        <w:tc>
          <w:tcPr>
            <w:tcW w:w="1528" w:type="dxa"/>
          </w:tcPr>
          <w:p w:rsidR="00803794" w:rsidRDefault="00D83CCE" w:rsidP="00514949">
            <w:pPr>
              <w:pStyle w:val="BNDES"/>
              <w:spacing w:after="120"/>
              <w:rPr>
                <w:rFonts w:ascii="Times New Roman" w:hAnsi="Times New Roman"/>
                <w:sz w:val="20"/>
                <w:szCs w:val="20"/>
              </w:rPr>
            </w:pPr>
            <w:r>
              <w:rPr>
                <w:rFonts w:ascii="Times New Roman" w:hAnsi="Times New Roman"/>
                <w:sz w:val="20"/>
                <w:szCs w:val="20"/>
              </w:rPr>
              <w:t>Por mil nascidos vivos</w:t>
            </w:r>
          </w:p>
        </w:tc>
        <w:tc>
          <w:tcPr>
            <w:tcW w:w="1906"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SIM/DATASUS</w:t>
            </w:r>
          </w:p>
        </w:tc>
      </w:tr>
      <w:tr w:rsidR="00C31370" w:rsidTr="0072149E">
        <w:trPr>
          <w:jc w:val="center"/>
        </w:trPr>
        <w:tc>
          <w:tcPr>
            <w:tcW w:w="3155" w:type="dxa"/>
          </w:tcPr>
          <w:p w:rsidR="00C31370" w:rsidRPr="00406E4C" w:rsidRDefault="00C31370" w:rsidP="0072149E">
            <w:pPr>
              <w:rPr>
                <w:rFonts w:ascii="Times New Roman" w:hAnsi="Times New Roman"/>
                <w:color w:val="000000"/>
                <w:sz w:val="20"/>
                <w:szCs w:val="20"/>
              </w:rPr>
            </w:pPr>
            <w:r>
              <w:rPr>
                <w:rFonts w:ascii="Times New Roman" w:hAnsi="Times New Roman"/>
                <w:color w:val="000000"/>
                <w:sz w:val="20"/>
                <w:szCs w:val="20"/>
              </w:rPr>
              <w:t>Centro de saúde da família</w:t>
            </w:r>
          </w:p>
        </w:tc>
        <w:tc>
          <w:tcPr>
            <w:tcW w:w="2837" w:type="dxa"/>
          </w:tcPr>
          <w:p w:rsidR="00C31370" w:rsidRPr="00406E4C" w:rsidRDefault="00C31370" w:rsidP="0072149E">
            <w:pPr>
              <w:pStyle w:val="BNDES"/>
              <w:spacing w:after="120"/>
              <w:rPr>
                <w:rFonts w:ascii="Times New Roman" w:hAnsi="Times New Roman"/>
                <w:sz w:val="20"/>
                <w:szCs w:val="20"/>
              </w:rPr>
            </w:pPr>
            <w:r w:rsidRPr="00406E4C">
              <w:rPr>
                <w:rFonts w:ascii="Times New Roman" w:hAnsi="Times New Roman"/>
                <w:sz w:val="20"/>
                <w:szCs w:val="20"/>
              </w:rPr>
              <w:t>Unidades de Centros de Atendimento à Família</w:t>
            </w:r>
          </w:p>
        </w:tc>
        <w:tc>
          <w:tcPr>
            <w:tcW w:w="1528" w:type="dxa"/>
          </w:tcPr>
          <w:p w:rsidR="00C31370" w:rsidRPr="00406E4C" w:rsidRDefault="00C31370" w:rsidP="0072149E">
            <w:pPr>
              <w:pStyle w:val="BNDES"/>
              <w:spacing w:after="120"/>
              <w:rPr>
                <w:rFonts w:ascii="Times New Roman" w:hAnsi="Times New Roman"/>
                <w:sz w:val="20"/>
                <w:szCs w:val="20"/>
              </w:rPr>
            </w:pPr>
            <w:r>
              <w:rPr>
                <w:rFonts w:ascii="Times New Roman" w:hAnsi="Times New Roman"/>
                <w:sz w:val="20"/>
                <w:szCs w:val="20"/>
              </w:rPr>
              <w:t>Unidades</w:t>
            </w:r>
          </w:p>
        </w:tc>
        <w:tc>
          <w:tcPr>
            <w:tcW w:w="1906" w:type="dxa"/>
          </w:tcPr>
          <w:p w:rsidR="00C31370" w:rsidRPr="00406E4C" w:rsidRDefault="00C31370" w:rsidP="0072149E">
            <w:pPr>
              <w:pStyle w:val="BNDES"/>
              <w:spacing w:after="120"/>
              <w:rPr>
                <w:rFonts w:ascii="Times New Roman" w:hAnsi="Times New Roman"/>
                <w:sz w:val="20"/>
                <w:szCs w:val="20"/>
              </w:rPr>
            </w:pPr>
            <w:r w:rsidRPr="00406E4C">
              <w:rPr>
                <w:rFonts w:ascii="Times New Roman" w:hAnsi="Times New Roman"/>
                <w:sz w:val="20"/>
                <w:szCs w:val="20"/>
              </w:rPr>
              <w:t>CNES/DATASUS</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População</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População</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Habitantes</w:t>
            </w:r>
          </w:p>
        </w:tc>
        <w:tc>
          <w:tcPr>
            <w:tcW w:w="1906"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IBGE</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PIB per capita</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PIB per Capita</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R$</w:t>
            </w:r>
          </w:p>
        </w:tc>
        <w:tc>
          <w:tcPr>
            <w:tcW w:w="1906"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IBGE</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sidRPr="00406E4C">
              <w:rPr>
                <w:rFonts w:ascii="Times New Roman" w:hAnsi="Times New Roman"/>
                <w:color w:val="000000"/>
                <w:sz w:val="20"/>
                <w:szCs w:val="20"/>
              </w:rPr>
              <w:t xml:space="preserve">Densidade </w:t>
            </w:r>
            <w:r>
              <w:rPr>
                <w:rFonts w:ascii="Times New Roman" w:hAnsi="Times New Roman"/>
                <w:color w:val="000000"/>
                <w:sz w:val="20"/>
                <w:szCs w:val="20"/>
              </w:rPr>
              <w:t>d</w:t>
            </w:r>
            <w:r w:rsidRPr="00406E4C">
              <w:rPr>
                <w:rFonts w:ascii="Times New Roman" w:hAnsi="Times New Roman"/>
                <w:color w:val="000000"/>
                <w:sz w:val="20"/>
                <w:szCs w:val="20"/>
              </w:rPr>
              <w:t>emográfica</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Densidade Demográfica</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Habitantes/km2</w:t>
            </w:r>
          </w:p>
        </w:tc>
        <w:tc>
          <w:tcPr>
            <w:tcW w:w="1906"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IBGE</w:t>
            </w:r>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Despesas com saúde</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Despesas com Saúde</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R$</w:t>
            </w:r>
          </w:p>
        </w:tc>
        <w:tc>
          <w:tcPr>
            <w:tcW w:w="1906" w:type="dxa"/>
          </w:tcPr>
          <w:p w:rsidR="00803794" w:rsidRPr="00406E4C" w:rsidRDefault="00803794" w:rsidP="00514949">
            <w:pPr>
              <w:pStyle w:val="BNDES"/>
              <w:spacing w:after="120"/>
              <w:rPr>
                <w:rFonts w:ascii="Times New Roman" w:hAnsi="Times New Roman"/>
                <w:sz w:val="20"/>
                <w:szCs w:val="20"/>
              </w:rPr>
            </w:pPr>
            <w:proofErr w:type="spellStart"/>
            <w:proofErr w:type="gramStart"/>
            <w:r w:rsidRPr="00406E4C">
              <w:rPr>
                <w:rFonts w:ascii="Times New Roman" w:hAnsi="Times New Roman"/>
                <w:sz w:val="20"/>
                <w:szCs w:val="20"/>
              </w:rPr>
              <w:t>FinBra</w:t>
            </w:r>
            <w:proofErr w:type="spellEnd"/>
            <w:proofErr w:type="gramEnd"/>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 xml:space="preserve">Despesas com </w:t>
            </w:r>
            <w:r w:rsidR="00803794" w:rsidRPr="00406E4C">
              <w:rPr>
                <w:rFonts w:ascii="Times New Roman" w:hAnsi="Times New Roman"/>
                <w:color w:val="000000"/>
                <w:sz w:val="20"/>
                <w:szCs w:val="20"/>
              </w:rPr>
              <w:t>saneamento</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Despesas com Saneamen</w:t>
            </w:r>
            <w:r w:rsidR="00514949">
              <w:rPr>
                <w:rFonts w:ascii="Times New Roman" w:hAnsi="Times New Roman"/>
                <w:sz w:val="20"/>
                <w:szCs w:val="20"/>
              </w:rPr>
              <w:t>t</w:t>
            </w:r>
            <w:r w:rsidRPr="00406E4C">
              <w:rPr>
                <w:rFonts w:ascii="Times New Roman" w:hAnsi="Times New Roman"/>
                <w:sz w:val="20"/>
                <w:szCs w:val="20"/>
              </w:rPr>
              <w:t>o</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R$</w:t>
            </w:r>
          </w:p>
        </w:tc>
        <w:tc>
          <w:tcPr>
            <w:tcW w:w="1906" w:type="dxa"/>
          </w:tcPr>
          <w:p w:rsidR="00803794" w:rsidRPr="00406E4C" w:rsidRDefault="00803794" w:rsidP="00514949">
            <w:pPr>
              <w:pStyle w:val="BNDES"/>
              <w:spacing w:after="120"/>
              <w:rPr>
                <w:rFonts w:ascii="Times New Roman" w:hAnsi="Times New Roman"/>
                <w:sz w:val="20"/>
                <w:szCs w:val="20"/>
              </w:rPr>
            </w:pPr>
            <w:proofErr w:type="spellStart"/>
            <w:proofErr w:type="gramStart"/>
            <w:r w:rsidRPr="00406E4C">
              <w:rPr>
                <w:rFonts w:ascii="Times New Roman" w:hAnsi="Times New Roman"/>
                <w:sz w:val="20"/>
                <w:szCs w:val="20"/>
              </w:rPr>
              <w:t>FinBra</w:t>
            </w:r>
            <w:proofErr w:type="spellEnd"/>
            <w:proofErr w:type="gramEnd"/>
          </w:p>
        </w:tc>
      </w:tr>
      <w:tr w:rsidR="00803794" w:rsidTr="00514949">
        <w:trPr>
          <w:jc w:val="center"/>
        </w:trPr>
        <w:tc>
          <w:tcPr>
            <w:tcW w:w="3155" w:type="dxa"/>
          </w:tcPr>
          <w:p w:rsidR="00803794" w:rsidRPr="00406E4C" w:rsidRDefault="00514949" w:rsidP="00514949">
            <w:pPr>
              <w:rPr>
                <w:rFonts w:ascii="Times New Roman" w:hAnsi="Times New Roman"/>
                <w:color w:val="000000"/>
                <w:sz w:val="20"/>
                <w:szCs w:val="20"/>
              </w:rPr>
            </w:pPr>
            <w:r>
              <w:rPr>
                <w:rFonts w:ascii="Times New Roman" w:hAnsi="Times New Roman"/>
                <w:color w:val="000000"/>
                <w:sz w:val="20"/>
                <w:szCs w:val="20"/>
              </w:rPr>
              <w:t>Transferências correntes</w:t>
            </w:r>
          </w:p>
        </w:tc>
        <w:tc>
          <w:tcPr>
            <w:tcW w:w="2837" w:type="dxa"/>
          </w:tcPr>
          <w:p w:rsidR="00803794" w:rsidRPr="00406E4C" w:rsidRDefault="00803794" w:rsidP="00514949">
            <w:pPr>
              <w:pStyle w:val="BNDES"/>
              <w:spacing w:after="120"/>
              <w:rPr>
                <w:rFonts w:ascii="Times New Roman" w:hAnsi="Times New Roman"/>
                <w:sz w:val="20"/>
                <w:szCs w:val="20"/>
              </w:rPr>
            </w:pPr>
            <w:r w:rsidRPr="00406E4C">
              <w:rPr>
                <w:rFonts w:ascii="Times New Roman" w:hAnsi="Times New Roman"/>
                <w:sz w:val="20"/>
                <w:szCs w:val="20"/>
              </w:rPr>
              <w:t>Receitas com Transferências Correntes</w:t>
            </w:r>
          </w:p>
        </w:tc>
        <w:tc>
          <w:tcPr>
            <w:tcW w:w="1528" w:type="dxa"/>
          </w:tcPr>
          <w:p w:rsidR="00803794" w:rsidRPr="00406E4C" w:rsidRDefault="00803794" w:rsidP="00514949">
            <w:pPr>
              <w:pStyle w:val="BNDES"/>
              <w:spacing w:after="120"/>
              <w:rPr>
                <w:rFonts w:ascii="Times New Roman" w:hAnsi="Times New Roman"/>
                <w:sz w:val="20"/>
                <w:szCs w:val="20"/>
              </w:rPr>
            </w:pPr>
            <w:r>
              <w:rPr>
                <w:rFonts w:ascii="Times New Roman" w:hAnsi="Times New Roman"/>
                <w:sz w:val="20"/>
                <w:szCs w:val="20"/>
              </w:rPr>
              <w:t>R$</w:t>
            </w:r>
          </w:p>
        </w:tc>
        <w:tc>
          <w:tcPr>
            <w:tcW w:w="1906" w:type="dxa"/>
          </w:tcPr>
          <w:p w:rsidR="00803794" w:rsidRPr="00406E4C" w:rsidRDefault="00803794" w:rsidP="00514949">
            <w:pPr>
              <w:pStyle w:val="BNDES"/>
              <w:spacing w:after="120"/>
              <w:rPr>
                <w:rFonts w:ascii="Times New Roman" w:hAnsi="Times New Roman"/>
                <w:sz w:val="20"/>
                <w:szCs w:val="20"/>
              </w:rPr>
            </w:pPr>
            <w:proofErr w:type="spellStart"/>
            <w:proofErr w:type="gramStart"/>
            <w:r w:rsidRPr="00406E4C">
              <w:rPr>
                <w:rFonts w:ascii="Times New Roman" w:hAnsi="Times New Roman"/>
                <w:sz w:val="20"/>
                <w:szCs w:val="20"/>
              </w:rPr>
              <w:t>FinBra</w:t>
            </w:r>
            <w:proofErr w:type="spellEnd"/>
            <w:proofErr w:type="gramEnd"/>
          </w:p>
        </w:tc>
      </w:tr>
    </w:tbl>
    <w:p w:rsidR="00406E4C" w:rsidRPr="000A4E38" w:rsidRDefault="00B304BF" w:rsidP="000A4E38">
      <w:pPr>
        <w:pStyle w:val="BNDES"/>
        <w:spacing w:after="120"/>
        <w:jc w:val="center"/>
        <w:rPr>
          <w:rFonts w:ascii="Times New Roman" w:hAnsi="Times New Roman"/>
          <w:sz w:val="20"/>
        </w:rPr>
      </w:pPr>
      <w:r w:rsidRPr="000A4E38">
        <w:rPr>
          <w:rFonts w:ascii="Times New Roman" w:hAnsi="Times New Roman"/>
          <w:sz w:val="20"/>
        </w:rPr>
        <w:t>Fonte: elaboração própria.</w:t>
      </w:r>
    </w:p>
    <w:p w:rsidR="00B304BF" w:rsidRPr="00EE231F" w:rsidRDefault="00B304BF" w:rsidP="00514949">
      <w:pPr>
        <w:pStyle w:val="BNDES"/>
        <w:spacing w:after="120"/>
        <w:rPr>
          <w:rFonts w:ascii="Times New Roman" w:hAnsi="Times New Roman"/>
        </w:rPr>
      </w:pPr>
    </w:p>
    <w:p w:rsidR="00B304BF" w:rsidRDefault="00B304BF" w:rsidP="00974254">
      <w:pPr>
        <w:pStyle w:val="BNDES"/>
        <w:spacing w:after="120"/>
        <w:rPr>
          <w:rFonts w:ascii="Times New Roman" w:hAnsi="Times New Roman"/>
        </w:rPr>
      </w:pPr>
      <w:r w:rsidRPr="00B304BF">
        <w:rPr>
          <w:rFonts w:ascii="Times New Roman" w:hAnsi="Times New Roman"/>
        </w:rPr>
        <w:t>Os s</w:t>
      </w:r>
      <w:r>
        <w:rPr>
          <w:rFonts w:ascii="Times New Roman" w:hAnsi="Times New Roman"/>
        </w:rPr>
        <w:t>erviços de esgotamento sanitário nos municípios brasileiros podem ser prestados por três tipos de empresas: as empresas municipais, as empresas estaduais (</w:t>
      </w:r>
      <w:proofErr w:type="spellStart"/>
      <w:r>
        <w:rPr>
          <w:rFonts w:ascii="Times New Roman" w:hAnsi="Times New Roman"/>
        </w:rPr>
        <w:t>CESBs</w:t>
      </w:r>
      <w:proofErr w:type="spellEnd"/>
      <w:r>
        <w:rPr>
          <w:rFonts w:ascii="Times New Roman" w:hAnsi="Times New Roman"/>
        </w:rPr>
        <w:t xml:space="preserve">) ou empresas privadas. Em 2016, </w:t>
      </w:r>
      <w:r>
        <w:rPr>
          <w:rFonts w:ascii="Times New Roman" w:hAnsi="Times New Roman"/>
        </w:rPr>
        <w:lastRenderedPageBreak/>
        <w:t xml:space="preserve">último ano disponível para os dados do SNIS, 2.490 municípios haviam declarado informações sobre a prestação desse tipo de serviço. Desses, </w:t>
      </w:r>
      <w:r w:rsidR="00262CCB">
        <w:rPr>
          <w:rFonts w:ascii="Times New Roman" w:hAnsi="Times New Roman"/>
        </w:rPr>
        <w:t>23</w:t>
      </w:r>
      <w:r>
        <w:rPr>
          <w:rFonts w:ascii="Times New Roman" w:hAnsi="Times New Roman"/>
        </w:rPr>
        <w:t>,</w:t>
      </w:r>
      <w:r w:rsidR="00262CCB">
        <w:rPr>
          <w:rFonts w:ascii="Times New Roman" w:hAnsi="Times New Roman"/>
        </w:rPr>
        <w:t>8</w:t>
      </w:r>
      <w:r>
        <w:rPr>
          <w:rFonts w:ascii="Times New Roman" w:hAnsi="Times New Roman"/>
        </w:rPr>
        <w:t xml:space="preserve">% eram cobertos por empresas estaduais, </w:t>
      </w:r>
      <w:r w:rsidR="00262CCB">
        <w:rPr>
          <w:rFonts w:ascii="Times New Roman" w:hAnsi="Times New Roman"/>
        </w:rPr>
        <w:t>19</w:t>
      </w:r>
      <w:r>
        <w:rPr>
          <w:rFonts w:ascii="Times New Roman" w:hAnsi="Times New Roman"/>
        </w:rPr>
        <w:t>,3% por municipais</w:t>
      </w:r>
      <w:r w:rsidR="00262CCB">
        <w:rPr>
          <w:rFonts w:ascii="Times New Roman" w:hAnsi="Times New Roman"/>
        </w:rPr>
        <w:t>,</w:t>
      </w:r>
      <w:r>
        <w:rPr>
          <w:rFonts w:ascii="Times New Roman" w:hAnsi="Times New Roman"/>
        </w:rPr>
        <w:t xml:space="preserve"> </w:t>
      </w:r>
      <w:r w:rsidR="00262CCB">
        <w:rPr>
          <w:rFonts w:ascii="Times New Roman" w:hAnsi="Times New Roman"/>
        </w:rPr>
        <w:t>1,5</w:t>
      </w:r>
      <w:r>
        <w:rPr>
          <w:rFonts w:ascii="Times New Roman" w:hAnsi="Times New Roman"/>
        </w:rPr>
        <w:t>% por privadas</w:t>
      </w:r>
      <w:r w:rsidR="00262CCB">
        <w:rPr>
          <w:rFonts w:ascii="Times New Roman" w:hAnsi="Times New Roman"/>
        </w:rPr>
        <w:t>, ao passo que 55,3% não informaram sua prestadora ao SNIS</w:t>
      </w:r>
      <w:r>
        <w:rPr>
          <w:rFonts w:ascii="Times New Roman" w:hAnsi="Times New Roman"/>
        </w:rPr>
        <w:t xml:space="preserve">. Em termos populacionais, isso significa que 50% da população brasileira residia em municípios cobertos por empresas estaduais, 19,4% por empresas municipais e 5,5% por empresa privadas. Os 25% restantes residiam em municípios que não declararam informações ao SNIS. </w:t>
      </w:r>
      <w:r w:rsidR="00EE1109">
        <w:rPr>
          <w:rFonts w:ascii="Times New Roman" w:hAnsi="Times New Roman"/>
        </w:rPr>
        <w:t>Em termos regionais, observou-se</w:t>
      </w:r>
      <w:r w:rsidRPr="00B304BF">
        <w:rPr>
          <w:rFonts w:ascii="Times New Roman" w:hAnsi="Times New Roman"/>
        </w:rPr>
        <w:t xml:space="preserve"> um predomínio de </w:t>
      </w:r>
      <w:proofErr w:type="spellStart"/>
      <w:r w:rsidRPr="00B304BF">
        <w:rPr>
          <w:rFonts w:ascii="Times New Roman" w:hAnsi="Times New Roman"/>
        </w:rPr>
        <w:t>CESBs</w:t>
      </w:r>
      <w:proofErr w:type="spellEnd"/>
      <w:r w:rsidRPr="00B304BF">
        <w:rPr>
          <w:rFonts w:ascii="Times New Roman" w:hAnsi="Times New Roman"/>
        </w:rPr>
        <w:t xml:space="preserve"> no Paraná, Mato Grosso do Sul, sul de São</w:t>
      </w:r>
      <w:r>
        <w:rPr>
          <w:rFonts w:ascii="Times New Roman" w:hAnsi="Times New Roman"/>
        </w:rPr>
        <w:t xml:space="preserve"> </w:t>
      </w:r>
      <w:r w:rsidRPr="00B304BF">
        <w:rPr>
          <w:rFonts w:ascii="Times New Roman" w:hAnsi="Times New Roman"/>
        </w:rPr>
        <w:t xml:space="preserve">Paulo, norte de Minas Gerais, Goiás e Amapá. Os prestadores municipais são </w:t>
      </w:r>
      <w:proofErr w:type="gramStart"/>
      <w:r w:rsidRPr="00B304BF">
        <w:rPr>
          <w:rFonts w:ascii="Times New Roman" w:hAnsi="Times New Roman"/>
        </w:rPr>
        <w:t>predominantes em Santa Catarina, norte</w:t>
      </w:r>
      <w:proofErr w:type="gramEnd"/>
      <w:r w:rsidRPr="00B304BF">
        <w:rPr>
          <w:rFonts w:ascii="Times New Roman" w:hAnsi="Times New Roman"/>
        </w:rPr>
        <w:t xml:space="preserve"> de</w:t>
      </w:r>
      <w:r>
        <w:rPr>
          <w:rFonts w:ascii="Times New Roman" w:hAnsi="Times New Roman"/>
        </w:rPr>
        <w:t xml:space="preserve"> </w:t>
      </w:r>
      <w:r w:rsidRPr="00B304BF">
        <w:rPr>
          <w:rFonts w:ascii="Times New Roman" w:hAnsi="Times New Roman"/>
        </w:rPr>
        <w:t>São Paulo e sul de Minas Gerais. Os prestadores privados concentram-se no Rio de Janeiro, Mato Grosso e Tocantins. Os</w:t>
      </w:r>
      <w:r>
        <w:rPr>
          <w:rFonts w:ascii="Times New Roman" w:hAnsi="Times New Roman"/>
        </w:rPr>
        <w:t xml:space="preserve"> </w:t>
      </w:r>
      <w:r w:rsidRPr="00B304BF">
        <w:rPr>
          <w:rFonts w:ascii="Times New Roman" w:hAnsi="Times New Roman"/>
        </w:rPr>
        <w:t xml:space="preserve">demais estados apresentam </w:t>
      </w:r>
      <w:r w:rsidR="00C31370">
        <w:rPr>
          <w:rFonts w:ascii="Times New Roman" w:hAnsi="Times New Roman"/>
        </w:rPr>
        <w:t>variabilidade</w:t>
      </w:r>
      <w:r w:rsidRPr="00B304BF">
        <w:rPr>
          <w:rFonts w:ascii="Times New Roman" w:hAnsi="Times New Roman"/>
        </w:rPr>
        <w:t xml:space="preserve"> de prestadores. </w:t>
      </w:r>
    </w:p>
    <w:p w:rsidR="00796401" w:rsidRDefault="00796401" w:rsidP="00796401">
      <w:pPr>
        <w:pStyle w:val="BNDES"/>
        <w:spacing w:after="120"/>
        <w:rPr>
          <w:rFonts w:ascii="Times New Roman" w:hAnsi="Times New Roman"/>
        </w:rPr>
      </w:pPr>
      <w:r>
        <w:rPr>
          <w:rFonts w:ascii="Times New Roman" w:hAnsi="Times New Roman"/>
        </w:rPr>
        <w:t>Diante da mudança no arcabouço institucional de financiamento ao investimento no setor de saneamento, observ</w:t>
      </w:r>
      <w:r w:rsidR="00AE2A68">
        <w:rPr>
          <w:rFonts w:ascii="Times New Roman" w:hAnsi="Times New Roman"/>
        </w:rPr>
        <w:t>ou</w:t>
      </w:r>
      <w:r>
        <w:rPr>
          <w:rFonts w:ascii="Times New Roman" w:hAnsi="Times New Roman"/>
        </w:rPr>
        <w:t>-se um aumento nas despesas com investimentos em esgotamento sanitário, bem como uma significativa alteração no perfil de prestadoras municipais de serviços de esgoto que passam a realizar investimentos. A partir de 2008, há uma diferença fundamental entre os níveis de investimento médio</w:t>
      </w:r>
      <w:r w:rsidR="00AE2A68">
        <w:rPr>
          <w:rFonts w:ascii="Times New Roman" w:hAnsi="Times New Roman"/>
        </w:rPr>
        <w:t xml:space="preserve"> por município</w:t>
      </w:r>
      <w:r>
        <w:rPr>
          <w:rFonts w:ascii="Times New Roman" w:hAnsi="Times New Roman"/>
        </w:rPr>
        <w:t xml:space="preserve"> das companhias estaduais e das prestadoras municipais. Como se observa no gráfico a seguir, o investimento médio de prestadoras estaduais e municipais seguiu trajetória similar até 2008. A partir de 2009, o valor médio do investimento em esgoto de prestadoras municipais não só decresce como também diverge do nível de investimentos das empresas estaduais. </w:t>
      </w:r>
    </w:p>
    <w:p w:rsidR="00796401" w:rsidRDefault="00796401" w:rsidP="00796401">
      <w:pPr>
        <w:pStyle w:val="BNDES"/>
        <w:spacing w:after="120"/>
        <w:rPr>
          <w:rFonts w:ascii="Times New Roman" w:hAnsi="Times New Roman"/>
        </w:rPr>
      </w:pPr>
    </w:p>
    <w:p w:rsidR="00796401" w:rsidRPr="000A4E38" w:rsidRDefault="00B9493D" w:rsidP="00796401">
      <w:pPr>
        <w:pStyle w:val="BNDES"/>
        <w:keepNext/>
        <w:spacing w:after="120"/>
        <w:jc w:val="center"/>
        <w:rPr>
          <w:rFonts w:ascii="Times New Roman" w:hAnsi="Times New Roman"/>
        </w:rPr>
      </w:pPr>
      <w:r>
        <w:rPr>
          <w:rFonts w:ascii="Times New Roman" w:hAnsi="Times New Roman"/>
        </w:rPr>
        <w:t>Figura 2:</w:t>
      </w:r>
      <w:r w:rsidR="00796401">
        <w:rPr>
          <w:rFonts w:ascii="Times New Roman" w:hAnsi="Times New Roman"/>
        </w:rPr>
        <w:t xml:space="preserve"> </w:t>
      </w:r>
      <w:r w:rsidR="00796401" w:rsidRPr="000A4E38">
        <w:rPr>
          <w:rFonts w:ascii="Times New Roman" w:hAnsi="Times New Roman"/>
        </w:rPr>
        <w:t xml:space="preserve">Investimento </w:t>
      </w:r>
      <w:r w:rsidR="00AE2A68">
        <w:rPr>
          <w:rFonts w:ascii="Times New Roman" w:hAnsi="Times New Roman"/>
        </w:rPr>
        <w:t>Mé</w:t>
      </w:r>
      <w:r w:rsidR="00796401" w:rsidRPr="000A4E38">
        <w:rPr>
          <w:rFonts w:ascii="Times New Roman" w:hAnsi="Times New Roman"/>
        </w:rPr>
        <w:t xml:space="preserve">dio em </w:t>
      </w:r>
      <w:r w:rsidR="00AE2A68">
        <w:rPr>
          <w:rFonts w:ascii="Times New Roman" w:hAnsi="Times New Roman"/>
        </w:rPr>
        <w:t>E</w:t>
      </w:r>
      <w:r w:rsidR="00796401" w:rsidRPr="000A4E38">
        <w:rPr>
          <w:rFonts w:ascii="Times New Roman" w:hAnsi="Times New Roman"/>
        </w:rPr>
        <w:t xml:space="preserve">sgoto, por </w:t>
      </w:r>
      <w:r w:rsidR="00AE2A68">
        <w:rPr>
          <w:rFonts w:ascii="Times New Roman" w:hAnsi="Times New Roman"/>
        </w:rPr>
        <w:t>N</w:t>
      </w:r>
      <w:r w:rsidR="00796401" w:rsidRPr="000A4E38">
        <w:rPr>
          <w:rFonts w:ascii="Times New Roman" w:hAnsi="Times New Roman"/>
        </w:rPr>
        <w:t xml:space="preserve">atureza do </w:t>
      </w:r>
      <w:r w:rsidR="00AE2A68">
        <w:rPr>
          <w:rFonts w:ascii="Times New Roman" w:hAnsi="Times New Roman"/>
        </w:rPr>
        <w:t>P</w:t>
      </w:r>
      <w:r w:rsidR="00796401" w:rsidRPr="000A4E38">
        <w:rPr>
          <w:rFonts w:ascii="Times New Roman" w:hAnsi="Times New Roman"/>
        </w:rPr>
        <w:t>restador</w:t>
      </w:r>
      <w:r w:rsidR="00AE2A68">
        <w:rPr>
          <w:rFonts w:ascii="Times New Roman" w:hAnsi="Times New Roman"/>
        </w:rPr>
        <w:t xml:space="preserve"> (R$</w:t>
      </w:r>
      <w:proofErr w:type="gramStart"/>
      <w:r w:rsidR="00AE2A68">
        <w:rPr>
          <w:rFonts w:ascii="Times New Roman" w:hAnsi="Times New Roman"/>
        </w:rPr>
        <w:t>)</w:t>
      </w:r>
      <w:proofErr w:type="gramEnd"/>
    </w:p>
    <w:p w:rsidR="00796401" w:rsidRDefault="00796401" w:rsidP="00796401">
      <w:pPr>
        <w:pStyle w:val="BNDES"/>
        <w:spacing w:after="120"/>
        <w:jc w:val="center"/>
        <w:rPr>
          <w:rFonts w:ascii="Times New Roman" w:hAnsi="Times New Roman"/>
        </w:rPr>
      </w:pPr>
      <w:r>
        <w:rPr>
          <w:rFonts w:ascii="Times New Roman" w:hAnsi="Times New Roman"/>
          <w:noProof/>
        </w:rPr>
        <w:drawing>
          <wp:inline distT="0" distB="0" distL="0" distR="0" wp14:anchorId="2875112A" wp14:editId="2E203C25">
            <wp:extent cx="5574682" cy="3699885"/>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565" t="850" b="-1"/>
                    <a:stretch/>
                  </pic:blipFill>
                  <pic:spPr bwMode="auto">
                    <a:xfrm>
                      <a:off x="0" y="0"/>
                      <a:ext cx="5577073" cy="3701472"/>
                    </a:xfrm>
                    <a:prstGeom prst="rect">
                      <a:avLst/>
                    </a:prstGeom>
                    <a:noFill/>
                    <a:ln>
                      <a:noFill/>
                    </a:ln>
                    <a:extLst>
                      <a:ext uri="{53640926-AAD7-44D8-BBD7-CCE9431645EC}">
                        <a14:shadowObscured xmlns:a14="http://schemas.microsoft.com/office/drawing/2010/main"/>
                      </a:ext>
                    </a:extLst>
                  </pic:spPr>
                </pic:pic>
              </a:graphicData>
            </a:graphic>
          </wp:inline>
        </w:drawing>
      </w:r>
    </w:p>
    <w:p w:rsidR="00796401" w:rsidRPr="00D60432" w:rsidRDefault="00796401" w:rsidP="00796401">
      <w:pPr>
        <w:pStyle w:val="BNDES"/>
        <w:spacing w:after="120"/>
        <w:jc w:val="center"/>
        <w:rPr>
          <w:rFonts w:ascii="Times New Roman" w:hAnsi="Times New Roman"/>
          <w:sz w:val="20"/>
          <w:szCs w:val="20"/>
        </w:rPr>
      </w:pPr>
      <w:r w:rsidRPr="00D60432">
        <w:rPr>
          <w:rFonts w:ascii="Times New Roman" w:hAnsi="Times New Roman"/>
          <w:sz w:val="20"/>
          <w:szCs w:val="20"/>
        </w:rPr>
        <w:t>Fonte: SNIS</w:t>
      </w:r>
    </w:p>
    <w:p w:rsidR="00796401" w:rsidRDefault="00796401" w:rsidP="00796401">
      <w:pPr>
        <w:pStyle w:val="BNDES"/>
        <w:spacing w:after="120"/>
        <w:rPr>
          <w:rFonts w:ascii="Times New Roman" w:hAnsi="Times New Roman"/>
        </w:rPr>
      </w:pPr>
    </w:p>
    <w:p w:rsidR="00796401" w:rsidRDefault="00796401" w:rsidP="00796401">
      <w:pPr>
        <w:pStyle w:val="BNDES"/>
        <w:spacing w:after="120"/>
        <w:rPr>
          <w:rFonts w:ascii="Times New Roman" w:hAnsi="Times New Roman"/>
        </w:rPr>
      </w:pPr>
      <w:r>
        <w:rPr>
          <w:rFonts w:ascii="Times New Roman" w:hAnsi="Times New Roman"/>
        </w:rPr>
        <w:t xml:space="preserve">Da combinação da observação dessa redução no nível médio de investimentos de prestadoras municipais com a observação de aumento no investimento total, no mesmo período, pode-se depreender um maior acesso de prestadoras municipais ao financiamento de longo prazo. De fato, como se observa na Tabela </w:t>
      </w:r>
      <w:r w:rsidRPr="00AE2A68">
        <w:rPr>
          <w:rFonts w:ascii="Times New Roman" w:hAnsi="Times New Roman"/>
        </w:rPr>
        <w:t>X, o número de municípios que passam a registrar investimento em esgotamento sanitário a partir de 2009</w:t>
      </w:r>
      <w:r>
        <w:rPr>
          <w:rFonts w:ascii="Times New Roman" w:hAnsi="Times New Roman"/>
        </w:rPr>
        <w:t xml:space="preserve"> </w:t>
      </w:r>
      <w:r>
        <w:rPr>
          <w:rFonts w:ascii="Times New Roman" w:hAnsi="Times New Roman"/>
        </w:rPr>
        <w:lastRenderedPageBreak/>
        <w:t>aumenta de forma significativa: 172 novas prestadoras que não investiam até 2008 passam a realizar inversões, em 2009. Em 2014, já eram 365 prestadoras municipais essa situação. De modo geral, o valor médio do investimento dessas companhias que passaram a acessar o mercado de crédito era bem inferior à média das prestadoras municipais, o que reforça a ideia de acesso ao mercado de companhias antes excluídas da possibilidade de contrair crédito.</w:t>
      </w:r>
    </w:p>
    <w:p w:rsidR="00796401" w:rsidRDefault="00796401" w:rsidP="00796401">
      <w:pPr>
        <w:pStyle w:val="BNDES"/>
        <w:spacing w:after="120"/>
        <w:rPr>
          <w:rFonts w:ascii="Times New Roman" w:hAnsi="Times New Roman"/>
        </w:rPr>
      </w:pPr>
    </w:p>
    <w:p w:rsidR="00796401" w:rsidRPr="000A4E38" w:rsidRDefault="00796401" w:rsidP="00796401">
      <w:pPr>
        <w:pStyle w:val="BNDES"/>
        <w:spacing w:after="120"/>
        <w:jc w:val="center"/>
        <w:rPr>
          <w:rFonts w:ascii="Times New Roman" w:hAnsi="Times New Roman"/>
        </w:rPr>
      </w:pPr>
      <w:r w:rsidRPr="00796401">
        <w:rPr>
          <w:rFonts w:ascii="Times New Roman" w:hAnsi="Times New Roman"/>
        </w:rPr>
        <w:t xml:space="preserve">Tabela </w:t>
      </w:r>
      <w:r w:rsidR="00B9493D">
        <w:rPr>
          <w:rFonts w:ascii="Times New Roman" w:hAnsi="Times New Roman"/>
        </w:rPr>
        <w:t>3</w:t>
      </w:r>
      <w:r w:rsidRPr="00796401">
        <w:rPr>
          <w:rFonts w:ascii="Times New Roman" w:hAnsi="Times New Roman"/>
        </w:rPr>
        <w:t xml:space="preserve">: </w:t>
      </w:r>
      <w:r w:rsidR="00B9493D">
        <w:rPr>
          <w:rFonts w:ascii="Times New Roman" w:hAnsi="Times New Roman"/>
        </w:rPr>
        <w:t>I</w:t>
      </w:r>
      <w:r w:rsidR="00B9493D" w:rsidRPr="00796401">
        <w:rPr>
          <w:rFonts w:ascii="Times New Roman" w:hAnsi="Times New Roman"/>
        </w:rPr>
        <w:t>nvestimentos</w:t>
      </w:r>
      <w:r w:rsidRPr="00796401">
        <w:rPr>
          <w:rFonts w:ascii="Times New Roman" w:hAnsi="Times New Roman"/>
        </w:rPr>
        <w:t xml:space="preserve"> de </w:t>
      </w:r>
      <w:r w:rsidR="00B9493D">
        <w:rPr>
          <w:rFonts w:ascii="Times New Roman" w:hAnsi="Times New Roman"/>
        </w:rPr>
        <w:t>P</w:t>
      </w:r>
      <w:r w:rsidRPr="00796401">
        <w:rPr>
          <w:rFonts w:ascii="Times New Roman" w:hAnsi="Times New Roman"/>
        </w:rPr>
        <w:t xml:space="preserve">restadoras </w:t>
      </w:r>
      <w:r w:rsidR="00B9493D">
        <w:rPr>
          <w:rFonts w:ascii="Times New Roman" w:hAnsi="Times New Roman"/>
        </w:rPr>
        <w:t>M</w:t>
      </w:r>
      <w:r w:rsidRPr="00796401">
        <w:rPr>
          <w:rFonts w:ascii="Times New Roman" w:hAnsi="Times New Roman"/>
        </w:rPr>
        <w:t>unicipais</w:t>
      </w:r>
      <w:r w:rsidR="00B9493D">
        <w:rPr>
          <w:rFonts w:ascii="Times New Roman" w:hAnsi="Times New Roman"/>
        </w:rPr>
        <w:t xml:space="preserve"> e</w:t>
      </w:r>
      <w:r w:rsidRPr="00796401">
        <w:rPr>
          <w:rFonts w:ascii="Times New Roman" w:hAnsi="Times New Roman"/>
        </w:rPr>
        <w:t xml:space="preserve"> </w:t>
      </w:r>
      <w:r w:rsidR="00B9493D">
        <w:rPr>
          <w:rFonts w:ascii="Times New Roman" w:hAnsi="Times New Roman"/>
        </w:rPr>
        <w:t>A</w:t>
      </w:r>
      <w:r w:rsidRPr="00796401">
        <w:rPr>
          <w:rFonts w:ascii="Times New Roman" w:hAnsi="Times New Roman"/>
        </w:rPr>
        <w:t xml:space="preserve">cesso de </w:t>
      </w:r>
      <w:r w:rsidR="00B9493D">
        <w:rPr>
          <w:rFonts w:ascii="Times New Roman" w:hAnsi="Times New Roman"/>
        </w:rPr>
        <w:t>N</w:t>
      </w:r>
      <w:r w:rsidRPr="00796401">
        <w:rPr>
          <w:rFonts w:ascii="Times New Roman" w:hAnsi="Times New Roman"/>
        </w:rPr>
        <w:t xml:space="preserve">ovas </w:t>
      </w:r>
      <w:r w:rsidR="00B9493D">
        <w:rPr>
          <w:rFonts w:ascii="Times New Roman" w:hAnsi="Times New Roman"/>
        </w:rPr>
        <w:t>P</w:t>
      </w:r>
      <w:r w:rsidRPr="00796401">
        <w:rPr>
          <w:rFonts w:ascii="Times New Roman" w:hAnsi="Times New Roman"/>
        </w:rPr>
        <w:t>restadoras após 2009</w:t>
      </w:r>
    </w:p>
    <w:tbl>
      <w:tblPr>
        <w:tblStyle w:val="Tabelacomgrade"/>
        <w:tblW w:w="0" w:type="auto"/>
        <w:jc w:val="center"/>
        <w:tblLook w:val="04A0" w:firstRow="1" w:lastRow="0" w:firstColumn="1" w:lastColumn="0" w:noHBand="0" w:noVBand="1"/>
      </w:tblPr>
      <w:tblGrid>
        <w:gridCol w:w="816"/>
        <w:gridCol w:w="2168"/>
        <w:gridCol w:w="2093"/>
        <w:gridCol w:w="1539"/>
        <w:gridCol w:w="1803"/>
      </w:tblGrid>
      <w:tr w:rsidR="00796401" w:rsidRPr="00492F3C" w:rsidTr="00B9493D">
        <w:trPr>
          <w:jc w:val="center"/>
        </w:trPr>
        <w:tc>
          <w:tcPr>
            <w:tcW w:w="816" w:type="dxa"/>
          </w:tcPr>
          <w:p w:rsidR="00796401" w:rsidRPr="00492F3C" w:rsidRDefault="00796401" w:rsidP="006F43CA">
            <w:pPr>
              <w:pStyle w:val="BNDES"/>
              <w:spacing w:after="120"/>
              <w:rPr>
                <w:rFonts w:ascii="Times New Roman" w:hAnsi="Times New Roman"/>
                <w:b/>
              </w:rPr>
            </w:pPr>
            <w:r w:rsidRPr="00492F3C">
              <w:rPr>
                <w:rFonts w:ascii="Times New Roman" w:hAnsi="Times New Roman"/>
                <w:b/>
              </w:rPr>
              <w:t>Ano</w:t>
            </w:r>
          </w:p>
        </w:tc>
        <w:tc>
          <w:tcPr>
            <w:tcW w:w="2168" w:type="dxa"/>
          </w:tcPr>
          <w:p w:rsidR="00796401" w:rsidRPr="00492F3C" w:rsidRDefault="00796401" w:rsidP="006F43CA">
            <w:pPr>
              <w:pStyle w:val="BNDES"/>
              <w:spacing w:after="120"/>
              <w:rPr>
                <w:rFonts w:ascii="Times New Roman" w:hAnsi="Times New Roman"/>
                <w:b/>
              </w:rPr>
            </w:pPr>
            <w:r w:rsidRPr="00492F3C">
              <w:rPr>
                <w:rFonts w:ascii="Times New Roman" w:hAnsi="Times New Roman"/>
                <w:b/>
              </w:rPr>
              <w:t>Prestadoras municipais com investimento a partir de 2009</w:t>
            </w:r>
          </w:p>
        </w:tc>
        <w:tc>
          <w:tcPr>
            <w:tcW w:w="2093" w:type="dxa"/>
          </w:tcPr>
          <w:p w:rsidR="00796401" w:rsidRPr="00492F3C" w:rsidRDefault="00796401" w:rsidP="006F43CA">
            <w:pPr>
              <w:pStyle w:val="BNDES"/>
              <w:spacing w:after="120"/>
              <w:rPr>
                <w:rFonts w:ascii="Times New Roman" w:hAnsi="Times New Roman"/>
                <w:b/>
              </w:rPr>
            </w:pPr>
            <w:r w:rsidRPr="00492F3C">
              <w:rPr>
                <w:rFonts w:ascii="Times New Roman" w:hAnsi="Times New Roman"/>
                <w:b/>
              </w:rPr>
              <w:t>Valor médio do investimento (Em R$ de 2016)</w:t>
            </w:r>
          </w:p>
        </w:tc>
        <w:tc>
          <w:tcPr>
            <w:tcW w:w="1539" w:type="dxa"/>
          </w:tcPr>
          <w:p w:rsidR="00796401" w:rsidRPr="00492F3C" w:rsidRDefault="00796401" w:rsidP="006F43CA">
            <w:pPr>
              <w:pStyle w:val="BNDES"/>
              <w:spacing w:after="120"/>
              <w:rPr>
                <w:rFonts w:ascii="Times New Roman" w:hAnsi="Times New Roman"/>
                <w:b/>
              </w:rPr>
            </w:pPr>
            <w:r w:rsidRPr="00492F3C">
              <w:rPr>
                <w:rFonts w:ascii="Times New Roman" w:hAnsi="Times New Roman"/>
                <w:b/>
              </w:rPr>
              <w:t>Total de prestadoras municipais</w:t>
            </w:r>
          </w:p>
        </w:tc>
        <w:tc>
          <w:tcPr>
            <w:tcW w:w="1803" w:type="dxa"/>
          </w:tcPr>
          <w:p w:rsidR="00796401" w:rsidRPr="00492F3C" w:rsidRDefault="00796401" w:rsidP="006F43CA">
            <w:pPr>
              <w:pStyle w:val="BNDES"/>
              <w:spacing w:after="120"/>
              <w:rPr>
                <w:rFonts w:ascii="Times New Roman" w:hAnsi="Times New Roman"/>
                <w:b/>
              </w:rPr>
            </w:pPr>
            <w:r w:rsidRPr="00492F3C">
              <w:rPr>
                <w:rFonts w:ascii="Times New Roman" w:hAnsi="Times New Roman"/>
                <w:b/>
              </w:rPr>
              <w:t>Valor médio do investimento (Em R$ de 2016)</w:t>
            </w:r>
          </w:p>
        </w:tc>
      </w:tr>
      <w:tr w:rsidR="00796401" w:rsidRPr="00492F3C" w:rsidTr="00B9493D">
        <w:trPr>
          <w:jc w:val="center"/>
        </w:trPr>
        <w:tc>
          <w:tcPr>
            <w:tcW w:w="816"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2009</w:t>
            </w:r>
          </w:p>
        </w:tc>
        <w:tc>
          <w:tcPr>
            <w:tcW w:w="2168"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172</w:t>
            </w:r>
          </w:p>
        </w:tc>
        <w:tc>
          <w:tcPr>
            <w:tcW w:w="209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42.194</w:t>
            </w:r>
          </w:p>
        </w:tc>
        <w:tc>
          <w:tcPr>
            <w:tcW w:w="1539"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629</w:t>
            </w:r>
          </w:p>
        </w:tc>
        <w:tc>
          <w:tcPr>
            <w:tcW w:w="180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828.628</w:t>
            </w:r>
          </w:p>
        </w:tc>
      </w:tr>
      <w:tr w:rsidR="00796401" w:rsidRPr="00492F3C" w:rsidTr="00B9493D">
        <w:trPr>
          <w:jc w:val="center"/>
        </w:trPr>
        <w:tc>
          <w:tcPr>
            <w:tcW w:w="816"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2010</w:t>
            </w:r>
          </w:p>
        </w:tc>
        <w:tc>
          <w:tcPr>
            <w:tcW w:w="2168"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258</w:t>
            </w:r>
          </w:p>
        </w:tc>
        <w:tc>
          <w:tcPr>
            <w:tcW w:w="209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117.075</w:t>
            </w:r>
          </w:p>
        </w:tc>
        <w:tc>
          <w:tcPr>
            <w:tcW w:w="1539"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758</w:t>
            </w:r>
          </w:p>
        </w:tc>
        <w:tc>
          <w:tcPr>
            <w:tcW w:w="180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1.045.109</w:t>
            </w:r>
          </w:p>
        </w:tc>
      </w:tr>
      <w:tr w:rsidR="00796401" w:rsidRPr="00492F3C" w:rsidTr="00B9493D">
        <w:trPr>
          <w:jc w:val="center"/>
        </w:trPr>
        <w:tc>
          <w:tcPr>
            <w:tcW w:w="816"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2011</w:t>
            </w:r>
          </w:p>
        </w:tc>
        <w:tc>
          <w:tcPr>
            <w:tcW w:w="2168"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261</w:t>
            </w:r>
          </w:p>
        </w:tc>
        <w:tc>
          <w:tcPr>
            <w:tcW w:w="209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128.734</w:t>
            </w:r>
          </w:p>
        </w:tc>
        <w:tc>
          <w:tcPr>
            <w:tcW w:w="1539"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736</w:t>
            </w:r>
          </w:p>
        </w:tc>
        <w:tc>
          <w:tcPr>
            <w:tcW w:w="180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1.068.814</w:t>
            </w:r>
          </w:p>
        </w:tc>
      </w:tr>
      <w:tr w:rsidR="00796401" w:rsidRPr="00492F3C" w:rsidTr="00B9493D">
        <w:trPr>
          <w:jc w:val="center"/>
        </w:trPr>
        <w:tc>
          <w:tcPr>
            <w:tcW w:w="816"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2012</w:t>
            </w:r>
          </w:p>
        </w:tc>
        <w:tc>
          <w:tcPr>
            <w:tcW w:w="2168"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344</w:t>
            </w:r>
          </w:p>
        </w:tc>
        <w:tc>
          <w:tcPr>
            <w:tcW w:w="209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273.570</w:t>
            </w:r>
          </w:p>
        </w:tc>
        <w:tc>
          <w:tcPr>
            <w:tcW w:w="1539"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955</w:t>
            </w:r>
          </w:p>
        </w:tc>
        <w:tc>
          <w:tcPr>
            <w:tcW w:w="180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796.763</w:t>
            </w:r>
          </w:p>
        </w:tc>
      </w:tr>
      <w:tr w:rsidR="00796401" w:rsidRPr="00492F3C" w:rsidTr="00B9493D">
        <w:trPr>
          <w:jc w:val="center"/>
        </w:trPr>
        <w:tc>
          <w:tcPr>
            <w:tcW w:w="816"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2013</w:t>
            </w:r>
          </w:p>
        </w:tc>
        <w:tc>
          <w:tcPr>
            <w:tcW w:w="2168"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346</w:t>
            </w:r>
          </w:p>
        </w:tc>
        <w:tc>
          <w:tcPr>
            <w:tcW w:w="209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595.004</w:t>
            </w:r>
          </w:p>
        </w:tc>
        <w:tc>
          <w:tcPr>
            <w:tcW w:w="1539"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908</w:t>
            </w:r>
          </w:p>
        </w:tc>
        <w:tc>
          <w:tcPr>
            <w:tcW w:w="180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745.579</w:t>
            </w:r>
          </w:p>
        </w:tc>
      </w:tr>
      <w:tr w:rsidR="00796401" w:rsidRPr="00492F3C" w:rsidTr="00B9493D">
        <w:trPr>
          <w:jc w:val="center"/>
        </w:trPr>
        <w:tc>
          <w:tcPr>
            <w:tcW w:w="816"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2014</w:t>
            </w:r>
          </w:p>
        </w:tc>
        <w:tc>
          <w:tcPr>
            <w:tcW w:w="2168"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365</w:t>
            </w:r>
          </w:p>
        </w:tc>
        <w:tc>
          <w:tcPr>
            <w:tcW w:w="209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814.116</w:t>
            </w:r>
          </w:p>
        </w:tc>
        <w:tc>
          <w:tcPr>
            <w:tcW w:w="1539"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989</w:t>
            </w:r>
          </w:p>
        </w:tc>
        <w:tc>
          <w:tcPr>
            <w:tcW w:w="1803" w:type="dxa"/>
          </w:tcPr>
          <w:p w:rsidR="00796401" w:rsidRPr="00492F3C" w:rsidRDefault="00796401" w:rsidP="006F43CA">
            <w:pPr>
              <w:pStyle w:val="BNDES"/>
              <w:spacing w:after="120"/>
              <w:rPr>
                <w:rFonts w:ascii="Times New Roman" w:hAnsi="Times New Roman"/>
              </w:rPr>
            </w:pPr>
            <w:r w:rsidRPr="00492F3C">
              <w:rPr>
                <w:rFonts w:ascii="Times New Roman" w:hAnsi="Times New Roman"/>
              </w:rPr>
              <w:t>812.732</w:t>
            </w:r>
          </w:p>
        </w:tc>
      </w:tr>
    </w:tbl>
    <w:p w:rsidR="00796401" w:rsidRPr="00581F8C" w:rsidRDefault="00796401" w:rsidP="00796401">
      <w:pPr>
        <w:pStyle w:val="BNDES"/>
        <w:spacing w:after="120"/>
        <w:jc w:val="center"/>
        <w:rPr>
          <w:rFonts w:ascii="Times New Roman" w:hAnsi="Times New Roman"/>
          <w:sz w:val="20"/>
          <w:szCs w:val="20"/>
        </w:rPr>
      </w:pPr>
      <w:r w:rsidRPr="00581F8C">
        <w:rPr>
          <w:rFonts w:ascii="Times New Roman" w:hAnsi="Times New Roman"/>
          <w:sz w:val="20"/>
          <w:szCs w:val="20"/>
        </w:rPr>
        <w:t>Fonte: elaboração própria, a partir de dados do SNIS.</w:t>
      </w:r>
    </w:p>
    <w:p w:rsidR="00796401" w:rsidRDefault="00796401" w:rsidP="00974254">
      <w:pPr>
        <w:pStyle w:val="BNDES"/>
        <w:spacing w:after="120"/>
        <w:rPr>
          <w:rFonts w:ascii="Times New Roman" w:hAnsi="Times New Roman"/>
        </w:rPr>
      </w:pPr>
    </w:p>
    <w:p w:rsidR="00EE1109" w:rsidRDefault="00B304BF" w:rsidP="00514949">
      <w:pPr>
        <w:pStyle w:val="BNDES"/>
        <w:spacing w:after="120"/>
        <w:rPr>
          <w:rFonts w:ascii="Times New Roman" w:hAnsi="Times New Roman"/>
        </w:rPr>
      </w:pPr>
      <w:r w:rsidRPr="00B304BF">
        <w:rPr>
          <w:rFonts w:ascii="Times New Roman" w:hAnsi="Times New Roman"/>
        </w:rPr>
        <w:t>D</w:t>
      </w:r>
      <w:r>
        <w:rPr>
          <w:rFonts w:ascii="Times New Roman" w:hAnsi="Times New Roman"/>
        </w:rPr>
        <w:t>o universo de 5.570 munic</w:t>
      </w:r>
      <w:r w:rsidR="00027E15">
        <w:rPr>
          <w:rFonts w:ascii="Times New Roman" w:hAnsi="Times New Roman"/>
        </w:rPr>
        <w:t xml:space="preserve">ípios brasileiros, 574 foram considerados pelo presente trabalho como beneficiados pela política de </w:t>
      </w:r>
      <w:r w:rsidR="00C31370">
        <w:rPr>
          <w:rFonts w:ascii="Times New Roman" w:hAnsi="Times New Roman"/>
        </w:rPr>
        <w:t>descontigenciamento de crédito, que permitiu que empresas municipais pudessem investir na expansão dos</w:t>
      </w:r>
      <w:r w:rsidR="00027E15">
        <w:rPr>
          <w:rFonts w:ascii="Times New Roman" w:hAnsi="Times New Roman"/>
        </w:rPr>
        <w:t xml:space="preserve"> serviços de esgoto no Brasil no período mais recente. Essa condição de tratamento obedeceu três critérios: i) municípios com investimento em esgotamento sanitário igual </w:t>
      </w:r>
      <w:proofErr w:type="gramStart"/>
      <w:r w:rsidR="00027E15">
        <w:rPr>
          <w:rFonts w:ascii="Times New Roman" w:hAnsi="Times New Roman"/>
        </w:rPr>
        <w:t>a</w:t>
      </w:r>
      <w:proofErr w:type="gramEnd"/>
      <w:r w:rsidR="00027E15">
        <w:rPr>
          <w:rFonts w:ascii="Times New Roman" w:hAnsi="Times New Roman"/>
        </w:rPr>
        <w:t xml:space="preserve"> zero no período de 2005 a 2008; </w:t>
      </w:r>
      <w:proofErr w:type="spellStart"/>
      <w:r w:rsidR="00027E15">
        <w:rPr>
          <w:rFonts w:ascii="Times New Roman" w:hAnsi="Times New Roman"/>
        </w:rPr>
        <w:t>ii</w:t>
      </w:r>
      <w:proofErr w:type="spellEnd"/>
      <w:r w:rsidR="00027E15">
        <w:rPr>
          <w:rFonts w:ascii="Times New Roman" w:hAnsi="Times New Roman"/>
        </w:rPr>
        <w:t xml:space="preserve">) municípios com investimento positivo nesse setor no período 2009 a 2016; </w:t>
      </w:r>
      <w:proofErr w:type="spellStart"/>
      <w:r w:rsidR="00027E15">
        <w:rPr>
          <w:rFonts w:ascii="Times New Roman" w:hAnsi="Times New Roman"/>
        </w:rPr>
        <w:t>iii</w:t>
      </w:r>
      <w:proofErr w:type="spellEnd"/>
      <w:r w:rsidR="00027E15">
        <w:rPr>
          <w:rFonts w:ascii="Times New Roman" w:hAnsi="Times New Roman"/>
        </w:rPr>
        <w:t>) municípios com empresa municipal prestadora de serviços de esgotamento sanitário em todo o período de 2005 a 2016. Assim, o município que atendeu esses três critérios recebeu o status de unidade tratada</w:t>
      </w:r>
      <w:r w:rsidR="00262CCB">
        <w:rPr>
          <w:rFonts w:ascii="Times New Roman" w:hAnsi="Times New Roman"/>
        </w:rPr>
        <w:t xml:space="preserve">. </w:t>
      </w:r>
      <w:r w:rsidR="00262CCB" w:rsidRPr="00B6448F">
        <w:rPr>
          <w:rFonts w:ascii="Times New Roman" w:hAnsi="Times New Roman"/>
        </w:rPr>
        <w:t>As unidades de controle, por sua vez, foram definidas como os 2.533 municípios que não apresentaram informações sobre prestação de serviços de esgotamento sanitário em nenhum ano no período de análise</w:t>
      </w:r>
      <w:r w:rsidR="00AE2A68">
        <w:rPr>
          <w:rFonts w:ascii="Times New Roman" w:hAnsi="Times New Roman"/>
        </w:rPr>
        <w:t>, de modo que se assume que seus investimentos no setor foram nulos nesses anos</w:t>
      </w:r>
      <w:r w:rsidR="00027E15" w:rsidRPr="00B6448F">
        <w:rPr>
          <w:rFonts w:ascii="Times New Roman" w:hAnsi="Times New Roman"/>
        </w:rPr>
        <w:t>.</w:t>
      </w:r>
      <w:r w:rsidR="00974254">
        <w:rPr>
          <w:rFonts w:ascii="Times New Roman" w:hAnsi="Times New Roman"/>
        </w:rPr>
        <w:t xml:space="preserve"> </w:t>
      </w:r>
      <w:r w:rsidR="00C31370">
        <w:rPr>
          <w:rFonts w:ascii="Times New Roman" w:hAnsi="Times New Roman"/>
        </w:rPr>
        <w:t>Considera-se que essas unidades representam melhor o contrafactual ao tratamento, isto é, a situação das unidades tratadas caso não tivessem ampliado</w:t>
      </w:r>
      <w:r w:rsidR="003F05E1">
        <w:rPr>
          <w:rFonts w:ascii="Times New Roman" w:hAnsi="Times New Roman"/>
        </w:rPr>
        <w:t xml:space="preserve"> seus investimentos no setor com as mudanças institucionais, do que os municípios que já investiam em saneamento desde o início do período.</w:t>
      </w:r>
    </w:p>
    <w:p w:rsidR="00B304BF" w:rsidRDefault="00974254" w:rsidP="00514949">
      <w:pPr>
        <w:pStyle w:val="BNDES"/>
        <w:spacing w:after="120"/>
        <w:rPr>
          <w:rFonts w:ascii="Times New Roman" w:hAnsi="Times New Roman"/>
        </w:rPr>
      </w:pPr>
      <w:r w:rsidRPr="00B304BF">
        <w:rPr>
          <w:rFonts w:ascii="Times New Roman" w:hAnsi="Times New Roman"/>
        </w:rPr>
        <w:t xml:space="preserve">O mapa </w:t>
      </w:r>
      <w:r>
        <w:rPr>
          <w:rFonts w:ascii="Times New Roman" w:hAnsi="Times New Roman"/>
        </w:rPr>
        <w:t>a seguir</w:t>
      </w:r>
      <w:r w:rsidRPr="00B304BF">
        <w:rPr>
          <w:rFonts w:ascii="Times New Roman" w:hAnsi="Times New Roman"/>
        </w:rPr>
        <w:t xml:space="preserve"> representa a distribuição dos municípios brasileiros por </w:t>
      </w:r>
      <w:r w:rsidR="00EE1109">
        <w:rPr>
          <w:rFonts w:ascii="Times New Roman" w:hAnsi="Times New Roman"/>
        </w:rPr>
        <w:t xml:space="preserve">status de tratamento, segundo os critérios anteriormente definidos. Há municípios tratados em todas as regiões do Brasil, observando-se uma maior densidade na metade norte do estado de São Paulo e no sul de Minas Gerais. Os municípios em branco são aqueles que apresentam prestadora de serviços de esgotamento sanitário estadual ou privada, ou aqueles cuja prestadora é municipal, mas </w:t>
      </w:r>
      <w:r w:rsidR="00796401">
        <w:rPr>
          <w:rFonts w:ascii="Times New Roman" w:hAnsi="Times New Roman"/>
        </w:rPr>
        <w:t>tiveram</w:t>
      </w:r>
      <w:r w:rsidR="00EE1109">
        <w:rPr>
          <w:rFonts w:ascii="Times New Roman" w:hAnsi="Times New Roman"/>
        </w:rPr>
        <w:t xml:space="preserve"> investimento positivo desde o início do período de análise.</w:t>
      </w:r>
    </w:p>
    <w:p w:rsidR="00EE1109" w:rsidRDefault="00EE1109" w:rsidP="00514949">
      <w:pPr>
        <w:pStyle w:val="BNDES"/>
        <w:spacing w:after="120"/>
        <w:rPr>
          <w:rFonts w:ascii="Times New Roman" w:hAnsi="Times New Roman"/>
        </w:rPr>
      </w:pPr>
    </w:p>
    <w:p w:rsidR="007A7A86" w:rsidRDefault="007A7A86" w:rsidP="00514949">
      <w:pPr>
        <w:pStyle w:val="BNDES"/>
        <w:spacing w:after="120"/>
        <w:rPr>
          <w:rFonts w:ascii="Times New Roman" w:hAnsi="Times New Roman"/>
        </w:rPr>
      </w:pPr>
    </w:p>
    <w:p w:rsidR="007A7A86" w:rsidRDefault="007A7A86" w:rsidP="00514949">
      <w:pPr>
        <w:pStyle w:val="BNDES"/>
        <w:spacing w:after="120"/>
        <w:rPr>
          <w:rFonts w:ascii="Times New Roman" w:hAnsi="Times New Roman"/>
        </w:rPr>
      </w:pPr>
    </w:p>
    <w:p w:rsidR="007A7A86" w:rsidRDefault="007A7A86" w:rsidP="00514949">
      <w:pPr>
        <w:pStyle w:val="BNDES"/>
        <w:spacing w:after="120"/>
        <w:rPr>
          <w:rFonts w:ascii="Times New Roman" w:hAnsi="Times New Roman"/>
        </w:rPr>
      </w:pPr>
    </w:p>
    <w:p w:rsidR="007A7A86" w:rsidRDefault="007A7A86" w:rsidP="00514949">
      <w:pPr>
        <w:pStyle w:val="BNDES"/>
        <w:spacing w:after="120"/>
        <w:rPr>
          <w:rFonts w:ascii="Times New Roman" w:hAnsi="Times New Roman"/>
        </w:rPr>
      </w:pPr>
    </w:p>
    <w:p w:rsidR="00AE2A68" w:rsidRDefault="00AE2A68" w:rsidP="00514949">
      <w:pPr>
        <w:pStyle w:val="BNDES"/>
        <w:spacing w:after="120"/>
        <w:rPr>
          <w:rFonts w:ascii="Times New Roman" w:hAnsi="Times New Roman"/>
        </w:rPr>
      </w:pPr>
    </w:p>
    <w:p w:rsidR="00AE2A68" w:rsidRDefault="00AE2A68" w:rsidP="00514949">
      <w:pPr>
        <w:pStyle w:val="BNDES"/>
        <w:spacing w:after="120"/>
        <w:rPr>
          <w:rFonts w:ascii="Times New Roman" w:hAnsi="Times New Roman"/>
        </w:rPr>
      </w:pPr>
    </w:p>
    <w:p w:rsidR="00EE1109" w:rsidRDefault="00B9493D" w:rsidP="00EE1109">
      <w:pPr>
        <w:pStyle w:val="BNDES"/>
        <w:spacing w:after="120"/>
        <w:jc w:val="center"/>
        <w:rPr>
          <w:rFonts w:ascii="Times New Roman" w:hAnsi="Times New Roman"/>
        </w:rPr>
      </w:pPr>
      <w:r>
        <w:rPr>
          <w:rFonts w:ascii="Times New Roman" w:hAnsi="Times New Roman"/>
        </w:rPr>
        <w:t>Figura 3</w:t>
      </w:r>
      <w:r w:rsidR="00EE1109" w:rsidRPr="00B304BF">
        <w:rPr>
          <w:rFonts w:ascii="Times New Roman" w:hAnsi="Times New Roman"/>
        </w:rPr>
        <w:t xml:space="preserve">: Mapa dos Municípios </w:t>
      </w:r>
      <w:r>
        <w:rPr>
          <w:rFonts w:ascii="Times New Roman" w:hAnsi="Times New Roman"/>
        </w:rPr>
        <w:t xml:space="preserve">Brasileiros </w:t>
      </w:r>
      <w:r w:rsidR="00EE1109" w:rsidRPr="00B304BF">
        <w:rPr>
          <w:rFonts w:ascii="Times New Roman" w:hAnsi="Times New Roman"/>
        </w:rPr>
        <w:t xml:space="preserve">por </w:t>
      </w:r>
      <w:r w:rsidR="00EE1109">
        <w:rPr>
          <w:rFonts w:ascii="Times New Roman" w:hAnsi="Times New Roman"/>
        </w:rPr>
        <w:t>Status de Tratamento</w:t>
      </w:r>
    </w:p>
    <w:p w:rsidR="00EE1109" w:rsidRDefault="00EE1109" w:rsidP="00EE1109">
      <w:pPr>
        <w:pStyle w:val="BNDES"/>
        <w:spacing w:after="120"/>
        <w:jc w:val="center"/>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41C4AF50" wp14:editId="3186724B">
            <wp:simplePos x="0" y="0"/>
            <wp:positionH relativeFrom="column">
              <wp:posOffset>450215</wp:posOffset>
            </wp:positionH>
            <wp:positionV relativeFrom="paragraph">
              <wp:posOffset>76200</wp:posOffset>
            </wp:positionV>
            <wp:extent cx="5607685" cy="439039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685" cy="439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1109" w:rsidRDefault="00EE1109" w:rsidP="00EE1109">
      <w:pPr>
        <w:pStyle w:val="BNDES"/>
        <w:spacing w:after="120"/>
        <w:jc w:val="center"/>
        <w:rPr>
          <w:rFonts w:ascii="Times New Roman" w:hAnsi="Times New Roman"/>
        </w:rPr>
      </w:pPr>
    </w:p>
    <w:p w:rsidR="00EE1109" w:rsidRDefault="00EE1109" w:rsidP="00EE1109">
      <w:pPr>
        <w:pStyle w:val="BNDES"/>
        <w:spacing w:after="120"/>
        <w:jc w:val="center"/>
        <w:rPr>
          <w:rFonts w:ascii="Times New Roman" w:hAnsi="Times New Roman"/>
        </w:rPr>
      </w:pPr>
    </w:p>
    <w:p w:rsidR="00EE1109" w:rsidRDefault="00EE1109" w:rsidP="00EE1109">
      <w:pPr>
        <w:pStyle w:val="BNDES"/>
        <w:spacing w:after="120"/>
        <w:jc w:val="center"/>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Default="00EE1109" w:rsidP="00514949">
      <w:pPr>
        <w:pStyle w:val="BNDES"/>
        <w:spacing w:after="120"/>
        <w:rPr>
          <w:rFonts w:ascii="Times New Roman" w:hAnsi="Times New Roman"/>
        </w:rPr>
      </w:pPr>
    </w:p>
    <w:p w:rsidR="00EE1109" w:rsidRPr="00796401" w:rsidRDefault="00EE1109" w:rsidP="00EE1109">
      <w:pPr>
        <w:pStyle w:val="BNDES"/>
        <w:spacing w:after="120"/>
        <w:jc w:val="center"/>
        <w:rPr>
          <w:rFonts w:ascii="Times New Roman" w:hAnsi="Times New Roman"/>
          <w:sz w:val="20"/>
        </w:rPr>
      </w:pPr>
      <w:r w:rsidRPr="00796401">
        <w:rPr>
          <w:rFonts w:ascii="Times New Roman" w:hAnsi="Times New Roman"/>
          <w:sz w:val="20"/>
        </w:rPr>
        <w:t>Fonte: elaboração própria a partir de dados do SNIS.</w:t>
      </w:r>
    </w:p>
    <w:p w:rsidR="00EE1109" w:rsidRDefault="00EE1109" w:rsidP="00514949">
      <w:pPr>
        <w:pStyle w:val="BNDES"/>
        <w:spacing w:after="120"/>
        <w:rPr>
          <w:rFonts w:ascii="Times New Roman" w:hAnsi="Times New Roman"/>
        </w:rPr>
      </w:pPr>
    </w:p>
    <w:p w:rsidR="00A85F93" w:rsidRDefault="00A85F93" w:rsidP="00514949">
      <w:pPr>
        <w:pStyle w:val="BNDES"/>
        <w:spacing w:after="120"/>
        <w:rPr>
          <w:rFonts w:ascii="Times New Roman" w:hAnsi="Times New Roman"/>
        </w:rPr>
      </w:pPr>
      <w:r>
        <w:rPr>
          <w:rFonts w:ascii="Times New Roman" w:hAnsi="Times New Roman"/>
        </w:rPr>
        <w:t xml:space="preserve">Comparando-se o perfil de tratados e de controles, observa-se que os tratados têm </w:t>
      </w:r>
      <w:r w:rsidR="00B6448F">
        <w:rPr>
          <w:rFonts w:ascii="Times New Roman" w:hAnsi="Times New Roman"/>
        </w:rPr>
        <w:t xml:space="preserve">maior </w:t>
      </w:r>
      <w:r>
        <w:rPr>
          <w:rFonts w:ascii="Times New Roman" w:hAnsi="Times New Roman"/>
        </w:rPr>
        <w:t xml:space="preserve">porte do que os controles em termos de </w:t>
      </w:r>
      <w:r w:rsidR="00B6448F">
        <w:rPr>
          <w:rFonts w:ascii="Times New Roman" w:hAnsi="Times New Roman"/>
        </w:rPr>
        <w:t>população, PIB per capita</w:t>
      </w:r>
      <w:r>
        <w:rPr>
          <w:rFonts w:ascii="Times New Roman" w:hAnsi="Times New Roman"/>
        </w:rPr>
        <w:t xml:space="preserve"> e despesas públicas. </w:t>
      </w:r>
      <w:r w:rsidR="00B6448F">
        <w:rPr>
          <w:rFonts w:ascii="Times New Roman" w:hAnsi="Times New Roman"/>
        </w:rPr>
        <w:t>Além disso, conforme esperado pela definição do grupo de controle escolhido para a avaliação, os dados de investimentos em esgotamento sanitário para esse grupo encontra-se censurado, já que suas informações não constam no SNIS</w:t>
      </w:r>
      <w:r>
        <w:rPr>
          <w:rFonts w:ascii="Times New Roman" w:hAnsi="Times New Roman"/>
        </w:rPr>
        <w:t>. Por fim, os indicadores de saúde são semelhantes para os dois grupos.</w:t>
      </w:r>
    </w:p>
    <w:p w:rsidR="00A85F93" w:rsidRDefault="00A85F93" w:rsidP="00514949">
      <w:pPr>
        <w:pStyle w:val="BNDES"/>
        <w:spacing w:after="120"/>
        <w:rPr>
          <w:rFonts w:ascii="Times New Roman" w:hAnsi="Times New Roman"/>
        </w:rPr>
      </w:pPr>
    </w:p>
    <w:p w:rsidR="008B2206" w:rsidRDefault="008B2206" w:rsidP="00514949">
      <w:pPr>
        <w:pStyle w:val="BNDES"/>
        <w:spacing w:after="120"/>
        <w:jc w:val="center"/>
        <w:rPr>
          <w:rFonts w:ascii="Times New Roman" w:hAnsi="Times New Roman"/>
        </w:rPr>
      </w:pPr>
      <w:r>
        <w:rPr>
          <w:rFonts w:ascii="Times New Roman" w:hAnsi="Times New Roman"/>
        </w:rPr>
        <w:t xml:space="preserve">Tabela </w:t>
      </w:r>
      <w:r w:rsidR="00403E82">
        <w:rPr>
          <w:rFonts w:ascii="Times New Roman" w:hAnsi="Times New Roman"/>
        </w:rPr>
        <w:t>4</w:t>
      </w:r>
      <w:r>
        <w:rPr>
          <w:rFonts w:ascii="Times New Roman" w:hAnsi="Times New Roman"/>
        </w:rPr>
        <w:t>: Estatísticas Descritivas por Status de Tratamento</w:t>
      </w:r>
      <w:r w:rsidR="00E7694D">
        <w:rPr>
          <w:rFonts w:ascii="Times New Roman" w:hAnsi="Times New Roman"/>
        </w:rPr>
        <w:t xml:space="preserve">, </w:t>
      </w:r>
      <w:r w:rsidR="00796401">
        <w:rPr>
          <w:rFonts w:ascii="Times New Roman" w:hAnsi="Times New Roman"/>
        </w:rPr>
        <w:t>P</w:t>
      </w:r>
      <w:r w:rsidR="00E7694D">
        <w:rPr>
          <w:rFonts w:ascii="Times New Roman" w:hAnsi="Times New Roman"/>
        </w:rPr>
        <w:t>ré-</w:t>
      </w:r>
      <w:proofErr w:type="gramStart"/>
      <w:r w:rsidR="00796401">
        <w:rPr>
          <w:rFonts w:ascii="Times New Roman" w:hAnsi="Times New Roman"/>
        </w:rPr>
        <w:t>P</w:t>
      </w:r>
      <w:r w:rsidR="00E7694D">
        <w:rPr>
          <w:rFonts w:ascii="Times New Roman" w:hAnsi="Times New Roman"/>
        </w:rPr>
        <w:t>areamento</w:t>
      </w:r>
      <w:proofErr w:type="gramEnd"/>
    </w:p>
    <w:tbl>
      <w:tblPr>
        <w:tblStyle w:val="Tabelacomgrade"/>
        <w:tblW w:w="8847" w:type="dxa"/>
        <w:jc w:val="center"/>
        <w:tblLook w:val="04A0" w:firstRow="1" w:lastRow="0" w:firstColumn="1" w:lastColumn="0" w:noHBand="0" w:noVBand="1"/>
      </w:tblPr>
      <w:tblGrid>
        <w:gridCol w:w="3005"/>
        <w:gridCol w:w="1476"/>
        <w:gridCol w:w="1555"/>
        <w:gridCol w:w="1476"/>
        <w:gridCol w:w="1596"/>
      </w:tblGrid>
      <w:tr w:rsidR="00A85F93" w:rsidRPr="007D6AC9" w:rsidTr="000A4E38">
        <w:trPr>
          <w:trHeight w:val="300"/>
          <w:jc w:val="center"/>
        </w:trPr>
        <w:tc>
          <w:tcPr>
            <w:tcW w:w="3005" w:type="dxa"/>
            <w:vMerge w:val="restart"/>
            <w:noWrap/>
            <w:vAlign w:val="bottom"/>
            <w:hideMark/>
          </w:tcPr>
          <w:p w:rsidR="00A85F93" w:rsidRPr="007D6AC9" w:rsidRDefault="00A85F93" w:rsidP="00514949">
            <w:pPr>
              <w:jc w:val="center"/>
              <w:rPr>
                <w:rFonts w:ascii="Times New Roman" w:hAnsi="Times New Roman"/>
                <w:b/>
                <w:color w:val="000000"/>
              </w:rPr>
            </w:pPr>
            <w:r w:rsidRPr="007D6AC9">
              <w:rPr>
                <w:rFonts w:ascii="Times New Roman" w:hAnsi="Times New Roman"/>
                <w:b/>
                <w:color w:val="000000"/>
              </w:rPr>
              <w:t>Variável</w:t>
            </w:r>
          </w:p>
        </w:tc>
        <w:tc>
          <w:tcPr>
            <w:tcW w:w="2921" w:type="dxa"/>
            <w:gridSpan w:val="2"/>
            <w:noWrap/>
            <w:vAlign w:val="bottom"/>
            <w:hideMark/>
          </w:tcPr>
          <w:p w:rsidR="00A85F93" w:rsidRPr="007D6AC9" w:rsidRDefault="00A85F93" w:rsidP="00514949">
            <w:pPr>
              <w:jc w:val="center"/>
              <w:rPr>
                <w:rFonts w:ascii="Times New Roman" w:hAnsi="Times New Roman"/>
                <w:b/>
                <w:color w:val="000000"/>
              </w:rPr>
            </w:pPr>
            <w:r w:rsidRPr="007D6AC9">
              <w:rPr>
                <w:rFonts w:ascii="Times New Roman" w:hAnsi="Times New Roman"/>
                <w:b/>
                <w:color w:val="000000"/>
              </w:rPr>
              <w:t>Tratados</w:t>
            </w:r>
          </w:p>
        </w:tc>
        <w:tc>
          <w:tcPr>
            <w:tcW w:w="2921" w:type="dxa"/>
            <w:gridSpan w:val="2"/>
            <w:noWrap/>
            <w:vAlign w:val="bottom"/>
            <w:hideMark/>
          </w:tcPr>
          <w:p w:rsidR="00A85F93" w:rsidRPr="007D6AC9" w:rsidRDefault="00A85F93" w:rsidP="00514949">
            <w:pPr>
              <w:jc w:val="center"/>
              <w:rPr>
                <w:rFonts w:ascii="Times New Roman" w:hAnsi="Times New Roman"/>
                <w:b/>
                <w:color w:val="000000"/>
              </w:rPr>
            </w:pPr>
            <w:r w:rsidRPr="007D6AC9">
              <w:rPr>
                <w:rFonts w:ascii="Times New Roman" w:hAnsi="Times New Roman"/>
                <w:b/>
                <w:color w:val="000000"/>
              </w:rPr>
              <w:t>Controles</w:t>
            </w:r>
          </w:p>
        </w:tc>
      </w:tr>
      <w:tr w:rsidR="00A85F93" w:rsidRPr="007D6AC9" w:rsidTr="000A4E38">
        <w:trPr>
          <w:trHeight w:val="300"/>
          <w:jc w:val="center"/>
        </w:trPr>
        <w:tc>
          <w:tcPr>
            <w:tcW w:w="3005" w:type="dxa"/>
            <w:vMerge/>
            <w:noWrap/>
          </w:tcPr>
          <w:p w:rsidR="00A85F93" w:rsidRPr="007D6AC9" w:rsidRDefault="00A85F93" w:rsidP="00514949">
            <w:pPr>
              <w:rPr>
                <w:rFonts w:ascii="Times New Roman" w:hAnsi="Times New Roman"/>
                <w:color w:val="000000"/>
              </w:rPr>
            </w:pPr>
          </w:p>
        </w:tc>
        <w:tc>
          <w:tcPr>
            <w:tcW w:w="1366" w:type="dxa"/>
            <w:noWrap/>
            <w:vAlign w:val="bottom"/>
          </w:tcPr>
          <w:p w:rsidR="00A85F93" w:rsidRPr="007D6AC9" w:rsidRDefault="00A85F93" w:rsidP="009D270F">
            <w:pPr>
              <w:jc w:val="center"/>
              <w:rPr>
                <w:rFonts w:ascii="Times New Roman" w:hAnsi="Times New Roman"/>
                <w:b/>
                <w:color w:val="000000"/>
              </w:rPr>
            </w:pPr>
            <w:r w:rsidRPr="007D6AC9">
              <w:rPr>
                <w:rFonts w:ascii="Times New Roman" w:hAnsi="Times New Roman"/>
                <w:b/>
                <w:color w:val="000000"/>
              </w:rPr>
              <w:t>Média</w:t>
            </w:r>
          </w:p>
        </w:tc>
        <w:tc>
          <w:tcPr>
            <w:tcW w:w="1555" w:type="dxa"/>
            <w:noWrap/>
            <w:vAlign w:val="bottom"/>
          </w:tcPr>
          <w:p w:rsidR="00A85F93" w:rsidRPr="007D6AC9" w:rsidRDefault="00A85F93" w:rsidP="009D270F">
            <w:pPr>
              <w:jc w:val="center"/>
              <w:rPr>
                <w:rFonts w:ascii="Times New Roman" w:hAnsi="Times New Roman"/>
                <w:b/>
                <w:color w:val="000000"/>
              </w:rPr>
            </w:pPr>
            <w:r w:rsidRPr="007D6AC9">
              <w:rPr>
                <w:rFonts w:ascii="Times New Roman" w:hAnsi="Times New Roman"/>
                <w:b/>
                <w:color w:val="000000"/>
              </w:rPr>
              <w:t>Desvio Padrão</w:t>
            </w:r>
          </w:p>
        </w:tc>
        <w:tc>
          <w:tcPr>
            <w:tcW w:w="1366" w:type="dxa"/>
            <w:noWrap/>
            <w:vAlign w:val="bottom"/>
          </w:tcPr>
          <w:p w:rsidR="00A85F93" w:rsidRPr="007D6AC9" w:rsidRDefault="00A85F93" w:rsidP="009D270F">
            <w:pPr>
              <w:jc w:val="center"/>
              <w:rPr>
                <w:rFonts w:ascii="Times New Roman" w:hAnsi="Times New Roman"/>
                <w:b/>
                <w:color w:val="000000"/>
              </w:rPr>
            </w:pPr>
            <w:r w:rsidRPr="007D6AC9">
              <w:rPr>
                <w:rFonts w:ascii="Times New Roman" w:hAnsi="Times New Roman"/>
                <w:b/>
                <w:color w:val="000000"/>
              </w:rPr>
              <w:t>Média</w:t>
            </w:r>
          </w:p>
        </w:tc>
        <w:tc>
          <w:tcPr>
            <w:tcW w:w="1555" w:type="dxa"/>
            <w:noWrap/>
            <w:vAlign w:val="bottom"/>
          </w:tcPr>
          <w:p w:rsidR="00A85F93" w:rsidRPr="007D6AC9" w:rsidRDefault="00A85F93" w:rsidP="009D270F">
            <w:pPr>
              <w:jc w:val="center"/>
              <w:rPr>
                <w:rFonts w:ascii="Times New Roman" w:hAnsi="Times New Roman"/>
                <w:b/>
                <w:color w:val="000000"/>
              </w:rPr>
            </w:pPr>
            <w:r w:rsidRPr="007D6AC9">
              <w:rPr>
                <w:rFonts w:ascii="Times New Roman" w:hAnsi="Times New Roman"/>
                <w:b/>
                <w:color w:val="000000"/>
              </w:rPr>
              <w:t>Desvio Padrão</w:t>
            </w:r>
          </w:p>
        </w:tc>
      </w:tr>
      <w:tr w:rsidR="00262CCB" w:rsidRPr="007D6AC9" w:rsidTr="000A4E38">
        <w:trPr>
          <w:trHeight w:val="300"/>
          <w:jc w:val="center"/>
        </w:trPr>
        <w:tc>
          <w:tcPr>
            <w:tcW w:w="3005" w:type="dxa"/>
            <w:noWrap/>
            <w:vAlign w:val="bottom"/>
            <w:hideMark/>
          </w:tcPr>
          <w:p w:rsidR="00262CCB" w:rsidRPr="007D6AC9" w:rsidRDefault="00514949" w:rsidP="00514949">
            <w:pPr>
              <w:rPr>
                <w:rFonts w:ascii="Times New Roman" w:hAnsi="Times New Roman"/>
                <w:color w:val="000000"/>
              </w:rPr>
            </w:pPr>
            <w:r w:rsidRPr="007D6AC9">
              <w:rPr>
                <w:rFonts w:ascii="Times New Roman" w:hAnsi="Times New Roman"/>
                <w:color w:val="000000"/>
              </w:rPr>
              <w:t>Densidade demográfica</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47,0</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111,1</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36,1</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122,8</w:t>
            </w:r>
          </w:p>
        </w:tc>
      </w:tr>
      <w:tr w:rsidR="00262CCB" w:rsidRPr="007D6AC9" w:rsidTr="000A4E38">
        <w:trPr>
          <w:trHeight w:val="300"/>
          <w:jc w:val="center"/>
        </w:trPr>
        <w:tc>
          <w:tcPr>
            <w:tcW w:w="3005" w:type="dxa"/>
            <w:noWrap/>
            <w:vAlign w:val="bottom"/>
            <w:hideMark/>
          </w:tcPr>
          <w:p w:rsidR="00262CCB" w:rsidRPr="007D6AC9" w:rsidRDefault="00514949" w:rsidP="00514949">
            <w:pPr>
              <w:rPr>
                <w:rFonts w:ascii="Times New Roman" w:hAnsi="Times New Roman"/>
                <w:color w:val="000000"/>
              </w:rPr>
            </w:pPr>
            <w:r w:rsidRPr="007D6AC9">
              <w:rPr>
                <w:rFonts w:ascii="Times New Roman" w:hAnsi="Times New Roman"/>
                <w:color w:val="000000"/>
              </w:rPr>
              <w:t>Despesas com saneamento</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769.318,4</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3.909.885,1</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527.940,8</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12.017.706,2</w:t>
            </w:r>
          </w:p>
        </w:tc>
      </w:tr>
      <w:tr w:rsidR="00262CCB" w:rsidRPr="007D6AC9" w:rsidTr="000A4E38">
        <w:trPr>
          <w:trHeight w:val="300"/>
          <w:jc w:val="center"/>
        </w:trPr>
        <w:tc>
          <w:tcPr>
            <w:tcW w:w="3005" w:type="dxa"/>
            <w:noWrap/>
            <w:vAlign w:val="bottom"/>
            <w:hideMark/>
          </w:tcPr>
          <w:p w:rsidR="00262CCB" w:rsidRPr="007D6AC9" w:rsidRDefault="00514949" w:rsidP="00514949">
            <w:pPr>
              <w:rPr>
                <w:rFonts w:ascii="Times New Roman" w:hAnsi="Times New Roman"/>
                <w:color w:val="000000"/>
              </w:rPr>
            </w:pPr>
            <w:r w:rsidRPr="007D6AC9">
              <w:rPr>
                <w:rFonts w:ascii="Times New Roman" w:hAnsi="Times New Roman"/>
                <w:color w:val="000000"/>
              </w:rPr>
              <w:t>Despesas com saúde</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6.407.428,1</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13.788.981,7</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5.780.047,9</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62.988.934,5</w:t>
            </w:r>
          </w:p>
        </w:tc>
      </w:tr>
      <w:tr w:rsidR="00262CCB" w:rsidRPr="007D6AC9" w:rsidTr="000A4E38">
        <w:trPr>
          <w:trHeight w:val="300"/>
          <w:jc w:val="center"/>
        </w:trPr>
        <w:tc>
          <w:tcPr>
            <w:tcW w:w="3005" w:type="dxa"/>
            <w:noWrap/>
            <w:vAlign w:val="bottom"/>
            <w:hideMark/>
          </w:tcPr>
          <w:p w:rsidR="00262CCB" w:rsidRPr="007D6AC9" w:rsidRDefault="00514949" w:rsidP="00514949">
            <w:pPr>
              <w:rPr>
                <w:rFonts w:ascii="Times New Roman" w:hAnsi="Times New Roman"/>
                <w:color w:val="000000"/>
              </w:rPr>
            </w:pPr>
            <w:r w:rsidRPr="007D6AC9">
              <w:rPr>
                <w:rFonts w:ascii="Times New Roman" w:hAnsi="Times New Roman"/>
                <w:color w:val="000000"/>
              </w:rPr>
              <w:t>Investimento em esgoto</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708.404,8</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17.251.159,6</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#N/D</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#N/D</w:t>
            </w:r>
          </w:p>
        </w:tc>
      </w:tr>
      <w:tr w:rsidR="00262CCB" w:rsidRPr="007D6AC9" w:rsidTr="000A4E38">
        <w:trPr>
          <w:trHeight w:val="300"/>
          <w:jc w:val="center"/>
        </w:trPr>
        <w:tc>
          <w:tcPr>
            <w:tcW w:w="3005" w:type="dxa"/>
            <w:noWrap/>
            <w:vAlign w:val="bottom"/>
            <w:hideMark/>
          </w:tcPr>
          <w:p w:rsidR="00262CCB" w:rsidRPr="007D6AC9" w:rsidRDefault="00514949" w:rsidP="00514949">
            <w:pPr>
              <w:rPr>
                <w:rFonts w:ascii="Times New Roman" w:hAnsi="Times New Roman"/>
                <w:color w:val="000000"/>
              </w:rPr>
            </w:pPr>
            <w:r w:rsidRPr="007D6AC9">
              <w:rPr>
                <w:rFonts w:ascii="Times New Roman" w:hAnsi="Times New Roman"/>
                <w:color w:val="000000"/>
              </w:rPr>
              <w:t>Peso</w:t>
            </w:r>
            <w:r w:rsidR="000A4E38" w:rsidRPr="007D6AC9">
              <w:rPr>
                <w:rFonts w:ascii="Times New Roman" w:hAnsi="Times New Roman"/>
                <w:color w:val="000000"/>
              </w:rPr>
              <w:t xml:space="preserve"> ao nascer</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3.176,1</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96,0</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3.223,0</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96,6</w:t>
            </w:r>
          </w:p>
        </w:tc>
      </w:tr>
      <w:tr w:rsidR="00262CCB" w:rsidRPr="007D6AC9" w:rsidTr="000A4E38">
        <w:trPr>
          <w:trHeight w:val="300"/>
          <w:jc w:val="center"/>
        </w:trPr>
        <w:tc>
          <w:tcPr>
            <w:tcW w:w="3005" w:type="dxa"/>
            <w:noWrap/>
            <w:vAlign w:val="bottom"/>
            <w:hideMark/>
          </w:tcPr>
          <w:p w:rsidR="00262CCB" w:rsidRPr="007D6AC9" w:rsidRDefault="00514949" w:rsidP="00514949">
            <w:pPr>
              <w:rPr>
                <w:rFonts w:ascii="Times New Roman" w:hAnsi="Times New Roman"/>
                <w:color w:val="000000"/>
              </w:rPr>
            </w:pPr>
            <w:r w:rsidRPr="007D6AC9">
              <w:rPr>
                <w:rFonts w:ascii="Times New Roman" w:hAnsi="Times New Roman"/>
                <w:color w:val="000000"/>
              </w:rPr>
              <w:t>PIB per capita</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19.943,7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28.983,5</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15.637,7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19.889,4</w:t>
            </w:r>
          </w:p>
        </w:tc>
      </w:tr>
      <w:tr w:rsidR="00262CCB" w:rsidRPr="007D6AC9" w:rsidTr="000A4E38">
        <w:trPr>
          <w:trHeight w:val="300"/>
          <w:jc w:val="center"/>
        </w:trPr>
        <w:tc>
          <w:tcPr>
            <w:tcW w:w="3005" w:type="dxa"/>
            <w:noWrap/>
            <w:vAlign w:val="bottom"/>
            <w:hideMark/>
          </w:tcPr>
          <w:p w:rsidR="00262CCB" w:rsidRPr="007D6AC9" w:rsidRDefault="00514949" w:rsidP="00514949">
            <w:pPr>
              <w:rPr>
                <w:rFonts w:ascii="Times New Roman" w:hAnsi="Times New Roman"/>
                <w:color w:val="000000"/>
              </w:rPr>
            </w:pPr>
            <w:r w:rsidRPr="007D6AC9">
              <w:rPr>
                <w:rFonts w:ascii="Times New Roman" w:hAnsi="Times New Roman"/>
                <w:color w:val="000000"/>
              </w:rPr>
              <w:t>População</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14.988,5</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19.322,3</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16.072,1</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128.955,8</w:t>
            </w:r>
          </w:p>
        </w:tc>
      </w:tr>
      <w:tr w:rsidR="00262CCB" w:rsidRPr="007D6AC9" w:rsidTr="000A4E38">
        <w:trPr>
          <w:trHeight w:val="300"/>
          <w:jc w:val="center"/>
        </w:trPr>
        <w:tc>
          <w:tcPr>
            <w:tcW w:w="3005" w:type="dxa"/>
            <w:noWrap/>
            <w:vAlign w:val="bottom"/>
            <w:hideMark/>
          </w:tcPr>
          <w:p w:rsidR="00262CCB" w:rsidRPr="007D6AC9" w:rsidRDefault="000A4E38" w:rsidP="00514949">
            <w:pPr>
              <w:rPr>
                <w:rFonts w:ascii="Times New Roman" w:hAnsi="Times New Roman"/>
                <w:color w:val="000000"/>
              </w:rPr>
            </w:pPr>
            <w:r w:rsidRPr="007D6AC9">
              <w:rPr>
                <w:rFonts w:ascii="Times New Roman" w:hAnsi="Times New Roman"/>
                <w:color w:val="000000"/>
              </w:rPr>
              <w:t>Centro de saúde da família</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0,05</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0,25</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0,06</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0,24</w:t>
            </w:r>
          </w:p>
        </w:tc>
      </w:tr>
      <w:tr w:rsidR="00262CCB" w:rsidRPr="007D6AC9" w:rsidTr="000A4E38">
        <w:trPr>
          <w:trHeight w:val="300"/>
          <w:jc w:val="center"/>
        </w:trPr>
        <w:tc>
          <w:tcPr>
            <w:tcW w:w="3005" w:type="dxa"/>
            <w:noWrap/>
            <w:vAlign w:val="bottom"/>
            <w:hideMark/>
          </w:tcPr>
          <w:p w:rsidR="00262CCB" w:rsidRPr="007D6AC9" w:rsidRDefault="00514949" w:rsidP="00514949">
            <w:pPr>
              <w:rPr>
                <w:rFonts w:ascii="Times New Roman" w:hAnsi="Times New Roman"/>
                <w:color w:val="000000"/>
              </w:rPr>
            </w:pPr>
            <w:r w:rsidRPr="007D6AC9">
              <w:rPr>
                <w:rFonts w:ascii="Times New Roman" w:hAnsi="Times New Roman"/>
                <w:color w:val="000000"/>
              </w:rPr>
              <w:t>Transferências correntes</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24.647.102,6</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40.856.203,8</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21.581.845,7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121.959.565,2</w:t>
            </w:r>
          </w:p>
        </w:tc>
      </w:tr>
      <w:tr w:rsidR="00262CCB" w:rsidRPr="007D6AC9" w:rsidTr="000A4E38">
        <w:trPr>
          <w:trHeight w:val="300"/>
          <w:jc w:val="center"/>
        </w:trPr>
        <w:tc>
          <w:tcPr>
            <w:tcW w:w="3005" w:type="dxa"/>
            <w:noWrap/>
            <w:vAlign w:val="bottom"/>
            <w:hideMark/>
          </w:tcPr>
          <w:p w:rsidR="00262CCB" w:rsidRPr="007D6AC9" w:rsidRDefault="000A4E38" w:rsidP="00514949">
            <w:pPr>
              <w:rPr>
                <w:rFonts w:ascii="Times New Roman" w:hAnsi="Times New Roman"/>
                <w:color w:val="000000"/>
              </w:rPr>
            </w:pPr>
            <w:r w:rsidRPr="007D6AC9">
              <w:rPr>
                <w:rFonts w:ascii="Times New Roman" w:hAnsi="Times New Roman"/>
                <w:color w:val="000000"/>
              </w:rPr>
              <w:lastRenderedPageBreak/>
              <w:t>Taxa de baixo peso</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0,08</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0,04</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0,04</w:t>
            </w:r>
          </w:p>
        </w:tc>
      </w:tr>
      <w:tr w:rsidR="00262CCB" w:rsidRPr="007D6AC9" w:rsidTr="000A4E38">
        <w:trPr>
          <w:trHeight w:val="300"/>
          <w:jc w:val="center"/>
        </w:trPr>
        <w:tc>
          <w:tcPr>
            <w:tcW w:w="3005" w:type="dxa"/>
            <w:noWrap/>
            <w:vAlign w:val="bottom"/>
            <w:hideMark/>
          </w:tcPr>
          <w:p w:rsidR="00262CCB" w:rsidRPr="007D6AC9" w:rsidRDefault="009D270F" w:rsidP="00514949">
            <w:pPr>
              <w:rPr>
                <w:rFonts w:ascii="Times New Roman" w:hAnsi="Times New Roman"/>
                <w:color w:val="000000"/>
              </w:rPr>
            </w:pPr>
            <w:r w:rsidRPr="007D6AC9">
              <w:rPr>
                <w:rFonts w:ascii="Times New Roman" w:hAnsi="Times New Roman"/>
                <w:color w:val="000000"/>
              </w:rPr>
              <w:t>Mortalidade por circulatório</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0,18</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1,53</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0,16</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1,38</w:t>
            </w:r>
          </w:p>
        </w:tc>
      </w:tr>
      <w:tr w:rsidR="00262CCB" w:rsidRPr="007D6AC9" w:rsidTr="000A4E38">
        <w:trPr>
          <w:trHeight w:val="300"/>
          <w:jc w:val="center"/>
        </w:trPr>
        <w:tc>
          <w:tcPr>
            <w:tcW w:w="3005" w:type="dxa"/>
            <w:noWrap/>
            <w:vAlign w:val="bottom"/>
            <w:hideMark/>
          </w:tcPr>
          <w:p w:rsidR="00262CCB" w:rsidRPr="007D6AC9" w:rsidRDefault="009D270F" w:rsidP="00514949">
            <w:pPr>
              <w:rPr>
                <w:rFonts w:ascii="Times New Roman" w:hAnsi="Times New Roman"/>
                <w:color w:val="000000"/>
              </w:rPr>
            </w:pPr>
            <w:r w:rsidRPr="007D6AC9">
              <w:rPr>
                <w:rFonts w:ascii="Times New Roman" w:hAnsi="Times New Roman"/>
                <w:color w:val="000000"/>
              </w:rPr>
              <w:t>Mortalidade por congênitas</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2,66</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6,02</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2,67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6,29</w:t>
            </w:r>
          </w:p>
        </w:tc>
      </w:tr>
      <w:tr w:rsidR="00262CCB" w:rsidRPr="007D6AC9" w:rsidTr="000A4E38">
        <w:trPr>
          <w:trHeight w:val="300"/>
          <w:jc w:val="center"/>
        </w:trPr>
        <w:tc>
          <w:tcPr>
            <w:tcW w:w="3005" w:type="dxa"/>
            <w:noWrap/>
            <w:vAlign w:val="bottom"/>
            <w:hideMark/>
          </w:tcPr>
          <w:p w:rsidR="00262CCB" w:rsidRPr="007D6AC9" w:rsidRDefault="009D270F" w:rsidP="00514949">
            <w:pPr>
              <w:rPr>
                <w:rFonts w:ascii="Times New Roman" w:hAnsi="Times New Roman"/>
                <w:color w:val="000000"/>
              </w:rPr>
            </w:pPr>
            <w:r w:rsidRPr="007D6AC9">
              <w:rPr>
                <w:rFonts w:ascii="Times New Roman" w:hAnsi="Times New Roman"/>
                <w:color w:val="000000"/>
              </w:rPr>
              <w:t>Mortalidade por digestivo</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0,12</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1,08</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0,13</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1,19</w:t>
            </w:r>
          </w:p>
        </w:tc>
      </w:tr>
      <w:tr w:rsidR="00262CCB" w:rsidRPr="007D6AC9" w:rsidTr="000A4E38">
        <w:trPr>
          <w:trHeight w:val="300"/>
          <w:jc w:val="center"/>
        </w:trPr>
        <w:tc>
          <w:tcPr>
            <w:tcW w:w="3005" w:type="dxa"/>
            <w:noWrap/>
            <w:vAlign w:val="bottom"/>
            <w:hideMark/>
          </w:tcPr>
          <w:p w:rsidR="00262CCB" w:rsidRPr="007D6AC9" w:rsidRDefault="000A4E38" w:rsidP="00514949">
            <w:pPr>
              <w:rPr>
                <w:rFonts w:ascii="Times New Roman" w:hAnsi="Times New Roman"/>
                <w:color w:val="000000"/>
              </w:rPr>
            </w:pPr>
            <w:r w:rsidRPr="007D6AC9">
              <w:rPr>
                <w:rFonts w:ascii="Times New Roman" w:hAnsi="Times New Roman"/>
                <w:color w:val="000000"/>
              </w:rPr>
              <w:t>Taxa de</w:t>
            </w:r>
            <w:r w:rsidR="009D270F" w:rsidRPr="007D6AC9">
              <w:rPr>
                <w:rFonts w:ascii="Times New Roman" w:hAnsi="Times New Roman"/>
                <w:color w:val="000000"/>
              </w:rPr>
              <w:t xml:space="preserve"> </w:t>
            </w:r>
            <w:proofErr w:type="gramStart"/>
            <w:r w:rsidR="009D270F" w:rsidRPr="007D6AC9">
              <w:rPr>
                <w:rFonts w:ascii="Times New Roman" w:hAnsi="Times New Roman"/>
                <w:color w:val="000000"/>
              </w:rPr>
              <w:t>pré natal</w:t>
            </w:r>
            <w:proofErr w:type="gramEnd"/>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0,98</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0,03</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0,97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0,05</w:t>
            </w:r>
          </w:p>
        </w:tc>
      </w:tr>
      <w:tr w:rsidR="00262CCB" w:rsidRPr="007D6AC9" w:rsidTr="000A4E38">
        <w:trPr>
          <w:trHeight w:val="300"/>
          <w:jc w:val="center"/>
        </w:trPr>
        <w:tc>
          <w:tcPr>
            <w:tcW w:w="3005" w:type="dxa"/>
            <w:noWrap/>
            <w:vAlign w:val="bottom"/>
            <w:hideMark/>
          </w:tcPr>
          <w:p w:rsidR="00262CCB" w:rsidRPr="007D6AC9" w:rsidRDefault="000A4E38" w:rsidP="00514949">
            <w:pPr>
              <w:rPr>
                <w:rFonts w:ascii="Times New Roman" w:hAnsi="Times New Roman"/>
                <w:color w:val="000000"/>
              </w:rPr>
            </w:pPr>
            <w:r w:rsidRPr="007D6AC9">
              <w:rPr>
                <w:rFonts w:ascii="Times New Roman" w:hAnsi="Times New Roman"/>
                <w:color w:val="000000"/>
              </w:rPr>
              <w:t>Taxa de gestação a termo</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0,87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0,08</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0,87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0,10</w:t>
            </w:r>
          </w:p>
        </w:tc>
      </w:tr>
      <w:tr w:rsidR="00262CCB" w:rsidRPr="007D6AC9" w:rsidTr="000A4E38">
        <w:trPr>
          <w:trHeight w:val="300"/>
          <w:jc w:val="center"/>
        </w:trPr>
        <w:tc>
          <w:tcPr>
            <w:tcW w:w="3005" w:type="dxa"/>
            <w:noWrap/>
            <w:vAlign w:val="bottom"/>
            <w:hideMark/>
          </w:tcPr>
          <w:p w:rsidR="00262CCB" w:rsidRPr="007D6AC9" w:rsidRDefault="009D270F" w:rsidP="00514949">
            <w:pPr>
              <w:rPr>
                <w:rFonts w:ascii="Times New Roman" w:hAnsi="Times New Roman"/>
                <w:color w:val="000000"/>
              </w:rPr>
            </w:pPr>
            <w:r w:rsidRPr="007D6AC9">
              <w:rPr>
                <w:rFonts w:ascii="Times New Roman" w:hAnsi="Times New Roman"/>
                <w:color w:val="000000"/>
              </w:rPr>
              <w:t>Mortalidade total</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14,81</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15,13</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15,27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15,31</w:t>
            </w:r>
          </w:p>
        </w:tc>
      </w:tr>
      <w:tr w:rsidR="00262CCB" w:rsidRPr="007D6AC9" w:rsidTr="000A4E38">
        <w:trPr>
          <w:trHeight w:val="300"/>
          <w:jc w:val="center"/>
        </w:trPr>
        <w:tc>
          <w:tcPr>
            <w:tcW w:w="3005" w:type="dxa"/>
            <w:noWrap/>
            <w:vAlign w:val="bottom"/>
            <w:hideMark/>
          </w:tcPr>
          <w:p w:rsidR="00262CCB" w:rsidRPr="007D6AC9" w:rsidRDefault="009D270F" w:rsidP="00514949">
            <w:pPr>
              <w:rPr>
                <w:rFonts w:ascii="Times New Roman" w:hAnsi="Times New Roman"/>
                <w:color w:val="000000"/>
              </w:rPr>
            </w:pPr>
            <w:r w:rsidRPr="007D6AC9">
              <w:rPr>
                <w:rFonts w:ascii="Times New Roman" w:hAnsi="Times New Roman"/>
                <w:color w:val="000000"/>
              </w:rPr>
              <w:t>Mortalidade por neoplasias</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0,04</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0,62</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0,06</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0,88</w:t>
            </w:r>
          </w:p>
        </w:tc>
      </w:tr>
      <w:tr w:rsidR="00262CCB" w:rsidRPr="007D6AC9" w:rsidTr="000A4E38">
        <w:trPr>
          <w:trHeight w:val="300"/>
          <w:jc w:val="center"/>
        </w:trPr>
        <w:tc>
          <w:tcPr>
            <w:tcW w:w="3005" w:type="dxa"/>
            <w:noWrap/>
            <w:vAlign w:val="bottom"/>
            <w:hideMark/>
          </w:tcPr>
          <w:p w:rsidR="00262CCB" w:rsidRPr="007D6AC9" w:rsidRDefault="009D270F" w:rsidP="00514949">
            <w:pPr>
              <w:rPr>
                <w:rFonts w:ascii="Times New Roman" w:hAnsi="Times New Roman"/>
                <w:color w:val="000000"/>
              </w:rPr>
            </w:pPr>
            <w:r w:rsidRPr="007D6AC9">
              <w:rPr>
                <w:rFonts w:ascii="Times New Roman" w:hAnsi="Times New Roman"/>
                <w:color w:val="000000"/>
              </w:rPr>
              <w:t>Mortalidade perinatal</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8,79</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11,69</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8,70</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11,43</w:t>
            </w:r>
          </w:p>
        </w:tc>
      </w:tr>
      <w:tr w:rsidR="00262CCB" w:rsidRPr="007D6AC9" w:rsidTr="000A4E38">
        <w:trPr>
          <w:trHeight w:val="300"/>
          <w:jc w:val="center"/>
        </w:trPr>
        <w:tc>
          <w:tcPr>
            <w:tcW w:w="3005" w:type="dxa"/>
            <w:noWrap/>
            <w:vAlign w:val="bottom"/>
            <w:hideMark/>
          </w:tcPr>
          <w:p w:rsidR="00262CCB" w:rsidRPr="007D6AC9" w:rsidRDefault="009D270F" w:rsidP="00514949">
            <w:pPr>
              <w:rPr>
                <w:rFonts w:ascii="Times New Roman" w:hAnsi="Times New Roman"/>
                <w:color w:val="000000"/>
              </w:rPr>
            </w:pPr>
            <w:r w:rsidRPr="007D6AC9">
              <w:rPr>
                <w:rFonts w:ascii="Times New Roman" w:hAnsi="Times New Roman"/>
                <w:color w:val="000000"/>
              </w:rPr>
              <w:t>Mortalidade por respiratório</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0,67</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2,61</w:t>
            </w:r>
          </w:p>
        </w:tc>
        <w:tc>
          <w:tcPr>
            <w:tcW w:w="1366"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0,91</w:t>
            </w:r>
          </w:p>
        </w:tc>
        <w:tc>
          <w:tcPr>
            <w:tcW w:w="1555" w:type="dxa"/>
            <w:noWrap/>
            <w:vAlign w:val="bottom"/>
            <w:hideMark/>
          </w:tcPr>
          <w:p w:rsidR="00262CCB" w:rsidRPr="007D6AC9" w:rsidRDefault="00262CCB" w:rsidP="00514949">
            <w:pPr>
              <w:jc w:val="right"/>
              <w:rPr>
                <w:rFonts w:ascii="Times New Roman" w:hAnsi="Times New Roman"/>
                <w:color w:val="000000"/>
              </w:rPr>
            </w:pPr>
            <w:r w:rsidRPr="007D6AC9">
              <w:rPr>
                <w:rFonts w:ascii="Times New Roman" w:hAnsi="Times New Roman"/>
                <w:color w:val="000000"/>
              </w:rPr>
              <w:t>3,34</w:t>
            </w:r>
          </w:p>
        </w:tc>
      </w:tr>
      <w:tr w:rsidR="000A4E38" w:rsidRPr="007D6AC9" w:rsidTr="000A4E38">
        <w:trPr>
          <w:trHeight w:val="300"/>
          <w:jc w:val="center"/>
        </w:trPr>
        <w:tc>
          <w:tcPr>
            <w:tcW w:w="3005" w:type="dxa"/>
            <w:noWrap/>
            <w:vAlign w:val="bottom"/>
          </w:tcPr>
          <w:p w:rsidR="000A4E38" w:rsidRPr="007D6AC9" w:rsidRDefault="000A4E38" w:rsidP="00514949">
            <w:pPr>
              <w:rPr>
                <w:rFonts w:ascii="Times New Roman" w:hAnsi="Times New Roman"/>
                <w:color w:val="000000"/>
              </w:rPr>
            </w:pPr>
            <w:r w:rsidRPr="007D6AC9">
              <w:rPr>
                <w:rFonts w:ascii="Times New Roman" w:hAnsi="Times New Roman"/>
                <w:color w:val="000000"/>
              </w:rPr>
              <w:t>TOTAL DE MUNICÍPIOS</w:t>
            </w:r>
          </w:p>
        </w:tc>
        <w:tc>
          <w:tcPr>
            <w:tcW w:w="1366" w:type="dxa"/>
            <w:noWrap/>
            <w:vAlign w:val="bottom"/>
          </w:tcPr>
          <w:p w:rsidR="000A4E38" w:rsidRPr="007D6AC9" w:rsidRDefault="000A4E38" w:rsidP="00514949">
            <w:pPr>
              <w:jc w:val="right"/>
              <w:rPr>
                <w:rFonts w:ascii="Times New Roman" w:hAnsi="Times New Roman"/>
                <w:color w:val="000000"/>
              </w:rPr>
            </w:pPr>
            <w:r w:rsidRPr="007D6AC9">
              <w:rPr>
                <w:rFonts w:ascii="Times New Roman" w:hAnsi="Times New Roman"/>
                <w:color w:val="000000"/>
              </w:rPr>
              <w:t>574</w:t>
            </w:r>
          </w:p>
        </w:tc>
        <w:tc>
          <w:tcPr>
            <w:tcW w:w="1555" w:type="dxa"/>
            <w:noWrap/>
            <w:vAlign w:val="bottom"/>
          </w:tcPr>
          <w:p w:rsidR="000A4E38" w:rsidRPr="007D6AC9" w:rsidRDefault="000A4E38" w:rsidP="00514949">
            <w:pPr>
              <w:jc w:val="right"/>
              <w:rPr>
                <w:rFonts w:ascii="Times New Roman" w:hAnsi="Times New Roman"/>
                <w:color w:val="000000"/>
              </w:rPr>
            </w:pPr>
          </w:p>
        </w:tc>
        <w:tc>
          <w:tcPr>
            <w:tcW w:w="1366" w:type="dxa"/>
            <w:noWrap/>
            <w:vAlign w:val="bottom"/>
          </w:tcPr>
          <w:p w:rsidR="000A4E38" w:rsidRPr="007D6AC9" w:rsidRDefault="000A4E38" w:rsidP="00514949">
            <w:pPr>
              <w:jc w:val="right"/>
              <w:rPr>
                <w:rFonts w:ascii="Times New Roman" w:hAnsi="Times New Roman"/>
                <w:color w:val="000000"/>
              </w:rPr>
            </w:pPr>
            <w:r w:rsidRPr="007D6AC9">
              <w:rPr>
                <w:rFonts w:ascii="Times New Roman" w:hAnsi="Times New Roman"/>
                <w:color w:val="000000"/>
              </w:rPr>
              <w:t>2.533</w:t>
            </w:r>
          </w:p>
        </w:tc>
        <w:tc>
          <w:tcPr>
            <w:tcW w:w="1555" w:type="dxa"/>
            <w:noWrap/>
            <w:vAlign w:val="bottom"/>
          </w:tcPr>
          <w:p w:rsidR="000A4E38" w:rsidRPr="007D6AC9" w:rsidRDefault="000A4E38" w:rsidP="00514949">
            <w:pPr>
              <w:jc w:val="right"/>
              <w:rPr>
                <w:rFonts w:ascii="Times New Roman" w:hAnsi="Times New Roman"/>
                <w:color w:val="000000"/>
              </w:rPr>
            </w:pPr>
          </w:p>
        </w:tc>
      </w:tr>
    </w:tbl>
    <w:p w:rsidR="00A85F93" w:rsidRPr="000A4E38" w:rsidRDefault="008B2206" w:rsidP="000A4E38">
      <w:pPr>
        <w:pStyle w:val="BNDES"/>
        <w:spacing w:after="120"/>
        <w:jc w:val="center"/>
        <w:rPr>
          <w:rFonts w:ascii="Times New Roman" w:hAnsi="Times New Roman"/>
          <w:sz w:val="20"/>
        </w:rPr>
      </w:pPr>
      <w:r w:rsidRPr="000A4E38">
        <w:rPr>
          <w:rFonts w:ascii="Times New Roman" w:hAnsi="Times New Roman"/>
          <w:sz w:val="20"/>
        </w:rPr>
        <w:t>Fonte: elaboração própria.</w:t>
      </w:r>
    </w:p>
    <w:p w:rsidR="00CF3E40" w:rsidRPr="00626447" w:rsidRDefault="00CF3E40" w:rsidP="00514949">
      <w:pPr>
        <w:pStyle w:val="BNDES"/>
        <w:spacing w:after="120"/>
        <w:rPr>
          <w:rFonts w:ascii="Times New Roman" w:hAnsi="Times New Roman"/>
        </w:rPr>
      </w:pPr>
    </w:p>
    <w:p w:rsidR="00844248" w:rsidRDefault="00844248" w:rsidP="00514949">
      <w:pPr>
        <w:pStyle w:val="BNDES"/>
        <w:numPr>
          <w:ilvl w:val="0"/>
          <w:numId w:val="1"/>
        </w:numPr>
        <w:spacing w:after="120"/>
        <w:ind w:left="284" w:hanging="284"/>
        <w:rPr>
          <w:rFonts w:ascii="Times New Roman" w:hAnsi="Times New Roman"/>
          <w:b/>
        </w:rPr>
      </w:pPr>
      <w:r w:rsidRPr="008F6792">
        <w:rPr>
          <w:rFonts w:ascii="Times New Roman" w:hAnsi="Times New Roman"/>
          <w:b/>
        </w:rPr>
        <w:t>Estratégia Empírica</w:t>
      </w:r>
    </w:p>
    <w:p w:rsidR="0085208F" w:rsidRDefault="00ED2150" w:rsidP="00514949">
      <w:pPr>
        <w:pStyle w:val="BNDES"/>
        <w:spacing w:after="120"/>
        <w:rPr>
          <w:rFonts w:ascii="Times New Roman" w:hAnsi="Times New Roman"/>
        </w:rPr>
      </w:pPr>
      <w:r>
        <w:rPr>
          <w:rFonts w:ascii="Times New Roman" w:hAnsi="Times New Roman"/>
        </w:rPr>
        <w:t xml:space="preserve">Conforme discutido na seção sobre o arcabouço institucional, </w:t>
      </w:r>
      <w:r w:rsidR="00DC3E1B">
        <w:rPr>
          <w:rFonts w:ascii="Times New Roman" w:hAnsi="Times New Roman"/>
        </w:rPr>
        <w:t xml:space="preserve">uma das ações do PAC com vistas a ampliar recursos para investimentos em saneamento básico foi o </w:t>
      </w:r>
      <w:r w:rsidR="00796401">
        <w:rPr>
          <w:rFonts w:ascii="Times New Roman" w:hAnsi="Times New Roman"/>
        </w:rPr>
        <w:t>descontigenciamento</w:t>
      </w:r>
      <w:r w:rsidR="00DC3E1B">
        <w:rPr>
          <w:rFonts w:ascii="Times New Roman" w:hAnsi="Times New Roman"/>
        </w:rPr>
        <w:t xml:space="preserve"> de crédito para projetos selecionados pelo Ministério das Cidades. Como resultado, houve um aumento dos investimentos em saneamento básico no país. Além disso, uma característica fundamental nesse processo foi o acesso de prestadoras de serviços municipais que até então não tinham capacidade de tomar recursos.</w:t>
      </w:r>
      <w:r w:rsidR="0085208F">
        <w:rPr>
          <w:rFonts w:ascii="Times New Roman" w:hAnsi="Times New Roman"/>
        </w:rPr>
        <w:t xml:space="preserve"> </w:t>
      </w:r>
    </w:p>
    <w:p w:rsidR="0085208F" w:rsidRDefault="0085208F" w:rsidP="00514949">
      <w:pPr>
        <w:pStyle w:val="BNDES"/>
        <w:spacing w:after="120"/>
        <w:rPr>
          <w:rFonts w:ascii="Times New Roman" w:hAnsi="Times New Roman"/>
        </w:rPr>
      </w:pPr>
      <w:r>
        <w:rPr>
          <w:rFonts w:ascii="Times New Roman" w:hAnsi="Times New Roman"/>
        </w:rPr>
        <w:t>Desse modo, o intuito neste artigo é compreender os efeitos sobre variáveis relacionadas à saúde infantil da expansão no acesso a recursos para investimentos em esgotamento sanitário. Para tal, a estratégia de identificação fundamenta-se na comparação de grupos de municípios que passaram a investir recursos no setor a partir de 2009</w:t>
      </w:r>
      <w:r w:rsidR="00550390">
        <w:rPr>
          <w:rFonts w:ascii="Times New Roman" w:hAnsi="Times New Roman"/>
        </w:rPr>
        <w:t xml:space="preserve"> com municípios que não aparecem em momento algum na base de dados do SNIS e, portanto, assume-se que não</w:t>
      </w:r>
      <w:r w:rsidR="003A3B02">
        <w:rPr>
          <w:rFonts w:ascii="Times New Roman" w:hAnsi="Times New Roman"/>
        </w:rPr>
        <w:t xml:space="preserve"> investiram no período 2005-2014</w:t>
      </w:r>
      <w:r w:rsidR="00550390">
        <w:rPr>
          <w:rFonts w:ascii="Times New Roman" w:hAnsi="Times New Roman"/>
        </w:rPr>
        <w:t xml:space="preserve">. Nesse sentido, para que a estratégia de identificação seja válida, é fundamental que os municípios nos grupos de tratamento e controle apresentem trajetórias similares antes da intervenção da política pública. </w:t>
      </w:r>
    </w:p>
    <w:p w:rsidR="00E71591" w:rsidRPr="00E71591" w:rsidRDefault="00E71591" w:rsidP="00514949">
      <w:pPr>
        <w:pStyle w:val="BNDES"/>
        <w:spacing w:after="120"/>
        <w:rPr>
          <w:rFonts w:ascii="Times New Roman" w:hAnsi="Times New Roman"/>
        </w:rPr>
      </w:pPr>
      <w:r w:rsidRPr="001D3938">
        <w:rPr>
          <w:rFonts w:ascii="Times New Roman" w:hAnsi="Times New Roman"/>
        </w:rPr>
        <w:t xml:space="preserve">Além disso, como os municípios no grupo de controle podem apresentar características bastante distintas dos municípios no grupo de tratados, foi realizado um </w:t>
      </w:r>
      <w:proofErr w:type="spellStart"/>
      <w:r w:rsidRPr="001D3938">
        <w:rPr>
          <w:rFonts w:ascii="Times New Roman" w:hAnsi="Times New Roman"/>
          <w:i/>
        </w:rPr>
        <w:t>Propensity</w:t>
      </w:r>
      <w:proofErr w:type="spellEnd"/>
      <w:r w:rsidRPr="001D3938">
        <w:rPr>
          <w:rFonts w:ascii="Times New Roman" w:hAnsi="Times New Roman"/>
          <w:i/>
        </w:rPr>
        <w:t xml:space="preserve"> Score </w:t>
      </w:r>
      <w:proofErr w:type="spellStart"/>
      <w:r w:rsidRPr="001D3938">
        <w:rPr>
          <w:rFonts w:ascii="Times New Roman" w:hAnsi="Times New Roman"/>
          <w:i/>
        </w:rPr>
        <w:t>Matching</w:t>
      </w:r>
      <w:proofErr w:type="spellEnd"/>
      <w:r w:rsidRPr="001D3938">
        <w:rPr>
          <w:rFonts w:ascii="Times New Roman" w:hAnsi="Times New Roman"/>
        </w:rPr>
        <w:t>, com vistas a montar um grupo de municípios com características observáveis mais semelhantes aos municípios no grupo de tratamento.</w:t>
      </w:r>
    </w:p>
    <w:p w:rsidR="00A620BD" w:rsidRDefault="00A620BD" w:rsidP="00514949">
      <w:pPr>
        <w:pStyle w:val="BNDES"/>
        <w:spacing w:after="120"/>
        <w:rPr>
          <w:rFonts w:ascii="Times New Roman" w:hAnsi="Times New Roman"/>
        </w:rPr>
      </w:pPr>
      <w:r>
        <w:rPr>
          <w:rFonts w:ascii="Times New Roman" w:hAnsi="Times New Roman"/>
        </w:rPr>
        <w:t>Ainda assim, é possível que haja viés de seleção no grupo de tratamento, pois os municípios tratados podem ser aqueles com maior capacidade de gestão para elaborar projetos de investimento em saneamento vis-à-vis os municípios do grupo de controle. Por essa razão, o modelo adiciona efeitos-fixos de modo a incorporar características fixas não observáveis que possam condicionar o acesso a recursos para investimento.</w:t>
      </w:r>
    </w:p>
    <w:p w:rsidR="00550390" w:rsidRDefault="00550390" w:rsidP="00514949">
      <w:pPr>
        <w:pStyle w:val="BNDES"/>
        <w:spacing w:after="120"/>
        <w:rPr>
          <w:rFonts w:ascii="Times New Roman" w:hAnsi="Times New Roman"/>
        </w:rPr>
      </w:pPr>
      <w:r>
        <w:rPr>
          <w:rFonts w:ascii="Times New Roman" w:hAnsi="Times New Roman"/>
        </w:rPr>
        <w:t xml:space="preserve">Tendo em vista que o </w:t>
      </w:r>
      <w:r w:rsidR="000E258C">
        <w:rPr>
          <w:rFonts w:ascii="Times New Roman" w:hAnsi="Times New Roman"/>
        </w:rPr>
        <w:t xml:space="preserve">tempo de maturação de investimentos em esgotamento sanitário é de cerca de quatro anos, espera-se que os efeitos sobre mortalidade infantil só devam aparecer após a efetiva instalação de capacidade, quando os efeitos sobre coleta e tratamento passam a </w:t>
      </w:r>
      <w:proofErr w:type="gramStart"/>
      <w:r w:rsidR="000E258C">
        <w:rPr>
          <w:rFonts w:ascii="Times New Roman" w:hAnsi="Times New Roman"/>
        </w:rPr>
        <w:t>ser</w:t>
      </w:r>
      <w:proofErr w:type="gramEnd"/>
      <w:r w:rsidR="000E258C">
        <w:rPr>
          <w:rFonts w:ascii="Times New Roman" w:hAnsi="Times New Roman"/>
        </w:rPr>
        <w:t xml:space="preserve"> sentidos. Nesse sentido, estimamos um modelo de diferença em diferenças</w:t>
      </w:r>
      <w:r w:rsidR="009C086B">
        <w:rPr>
          <w:rFonts w:ascii="Times New Roman" w:hAnsi="Times New Roman"/>
        </w:rPr>
        <w:t xml:space="preserve"> com </w:t>
      </w:r>
      <w:proofErr w:type="spellStart"/>
      <w:r w:rsidR="009C086B">
        <w:rPr>
          <w:rFonts w:ascii="Times New Roman" w:hAnsi="Times New Roman"/>
          <w:i/>
        </w:rPr>
        <w:t>matching</w:t>
      </w:r>
      <w:proofErr w:type="spellEnd"/>
      <w:r w:rsidR="00506A34">
        <w:rPr>
          <w:rFonts w:ascii="Times New Roman" w:hAnsi="Times New Roman"/>
        </w:rPr>
        <w:t>, com base na seguinte equação</w:t>
      </w:r>
      <w:r w:rsidR="000E258C">
        <w:rPr>
          <w:rFonts w:ascii="Times New Roman" w:hAnsi="Times New Roman"/>
        </w:rPr>
        <w:t>:</w:t>
      </w:r>
    </w:p>
    <w:p w:rsidR="00A620FE" w:rsidRDefault="00327FD1" w:rsidP="00514949">
      <w:pPr>
        <w:pStyle w:val="BNDES"/>
        <w:spacing w:after="120"/>
        <w:rPr>
          <w:rFonts w:ascii="Times New Roman" w:hAnsi="Times New Roman"/>
        </w:rPr>
      </w:pPr>
      <m:oMath>
        <m:sSub>
          <m:sSubPr>
            <m:ctrlPr>
              <w:rPr>
                <w:rFonts w:ascii="Cambria Math" w:hAnsi="Cambria Math"/>
                <w:i/>
              </w:rPr>
            </m:ctrlPr>
          </m:sSubPr>
          <m:e>
            <m:r>
              <w:rPr>
                <w:rFonts w:ascii="Cambria Math" w:hAnsi="Cambria Math"/>
              </w:rPr>
              <m:t>Y</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Pós2012</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Investe</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m:t>
            </m:r>
          </m:sub>
        </m:sSub>
      </m:oMath>
      <w:r w:rsidR="00F275B4">
        <w:rPr>
          <w:rFonts w:ascii="Times New Roman" w:hAnsi="Times New Roman"/>
        </w:rPr>
        <w:t xml:space="preserve"> </w:t>
      </w:r>
      <w:r w:rsidR="00911B74">
        <w:rPr>
          <w:rFonts w:ascii="Times New Roman" w:hAnsi="Times New Roman"/>
        </w:rPr>
        <w:tab/>
      </w:r>
      <w:r w:rsidR="00911B74">
        <w:rPr>
          <w:rFonts w:ascii="Times New Roman" w:hAnsi="Times New Roman"/>
        </w:rPr>
        <w:tab/>
      </w:r>
      <w:r w:rsidR="00F275B4">
        <w:rPr>
          <w:rFonts w:ascii="Times New Roman" w:hAnsi="Times New Roman"/>
        </w:rPr>
        <w:t>(1)</w:t>
      </w:r>
    </w:p>
    <w:p w:rsidR="00021A7C" w:rsidRDefault="00021A7C" w:rsidP="00514949">
      <w:pPr>
        <w:pStyle w:val="BNDES"/>
        <w:spacing w:after="120"/>
        <w:rPr>
          <w:rFonts w:ascii="Times New Roman" w:hAnsi="Times New Roman"/>
        </w:rPr>
      </w:pPr>
    </w:p>
    <w:p w:rsidR="00E71591" w:rsidRDefault="00506A34" w:rsidP="00514949">
      <w:pPr>
        <w:pStyle w:val="BNDES"/>
        <w:spacing w:after="120"/>
        <w:rPr>
          <w:rFonts w:ascii="Times New Roman" w:hAnsi="Times New Roman"/>
        </w:rPr>
      </w:pPr>
      <w:r>
        <w:rPr>
          <w:rFonts w:ascii="Times New Roman" w:hAnsi="Times New Roman"/>
        </w:rPr>
        <w:t xml:space="preserve">Onde, </w:t>
      </w:r>
      <w:proofErr w:type="spellStart"/>
      <w:r w:rsidR="00A620FE" w:rsidRPr="00A620FE">
        <w:rPr>
          <w:rFonts w:ascii="Times New Roman" w:hAnsi="Times New Roman"/>
          <w:i/>
        </w:rPr>
        <w:t>Y</w:t>
      </w:r>
      <w:r w:rsidR="00A620FE" w:rsidRPr="00A620FE">
        <w:rPr>
          <w:rFonts w:ascii="Times New Roman" w:hAnsi="Times New Roman"/>
          <w:i/>
          <w:vertAlign w:val="subscript"/>
        </w:rPr>
        <w:t>mt</w:t>
      </w:r>
      <w:proofErr w:type="spellEnd"/>
      <w:r w:rsidR="00A620FE">
        <w:rPr>
          <w:rFonts w:ascii="Times New Roman" w:hAnsi="Times New Roman"/>
        </w:rPr>
        <w:t xml:space="preserve"> é a variável dependente no município </w:t>
      </w:r>
      <w:r w:rsidR="00A620FE" w:rsidRPr="00A620FE">
        <w:rPr>
          <w:rFonts w:ascii="Times New Roman" w:hAnsi="Times New Roman"/>
          <w:i/>
        </w:rPr>
        <w:t>m</w:t>
      </w:r>
      <w:r w:rsidR="00A620FE">
        <w:rPr>
          <w:rFonts w:ascii="Times New Roman" w:hAnsi="Times New Roman"/>
        </w:rPr>
        <w:t xml:space="preserve">, no ano </w:t>
      </w:r>
      <w:r w:rsidR="00A620FE" w:rsidRPr="00A620FE">
        <w:rPr>
          <w:rFonts w:ascii="Times New Roman" w:hAnsi="Times New Roman"/>
          <w:i/>
        </w:rPr>
        <w:t>t</w:t>
      </w:r>
      <w:r w:rsidR="00A620FE">
        <w:rPr>
          <w:rFonts w:ascii="Times New Roman" w:hAnsi="Times New Roman"/>
        </w:rPr>
        <w:t xml:space="preserve">. </w:t>
      </w:r>
      <w:r w:rsidR="001946AD">
        <w:rPr>
          <w:rFonts w:ascii="Times New Roman" w:hAnsi="Times New Roman"/>
        </w:rPr>
        <w:t xml:space="preserve">O coeficiente – </w:t>
      </w:r>
      <w:r w:rsidR="001946AD" w:rsidRPr="001946AD">
        <w:rPr>
          <w:rFonts w:ascii="Symbol" w:hAnsi="Symbol"/>
        </w:rPr>
        <w:t></w:t>
      </w:r>
      <w:proofErr w:type="gramStart"/>
      <w:r w:rsidR="001946AD" w:rsidRPr="001946AD">
        <w:rPr>
          <w:rFonts w:ascii="Times New Roman" w:hAnsi="Times New Roman"/>
          <w:vertAlign w:val="subscript"/>
        </w:rPr>
        <w:t>1</w:t>
      </w:r>
      <w:proofErr w:type="gramEnd"/>
      <w:r w:rsidR="001946AD">
        <w:rPr>
          <w:rFonts w:ascii="Times New Roman" w:hAnsi="Times New Roman"/>
        </w:rPr>
        <w:t>- do termo de interação mede o efeito causal da expansão no acesso a recursos para investimento. A variável</w:t>
      </w:r>
      <w:r w:rsidR="003202EE" w:rsidRPr="003202EE">
        <w:rPr>
          <w:rFonts w:ascii="Times New Roman" w:hAnsi="Times New Roman"/>
          <w:i/>
        </w:rPr>
        <w:t xml:space="preserve"> </w:t>
      </w:r>
      <w:proofErr w:type="spellStart"/>
      <w:r w:rsidR="003202EE" w:rsidRPr="001946AD">
        <w:rPr>
          <w:rFonts w:ascii="Times New Roman" w:hAnsi="Times New Roman"/>
          <w:i/>
        </w:rPr>
        <w:t>Invest</w:t>
      </w:r>
      <w:r w:rsidR="003202EE" w:rsidRPr="001946AD">
        <w:rPr>
          <w:rFonts w:ascii="Times New Roman" w:hAnsi="Times New Roman"/>
          <w:i/>
          <w:vertAlign w:val="subscript"/>
        </w:rPr>
        <w:t>m</w:t>
      </w:r>
      <w:proofErr w:type="spellEnd"/>
      <w:r w:rsidR="00BA724E">
        <w:rPr>
          <w:rFonts w:ascii="Times New Roman" w:hAnsi="Times New Roman"/>
          <w:i/>
          <w:vertAlign w:val="subscript"/>
        </w:rPr>
        <w:t xml:space="preserve"> </w:t>
      </w:r>
      <w:r w:rsidR="001946AD">
        <w:rPr>
          <w:rFonts w:ascii="Times New Roman" w:hAnsi="Times New Roman"/>
        </w:rPr>
        <w:t xml:space="preserve">identifica é uma </w:t>
      </w:r>
      <w:proofErr w:type="spellStart"/>
      <w:r w:rsidR="001946AD">
        <w:rPr>
          <w:rFonts w:ascii="Times New Roman" w:hAnsi="Times New Roman"/>
        </w:rPr>
        <w:t>dummy</w:t>
      </w:r>
      <w:proofErr w:type="spellEnd"/>
      <w:r w:rsidR="001946AD">
        <w:rPr>
          <w:rFonts w:ascii="Times New Roman" w:hAnsi="Times New Roman"/>
        </w:rPr>
        <w:t xml:space="preserve"> que indica o grupo de municípios tratados, ao passo que a variável</w:t>
      </w:r>
      <w:r w:rsidR="003202EE">
        <w:rPr>
          <w:rFonts w:ascii="Times New Roman" w:hAnsi="Times New Roman"/>
        </w:rPr>
        <w:t xml:space="preserve"> </w:t>
      </w:r>
      <w:r w:rsidR="003202EE" w:rsidRPr="001946AD">
        <w:rPr>
          <w:rFonts w:ascii="Times New Roman" w:hAnsi="Times New Roman"/>
          <w:i/>
        </w:rPr>
        <w:t>P</w:t>
      </w:r>
      <w:r w:rsidR="007D6AC9">
        <w:rPr>
          <w:rFonts w:ascii="Times New Roman" w:hAnsi="Times New Roman"/>
          <w:i/>
        </w:rPr>
        <w:t>ós</w:t>
      </w:r>
      <w:r w:rsidR="003202EE" w:rsidRPr="001946AD">
        <w:rPr>
          <w:rFonts w:ascii="Times New Roman" w:hAnsi="Times New Roman"/>
          <w:i/>
        </w:rPr>
        <w:t>201</w:t>
      </w:r>
      <w:r w:rsidR="000E5ED9">
        <w:rPr>
          <w:rFonts w:ascii="Times New Roman" w:hAnsi="Times New Roman"/>
          <w:i/>
        </w:rPr>
        <w:t>2</w:t>
      </w:r>
      <w:r w:rsidR="003202EE" w:rsidRPr="001946AD">
        <w:rPr>
          <w:rFonts w:ascii="Times New Roman" w:hAnsi="Times New Roman"/>
          <w:i/>
          <w:vertAlign w:val="subscript"/>
        </w:rPr>
        <w:t>t</w:t>
      </w:r>
      <w:r w:rsidR="001946AD">
        <w:rPr>
          <w:rFonts w:ascii="Times New Roman" w:hAnsi="Times New Roman"/>
        </w:rPr>
        <w:t xml:space="preserve"> é uma </w:t>
      </w:r>
      <w:proofErr w:type="spellStart"/>
      <w:r w:rsidR="001946AD">
        <w:rPr>
          <w:rFonts w:ascii="Times New Roman" w:hAnsi="Times New Roman"/>
        </w:rPr>
        <w:t>dummy</w:t>
      </w:r>
      <w:proofErr w:type="spellEnd"/>
      <w:r w:rsidR="001946AD">
        <w:rPr>
          <w:rFonts w:ascii="Times New Roman" w:hAnsi="Times New Roman"/>
        </w:rPr>
        <w:t xml:space="preserve"> que indica o período de tratamento, qual seja após 201</w:t>
      </w:r>
      <w:r w:rsidR="0083004A">
        <w:rPr>
          <w:rFonts w:ascii="Times New Roman" w:hAnsi="Times New Roman"/>
        </w:rPr>
        <w:t>2</w:t>
      </w:r>
      <w:r w:rsidR="001946AD">
        <w:rPr>
          <w:rFonts w:ascii="Times New Roman" w:hAnsi="Times New Roman"/>
        </w:rPr>
        <w:t>.</w:t>
      </w:r>
      <w:r w:rsidR="003202EE">
        <w:rPr>
          <w:rFonts w:ascii="Times New Roman" w:hAnsi="Times New Roman"/>
        </w:rPr>
        <w:t xml:space="preserve"> O vetor </w:t>
      </w:r>
      <w:proofErr w:type="spellStart"/>
      <w:r w:rsidR="003202EE" w:rsidRPr="003202EE">
        <w:rPr>
          <w:rFonts w:ascii="Times New Roman" w:hAnsi="Times New Roman"/>
          <w:i/>
        </w:rPr>
        <w:t>X</w:t>
      </w:r>
      <w:r w:rsidR="003202EE" w:rsidRPr="003202EE">
        <w:rPr>
          <w:rFonts w:ascii="Times New Roman" w:hAnsi="Times New Roman"/>
          <w:i/>
          <w:vertAlign w:val="subscript"/>
        </w:rPr>
        <w:t>mt</w:t>
      </w:r>
      <w:proofErr w:type="spellEnd"/>
      <w:r w:rsidR="003202EE">
        <w:rPr>
          <w:rFonts w:ascii="Times New Roman" w:hAnsi="Times New Roman"/>
        </w:rPr>
        <w:t xml:space="preserve"> contém variáveis de controle que podem afetar a variável dependente. As variáveis </w:t>
      </w:r>
      <w:r w:rsidR="003202EE" w:rsidRPr="003202EE">
        <w:rPr>
          <w:rFonts w:ascii="Symbol" w:hAnsi="Symbol"/>
        </w:rPr>
        <w:t></w:t>
      </w:r>
      <w:r w:rsidR="003202EE" w:rsidRPr="003202EE">
        <w:rPr>
          <w:rFonts w:ascii="Times New Roman" w:hAnsi="Times New Roman"/>
          <w:vertAlign w:val="subscript"/>
        </w:rPr>
        <w:t>t</w:t>
      </w:r>
      <w:r w:rsidR="003202EE">
        <w:rPr>
          <w:rFonts w:ascii="Times New Roman" w:hAnsi="Times New Roman"/>
        </w:rPr>
        <w:t xml:space="preserve"> e </w:t>
      </w:r>
      <w:r w:rsidR="003202EE" w:rsidRPr="003202EE">
        <w:rPr>
          <w:rFonts w:ascii="Symbol" w:hAnsi="Symbol"/>
        </w:rPr>
        <w:t></w:t>
      </w:r>
      <w:r w:rsidR="003202EE" w:rsidRPr="003202EE">
        <w:rPr>
          <w:rFonts w:ascii="Times New Roman" w:hAnsi="Times New Roman"/>
          <w:vertAlign w:val="subscript"/>
        </w:rPr>
        <w:t>m</w:t>
      </w:r>
      <w:r w:rsidR="003202EE">
        <w:rPr>
          <w:rFonts w:ascii="Times New Roman" w:hAnsi="Times New Roman"/>
        </w:rPr>
        <w:t xml:space="preserve"> </w:t>
      </w:r>
      <w:proofErr w:type="gramStart"/>
      <w:r w:rsidR="003202EE">
        <w:rPr>
          <w:rFonts w:ascii="Times New Roman" w:hAnsi="Times New Roman"/>
        </w:rPr>
        <w:t>são,</w:t>
      </w:r>
      <w:proofErr w:type="gramEnd"/>
      <w:r w:rsidR="003202EE">
        <w:rPr>
          <w:rFonts w:ascii="Times New Roman" w:hAnsi="Times New Roman"/>
        </w:rPr>
        <w:t xml:space="preserve"> respectivamente efeitos-fixos de período e </w:t>
      </w:r>
      <w:r w:rsidR="003202EE">
        <w:rPr>
          <w:rFonts w:ascii="Times New Roman" w:hAnsi="Times New Roman"/>
        </w:rPr>
        <w:lastRenderedPageBreak/>
        <w:t xml:space="preserve">de município e permitem controlar para variações comuns a todos os municípios e para variáveis não observáveis fixas no tempo. Por fim, </w:t>
      </w:r>
      <w:r w:rsidR="003202EE" w:rsidRPr="008F6792">
        <w:rPr>
          <w:rFonts w:ascii="Symbol" w:hAnsi="Symbol"/>
        </w:rPr>
        <w:t></w:t>
      </w:r>
      <w:proofErr w:type="spellStart"/>
      <w:proofErr w:type="gramStart"/>
      <w:r w:rsidR="003202EE" w:rsidRPr="008F6792">
        <w:rPr>
          <w:rFonts w:ascii="Times New Roman" w:hAnsi="Times New Roman"/>
          <w:vertAlign w:val="subscript"/>
        </w:rPr>
        <w:t>mt</w:t>
      </w:r>
      <w:proofErr w:type="spellEnd"/>
      <w:proofErr w:type="gramEnd"/>
      <w:r w:rsidR="003202EE">
        <w:rPr>
          <w:rFonts w:ascii="Times New Roman" w:hAnsi="Times New Roman"/>
        </w:rPr>
        <w:t xml:space="preserve"> é termo de erro do modelo.</w:t>
      </w:r>
    </w:p>
    <w:p w:rsidR="00403E82" w:rsidRDefault="00403E82" w:rsidP="00514949">
      <w:pPr>
        <w:pStyle w:val="BNDES"/>
        <w:spacing w:after="120"/>
        <w:rPr>
          <w:rFonts w:ascii="Times New Roman" w:hAnsi="Times New Roman"/>
        </w:rPr>
      </w:pPr>
    </w:p>
    <w:p w:rsidR="008245B9" w:rsidRPr="007A6578" w:rsidRDefault="008245B9" w:rsidP="00514949">
      <w:pPr>
        <w:pStyle w:val="BNDES"/>
        <w:numPr>
          <w:ilvl w:val="0"/>
          <w:numId w:val="1"/>
        </w:numPr>
        <w:spacing w:after="120"/>
        <w:ind w:left="284" w:hanging="284"/>
        <w:rPr>
          <w:rFonts w:ascii="Times New Roman" w:hAnsi="Times New Roman"/>
          <w:b/>
        </w:rPr>
      </w:pPr>
      <w:r w:rsidRPr="007A6578">
        <w:rPr>
          <w:rFonts w:ascii="Times New Roman" w:hAnsi="Times New Roman"/>
          <w:b/>
        </w:rPr>
        <w:t>Resultados</w:t>
      </w:r>
    </w:p>
    <w:p w:rsidR="000E5ED9" w:rsidRDefault="000E5ED9" w:rsidP="00514949">
      <w:pPr>
        <w:pStyle w:val="BNDES"/>
        <w:spacing w:after="120"/>
        <w:rPr>
          <w:rFonts w:ascii="Times New Roman" w:hAnsi="Times New Roman"/>
        </w:rPr>
      </w:pPr>
      <w:r>
        <w:rPr>
          <w:rFonts w:ascii="Times New Roman" w:hAnsi="Times New Roman"/>
        </w:rPr>
        <w:t xml:space="preserve">A fim de controlar para variáveis observáveis que podem definir o status de tratamento, foi realizado </w:t>
      </w:r>
      <w:r w:rsidRPr="00A054C2">
        <w:rPr>
          <w:rFonts w:ascii="Times New Roman" w:hAnsi="Times New Roman"/>
        </w:rPr>
        <w:t>um</w:t>
      </w:r>
      <w:r w:rsidRPr="00A054C2">
        <w:rPr>
          <w:rFonts w:ascii="Times New Roman" w:hAnsi="Times New Roman"/>
          <w:i/>
        </w:rPr>
        <w:t xml:space="preserve"> </w:t>
      </w:r>
      <w:proofErr w:type="spellStart"/>
      <w:r w:rsidRPr="00A054C2">
        <w:rPr>
          <w:rFonts w:ascii="Times New Roman" w:hAnsi="Times New Roman"/>
          <w:i/>
        </w:rPr>
        <w:t>Propensity</w:t>
      </w:r>
      <w:proofErr w:type="spellEnd"/>
      <w:r w:rsidRPr="00A054C2">
        <w:rPr>
          <w:rFonts w:ascii="Times New Roman" w:hAnsi="Times New Roman"/>
          <w:i/>
        </w:rPr>
        <w:t xml:space="preserve"> Score </w:t>
      </w:r>
      <w:proofErr w:type="spellStart"/>
      <w:r w:rsidRPr="00A054C2">
        <w:rPr>
          <w:rFonts w:ascii="Times New Roman" w:hAnsi="Times New Roman"/>
          <w:i/>
        </w:rPr>
        <w:t>Matching</w:t>
      </w:r>
      <w:proofErr w:type="spellEnd"/>
      <w:r>
        <w:rPr>
          <w:rFonts w:ascii="Times New Roman" w:hAnsi="Times New Roman"/>
        </w:rPr>
        <w:t>, com variáveis municipais para os anos de 2005 a 2008, antes, portanto, do período de análise. As variáveis utilizadas para o pareamento foram: renda per capita (em logaritmo natural); taxa de mães que fizeram acompanhamento pré-natal;</w:t>
      </w:r>
      <w:r w:rsidR="00FD5F2B">
        <w:rPr>
          <w:rFonts w:ascii="Times New Roman" w:hAnsi="Times New Roman"/>
        </w:rPr>
        <w:t xml:space="preserve"> número de centros de atenção à saúde da família; densidade demográfica; transferências correntes para o município; população; despesas com saneamento e despesas com saúde. </w:t>
      </w:r>
    </w:p>
    <w:p w:rsidR="00FD5F2B" w:rsidRDefault="00FD5F2B" w:rsidP="00514949">
      <w:pPr>
        <w:pStyle w:val="BNDES"/>
        <w:spacing w:after="120"/>
        <w:rPr>
          <w:rFonts w:ascii="Times New Roman" w:hAnsi="Times New Roman"/>
        </w:rPr>
      </w:pPr>
      <w:r>
        <w:rPr>
          <w:rFonts w:ascii="Times New Roman" w:hAnsi="Times New Roman"/>
        </w:rPr>
        <w:t xml:space="preserve">A Figura </w:t>
      </w:r>
      <w:r w:rsidR="00403E82">
        <w:rPr>
          <w:rFonts w:ascii="Times New Roman" w:hAnsi="Times New Roman"/>
        </w:rPr>
        <w:t>4</w:t>
      </w:r>
      <w:r>
        <w:rPr>
          <w:rFonts w:ascii="Times New Roman" w:hAnsi="Times New Roman"/>
        </w:rPr>
        <w:t xml:space="preserve"> apresenta o resultado do </w:t>
      </w:r>
      <w:proofErr w:type="spellStart"/>
      <w:r w:rsidRPr="00A054C2">
        <w:rPr>
          <w:rFonts w:ascii="Times New Roman" w:hAnsi="Times New Roman"/>
          <w:i/>
        </w:rPr>
        <w:t>matching</w:t>
      </w:r>
      <w:proofErr w:type="spellEnd"/>
      <w:r>
        <w:rPr>
          <w:rFonts w:ascii="Times New Roman" w:hAnsi="Times New Roman"/>
        </w:rPr>
        <w:t xml:space="preserve"> antes e depois do pareamento. Como se observa, </w:t>
      </w:r>
      <w:r w:rsidR="00A054C2">
        <w:rPr>
          <w:rFonts w:ascii="Times New Roman" w:hAnsi="Times New Roman"/>
        </w:rPr>
        <w:t>o pareamento permite a formação de um grupo de controle mais similar ao grupo de municípios tratados, ao menos no que concerne um vetor de variáveis observáveis pré-tratamento.</w:t>
      </w:r>
      <w:r>
        <w:rPr>
          <w:rFonts w:ascii="Times New Roman" w:hAnsi="Times New Roman"/>
        </w:rPr>
        <w:t xml:space="preserve"> </w:t>
      </w:r>
    </w:p>
    <w:p w:rsidR="000A4E38" w:rsidRDefault="000A4E38" w:rsidP="00514949">
      <w:pPr>
        <w:pStyle w:val="BNDES"/>
        <w:spacing w:after="120"/>
        <w:rPr>
          <w:rFonts w:ascii="Times New Roman" w:hAnsi="Times New Roman"/>
        </w:rPr>
      </w:pPr>
    </w:p>
    <w:p w:rsidR="000E5ED9" w:rsidRPr="000A4E38" w:rsidRDefault="000E5ED9" w:rsidP="00514949">
      <w:pPr>
        <w:pStyle w:val="BNDES"/>
        <w:keepNext/>
        <w:spacing w:after="120"/>
        <w:jc w:val="center"/>
        <w:rPr>
          <w:rFonts w:ascii="Times New Roman" w:hAnsi="Times New Roman"/>
        </w:rPr>
      </w:pPr>
      <w:r w:rsidRPr="000A4E38">
        <w:rPr>
          <w:rFonts w:ascii="Times New Roman" w:hAnsi="Times New Roman"/>
        </w:rPr>
        <w:t xml:space="preserve">Figura </w:t>
      </w:r>
      <w:r w:rsidR="00403E82">
        <w:rPr>
          <w:rFonts w:ascii="Times New Roman" w:hAnsi="Times New Roman"/>
        </w:rPr>
        <w:t>4</w:t>
      </w:r>
      <w:r w:rsidRPr="000A4E38">
        <w:rPr>
          <w:rFonts w:ascii="Times New Roman" w:hAnsi="Times New Roman"/>
        </w:rPr>
        <w:t xml:space="preserve">: </w:t>
      </w:r>
      <w:proofErr w:type="spellStart"/>
      <w:r w:rsidRPr="000A4E38">
        <w:rPr>
          <w:rFonts w:ascii="Times New Roman" w:hAnsi="Times New Roman"/>
          <w:i/>
        </w:rPr>
        <w:t>Propensity</w:t>
      </w:r>
      <w:proofErr w:type="spellEnd"/>
      <w:r w:rsidRPr="000A4E38">
        <w:rPr>
          <w:rFonts w:ascii="Times New Roman" w:hAnsi="Times New Roman"/>
          <w:i/>
        </w:rPr>
        <w:t xml:space="preserve"> Score </w:t>
      </w:r>
      <w:proofErr w:type="spellStart"/>
      <w:r w:rsidRPr="000A4E38">
        <w:rPr>
          <w:rFonts w:ascii="Times New Roman" w:hAnsi="Times New Roman"/>
          <w:i/>
        </w:rPr>
        <w:t>Matching</w:t>
      </w:r>
      <w:proofErr w:type="spellEnd"/>
      <w:r w:rsidRPr="000A4E38">
        <w:rPr>
          <w:rFonts w:ascii="Times New Roman" w:hAnsi="Times New Roman"/>
        </w:rPr>
        <w:t xml:space="preserve">, antes e depois do </w:t>
      </w:r>
      <w:proofErr w:type="gramStart"/>
      <w:r w:rsidR="00403E82">
        <w:rPr>
          <w:rFonts w:ascii="Times New Roman" w:hAnsi="Times New Roman"/>
        </w:rPr>
        <w:t>P</w:t>
      </w:r>
      <w:r w:rsidRPr="000A4E38">
        <w:rPr>
          <w:rFonts w:ascii="Times New Roman" w:hAnsi="Times New Roman"/>
        </w:rPr>
        <w:t>areamento</w:t>
      </w:r>
      <w:proofErr w:type="gramEnd"/>
    </w:p>
    <w:p w:rsidR="00D71082" w:rsidRDefault="00FD5F2B" w:rsidP="00514949">
      <w:pPr>
        <w:pStyle w:val="BNDES"/>
        <w:spacing w:after="120"/>
        <w:jc w:val="center"/>
        <w:rPr>
          <w:rFonts w:ascii="Times New Roman" w:hAnsi="Times New Roman"/>
          <w:sz w:val="22"/>
          <w:szCs w:val="22"/>
        </w:rPr>
      </w:pPr>
      <w:r>
        <w:rPr>
          <w:rFonts w:ascii="Times New Roman" w:hAnsi="Times New Roman"/>
          <w:noProof/>
        </w:rPr>
        <w:drawing>
          <wp:inline distT="0" distB="0" distL="0" distR="0" wp14:anchorId="30395E51" wp14:editId="23E40B24">
            <wp:extent cx="4892400" cy="3553200"/>
            <wp:effectExtent l="0" t="0" r="3810" b="9525"/>
            <wp:docPr id="7" name="Imagem 7" descr="D:\Avaliação de impacto\Saneamento\Texto_Anpe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valiação de impacto\Saneamento\Texto_Anpec\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400" cy="3553200"/>
                    </a:xfrm>
                    <a:prstGeom prst="rect">
                      <a:avLst/>
                    </a:prstGeom>
                    <a:noFill/>
                    <a:ln>
                      <a:noFill/>
                    </a:ln>
                  </pic:spPr>
                </pic:pic>
              </a:graphicData>
            </a:graphic>
          </wp:inline>
        </w:drawing>
      </w:r>
    </w:p>
    <w:p w:rsidR="000E5ED9" w:rsidRPr="00581F8C" w:rsidRDefault="000E5ED9" w:rsidP="000A4E38">
      <w:pPr>
        <w:pStyle w:val="BNDES"/>
        <w:spacing w:after="120"/>
        <w:jc w:val="center"/>
        <w:rPr>
          <w:rFonts w:ascii="Times New Roman" w:hAnsi="Times New Roman"/>
          <w:sz w:val="20"/>
          <w:szCs w:val="20"/>
        </w:rPr>
      </w:pPr>
      <w:r w:rsidRPr="00581F8C">
        <w:rPr>
          <w:rFonts w:ascii="Times New Roman" w:hAnsi="Times New Roman"/>
          <w:sz w:val="20"/>
          <w:szCs w:val="20"/>
        </w:rPr>
        <w:t>Fonte: elaboração própria</w:t>
      </w:r>
    </w:p>
    <w:p w:rsidR="000E5ED9" w:rsidRDefault="000E5ED9" w:rsidP="00514949">
      <w:pPr>
        <w:pStyle w:val="BNDES"/>
        <w:spacing w:after="120"/>
        <w:rPr>
          <w:rFonts w:ascii="Times New Roman" w:hAnsi="Times New Roman"/>
        </w:rPr>
      </w:pPr>
    </w:p>
    <w:p w:rsidR="00D71082" w:rsidRDefault="00D71082" w:rsidP="00514949">
      <w:pPr>
        <w:pStyle w:val="BNDES"/>
        <w:spacing w:after="120"/>
        <w:rPr>
          <w:rFonts w:ascii="Times New Roman" w:hAnsi="Times New Roman"/>
        </w:rPr>
      </w:pPr>
      <w:r>
        <w:rPr>
          <w:rFonts w:ascii="Times New Roman" w:hAnsi="Times New Roman"/>
        </w:rPr>
        <w:t xml:space="preserve">De fato, o viés médio reduz de 13,1 antes do pareamento para 1,9, pós-pareamento. A Figura </w:t>
      </w:r>
      <w:r w:rsidR="00403E82">
        <w:rPr>
          <w:rFonts w:ascii="Times New Roman" w:hAnsi="Times New Roman"/>
        </w:rPr>
        <w:t>4</w:t>
      </w:r>
      <w:r>
        <w:rPr>
          <w:rFonts w:ascii="Times New Roman" w:hAnsi="Times New Roman"/>
        </w:rPr>
        <w:t xml:space="preserve"> apresenta a distribuição do viés, por variável utilizada no </w:t>
      </w:r>
      <w:proofErr w:type="spellStart"/>
      <w:r w:rsidRPr="00D71082">
        <w:rPr>
          <w:rFonts w:ascii="Times New Roman" w:hAnsi="Times New Roman"/>
          <w:i/>
        </w:rPr>
        <w:t>matching</w:t>
      </w:r>
      <w:proofErr w:type="spellEnd"/>
      <w:r>
        <w:rPr>
          <w:rFonts w:ascii="Times New Roman" w:hAnsi="Times New Roman"/>
        </w:rPr>
        <w:t>.</w:t>
      </w:r>
    </w:p>
    <w:p w:rsidR="00796401" w:rsidRDefault="00796401" w:rsidP="00514949">
      <w:pPr>
        <w:pStyle w:val="BNDES"/>
        <w:spacing w:after="120"/>
        <w:rPr>
          <w:rFonts w:ascii="Times New Roman" w:hAnsi="Times New Roman"/>
        </w:rPr>
      </w:pPr>
    </w:p>
    <w:p w:rsidR="00D71082" w:rsidRPr="000A4E38" w:rsidRDefault="00D71082" w:rsidP="00514949">
      <w:pPr>
        <w:pStyle w:val="BNDES"/>
        <w:keepNext/>
        <w:spacing w:after="120"/>
        <w:jc w:val="center"/>
        <w:rPr>
          <w:rFonts w:ascii="Times New Roman" w:hAnsi="Times New Roman"/>
        </w:rPr>
      </w:pPr>
      <w:r w:rsidRPr="000A4E38">
        <w:rPr>
          <w:rFonts w:ascii="Times New Roman" w:hAnsi="Times New Roman"/>
        </w:rPr>
        <w:lastRenderedPageBreak/>
        <w:t xml:space="preserve">Figura </w:t>
      </w:r>
      <w:r w:rsidR="00403E82">
        <w:rPr>
          <w:rFonts w:ascii="Times New Roman" w:hAnsi="Times New Roman"/>
        </w:rPr>
        <w:t>4</w:t>
      </w:r>
      <w:r w:rsidRPr="000A4E38">
        <w:rPr>
          <w:rFonts w:ascii="Times New Roman" w:hAnsi="Times New Roman"/>
        </w:rPr>
        <w:t xml:space="preserve">: </w:t>
      </w:r>
      <w:proofErr w:type="spellStart"/>
      <w:r w:rsidRPr="000A4E38">
        <w:rPr>
          <w:rFonts w:ascii="Times New Roman" w:hAnsi="Times New Roman"/>
          <w:i/>
        </w:rPr>
        <w:t>Propensity</w:t>
      </w:r>
      <w:proofErr w:type="spellEnd"/>
      <w:r w:rsidRPr="000A4E38">
        <w:rPr>
          <w:rFonts w:ascii="Times New Roman" w:hAnsi="Times New Roman"/>
          <w:i/>
        </w:rPr>
        <w:t xml:space="preserve"> Score </w:t>
      </w:r>
      <w:proofErr w:type="spellStart"/>
      <w:r w:rsidRPr="000A4E38">
        <w:rPr>
          <w:rFonts w:ascii="Times New Roman" w:hAnsi="Times New Roman"/>
          <w:i/>
        </w:rPr>
        <w:t>Matching</w:t>
      </w:r>
      <w:proofErr w:type="spellEnd"/>
      <w:r w:rsidRPr="000A4E38">
        <w:rPr>
          <w:rFonts w:ascii="Times New Roman" w:hAnsi="Times New Roman"/>
        </w:rPr>
        <w:t xml:space="preserve">: </w:t>
      </w:r>
      <w:r w:rsidR="00403E82">
        <w:rPr>
          <w:rFonts w:ascii="Times New Roman" w:hAnsi="Times New Roman"/>
        </w:rPr>
        <w:t>V</w:t>
      </w:r>
      <w:r w:rsidRPr="000A4E38">
        <w:rPr>
          <w:rFonts w:ascii="Times New Roman" w:hAnsi="Times New Roman"/>
        </w:rPr>
        <w:t xml:space="preserve">iés </w:t>
      </w:r>
      <w:r w:rsidR="00403E82">
        <w:rPr>
          <w:rFonts w:ascii="Times New Roman" w:hAnsi="Times New Roman"/>
        </w:rPr>
        <w:t>P</w:t>
      </w:r>
      <w:r w:rsidRPr="000A4E38">
        <w:rPr>
          <w:rFonts w:ascii="Times New Roman" w:hAnsi="Times New Roman"/>
        </w:rPr>
        <w:t xml:space="preserve">adronizado antes e depois do </w:t>
      </w:r>
      <w:r w:rsidR="00403E82">
        <w:rPr>
          <w:rFonts w:ascii="Times New Roman" w:hAnsi="Times New Roman"/>
        </w:rPr>
        <w:t>P</w:t>
      </w:r>
      <w:r w:rsidRPr="000A4E38">
        <w:rPr>
          <w:rFonts w:ascii="Times New Roman" w:hAnsi="Times New Roman"/>
        </w:rPr>
        <w:t>areamento</w:t>
      </w:r>
    </w:p>
    <w:p w:rsidR="00D71082" w:rsidRPr="00E71591" w:rsidRDefault="00D71082" w:rsidP="00514949">
      <w:pPr>
        <w:pStyle w:val="BNDES"/>
        <w:keepNext/>
        <w:spacing w:after="120"/>
        <w:jc w:val="center"/>
        <w:rPr>
          <w:rFonts w:ascii="Times New Roman" w:hAnsi="Times New Roman"/>
          <w:u w:val="single"/>
        </w:rPr>
      </w:pPr>
      <w:r>
        <w:rPr>
          <w:rFonts w:ascii="Times New Roman" w:hAnsi="Times New Roman"/>
          <w:noProof/>
          <w:u w:val="single"/>
        </w:rPr>
        <w:drawing>
          <wp:inline distT="0" distB="0" distL="0" distR="0" wp14:anchorId="7E8C2304" wp14:editId="61284078">
            <wp:extent cx="4564800" cy="3315600"/>
            <wp:effectExtent l="0" t="0" r="7620" b="0"/>
            <wp:docPr id="9" name="Imagem 9" descr="D:\Avaliação de impacto\Saneamento\Texto_Anpec\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valiação de impacto\Saneamento\Texto_Anpec\Graph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800" cy="3315600"/>
                    </a:xfrm>
                    <a:prstGeom prst="rect">
                      <a:avLst/>
                    </a:prstGeom>
                    <a:noFill/>
                    <a:ln>
                      <a:noFill/>
                    </a:ln>
                  </pic:spPr>
                </pic:pic>
              </a:graphicData>
            </a:graphic>
          </wp:inline>
        </w:drawing>
      </w:r>
    </w:p>
    <w:p w:rsidR="00D71082" w:rsidRPr="00581F8C" w:rsidRDefault="00D71082" w:rsidP="000A4E38">
      <w:pPr>
        <w:pStyle w:val="BNDES"/>
        <w:spacing w:after="120"/>
        <w:jc w:val="center"/>
        <w:rPr>
          <w:rFonts w:ascii="Times New Roman" w:hAnsi="Times New Roman"/>
          <w:sz w:val="20"/>
          <w:szCs w:val="20"/>
        </w:rPr>
      </w:pPr>
      <w:r w:rsidRPr="00581F8C">
        <w:rPr>
          <w:rFonts w:ascii="Times New Roman" w:hAnsi="Times New Roman"/>
          <w:sz w:val="20"/>
          <w:szCs w:val="20"/>
        </w:rPr>
        <w:t>Fonte: elaboração própria</w:t>
      </w:r>
    </w:p>
    <w:p w:rsidR="000A4E38" w:rsidRDefault="000A4E38" w:rsidP="00514949">
      <w:pPr>
        <w:pStyle w:val="BNDES"/>
        <w:spacing w:after="120"/>
        <w:rPr>
          <w:rFonts w:ascii="Times New Roman" w:hAnsi="Times New Roman"/>
        </w:rPr>
      </w:pPr>
    </w:p>
    <w:p w:rsidR="007A6578" w:rsidRDefault="00A65891" w:rsidP="00514949">
      <w:pPr>
        <w:pStyle w:val="BNDES"/>
        <w:spacing w:after="120"/>
        <w:rPr>
          <w:rFonts w:ascii="Times New Roman" w:hAnsi="Times New Roman"/>
        </w:rPr>
      </w:pPr>
      <w:r>
        <w:rPr>
          <w:rFonts w:ascii="Times New Roman" w:hAnsi="Times New Roman"/>
        </w:rPr>
        <w:t xml:space="preserve">A Figura </w:t>
      </w:r>
      <w:r w:rsidR="00403E82">
        <w:rPr>
          <w:rFonts w:ascii="Times New Roman" w:hAnsi="Times New Roman"/>
        </w:rPr>
        <w:t>5</w:t>
      </w:r>
      <w:r>
        <w:rPr>
          <w:rFonts w:ascii="Times New Roman" w:hAnsi="Times New Roman"/>
        </w:rPr>
        <w:t xml:space="preserve"> apresenta a evolução das taxas de mortalidade infantil entre municípios tratados e não tratados</w:t>
      </w:r>
      <w:r w:rsidR="007A6578">
        <w:rPr>
          <w:rFonts w:ascii="Times New Roman" w:hAnsi="Times New Roman"/>
        </w:rPr>
        <w:t xml:space="preserve">. Pode-se observar uma tendência comum e declinante na taxa de mortalidade infantil entre os grupos de tratados e controle até o ano de 2012. A partir de </w:t>
      </w:r>
      <w:r w:rsidR="00293270">
        <w:rPr>
          <w:rFonts w:ascii="Times New Roman" w:hAnsi="Times New Roman"/>
        </w:rPr>
        <w:t>então</w:t>
      </w:r>
      <w:r w:rsidR="007A6578">
        <w:rPr>
          <w:rFonts w:ascii="Times New Roman" w:hAnsi="Times New Roman"/>
        </w:rPr>
        <w:t>, há uma diferenciação nas taxas</w:t>
      </w:r>
      <w:r w:rsidR="00293270">
        <w:rPr>
          <w:rFonts w:ascii="Times New Roman" w:hAnsi="Times New Roman"/>
        </w:rPr>
        <w:t xml:space="preserve"> de mortalidade entre os grupos</w:t>
      </w:r>
      <w:r w:rsidR="007A6578">
        <w:rPr>
          <w:rFonts w:ascii="Times New Roman" w:hAnsi="Times New Roman"/>
        </w:rPr>
        <w:t>.</w:t>
      </w:r>
    </w:p>
    <w:p w:rsidR="000A4E38" w:rsidRDefault="000A4E38" w:rsidP="00514949">
      <w:pPr>
        <w:pStyle w:val="BNDES"/>
        <w:spacing w:after="120"/>
        <w:rPr>
          <w:rFonts w:ascii="Times New Roman" w:hAnsi="Times New Roman"/>
        </w:rPr>
      </w:pPr>
    </w:p>
    <w:p w:rsidR="007A6578" w:rsidRPr="000A4E38" w:rsidRDefault="007A6578" w:rsidP="00514949">
      <w:pPr>
        <w:pStyle w:val="BNDES"/>
        <w:keepNext/>
        <w:spacing w:after="120"/>
        <w:jc w:val="center"/>
        <w:rPr>
          <w:rFonts w:ascii="Times New Roman" w:hAnsi="Times New Roman"/>
        </w:rPr>
      </w:pPr>
      <w:r w:rsidRPr="000A4E38">
        <w:rPr>
          <w:rFonts w:ascii="Times New Roman" w:hAnsi="Times New Roman"/>
        </w:rPr>
        <w:t xml:space="preserve">Figura </w:t>
      </w:r>
      <w:r w:rsidR="00403E82">
        <w:rPr>
          <w:rFonts w:ascii="Times New Roman" w:hAnsi="Times New Roman"/>
        </w:rPr>
        <w:t>5</w:t>
      </w:r>
      <w:r w:rsidRPr="000A4E38">
        <w:rPr>
          <w:rFonts w:ascii="Times New Roman" w:hAnsi="Times New Roman"/>
        </w:rPr>
        <w:t xml:space="preserve"> – Taxa de Mortalidade Infantil</w:t>
      </w:r>
      <w:r w:rsidR="000E5ED9" w:rsidRPr="000A4E38">
        <w:rPr>
          <w:rFonts w:ascii="Times New Roman" w:hAnsi="Times New Roman"/>
        </w:rPr>
        <w:t xml:space="preserve"> (por 1.000 </w:t>
      </w:r>
      <w:r w:rsidR="00403E82">
        <w:rPr>
          <w:rFonts w:ascii="Times New Roman" w:hAnsi="Times New Roman"/>
        </w:rPr>
        <w:t>N</w:t>
      </w:r>
      <w:r w:rsidR="000E5ED9" w:rsidRPr="000A4E38">
        <w:rPr>
          <w:rFonts w:ascii="Times New Roman" w:hAnsi="Times New Roman"/>
        </w:rPr>
        <w:t>ascidos) entre 2009</w:t>
      </w:r>
      <w:r w:rsidRPr="000A4E38">
        <w:rPr>
          <w:rFonts w:ascii="Times New Roman" w:hAnsi="Times New Roman"/>
        </w:rPr>
        <w:t xml:space="preserve"> e 201</w:t>
      </w:r>
      <w:r w:rsidR="000E5ED9" w:rsidRPr="000A4E38">
        <w:rPr>
          <w:rFonts w:ascii="Times New Roman" w:hAnsi="Times New Roman"/>
        </w:rPr>
        <w:t>4</w:t>
      </w:r>
    </w:p>
    <w:p w:rsidR="00A65891" w:rsidRDefault="000E5ED9" w:rsidP="00514949">
      <w:pPr>
        <w:pStyle w:val="BNDES"/>
        <w:spacing w:after="120"/>
        <w:jc w:val="center"/>
        <w:rPr>
          <w:rFonts w:ascii="Times New Roman" w:hAnsi="Times New Roman"/>
        </w:rPr>
      </w:pPr>
      <w:r>
        <w:rPr>
          <w:rFonts w:ascii="Times New Roman" w:hAnsi="Times New Roman"/>
          <w:noProof/>
        </w:rPr>
        <w:drawing>
          <wp:inline distT="0" distB="0" distL="0" distR="0" wp14:anchorId="603E2AB6" wp14:editId="4BF97044">
            <wp:extent cx="4564800" cy="3315600"/>
            <wp:effectExtent l="0" t="0" r="7620" b="0"/>
            <wp:docPr id="6" name="Imagem 6" descr="D:\Avaliação de impacto\Saneamento\Texto_Anpec\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valiação de impacto\Saneamento\Texto_Anpec\Graph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800" cy="3315600"/>
                    </a:xfrm>
                    <a:prstGeom prst="rect">
                      <a:avLst/>
                    </a:prstGeom>
                    <a:noFill/>
                    <a:ln>
                      <a:noFill/>
                    </a:ln>
                  </pic:spPr>
                </pic:pic>
              </a:graphicData>
            </a:graphic>
          </wp:inline>
        </w:drawing>
      </w:r>
    </w:p>
    <w:p w:rsidR="007A6578" w:rsidRPr="00581F8C" w:rsidRDefault="007A6578" w:rsidP="000A4E38">
      <w:pPr>
        <w:pStyle w:val="BNDES"/>
        <w:spacing w:after="120"/>
        <w:jc w:val="center"/>
        <w:rPr>
          <w:rFonts w:ascii="Times New Roman" w:hAnsi="Times New Roman"/>
          <w:sz w:val="20"/>
          <w:szCs w:val="20"/>
        </w:rPr>
      </w:pPr>
      <w:r w:rsidRPr="00581F8C">
        <w:rPr>
          <w:rFonts w:ascii="Times New Roman" w:hAnsi="Times New Roman"/>
          <w:sz w:val="20"/>
          <w:szCs w:val="20"/>
        </w:rPr>
        <w:t>Fonte: elaboração própria a partir de dados do DATASUS</w:t>
      </w:r>
    </w:p>
    <w:p w:rsidR="00A94F54" w:rsidRDefault="007A6578" w:rsidP="00514949">
      <w:pPr>
        <w:pStyle w:val="BNDES"/>
        <w:spacing w:after="120"/>
        <w:rPr>
          <w:rFonts w:ascii="Times New Roman" w:hAnsi="Times New Roman"/>
        </w:rPr>
      </w:pPr>
      <w:r>
        <w:rPr>
          <w:rFonts w:ascii="Times New Roman" w:hAnsi="Times New Roman"/>
        </w:rPr>
        <w:lastRenderedPageBreak/>
        <w:t xml:space="preserve">Embora essa não seja a fonte de variação utilizada para a identificação, uma vez que são utilizados dados anuais por município, </w:t>
      </w:r>
      <w:proofErr w:type="gramStart"/>
      <w:r>
        <w:rPr>
          <w:rFonts w:ascii="Times New Roman" w:hAnsi="Times New Roman"/>
        </w:rPr>
        <w:t>a</w:t>
      </w:r>
      <w:proofErr w:type="gramEnd"/>
      <w:r>
        <w:rPr>
          <w:rFonts w:ascii="Times New Roman" w:hAnsi="Times New Roman"/>
        </w:rPr>
        <w:t xml:space="preserve"> análise da Figura 1 permite atestar a ocorrência de tendências paralelas entre grupos de tratamento e controle antes dos efeitos da maturação dos investimentos em esgoto.</w:t>
      </w:r>
    </w:p>
    <w:p w:rsidR="00C153CD" w:rsidRDefault="000E3128" w:rsidP="00514949">
      <w:pPr>
        <w:pStyle w:val="BNDES"/>
        <w:spacing w:after="120"/>
        <w:rPr>
          <w:rFonts w:ascii="Times New Roman" w:hAnsi="Times New Roman"/>
        </w:rPr>
      </w:pPr>
      <w:r w:rsidRPr="00492F3C">
        <w:rPr>
          <w:rFonts w:ascii="Times New Roman" w:hAnsi="Times New Roman"/>
        </w:rPr>
        <w:t>A T</w:t>
      </w:r>
      <w:r w:rsidR="008F6792" w:rsidRPr="00492F3C">
        <w:rPr>
          <w:rFonts w:ascii="Times New Roman" w:hAnsi="Times New Roman"/>
        </w:rPr>
        <w:t xml:space="preserve">abela </w:t>
      </w:r>
      <w:r w:rsidR="00403E82">
        <w:rPr>
          <w:rFonts w:ascii="Times New Roman" w:hAnsi="Times New Roman"/>
        </w:rPr>
        <w:t>5</w:t>
      </w:r>
      <w:r w:rsidR="008F6792" w:rsidRPr="00492F3C">
        <w:rPr>
          <w:rFonts w:ascii="Times New Roman" w:hAnsi="Times New Roman"/>
        </w:rPr>
        <w:t xml:space="preserve"> </w:t>
      </w:r>
      <w:r w:rsidR="00E62B9D" w:rsidRPr="00492F3C">
        <w:rPr>
          <w:rFonts w:ascii="Times New Roman" w:hAnsi="Times New Roman"/>
        </w:rPr>
        <w:t>apresenta os principais resultados desse artigo. Na Coluna (1)</w:t>
      </w:r>
      <w:r w:rsidR="00E046E6" w:rsidRPr="00492F3C">
        <w:rPr>
          <w:rFonts w:ascii="Times New Roman" w:hAnsi="Times New Roman"/>
        </w:rPr>
        <w:t>, são apresentados os resultados</w:t>
      </w:r>
      <w:r w:rsidR="00E046E6">
        <w:rPr>
          <w:rFonts w:ascii="Times New Roman" w:hAnsi="Times New Roman"/>
        </w:rPr>
        <w:t xml:space="preserve"> sem a inclusão de covariadas, porém com efeitos fixos de ano e de município. Com isso, controla-se para variáveis não observáveis fixas no tempo, bem como </w:t>
      </w:r>
      <w:r w:rsidR="00512DEE">
        <w:rPr>
          <w:rFonts w:ascii="Times New Roman" w:hAnsi="Times New Roman"/>
        </w:rPr>
        <w:t>variações anuais comuns a todos os municípios. O coeficiente de interesse tem significância estatística a 5% e representa, respectivamente, 6</w:t>
      </w:r>
      <w:r w:rsidR="000C7148">
        <w:rPr>
          <w:rFonts w:ascii="Times New Roman" w:hAnsi="Times New Roman"/>
        </w:rPr>
        <w:t>,</w:t>
      </w:r>
      <w:r w:rsidR="00512DEE">
        <w:rPr>
          <w:rFonts w:ascii="Times New Roman" w:hAnsi="Times New Roman"/>
        </w:rPr>
        <w:t>4% e 6</w:t>
      </w:r>
      <w:r w:rsidR="000C7148">
        <w:rPr>
          <w:rFonts w:ascii="Times New Roman" w:hAnsi="Times New Roman"/>
        </w:rPr>
        <w:t>,</w:t>
      </w:r>
      <w:r w:rsidR="00512DEE">
        <w:rPr>
          <w:rFonts w:ascii="Times New Roman" w:hAnsi="Times New Roman"/>
        </w:rPr>
        <w:t>3% da média e desvio-padrão da variável dependente. Basicamente, os municípios tratados lograram reduzir uma morte a cada mil nascidos por ano.</w:t>
      </w:r>
      <w:r w:rsidR="00444B01">
        <w:rPr>
          <w:rFonts w:ascii="Times New Roman" w:hAnsi="Times New Roman"/>
        </w:rPr>
        <w:t xml:space="preserve"> Na Coluna (2), são adicionados controles relativos ao nível de desenvolvimento do município, mensurado pelo logaritmo natural do PIB per capita, e </w:t>
      </w:r>
      <w:r w:rsidR="00267E97">
        <w:rPr>
          <w:rFonts w:ascii="Times New Roman" w:hAnsi="Times New Roman"/>
        </w:rPr>
        <w:t xml:space="preserve">de economias de escala na construção da rede de esgoto, mensurada pela variável densidade demográfica. </w:t>
      </w:r>
    </w:p>
    <w:p w:rsidR="008F6792" w:rsidRDefault="00267E97" w:rsidP="00514949">
      <w:pPr>
        <w:pStyle w:val="BNDES"/>
        <w:spacing w:after="120"/>
        <w:rPr>
          <w:rFonts w:ascii="Times New Roman" w:hAnsi="Times New Roman"/>
        </w:rPr>
      </w:pPr>
      <w:r>
        <w:rPr>
          <w:rFonts w:ascii="Times New Roman" w:hAnsi="Times New Roman"/>
        </w:rPr>
        <w:t>Nas Colunas (3) e (4), são acrescentadas duas variáveis relativas à oferta de serviços de saúde no município</w:t>
      </w:r>
      <w:r w:rsidR="00D60432">
        <w:rPr>
          <w:rFonts w:ascii="Times New Roman" w:hAnsi="Times New Roman"/>
        </w:rPr>
        <w:t>.</w:t>
      </w:r>
      <w:r>
        <w:rPr>
          <w:rFonts w:ascii="Times New Roman" w:hAnsi="Times New Roman"/>
        </w:rPr>
        <w:t xml:space="preserve"> </w:t>
      </w:r>
      <w:proofErr w:type="gramStart"/>
      <w:r w:rsidR="00D60432">
        <w:rPr>
          <w:rFonts w:ascii="Times New Roman" w:hAnsi="Times New Roman"/>
        </w:rPr>
        <w:t>A</w:t>
      </w:r>
      <w:r>
        <w:rPr>
          <w:rFonts w:ascii="Times New Roman" w:hAnsi="Times New Roman"/>
        </w:rPr>
        <w:t xml:space="preserve"> variável Centro</w:t>
      </w:r>
      <w:proofErr w:type="gramEnd"/>
      <w:r>
        <w:rPr>
          <w:rFonts w:ascii="Times New Roman" w:hAnsi="Times New Roman"/>
        </w:rPr>
        <w:t xml:space="preserve"> de saúde da família </w:t>
      </w:r>
      <w:r w:rsidR="00D60432">
        <w:rPr>
          <w:rFonts w:ascii="Times New Roman" w:hAnsi="Times New Roman"/>
        </w:rPr>
        <w:t>mensura o número de unidades</w:t>
      </w:r>
      <w:r>
        <w:rPr>
          <w:rFonts w:ascii="Times New Roman" w:hAnsi="Times New Roman"/>
        </w:rPr>
        <w:t xml:space="preserve"> </w:t>
      </w:r>
      <w:r w:rsidR="00D60432">
        <w:rPr>
          <w:rFonts w:ascii="Times New Roman" w:hAnsi="Times New Roman"/>
        </w:rPr>
        <w:t xml:space="preserve">de </w:t>
      </w:r>
      <w:r>
        <w:rPr>
          <w:rFonts w:ascii="Times New Roman" w:hAnsi="Times New Roman"/>
        </w:rPr>
        <w:t>centro de atenção à saúde da família</w:t>
      </w:r>
      <w:r w:rsidR="00D60432">
        <w:rPr>
          <w:rFonts w:ascii="Times New Roman" w:hAnsi="Times New Roman"/>
        </w:rPr>
        <w:t xml:space="preserve"> em cada município</w:t>
      </w:r>
      <w:r>
        <w:rPr>
          <w:rFonts w:ascii="Times New Roman" w:hAnsi="Times New Roman"/>
        </w:rPr>
        <w:t>.</w:t>
      </w:r>
      <w:r w:rsidR="0074628B">
        <w:rPr>
          <w:rStyle w:val="Refdenotaderodap"/>
          <w:rFonts w:ascii="Times New Roman" w:hAnsi="Times New Roman"/>
        </w:rPr>
        <w:footnoteReference w:id="5"/>
      </w:r>
      <w:r>
        <w:rPr>
          <w:rFonts w:ascii="Times New Roman" w:hAnsi="Times New Roman"/>
        </w:rPr>
        <w:t xml:space="preserve"> </w:t>
      </w:r>
      <w:r w:rsidR="0074628B">
        <w:rPr>
          <w:rFonts w:ascii="Times New Roman" w:hAnsi="Times New Roman"/>
        </w:rPr>
        <w:t xml:space="preserve">A introdução dessa variável, embora significativa e no sentido esperado, não altera a magnitude do coeficiente de interesse. Na Coluna (4), controla-se ainda para a taxa de gestantes que realizou acompanhamento pré-natal </w:t>
      </w:r>
      <w:r w:rsidR="00C153CD">
        <w:rPr>
          <w:rFonts w:ascii="Times New Roman" w:hAnsi="Times New Roman"/>
        </w:rPr>
        <w:t xml:space="preserve">por município. Como se </w:t>
      </w:r>
      <w:proofErr w:type="gramStart"/>
      <w:r w:rsidR="00C153CD">
        <w:rPr>
          <w:rFonts w:ascii="Times New Roman" w:hAnsi="Times New Roman"/>
        </w:rPr>
        <w:t>observa,</w:t>
      </w:r>
      <w:proofErr w:type="gramEnd"/>
      <w:r w:rsidR="00C153CD">
        <w:rPr>
          <w:rFonts w:ascii="Times New Roman" w:hAnsi="Times New Roman"/>
        </w:rPr>
        <w:t xml:space="preserve"> essa variável tem impacto substancial na taxa de mortalidade infantil. Ainda assim, os efeitos do tratamento permanecem significativos e com magnitude similar. Finamente, a Coluna (5) tem o mesmo vetor de covariadas da estimação da Coluna</w:t>
      </w:r>
      <w:proofErr w:type="gramStart"/>
      <w:r w:rsidR="00C153CD">
        <w:rPr>
          <w:rFonts w:ascii="Times New Roman" w:hAnsi="Times New Roman"/>
        </w:rPr>
        <w:t xml:space="preserve">  </w:t>
      </w:r>
      <w:proofErr w:type="gramEnd"/>
      <w:r w:rsidR="00C153CD">
        <w:rPr>
          <w:rFonts w:ascii="Times New Roman" w:hAnsi="Times New Roman"/>
        </w:rPr>
        <w:t>(4), porém introduz tendência específica por município</w:t>
      </w:r>
      <w:r w:rsidR="00103297">
        <w:rPr>
          <w:rFonts w:ascii="Times New Roman" w:hAnsi="Times New Roman"/>
        </w:rPr>
        <w:t>, que possibilita controlar para fatores não observados que variam de forma linear no tempo</w:t>
      </w:r>
      <w:r w:rsidR="00C153CD">
        <w:rPr>
          <w:rFonts w:ascii="Times New Roman" w:hAnsi="Times New Roman"/>
        </w:rPr>
        <w:t xml:space="preserve">. </w:t>
      </w:r>
      <w:r w:rsidR="00B45BAF">
        <w:rPr>
          <w:rFonts w:ascii="Times New Roman" w:hAnsi="Times New Roman"/>
        </w:rPr>
        <w:t>Nesse caso, os resultados permanecem similares, com exceção de densidade demográfica que passa a apresentar coeficiente negativo e significativo, em linha com a hipótese de economias de escala na provisão de serviços de esgotamento sanitário. Mais importante, porém, é o fato de que o coeficiente de interesse permanece significativo a 5% e com importante magnitude econômica, equivalendo a 10% da média da variável dependente.</w:t>
      </w:r>
    </w:p>
    <w:p w:rsidR="000A4E38" w:rsidRDefault="000A4E38" w:rsidP="00514949">
      <w:pPr>
        <w:pStyle w:val="BNDES"/>
        <w:spacing w:after="120"/>
        <w:rPr>
          <w:rFonts w:ascii="Times New Roman" w:hAnsi="Times New Roman"/>
        </w:rPr>
      </w:pPr>
    </w:p>
    <w:p w:rsidR="00E046E6" w:rsidRPr="000A4E38" w:rsidRDefault="00E046E6" w:rsidP="00514949">
      <w:pPr>
        <w:pStyle w:val="BNDES"/>
        <w:keepNext/>
        <w:spacing w:after="120"/>
        <w:jc w:val="center"/>
        <w:rPr>
          <w:rFonts w:ascii="Times New Roman" w:hAnsi="Times New Roman"/>
        </w:rPr>
      </w:pPr>
      <w:r w:rsidRPr="00492F3C">
        <w:rPr>
          <w:rFonts w:ascii="Times New Roman" w:hAnsi="Times New Roman"/>
        </w:rPr>
        <w:t xml:space="preserve">Tabela </w:t>
      </w:r>
      <w:r w:rsidR="00403E82">
        <w:rPr>
          <w:rFonts w:ascii="Times New Roman" w:hAnsi="Times New Roman"/>
        </w:rPr>
        <w:t>5</w:t>
      </w:r>
      <w:r w:rsidRPr="00492F3C">
        <w:rPr>
          <w:rFonts w:ascii="Times New Roman" w:hAnsi="Times New Roman"/>
        </w:rPr>
        <w:t xml:space="preserve"> – Efeitos do </w:t>
      </w:r>
      <w:r w:rsidR="00403E82">
        <w:rPr>
          <w:rFonts w:ascii="Times New Roman" w:hAnsi="Times New Roman"/>
        </w:rPr>
        <w:t>A</w:t>
      </w:r>
      <w:r w:rsidRPr="00492F3C">
        <w:rPr>
          <w:rFonts w:ascii="Times New Roman" w:hAnsi="Times New Roman"/>
        </w:rPr>
        <w:t xml:space="preserve">cesso a </w:t>
      </w:r>
      <w:r w:rsidR="00403E82">
        <w:rPr>
          <w:rFonts w:ascii="Times New Roman" w:hAnsi="Times New Roman"/>
        </w:rPr>
        <w:t>R</w:t>
      </w:r>
      <w:r w:rsidRPr="00492F3C">
        <w:rPr>
          <w:rFonts w:ascii="Times New Roman" w:hAnsi="Times New Roman"/>
        </w:rPr>
        <w:t xml:space="preserve">ecursos para </w:t>
      </w:r>
      <w:r w:rsidR="00403E82">
        <w:rPr>
          <w:rFonts w:ascii="Times New Roman" w:hAnsi="Times New Roman"/>
        </w:rPr>
        <w:t>I</w:t>
      </w:r>
      <w:r w:rsidRPr="00492F3C">
        <w:rPr>
          <w:rFonts w:ascii="Times New Roman" w:hAnsi="Times New Roman"/>
        </w:rPr>
        <w:t xml:space="preserve">nvestimento em </w:t>
      </w:r>
      <w:r w:rsidR="00403E82">
        <w:rPr>
          <w:rFonts w:ascii="Times New Roman" w:hAnsi="Times New Roman"/>
        </w:rPr>
        <w:t>E</w:t>
      </w:r>
      <w:r w:rsidRPr="00492F3C">
        <w:rPr>
          <w:rFonts w:ascii="Times New Roman" w:hAnsi="Times New Roman"/>
        </w:rPr>
        <w:t xml:space="preserve">sgoto sobre a </w:t>
      </w:r>
      <w:r w:rsidR="00403E82">
        <w:rPr>
          <w:rFonts w:ascii="Times New Roman" w:hAnsi="Times New Roman"/>
        </w:rPr>
        <w:t>T</w:t>
      </w:r>
      <w:r w:rsidRPr="00492F3C">
        <w:rPr>
          <w:rFonts w:ascii="Times New Roman" w:hAnsi="Times New Roman"/>
        </w:rPr>
        <w:t xml:space="preserve">axa de </w:t>
      </w:r>
      <w:r w:rsidR="00403E82">
        <w:rPr>
          <w:rFonts w:ascii="Times New Roman" w:hAnsi="Times New Roman"/>
        </w:rPr>
        <w:t>M</w:t>
      </w:r>
      <w:r w:rsidRPr="00492F3C">
        <w:rPr>
          <w:rFonts w:ascii="Times New Roman" w:hAnsi="Times New Roman"/>
        </w:rPr>
        <w:t xml:space="preserve">ortalidade </w:t>
      </w:r>
      <w:r w:rsidR="00403E82">
        <w:rPr>
          <w:rFonts w:ascii="Times New Roman" w:hAnsi="Times New Roman"/>
        </w:rPr>
        <w:t>I</w:t>
      </w:r>
      <w:r w:rsidRPr="00492F3C">
        <w:rPr>
          <w:rFonts w:ascii="Times New Roman" w:hAnsi="Times New Roman"/>
        </w:rPr>
        <w:t>nfantil</w:t>
      </w:r>
    </w:p>
    <w:tbl>
      <w:tblPr>
        <w:tblW w:w="9736" w:type="dxa"/>
        <w:jc w:val="center"/>
        <w:tblLayout w:type="fixed"/>
        <w:tblCellMar>
          <w:left w:w="75" w:type="dxa"/>
          <w:right w:w="75" w:type="dxa"/>
        </w:tblCellMar>
        <w:tblLook w:val="0000" w:firstRow="0" w:lastRow="0" w:firstColumn="0" w:lastColumn="0" w:noHBand="0" w:noVBand="0"/>
      </w:tblPr>
      <w:tblGrid>
        <w:gridCol w:w="2638"/>
        <w:gridCol w:w="1499"/>
        <w:gridCol w:w="1484"/>
        <w:gridCol w:w="1399"/>
        <w:gridCol w:w="1351"/>
        <w:gridCol w:w="1365"/>
      </w:tblGrid>
      <w:tr w:rsidR="008F6792" w:rsidTr="00BF4FFE">
        <w:trPr>
          <w:jc w:val="center"/>
        </w:trPr>
        <w:tc>
          <w:tcPr>
            <w:tcW w:w="2638" w:type="dxa"/>
            <w:tcBorders>
              <w:top w:val="single" w:sz="6" w:space="0" w:color="auto"/>
              <w:left w:val="nil"/>
              <w:bottom w:val="nil"/>
              <w:right w:val="nil"/>
            </w:tcBorders>
          </w:tcPr>
          <w:p w:rsidR="008F6792" w:rsidRDefault="008F6792" w:rsidP="00514949">
            <w:pPr>
              <w:widowControl w:val="0"/>
              <w:autoSpaceDE w:val="0"/>
              <w:autoSpaceDN w:val="0"/>
              <w:adjustRightInd w:val="0"/>
              <w:rPr>
                <w:rFonts w:ascii="Times New Roman" w:hAnsi="Times New Roman"/>
              </w:rPr>
            </w:pPr>
          </w:p>
        </w:tc>
        <w:tc>
          <w:tcPr>
            <w:tcW w:w="1499" w:type="dxa"/>
            <w:tcBorders>
              <w:top w:val="single" w:sz="6" w:space="0" w:color="auto"/>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(1)</w:t>
            </w:r>
          </w:p>
        </w:tc>
        <w:tc>
          <w:tcPr>
            <w:tcW w:w="1484" w:type="dxa"/>
            <w:tcBorders>
              <w:top w:val="single" w:sz="6" w:space="0" w:color="auto"/>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(2)</w:t>
            </w:r>
          </w:p>
        </w:tc>
        <w:tc>
          <w:tcPr>
            <w:tcW w:w="1399" w:type="dxa"/>
            <w:tcBorders>
              <w:top w:val="single" w:sz="6" w:space="0" w:color="auto"/>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(3)</w:t>
            </w:r>
          </w:p>
        </w:tc>
        <w:tc>
          <w:tcPr>
            <w:tcW w:w="1351" w:type="dxa"/>
            <w:tcBorders>
              <w:top w:val="single" w:sz="6" w:space="0" w:color="auto"/>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(4)</w:t>
            </w:r>
          </w:p>
        </w:tc>
        <w:tc>
          <w:tcPr>
            <w:tcW w:w="1365" w:type="dxa"/>
            <w:tcBorders>
              <w:top w:val="single" w:sz="6" w:space="0" w:color="auto"/>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(5)</w:t>
            </w:r>
          </w:p>
        </w:tc>
      </w:tr>
      <w:tr w:rsidR="008F6792" w:rsidTr="00BF4FFE">
        <w:trPr>
          <w:jc w:val="center"/>
        </w:trPr>
        <w:tc>
          <w:tcPr>
            <w:tcW w:w="2638" w:type="dxa"/>
            <w:tcBorders>
              <w:top w:val="nil"/>
              <w:left w:val="nil"/>
              <w:bottom w:val="single" w:sz="6" w:space="0" w:color="auto"/>
              <w:right w:val="nil"/>
            </w:tcBorders>
          </w:tcPr>
          <w:p w:rsidR="008F6792" w:rsidRDefault="00796401" w:rsidP="00514949">
            <w:pPr>
              <w:widowControl w:val="0"/>
              <w:autoSpaceDE w:val="0"/>
              <w:autoSpaceDN w:val="0"/>
              <w:adjustRightInd w:val="0"/>
              <w:rPr>
                <w:rFonts w:ascii="Times New Roman" w:hAnsi="Times New Roman"/>
              </w:rPr>
            </w:pPr>
            <w:r>
              <w:rPr>
                <w:rFonts w:ascii="Times New Roman" w:hAnsi="Times New Roman"/>
              </w:rPr>
              <w:t>Variáveis</w:t>
            </w:r>
          </w:p>
        </w:tc>
        <w:tc>
          <w:tcPr>
            <w:tcW w:w="1499" w:type="dxa"/>
            <w:tcBorders>
              <w:top w:val="nil"/>
              <w:left w:val="nil"/>
              <w:bottom w:val="single" w:sz="6" w:space="0" w:color="auto"/>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Mortalidade Infantil</w:t>
            </w:r>
          </w:p>
        </w:tc>
        <w:tc>
          <w:tcPr>
            <w:tcW w:w="1484" w:type="dxa"/>
            <w:tcBorders>
              <w:top w:val="nil"/>
              <w:left w:val="nil"/>
              <w:bottom w:val="single" w:sz="6" w:space="0" w:color="auto"/>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Mortalidade Infantil</w:t>
            </w:r>
          </w:p>
        </w:tc>
        <w:tc>
          <w:tcPr>
            <w:tcW w:w="1399" w:type="dxa"/>
            <w:tcBorders>
              <w:top w:val="nil"/>
              <w:left w:val="nil"/>
              <w:bottom w:val="single" w:sz="6" w:space="0" w:color="auto"/>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Mortalidade Infantil</w:t>
            </w:r>
          </w:p>
        </w:tc>
        <w:tc>
          <w:tcPr>
            <w:tcW w:w="1351" w:type="dxa"/>
            <w:tcBorders>
              <w:top w:val="nil"/>
              <w:left w:val="nil"/>
              <w:bottom w:val="single" w:sz="6" w:space="0" w:color="auto"/>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Mortalidade Infantil</w:t>
            </w:r>
          </w:p>
        </w:tc>
        <w:tc>
          <w:tcPr>
            <w:tcW w:w="1365" w:type="dxa"/>
            <w:tcBorders>
              <w:top w:val="nil"/>
              <w:left w:val="nil"/>
              <w:bottom w:val="single" w:sz="6" w:space="0" w:color="auto"/>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Mortalidade Infantil</w:t>
            </w:r>
          </w:p>
        </w:tc>
      </w:tr>
      <w:tr w:rsidR="008F6792" w:rsidTr="00BF4FFE">
        <w:trPr>
          <w:jc w:val="center"/>
        </w:trPr>
        <w:tc>
          <w:tcPr>
            <w:tcW w:w="2638" w:type="dxa"/>
            <w:tcBorders>
              <w:top w:val="nil"/>
              <w:left w:val="nil"/>
              <w:bottom w:val="nil"/>
              <w:right w:val="nil"/>
            </w:tcBorders>
          </w:tcPr>
          <w:p w:rsidR="008F6792" w:rsidRDefault="008F6792" w:rsidP="00514949">
            <w:pPr>
              <w:widowControl w:val="0"/>
              <w:autoSpaceDE w:val="0"/>
              <w:autoSpaceDN w:val="0"/>
              <w:adjustRightInd w:val="0"/>
              <w:rPr>
                <w:rFonts w:ascii="Times New Roman" w:hAnsi="Times New Roman"/>
              </w:rPr>
            </w:pPr>
          </w:p>
        </w:tc>
        <w:tc>
          <w:tcPr>
            <w:tcW w:w="1499"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c>
          <w:tcPr>
            <w:tcW w:w="1399"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c>
          <w:tcPr>
            <w:tcW w:w="1351"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c>
          <w:tcPr>
            <w:tcW w:w="1365"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r>
      <w:tr w:rsidR="00AC225E" w:rsidTr="00BF4FFE">
        <w:trPr>
          <w:jc w:val="center"/>
        </w:trPr>
        <w:tc>
          <w:tcPr>
            <w:tcW w:w="2638" w:type="dxa"/>
            <w:tcBorders>
              <w:top w:val="nil"/>
              <w:left w:val="nil"/>
              <w:bottom w:val="nil"/>
              <w:right w:val="nil"/>
            </w:tcBorders>
          </w:tcPr>
          <w:p w:rsidR="00AC225E" w:rsidRDefault="00AC225E" w:rsidP="007D6AC9">
            <w:pPr>
              <w:widowControl w:val="0"/>
              <w:autoSpaceDE w:val="0"/>
              <w:autoSpaceDN w:val="0"/>
              <w:adjustRightInd w:val="0"/>
              <w:rPr>
                <w:rFonts w:ascii="Times New Roman" w:hAnsi="Times New Roman"/>
              </w:rPr>
            </w:pPr>
            <w:r>
              <w:rPr>
                <w:rFonts w:ascii="Times New Roman" w:hAnsi="Times New Roman"/>
              </w:rPr>
              <w:t>P</w:t>
            </w:r>
            <w:r w:rsidR="008C6195">
              <w:rPr>
                <w:rFonts w:ascii="Times New Roman" w:hAnsi="Times New Roman"/>
              </w:rPr>
              <w:t>ó</w:t>
            </w:r>
            <w:r>
              <w:rPr>
                <w:rFonts w:ascii="Times New Roman" w:hAnsi="Times New Roman"/>
              </w:rPr>
              <w:t>s201</w:t>
            </w:r>
            <w:r w:rsidR="007D6AC9">
              <w:rPr>
                <w:rFonts w:ascii="Times New Roman" w:hAnsi="Times New Roman"/>
              </w:rPr>
              <w:t>2</w:t>
            </w:r>
            <w:r>
              <w:rPr>
                <w:rFonts w:ascii="Times New Roman" w:hAnsi="Times New Roman"/>
              </w:rPr>
              <w:t xml:space="preserve"> x Investe</w:t>
            </w: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-0.962**</w:t>
            </w: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-0.945**</w:t>
            </w: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-0.942**</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-0.958**</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-1.485*</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(0.469)</w:t>
            </w: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(0.471)</w:t>
            </w: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(0.471)</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(0.470)</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(0.768)</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r>
              <w:rPr>
                <w:rFonts w:ascii="Times New Roman" w:hAnsi="Times New Roman"/>
              </w:rPr>
              <w:t>Taxa de pré-natal</w:t>
            </w: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-14.516***</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-18.555***</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(4.959)</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(6.174)</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r>
              <w:rPr>
                <w:rFonts w:ascii="Times New Roman" w:hAnsi="Times New Roman"/>
              </w:rPr>
              <w:t>Centro de saúde da família</w:t>
            </w: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-0.831**</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-0.824**</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0.046</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(0.371)</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(0.371)</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(0.631)</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r>
              <w:rPr>
                <w:rFonts w:ascii="Times New Roman" w:hAnsi="Times New Roman"/>
              </w:rPr>
              <w:t>Densidade Demográfica</w:t>
            </w: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0.004</w:t>
            </w: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0.005</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0.005</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-0.025*</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(0.005)</w:t>
            </w: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(0.005)</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(0.005)</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(0.014)</w:t>
            </w:r>
          </w:p>
        </w:tc>
      </w:tr>
      <w:tr w:rsidR="00AC225E" w:rsidTr="00BF4FFE">
        <w:trPr>
          <w:jc w:val="center"/>
        </w:trPr>
        <w:tc>
          <w:tcPr>
            <w:tcW w:w="2638" w:type="dxa"/>
            <w:tcBorders>
              <w:top w:val="nil"/>
              <w:left w:val="nil"/>
              <w:bottom w:val="nil"/>
              <w:right w:val="nil"/>
            </w:tcBorders>
          </w:tcPr>
          <w:p w:rsidR="00AC225E" w:rsidRDefault="00AC225E" w:rsidP="00D60432">
            <w:pPr>
              <w:widowControl w:val="0"/>
              <w:autoSpaceDE w:val="0"/>
              <w:autoSpaceDN w:val="0"/>
              <w:adjustRightInd w:val="0"/>
              <w:rPr>
                <w:rFonts w:ascii="Times New Roman" w:hAnsi="Times New Roman"/>
              </w:rPr>
            </w:pPr>
            <w:proofErr w:type="spellStart"/>
            <w:proofErr w:type="gramStart"/>
            <w:r>
              <w:rPr>
                <w:rFonts w:ascii="Times New Roman" w:hAnsi="Times New Roman"/>
              </w:rPr>
              <w:t>Ln</w:t>
            </w:r>
            <w:proofErr w:type="spellEnd"/>
            <w:r>
              <w:rPr>
                <w:rFonts w:ascii="Times New Roman" w:hAnsi="Times New Roman"/>
              </w:rPr>
              <w:t>(</w:t>
            </w:r>
            <w:proofErr w:type="gramEnd"/>
            <w:r w:rsidR="00D60432">
              <w:rPr>
                <w:rFonts w:ascii="Times New Roman" w:hAnsi="Times New Roman"/>
              </w:rPr>
              <w:t>PIB</w:t>
            </w:r>
            <w:r>
              <w:rPr>
                <w:rFonts w:ascii="Times New Roman" w:hAnsi="Times New Roman"/>
              </w:rPr>
              <w:t xml:space="preserve"> per capita)</w:t>
            </w: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0.341</w:t>
            </w: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0.332</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0.321</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0.800</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(0.713)</w:t>
            </w: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(0.713)</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(0.712)</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(1.033)</w:t>
            </w:r>
          </w:p>
        </w:tc>
      </w:tr>
      <w:tr w:rsidR="008F6792" w:rsidTr="00BF4FFE">
        <w:trPr>
          <w:jc w:val="center"/>
        </w:trPr>
        <w:tc>
          <w:tcPr>
            <w:tcW w:w="2638" w:type="dxa"/>
            <w:tcBorders>
              <w:top w:val="nil"/>
              <w:left w:val="nil"/>
              <w:bottom w:val="nil"/>
              <w:right w:val="nil"/>
            </w:tcBorders>
          </w:tcPr>
          <w:p w:rsidR="008F6792" w:rsidRDefault="008F6792" w:rsidP="00514949">
            <w:pPr>
              <w:widowControl w:val="0"/>
              <w:autoSpaceDE w:val="0"/>
              <w:autoSpaceDN w:val="0"/>
              <w:adjustRightInd w:val="0"/>
              <w:rPr>
                <w:rFonts w:ascii="Times New Roman" w:hAnsi="Times New Roman"/>
              </w:rPr>
            </w:pPr>
          </w:p>
        </w:tc>
        <w:tc>
          <w:tcPr>
            <w:tcW w:w="1499"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c>
          <w:tcPr>
            <w:tcW w:w="1484"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c>
          <w:tcPr>
            <w:tcW w:w="1399"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c>
          <w:tcPr>
            <w:tcW w:w="1351"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c>
          <w:tcPr>
            <w:tcW w:w="1365"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proofErr w:type="spellStart"/>
            <w:r>
              <w:rPr>
                <w:rFonts w:ascii="Times New Roman" w:hAnsi="Times New Roman"/>
              </w:rPr>
              <w:t>Obs</w:t>
            </w:r>
            <w:proofErr w:type="spellEnd"/>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21,449</w:t>
            </w:r>
          </w:p>
        </w:tc>
      </w:tr>
      <w:tr w:rsidR="00AC225E" w:rsidTr="00BF4FFE">
        <w:trPr>
          <w:jc w:val="center"/>
        </w:trPr>
        <w:tc>
          <w:tcPr>
            <w:tcW w:w="2638" w:type="dxa"/>
            <w:tcBorders>
              <w:top w:val="nil"/>
              <w:left w:val="nil"/>
              <w:bottom w:val="nil"/>
              <w:right w:val="nil"/>
            </w:tcBorders>
          </w:tcPr>
          <w:p w:rsidR="00AC225E" w:rsidRDefault="00AC225E" w:rsidP="00514949">
            <w:pPr>
              <w:widowControl w:val="0"/>
              <w:autoSpaceDE w:val="0"/>
              <w:autoSpaceDN w:val="0"/>
              <w:adjustRightInd w:val="0"/>
              <w:rPr>
                <w:rFonts w:ascii="Times New Roman" w:hAnsi="Times New Roman"/>
              </w:rPr>
            </w:pPr>
            <w:r>
              <w:rPr>
                <w:rFonts w:ascii="Times New Roman" w:hAnsi="Times New Roman"/>
              </w:rPr>
              <w:t>R-</w:t>
            </w:r>
            <w:proofErr w:type="spellStart"/>
            <w:r>
              <w:rPr>
                <w:rFonts w:ascii="Times New Roman" w:hAnsi="Times New Roman"/>
              </w:rPr>
              <w:t>squared</w:t>
            </w:r>
            <w:proofErr w:type="spellEnd"/>
          </w:p>
        </w:tc>
        <w:tc>
          <w:tcPr>
            <w:tcW w:w="14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0.174</w:t>
            </w:r>
          </w:p>
        </w:tc>
        <w:tc>
          <w:tcPr>
            <w:tcW w:w="1484"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0.174</w:t>
            </w:r>
          </w:p>
        </w:tc>
        <w:tc>
          <w:tcPr>
            <w:tcW w:w="1399"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0.174</w:t>
            </w:r>
          </w:p>
        </w:tc>
        <w:tc>
          <w:tcPr>
            <w:tcW w:w="1351"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0.175</w:t>
            </w:r>
          </w:p>
        </w:tc>
        <w:tc>
          <w:tcPr>
            <w:tcW w:w="1365" w:type="dxa"/>
            <w:tcBorders>
              <w:top w:val="nil"/>
              <w:left w:val="nil"/>
              <w:bottom w:val="nil"/>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0.267</w:t>
            </w:r>
          </w:p>
        </w:tc>
      </w:tr>
      <w:tr w:rsidR="00E62B9D" w:rsidTr="00BF4FFE">
        <w:trPr>
          <w:jc w:val="center"/>
        </w:trPr>
        <w:tc>
          <w:tcPr>
            <w:tcW w:w="2638" w:type="dxa"/>
            <w:tcBorders>
              <w:top w:val="nil"/>
              <w:left w:val="nil"/>
              <w:bottom w:val="nil"/>
              <w:right w:val="nil"/>
            </w:tcBorders>
          </w:tcPr>
          <w:p w:rsidR="00E62B9D" w:rsidRDefault="00E62B9D" w:rsidP="00514949">
            <w:pPr>
              <w:widowControl w:val="0"/>
              <w:autoSpaceDE w:val="0"/>
              <w:autoSpaceDN w:val="0"/>
              <w:adjustRightInd w:val="0"/>
              <w:rPr>
                <w:rFonts w:ascii="Times New Roman" w:hAnsi="Times New Roman"/>
              </w:rPr>
            </w:pPr>
            <w:r>
              <w:rPr>
                <w:rFonts w:ascii="Times New Roman" w:hAnsi="Times New Roman"/>
              </w:rPr>
              <w:t>EF de Município</w:t>
            </w:r>
          </w:p>
        </w:tc>
        <w:tc>
          <w:tcPr>
            <w:tcW w:w="1499" w:type="dxa"/>
            <w:tcBorders>
              <w:top w:val="nil"/>
              <w:left w:val="nil"/>
              <w:bottom w:val="nil"/>
              <w:right w:val="nil"/>
            </w:tcBorders>
          </w:tcPr>
          <w:p w:rsidR="00E62B9D" w:rsidRDefault="00E62B9D" w:rsidP="00514949">
            <w:pPr>
              <w:jc w:val="center"/>
            </w:pPr>
            <w:r w:rsidRPr="001A4B26">
              <w:rPr>
                <w:rFonts w:ascii="Times New Roman" w:hAnsi="Times New Roman"/>
              </w:rPr>
              <w:t>S</w:t>
            </w:r>
          </w:p>
        </w:tc>
        <w:tc>
          <w:tcPr>
            <w:tcW w:w="1484" w:type="dxa"/>
            <w:tcBorders>
              <w:top w:val="nil"/>
              <w:left w:val="nil"/>
              <w:bottom w:val="nil"/>
              <w:right w:val="nil"/>
            </w:tcBorders>
          </w:tcPr>
          <w:p w:rsidR="00E62B9D" w:rsidRDefault="00E62B9D" w:rsidP="00514949">
            <w:pPr>
              <w:jc w:val="center"/>
            </w:pPr>
            <w:r w:rsidRPr="001A4B26">
              <w:rPr>
                <w:rFonts w:ascii="Times New Roman" w:hAnsi="Times New Roman"/>
              </w:rPr>
              <w:t>S</w:t>
            </w:r>
          </w:p>
        </w:tc>
        <w:tc>
          <w:tcPr>
            <w:tcW w:w="1399" w:type="dxa"/>
            <w:tcBorders>
              <w:top w:val="nil"/>
              <w:left w:val="nil"/>
              <w:bottom w:val="nil"/>
              <w:right w:val="nil"/>
            </w:tcBorders>
          </w:tcPr>
          <w:p w:rsidR="00E62B9D" w:rsidRDefault="00E62B9D" w:rsidP="00514949">
            <w:pPr>
              <w:jc w:val="center"/>
            </w:pPr>
            <w:r w:rsidRPr="001A4B26">
              <w:rPr>
                <w:rFonts w:ascii="Times New Roman" w:hAnsi="Times New Roman"/>
              </w:rPr>
              <w:t>S</w:t>
            </w:r>
          </w:p>
        </w:tc>
        <w:tc>
          <w:tcPr>
            <w:tcW w:w="1351" w:type="dxa"/>
            <w:tcBorders>
              <w:top w:val="nil"/>
              <w:left w:val="nil"/>
              <w:bottom w:val="nil"/>
              <w:right w:val="nil"/>
            </w:tcBorders>
          </w:tcPr>
          <w:p w:rsidR="00E62B9D" w:rsidRDefault="00E62B9D" w:rsidP="00514949">
            <w:pPr>
              <w:jc w:val="center"/>
            </w:pPr>
            <w:r w:rsidRPr="001A4B26">
              <w:rPr>
                <w:rFonts w:ascii="Times New Roman" w:hAnsi="Times New Roman"/>
              </w:rPr>
              <w:t>S</w:t>
            </w:r>
          </w:p>
        </w:tc>
        <w:tc>
          <w:tcPr>
            <w:tcW w:w="1365" w:type="dxa"/>
            <w:tcBorders>
              <w:top w:val="nil"/>
              <w:left w:val="nil"/>
              <w:bottom w:val="nil"/>
              <w:right w:val="nil"/>
            </w:tcBorders>
          </w:tcPr>
          <w:p w:rsidR="00E62B9D" w:rsidRDefault="00E62B9D" w:rsidP="00514949">
            <w:pPr>
              <w:jc w:val="center"/>
            </w:pPr>
            <w:r w:rsidRPr="001A4B26">
              <w:rPr>
                <w:rFonts w:ascii="Times New Roman" w:hAnsi="Times New Roman"/>
              </w:rPr>
              <w:t>S</w:t>
            </w:r>
          </w:p>
        </w:tc>
      </w:tr>
      <w:tr w:rsidR="00E62B9D" w:rsidTr="00BF4FFE">
        <w:trPr>
          <w:jc w:val="center"/>
        </w:trPr>
        <w:tc>
          <w:tcPr>
            <w:tcW w:w="2638" w:type="dxa"/>
            <w:tcBorders>
              <w:top w:val="nil"/>
              <w:left w:val="nil"/>
              <w:bottom w:val="nil"/>
              <w:right w:val="nil"/>
            </w:tcBorders>
          </w:tcPr>
          <w:p w:rsidR="00E62B9D" w:rsidRDefault="00E62B9D" w:rsidP="00514949">
            <w:pPr>
              <w:widowControl w:val="0"/>
              <w:autoSpaceDE w:val="0"/>
              <w:autoSpaceDN w:val="0"/>
              <w:adjustRightInd w:val="0"/>
              <w:rPr>
                <w:rFonts w:ascii="Times New Roman" w:hAnsi="Times New Roman"/>
              </w:rPr>
            </w:pPr>
            <w:r>
              <w:rPr>
                <w:rFonts w:ascii="Times New Roman" w:hAnsi="Times New Roman"/>
              </w:rPr>
              <w:t>EF de Ano</w:t>
            </w:r>
          </w:p>
        </w:tc>
        <w:tc>
          <w:tcPr>
            <w:tcW w:w="1499" w:type="dxa"/>
            <w:tcBorders>
              <w:top w:val="nil"/>
              <w:left w:val="nil"/>
              <w:bottom w:val="nil"/>
              <w:right w:val="nil"/>
            </w:tcBorders>
          </w:tcPr>
          <w:p w:rsidR="00E62B9D" w:rsidRDefault="00E62B9D" w:rsidP="00514949">
            <w:pPr>
              <w:jc w:val="center"/>
            </w:pPr>
            <w:r w:rsidRPr="001A4B26">
              <w:rPr>
                <w:rFonts w:ascii="Times New Roman" w:hAnsi="Times New Roman"/>
              </w:rPr>
              <w:t>S</w:t>
            </w:r>
          </w:p>
        </w:tc>
        <w:tc>
          <w:tcPr>
            <w:tcW w:w="1484" w:type="dxa"/>
            <w:tcBorders>
              <w:top w:val="nil"/>
              <w:left w:val="nil"/>
              <w:bottom w:val="nil"/>
              <w:right w:val="nil"/>
            </w:tcBorders>
          </w:tcPr>
          <w:p w:rsidR="00E62B9D" w:rsidRDefault="00E62B9D" w:rsidP="00514949">
            <w:pPr>
              <w:jc w:val="center"/>
            </w:pPr>
            <w:r w:rsidRPr="001A4B26">
              <w:rPr>
                <w:rFonts w:ascii="Times New Roman" w:hAnsi="Times New Roman"/>
              </w:rPr>
              <w:t>S</w:t>
            </w:r>
          </w:p>
        </w:tc>
        <w:tc>
          <w:tcPr>
            <w:tcW w:w="1399" w:type="dxa"/>
            <w:tcBorders>
              <w:top w:val="nil"/>
              <w:left w:val="nil"/>
              <w:bottom w:val="nil"/>
              <w:right w:val="nil"/>
            </w:tcBorders>
          </w:tcPr>
          <w:p w:rsidR="00E62B9D" w:rsidRDefault="00E62B9D" w:rsidP="00514949">
            <w:pPr>
              <w:jc w:val="center"/>
            </w:pPr>
            <w:r w:rsidRPr="001A4B26">
              <w:rPr>
                <w:rFonts w:ascii="Times New Roman" w:hAnsi="Times New Roman"/>
              </w:rPr>
              <w:t>S</w:t>
            </w:r>
          </w:p>
        </w:tc>
        <w:tc>
          <w:tcPr>
            <w:tcW w:w="1351" w:type="dxa"/>
            <w:tcBorders>
              <w:top w:val="nil"/>
              <w:left w:val="nil"/>
              <w:bottom w:val="nil"/>
              <w:right w:val="nil"/>
            </w:tcBorders>
          </w:tcPr>
          <w:p w:rsidR="00E62B9D" w:rsidRDefault="00E62B9D" w:rsidP="00514949">
            <w:pPr>
              <w:jc w:val="center"/>
            </w:pPr>
            <w:r w:rsidRPr="001A4B26">
              <w:rPr>
                <w:rFonts w:ascii="Times New Roman" w:hAnsi="Times New Roman"/>
              </w:rPr>
              <w:t>S</w:t>
            </w:r>
          </w:p>
        </w:tc>
        <w:tc>
          <w:tcPr>
            <w:tcW w:w="1365" w:type="dxa"/>
            <w:tcBorders>
              <w:top w:val="nil"/>
              <w:left w:val="nil"/>
              <w:bottom w:val="nil"/>
              <w:right w:val="nil"/>
            </w:tcBorders>
          </w:tcPr>
          <w:p w:rsidR="00E62B9D" w:rsidRDefault="00E62B9D" w:rsidP="00514949">
            <w:pPr>
              <w:jc w:val="center"/>
            </w:pPr>
            <w:r w:rsidRPr="001A4B26">
              <w:rPr>
                <w:rFonts w:ascii="Times New Roman" w:hAnsi="Times New Roman"/>
              </w:rPr>
              <w:t>S</w:t>
            </w:r>
          </w:p>
        </w:tc>
      </w:tr>
      <w:tr w:rsidR="008F6792" w:rsidTr="00BF4FFE">
        <w:trPr>
          <w:jc w:val="center"/>
        </w:trPr>
        <w:tc>
          <w:tcPr>
            <w:tcW w:w="2638" w:type="dxa"/>
            <w:tcBorders>
              <w:top w:val="nil"/>
              <w:left w:val="nil"/>
              <w:bottom w:val="nil"/>
              <w:right w:val="nil"/>
            </w:tcBorders>
          </w:tcPr>
          <w:p w:rsidR="008F6792" w:rsidRDefault="00E62B9D" w:rsidP="00514949">
            <w:pPr>
              <w:widowControl w:val="0"/>
              <w:autoSpaceDE w:val="0"/>
              <w:autoSpaceDN w:val="0"/>
              <w:adjustRightInd w:val="0"/>
              <w:rPr>
                <w:rFonts w:ascii="Times New Roman" w:hAnsi="Times New Roman"/>
              </w:rPr>
            </w:pPr>
            <w:r>
              <w:rPr>
                <w:rFonts w:ascii="Times New Roman" w:hAnsi="Times New Roman"/>
              </w:rPr>
              <w:t>Tendência específica</w:t>
            </w:r>
          </w:p>
        </w:tc>
        <w:tc>
          <w:tcPr>
            <w:tcW w:w="1499" w:type="dxa"/>
            <w:tcBorders>
              <w:top w:val="nil"/>
              <w:left w:val="nil"/>
              <w:bottom w:val="nil"/>
              <w:right w:val="nil"/>
            </w:tcBorders>
          </w:tcPr>
          <w:p w:rsidR="008F6792" w:rsidRDefault="008F6792" w:rsidP="00514949">
            <w:pPr>
              <w:widowControl w:val="0"/>
              <w:autoSpaceDE w:val="0"/>
              <w:autoSpaceDN w:val="0"/>
              <w:adjustRightInd w:val="0"/>
              <w:jc w:val="center"/>
              <w:rPr>
                <w:rFonts w:ascii="Times New Roman" w:hAnsi="Times New Roman"/>
              </w:rPr>
            </w:pPr>
            <w:r>
              <w:rPr>
                <w:rFonts w:ascii="Times New Roman" w:hAnsi="Times New Roman"/>
              </w:rPr>
              <w:t>N</w:t>
            </w:r>
          </w:p>
        </w:tc>
        <w:tc>
          <w:tcPr>
            <w:tcW w:w="1484" w:type="dxa"/>
            <w:tcBorders>
              <w:top w:val="nil"/>
              <w:left w:val="nil"/>
              <w:bottom w:val="nil"/>
              <w:right w:val="nil"/>
            </w:tcBorders>
          </w:tcPr>
          <w:p w:rsidR="008F6792" w:rsidRDefault="00E62B9D" w:rsidP="00514949">
            <w:pPr>
              <w:widowControl w:val="0"/>
              <w:autoSpaceDE w:val="0"/>
              <w:autoSpaceDN w:val="0"/>
              <w:adjustRightInd w:val="0"/>
              <w:jc w:val="center"/>
              <w:rPr>
                <w:rFonts w:ascii="Times New Roman" w:hAnsi="Times New Roman"/>
              </w:rPr>
            </w:pPr>
            <w:r>
              <w:rPr>
                <w:rFonts w:ascii="Times New Roman" w:hAnsi="Times New Roman"/>
              </w:rPr>
              <w:t>N</w:t>
            </w:r>
          </w:p>
        </w:tc>
        <w:tc>
          <w:tcPr>
            <w:tcW w:w="1399" w:type="dxa"/>
            <w:tcBorders>
              <w:top w:val="nil"/>
              <w:left w:val="nil"/>
              <w:bottom w:val="nil"/>
              <w:right w:val="nil"/>
            </w:tcBorders>
          </w:tcPr>
          <w:p w:rsidR="008F6792" w:rsidRDefault="00E62B9D" w:rsidP="00514949">
            <w:pPr>
              <w:widowControl w:val="0"/>
              <w:autoSpaceDE w:val="0"/>
              <w:autoSpaceDN w:val="0"/>
              <w:adjustRightInd w:val="0"/>
              <w:jc w:val="center"/>
              <w:rPr>
                <w:rFonts w:ascii="Times New Roman" w:hAnsi="Times New Roman"/>
              </w:rPr>
            </w:pPr>
            <w:r>
              <w:rPr>
                <w:rFonts w:ascii="Times New Roman" w:hAnsi="Times New Roman"/>
              </w:rPr>
              <w:t>N</w:t>
            </w:r>
          </w:p>
        </w:tc>
        <w:tc>
          <w:tcPr>
            <w:tcW w:w="1351" w:type="dxa"/>
            <w:tcBorders>
              <w:top w:val="nil"/>
              <w:left w:val="nil"/>
              <w:bottom w:val="nil"/>
              <w:right w:val="nil"/>
            </w:tcBorders>
          </w:tcPr>
          <w:p w:rsidR="008F6792" w:rsidRDefault="00E62B9D" w:rsidP="00514949">
            <w:pPr>
              <w:widowControl w:val="0"/>
              <w:autoSpaceDE w:val="0"/>
              <w:autoSpaceDN w:val="0"/>
              <w:adjustRightInd w:val="0"/>
              <w:jc w:val="center"/>
              <w:rPr>
                <w:rFonts w:ascii="Times New Roman" w:hAnsi="Times New Roman"/>
              </w:rPr>
            </w:pPr>
            <w:r>
              <w:rPr>
                <w:rFonts w:ascii="Times New Roman" w:hAnsi="Times New Roman"/>
              </w:rPr>
              <w:t>N</w:t>
            </w:r>
          </w:p>
        </w:tc>
        <w:tc>
          <w:tcPr>
            <w:tcW w:w="1365" w:type="dxa"/>
            <w:tcBorders>
              <w:top w:val="nil"/>
              <w:left w:val="nil"/>
              <w:bottom w:val="nil"/>
              <w:right w:val="nil"/>
            </w:tcBorders>
          </w:tcPr>
          <w:p w:rsidR="008F6792" w:rsidRDefault="00E62B9D" w:rsidP="00514949">
            <w:pPr>
              <w:widowControl w:val="0"/>
              <w:autoSpaceDE w:val="0"/>
              <w:autoSpaceDN w:val="0"/>
              <w:adjustRightInd w:val="0"/>
              <w:jc w:val="center"/>
              <w:rPr>
                <w:rFonts w:ascii="Times New Roman" w:hAnsi="Times New Roman"/>
              </w:rPr>
            </w:pPr>
            <w:r>
              <w:rPr>
                <w:rFonts w:ascii="Times New Roman" w:hAnsi="Times New Roman"/>
              </w:rPr>
              <w:t>S</w:t>
            </w:r>
          </w:p>
        </w:tc>
      </w:tr>
      <w:tr w:rsidR="00AC225E" w:rsidTr="00BF4FFE">
        <w:tblPrEx>
          <w:tblBorders>
            <w:bottom w:val="single" w:sz="6" w:space="0" w:color="auto"/>
          </w:tblBorders>
        </w:tblPrEx>
        <w:trPr>
          <w:jc w:val="center"/>
        </w:trPr>
        <w:tc>
          <w:tcPr>
            <w:tcW w:w="2638" w:type="dxa"/>
            <w:tcBorders>
              <w:top w:val="nil"/>
              <w:left w:val="nil"/>
              <w:bottom w:val="single" w:sz="6" w:space="0" w:color="auto"/>
              <w:right w:val="nil"/>
            </w:tcBorders>
          </w:tcPr>
          <w:p w:rsidR="00AC225E" w:rsidRDefault="00AC225E" w:rsidP="00514949">
            <w:pPr>
              <w:widowControl w:val="0"/>
              <w:autoSpaceDE w:val="0"/>
              <w:autoSpaceDN w:val="0"/>
              <w:adjustRightInd w:val="0"/>
              <w:rPr>
                <w:rFonts w:ascii="Times New Roman" w:hAnsi="Times New Roman"/>
              </w:rPr>
            </w:pPr>
            <w:r>
              <w:rPr>
                <w:rFonts w:ascii="Times New Roman" w:hAnsi="Times New Roman"/>
              </w:rPr>
              <w:t>Número de municípios</w:t>
            </w:r>
          </w:p>
        </w:tc>
        <w:tc>
          <w:tcPr>
            <w:tcW w:w="1499" w:type="dxa"/>
            <w:tcBorders>
              <w:top w:val="nil"/>
              <w:left w:val="nil"/>
              <w:bottom w:val="single" w:sz="6" w:space="0" w:color="auto"/>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484" w:type="dxa"/>
            <w:tcBorders>
              <w:top w:val="nil"/>
              <w:left w:val="nil"/>
              <w:bottom w:val="single" w:sz="6" w:space="0" w:color="auto"/>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399" w:type="dxa"/>
            <w:tcBorders>
              <w:top w:val="nil"/>
              <w:left w:val="nil"/>
              <w:bottom w:val="single" w:sz="6" w:space="0" w:color="auto"/>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351" w:type="dxa"/>
            <w:tcBorders>
              <w:top w:val="nil"/>
              <w:left w:val="nil"/>
              <w:bottom w:val="single" w:sz="6" w:space="0" w:color="auto"/>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365" w:type="dxa"/>
            <w:tcBorders>
              <w:top w:val="nil"/>
              <w:left w:val="nil"/>
              <w:bottom w:val="single" w:sz="6" w:space="0" w:color="auto"/>
              <w:right w:val="nil"/>
            </w:tcBorders>
          </w:tcPr>
          <w:p w:rsidR="00AC225E" w:rsidRDefault="00AC225E" w:rsidP="00514949">
            <w:pPr>
              <w:widowControl w:val="0"/>
              <w:autoSpaceDE w:val="0"/>
              <w:autoSpaceDN w:val="0"/>
              <w:adjustRightInd w:val="0"/>
              <w:jc w:val="center"/>
              <w:rPr>
                <w:rFonts w:ascii="Times New Roman" w:hAnsi="Times New Roman"/>
              </w:rPr>
            </w:pPr>
            <w:r>
              <w:rPr>
                <w:rFonts w:ascii="Times New Roman" w:hAnsi="Times New Roman"/>
              </w:rPr>
              <w:t>1950</w:t>
            </w:r>
          </w:p>
        </w:tc>
      </w:tr>
    </w:tbl>
    <w:p w:rsidR="008F6792" w:rsidRPr="006C3AD0" w:rsidRDefault="006C3AD0" w:rsidP="00514949">
      <w:pPr>
        <w:pStyle w:val="BNDES"/>
        <w:keepNext/>
        <w:spacing w:after="120"/>
        <w:ind w:left="284"/>
        <w:rPr>
          <w:rFonts w:ascii="Times New Roman" w:hAnsi="Times New Roman"/>
          <w:sz w:val="20"/>
          <w:szCs w:val="20"/>
        </w:rPr>
      </w:pPr>
      <w:r w:rsidRPr="006C3AD0">
        <w:rPr>
          <w:rFonts w:ascii="Times New Roman" w:hAnsi="Times New Roman"/>
          <w:sz w:val="20"/>
          <w:szCs w:val="20"/>
        </w:rPr>
        <w:lastRenderedPageBreak/>
        <w:t>Nota: Erros padrão com cluster por municípios. Análise baseada em um painel de municípios entre 2005 e 2016. Significância: ***p&lt;0.01, **p&lt;0.05,*p&lt;0.1.</w:t>
      </w:r>
    </w:p>
    <w:p w:rsidR="000A4E38" w:rsidRDefault="000A4E38" w:rsidP="00514949">
      <w:pPr>
        <w:pStyle w:val="BNDES"/>
        <w:spacing w:after="120"/>
        <w:rPr>
          <w:rFonts w:ascii="Times New Roman" w:hAnsi="Times New Roman"/>
        </w:rPr>
      </w:pPr>
    </w:p>
    <w:p w:rsidR="000E3128" w:rsidRDefault="006C3AD0" w:rsidP="00514949">
      <w:pPr>
        <w:pStyle w:val="BNDES"/>
        <w:spacing w:after="120"/>
        <w:rPr>
          <w:rFonts w:ascii="Times New Roman" w:hAnsi="Times New Roman"/>
        </w:rPr>
      </w:pPr>
      <w:r w:rsidRPr="00492F3C">
        <w:rPr>
          <w:rFonts w:ascii="Times New Roman" w:hAnsi="Times New Roman"/>
        </w:rPr>
        <w:t xml:space="preserve">Uma vez </w:t>
      </w:r>
      <w:r w:rsidR="000E3128" w:rsidRPr="00492F3C">
        <w:rPr>
          <w:rFonts w:ascii="Times New Roman" w:hAnsi="Times New Roman"/>
        </w:rPr>
        <w:t>documentados</w:t>
      </w:r>
      <w:r w:rsidRPr="00492F3C">
        <w:rPr>
          <w:rFonts w:ascii="Times New Roman" w:hAnsi="Times New Roman"/>
        </w:rPr>
        <w:t xml:space="preserve"> o</w:t>
      </w:r>
      <w:r w:rsidR="000E3128" w:rsidRPr="00492F3C">
        <w:rPr>
          <w:rFonts w:ascii="Times New Roman" w:hAnsi="Times New Roman"/>
        </w:rPr>
        <w:t xml:space="preserve">s efeitos sobre a mortalidade infantil, algumas questões adicionais surgem. É de interesse para a formulação de políticas públicas, por exemplo, saber se os efeitos variam de acordo com a região do país. A Tabela </w:t>
      </w:r>
      <w:r w:rsidR="00403E82">
        <w:rPr>
          <w:rFonts w:ascii="Times New Roman" w:hAnsi="Times New Roman"/>
        </w:rPr>
        <w:t>6</w:t>
      </w:r>
      <w:r w:rsidR="000C7148" w:rsidRPr="00492F3C">
        <w:rPr>
          <w:rFonts w:ascii="Times New Roman" w:hAnsi="Times New Roman"/>
        </w:rPr>
        <w:t>, portanto, documenta a heterogeneidade regional dos efeitos da política analisada</w:t>
      </w:r>
      <w:r w:rsidR="000E3128" w:rsidRPr="00492F3C">
        <w:rPr>
          <w:rFonts w:ascii="Times New Roman" w:hAnsi="Times New Roman"/>
        </w:rPr>
        <w:t>. Para cada região, foi estimada uma regressão similar à estimação apresentada na Coluna (4) da Tabela 1. Na Coluna (1), são apresentados os resultados para a região Norte.</w:t>
      </w:r>
      <w:r w:rsidR="006949F7" w:rsidRPr="00492F3C">
        <w:rPr>
          <w:rFonts w:ascii="Times New Roman" w:hAnsi="Times New Roman"/>
        </w:rPr>
        <w:t xml:space="preserve"> </w:t>
      </w:r>
      <w:r w:rsidR="000C7148" w:rsidRPr="00492F3C">
        <w:rPr>
          <w:rFonts w:ascii="Times New Roman" w:hAnsi="Times New Roman"/>
        </w:rPr>
        <w:t>Como se observa, os</w:t>
      </w:r>
      <w:r w:rsidR="000C7148">
        <w:rPr>
          <w:rFonts w:ascii="Times New Roman" w:hAnsi="Times New Roman"/>
        </w:rPr>
        <w:t xml:space="preserve"> resultados apresentam significância estatística e possuem magnitude econômica: foram evitadas quase </w:t>
      </w:r>
      <w:proofErr w:type="gramStart"/>
      <w:r w:rsidR="000C7148">
        <w:rPr>
          <w:rFonts w:ascii="Times New Roman" w:hAnsi="Times New Roman"/>
        </w:rPr>
        <w:t>3</w:t>
      </w:r>
      <w:proofErr w:type="gramEnd"/>
      <w:r w:rsidR="000C7148">
        <w:rPr>
          <w:rFonts w:ascii="Times New Roman" w:hAnsi="Times New Roman"/>
        </w:rPr>
        <w:t xml:space="preserve"> mortes a cada mil nascidos na região, que possui taxa de mortalidade média de 17,6/mil nascidos. Trata-se de um efeito equivalente a 16,9% da média da variável dependente.</w:t>
      </w:r>
    </w:p>
    <w:p w:rsidR="00F308C5" w:rsidRDefault="00F308C5" w:rsidP="00514949">
      <w:pPr>
        <w:pStyle w:val="BNDES"/>
        <w:spacing w:after="120"/>
        <w:rPr>
          <w:rFonts w:ascii="Times New Roman" w:hAnsi="Times New Roman"/>
        </w:rPr>
      </w:pPr>
      <w:r>
        <w:rPr>
          <w:rFonts w:ascii="Times New Roman" w:hAnsi="Times New Roman"/>
        </w:rPr>
        <w:t>Na região Nordeste, como se observa na Coluna (2), os efeitos também possuem são significativos tanto do ponto de vista estatístico quanto econômico.</w:t>
      </w:r>
      <w:r w:rsidR="00E200A8">
        <w:rPr>
          <w:rFonts w:ascii="Times New Roman" w:hAnsi="Times New Roman"/>
        </w:rPr>
        <w:t xml:space="preserve"> A redução associada significou 9,3% da taxa média de mortalidade entre os municípios da região. Nas demais regiões do país, não foram </w:t>
      </w:r>
      <w:proofErr w:type="gramStart"/>
      <w:r w:rsidR="00084DEC">
        <w:rPr>
          <w:rFonts w:ascii="Times New Roman" w:hAnsi="Times New Roman"/>
        </w:rPr>
        <w:t>encontrados</w:t>
      </w:r>
      <w:proofErr w:type="gramEnd"/>
      <w:r w:rsidR="00E200A8">
        <w:rPr>
          <w:rFonts w:ascii="Times New Roman" w:hAnsi="Times New Roman"/>
        </w:rPr>
        <w:t xml:space="preserve"> resultados distintos de zero. </w:t>
      </w:r>
    </w:p>
    <w:p w:rsidR="000A4E38" w:rsidRDefault="000A4E38" w:rsidP="00514949">
      <w:pPr>
        <w:pStyle w:val="BNDES"/>
        <w:spacing w:after="120"/>
        <w:rPr>
          <w:rFonts w:ascii="Times New Roman" w:hAnsi="Times New Roman"/>
        </w:rPr>
      </w:pPr>
    </w:p>
    <w:p w:rsidR="004E6303" w:rsidRPr="000A4E38" w:rsidRDefault="004E6303" w:rsidP="00514949">
      <w:pPr>
        <w:pStyle w:val="BNDES"/>
        <w:keepNext/>
        <w:spacing w:after="120"/>
        <w:jc w:val="center"/>
        <w:rPr>
          <w:rFonts w:ascii="Times New Roman" w:hAnsi="Times New Roman"/>
        </w:rPr>
      </w:pPr>
      <w:r w:rsidRPr="00492F3C">
        <w:rPr>
          <w:rFonts w:ascii="Times New Roman" w:hAnsi="Times New Roman"/>
        </w:rPr>
        <w:t xml:space="preserve">Tabela </w:t>
      </w:r>
      <w:r w:rsidR="00403E82">
        <w:rPr>
          <w:rFonts w:ascii="Times New Roman" w:hAnsi="Times New Roman"/>
        </w:rPr>
        <w:t>6</w:t>
      </w:r>
      <w:r w:rsidRPr="00492F3C">
        <w:rPr>
          <w:rFonts w:ascii="Times New Roman" w:hAnsi="Times New Roman"/>
        </w:rPr>
        <w:t xml:space="preserve"> – Efeitos </w:t>
      </w:r>
      <w:r w:rsidR="00403E82">
        <w:rPr>
          <w:rFonts w:ascii="Times New Roman" w:hAnsi="Times New Roman"/>
        </w:rPr>
        <w:t>R</w:t>
      </w:r>
      <w:r w:rsidRPr="00492F3C">
        <w:rPr>
          <w:rFonts w:ascii="Times New Roman" w:hAnsi="Times New Roman"/>
        </w:rPr>
        <w:t xml:space="preserve">egionais sobre a </w:t>
      </w:r>
      <w:r w:rsidR="00403E82">
        <w:rPr>
          <w:rFonts w:ascii="Times New Roman" w:hAnsi="Times New Roman"/>
        </w:rPr>
        <w:t>T</w:t>
      </w:r>
      <w:r w:rsidRPr="00492F3C">
        <w:rPr>
          <w:rFonts w:ascii="Times New Roman" w:hAnsi="Times New Roman"/>
        </w:rPr>
        <w:t xml:space="preserve">axa de </w:t>
      </w:r>
      <w:r w:rsidR="00403E82">
        <w:rPr>
          <w:rFonts w:ascii="Times New Roman" w:hAnsi="Times New Roman"/>
        </w:rPr>
        <w:t>M</w:t>
      </w:r>
      <w:r w:rsidRPr="00492F3C">
        <w:rPr>
          <w:rFonts w:ascii="Times New Roman" w:hAnsi="Times New Roman"/>
        </w:rPr>
        <w:t xml:space="preserve">ortalidade </w:t>
      </w:r>
      <w:r w:rsidR="00403E82">
        <w:rPr>
          <w:rFonts w:ascii="Times New Roman" w:hAnsi="Times New Roman"/>
        </w:rPr>
        <w:t>I</w:t>
      </w:r>
      <w:r w:rsidRPr="00492F3C">
        <w:rPr>
          <w:rFonts w:ascii="Times New Roman" w:hAnsi="Times New Roman"/>
        </w:rPr>
        <w:t>nfantil</w:t>
      </w:r>
    </w:p>
    <w:tbl>
      <w:tblPr>
        <w:tblW w:w="8128" w:type="dxa"/>
        <w:jc w:val="center"/>
        <w:tblLayout w:type="fixed"/>
        <w:tblCellMar>
          <w:left w:w="75" w:type="dxa"/>
          <w:right w:w="75" w:type="dxa"/>
        </w:tblCellMar>
        <w:tblLook w:val="0000" w:firstRow="0" w:lastRow="0" w:firstColumn="0" w:lastColumn="0" w:noHBand="0" w:noVBand="0"/>
      </w:tblPr>
      <w:tblGrid>
        <w:gridCol w:w="2379"/>
        <w:gridCol w:w="1203"/>
        <w:gridCol w:w="1134"/>
        <w:gridCol w:w="1597"/>
        <w:gridCol w:w="851"/>
        <w:gridCol w:w="964"/>
      </w:tblGrid>
      <w:tr w:rsidR="006949F7" w:rsidTr="006949F7">
        <w:trPr>
          <w:jc w:val="center"/>
        </w:trPr>
        <w:tc>
          <w:tcPr>
            <w:tcW w:w="2379" w:type="dxa"/>
            <w:tcBorders>
              <w:top w:val="single" w:sz="6" w:space="0" w:color="auto"/>
              <w:left w:val="nil"/>
              <w:bottom w:val="nil"/>
              <w:right w:val="nil"/>
            </w:tcBorders>
          </w:tcPr>
          <w:p w:rsidR="006949F7" w:rsidRDefault="006949F7" w:rsidP="00514949">
            <w:pPr>
              <w:widowControl w:val="0"/>
              <w:autoSpaceDE w:val="0"/>
              <w:autoSpaceDN w:val="0"/>
              <w:adjustRightInd w:val="0"/>
              <w:rPr>
                <w:rFonts w:ascii="Times New Roman" w:hAnsi="Times New Roman"/>
              </w:rPr>
            </w:pPr>
          </w:p>
        </w:tc>
        <w:tc>
          <w:tcPr>
            <w:tcW w:w="1203" w:type="dxa"/>
            <w:tcBorders>
              <w:top w:val="single" w:sz="6" w:space="0" w:color="auto"/>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(1)</w:t>
            </w:r>
          </w:p>
        </w:tc>
        <w:tc>
          <w:tcPr>
            <w:tcW w:w="1134" w:type="dxa"/>
            <w:tcBorders>
              <w:top w:val="single" w:sz="6" w:space="0" w:color="auto"/>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(2)</w:t>
            </w:r>
          </w:p>
        </w:tc>
        <w:tc>
          <w:tcPr>
            <w:tcW w:w="1597" w:type="dxa"/>
            <w:tcBorders>
              <w:top w:val="single" w:sz="6" w:space="0" w:color="auto"/>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(3)</w:t>
            </w:r>
          </w:p>
        </w:tc>
        <w:tc>
          <w:tcPr>
            <w:tcW w:w="851" w:type="dxa"/>
            <w:tcBorders>
              <w:top w:val="single" w:sz="6" w:space="0" w:color="auto"/>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(4)</w:t>
            </w:r>
          </w:p>
        </w:tc>
        <w:tc>
          <w:tcPr>
            <w:tcW w:w="964" w:type="dxa"/>
            <w:tcBorders>
              <w:top w:val="single" w:sz="6" w:space="0" w:color="auto"/>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(5)</w:t>
            </w:r>
          </w:p>
        </w:tc>
      </w:tr>
      <w:tr w:rsidR="006949F7" w:rsidTr="006949F7">
        <w:trPr>
          <w:jc w:val="center"/>
        </w:trPr>
        <w:tc>
          <w:tcPr>
            <w:tcW w:w="2379" w:type="dxa"/>
            <w:tcBorders>
              <w:top w:val="nil"/>
              <w:left w:val="nil"/>
              <w:bottom w:val="single" w:sz="6" w:space="0" w:color="auto"/>
              <w:right w:val="nil"/>
            </w:tcBorders>
          </w:tcPr>
          <w:p w:rsidR="006949F7" w:rsidRDefault="008C6195" w:rsidP="00514949">
            <w:pPr>
              <w:widowControl w:val="0"/>
              <w:autoSpaceDE w:val="0"/>
              <w:autoSpaceDN w:val="0"/>
              <w:adjustRightInd w:val="0"/>
              <w:rPr>
                <w:rFonts w:ascii="Times New Roman" w:hAnsi="Times New Roman"/>
              </w:rPr>
            </w:pPr>
            <w:r>
              <w:rPr>
                <w:rFonts w:ascii="Times New Roman" w:hAnsi="Times New Roman"/>
              </w:rPr>
              <w:t>Variáveis</w:t>
            </w:r>
          </w:p>
        </w:tc>
        <w:tc>
          <w:tcPr>
            <w:tcW w:w="1203" w:type="dxa"/>
            <w:tcBorders>
              <w:top w:val="nil"/>
              <w:left w:val="nil"/>
              <w:bottom w:val="single" w:sz="6" w:space="0" w:color="auto"/>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Norte</w:t>
            </w:r>
          </w:p>
        </w:tc>
        <w:tc>
          <w:tcPr>
            <w:tcW w:w="1134" w:type="dxa"/>
            <w:tcBorders>
              <w:top w:val="nil"/>
              <w:left w:val="nil"/>
              <w:bottom w:val="single" w:sz="6" w:space="0" w:color="auto"/>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Nordeste</w:t>
            </w:r>
          </w:p>
        </w:tc>
        <w:tc>
          <w:tcPr>
            <w:tcW w:w="1597" w:type="dxa"/>
            <w:tcBorders>
              <w:top w:val="nil"/>
              <w:left w:val="nil"/>
              <w:bottom w:val="single" w:sz="6" w:space="0" w:color="auto"/>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Centro-Oeste</w:t>
            </w:r>
          </w:p>
        </w:tc>
        <w:tc>
          <w:tcPr>
            <w:tcW w:w="851" w:type="dxa"/>
            <w:tcBorders>
              <w:top w:val="nil"/>
              <w:left w:val="nil"/>
              <w:bottom w:val="single" w:sz="6" w:space="0" w:color="auto"/>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Sul</w:t>
            </w:r>
          </w:p>
        </w:tc>
        <w:tc>
          <w:tcPr>
            <w:tcW w:w="964" w:type="dxa"/>
            <w:tcBorders>
              <w:top w:val="nil"/>
              <w:left w:val="nil"/>
              <w:bottom w:val="single" w:sz="6" w:space="0" w:color="auto"/>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Sudeste</w:t>
            </w:r>
          </w:p>
        </w:tc>
      </w:tr>
      <w:tr w:rsidR="006949F7" w:rsidTr="006949F7">
        <w:trPr>
          <w:jc w:val="center"/>
        </w:trPr>
        <w:tc>
          <w:tcPr>
            <w:tcW w:w="2379" w:type="dxa"/>
            <w:tcBorders>
              <w:top w:val="nil"/>
              <w:left w:val="nil"/>
              <w:bottom w:val="nil"/>
              <w:right w:val="nil"/>
            </w:tcBorders>
          </w:tcPr>
          <w:p w:rsidR="006949F7" w:rsidRDefault="006949F7" w:rsidP="00514949">
            <w:pPr>
              <w:widowControl w:val="0"/>
              <w:autoSpaceDE w:val="0"/>
              <w:autoSpaceDN w:val="0"/>
              <w:adjustRightInd w:val="0"/>
              <w:rPr>
                <w:rFonts w:ascii="Times New Roman" w:hAnsi="Times New Roman"/>
              </w:rPr>
            </w:pPr>
          </w:p>
        </w:tc>
        <w:tc>
          <w:tcPr>
            <w:tcW w:w="1203"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c>
          <w:tcPr>
            <w:tcW w:w="113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c>
          <w:tcPr>
            <w:tcW w:w="1597"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c>
          <w:tcPr>
            <w:tcW w:w="851"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c>
          <w:tcPr>
            <w:tcW w:w="96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r>
      <w:tr w:rsidR="00413157" w:rsidTr="006949F7">
        <w:trPr>
          <w:jc w:val="center"/>
        </w:trPr>
        <w:tc>
          <w:tcPr>
            <w:tcW w:w="2379" w:type="dxa"/>
            <w:tcBorders>
              <w:top w:val="nil"/>
              <w:left w:val="nil"/>
              <w:bottom w:val="nil"/>
              <w:right w:val="nil"/>
            </w:tcBorders>
          </w:tcPr>
          <w:p w:rsidR="00413157" w:rsidRDefault="007D6AC9" w:rsidP="00514949">
            <w:pPr>
              <w:widowControl w:val="0"/>
              <w:autoSpaceDE w:val="0"/>
              <w:autoSpaceDN w:val="0"/>
              <w:adjustRightInd w:val="0"/>
              <w:rPr>
                <w:rFonts w:ascii="Times New Roman" w:hAnsi="Times New Roman"/>
              </w:rPr>
            </w:pPr>
            <w:r>
              <w:rPr>
                <w:rFonts w:ascii="Times New Roman" w:hAnsi="Times New Roman"/>
              </w:rPr>
              <w:t xml:space="preserve">Pós2012 </w:t>
            </w:r>
            <w:r w:rsidR="00413157">
              <w:rPr>
                <w:rFonts w:ascii="Times New Roman" w:hAnsi="Times New Roman"/>
              </w:rPr>
              <w:t>x Investe</w:t>
            </w:r>
          </w:p>
        </w:tc>
        <w:tc>
          <w:tcPr>
            <w:tcW w:w="1203"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-2.873*</w:t>
            </w:r>
          </w:p>
        </w:tc>
        <w:tc>
          <w:tcPr>
            <w:tcW w:w="1134"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-1.600**</w:t>
            </w:r>
          </w:p>
        </w:tc>
        <w:tc>
          <w:tcPr>
            <w:tcW w:w="1597"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3.266</w:t>
            </w:r>
          </w:p>
        </w:tc>
        <w:tc>
          <w:tcPr>
            <w:tcW w:w="851"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0.583</w:t>
            </w:r>
          </w:p>
        </w:tc>
        <w:tc>
          <w:tcPr>
            <w:tcW w:w="964"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-3.238*</w:t>
            </w:r>
          </w:p>
        </w:tc>
      </w:tr>
      <w:tr w:rsidR="00413157" w:rsidTr="006949F7">
        <w:trPr>
          <w:jc w:val="center"/>
        </w:trPr>
        <w:tc>
          <w:tcPr>
            <w:tcW w:w="2379" w:type="dxa"/>
            <w:tcBorders>
              <w:top w:val="nil"/>
              <w:left w:val="nil"/>
              <w:bottom w:val="nil"/>
              <w:right w:val="nil"/>
            </w:tcBorders>
          </w:tcPr>
          <w:p w:rsidR="00413157" w:rsidRDefault="00413157" w:rsidP="00514949">
            <w:pPr>
              <w:widowControl w:val="0"/>
              <w:autoSpaceDE w:val="0"/>
              <w:autoSpaceDN w:val="0"/>
              <w:adjustRightInd w:val="0"/>
              <w:rPr>
                <w:rFonts w:ascii="Times New Roman" w:hAnsi="Times New Roman"/>
              </w:rPr>
            </w:pPr>
          </w:p>
        </w:tc>
        <w:tc>
          <w:tcPr>
            <w:tcW w:w="1203"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(1.500)</w:t>
            </w:r>
          </w:p>
        </w:tc>
        <w:tc>
          <w:tcPr>
            <w:tcW w:w="1134"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(0.685)</w:t>
            </w:r>
          </w:p>
        </w:tc>
        <w:tc>
          <w:tcPr>
            <w:tcW w:w="1597"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(4.681)</w:t>
            </w:r>
          </w:p>
        </w:tc>
        <w:tc>
          <w:tcPr>
            <w:tcW w:w="851"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(1.446)</w:t>
            </w:r>
          </w:p>
        </w:tc>
        <w:tc>
          <w:tcPr>
            <w:tcW w:w="964"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(1.722)</w:t>
            </w:r>
          </w:p>
        </w:tc>
      </w:tr>
      <w:tr w:rsidR="006949F7" w:rsidTr="006949F7">
        <w:trPr>
          <w:jc w:val="center"/>
        </w:trPr>
        <w:tc>
          <w:tcPr>
            <w:tcW w:w="2379" w:type="dxa"/>
            <w:tcBorders>
              <w:top w:val="nil"/>
              <w:left w:val="nil"/>
              <w:bottom w:val="nil"/>
              <w:right w:val="nil"/>
            </w:tcBorders>
          </w:tcPr>
          <w:p w:rsidR="006949F7" w:rsidRDefault="006949F7" w:rsidP="00514949">
            <w:pPr>
              <w:widowControl w:val="0"/>
              <w:autoSpaceDE w:val="0"/>
              <w:autoSpaceDN w:val="0"/>
              <w:adjustRightInd w:val="0"/>
              <w:rPr>
                <w:rFonts w:ascii="Times New Roman" w:hAnsi="Times New Roman"/>
              </w:rPr>
            </w:pPr>
          </w:p>
        </w:tc>
        <w:tc>
          <w:tcPr>
            <w:tcW w:w="1203"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c>
          <w:tcPr>
            <w:tcW w:w="113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c>
          <w:tcPr>
            <w:tcW w:w="1597"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c>
          <w:tcPr>
            <w:tcW w:w="851"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c>
          <w:tcPr>
            <w:tcW w:w="96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p>
        </w:tc>
      </w:tr>
      <w:tr w:rsidR="00413157" w:rsidTr="006949F7">
        <w:trPr>
          <w:jc w:val="center"/>
        </w:trPr>
        <w:tc>
          <w:tcPr>
            <w:tcW w:w="2379" w:type="dxa"/>
            <w:tcBorders>
              <w:top w:val="nil"/>
              <w:left w:val="nil"/>
              <w:bottom w:val="nil"/>
              <w:right w:val="nil"/>
            </w:tcBorders>
          </w:tcPr>
          <w:p w:rsidR="00413157" w:rsidRDefault="00413157" w:rsidP="00514949">
            <w:pPr>
              <w:widowControl w:val="0"/>
              <w:autoSpaceDE w:val="0"/>
              <w:autoSpaceDN w:val="0"/>
              <w:adjustRightInd w:val="0"/>
              <w:rPr>
                <w:rFonts w:ascii="Times New Roman" w:hAnsi="Times New Roman"/>
              </w:rPr>
            </w:pPr>
            <w:proofErr w:type="spellStart"/>
            <w:r>
              <w:rPr>
                <w:rFonts w:ascii="Times New Roman" w:hAnsi="Times New Roman"/>
              </w:rPr>
              <w:t>Obs</w:t>
            </w:r>
            <w:proofErr w:type="spellEnd"/>
          </w:p>
        </w:tc>
        <w:tc>
          <w:tcPr>
            <w:tcW w:w="1203"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2,057</w:t>
            </w:r>
          </w:p>
        </w:tc>
        <w:tc>
          <w:tcPr>
            <w:tcW w:w="1134"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7,337</w:t>
            </w:r>
          </w:p>
        </w:tc>
        <w:tc>
          <w:tcPr>
            <w:tcW w:w="1597"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2,034</w:t>
            </w:r>
          </w:p>
        </w:tc>
        <w:tc>
          <w:tcPr>
            <w:tcW w:w="851"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5,566</w:t>
            </w:r>
          </w:p>
        </w:tc>
        <w:tc>
          <w:tcPr>
            <w:tcW w:w="964"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4,455</w:t>
            </w:r>
          </w:p>
        </w:tc>
      </w:tr>
      <w:tr w:rsidR="00413157" w:rsidTr="006949F7">
        <w:trPr>
          <w:jc w:val="center"/>
        </w:trPr>
        <w:tc>
          <w:tcPr>
            <w:tcW w:w="2379" w:type="dxa"/>
            <w:tcBorders>
              <w:top w:val="nil"/>
              <w:left w:val="nil"/>
              <w:bottom w:val="nil"/>
              <w:right w:val="nil"/>
            </w:tcBorders>
          </w:tcPr>
          <w:p w:rsidR="00413157" w:rsidRDefault="00413157" w:rsidP="00514949">
            <w:pPr>
              <w:widowControl w:val="0"/>
              <w:autoSpaceDE w:val="0"/>
              <w:autoSpaceDN w:val="0"/>
              <w:adjustRightInd w:val="0"/>
              <w:rPr>
                <w:rFonts w:ascii="Times New Roman" w:hAnsi="Times New Roman"/>
              </w:rPr>
            </w:pPr>
            <w:r>
              <w:rPr>
                <w:rFonts w:ascii="Times New Roman" w:hAnsi="Times New Roman"/>
              </w:rPr>
              <w:t>R-</w:t>
            </w:r>
            <w:proofErr w:type="spellStart"/>
            <w:r>
              <w:rPr>
                <w:rFonts w:ascii="Times New Roman" w:hAnsi="Times New Roman"/>
              </w:rPr>
              <w:t>squared</w:t>
            </w:r>
            <w:proofErr w:type="spellEnd"/>
          </w:p>
        </w:tc>
        <w:tc>
          <w:tcPr>
            <w:tcW w:w="1203"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0.187</w:t>
            </w:r>
          </w:p>
        </w:tc>
        <w:tc>
          <w:tcPr>
            <w:tcW w:w="1134"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0.159</w:t>
            </w:r>
          </w:p>
        </w:tc>
        <w:tc>
          <w:tcPr>
            <w:tcW w:w="1597"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0.255</w:t>
            </w:r>
          </w:p>
        </w:tc>
        <w:tc>
          <w:tcPr>
            <w:tcW w:w="851"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0.115</w:t>
            </w:r>
          </w:p>
        </w:tc>
        <w:tc>
          <w:tcPr>
            <w:tcW w:w="964" w:type="dxa"/>
            <w:tcBorders>
              <w:top w:val="nil"/>
              <w:left w:val="nil"/>
              <w:bottom w:val="nil"/>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0.151</w:t>
            </w:r>
          </w:p>
        </w:tc>
      </w:tr>
      <w:tr w:rsidR="006949F7" w:rsidTr="006949F7">
        <w:trPr>
          <w:jc w:val="center"/>
        </w:trPr>
        <w:tc>
          <w:tcPr>
            <w:tcW w:w="2379" w:type="dxa"/>
            <w:tcBorders>
              <w:top w:val="nil"/>
              <w:left w:val="nil"/>
              <w:bottom w:val="nil"/>
              <w:right w:val="nil"/>
            </w:tcBorders>
          </w:tcPr>
          <w:p w:rsidR="006949F7" w:rsidRDefault="006949F7" w:rsidP="00514949">
            <w:pPr>
              <w:widowControl w:val="0"/>
              <w:autoSpaceDE w:val="0"/>
              <w:autoSpaceDN w:val="0"/>
              <w:adjustRightInd w:val="0"/>
              <w:rPr>
                <w:rFonts w:ascii="Times New Roman" w:hAnsi="Times New Roman"/>
              </w:rPr>
            </w:pPr>
            <w:r>
              <w:rPr>
                <w:rFonts w:ascii="Times New Roman" w:hAnsi="Times New Roman"/>
              </w:rPr>
              <w:t>Controles</w:t>
            </w:r>
          </w:p>
        </w:tc>
        <w:tc>
          <w:tcPr>
            <w:tcW w:w="1203"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13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597"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851"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96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r>
      <w:tr w:rsidR="006949F7" w:rsidTr="006949F7">
        <w:trPr>
          <w:jc w:val="center"/>
        </w:trPr>
        <w:tc>
          <w:tcPr>
            <w:tcW w:w="2379" w:type="dxa"/>
            <w:tcBorders>
              <w:top w:val="nil"/>
              <w:left w:val="nil"/>
              <w:bottom w:val="nil"/>
              <w:right w:val="nil"/>
            </w:tcBorders>
          </w:tcPr>
          <w:p w:rsidR="006949F7" w:rsidRDefault="006949F7" w:rsidP="00514949">
            <w:pPr>
              <w:widowControl w:val="0"/>
              <w:autoSpaceDE w:val="0"/>
              <w:autoSpaceDN w:val="0"/>
              <w:adjustRightInd w:val="0"/>
              <w:rPr>
                <w:rFonts w:ascii="Times New Roman" w:hAnsi="Times New Roman"/>
              </w:rPr>
            </w:pPr>
            <w:r>
              <w:rPr>
                <w:rFonts w:ascii="Times New Roman" w:hAnsi="Times New Roman"/>
              </w:rPr>
              <w:t>EF de Município</w:t>
            </w:r>
          </w:p>
        </w:tc>
        <w:tc>
          <w:tcPr>
            <w:tcW w:w="1203"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13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597"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851"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96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r>
      <w:tr w:rsidR="006949F7" w:rsidTr="006949F7">
        <w:trPr>
          <w:jc w:val="center"/>
        </w:trPr>
        <w:tc>
          <w:tcPr>
            <w:tcW w:w="2379" w:type="dxa"/>
            <w:tcBorders>
              <w:top w:val="nil"/>
              <w:left w:val="nil"/>
              <w:bottom w:val="nil"/>
              <w:right w:val="nil"/>
            </w:tcBorders>
          </w:tcPr>
          <w:p w:rsidR="006949F7" w:rsidRDefault="006949F7" w:rsidP="00514949">
            <w:pPr>
              <w:widowControl w:val="0"/>
              <w:autoSpaceDE w:val="0"/>
              <w:autoSpaceDN w:val="0"/>
              <w:adjustRightInd w:val="0"/>
              <w:rPr>
                <w:rFonts w:ascii="Times New Roman" w:hAnsi="Times New Roman"/>
              </w:rPr>
            </w:pPr>
            <w:r>
              <w:rPr>
                <w:rFonts w:ascii="Times New Roman" w:hAnsi="Times New Roman"/>
              </w:rPr>
              <w:t>EF de Ano</w:t>
            </w:r>
          </w:p>
        </w:tc>
        <w:tc>
          <w:tcPr>
            <w:tcW w:w="1203"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13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597"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851"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964" w:type="dxa"/>
            <w:tcBorders>
              <w:top w:val="nil"/>
              <w:left w:val="nil"/>
              <w:bottom w:val="nil"/>
              <w:right w:val="nil"/>
            </w:tcBorders>
          </w:tcPr>
          <w:p w:rsidR="006949F7" w:rsidRDefault="006949F7" w:rsidP="00514949">
            <w:pPr>
              <w:widowControl w:val="0"/>
              <w:autoSpaceDE w:val="0"/>
              <w:autoSpaceDN w:val="0"/>
              <w:adjustRightInd w:val="0"/>
              <w:jc w:val="center"/>
              <w:rPr>
                <w:rFonts w:ascii="Times New Roman" w:hAnsi="Times New Roman"/>
              </w:rPr>
            </w:pPr>
            <w:r>
              <w:rPr>
                <w:rFonts w:ascii="Times New Roman" w:hAnsi="Times New Roman"/>
              </w:rPr>
              <w:t>S</w:t>
            </w:r>
          </w:p>
        </w:tc>
      </w:tr>
      <w:tr w:rsidR="00413157" w:rsidTr="006949F7">
        <w:tblPrEx>
          <w:tblBorders>
            <w:bottom w:val="single" w:sz="6" w:space="0" w:color="auto"/>
          </w:tblBorders>
        </w:tblPrEx>
        <w:trPr>
          <w:jc w:val="center"/>
        </w:trPr>
        <w:tc>
          <w:tcPr>
            <w:tcW w:w="2379" w:type="dxa"/>
            <w:tcBorders>
              <w:top w:val="nil"/>
              <w:left w:val="nil"/>
              <w:bottom w:val="single" w:sz="6" w:space="0" w:color="auto"/>
              <w:right w:val="nil"/>
            </w:tcBorders>
          </w:tcPr>
          <w:p w:rsidR="00413157" w:rsidRDefault="00413157" w:rsidP="00514949">
            <w:pPr>
              <w:widowControl w:val="0"/>
              <w:autoSpaceDE w:val="0"/>
              <w:autoSpaceDN w:val="0"/>
              <w:adjustRightInd w:val="0"/>
              <w:rPr>
                <w:rFonts w:ascii="Times New Roman" w:hAnsi="Times New Roman"/>
              </w:rPr>
            </w:pPr>
            <w:r>
              <w:rPr>
                <w:rFonts w:ascii="Times New Roman" w:hAnsi="Times New Roman"/>
              </w:rPr>
              <w:t>Número de municípios</w:t>
            </w:r>
          </w:p>
        </w:tc>
        <w:tc>
          <w:tcPr>
            <w:tcW w:w="1203" w:type="dxa"/>
            <w:tcBorders>
              <w:top w:val="nil"/>
              <w:left w:val="nil"/>
              <w:bottom w:val="single" w:sz="6" w:space="0" w:color="auto"/>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187</w:t>
            </w:r>
          </w:p>
        </w:tc>
        <w:tc>
          <w:tcPr>
            <w:tcW w:w="1134" w:type="dxa"/>
            <w:tcBorders>
              <w:top w:val="nil"/>
              <w:left w:val="nil"/>
              <w:bottom w:val="single" w:sz="6" w:space="0" w:color="auto"/>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667</w:t>
            </w:r>
          </w:p>
        </w:tc>
        <w:tc>
          <w:tcPr>
            <w:tcW w:w="1597" w:type="dxa"/>
            <w:tcBorders>
              <w:top w:val="nil"/>
              <w:left w:val="nil"/>
              <w:bottom w:val="single" w:sz="6" w:space="0" w:color="auto"/>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185</w:t>
            </w:r>
          </w:p>
        </w:tc>
        <w:tc>
          <w:tcPr>
            <w:tcW w:w="851" w:type="dxa"/>
            <w:tcBorders>
              <w:top w:val="nil"/>
              <w:left w:val="nil"/>
              <w:bottom w:val="single" w:sz="6" w:space="0" w:color="auto"/>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506</w:t>
            </w:r>
          </w:p>
        </w:tc>
        <w:tc>
          <w:tcPr>
            <w:tcW w:w="964" w:type="dxa"/>
            <w:tcBorders>
              <w:top w:val="nil"/>
              <w:left w:val="nil"/>
              <w:bottom w:val="single" w:sz="6" w:space="0" w:color="auto"/>
              <w:right w:val="nil"/>
            </w:tcBorders>
          </w:tcPr>
          <w:p w:rsidR="00413157" w:rsidRDefault="00413157" w:rsidP="00514949">
            <w:pPr>
              <w:widowControl w:val="0"/>
              <w:autoSpaceDE w:val="0"/>
              <w:autoSpaceDN w:val="0"/>
              <w:adjustRightInd w:val="0"/>
              <w:jc w:val="center"/>
              <w:rPr>
                <w:rFonts w:ascii="Times New Roman" w:hAnsi="Times New Roman"/>
              </w:rPr>
            </w:pPr>
            <w:r>
              <w:rPr>
                <w:rFonts w:ascii="Times New Roman" w:hAnsi="Times New Roman"/>
              </w:rPr>
              <w:t>405</w:t>
            </w:r>
          </w:p>
        </w:tc>
      </w:tr>
    </w:tbl>
    <w:p w:rsidR="006949F7" w:rsidRPr="006C3AD0" w:rsidRDefault="006949F7" w:rsidP="00514949">
      <w:pPr>
        <w:pStyle w:val="BNDES"/>
        <w:keepNext/>
        <w:spacing w:after="120"/>
        <w:ind w:left="284"/>
        <w:rPr>
          <w:rFonts w:ascii="Times New Roman" w:hAnsi="Times New Roman"/>
          <w:sz w:val="20"/>
          <w:szCs w:val="20"/>
        </w:rPr>
      </w:pPr>
      <w:r w:rsidRPr="006C3AD0">
        <w:rPr>
          <w:rFonts w:ascii="Times New Roman" w:hAnsi="Times New Roman"/>
          <w:sz w:val="20"/>
          <w:szCs w:val="20"/>
        </w:rPr>
        <w:t>Nota: Erros padrão com cluster por municípios. Análise baseada em um painel de municípios entre 2005 e 2016. Significância: ***p&lt;0.01, **p&lt;0.05,*p&lt;0.1.</w:t>
      </w:r>
    </w:p>
    <w:p w:rsidR="000A4E38" w:rsidRDefault="000A4E38" w:rsidP="00514949">
      <w:pPr>
        <w:pStyle w:val="BNDES"/>
        <w:spacing w:after="120"/>
        <w:rPr>
          <w:rFonts w:ascii="Times New Roman" w:hAnsi="Times New Roman"/>
        </w:rPr>
      </w:pPr>
    </w:p>
    <w:p w:rsidR="00C355D6" w:rsidRDefault="004E6303" w:rsidP="00514949">
      <w:pPr>
        <w:pStyle w:val="BNDES"/>
        <w:spacing w:after="120"/>
        <w:rPr>
          <w:rFonts w:ascii="Times New Roman" w:hAnsi="Times New Roman"/>
        </w:rPr>
      </w:pPr>
      <w:r>
        <w:rPr>
          <w:rFonts w:ascii="Times New Roman" w:hAnsi="Times New Roman"/>
        </w:rPr>
        <w:t>Os efeitos sobre redução da mortalidade infantil ocorreram justamente nos locais com maior deficiência na cobertura de esgoto. Estima-se que apenas 10,5% da população na região Norte seja atendida por esgotamento sanitário. Essa razão é 26,8% na região Nordeste, a segunda região do país com pior cobertura de esgoto. Desse modo, a significativa redução na mortalidade infantil nos municípios dessas regiões sinaliza uma relação custo-efetividade bastante favorável para o investimento em esgotamento sanitário onde a escassez de cobertura ainda é substancial.</w:t>
      </w:r>
    </w:p>
    <w:p w:rsidR="002B5E46" w:rsidRPr="00492F3C" w:rsidRDefault="00A87012" w:rsidP="00514949">
      <w:pPr>
        <w:pStyle w:val="BNDES"/>
        <w:spacing w:after="120"/>
        <w:rPr>
          <w:rFonts w:ascii="Times New Roman" w:hAnsi="Times New Roman"/>
        </w:rPr>
      </w:pPr>
      <w:r w:rsidRPr="00492F3C">
        <w:rPr>
          <w:rFonts w:ascii="Times New Roman" w:hAnsi="Times New Roman"/>
        </w:rPr>
        <w:t xml:space="preserve">A Tabela </w:t>
      </w:r>
      <w:r w:rsidR="00403E82">
        <w:rPr>
          <w:rFonts w:ascii="Times New Roman" w:hAnsi="Times New Roman"/>
        </w:rPr>
        <w:t>7</w:t>
      </w:r>
      <w:r w:rsidR="00E85474" w:rsidRPr="00492F3C">
        <w:rPr>
          <w:rFonts w:ascii="Times New Roman" w:hAnsi="Times New Roman"/>
        </w:rPr>
        <w:t>, no Painel A,</w:t>
      </w:r>
      <w:r w:rsidRPr="00492F3C">
        <w:rPr>
          <w:rFonts w:ascii="Times New Roman" w:hAnsi="Times New Roman"/>
        </w:rPr>
        <w:t xml:space="preserve"> apresenta os efeitos sobre taxas de mortalidade infantil por diferentes causas, de acordo com a </w:t>
      </w:r>
      <w:r w:rsidR="00207860" w:rsidRPr="00492F3C">
        <w:rPr>
          <w:rFonts w:ascii="Times New Roman" w:hAnsi="Times New Roman"/>
        </w:rPr>
        <w:t>C</w:t>
      </w:r>
      <w:r w:rsidRPr="00492F3C">
        <w:rPr>
          <w:rFonts w:ascii="Times New Roman" w:hAnsi="Times New Roman"/>
        </w:rPr>
        <w:t>lassificação</w:t>
      </w:r>
      <w:r w:rsidR="00207860" w:rsidRPr="00492F3C">
        <w:rPr>
          <w:rFonts w:ascii="Times New Roman" w:hAnsi="Times New Roman"/>
        </w:rPr>
        <w:t xml:space="preserve"> Internacional de Doenças -</w:t>
      </w:r>
      <w:r w:rsidRPr="00492F3C">
        <w:rPr>
          <w:rFonts w:ascii="Times New Roman" w:hAnsi="Times New Roman"/>
        </w:rPr>
        <w:t xml:space="preserve"> CID-10.</w:t>
      </w:r>
      <w:r w:rsidR="00207860" w:rsidRPr="00492F3C">
        <w:rPr>
          <w:rStyle w:val="Refdenotaderodap"/>
          <w:rFonts w:ascii="Times New Roman" w:hAnsi="Times New Roman"/>
        </w:rPr>
        <w:footnoteReference w:id="6"/>
      </w:r>
      <w:r w:rsidRPr="00492F3C">
        <w:rPr>
          <w:rFonts w:ascii="Times New Roman" w:hAnsi="Times New Roman"/>
        </w:rPr>
        <w:t xml:space="preserve"> Com isso, é possível reforçar o argumento de que os efeitos estimados sejam, de fato, relacionados à provisão de serviços de esgoto.</w:t>
      </w:r>
      <w:r w:rsidR="002B5E46" w:rsidRPr="00492F3C">
        <w:rPr>
          <w:rFonts w:ascii="Times New Roman" w:hAnsi="Times New Roman"/>
        </w:rPr>
        <w:t xml:space="preserve"> São estimadas os efeitos para mortes relacionadas </w:t>
      </w:r>
      <w:proofErr w:type="gramStart"/>
      <w:r w:rsidR="002B5E46" w:rsidRPr="00492F3C">
        <w:rPr>
          <w:rFonts w:ascii="Times New Roman" w:hAnsi="Times New Roman"/>
        </w:rPr>
        <w:t>a</w:t>
      </w:r>
      <w:proofErr w:type="gramEnd"/>
      <w:r w:rsidR="002B5E46" w:rsidRPr="00492F3C">
        <w:rPr>
          <w:rFonts w:ascii="Times New Roman" w:hAnsi="Times New Roman"/>
        </w:rPr>
        <w:t>: fatores congênitos</w:t>
      </w:r>
      <w:r w:rsidR="008C23E0" w:rsidRPr="00492F3C">
        <w:rPr>
          <w:rFonts w:ascii="Times New Roman" w:hAnsi="Times New Roman"/>
        </w:rPr>
        <w:t>;</w:t>
      </w:r>
      <w:r w:rsidR="002B5E46" w:rsidRPr="00492F3C">
        <w:rPr>
          <w:rFonts w:ascii="Times New Roman" w:hAnsi="Times New Roman"/>
        </w:rPr>
        <w:t xml:space="preserve"> </w:t>
      </w:r>
      <w:r w:rsidR="008C23E0" w:rsidRPr="00492F3C">
        <w:rPr>
          <w:rFonts w:ascii="Times New Roman" w:hAnsi="Times New Roman"/>
        </w:rPr>
        <w:t>doenças do aparelho circulatório; doenças do aparelho digestivo; neoplasias, doenças do aparelho respiratório e afecções originadas no período perinatal.</w:t>
      </w:r>
    </w:p>
    <w:p w:rsidR="00A87012" w:rsidRDefault="00E85474" w:rsidP="00514949">
      <w:pPr>
        <w:pStyle w:val="BNDES"/>
        <w:spacing w:after="120"/>
        <w:rPr>
          <w:rFonts w:ascii="Times New Roman" w:hAnsi="Times New Roman"/>
        </w:rPr>
      </w:pPr>
      <w:r w:rsidRPr="00492F3C">
        <w:rPr>
          <w:rFonts w:ascii="Times New Roman" w:hAnsi="Times New Roman"/>
        </w:rPr>
        <w:lastRenderedPageBreak/>
        <w:t xml:space="preserve">O Painel B da Tabela </w:t>
      </w:r>
      <w:r w:rsidR="00403E82">
        <w:rPr>
          <w:rFonts w:ascii="Times New Roman" w:hAnsi="Times New Roman"/>
        </w:rPr>
        <w:t>7</w:t>
      </w:r>
      <w:r w:rsidRPr="00492F3C">
        <w:rPr>
          <w:rFonts w:ascii="Times New Roman" w:hAnsi="Times New Roman"/>
        </w:rPr>
        <w:t>, por sua vez, apresenta estimações sobre outras variáveis relacionadas à saúde dos nascidos, tais como peso médio ao nascer, taxa de nascidos com baixo peso (&lt;2.500g) e taxa de gestações levadas a termo (entre 37 e 41 semanas).</w:t>
      </w:r>
    </w:p>
    <w:p w:rsidR="000A4E38" w:rsidRDefault="000A4E38" w:rsidP="00514949">
      <w:pPr>
        <w:pStyle w:val="BNDES"/>
        <w:spacing w:after="120"/>
        <w:rPr>
          <w:rFonts w:ascii="Times New Roman" w:hAnsi="Times New Roman"/>
        </w:rPr>
      </w:pPr>
    </w:p>
    <w:p w:rsidR="00DA4CA8" w:rsidRPr="000A4E38" w:rsidRDefault="00DA4CA8" w:rsidP="00514949">
      <w:pPr>
        <w:pStyle w:val="BNDES"/>
        <w:keepNext/>
        <w:spacing w:after="120"/>
        <w:jc w:val="center"/>
        <w:rPr>
          <w:rFonts w:ascii="Times New Roman" w:hAnsi="Times New Roman"/>
        </w:rPr>
      </w:pPr>
      <w:r w:rsidRPr="00492F3C">
        <w:rPr>
          <w:rFonts w:ascii="Times New Roman" w:hAnsi="Times New Roman"/>
        </w:rPr>
        <w:t xml:space="preserve">Tabela </w:t>
      </w:r>
      <w:r w:rsidR="00403E82">
        <w:rPr>
          <w:rFonts w:ascii="Times New Roman" w:hAnsi="Times New Roman"/>
        </w:rPr>
        <w:t>7</w:t>
      </w:r>
      <w:r w:rsidRPr="00492F3C">
        <w:rPr>
          <w:rFonts w:ascii="Times New Roman" w:hAnsi="Times New Roman"/>
        </w:rPr>
        <w:t xml:space="preserve"> – Efeitos sobre </w:t>
      </w:r>
      <w:r w:rsidR="00AE4B15">
        <w:rPr>
          <w:rFonts w:ascii="Times New Roman" w:hAnsi="Times New Roman"/>
        </w:rPr>
        <w:t>D</w:t>
      </w:r>
      <w:r w:rsidRPr="00492F3C">
        <w:rPr>
          <w:rFonts w:ascii="Times New Roman" w:hAnsi="Times New Roman"/>
        </w:rPr>
        <w:t xml:space="preserve">iferentes </w:t>
      </w:r>
      <w:r w:rsidR="00AE4B15">
        <w:rPr>
          <w:rFonts w:ascii="Times New Roman" w:hAnsi="Times New Roman"/>
        </w:rPr>
        <w:t>C</w:t>
      </w:r>
      <w:r w:rsidRPr="00492F3C">
        <w:rPr>
          <w:rFonts w:ascii="Times New Roman" w:hAnsi="Times New Roman"/>
        </w:rPr>
        <w:t xml:space="preserve">ausas de </w:t>
      </w:r>
      <w:r w:rsidR="00AE4B15">
        <w:rPr>
          <w:rFonts w:ascii="Times New Roman" w:hAnsi="Times New Roman"/>
        </w:rPr>
        <w:t>M</w:t>
      </w:r>
      <w:r w:rsidRPr="00492F3C">
        <w:rPr>
          <w:rFonts w:ascii="Times New Roman" w:hAnsi="Times New Roman"/>
        </w:rPr>
        <w:t xml:space="preserve">ortalidade </w:t>
      </w:r>
      <w:r w:rsidR="00AE4B15">
        <w:rPr>
          <w:rFonts w:ascii="Times New Roman" w:hAnsi="Times New Roman"/>
        </w:rPr>
        <w:t>I</w:t>
      </w:r>
      <w:r w:rsidRPr="00492F3C">
        <w:rPr>
          <w:rFonts w:ascii="Times New Roman" w:hAnsi="Times New Roman"/>
        </w:rPr>
        <w:t xml:space="preserve">nfantil, </w:t>
      </w:r>
      <w:r w:rsidR="00AE4B15">
        <w:rPr>
          <w:rFonts w:ascii="Times New Roman" w:hAnsi="Times New Roman"/>
        </w:rPr>
        <w:t>P</w:t>
      </w:r>
      <w:r w:rsidRPr="00492F3C">
        <w:rPr>
          <w:rFonts w:ascii="Times New Roman" w:hAnsi="Times New Roman"/>
        </w:rPr>
        <w:t xml:space="preserve">eso e </w:t>
      </w:r>
      <w:proofErr w:type="gramStart"/>
      <w:r w:rsidR="00AE4B15">
        <w:rPr>
          <w:rFonts w:ascii="Times New Roman" w:hAnsi="Times New Roman"/>
        </w:rPr>
        <w:t>G</w:t>
      </w:r>
      <w:r w:rsidRPr="00492F3C">
        <w:rPr>
          <w:rFonts w:ascii="Times New Roman" w:hAnsi="Times New Roman"/>
        </w:rPr>
        <w:t>estação</w:t>
      </w:r>
      <w:proofErr w:type="gramEnd"/>
    </w:p>
    <w:tbl>
      <w:tblPr>
        <w:tblW w:w="10738" w:type="dxa"/>
        <w:jc w:val="center"/>
        <w:tblLayout w:type="fixed"/>
        <w:tblCellMar>
          <w:left w:w="75" w:type="dxa"/>
          <w:right w:w="75" w:type="dxa"/>
        </w:tblCellMar>
        <w:tblLook w:val="0000" w:firstRow="0" w:lastRow="0" w:firstColumn="0" w:lastColumn="0" w:noHBand="0" w:noVBand="0"/>
      </w:tblPr>
      <w:tblGrid>
        <w:gridCol w:w="2378"/>
        <w:gridCol w:w="1301"/>
        <w:gridCol w:w="1725"/>
        <w:gridCol w:w="1611"/>
        <w:gridCol w:w="1287"/>
        <w:gridCol w:w="1370"/>
        <w:gridCol w:w="1066"/>
      </w:tblGrid>
      <w:tr w:rsidR="006D4360" w:rsidTr="002F308B">
        <w:trPr>
          <w:jc w:val="center"/>
        </w:trPr>
        <w:tc>
          <w:tcPr>
            <w:tcW w:w="2378" w:type="dxa"/>
            <w:tcBorders>
              <w:top w:val="single" w:sz="6" w:space="0" w:color="auto"/>
              <w:left w:val="nil"/>
              <w:right w:val="nil"/>
            </w:tcBorders>
          </w:tcPr>
          <w:p w:rsidR="00DA4CA8" w:rsidRDefault="00DA4CA8" w:rsidP="00514949">
            <w:pPr>
              <w:widowControl w:val="0"/>
              <w:autoSpaceDE w:val="0"/>
              <w:autoSpaceDN w:val="0"/>
              <w:adjustRightInd w:val="0"/>
              <w:rPr>
                <w:rFonts w:ascii="Times New Roman" w:hAnsi="Times New Roman"/>
              </w:rPr>
            </w:pPr>
          </w:p>
        </w:tc>
        <w:tc>
          <w:tcPr>
            <w:tcW w:w="1301" w:type="dxa"/>
            <w:tcBorders>
              <w:top w:val="single" w:sz="6" w:space="0" w:color="auto"/>
              <w:left w:val="nil"/>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(1)</w:t>
            </w:r>
          </w:p>
        </w:tc>
        <w:tc>
          <w:tcPr>
            <w:tcW w:w="1725" w:type="dxa"/>
            <w:tcBorders>
              <w:top w:val="single" w:sz="6" w:space="0" w:color="auto"/>
              <w:left w:val="nil"/>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(2)</w:t>
            </w:r>
          </w:p>
        </w:tc>
        <w:tc>
          <w:tcPr>
            <w:tcW w:w="1611" w:type="dxa"/>
            <w:tcBorders>
              <w:top w:val="single" w:sz="6" w:space="0" w:color="auto"/>
              <w:left w:val="nil"/>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(3)</w:t>
            </w:r>
          </w:p>
        </w:tc>
        <w:tc>
          <w:tcPr>
            <w:tcW w:w="1287" w:type="dxa"/>
            <w:tcBorders>
              <w:top w:val="single" w:sz="6" w:space="0" w:color="auto"/>
              <w:left w:val="nil"/>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(4)</w:t>
            </w:r>
          </w:p>
        </w:tc>
        <w:tc>
          <w:tcPr>
            <w:tcW w:w="1370" w:type="dxa"/>
            <w:tcBorders>
              <w:top w:val="single" w:sz="6" w:space="0" w:color="auto"/>
              <w:left w:val="nil"/>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(5)</w:t>
            </w:r>
          </w:p>
        </w:tc>
        <w:tc>
          <w:tcPr>
            <w:tcW w:w="1066" w:type="dxa"/>
            <w:tcBorders>
              <w:top w:val="single" w:sz="6" w:space="0" w:color="auto"/>
              <w:left w:val="nil"/>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(6)</w:t>
            </w:r>
          </w:p>
        </w:tc>
      </w:tr>
      <w:tr w:rsidR="00DA4CA8" w:rsidTr="002F308B">
        <w:trPr>
          <w:jc w:val="center"/>
        </w:trPr>
        <w:tc>
          <w:tcPr>
            <w:tcW w:w="2378" w:type="dxa"/>
            <w:tcBorders>
              <w:top w:val="nil"/>
              <w:left w:val="nil"/>
              <w:right w:val="nil"/>
            </w:tcBorders>
          </w:tcPr>
          <w:p w:rsidR="00DA4CA8" w:rsidRDefault="00DA4CA8" w:rsidP="00514949">
            <w:pPr>
              <w:widowControl w:val="0"/>
              <w:autoSpaceDE w:val="0"/>
              <w:autoSpaceDN w:val="0"/>
              <w:adjustRightInd w:val="0"/>
              <w:rPr>
                <w:rFonts w:ascii="Times New Roman" w:hAnsi="Times New Roman"/>
              </w:rPr>
            </w:pPr>
          </w:p>
        </w:tc>
        <w:tc>
          <w:tcPr>
            <w:tcW w:w="8360" w:type="dxa"/>
            <w:gridSpan w:val="6"/>
            <w:tcBorders>
              <w:top w:val="nil"/>
              <w:left w:val="nil"/>
              <w:right w:val="nil"/>
            </w:tcBorders>
          </w:tcPr>
          <w:p w:rsidR="00DA4CA8" w:rsidRPr="00DA4CA8" w:rsidRDefault="00DA4CA8" w:rsidP="00514949">
            <w:pPr>
              <w:widowControl w:val="0"/>
              <w:autoSpaceDE w:val="0"/>
              <w:autoSpaceDN w:val="0"/>
              <w:adjustRightInd w:val="0"/>
              <w:jc w:val="center"/>
              <w:rPr>
                <w:rFonts w:ascii="Times New Roman" w:hAnsi="Times New Roman"/>
                <w:i/>
              </w:rPr>
            </w:pPr>
          </w:p>
        </w:tc>
      </w:tr>
      <w:tr w:rsidR="00DA4CA8" w:rsidRPr="003E7C01" w:rsidTr="002F308B">
        <w:trPr>
          <w:jc w:val="center"/>
        </w:trPr>
        <w:tc>
          <w:tcPr>
            <w:tcW w:w="2378" w:type="dxa"/>
            <w:tcBorders>
              <w:top w:val="nil"/>
              <w:left w:val="nil"/>
              <w:right w:val="nil"/>
            </w:tcBorders>
          </w:tcPr>
          <w:p w:rsidR="00DA4CA8" w:rsidRPr="003E7C01" w:rsidRDefault="00DA4CA8" w:rsidP="00514949">
            <w:pPr>
              <w:widowControl w:val="0"/>
              <w:autoSpaceDE w:val="0"/>
              <w:autoSpaceDN w:val="0"/>
              <w:adjustRightInd w:val="0"/>
              <w:rPr>
                <w:rFonts w:ascii="Times New Roman" w:hAnsi="Times New Roman"/>
              </w:rPr>
            </w:pPr>
          </w:p>
        </w:tc>
        <w:tc>
          <w:tcPr>
            <w:tcW w:w="8360" w:type="dxa"/>
            <w:gridSpan w:val="6"/>
            <w:tcBorders>
              <w:top w:val="nil"/>
              <w:left w:val="nil"/>
              <w:right w:val="nil"/>
            </w:tcBorders>
          </w:tcPr>
          <w:p w:rsidR="00DA4CA8" w:rsidRPr="003E7C01" w:rsidRDefault="00DA4CA8" w:rsidP="00514949">
            <w:pPr>
              <w:widowControl w:val="0"/>
              <w:autoSpaceDE w:val="0"/>
              <w:autoSpaceDN w:val="0"/>
              <w:adjustRightInd w:val="0"/>
              <w:jc w:val="center"/>
              <w:rPr>
                <w:rFonts w:ascii="Times New Roman" w:hAnsi="Times New Roman"/>
                <w:b/>
              </w:rPr>
            </w:pPr>
            <w:r w:rsidRPr="003E7C01">
              <w:rPr>
                <w:rFonts w:ascii="Times New Roman" w:hAnsi="Times New Roman"/>
                <w:b/>
              </w:rPr>
              <w:t>Painel A: Causas de Mortalidade Infantil</w:t>
            </w:r>
          </w:p>
        </w:tc>
      </w:tr>
      <w:tr w:rsidR="006D4360" w:rsidTr="002F308B">
        <w:trPr>
          <w:jc w:val="center"/>
        </w:trPr>
        <w:tc>
          <w:tcPr>
            <w:tcW w:w="2378" w:type="dxa"/>
            <w:tcBorders>
              <w:left w:val="nil"/>
              <w:bottom w:val="single" w:sz="6" w:space="0" w:color="auto"/>
              <w:right w:val="nil"/>
            </w:tcBorders>
          </w:tcPr>
          <w:p w:rsidR="00DA4CA8" w:rsidRDefault="00DA4CA8" w:rsidP="00514949">
            <w:pPr>
              <w:widowControl w:val="0"/>
              <w:autoSpaceDE w:val="0"/>
              <w:autoSpaceDN w:val="0"/>
              <w:adjustRightInd w:val="0"/>
              <w:rPr>
                <w:rFonts w:ascii="Times New Roman" w:hAnsi="Times New Roman"/>
              </w:rPr>
            </w:pPr>
          </w:p>
        </w:tc>
        <w:tc>
          <w:tcPr>
            <w:tcW w:w="1301" w:type="dxa"/>
            <w:tcBorders>
              <w:left w:val="nil"/>
              <w:bottom w:val="single" w:sz="6" w:space="0" w:color="auto"/>
              <w:right w:val="nil"/>
            </w:tcBorders>
          </w:tcPr>
          <w:p w:rsidR="00DA4CA8" w:rsidRDefault="004C2508" w:rsidP="00514949">
            <w:pPr>
              <w:widowControl w:val="0"/>
              <w:autoSpaceDE w:val="0"/>
              <w:autoSpaceDN w:val="0"/>
              <w:adjustRightInd w:val="0"/>
              <w:jc w:val="center"/>
              <w:rPr>
                <w:rFonts w:ascii="Times New Roman" w:hAnsi="Times New Roman"/>
              </w:rPr>
            </w:pPr>
            <w:r>
              <w:rPr>
                <w:rFonts w:ascii="Times New Roman" w:hAnsi="Times New Roman"/>
              </w:rPr>
              <w:t>Congênitas</w:t>
            </w:r>
          </w:p>
        </w:tc>
        <w:tc>
          <w:tcPr>
            <w:tcW w:w="1725" w:type="dxa"/>
            <w:tcBorders>
              <w:left w:val="nil"/>
              <w:bottom w:val="single" w:sz="6" w:space="0" w:color="auto"/>
              <w:right w:val="nil"/>
            </w:tcBorders>
          </w:tcPr>
          <w:p w:rsidR="00DA4CA8" w:rsidRDefault="004C2508" w:rsidP="00514949">
            <w:pPr>
              <w:widowControl w:val="0"/>
              <w:autoSpaceDE w:val="0"/>
              <w:autoSpaceDN w:val="0"/>
              <w:adjustRightInd w:val="0"/>
              <w:jc w:val="center"/>
              <w:rPr>
                <w:rFonts w:ascii="Times New Roman" w:hAnsi="Times New Roman"/>
              </w:rPr>
            </w:pPr>
            <w:r>
              <w:rPr>
                <w:rFonts w:ascii="Times New Roman" w:hAnsi="Times New Roman"/>
              </w:rPr>
              <w:t>Circulatório</w:t>
            </w:r>
          </w:p>
        </w:tc>
        <w:tc>
          <w:tcPr>
            <w:tcW w:w="1611" w:type="dxa"/>
            <w:tcBorders>
              <w:left w:val="nil"/>
              <w:bottom w:val="single" w:sz="6" w:space="0" w:color="auto"/>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Digestivas</w:t>
            </w:r>
          </w:p>
        </w:tc>
        <w:tc>
          <w:tcPr>
            <w:tcW w:w="1287" w:type="dxa"/>
            <w:tcBorders>
              <w:left w:val="nil"/>
              <w:bottom w:val="single" w:sz="6" w:space="0" w:color="auto"/>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Neoplasias</w:t>
            </w:r>
          </w:p>
        </w:tc>
        <w:tc>
          <w:tcPr>
            <w:tcW w:w="1370" w:type="dxa"/>
            <w:tcBorders>
              <w:left w:val="nil"/>
              <w:bottom w:val="single" w:sz="6" w:space="0" w:color="auto"/>
              <w:right w:val="nil"/>
            </w:tcBorders>
          </w:tcPr>
          <w:p w:rsidR="00DA4CA8" w:rsidRDefault="004C2508" w:rsidP="00514949">
            <w:pPr>
              <w:widowControl w:val="0"/>
              <w:autoSpaceDE w:val="0"/>
              <w:autoSpaceDN w:val="0"/>
              <w:adjustRightInd w:val="0"/>
              <w:jc w:val="center"/>
              <w:rPr>
                <w:rFonts w:ascii="Times New Roman" w:hAnsi="Times New Roman"/>
              </w:rPr>
            </w:pPr>
            <w:r>
              <w:rPr>
                <w:rFonts w:ascii="Times New Roman" w:hAnsi="Times New Roman"/>
              </w:rPr>
              <w:t>Respiratório</w:t>
            </w:r>
          </w:p>
        </w:tc>
        <w:tc>
          <w:tcPr>
            <w:tcW w:w="1066" w:type="dxa"/>
            <w:tcBorders>
              <w:left w:val="nil"/>
              <w:bottom w:val="single" w:sz="6" w:space="0" w:color="auto"/>
              <w:right w:val="nil"/>
            </w:tcBorders>
          </w:tcPr>
          <w:p w:rsidR="00DA4CA8" w:rsidRDefault="00DA4CA8" w:rsidP="00514949">
            <w:pPr>
              <w:widowControl w:val="0"/>
              <w:autoSpaceDE w:val="0"/>
              <w:autoSpaceDN w:val="0"/>
              <w:adjustRightInd w:val="0"/>
              <w:jc w:val="center"/>
              <w:rPr>
                <w:rFonts w:ascii="Times New Roman" w:hAnsi="Times New Roman"/>
              </w:rPr>
            </w:pPr>
            <w:r>
              <w:rPr>
                <w:rFonts w:ascii="Times New Roman" w:hAnsi="Times New Roman"/>
              </w:rPr>
              <w:t>Perinatal</w:t>
            </w:r>
          </w:p>
        </w:tc>
      </w:tr>
      <w:tr w:rsidR="006D4360" w:rsidTr="002F308B">
        <w:trPr>
          <w:jc w:val="center"/>
        </w:trPr>
        <w:tc>
          <w:tcPr>
            <w:tcW w:w="2378" w:type="dxa"/>
            <w:tcBorders>
              <w:top w:val="nil"/>
              <w:left w:val="nil"/>
              <w:bottom w:val="nil"/>
              <w:right w:val="nil"/>
            </w:tcBorders>
          </w:tcPr>
          <w:p w:rsidR="00DA4CA8" w:rsidRDefault="00DA4CA8" w:rsidP="00514949">
            <w:pPr>
              <w:widowControl w:val="0"/>
              <w:autoSpaceDE w:val="0"/>
              <w:autoSpaceDN w:val="0"/>
              <w:adjustRightInd w:val="0"/>
              <w:rPr>
                <w:rFonts w:ascii="Times New Roman" w:hAnsi="Times New Roman"/>
              </w:rPr>
            </w:pPr>
          </w:p>
        </w:tc>
        <w:tc>
          <w:tcPr>
            <w:tcW w:w="1301" w:type="dxa"/>
            <w:tcBorders>
              <w:top w:val="nil"/>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725" w:type="dxa"/>
            <w:tcBorders>
              <w:top w:val="nil"/>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611" w:type="dxa"/>
            <w:tcBorders>
              <w:top w:val="nil"/>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287" w:type="dxa"/>
            <w:tcBorders>
              <w:top w:val="nil"/>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370" w:type="dxa"/>
            <w:tcBorders>
              <w:top w:val="nil"/>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066" w:type="dxa"/>
            <w:tcBorders>
              <w:top w:val="nil"/>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r>
      <w:tr w:rsidR="00397C1D" w:rsidTr="002F308B">
        <w:trPr>
          <w:jc w:val="center"/>
        </w:trPr>
        <w:tc>
          <w:tcPr>
            <w:tcW w:w="2378" w:type="dxa"/>
            <w:tcBorders>
              <w:top w:val="nil"/>
              <w:left w:val="nil"/>
              <w:bottom w:val="nil"/>
              <w:right w:val="nil"/>
            </w:tcBorders>
          </w:tcPr>
          <w:p w:rsidR="00397C1D" w:rsidRDefault="007D6AC9" w:rsidP="00514949">
            <w:pPr>
              <w:widowControl w:val="0"/>
              <w:autoSpaceDE w:val="0"/>
              <w:autoSpaceDN w:val="0"/>
              <w:adjustRightInd w:val="0"/>
              <w:rPr>
                <w:rFonts w:ascii="Times New Roman" w:hAnsi="Times New Roman"/>
              </w:rPr>
            </w:pPr>
            <w:r>
              <w:rPr>
                <w:rFonts w:ascii="Times New Roman" w:hAnsi="Times New Roman"/>
              </w:rPr>
              <w:t xml:space="preserve">Pós2012 </w:t>
            </w:r>
            <w:r w:rsidR="00397C1D">
              <w:rPr>
                <w:rFonts w:ascii="Times New Roman" w:hAnsi="Times New Roman"/>
              </w:rPr>
              <w:t>x Investe</w:t>
            </w:r>
          </w:p>
        </w:tc>
        <w:tc>
          <w:tcPr>
            <w:tcW w:w="1301"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0.082</w:t>
            </w:r>
          </w:p>
        </w:tc>
        <w:tc>
          <w:tcPr>
            <w:tcW w:w="1725"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0.006</w:t>
            </w:r>
          </w:p>
        </w:tc>
        <w:tc>
          <w:tcPr>
            <w:tcW w:w="1611"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-0.031</w:t>
            </w:r>
          </w:p>
        </w:tc>
        <w:tc>
          <w:tcPr>
            <w:tcW w:w="1287"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-0.020</w:t>
            </w:r>
          </w:p>
        </w:tc>
        <w:tc>
          <w:tcPr>
            <w:tcW w:w="1370"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-0.067</w:t>
            </w:r>
          </w:p>
        </w:tc>
        <w:tc>
          <w:tcPr>
            <w:tcW w:w="1066"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-0.838**</w:t>
            </w:r>
          </w:p>
        </w:tc>
      </w:tr>
      <w:tr w:rsidR="00397C1D" w:rsidTr="002F308B">
        <w:trPr>
          <w:jc w:val="center"/>
        </w:trPr>
        <w:tc>
          <w:tcPr>
            <w:tcW w:w="2378" w:type="dxa"/>
            <w:tcBorders>
              <w:top w:val="nil"/>
              <w:left w:val="nil"/>
              <w:bottom w:val="nil"/>
              <w:right w:val="nil"/>
            </w:tcBorders>
          </w:tcPr>
          <w:p w:rsidR="00397C1D" w:rsidRDefault="00397C1D" w:rsidP="00514949">
            <w:pPr>
              <w:widowControl w:val="0"/>
              <w:autoSpaceDE w:val="0"/>
              <w:autoSpaceDN w:val="0"/>
              <w:adjustRightInd w:val="0"/>
              <w:rPr>
                <w:rFonts w:ascii="Times New Roman" w:hAnsi="Times New Roman"/>
              </w:rPr>
            </w:pPr>
          </w:p>
        </w:tc>
        <w:tc>
          <w:tcPr>
            <w:tcW w:w="1301"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(0.214)</w:t>
            </w:r>
          </w:p>
        </w:tc>
        <w:tc>
          <w:tcPr>
            <w:tcW w:w="1725"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(0.049)</w:t>
            </w:r>
          </w:p>
        </w:tc>
        <w:tc>
          <w:tcPr>
            <w:tcW w:w="1611"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(0.034)</w:t>
            </w:r>
          </w:p>
        </w:tc>
        <w:tc>
          <w:tcPr>
            <w:tcW w:w="1287"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(0.024)</w:t>
            </w:r>
          </w:p>
        </w:tc>
        <w:tc>
          <w:tcPr>
            <w:tcW w:w="1370"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(0.090)</w:t>
            </w:r>
          </w:p>
        </w:tc>
        <w:tc>
          <w:tcPr>
            <w:tcW w:w="1066"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(0.374)</w:t>
            </w:r>
          </w:p>
        </w:tc>
      </w:tr>
      <w:tr w:rsidR="006D4360" w:rsidTr="002F308B">
        <w:trPr>
          <w:jc w:val="center"/>
        </w:trPr>
        <w:tc>
          <w:tcPr>
            <w:tcW w:w="2378" w:type="dxa"/>
            <w:tcBorders>
              <w:top w:val="nil"/>
              <w:left w:val="nil"/>
              <w:right w:val="nil"/>
            </w:tcBorders>
          </w:tcPr>
          <w:p w:rsidR="00DA4CA8" w:rsidRDefault="00DA4CA8" w:rsidP="00514949">
            <w:pPr>
              <w:widowControl w:val="0"/>
              <w:autoSpaceDE w:val="0"/>
              <w:autoSpaceDN w:val="0"/>
              <w:adjustRightInd w:val="0"/>
              <w:rPr>
                <w:rFonts w:ascii="Times New Roman" w:hAnsi="Times New Roman"/>
              </w:rPr>
            </w:pPr>
          </w:p>
        </w:tc>
        <w:tc>
          <w:tcPr>
            <w:tcW w:w="1301" w:type="dxa"/>
            <w:tcBorders>
              <w:top w:val="nil"/>
              <w:left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725" w:type="dxa"/>
            <w:tcBorders>
              <w:top w:val="nil"/>
              <w:left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611" w:type="dxa"/>
            <w:tcBorders>
              <w:top w:val="nil"/>
              <w:left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287" w:type="dxa"/>
            <w:tcBorders>
              <w:top w:val="nil"/>
              <w:left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370" w:type="dxa"/>
            <w:tcBorders>
              <w:top w:val="nil"/>
              <w:left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066" w:type="dxa"/>
            <w:tcBorders>
              <w:top w:val="nil"/>
              <w:left w:val="nil"/>
              <w:right w:val="nil"/>
            </w:tcBorders>
          </w:tcPr>
          <w:p w:rsidR="00DA4CA8" w:rsidRDefault="00DA4CA8" w:rsidP="00514949">
            <w:pPr>
              <w:widowControl w:val="0"/>
              <w:autoSpaceDE w:val="0"/>
              <w:autoSpaceDN w:val="0"/>
              <w:adjustRightInd w:val="0"/>
              <w:jc w:val="center"/>
              <w:rPr>
                <w:rFonts w:ascii="Times New Roman" w:hAnsi="Times New Roman"/>
              </w:rPr>
            </w:pPr>
          </w:p>
        </w:tc>
      </w:tr>
      <w:tr w:rsidR="00397C1D" w:rsidTr="002F308B">
        <w:trPr>
          <w:jc w:val="center"/>
        </w:trPr>
        <w:tc>
          <w:tcPr>
            <w:tcW w:w="2378" w:type="dxa"/>
            <w:tcBorders>
              <w:top w:val="nil"/>
              <w:left w:val="nil"/>
              <w:bottom w:val="single" w:sz="4" w:space="0" w:color="auto"/>
              <w:right w:val="nil"/>
            </w:tcBorders>
          </w:tcPr>
          <w:p w:rsidR="00397C1D" w:rsidRDefault="00397C1D" w:rsidP="00514949">
            <w:pPr>
              <w:widowControl w:val="0"/>
              <w:autoSpaceDE w:val="0"/>
              <w:autoSpaceDN w:val="0"/>
              <w:adjustRightInd w:val="0"/>
              <w:rPr>
                <w:rFonts w:ascii="Times New Roman" w:hAnsi="Times New Roman"/>
              </w:rPr>
            </w:pPr>
            <w:r>
              <w:rPr>
                <w:rFonts w:ascii="Times New Roman" w:hAnsi="Times New Roman"/>
              </w:rPr>
              <w:t>R-</w:t>
            </w:r>
            <w:proofErr w:type="spellStart"/>
            <w:r>
              <w:rPr>
                <w:rFonts w:ascii="Times New Roman" w:hAnsi="Times New Roman"/>
              </w:rPr>
              <w:t>squared</w:t>
            </w:r>
            <w:proofErr w:type="spellEnd"/>
          </w:p>
        </w:tc>
        <w:tc>
          <w:tcPr>
            <w:tcW w:w="1301"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0.097</w:t>
            </w:r>
          </w:p>
        </w:tc>
        <w:tc>
          <w:tcPr>
            <w:tcW w:w="1725"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0.095</w:t>
            </w:r>
          </w:p>
        </w:tc>
        <w:tc>
          <w:tcPr>
            <w:tcW w:w="1611"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0.095</w:t>
            </w:r>
          </w:p>
        </w:tc>
        <w:tc>
          <w:tcPr>
            <w:tcW w:w="1287"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0.090</w:t>
            </w:r>
          </w:p>
        </w:tc>
        <w:tc>
          <w:tcPr>
            <w:tcW w:w="1370"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0.161</w:t>
            </w:r>
          </w:p>
        </w:tc>
        <w:tc>
          <w:tcPr>
            <w:tcW w:w="1066"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0.131</w:t>
            </w:r>
          </w:p>
        </w:tc>
      </w:tr>
      <w:tr w:rsidR="006D4360" w:rsidTr="002F308B">
        <w:trPr>
          <w:jc w:val="center"/>
        </w:trPr>
        <w:tc>
          <w:tcPr>
            <w:tcW w:w="2378" w:type="dxa"/>
            <w:tcBorders>
              <w:top w:val="single" w:sz="4" w:space="0" w:color="auto"/>
              <w:left w:val="nil"/>
              <w:bottom w:val="nil"/>
              <w:right w:val="nil"/>
            </w:tcBorders>
          </w:tcPr>
          <w:p w:rsidR="00DA4CA8" w:rsidRDefault="00DA4CA8" w:rsidP="00514949">
            <w:pPr>
              <w:widowControl w:val="0"/>
              <w:autoSpaceDE w:val="0"/>
              <w:autoSpaceDN w:val="0"/>
              <w:adjustRightInd w:val="0"/>
              <w:rPr>
                <w:rFonts w:ascii="Times New Roman" w:hAnsi="Times New Roman"/>
              </w:rPr>
            </w:pPr>
          </w:p>
        </w:tc>
        <w:tc>
          <w:tcPr>
            <w:tcW w:w="1301" w:type="dxa"/>
            <w:tcBorders>
              <w:top w:val="single" w:sz="4" w:space="0" w:color="auto"/>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725" w:type="dxa"/>
            <w:tcBorders>
              <w:top w:val="single" w:sz="4" w:space="0" w:color="auto"/>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611" w:type="dxa"/>
            <w:tcBorders>
              <w:top w:val="single" w:sz="4" w:space="0" w:color="auto"/>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287" w:type="dxa"/>
            <w:tcBorders>
              <w:top w:val="single" w:sz="4" w:space="0" w:color="auto"/>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370" w:type="dxa"/>
            <w:tcBorders>
              <w:top w:val="single" w:sz="4" w:space="0" w:color="auto"/>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c>
          <w:tcPr>
            <w:tcW w:w="1066" w:type="dxa"/>
            <w:tcBorders>
              <w:top w:val="single" w:sz="4" w:space="0" w:color="auto"/>
              <w:left w:val="nil"/>
              <w:bottom w:val="nil"/>
              <w:right w:val="nil"/>
            </w:tcBorders>
          </w:tcPr>
          <w:p w:rsidR="00DA4CA8" w:rsidRDefault="00DA4CA8" w:rsidP="00514949">
            <w:pPr>
              <w:widowControl w:val="0"/>
              <w:autoSpaceDE w:val="0"/>
              <w:autoSpaceDN w:val="0"/>
              <w:adjustRightInd w:val="0"/>
              <w:jc w:val="center"/>
              <w:rPr>
                <w:rFonts w:ascii="Times New Roman" w:hAnsi="Times New Roman"/>
              </w:rPr>
            </w:pPr>
          </w:p>
        </w:tc>
      </w:tr>
      <w:tr w:rsidR="006D4360" w:rsidRPr="003E7C01" w:rsidTr="002F308B">
        <w:trPr>
          <w:jc w:val="center"/>
        </w:trPr>
        <w:tc>
          <w:tcPr>
            <w:tcW w:w="2378" w:type="dxa"/>
            <w:tcBorders>
              <w:top w:val="nil"/>
              <w:left w:val="nil"/>
              <w:right w:val="nil"/>
            </w:tcBorders>
          </w:tcPr>
          <w:p w:rsidR="006D4360" w:rsidRPr="003E7C01" w:rsidRDefault="006D4360" w:rsidP="00514949">
            <w:pPr>
              <w:widowControl w:val="0"/>
              <w:autoSpaceDE w:val="0"/>
              <w:autoSpaceDN w:val="0"/>
              <w:adjustRightInd w:val="0"/>
              <w:rPr>
                <w:rFonts w:ascii="Times New Roman" w:hAnsi="Times New Roman"/>
              </w:rPr>
            </w:pPr>
          </w:p>
        </w:tc>
        <w:tc>
          <w:tcPr>
            <w:tcW w:w="8360" w:type="dxa"/>
            <w:gridSpan w:val="6"/>
            <w:tcBorders>
              <w:top w:val="nil"/>
              <w:left w:val="nil"/>
              <w:right w:val="nil"/>
            </w:tcBorders>
          </w:tcPr>
          <w:p w:rsidR="006D4360" w:rsidRPr="003E7C01" w:rsidRDefault="006D4360" w:rsidP="00514949">
            <w:pPr>
              <w:widowControl w:val="0"/>
              <w:autoSpaceDE w:val="0"/>
              <w:autoSpaceDN w:val="0"/>
              <w:adjustRightInd w:val="0"/>
              <w:jc w:val="center"/>
              <w:rPr>
                <w:rFonts w:ascii="Times New Roman" w:hAnsi="Times New Roman"/>
                <w:b/>
              </w:rPr>
            </w:pPr>
            <w:r w:rsidRPr="003E7C01">
              <w:rPr>
                <w:rFonts w:ascii="Times New Roman" w:hAnsi="Times New Roman"/>
                <w:b/>
              </w:rPr>
              <w:t>Painel B: Peso ao nascer e Gestação</w:t>
            </w:r>
          </w:p>
        </w:tc>
      </w:tr>
      <w:tr w:rsidR="006D4360" w:rsidTr="002F308B">
        <w:tblPrEx>
          <w:tblBorders>
            <w:bottom w:val="single" w:sz="6" w:space="0" w:color="auto"/>
          </w:tblBorders>
        </w:tblPrEx>
        <w:trPr>
          <w:jc w:val="center"/>
        </w:trPr>
        <w:tc>
          <w:tcPr>
            <w:tcW w:w="2378" w:type="dxa"/>
            <w:tcBorders>
              <w:top w:val="nil"/>
              <w:left w:val="nil"/>
              <w:bottom w:val="single" w:sz="4" w:space="0" w:color="auto"/>
              <w:right w:val="nil"/>
            </w:tcBorders>
          </w:tcPr>
          <w:p w:rsidR="006D4360" w:rsidRDefault="006D4360" w:rsidP="00514949">
            <w:pPr>
              <w:widowControl w:val="0"/>
              <w:autoSpaceDE w:val="0"/>
              <w:autoSpaceDN w:val="0"/>
              <w:adjustRightInd w:val="0"/>
              <w:rPr>
                <w:rFonts w:ascii="Times New Roman" w:hAnsi="Times New Roman"/>
              </w:rPr>
            </w:pPr>
          </w:p>
        </w:tc>
        <w:tc>
          <w:tcPr>
            <w:tcW w:w="1301" w:type="dxa"/>
            <w:tcBorders>
              <w:top w:val="nil"/>
              <w:left w:val="nil"/>
              <w:bottom w:val="single" w:sz="4" w:space="0" w:color="auto"/>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Peso ao nascer</w:t>
            </w:r>
          </w:p>
        </w:tc>
        <w:tc>
          <w:tcPr>
            <w:tcW w:w="1725" w:type="dxa"/>
            <w:tcBorders>
              <w:top w:val="nil"/>
              <w:left w:val="nil"/>
              <w:bottom w:val="single" w:sz="4" w:space="0" w:color="auto"/>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Taxa Baixo Peso</w:t>
            </w:r>
          </w:p>
        </w:tc>
        <w:tc>
          <w:tcPr>
            <w:tcW w:w="1611" w:type="dxa"/>
            <w:tcBorders>
              <w:top w:val="nil"/>
              <w:left w:val="nil"/>
              <w:bottom w:val="single" w:sz="4" w:space="0" w:color="auto"/>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Taxa Gestação a termo</w:t>
            </w:r>
          </w:p>
        </w:tc>
        <w:tc>
          <w:tcPr>
            <w:tcW w:w="1287" w:type="dxa"/>
            <w:tcBorders>
              <w:top w:val="nil"/>
              <w:left w:val="nil"/>
              <w:bottom w:val="single" w:sz="4" w:space="0" w:color="auto"/>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370" w:type="dxa"/>
            <w:tcBorders>
              <w:top w:val="nil"/>
              <w:left w:val="nil"/>
              <w:bottom w:val="single" w:sz="4" w:space="0" w:color="auto"/>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066" w:type="dxa"/>
            <w:tcBorders>
              <w:top w:val="nil"/>
              <w:left w:val="nil"/>
              <w:bottom w:val="single" w:sz="4" w:space="0" w:color="auto"/>
              <w:right w:val="nil"/>
            </w:tcBorders>
          </w:tcPr>
          <w:p w:rsidR="006D4360" w:rsidRDefault="006D4360" w:rsidP="00514949">
            <w:pPr>
              <w:widowControl w:val="0"/>
              <w:autoSpaceDE w:val="0"/>
              <w:autoSpaceDN w:val="0"/>
              <w:adjustRightInd w:val="0"/>
              <w:jc w:val="center"/>
              <w:rPr>
                <w:rFonts w:ascii="Times New Roman" w:hAnsi="Times New Roman"/>
              </w:rPr>
            </w:pPr>
          </w:p>
        </w:tc>
      </w:tr>
      <w:tr w:rsidR="00C8044A" w:rsidTr="002F308B">
        <w:tblPrEx>
          <w:tblBorders>
            <w:bottom w:val="single" w:sz="6" w:space="0" w:color="auto"/>
          </w:tblBorders>
        </w:tblPrEx>
        <w:trPr>
          <w:jc w:val="center"/>
        </w:trPr>
        <w:tc>
          <w:tcPr>
            <w:tcW w:w="2378" w:type="dxa"/>
            <w:tcBorders>
              <w:top w:val="single" w:sz="4" w:space="0" w:color="auto"/>
              <w:left w:val="nil"/>
              <w:bottom w:val="nil"/>
              <w:right w:val="nil"/>
            </w:tcBorders>
          </w:tcPr>
          <w:p w:rsidR="00C8044A" w:rsidRDefault="00C8044A" w:rsidP="00514949">
            <w:pPr>
              <w:widowControl w:val="0"/>
              <w:autoSpaceDE w:val="0"/>
              <w:autoSpaceDN w:val="0"/>
              <w:adjustRightInd w:val="0"/>
              <w:rPr>
                <w:rFonts w:ascii="Times New Roman" w:hAnsi="Times New Roman"/>
              </w:rPr>
            </w:pPr>
          </w:p>
        </w:tc>
        <w:tc>
          <w:tcPr>
            <w:tcW w:w="1301" w:type="dxa"/>
            <w:tcBorders>
              <w:top w:val="single" w:sz="4" w:space="0" w:color="auto"/>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p>
        </w:tc>
        <w:tc>
          <w:tcPr>
            <w:tcW w:w="1725" w:type="dxa"/>
            <w:tcBorders>
              <w:top w:val="single" w:sz="4" w:space="0" w:color="auto"/>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p>
        </w:tc>
        <w:tc>
          <w:tcPr>
            <w:tcW w:w="1611" w:type="dxa"/>
            <w:tcBorders>
              <w:top w:val="single" w:sz="4" w:space="0" w:color="auto"/>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p>
        </w:tc>
        <w:tc>
          <w:tcPr>
            <w:tcW w:w="1287" w:type="dxa"/>
            <w:tcBorders>
              <w:top w:val="single" w:sz="4" w:space="0" w:color="auto"/>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p>
        </w:tc>
        <w:tc>
          <w:tcPr>
            <w:tcW w:w="1370" w:type="dxa"/>
            <w:tcBorders>
              <w:top w:val="single" w:sz="4" w:space="0" w:color="auto"/>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p>
        </w:tc>
        <w:tc>
          <w:tcPr>
            <w:tcW w:w="1066" w:type="dxa"/>
            <w:tcBorders>
              <w:top w:val="single" w:sz="4" w:space="0" w:color="auto"/>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p>
        </w:tc>
      </w:tr>
      <w:tr w:rsidR="008C6D03" w:rsidTr="002F308B">
        <w:tblPrEx>
          <w:tblBorders>
            <w:bottom w:val="single" w:sz="6" w:space="0" w:color="auto"/>
          </w:tblBorders>
        </w:tblPrEx>
        <w:trPr>
          <w:jc w:val="center"/>
        </w:trPr>
        <w:tc>
          <w:tcPr>
            <w:tcW w:w="2378" w:type="dxa"/>
            <w:tcBorders>
              <w:top w:val="nil"/>
              <w:left w:val="nil"/>
              <w:bottom w:val="nil"/>
              <w:right w:val="nil"/>
            </w:tcBorders>
          </w:tcPr>
          <w:p w:rsidR="008C6D03" w:rsidRDefault="008C6D03" w:rsidP="00514949">
            <w:pPr>
              <w:widowControl w:val="0"/>
              <w:autoSpaceDE w:val="0"/>
              <w:autoSpaceDN w:val="0"/>
              <w:adjustRightInd w:val="0"/>
              <w:rPr>
                <w:rFonts w:ascii="Times New Roman" w:hAnsi="Times New Roman"/>
              </w:rPr>
            </w:pPr>
            <w:r>
              <w:rPr>
                <w:rFonts w:ascii="Times New Roman" w:hAnsi="Times New Roman"/>
              </w:rPr>
              <w:t>Post2013 x Investe</w:t>
            </w:r>
          </w:p>
        </w:tc>
        <w:tc>
          <w:tcPr>
            <w:tcW w:w="1301"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12.650***</w:t>
            </w:r>
          </w:p>
        </w:tc>
        <w:tc>
          <w:tcPr>
            <w:tcW w:w="1725"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-0.002**</w:t>
            </w:r>
          </w:p>
        </w:tc>
        <w:tc>
          <w:tcPr>
            <w:tcW w:w="1611"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0.002</w:t>
            </w:r>
          </w:p>
        </w:tc>
        <w:tc>
          <w:tcPr>
            <w:tcW w:w="1287"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p>
        </w:tc>
        <w:tc>
          <w:tcPr>
            <w:tcW w:w="1370"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p>
        </w:tc>
        <w:tc>
          <w:tcPr>
            <w:tcW w:w="1066"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p>
        </w:tc>
      </w:tr>
      <w:tr w:rsidR="008C6D03" w:rsidTr="002F308B">
        <w:tblPrEx>
          <w:tblBorders>
            <w:bottom w:val="single" w:sz="6" w:space="0" w:color="auto"/>
          </w:tblBorders>
        </w:tblPrEx>
        <w:trPr>
          <w:jc w:val="center"/>
        </w:trPr>
        <w:tc>
          <w:tcPr>
            <w:tcW w:w="2378" w:type="dxa"/>
            <w:tcBorders>
              <w:top w:val="nil"/>
              <w:left w:val="nil"/>
              <w:bottom w:val="nil"/>
              <w:right w:val="nil"/>
            </w:tcBorders>
          </w:tcPr>
          <w:p w:rsidR="008C6D03" w:rsidRDefault="008C6D03" w:rsidP="00514949">
            <w:pPr>
              <w:widowControl w:val="0"/>
              <w:autoSpaceDE w:val="0"/>
              <w:autoSpaceDN w:val="0"/>
              <w:adjustRightInd w:val="0"/>
              <w:rPr>
                <w:rFonts w:ascii="Times New Roman" w:hAnsi="Times New Roman"/>
              </w:rPr>
            </w:pPr>
          </w:p>
        </w:tc>
        <w:tc>
          <w:tcPr>
            <w:tcW w:w="1301"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(2.909)</w:t>
            </w:r>
          </w:p>
        </w:tc>
        <w:tc>
          <w:tcPr>
            <w:tcW w:w="1725"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(0.001)</w:t>
            </w:r>
          </w:p>
        </w:tc>
        <w:tc>
          <w:tcPr>
            <w:tcW w:w="1611"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(0.003)</w:t>
            </w:r>
          </w:p>
        </w:tc>
        <w:tc>
          <w:tcPr>
            <w:tcW w:w="1287"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p>
        </w:tc>
        <w:tc>
          <w:tcPr>
            <w:tcW w:w="1370"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p>
        </w:tc>
        <w:tc>
          <w:tcPr>
            <w:tcW w:w="1066" w:type="dxa"/>
            <w:tcBorders>
              <w:top w:val="nil"/>
              <w:left w:val="nil"/>
              <w:bottom w:val="nil"/>
              <w:right w:val="nil"/>
            </w:tcBorders>
          </w:tcPr>
          <w:p w:rsidR="008C6D03" w:rsidRDefault="008C6D03" w:rsidP="00514949">
            <w:pPr>
              <w:widowControl w:val="0"/>
              <w:autoSpaceDE w:val="0"/>
              <w:autoSpaceDN w:val="0"/>
              <w:adjustRightInd w:val="0"/>
              <w:jc w:val="center"/>
              <w:rPr>
                <w:rFonts w:ascii="Times New Roman" w:hAnsi="Times New Roman"/>
              </w:rPr>
            </w:pPr>
          </w:p>
        </w:tc>
      </w:tr>
      <w:tr w:rsidR="006D4360" w:rsidTr="002F308B">
        <w:tblPrEx>
          <w:tblBorders>
            <w:bottom w:val="single" w:sz="6" w:space="0" w:color="auto"/>
          </w:tblBorders>
        </w:tblPrEx>
        <w:trPr>
          <w:jc w:val="center"/>
        </w:trPr>
        <w:tc>
          <w:tcPr>
            <w:tcW w:w="2378" w:type="dxa"/>
            <w:tcBorders>
              <w:top w:val="nil"/>
              <w:left w:val="nil"/>
              <w:bottom w:val="nil"/>
              <w:right w:val="nil"/>
            </w:tcBorders>
          </w:tcPr>
          <w:p w:rsidR="006D4360" w:rsidRDefault="006D4360" w:rsidP="00514949">
            <w:pPr>
              <w:widowControl w:val="0"/>
              <w:autoSpaceDE w:val="0"/>
              <w:autoSpaceDN w:val="0"/>
              <w:adjustRightInd w:val="0"/>
              <w:rPr>
                <w:rFonts w:ascii="Times New Roman" w:hAnsi="Times New Roman"/>
              </w:rPr>
            </w:pPr>
          </w:p>
        </w:tc>
        <w:tc>
          <w:tcPr>
            <w:tcW w:w="1301"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725"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611"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287"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370"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066"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r>
      <w:tr w:rsidR="008C6D03" w:rsidTr="002F308B">
        <w:tblPrEx>
          <w:tblBorders>
            <w:bottom w:val="single" w:sz="6" w:space="0" w:color="auto"/>
          </w:tblBorders>
        </w:tblPrEx>
        <w:trPr>
          <w:jc w:val="center"/>
        </w:trPr>
        <w:tc>
          <w:tcPr>
            <w:tcW w:w="2378" w:type="dxa"/>
            <w:tcBorders>
              <w:top w:val="nil"/>
              <w:left w:val="nil"/>
              <w:bottom w:val="single" w:sz="4" w:space="0" w:color="auto"/>
              <w:right w:val="nil"/>
            </w:tcBorders>
          </w:tcPr>
          <w:p w:rsidR="008C6D03" w:rsidRDefault="008C6D03" w:rsidP="00514949">
            <w:pPr>
              <w:widowControl w:val="0"/>
              <w:autoSpaceDE w:val="0"/>
              <w:autoSpaceDN w:val="0"/>
              <w:adjustRightInd w:val="0"/>
              <w:rPr>
                <w:rFonts w:ascii="Times New Roman" w:hAnsi="Times New Roman"/>
              </w:rPr>
            </w:pPr>
            <w:r>
              <w:rPr>
                <w:rFonts w:ascii="Times New Roman" w:hAnsi="Times New Roman"/>
              </w:rPr>
              <w:t>R-</w:t>
            </w:r>
            <w:proofErr w:type="spellStart"/>
            <w:r>
              <w:rPr>
                <w:rFonts w:ascii="Times New Roman" w:hAnsi="Times New Roman"/>
              </w:rPr>
              <w:t>squared</w:t>
            </w:r>
            <w:proofErr w:type="spellEnd"/>
          </w:p>
        </w:tc>
        <w:tc>
          <w:tcPr>
            <w:tcW w:w="1301" w:type="dxa"/>
            <w:tcBorders>
              <w:top w:val="nil"/>
              <w:left w:val="nil"/>
              <w:bottom w:val="single" w:sz="4" w:space="0" w:color="auto"/>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0.531</w:t>
            </w:r>
          </w:p>
        </w:tc>
        <w:tc>
          <w:tcPr>
            <w:tcW w:w="1725" w:type="dxa"/>
            <w:tcBorders>
              <w:top w:val="nil"/>
              <w:left w:val="nil"/>
              <w:bottom w:val="single" w:sz="4" w:space="0" w:color="auto"/>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0.238</w:t>
            </w:r>
          </w:p>
        </w:tc>
        <w:tc>
          <w:tcPr>
            <w:tcW w:w="1611" w:type="dxa"/>
            <w:tcBorders>
              <w:top w:val="nil"/>
              <w:left w:val="nil"/>
              <w:bottom w:val="single" w:sz="4" w:space="0" w:color="auto"/>
              <w:right w:val="nil"/>
            </w:tcBorders>
          </w:tcPr>
          <w:p w:rsidR="008C6D03" w:rsidRDefault="008C6D03" w:rsidP="00514949">
            <w:pPr>
              <w:widowControl w:val="0"/>
              <w:autoSpaceDE w:val="0"/>
              <w:autoSpaceDN w:val="0"/>
              <w:adjustRightInd w:val="0"/>
              <w:jc w:val="center"/>
              <w:rPr>
                <w:rFonts w:ascii="Times New Roman" w:hAnsi="Times New Roman"/>
              </w:rPr>
            </w:pPr>
            <w:r>
              <w:rPr>
                <w:rFonts w:ascii="Times New Roman" w:hAnsi="Times New Roman"/>
              </w:rPr>
              <w:t>0.540</w:t>
            </w:r>
          </w:p>
        </w:tc>
        <w:tc>
          <w:tcPr>
            <w:tcW w:w="1287" w:type="dxa"/>
            <w:tcBorders>
              <w:top w:val="nil"/>
              <w:left w:val="nil"/>
              <w:bottom w:val="single" w:sz="4" w:space="0" w:color="auto"/>
              <w:right w:val="nil"/>
            </w:tcBorders>
          </w:tcPr>
          <w:p w:rsidR="008C6D03" w:rsidRDefault="008C6D03" w:rsidP="00514949">
            <w:pPr>
              <w:widowControl w:val="0"/>
              <w:autoSpaceDE w:val="0"/>
              <w:autoSpaceDN w:val="0"/>
              <w:adjustRightInd w:val="0"/>
              <w:jc w:val="center"/>
              <w:rPr>
                <w:rFonts w:ascii="Times New Roman" w:hAnsi="Times New Roman"/>
              </w:rPr>
            </w:pPr>
          </w:p>
        </w:tc>
        <w:tc>
          <w:tcPr>
            <w:tcW w:w="1370" w:type="dxa"/>
            <w:tcBorders>
              <w:top w:val="nil"/>
              <w:left w:val="nil"/>
              <w:bottom w:val="single" w:sz="4" w:space="0" w:color="auto"/>
              <w:right w:val="nil"/>
            </w:tcBorders>
          </w:tcPr>
          <w:p w:rsidR="008C6D03" w:rsidRDefault="008C6D03" w:rsidP="00514949">
            <w:pPr>
              <w:widowControl w:val="0"/>
              <w:autoSpaceDE w:val="0"/>
              <w:autoSpaceDN w:val="0"/>
              <w:adjustRightInd w:val="0"/>
              <w:jc w:val="center"/>
              <w:rPr>
                <w:rFonts w:ascii="Times New Roman" w:hAnsi="Times New Roman"/>
              </w:rPr>
            </w:pPr>
          </w:p>
        </w:tc>
        <w:tc>
          <w:tcPr>
            <w:tcW w:w="1066" w:type="dxa"/>
            <w:tcBorders>
              <w:top w:val="nil"/>
              <w:left w:val="nil"/>
              <w:bottom w:val="single" w:sz="4" w:space="0" w:color="auto"/>
              <w:right w:val="nil"/>
            </w:tcBorders>
          </w:tcPr>
          <w:p w:rsidR="008C6D03" w:rsidRDefault="008C6D03" w:rsidP="00514949">
            <w:pPr>
              <w:widowControl w:val="0"/>
              <w:autoSpaceDE w:val="0"/>
              <w:autoSpaceDN w:val="0"/>
              <w:adjustRightInd w:val="0"/>
              <w:jc w:val="center"/>
              <w:rPr>
                <w:rFonts w:ascii="Times New Roman" w:hAnsi="Times New Roman"/>
              </w:rPr>
            </w:pPr>
          </w:p>
        </w:tc>
      </w:tr>
      <w:tr w:rsidR="006D4360" w:rsidTr="002F308B">
        <w:tblPrEx>
          <w:tblBorders>
            <w:bottom w:val="single" w:sz="6" w:space="0" w:color="auto"/>
          </w:tblBorders>
        </w:tblPrEx>
        <w:trPr>
          <w:jc w:val="center"/>
        </w:trPr>
        <w:tc>
          <w:tcPr>
            <w:tcW w:w="2378" w:type="dxa"/>
            <w:tcBorders>
              <w:top w:val="single" w:sz="4" w:space="0" w:color="auto"/>
              <w:left w:val="nil"/>
              <w:bottom w:val="nil"/>
              <w:right w:val="nil"/>
            </w:tcBorders>
          </w:tcPr>
          <w:p w:rsidR="006D4360" w:rsidRDefault="006D4360" w:rsidP="00514949">
            <w:pPr>
              <w:widowControl w:val="0"/>
              <w:autoSpaceDE w:val="0"/>
              <w:autoSpaceDN w:val="0"/>
              <w:adjustRightInd w:val="0"/>
              <w:rPr>
                <w:rFonts w:ascii="Times New Roman" w:hAnsi="Times New Roman"/>
              </w:rPr>
            </w:pPr>
          </w:p>
        </w:tc>
        <w:tc>
          <w:tcPr>
            <w:tcW w:w="1301" w:type="dxa"/>
            <w:tcBorders>
              <w:top w:val="single" w:sz="4" w:space="0" w:color="auto"/>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725" w:type="dxa"/>
            <w:tcBorders>
              <w:top w:val="single" w:sz="4" w:space="0" w:color="auto"/>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611" w:type="dxa"/>
            <w:tcBorders>
              <w:top w:val="single" w:sz="4" w:space="0" w:color="auto"/>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287" w:type="dxa"/>
            <w:tcBorders>
              <w:top w:val="single" w:sz="4" w:space="0" w:color="auto"/>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370" w:type="dxa"/>
            <w:tcBorders>
              <w:top w:val="single" w:sz="4" w:space="0" w:color="auto"/>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c>
          <w:tcPr>
            <w:tcW w:w="1066" w:type="dxa"/>
            <w:tcBorders>
              <w:top w:val="single" w:sz="4" w:space="0" w:color="auto"/>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p>
        </w:tc>
      </w:tr>
      <w:tr w:rsidR="00397C1D" w:rsidTr="002F308B">
        <w:tblPrEx>
          <w:tblBorders>
            <w:bottom w:val="single" w:sz="6" w:space="0" w:color="auto"/>
          </w:tblBorders>
        </w:tblPrEx>
        <w:trPr>
          <w:jc w:val="center"/>
        </w:trPr>
        <w:tc>
          <w:tcPr>
            <w:tcW w:w="2378" w:type="dxa"/>
            <w:tcBorders>
              <w:top w:val="nil"/>
              <w:left w:val="nil"/>
              <w:bottom w:val="nil"/>
              <w:right w:val="nil"/>
            </w:tcBorders>
          </w:tcPr>
          <w:p w:rsidR="00397C1D" w:rsidRDefault="00397C1D" w:rsidP="00514949">
            <w:pPr>
              <w:widowControl w:val="0"/>
              <w:autoSpaceDE w:val="0"/>
              <w:autoSpaceDN w:val="0"/>
              <w:adjustRightInd w:val="0"/>
              <w:rPr>
                <w:rFonts w:ascii="Times New Roman" w:hAnsi="Times New Roman"/>
              </w:rPr>
            </w:pPr>
            <w:proofErr w:type="spellStart"/>
            <w:r>
              <w:rPr>
                <w:rFonts w:ascii="Times New Roman" w:hAnsi="Times New Roman"/>
              </w:rPr>
              <w:t>Obs</w:t>
            </w:r>
            <w:proofErr w:type="spellEnd"/>
          </w:p>
        </w:tc>
        <w:tc>
          <w:tcPr>
            <w:tcW w:w="1301"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725"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611"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287"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370"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21,449</w:t>
            </w:r>
          </w:p>
        </w:tc>
        <w:tc>
          <w:tcPr>
            <w:tcW w:w="1066" w:type="dxa"/>
            <w:tcBorders>
              <w:top w:val="nil"/>
              <w:left w:val="nil"/>
              <w:bottom w:val="nil"/>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21,449</w:t>
            </w:r>
          </w:p>
        </w:tc>
      </w:tr>
      <w:tr w:rsidR="00C8044A" w:rsidTr="002F308B">
        <w:tblPrEx>
          <w:tblBorders>
            <w:bottom w:val="single" w:sz="6" w:space="0" w:color="auto"/>
          </w:tblBorders>
        </w:tblPrEx>
        <w:trPr>
          <w:jc w:val="center"/>
        </w:trPr>
        <w:tc>
          <w:tcPr>
            <w:tcW w:w="2378" w:type="dxa"/>
            <w:tcBorders>
              <w:top w:val="nil"/>
              <w:left w:val="nil"/>
              <w:bottom w:val="nil"/>
              <w:right w:val="nil"/>
            </w:tcBorders>
          </w:tcPr>
          <w:p w:rsidR="00C8044A" w:rsidRDefault="00C8044A" w:rsidP="00514949">
            <w:pPr>
              <w:widowControl w:val="0"/>
              <w:autoSpaceDE w:val="0"/>
              <w:autoSpaceDN w:val="0"/>
              <w:adjustRightInd w:val="0"/>
              <w:rPr>
                <w:rFonts w:ascii="Times New Roman" w:hAnsi="Times New Roman"/>
              </w:rPr>
            </w:pPr>
            <w:r>
              <w:rPr>
                <w:rFonts w:ascii="Times New Roman" w:hAnsi="Times New Roman"/>
              </w:rPr>
              <w:t>Controles</w:t>
            </w:r>
          </w:p>
        </w:tc>
        <w:tc>
          <w:tcPr>
            <w:tcW w:w="1301"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725"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611"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287"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370"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066"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r>
      <w:tr w:rsidR="00C8044A" w:rsidTr="002F308B">
        <w:tblPrEx>
          <w:tblBorders>
            <w:bottom w:val="single" w:sz="6" w:space="0" w:color="auto"/>
          </w:tblBorders>
        </w:tblPrEx>
        <w:trPr>
          <w:jc w:val="center"/>
        </w:trPr>
        <w:tc>
          <w:tcPr>
            <w:tcW w:w="2378" w:type="dxa"/>
            <w:tcBorders>
              <w:top w:val="nil"/>
              <w:left w:val="nil"/>
              <w:bottom w:val="nil"/>
              <w:right w:val="nil"/>
            </w:tcBorders>
          </w:tcPr>
          <w:p w:rsidR="00C8044A" w:rsidRDefault="00C8044A" w:rsidP="00514949">
            <w:pPr>
              <w:widowControl w:val="0"/>
              <w:autoSpaceDE w:val="0"/>
              <w:autoSpaceDN w:val="0"/>
              <w:adjustRightInd w:val="0"/>
              <w:rPr>
                <w:rFonts w:ascii="Times New Roman" w:hAnsi="Times New Roman"/>
              </w:rPr>
            </w:pPr>
            <w:r>
              <w:rPr>
                <w:rFonts w:ascii="Times New Roman" w:hAnsi="Times New Roman"/>
              </w:rPr>
              <w:t>EF de Município</w:t>
            </w:r>
          </w:p>
        </w:tc>
        <w:tc>
          <w:tcPr>
            <w:tcW w:w="1301"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725"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611"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287"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370"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066" w:type="dxa"/>
            <w:tcBorders>
              <w:top w:val="nil"/>
              <w:left w:val="nil"/>
              <w:bottom w:val="nil"/>
              <w:right w:val="nil"/>
            </w:tcBorders>
          </w:tcPr>
          <w:p w:rsidR="00C8044A" w:rsidRDefault="00C8044A" w:rsidP="00514949">
            <w:pPr>
              <w:widowControl w:val="0"/>
              <w:autoSpaceDE w:val="0"/>
              <w:autoSpaceDN w:val="0"/>
              <w:adjustRightInd w:val="0"/>
              <w:jc w:val="center"/>
              <w:rPr>
                <w:rFonts w:ascii="Times New Roman" w:hAnsi="Times New Roman"/>
              </w:rPr>
            </w:pPr>
            <w:r>
              <w:rPr>
                <w:rFonts w:ascii="Times New Roman" w:hAnsi="Times New Roman"/>
              </w:rPr>
              <w:t>S</w:t>
            </w:r>
          </w:p>
        </w:tc>
      </w:tr>
      <w:tr w:rsidR="006D4360" w:rsidTr="002F308B">
        <w:tblPrEx>
          <w:tblBorders>
            <w:bottom w:val="single" w:sz="6" w:space="0" w:color="auto"/>
          </w:tblBorders>
        </w:tblPrEx>
        <w:trPr>
          <w:jc w:val="center"/>
        </w:trPr>
        <w:tc>
          <w:tcPr>
            <w:tcW w:w="2378" w:type="dxa"/>
            <w:tcBorders>
              <w:top w:val="nil"/>
              <w:left w:val="nil"/>
              <w:bottom w:val="nil"/>
              <w:right w:val="nil"/>
            </w:tcBorders>
          </w:tcPr>
          <w:p w:rsidR="006D4360" w:rsidRDefault="006D4360" w:rsidP="00514949">
            <w:pPr>
              <w:widowControl w:val="0"/>
              <w:autoSpaceDE w:val="0"/>
              <w:autoSpaceDN w:val="0"/>
              <w:adjustRightInd w:val="0"/>
              <w:rPr>
                <w:rFonts w:ascii="Times New Roman" w:hAnsi="Times New Roman"/>
              </w:rPr>
            </w:pPr>
            <w:r>
              <w:rPr>
                <w:rFonts w:ascii="Times New Roman" w:hAnsi="Times New Roman"/>
              </w:rPr>
              <w:t>EF de Ano</w:t>
            </w:r>
          </w:p>
        </w:tc>
        <w:tc>
          <w:tcPr>
            <w:tcW w:w="1301"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725"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611"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287"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370"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S</w:t>
            </w:r>
          </w:p>
        </w:tc>
        <w:tc>
          <w:tcPr>
            <w:tcW w:w="1066" w:type="dxa"/>
            <w:tcBorders>
              <w:top w:val="nil"/>
              <w:left w:val="nil"/>
              <w:bottom w:val="nil"/>
              <w:right w:val="nil"/>
            </w:tcBorders>
          </w:tcPr>
          <w:p w:rsidR="006D4360" w:rsidRDefault="006D4360" w:rsidP="00514949">
            <w:pPr>
              <w:widowControl w:val="0"/>
              <w:autoSpaceDE w:val="0"/>
              <w:autoSpaceDN w:val="0"/>
              <w:adjustRightInd w:val="0"/>
              <w:jc w:val="center"/>
              <w:rPr>
                <w:rFonts w:ascii="Times New Roman" w:hAnsi="Times New Roman"/>
              </w:rPr>
            </w:pPr>
            <w:r>
              <w:rPr>
                <w:rFonts w:ascii="Times New Roman" w:hAnsi="Times New Roman"/>
              </w:rPr>
              <w:t>S</w:t>
            </w:r>
          </w:p>
        </w:tc>
      </w:tr>
      <w:tr w:rsidR="00397C1D" w:rsidTr="002F308B">
        <w:tblPrEx>
          <w:tblBorders>
            <w:bottom w:val="single" w:sz="6" w:space="0" w:color="auto"/>
          </w:tblBorders>
        </w:tblPrEx>
        <w:trPr>
          <w:jc w:val="center"/>
        </w:trPr>
        <w:tc>
          <w:tcPr>
            <w:tcW w:w="2378" w:type="dxa"/>
            <w:tcBorders>
              <w:top w:val="nil"/>
              <w:left w:val="nil"/>
              <w:bottom w:val="single" w:sz="4" w:space="0" w:color="auto"/>
              <w:right w:val="nil"/>
            </w:tcBorders>
          </w:tcPr>
          <w:p w:rsidR="00397C1D" w:rsidRDefault="00397C1D" w:rsidP="00514949">
            <w:pPr>
              <w:widowControl w:val="0"/>
              <w:autoSpaceDE w:val="0"/>
              <w:autoSpaceDN w:val="0"/>
              <w:adjustRightInd w:val="0"/>
              <w:rPr>
                <w:rFonts w:ascii="Times New Roman" w:hAnsi="Times New Roman"/>
              </w:rPr>
            </w:pPr>
            <w:r>
              <w:rPr>
                <w:rFonts w:ascii="Times New Roman" w:hAnsi="Times New Roman"/>
              </w:rPr>
              <w:t>Número de municípios</w:t>
            </w:r>
          </w:p>
        </w:tc>
        <w:tc>
          <w:tcPr>
            <w:tcW w:w="1301"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725"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611"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287"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370"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1950</w:t>
            </w:r>
          </w:p>
        </w:tc>
        <w:tc>
          <w:tcPr>
            <w:tcW w:w="1066" w:type="dxa"/>
            <w:tcBorders>
              <w:top w:val="nil"/>
              <w:left w:val="nil"/>
              <w:bottom w:val="single" w:sz="4" w:space="0" w:color="auto"/>
              <w:right w:val="nil"/>
            </w:tcBorders>
          </w:tcPr>
          <w:p w:rsidR="00397C1D" w:rsidRDefault="00397C1D" w:rsidP="00514949">
            <w:pPr>
              <w:widowControl w:val="0"/>
              <w:autoSpaceDE w:val="0"/>
              <w:autoSpaceDN w:val="0"/>
              <w:adjustRightInd w:val="0"/>
              <w:jc w:val="center"/>
              <w:rPr>
                <w:rFonts w:ascii="Times New Roman" w:hAnsi="Times New Roman"/>
              </w:rPr>
            </w:pPr>
            <w:r>
              <w:rPr>
                <w:rFonts w:ascii="Times New Roman" w:hAnsi="Times New Roman"/>
              </w:rPr>
              <w:t>1950</w:t>
            </w:r>
          </w:p>
        </w:tc>
      </w:tr>
    </w:tbl>
    <w:p w:rsidR="00207860" w:rsidRPr="006C3AD0" w:rsidRDefault="00207860" w:rsidP="00514949">
      <w:pPr>
        <w:pStyle w:val="BNDES"/>
        <w:keepNext/>
        <w:spacing w:after="120"/>
        <w:ind w:left="284"/>
        <w:rPr>
          <w:rFonts w:ascii="Times New Roman" w:hAnsi="Times New Roman"/>
          <w:sz w:val="20"/>
          <w:szCs w:val="20"/>
        </w:rPr>
      </w:pPr>
      <w:r w:rsidRPr="006C3AD0">
        <w:rPr>
          <w:rFonts w:ascii="Times New Roman" w:hAnsi="Times New Roman"/>
          <w:sz w:val="20"/>
          <w:szCs w:val="20"/>
        </w:rPr>
        <w:t>Nota: Erros padrão com cluster por municípios. Análise baseada em um painel de municípios entre 2005 e 2016. Significância: ***p&lt;0.01, **p&lt;0.05,*p&lt;0.1.</w:t>
      </w:r>
    </w:p>
    <w:p w:rsidR="000A4E38" w:rsidRDefault="000A4E38" w:rsidP="00514949">
      <w:pPr>
        <w:pStyle w:val="BNDES"/>
        <w:spacing w:after="120"/>
        <w:rPr>
          <w:rFonts w:ascii="Times New Roman" w:hAnsi="Times New Roman"/>
        </w:rPr>
      </w:pPr>
    </w:p>
    <w:p w:rsidR="006C3AD0" w:rsidRDefault="00F5415E" w:rsidP="00514949">
      <w:pPr>
        <w:pStyle w:val="BNDES"/>
        <w:spacing w:after="120"/>
        <w:rPr>
          <w:rFonts w:ascii="Times New Roman" w:hAnsi="Times New Roman"/>
        </w:rPr>
      </w:pPr>
      <w:r>
        <w:rPr>
          <w:rFonts w:ascii="Times New Roman" w:hAnsi="Times New Roman"/>
        </w:rPr>
        <w:t>Os resultados no Painel A apontam para efeitos negativos em todas as causas de mortalidade infantil analisadas.</w:t>
      </w:r>
      <w:r>
        <w:rPr>
          <w:rStyle w:val="Refdenotaderodap"/>
          <w:rFonts w:ascii="Times New Roman" w:hAnsi="Times New Roman"/>
        </w:rPr>
        <w:footnoteReference w:id="7"/>
      </w:r>
      <w:r>
        <w:rPr>
          <w:rFonts w:ascii="Times New Roman" w:hAnsi="Times New Roman"/>
        </w:rPr>
        <w:t xml:space="preserve"> No entanto, o coeficiente estimado é significativo</w:t>
      </w:r>
      <w:r w:rsidR="00160A28">
        <w:rPr>
          <w:rFonts w:ascii="Times New Roman" w:hAnsi="Times New Roman"/>
        </w:rPr>
        <w:t xml:space="preserve"> apenas para afecções no período perinatal</w:t>
      </w:r>
      <w:r w:rsidR="00232F15">
        <w:rPr>
          <w:rFonts w:ascii="Times New Roman" w:hAnsi="Times New Roman"/>
        </w:rPr>
        <w:t xml:space="preserve"> (Coluna (6))</w:t>
      </w:r>
      <w:r w:rsidR="00160A28">
        <w:rPr>
          <w:rFonts w:ascii="Times New Roman" w:hAnsi="Times New Roman"/>
        </w:rPr>
        <w:t>.</w:t>
      </w:r>
      <w:r w:rsidR="00983FEC">
        <w:rPr>
          <w:rFonts w:ascii="Times New Roman" w:hAnsi="Times New Roman"/>
        </w:rPr>
        <w:t xml:space="preserve"> O período perinatal começa na 22ª semana de gestação e dura até o sétimo dia de nascimento. Portanto, mortes relacionadas a esse período </w:t>
      </w:r>
      <w:proofErr w:type="gramStart"/>
      <w:r w:rsidR="00983FEC">
        <w:rPr>
          <w:rFonts w:ascii="Times New Roman" w:hAnsi="Times New Roman"/>
        </w:rPr>
        <w:t>refletem,</w:t>
      </w:r>
      <w:proofErr w:type="gramEnd"/>
      <w:r w:rsidR="00983FEC">
        <w:rPr>
          <w:rFonts w:ascii="Times New Roman" w:hAnsi="Times New Roman"/>
        </w:rPr>
        <w:t xml:space="preserve"> de algum modo, </w:t>
      </w:r>
      <w:r w:rsidR="0072726A">
        <w:rPr>
          <w:rFonts w:ascii="Times New Roman" w:hAnsi="Times New Roman"/>
        </w:rPr>
        <w:t>condições que afetam a saúde da gestante e dos recém-nascidos (WHO, 2006). Nesse sentido, fatores ambientais, como quantidade e qualidade da água, são fundamentais para a redução dessa causa de mortalidade infantil (Rocha e Soares, 2015).</w:t>
      </w:r>
    </w:p>
    <w:p w:rsidR="00D0771F" w:rsidRDefault="00D0771F" w:rsidP="00514949">
      <w:pPr>
        <w:pStyle w:val="BNDES"/>
        <w:spacing w:after="120"/>
        <w:rPr>
          <w:rFonts w:ascii="Times New Roman" w:hAnsi="Times New Roman"/>
        </w:rPr>
      </w:pPr>
      <w:r>
        <w:rPr>
          <w:rFonts w:ascii="Times New Roman" w:hAnsi="Times New Roman"/>
        </w:rPr>
        <w:t xml:space="preserve">No Painel B, são investigados os efeitos sobre variáveis relacionadas, de algum modo, à qualidade da gestação. </w:t>
      </w:r>
      <w:r w:rsidR="000C23E3">
        <w:rPr>
          <w:rFonts w:ascii="Times New Roman" w:hAnsi="Times New Roman"/>
        </w:rPr>
        <w:t>A Coluna (1) apresenta os efeitos estimados sobre o peso médio dos recém-nascidos para município. Em média, os municípios tratados observaram um aumento de 11,7 gramas no peso – o equivalente a 0,4% do peso médio ao nascer. De modo análogo, na Coluna (2) do Painel B, observa-se uma redução na taxa de nascidos com baixo peso</w:t>
      </w:r>
      <w:r w:rsidR="00EB1917">
        <w:rPr>
          <w:rFonts w:ascii="Times New Roman" w:hAnsi="Times New Roman"/>
        </w:rPr>
        <w:t xml:space="preserve"> em 0,2 pontos percentuais. Por fim, na Coluna (3) estima-se um efeito positivo, porém não significativo sobre a taxa de gestações a termo.</w:t>
      </w:r>
    </w:p>
    <w:p w:rsidR="00EB1917" w:rsidRDefault="00EB1917" w:rsidP="00514949">
      <w:pPr>
        <w:pStyle w:val="BNDES"/>
        <w:spacing w:after="120"/>
        <w:rPr>
          <w:rFonts w:ascii="Times New Roman" w:hAnsi="Times New Roman"/>
        </w:rPr>
      </w:pPr>
      <w:r>
        <w:rPr>
          <w:rFonts w:ascii="Times New Roman" w:hAnsi="Times New Roman"/>
        </w:rPr>
        <w:lastRenderedPageBreak/>
        <w:t>De forma geral, os resultados encontrados neste artigo corroboram a literatura sobre o tema, que atribui importância à provisão de água e esgoto adequados sobre indicadores de saúde, em especial, mortalidade infantil.</w:t>
      </w:r>
    </w:p>
    <w:p w:rsidR="000A4E38" w:rsidRDefault="000A4E38" w:rsidP="00514949">
      <w:pPr>
        <w:pStyle w:val="BNDES"/>
        <w:spacing w:after="120"/>
        <w:rPr>
          <w:rFonts w:ascii="Times New Roman" w:hAnsi="Times New Roman"/>
        </w:rPr>
      </w:pPr>
    </w:p>
    <w:p w:rsidR="008F6792" w:rsidRDefault="0072149E" w:rsidP="00514949">
      <w:pPr>
        <w:pStyle w:val="BNDES"/>
        <w:numPr>
          <w:ilvl w:val="0"/>
          <w:numId w:val="1"/>
        </w:numPr>
        <w:spacing w:after="120"/>
        <w:ind w:left="284" w:hanging="284"/>
        <w:rPr>
          <w:rFonts w:ascii="Times New Roman" w:hAnsi="Times New Roman"/>
          <w:b/>
        </w:rPr>
      </w:pPr>
      <w:r>
        <w:rPr>
          <w:rFonts w:ascii="Times New Roman" w:hAnsi="Times New Roman"/>
          <w:b/>
        </w:rPr>
        <w:t>Considerações Finais</w:t>
      </w:r>
    </w:p>
    <w:p w:rsidR="0072149E" w:rsidRDefault="004C03D3" w:rsidP="0072149E">
      <w:pPr>
        <w:pStyle w:val="BNDES"/>
        <w:spacing w:after="120"/>
        <w:rPr>
          <w:rFonts w:ascii="Times New Roman" w:hAnsi="Times New Roman"/>
        </w:rPr>
      </w:pPr>
      <w:r>
        <w:rPr>
          <w:rFonts w:ascii="Times New Roman" w:hAnsi="Times New Roman"/>
        </w:rPr>
        <w:t xml:space="preserve">O presente trabalho procurou fazer uma avaliação de impacto das mudanças institucionais do financiamento ao investimento em saneamento básico ocorridas durante o Plano de Aceleração do Crescimento (PAC), entre 2007 e 2010, sobre indicadores de mortalidade infantil nos municípios brasileiros. Para isso, comparou-se o desempenho de um conjunto de municípios que passaram a investir em esgotamento sanitário por meio de companhias municipais de prestação desses serviços a partir de 2009 com outro conjunto de municípios que não apresentaram informações sobre a prestação desses mesmos serviços em todo o período de análise (2005-2016), de modo que se pode assumir que não fizeram investimentos no setor. Para montar um grupo de municípios com características observáveis mais semelhantes aos municípios no grupo de tratamento, a avaliação foi baseada no método do </w:t>
      </w:r>
      <w:proofErr w:type="spellStart"/>
      <w:r w:rsidRPr="004C03D3">
        <w:rPr>
          <w:rFonts w:ascii="Times New Roman" w:hAnsi="Times New Roman"/>
          <w:i/>
        </w:rPr>
        <w:t>Propensity</w:t>
      </w:r>
      <w:proofErr w:type="spellEnd"/>
      <w:r w:rsidRPr="004C03D3">
        <w:rPr>
          <w:rFonts w:ascii="Times New Roman" w:hAnsi="Times New Roman"/>
          <w:i/>
        </w:rPr>
        <w:t xml:space="preserve"> Score </w:t>
      </w:r>
      <w:proofErr w:type="spellStart"/>
      <w:r w:rsidRPr="004C03D3">
        <w:rPr>
          <w:rFonts w:ascii="Times New Roman" w:hAnsi="Times New Roman"/>
          <w:i/>
        </w:rPr>
        <w:t>Matching</w:t>
      </w:r>
      <w:proofErr w:type="spellEnd"/>
      <w:r>
        <w:rPr>
          <w:rFonts w:ascii="Times New Roman" w:hAnsi="Times New Roman"/>
        </w:rPr>
        <w:t xml:space="preserve"> (PSM). Além disso, para lidar com um possível viés de seleção ao tratamento, </w:t>
      </w:r>
      <w:r w:rsidR="006037BB">
        <w:rPr>
          <w:rFonts w:ascii="Times New Roman" w:hAnsi="Times New Roman"/>
        </w:rPr>
        <w:t>foram utilizadas</w:t>
      </w:r>
      <w:r>
        <w:rPr>
          <w:rFonts w:ascii="Times New Roman" w:hAnsi="Times New Roman"/>
        </w:rPr>
        <w:t xml:space="preserve"> regressões por efeitos fixos, de modo a controlar características fixas não observáveis dos municípios que possam condicionar o acesso a recursos para investimento.</w:t>
      </w:r>
      <w:r w:rsidR="006037BB">
        <w:rPr>
          <w:rFonts w:ascii="Times New Roman" w:hAnsi="Times New Roman"/>
        </w:rPr>
        <w:t xml:space="preserve"> O trabalho observou efeitos negativos e significativos da política de descontigenciamento de crédito ao investimento em saneamento sobre a mortalidade infantil em todos os modelos estimados. Mais especificamente, os municípios tratados reduziram em uma morte para cada 1.000 nascidos vivos por ano. Os efeitos mostraram-se mais </w:t>
      </w:r>
      <w:proofErr w:type="gramStart"/>
      <w:r w:rsidR="006037BB">
        <w:rPr>
          <w:rFonts w:ascii="Times New Roman" w:hAnsi="Times New Roman"/>
        </w:rPr>
        <w:t>fortes nos municípios das regiões Norte</w:t>
      </w:r>
      <w:proofErr w:type="gramEnd"/>
      <w:r w:rsidR="006037BB">
        <w:rPr>
          <w:rFonts w:ascii="Times New Roman" w:hAnsi="Times New Roman"/>
        </w:rPr>
        <w:t xml:space="preserve"> e Nordeste do Brasil, para a mortalidade por afecções no período perinatal e </w:t>
      </w:r>
      <w:r w:rsidR="003E7C01">
        <w:rPr>
          <w:rFonts w:ascii="Times New Roman" w:hAnsi="Times New Roman"/>
        </w:rPr>
        <w:t>s</w:t>
      </w:r>
      <w:r w:rsidR="006037BB">
        <w:rPr>
          <w:rFonts w:ascii="Times New Roman" w:hAnsi="Times New Roman"/>
        </w:rPr>
        <w:t xml:space="preserve">obre o peso médio do recém-nascido. Os resultados verificados encontram-se em acordo com trabalhos anteriores semelhantes, como os de </w:t>
      </w:r>
      <w:proofErr w:type="spellStart"/>
      <w:r w:rsidR="006037BB">
        <w:rPr>
          <w:rFonts w:ascii="Times New Roman" w:hAnsi="Times New Roman"/>
        </w:rPr>
        <w:t>Saiani</w:t>
      </w:r>
      <w:proofErr w:type="spellEnd"/>
      <w:r w:rsidR="006037BB">
        <w:rPr>
          <w:rFonts w:ascii="Times New Roman" w:hAnsi="Times New Roman"/>
        </w:rPr>
        <w:t xml:space="preserve"> e Azevedo (2018)</w:t>
      </w:r>
      <w:r w:rsidR="00557FF4">
        <w:rPr>
          <w:rFonts w:ascii="Times New Roman" w:hAnsi="Times New Roman"/>
        </w:rPr>
        <w:t xml:space="preserve"> e de </w:t>
      </w:r>
      <w:proofErr w:type="spellStart"/>
      <w:r w:rsidR="00557FF4">
        <w:rPr>
          <w:rFonts w:ascii="Times New Roman" w:hAnsi="Times New Roman"/>
        </w:rPr>
        <w:t>Scriptore</w:t>
      </w:r>
      <w:proofErr w:type="spellEnd"/>
      <w:r w:rsidR="00557FF4">
        <w:rPr>
          <w:rFonts w:ascii="Times New Roman" w:hAnsi="Times New Roman"/>
        </w:rPr>
        <w:t xml:space="preserve"> </w:t>
      </w:r>
      <w:proofErr w:type="gramStart"/>
      <w:r w:rsidR="00557FF4">
        <w:rPr>
          <w:rFonts w:ascii="Times New Roman" w:hAnsi="Times New Roman"/>
        </w:rPr>
        <w:t>et</w:t>
      </w:r>
      <w:proofErr w:type="gramEnd"/>
      <w:r w:rsidR="00557FF4">
        <w:rPr>
          <w:rFonts w:ascii="Times New Roman" w:hAnsi="Times New Roman"/>
        </w:rPr>
        <w:t xml:space="preserve"> al (2018).</w:t>
      </w:r>
    </w:p>
    <w:p w:rsidR="006037BB" w:rsidRDefault="006037BB" w:rsidP="0072149E">
      <w:pPr>
        <w:pStyle w:val="BNDES"/>
        <w:spacing w:after="120"/>
        <w:rPr>
          <w:rFonts w:ascii="Times New Roman" w:hAnsi="Times New Roman"/>
        </w:rPr>
      </w:pPr>
      <w:r>
        <w:rPr>
          <w:rFonts w:ascii="Times New Roman" w:hAnsi="Times New Roman"/>
        </w:rPr>
        <w:t>O artigo procurou preencher uma lacuna na bibliografia, derivada da escassez de avaliações de impacto de políticas de saneamento no Brasil, apesar das conhecidas deficiências do país nesse setor. A maior parte da literatura empírica levantada dedica-se a verificar os impactos dos investimentos em saneamento em geral, sem considerações de ordem institucional. No máximo, há avaliações sobre efeitos de privatizações na área</w:t>
      </w:r>
      <w:r w:rsidR="00557FF4">
        <w:rPr>
          <w:rFonts w:ascii="Times New Roman" w:hAnsi="Times New Roman"/>
        </w:rPr>
        <w:t>, e são trabalhos muito recentes</w:t>
      </w:r>
      <w:r>
        <w:rPr>
          <w:rFonts w:ascii="Times New Roman" w:hAnsi="Times New Roman"/>
        </w:rPr>
        <w:t xml:space="preserve">. Apenas </w:t>
      </w:r>
      <w:proofErr w:type="spellStart"/>
      <w:r>
        <w:rPr>
          <w:rFonts w:ascii="Times New Roman" w:hAnsi="Times New Roman"/>
        </w:rPr>
        <w:t>Kresch</w:t>
      </w:r>
      <w:proofErr w:type="spellEnd"/>
      <w:r>
        <w:rPr>
          <w:rFonts w:ascii="Times New Roman" w:hAnsi="Times New Roman"/>
        </w:rPr>
        <w:t xml:space="preserve"> (2017) procurou</w:t>
      </w:r>
      <w:r w:rsidR="00557FF4">
        <w:rPr>
          <w:rFonts w:ascii="Times New Roman" w:hAnsi="Times New Roman"/>
        </w:rPr>
        <w:t xml:space="preserve"> investigar efeitos de mudanças institucionais recentes sobre os incentivos ao investimento público no setor. Todavia, esse trabalho não procurou identificar efeitos desses investimentos em indicadores de bem-estar.</w:t>
      </w:r>
    </w:p>
    <w:p w:rsidR="00557FF4" w:rsidRDefault="00557FF4" w:rsidP="0072149E">
      <w:pPr>
        <w:pStyle w:val="BNDES"/>
        <w:spacing w:after="120"/>
        <w:rPr>
          <w:rFonts w:ascii="Times New Roman" w:hAnsi="Times New Roman"/>
        </w:rPr>
      </w:pPr>
      <w:r>
        <w:rPr>
          <w:rFonts w:ascii="Times New Roman" w:hAnsi="Times New Roman"/>
        </w:rPr>
        <w:t>É importante destacar que o presente trabalho observou apenas os municípios com companhias municipais de prestação de serviços de esgotamento sanitário. Dessa maneira, os efeitos capturados das mudanças institucionais sobre os investimentos e suas consequências em termos de bem-estar são parciais. Além disso, os efeitos de investimento em saneamento básico costumam ter natureza de longo prazo, de modo que os resultados até aqui obtidos podem se alterar conforme os dados são atualizados.</w:t>
      </w:r>
    </w:p>
    <w:p w:rsidR="00557FF4" w:rsidRPr="004C03D3" w:rsidRDefault="00557FF4" w:rsidP="0072149E">
      <w:pPr>
        <w:pStyle w:val="BNDES"/>
        <w:spacing w:after="120"/>
        <w:rPr>
          <w:rFonts w:ascii="Times New Roman" w:hAnsi="Times New Roman"/>
        </w:rPr>
      </w:pPr>
      <w:r>
        <w:rPr>
          <w:rFonts w:ascii="Times New Roman" w:hAnsi="Times New Roman"/>
        </w:rPr>
        <w:t>Dessa maneira, há uma extensa agenda futura de novas investigações nesse tema. Em primeiro lugar, cabe identificar novas alterações institucionais sobre incentivos a investimentos em saneamento básico no Brasil, de modo a fomentar novas avaliações com outros grupos de municípios tratados e de controle. Além disso, é importante ter avaliações com foco nos efeitos de longo prazo dos investimentos no setor. Por outro lado, as variáveis de interesse em termos de bem-estar propiciado pela expansão da cobertura do esgotamento sanitário podem ser expandidas, como em termos de mortalidade total da população, custos de doenças causadas por escassez de saneamento sobre o sistema de saúde e indicadores de educação. Trata-se de uma agenda longa de pesquisas, devido novamente ao fato de que as avaliações de políticas de saneamento no Brasil são escassas e recentes.</w:t>
      </w:r>
    </w:p>
    <w:p w:rsidR="000A4E38" w:rsidRDefault="000A4E38" w:rsidP="000A4E38">
      <w:pPr>
        <w:pStyle w:val="BNDES"/>
        <w:spacing w:after="120"/>
        <w:ind w:left="284"/>
        <w:rPr>
          <w:rFonts w:ascii="Times New Roman" w:hAnsi="Times New Roman"/>
          <w:b/>
        </w:rPr>
      </w:pPr>
    </w:p>
    <w:p w:rsidR="00B9493D" w:rsidRDefault="00B9493D" w:rsidP="000A4E38">
      <w:pPr>
        <w:pStyle w:val="BNDES"/>
        <w:spacing w:after="120"/>
        <w:ind w:left="284"/>
        <w:rPr>
          <w:rFonts w:ascii="Times New Roman" w:hAnsi="Times New Roman"/>
          <w:b/>
        </w:rPr>
      </w:pPr>
    </w:p>
    <w:p w:rsidR="00B9493D" w:rsidRPr="0044023F" w:rsidRDefault="00B9493D" w:rsidP="000A4E38">
      <w:pPr>
        <w:pStyle w:val="BNDES"/>
        <w:spacing w:after="120"/>
        <w:ind w:left="284"/>
        <w:rPr>
          <w:rFonts w:ascii="Times New Roman" w:hAnsi="Times New Roman"/>
          <w:b/>
        </w:rPr>
      </w:pPr>
    </w:p>
    <w:p w:rsidR="00444B01" w:rsidRPr="000A3C54" w:rsidRDefault="00444B01" w:rsidP="00514949">
      <w:pPr>
        <w:pStyle w:val="BNDES"/>
        <w:numPr>
          <w:ilvl w:val="0"/>
          <w:numId w:val="1"/>
        </w:numPr>
        <w:spacing w:after="120"/>
        <w:ind w:left="284" w:hanging="284"/>
        <w:rPr>
          <w:rFonts w:ascii="Times New Roman" w:hAnsi="Times New Roman"/>
          <w:b/>
        </w:rPr>
      </w:pPr>
      <w:r w:rsidRPr="000A3C54">
        <w:rPr>
          <w:rFonts w:ascii="Times New Roman" w:hAnsi="Times New Roman"/>
          <w:b/>
        </w:rPr>
        <w:t>Bibliografia</w:t>
      </w:r>
    </w:p>
    <w:p w:rsidR="00C1789B" w:rsidRPr="00514949" w:rsidRDefault="00C1789B" w:rsidP="00514949">
      <w:pPr>
        <w:pStyle w:val="BNDES"/>
        <w:spacing w:after="120"/>
        <w:rPr>
          <w:rFonts w:ascii="Times New Roman" w:hAnsi="Times New Roman"/>
          <w:color w:val="222222"/>
          <w:shd w:val="clear" w:color="auto" w:fill="FFFFFF"/>
          <w:lang w:val="en-US"/>
        </w:rPr>
      </w:pPr>
      <w:proofErr w:type="gramStart"/>
      <w:r w:rsidRPr="00514949">
        <w:rPr>
          <w:rFonts w:ascii="Times New Roman" w:hAnsi="Times New Roman"/>
          <w:color w:val="222222"/>
          <w:shd w:val="clear" w:color="auto" w:fill="FFFFFF"/>
          <w:lang w:val="en-US"/>
        </w:rPr>
        <w:lastRenderedPageBreak/>
        <w:t>ALSAN, Marcella; GOLDIN, Claudia.</w:t>
      </w:r>
      <w:proofErr w:type="gramEnd"/>
      <w:r w:rsidRPr="00514949">
        <w:rPr>
          <w:rFonts w:ascii="Times New Roman" w:hAnsi="Times New Roman"/>
          <w:color w:val="222222"/>
          <w:shd w:val="clear" w:color="auto" w:fill="FFFFFF"/>
          <w:lang w:val="en-US"/>
        </w:rPr>
        <w:t xml:space="preserve"> Watersheds in Child Mortality: The Role of Effective Water and Sewerage Infrastructure, 1880–1920. </w:t>
      </w:r>
      <w:proofErr w:type="gramStart"/>
      <w:r w:rsidRPr="00514949">
        <w:rPr>
          <w:rFonts w:ascii="Times New Roman" w:hAnsi="Times New Roman"/>
          <w:b/>
          <w:bCs/>
          <w:color w:val="222222"/>
          <w:shd w:val="clear" w:color="auto" w:fill="FFFFFF"/>
          <w:lang w:val="en-US"/>
        </w:rPr>
        <w:t>Journal of Political Economy</w:t>
      </w:r>
      <w:r w:rsidRPr="00514949">
        <w:rPr>
          <w:rFonts w:ascii="Times New Roman" w:hAnsi="Times New Roman"/>
          <w:color w:val="222222"/>
          <w:shd w:val="clear" w:color="auto" w:fill="FFFFFF"/>
          <w:lang w:val="en-US"/>
        </w:rPr>
        <w:t>, v. 127, n. 2, p. 586-638, 2019.</w:t>
      </w:r>
      <w:proofErr w:type="gramEnd"/>
    </w:p>
    <w:p w:rsidR="00697981" w:rsidRPr="00514949" w:rsidRDefault="00697981" w:rsidP="00514949">
      <w:pPr>
        <w:pStyle w:val="BNDES"/>
        <w:spacing w:after="120"/>
        <w:rPr>
          <w:rFonts w:ascii="Times New Roman" w:hAnsi="Times New Roman"/>
          <w:color w:val="222222"/>
          <w:shd w:val="clear" w:color="auto" w:fill="FFFFFF"/>
          <w:lang w:val="en-US"/>
        </w:rPr>
      </w:pPr>
      <w:proofErr w:type="gramStart"/>
      <w:r w:rsidRPr="00514949">
        <w:rPr>
          <w:rFonts w:ascii="Times New Roman" w:hAnsi="Times New Roman"/>
          <w:color w:val="222222"/>
          <w:shd w:val="clear" w:color="auto" w:fill="FFFFFF"/>
          <w:lang w:val="en-US"/>
        </w:rPr>
        <w:t>ASHRAF, Nava et al. </w:t>
      </w:r>
      <w:r w:rsidRPr="00514949">
        <w:rPr>
          <w:rFonts w:ascii="Times New Roman" w:hAnsi="Times New Roman"/>
          <w:bCs/>
          <w:color w:val="222222"/>
          <w:shd w:val="clear" w:color="auto" w:fill="FFFFFF"/>
          <w:lang w:val="en-US"/>
        </w:rPr>
        <w:t>Water, health and wealth</w:t>
      </w:r>
      <w:r w:rsidRPr="00514949">
        <w:rPr>
          <w:rFonts w:ascii="Times New Roman" w:hAnsi="Times New Roman"/>
          <w:color w:val="222222"/>
          <w:shd w:val="clear" w:color="auto" w:fill="FFFFFF"/>
          <w:lang w:val="en-US"/>
        </w:rPr>
        <w:t>.</w:t>
      </w:r>
      <w:proofErr w:type="gramEnd"/>
      <w:r w:rsidRPr="00514949">
        <w:rPr>
          <w:rFonts w:ascii="Times New Roman" w:hAnsi="Times New Roman"/>
          <w:color w:val="222222"/>
          <w:shd w:val="clear" w:color="auto" w:fill="FFFFFF"/>
          <w:lang w:val="en-US"/>
        </w:rPr>
        <w:t xml:space="preserve"> </w:t>
      </w:r>
      <w:proofErr w:type="gramStart"/>
      <w:r w:rsidRPr="00514949">
        <w:rPr>
          <w:rFonts w:ascii="Times New Roman" w:hAnsi="Times New Roman"/>
          <w:b/>
          <w:color w:val="222222"/>
          <w:shd w:val="clear" w:color="auto" w:fill="FFFFFF"/>
          <w:lang w:val="en-US"/>
        </w:rPr>
        <w:t>National Bureau of Economic Research</w:t>
      </w:r>
      <w:r w:rsidRPr="00514949">
        <w:rPr>
          <w:rFonts w:ascii="Times New Roman" w:hAnsi="Times New Roman"/>
          <w:color w:val="222222"/>
          <w:shd w:val="clear" w:color="auto" w:fill="FFFFFF"/>
          <w:lang w:val="en-US"/>
        </w:rPr>
        <w:t>, 2017.</w:t>
      </w:r>
      <w:proofErr w:type="gramEnd"/>
    </w:p>
    <w:p w:rsidR="00EB60D5" w:rsidRPr="00514949" w:rsidRDefault="00EB60D5" w:rsidP="00514949">
      <w:pPr>
        <w:pStyle w:val="BNDES"/>
        <w:spacing w:after="120"/>
        <w:rPr>
          <w:rFonts w:ascii="Times New Roman" w:hAnsi="Times New Roman"/>
          <w:color w:val="222222"/>
          <w:shd w:val="clear" w:color="auto" w:fill="FFFFFF"/>
          <w:lang w:val="en-US"/>
        </w:rPr>
      </w:pPr>
      <w:r w:rsidRPr="00514949">
        <w:rPr>
          <w:rFonts w:ascii="Times New Roman" w:hAnsi="Times New Roman"/>
          <w:color w:val="222222"/>
          <w:shd w:val="clear" w:color="auto" w:fill="FFFFFF"/>
          <w:lang w:val="en-US"/>
        </w:rPr>
        <w:t xml:space="preserve">BARDHAN, </w:t>
      </w:r>
      <w:proofErr w:type="spellStart"/>
      <w:r w:rsidRPr="00514949">
        <w:rPr>
          <w:rFonts w:ascii="Times New Roman" w:hAnsi="Times New Roman"/>
          <w:color w:val="222222"/>
          <w:shd w:val="clear" w:color="auto" w:fill="FFFFFF"/>
          <w:lang w:val="en-US"/>
        </w:rPr>
        <w:t>Pranab</w:t>
      </w:r>
      <w:proofErr w:type="spellEnd"/>
      <w:r w:rsidRPr="00514949">
        <w:rPr>
          <w:rFonts w:ascii="Times New Roman" w:hAnsi="Times New Roman"/>
          <w:color w:val="222222"/>
          <w:shd w:val="clear" w:color="auto" w:fill="FFFFFF"/>
          <w:lang w:val="en-US"/>
        </w:rPr>
        <w:t>. State and development: The need for a reappraisal of the current literature. </w:t>
      </w:r>
      <w:proofErr w:type="spellStart"/>
      <w:r w:rsidRPr="00514949">
        <w:rPr>
          <w:rFonts w:ascii="Times New Roman" w:hAnsi="Times New Roman"/>
          <w:b/>
          <w:bCs/>
          <w:color w:val="222222"/>
          <w:shd w:val="clear" w:color="auto" w:fill="FFFFFF"/>
        </w:rPr>
        <w:t>Journal</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of</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Economic</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Literature</w:t>
      </w:r>
      <w:proofErr w:type="spellEnd"/>
      <w:r w:rsidRPr="00514949">
        <w:rPr>
          <w:rFonts w:ascii="Times New Roman" w:hAnsi="Times New Roman"/>
          <w:color w:val="222222"/>
          <w:shd w:val="clear" w:color="auto" w:fill="FFFFFF"/>
        </w:rPr>
        <w:t>, v. 54, n. 3, p. 862-92, 2016.</w:t>
      </w:r>
    </w:p>
    <w:p w:rsidR="00144DD6" w:rsidRPr="00514949" w:rsidRDefault="00144DD6" w:rsidP="00514949">
      <w:pPr>
        <w:pStyle w:val="BNDES"/>
        <w:spacing w:after="120"/>
        <w:rPr>
          <w:rFonts w:ascii="Times New Roman" w:hAnsi="Times New Roman"/>
          <w:color w:val="222222"/>
          <w:shd w:val="clear" w:color="auto" w:fill="FFFFFF"/>
          <w:lang w:val="en-US"/>
        </w:rPr>
      </w:pPr>
      <w:r w:rsidRPr="00514949">
        <w:rPr>
          <w:rFonts w:ascii="Times New Roman" w:hAnsi="Times New Roman"/>
          <w:color w:val="222222"/>
          <w:shd w:val="clear" w:color="auto" w:fill="FFFFFF"/>
        </w:rPr>
        <w:t xml:space="preserve">BORRAZ, Fernando; GONZÁLEZ PAMPILLÓN, Nicolás; OLARREAGA, Marcelo. </w:t>
      </w:r>
      <w:proofErr w:type="gramStart"/>
      <w:r w:rsidRPr="00514949">
        <w:rPr>
          <w:rFonts w:ascii="Times New Roman" w:hAnsi="Times New Roman"/>
          <w:color w:val="222222"/>
          <w:shd w:val="clear" w:color="auto" w:fill="FFFFFF"/>
          <w:lang w:val="en-US"/>
        </w:rPr>
        <w:t>Water nationalization and service quality.</w:t>
      </w:r>
      <w:proofErr w:type="gramEnd"/>
      <w:r w:rsidRPr="00514949">
        <w:rPr>
          <w:rFonts w:ascii="Times New Roman" w:hAnsi="Times New Roman"/>
          <w:color w:val="222222"/>
          <w:shd w:val="clear" w:color="auto" w:fill="FFFFFF"/>
          <w:lang w:val="en-US"/>
        </w:rPr>
        <w:t> </w:t>
      </w:r>
      <w:r w:rsidR="00474CD2" w:rsidRPr="00514949">
        <w:rPr>
          <w:rFonts w:ascii="Times New Roman" w:hAnsi="Times New Roman"/>
          <w:b/>
          <w:bCs/>
          <w:color w:val="222222"/>
          <w:shd w:val="clear" w:color="auto" w:fill="FFFFFF"/>
          <w:lang w:val="en-US"/>
        </w:rPr>
        <w:t>T</w:t>
      </w:r>
      <w:r w:rsidRPr="00514949">
        <w:rPr>
          <w:rFonts w:ascii="Times New Roman" w:hAnsi="Times New Roman"/>
          <w:b/>
          <w:bCs/>
          <w:color w:val="222222"/>
          <w:shd w:val="clear" w:color="auto" w:fill="FFFFFF"/>
          <w:lang w:val="en-US"/>
        </w:rPr>
        <w:t xml:space="preserve">he </w:t>
      </w:r>
      <w:r w:rsidR="00474CD2" w:rsidRPr="00514949">
        <w:rPr>
          <w:rFonts w:ascii="Times New Roman" w:hAnsi="Times New Roman"/>
          <w:b/>
          <w:bCs/>
          <w:color w:val="222222"/>
          <w:shd w:val="clear" w:color="auto" w:fill="FFFFFF"/>
          <w:lang w:val="en-US"/>
        </w:rPr>
        <w:t>W</w:t>
      </w:r>
      <w:r w:rsidRPr="00514949">
        <w:rPr>
          <w:rFonts w:ascii="Times New Roman" w:hAnsi="Times New Roman"/>
          <w:b/>
          <w:bCs/>
          <w:color w:val="222222"/>
          <w:shd w:val="clear" w:color="auto" w:fill="FFFFFF"/>
          <w:lang w:val="en-US"/>
        </w:rPr>
        <w:t xml:space="preserve">orld </w:t>
      </w:r>
      <w:proofErr w:type="gramStart"/>
      <w:r w:rsidRPr="00514949">
        <w:rPr>
          <w:rFonts w:ascii="Times New Roman" w:hAnsi="Times New Roman"/>
          <w:b/>
          <w:bCs/>
          <w:color w:val="222222"/>
          <w:shd w:val="clear" w:color="auto" w:fill="FFFFFF"/>
          <w:lang w:val="en-US"/>
        </w:rPr>
        <w:t>bank</w:t>
      </w:r>
      <w:proofErr w:type="gramEnd"/>
      <w:r w:rsidRPr="00514949">
        <w:rPr>
          <w:rFonts w:ascii="Times New Roman" w:hAnsi="Times New Roman"/>
          <w:b/>
          <w:bCs/>
          <w:color w:val="222222"/>
          <w:shd w:val="clear" w:color="auto" w:fill="FFFFFF"/>
          <w:lang w:val="en-US"/>
        </w:rPr>
        <w:t xml:space="preserve"> </w:t>
      </w:r>
      <w:r w:rsidR="00474CD2" w:rsidRPr="00514949">
        <w:rPr>
          <w:rFonts w:ascii="Times New Roman" w:hAnsi="Times New Roman"/>
          <w:b/>
          <w:bCs/>
          <w:color w:val="222222"/>
          <w:shd w:val="clear" w:color="auto" w:fill="FFFFFF"/>
          <w:lang w:val="en-US"/>
        </w:rPr>
        <w:t>E</w:t>
      </w:r>
      <w:r w:rsidRPr="00514949">
        <w:rPr>
          <w:rFonts w:ascii="Times New Roman" w:hAnsi="Times New Roman"/>
          <w:b/>
          <w:bCs/>
          <w:color w:val="222222"/>
          <w:shd w:val="clear" w:color="auto" w:fill="FFFFFF"/>
          <w:lang w:val="en-US"/>
        </w:rPr>
        <w:t xml:space="preserve">conomic </w:t>
      </w:r>
      <w:r w:rsidR="00474CD2" w:rsidRPr="00514949">
        <w:rPr>
          <w:rFonts w:ascii="Times New Roman" w:hAnsi="Times New Roman"/>
          <w:b/>
          <w:bCs/>
          <w:color w:val="222222"/>
          <w:shd w:val="clear" w:color="auto" w:fill="FFFFFF"/>
          <w:lang w:val="en-US"/>
        </w:rPr>
        <w:t>R</w:t>
      </w:r>
      <w:r w:rsidRPr="00514949">
        <w:rPr>
          <w:rFonts w:ascii="Times New Roman" w:hAnsi="Times New Roman"/>
          <w:b/>
          <w:bCs/>
          <w:color w:val="222222"/>
          <w:shd w:val="clear" w:color="auto" w:fill="FFFFFF"/>
          <w:lang w:val="en-US"/>
        </w:rPr>
        <w:t>eview</w:t>
      </w:r>
      <w:r w:rsidRPr="00514949">
        <w:rPr>
          <w:rFonts w:ascii="Times New Roman" w:hAnsi="Times New Roman"/>
          <w:color w:val="222222"/>
          <w:shd w:val="clear" w:color="auto" w:fill="FFFFFF"/>
          <w:lang w:val="en-US"/>
        </w:rPr>
        <w:t>, v. 27, n. 3, p. 389-412, 2013.</w:t>
      </w:r>
    </w:p>
    <w:p w:rsidR="00272E1B" w:rsidRPr="00514949" w:rsidRDefault="00272E1B" w:rsidP="00514949">
      <w:pPr>
        <w:pStyle w:val="BNDES"/>
        <w:spacing w:after="120"/>
        <w:rPr>
          <w:rFonts w:ascii="Times New Roman" w:hAnsi="Times New Roman"/>
          <w:color w:val="222222"/>
          <w:shd w:val="clear" w:color="auto" w:fill="FFFFFF"/>
          <w:lang w:val="en-US"/>
        </w:rPr>
      </w:pPr>
      <w:proofErr w:type="gramStart"/>
      <w:r w:rsidRPr="00514949">
        <w:rPr>
          <w:rFonts w:ascii="Times New Roman" w:hAnsi="Times New Roman"/>
          <w:color w:val="222222"/>
          <w:shd w:val="clear" w:color="auto" w:fill="FFFFFF"/>
          <w:lang w:val="en-US"/>
        </w:rPr>
        <w:t>CUTLER, David; MILLER, Grant.</w:t>
      </w:r>
      <w:proofErr w:type="gramEnd"/>
      <w:r w:rsidRPr="00514949">
        <w:rPr>
          <w:rFonts w:ascii="Times New Roman" w:hAnsi="Times New Roman"/>
          <w:color w:val="222222"/>
          <w:shd w:val="clear" w:color="auto" w:fill="FFFFFF"/>
          <w:lang w:val="en-US"/>
        </w:rPr>
        <w:t xml:space="preserve"> The role of public health improvements in health advances: the twentieth-century United States. </w:t>
      </w:r>
      <w:proofErr w:type="gramStart"/>
      <w:r w:rsidRPr="00514949">
        <w:rPr>
          <w:rFonts w:ascii="Times New Roman" w:hAnsi="Times New Roman"/>
          <w:b/>
          <w:bCs/>
          <w:color w:val="222222"/>
          <w:shd w:val="clear" w:color="auto" w:fill="FFFFFF"/>
          <w:lang w:val="en-US"/>
        </w:rPr>
        <w:t>Demography</w:t>
      </w:r>
      <w:r w:rsidRPr="00514949">
        <w:rPr>
          <w:rFonts w:ascii="Times New Roman" w:hAnsi="Times New Roman"/>
          <w:color w:val="222222"/>
          <w:shd w:val="clear" w:color="auto" w:fill="FFFFFF"/>
          <w:lang w:val="en-US"/>
        </w:rPr>
        <w:t>, v. 42, n. 1, p. 1-22, 2005</w:t>
      </w:r>
      <w:r w:rsidR="00BE7721" w:rsidRPr="00514949">
        <w:rPr>
          <w:rFonts w:ascii="Times New Roman" w:hAnsi="Times New Roman"/>
          <w:color w:val="222222"/>
          <w:shd w:val="clear" w:color="auto" w:fill="FFFFFF"/>
          <w:lang w:val="en-US"/>
        </w:rPr>
        <w:t>a</w:t>
      </w:r>
      <w:r w:rsidRPr="00514949">
        <w:rPr>
          <w:rFonts w:ascii="Times New Roman" w:hAnsi="Times New Roman"/>
          <w:color w:val="222222"/>
          <w:shd w:val="clear" w:color="auto" w:fill="FFFFFF"/>
          <w:lang w:val="en-US"/>
        </w:rPr>
        <w:t>.</w:t>
      </w:r>
      <w:proofErr w:type="gramEnd"/>
    </w:p>
    <w:p w:rsidR="00BE7721" w:rsidRPr="00514949" w:rsidRDefault="00BE7721" w:rsidP="00514949">
      <w:pPr>
        <w:pStyle w:val="BNDES"/>
        <w:spacing w:after="120"/>
        <w:rPr>
          <w:rFonts w:ascii="Times New Roman" w:hAnsi="Times New Roman"/>
          <w:color w:val="222222"/>
          <w:shd w:val="clear" w:color="auto" w:fill="FFFFFF"/>
        </w:rPr>
      </w:pPr>
      <w:r w:rsidRPr="00514949">
        <w:rPr>
          <w:rFonts w:ascii="Times New Roman" w:hAnsi="Times New Roman"/>
          <w:color w:val="222222"/>
          <w:shd w:val="clear" w:color="auto" w:fill="FFFFFF"/>
          <w:lang w:val="en-US"/>
        </w:rPr>
        <w:t>_________________________. </w:t>
      </w:r>
      <w:r w:rsidRPr="00514949">
        <w:rPr>
          <w:rFonts w:ascii="Times New Roman" w:hAnsi="Times New Roman"/>
          <w:bCs/>
          <w:color w:val="222222"/>
          <w:shd w:val="clear" w:color="auto" w:fill="FFFFFF"/>
          <w:lang w:val="en-US"/>
        </w:rPr>
        <w:t>Water, water, everywhere: municipal finance and water supply in American cities</w:t>
      </w:r>
      <w:r w:rsidRPr="00514949">
        <w:rPr>
          <w:rFonts w:ascii="Times New Roman" w:hAnsi="Times New Roman"/>
          <w:color w:val="222222"/>
          <w:shd w:val="clear" w:color="auto" w:fill="FFFFFF"/>
          <w:lang w:val="en-US"/>
        </w:rPr>
        <w:t xml:space="preserve">. </w:t>
      </w:r>
      <w:proofErr w:type="spellStart"/>
      <w:r w:rsidRPr="00514949">
        <w:rPr>
          <w:rFonts w:ascii="Times New Roman" w:hAnsi="Times New Roman"/>
          <w:b/>
          <w:color w:val="222222"/>
          <w:shd w:val="clear" w:color="auto" w:fill="FFFFFF"/>
        </w:rPr>
        <w:t>National</w:t>
      </w:r>
      <w:proofErr w:type="spellEnd"/>
      <w:r w:rsidRPr="00514949">
        <w:rPr>
          <w:rFonts w:ascii="Times New Roman" w:hAnsi="Times New Roman"/>
          <w:b/>
          <w:color w:val="222222"/>
          <w:shd w:val="clear" w:color="auto" w:fill="FFFFFF"/>
        </w:rPr>
        <w:t xml:space="preserve"> Bureau </w:t>
      </w:r>
      <w:proofErr w:type="spellStart"/>
      <w:r w:rsidRPr="00514949">
        <w:rPr>
          <w:rFonts w:ascii="Times New Roman" w:hAnsi="Times New Roman"/>
          <w:b/>
          <w:color w:val="222222"/>
          <w:shd w:val="clear" w:color="auto" w:fill="FFFFFF"/>
        </w:rPr>
        <w:t>of</w:t>
      </w:r>
      <w:proofErr w:type="spellEnd"/>
      <w:r w:rsidRPr="00514949">
        <w:rPr>
          <w:rFonts w:ascii="Times New Roman" w:hAnsi="Times New Roman"/>
          <w:b/>
          <w:color w:val="222222"/>
          <w:shd w:val="clear" w:color="auto" w:fill="FFFFFF"/>
        </w:rPr>
        <w:t xml:space="preserve"> </w:t>
      </w:r>
      <w:proofErr w:type="spellStart"/>
      <w:r w:rsidRPr="00514949">
        <w:rPr>
          <w:rFonts w:ascii="Times New Roman" w:hAnsi="Times New Roman"/>
          <w:b/>
          <w:color w:val="222222"/>
          <w:shd w:val="clear" w:color="auto" w:fill="FFFFFF"/>
        </w:rPr>
        <w:t>Economic</w:t>
      </w:r>
      <w:proofErr w:type="spellEnd"/>
      <w:r w:rsidRPr="00514949">
        <w:rPr>
          <w:rFonts w:ascii="Times New Roman" w:hAnsi="Times New Roman"/>
          <w:b/>
          <w:color w:val="222222"/>
          <w:shd w:val="clear" w:color="auto" w:fill="FFFFFF"/>
        </w:rPr>
        <w:t xml:space="preserve"> </w:t>
      </w:r>
      <w:proofErr w:type="spellStart"/>
      <w:r w:rsidRPr="00514949">
        <w:rPr>
          <w:rFonts w:ascii="Times New Roman" w:hAnsi="Times New Roman"/>
          <w:b/>
          <w:color w:val="222222"/>
          <w:shd w:val="clear" w:color="auto" w:fill="FFFFFF"/>
        </w:rPr>
        <w:t>Research</w:t>
      </w:r>
      <w:proofErr w:type="spellEnd"/>
      <w:r w:rsidRPr="00514949">
        <w:rPr>
          <w:rFonts w:ascii="Times New Roman" w:hAnsi="Times New Roman"/>
          <w:color w:val="222222"/>
          <w:shd w:val="clear" w:color="auto" w:fill="FFFFFF"/>
        </w:rPr>
        <w:t>, 2005b.</w:t>
      </w:r>
    </w:p>
    <w:p w:rsidR="00E17724" w:rsidRPr="00514949" w:rsidRDefault="00E17724" w:rsidP="00514949">
      <w:pPr>
        <w:pStyle w:val="BNDES"/>
        <w:spacing w:after="120"/>
        <w:rPr>
          <w:rFonts w:ascii="Times New Roman" w:hAnsi="Times New Roman"/>
          <w:color w:val="222222"/>
          <w:shd w:val="clear" w:color="auto" w:fill="FFFFFF"/>
          <w:lang w:val="en-US"/>
        </w:rPr>
      </w:pPr>
      <w:proofErr w:type="gramStart"/>
      <w:r w:rsidRPr="00514949">
        <w:rPr>
          <w:rFonts w:ascii="Times New Roman" w:hAnsi="Times New Roman"/>
          <w:color w:val="222222"/>
          <w:shd w:val="clear" w:color="auto" w:fill="FFFFFF"/>
          <w:lang w:val="en-US"/>
        </w:rPr>
        <w:t>GALIANI, Sebastian; GERTLER, Paul; SCHARGRODSKY, Ernesto.</w:t>
      </w:r>
      <w:proofErr w:type="gramEnd"/>
      <w:r w:rsidRPr="00514949">
        <w:rPr>
          <w:rFonts w:ascii="Times New Roman" w:hAnsi="Times New Roman"/>
          <w:color w:val="222222"/>
          <w:shd w:val="clear" w:color="auto" w:fill="FFFFFF"/>
          <w:lang w:val="en-US"/>
        </w:rPr>
        <w:t xml:space="preserve"> Water for life: The impact of the privatization of water services on child mortality. </w:t>
      </w:r>
      <w:proofErr w:type="spellStart"/>
      <w:r w:rsidRPr="00514949">
        <w:rPr>
          <w:rFonts w:ascii="Times New Roman" w:hAnsi="Times New Roman"/>
          <w:b/>
          <w:bCs/>
          <w:color w:val="222222"/>
          <w:shd w:val="clear" w:color="auto" w:fill="FFFFFF"/>
        </w:rPr>
        <w:t>Journal</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of</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political</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economy</w:t>
      </w:r>
      <w:proofErr w:type="spellEnd"/>
      <w:r w:rsidRPr="00514949">
        <w:rPr>
          <w:rFonts w:ascii="Times New Roman" w:hAnsi="Times New Roman"/>
          <w:color w:val="222222"/>
          <w:shd w:val="clear" w:color="auto" w:fill="FFFFFF"/>
        </w:rPr>
        <w:t>, v. 113, n. 1, p. 83-120, 2005.</w:t>
      </w:r>
    </w:p>
    <w:p w:rsidR="00444B01" w:rsidRPr="00514949" w:rsidRDefault="000A3C54" w:rsidP="00514949">
      <w:pPr>
        <w:pStyle w:val="BNDES"/>
        <w:spacing w:after="120"/>
        <w:rPr>
          <w:rFonts w:ascii="Times New Roman" w:hAnsi="Times New Roman"/>
          <w:lang w:val="en-US"/>
        </w:rPr>
      </w:pPr>
      <w:r w:rsidRPr="00514949">
        <w:rPr>
          <w:rFonts w:ascii="Times New Roman" w:hAnsi="Times New Roman"/>
          <w:color w:val="222222"/>
          <w:shd w:val="clear" w:color="auto" w:fill="FFFFFF"/>
        </w:rPr>
        <w:t xml:space="preserve">Instituto Brasileiro de Geografia, Estatística. </w:t>
      </w:r>
      <w:r w:rsidRPr="00514949">
        <w:rPr>
          <w:rFonts w:ascii="Times New Roman" w:hAnsi="Times New Roman"/>
          <w:i/>
          <w:iCs/>
          <w:color w:val="222222"/>
          <w:shd w:val="clear" w:color="auto" w:fill="FFFFFF"/>
        </w:rPr>
        <w:t>Pesquisa nacional de saneamento básico: 2008</w:t>
      </w:r>
      <w:r w:rsidRPr="00514949">
        <w:rPr>
          <w:rFonts w:ascii="Times New Roman" w:hAnsi="Times New Roman"/>
          <w:color w:val="222222"/>
          <w:shd w:val="clear" w:color="auto" w:fill="FFFFFF"/>
        </w:rPr>
        <w:t xml:space="preserve">.  IBGE, 2010. Disponível em </w:t>
      </w:r>
      <w:hyperlink r:id="rId15" w:history="1">
        <w:r w:rsidRPr="00514949">
          <w:rPr>
            <w:rStyle w:val="Hyperlink"/>
            <w:rFonts w:ascii="Times New Roman" w:hAnsi="Times New Roman"/>
          </w:rPr>
          <w:t>https://biblioteca.ibge.gov.br/visualizacao/livros/liv45351.pdf</w:t>
        </w:r>
      </w:hyperlink>
      <w:r w:rsidRPr="00514949">
        <w:rPr>
          <w:rFonts w:ascii="Times New Roman" w:hAnsi="Times New Roman"/>
        </w:rPr>
        <w:t xml:space="preserve">. </w:t>
      </w:r>
      <w:proofErr w:type="spellStart"/>
      <w:proofErr w:type="gramStart"/>
      <w:r w:rsidRPr="00514949">
        <w:rPr>
          <w:rFonts w:ascii="Times New Roman" w:hAnsi="Times New Roman"/>
          <w:lang w:val="en-US"/>
        </w:rPr>
        <w:t>Acesso</w:t>
      </w:r>
      <w:proofErr w:type="spellEnd"/>
      <w:r w:rsidRPr="00514949">
        <w:rPr>
          <w:rFonts w:ascii="Times New Roman" w:hAnsi="Times New Roman"/>
          <w:lang w:val="en-US"/>
        </w:rPr>
        <w:t xml:space="preserve"> </w:t>
      </w:r>
      <w:proofErr w:type="spellStart"/>
      <w:r w:rsidRPr="00514949">
        <w:rPr>
          <w:rFonts w:ascii="Times New Roman" w:hAnsi="Times New Roman"/>
          <w:lang w:val="en-US"/>
        </w:rPr>
        <w:t>em</w:t>
      </w:r>
      <w:proofErr w:type="spellEnd"/>
      <w:r w:rsidRPr="00514949">
        <w:rPr>
          <w:rFonts w:ascii="Times New Roman" w:hAnsi="Times New Roman"/>
          <w:lang w:val="en-US"/>
        </w:rPr>
        <w:t xml:space="preserve"> </w:t>
      </w:r>
      <w:proofErr w:type="spellStart"/>
      <w:r w:rsidRPr="00514949">
        <w:rPr>
          <w:rFonts w:ascii="Times New Roman" w:hAnsi="Times New Roman"/>
          <w:lang w:val="en-US"/>
        </w:rPr>
        <w:t>julho</w:t>
      </w:r>
      <w:proofErr w:type="spellEnd"/>
      <w:r w:rsidRPr="00514949">
        <w:rPr>
          <w:rFonts w:ascii="Times New Roman" w:hAnsi="Times New Roman"/>
          <w:lang w:val="en-US"/>
        </w:rPr>
        <w:t xml:space="preserve"> de 2019.</w:t>
      </w:r>
      <w:proofErr w:type="gramEnd"/>
    </w:p>
    <w:p w:rsidR="000130C4" w:rsidRPr="00514949" w:rsidRDefault="000130C4" w:rsidP="00514949">
      <w:pPr>
        <w:pStyle w:val="BNDES"/>
        <w:spacing w:after="120"/>
        <w:rPr>
          <w:rFonts w:ascii="Times New Roman" w:hAnsi="Times New Roman"/>
          <w:lang w:val="en-US"/>
        </w:rPr>
      </w:pPr>
      <w:r w:rsidRPr="00514949">
        <w:rPr>
          <w:rFonts w:ascii="Times New Roman" w:hAnsi="Times New Roman"/>
          <w:color w:val="222222"/>
          <w:shd w:val="clear" w:color="auto" w:fill="FFFFFF"/>
          <w:lang w:val="en-US"/>
        </w:rPr>
        <w:t>LAFFONT, Jean-Jacques et al. Fundamentals of public economics. </w:t>
      </w:r>
      <w:proofErr w:type="gramStart"/>
      <w:r w:rsidRPr="00514949">
        <w:rPr>
          <w:rFonts w:ascii="Times New Roman" w:hAnsi="Times New Roman"/>
          <w:b/>
          <w:bCs/>
          <w:color w:val="222222"/>
          <w:shd w:val="clear" w:color="auto" w:fill="FFFFFF"/>
          <w:lang w:val="en-US"/>
        </w:rPr>
        <w:t>MIT Press Books</w:t>
      </w:r>
      <w:r w:rsidRPr="00514949">
        <w:rPr>
          <w:rFonts w:ascii="Times New Roman" w:hAnsi="Times New Roman"/>
          <w:color w:val="222222"/>
          <w:shd w:val="clear" w:color="auto" w:fill="FFFFFF"/>
          <w:lang w:val="en-US"/>
        </w:rPr>
        <w:t>, v. 1, 1988.</w:t>
      </w:r>
      <w:proofErr w:type="gramEnd"/>
    </w:p>
    <w:p w:rsidR="006B1807" w:rsidRPr="00514949" w:rsidRDefault="006B1807" w:rsidP="00514949">
      <w:pPr>
        <w:pStyle w:val="BNDES"/>
        <w:spacing w:after="120"/>
        <w:rPr>
          <w:rFonts w:ascii="Times New Roman" w:hAnsi="Times New Roman"/>
          <w:color w:val="222222"/>
          <w:shd w:val="clear" w:color="auto" w:fill="FFFFFF"/>
        </w:rPr>
      </w:pPr>
      <w:r w:rsidRPr="00514949">
        <w:rPr>
          <w:rFonts w:ascii="Times New Roman" w:hAnsi="Times New Roman"/>
          <w:color w:val="222222"/>
          <w:shd w:val="clear" w:color="auto" w:fill="FFFFFF"/>
          <w:lang w:val="en-US"/>
        </w:rPr>
        <w:t xml:space="preserve">LAMBERT, Brian. </w:t>
      </w:r>
      <w:proofErr w:type="gramStart"/>
      <w:r w:rsidRPr="00514949">
        <w:rPr>
          <w:rFonts w:ascii="Times New Roman" w:hAnsi="Times New Roman"/>
          <w:color w:val="222222"/>
          <w:shd w:val="clear" w:color="auto" w:fill="FFFFFF"/>
          <w:lang w:val="en-US"/>
        </w:rPr>
        <w:t>The Effect of Water and Sanitation Privatization on Child Mortality Rates in Guayaquil, Ecuador.</w:t>
      </w:r>
      <w:proofErr w:type="gramEnd"/>
      <w:r w:rsidRPr="00514949">
        <w:rPr>
          <w:rFonts w:ascii="Times New Roman" w:hAnsi="Times New Roman"/>
          <w:color w:val="222222"/>
          <w:shd w:val="clear" w:color="auto" w:fill="FFFFFF"/>
          <w:lang w:val="en-US"/>
        </w:rPr>
        <w:t xml:space="preserve"> </w:t>
      </w:r>
      <w:r w:rsidRPr="00514949">
        <w:rPr>
          <w:rFonts w:ascii="Times New Roman" w:hAnsi="Times New Roman"/>
          <w:color w:val="222222"/>
          <w:shd w:val="clear" w:color="auto" w:fill="FFFFFF"/>
        </w:rPr>
        <w:t>2019.</w:t>
      </w:r>
    </w:p>
    <w:p w:rsidR="00A50004" w:rsidRPr="00514949" w:rsidRDefault="00A50004" w:rsidP="00514949">
      <w:pPr>
        <w:pStyle w:val="BNDES"/>
        <w:spacing w:after="120"/>
        <w:rPr>
          <w:rFonts w:ascii="Times New Roman" w:hAnsi="Times New Roman"/>
          <w:color w:val="222222"/>
          <w:shd w:val="clear" w:color="auto" w:fill="FFFFFF"/>
          <w:lang w:val="en-US"/>
        </w:rPr>
      </w:pPr>
      <w:r w:rsidRPr="00514949">
        <w:rPr>
          <w:rFonts w:ascii="Times New Roman" w:hAnsi="Times New Roman"/>
          <w:color w:val="222222"/>
          <w:shd w:val="clear" w:color="auto" w:fill="FFFFFF"/>
          <w:lang w:val="en-US"/>
        </w:rPr>
        <w:t xml:space="preserve">KRESCH, Evan </w:t>
      </w:r>
      <w:proofErr w:type="spellStart"/>
      <w:r w:rsidRPr="00514949">
        <w:rPr>
          <w:rFonts w:ascii="Times New Roman" w:hAnsi="Times New Roman"/>
          <w:color w:val="222222"/>
          <w:shd w:val="clear" w:color="auto" w:fill="FFFFFF"/>
          <w:lang w:val="en-US"/>
        </w:rPr>
        <w:t>Plous</w:t>
      </w:r>
      <w:proofErr w:type="spellEnd"/>
      <w:r w:rsidRPr="00514949">
        <w:rPr>
          <w:rFonts w:ascii="Times New Roman" w:hAnsi="Times New Roman"/>
          <w:color w:val="222222"/>
          <w:shd w:val="clear" w:color="auto" w:fill="FFFFFF"/>
          <w:lang w:val="en-US"/>
        </w:rPr>
        <w:t>. </w:t>
      </w:r>
      <w:r w:rsidRPr="00514949">
        <w:rPr>
          <w:rFonts w:ascii="Times New Roman" w:hAnsi="Times New Roman"/>
          <w:bCs/>
          <w:color w:val="222222"/>
          <w:shd w:val="clear" w:color="auto" w:fill="FFFFFF"/>
          <w:lang w:val="en-US"/>
        </w:rPr>
        <w:t xml:space="preserve">The Buck Stops Where? </w:t>
      </w:r>
      <w:proofErr w:type="gramStart"/>
      <w:r w:rsidRPr="00514949">
        <w:rPr>
          <w:rFonts w:ascii="Times New Roman" w:hAnsi="Times New Roman"/>
          <w:bCs/>
          <w:color w:val="222222"/>
          <w:shd w:val="clear" w:color="auto" w:fill="FFFFFF"/>
          <w:lang w:val="en-US"/>
        </w:rPr>
        <w:t>Federalism, Uncertainty, and Investment in the Brazilian Water and Sanitation Sector</w:t>
      </w:r>
      <w:r w:rsidRPr="00514949">
        <w:rPr>
          <w:rFonts w:ascii="Times New Roman" w:hAnsi="Times New Roman"/>
          <w:color w:val="222222"/>
          <w:shd w:val="clear" w:color="auto" w:fill="FFFFFF"/>
          <w:lang w:val="en-US"/>
        </w:rPr>
        <w:t>.</w:t>
      </w:r>
      <w:proofErr w:type="gramEnd"/>
      <w:r w:rsidRPr="00514949">
        <w:rPr>
          <w:rFonts w:ascii="Times New Roman" w:hAnsi="Times New Roman"/>
          <w:color w:val="222222"/>
          <w:shd w:val="clear" w:color="auto" w:fill="FFFFFF"/>
          <w:lang w:val="en-US"/>
        </w:rPr>
        <w:t xml:space="preserve"> </w:t>
      </w:r>
      <w:r w:rsidRPr="00514949">
        <w:rPr>
          <w:rFonts w:ascii="Times New Roman" w:hAnsi="Times New Roman"/>
          <w:b/>
          <w:color w:val="222222"/>
          <w:shd w:val="clear" w:color="auto" w:fill="FFFFFF"/>
          <w:lang w:val="en-US"/>
        </w:rPr>
        <w:t>CDEP-CGEA</w:t>
      </w:r>
      <w:r w:rsidRPr="00514949">
        <w:rPr>
          <w:rFonts w:ascii="Times New Roman" w:hAnsi="Times New Roman"/>
          <w:color w:val="222222"/>
          <w:shd w:val="clear" w:color="auto" w:fill="FFFFFF"/>
          <w:lang w:val="en-US"/>
        </w:rPr>
        <w:t xml:space="preserve"> </w:t>
      </w:r>
      <w:r w:rsidRPr="00514949">
        <w:rPr>
          <w:rFonts w:ascii="Times New Roman" w:hAnsi="Times New Roman"/>
          <w:b/>
          <w:color w:val="222222"/>
          <w:shd w:val="clear" w:color="auto" w:fill="FFFFFF"/>
          <w:lang w:val="en-US"/>
        </w:rPr>
        <w:t>Working Papers Series</w:t>
      </w:r>
      <w:r w:rsidRPr="00514949">
        <w:rPr>
          <w:rFonts w:ascii="Times New Roman" w:hAnsi="Times New Roman"/>
          <w:color w:val="222222"/>
          <w:shd w:val="clear" w:color="auto" w:fill="FFFFFF"/>
          <w:lang w:val="en-US"/>
        </w:rPr>
        <w:t>, n.41, 2017.</w:t>
      </w:r>
    </w:p>
    <w:p w:rsidR="00E24E0A" w:rsidRDefault="00E24E0A" w:rsidP="00514949">
      <w:pPr>
        <w:pStyle w:val="BNDES"/>
        <w:spacing w:after="120"/>
        <w:rPr>
          <w:rFonts w:ascii="Times New Roman" w:hAnsi="Times New Roman"/>
          <w:color w:val="222222"/>
          <w:shd w:val="clear" w:color="auto" w:fill="FFFFFF"/>
        </w:rPr>
      </w:pPr>
      <w:r w:rsidRPr="00514949">
        <w:rPr>
          <w:rFonts w:ascii="Times New Roman" w:hAnsi="Times New Roman"/>
          <w:color w:val="222222"/>
          <w:shd w:val="clear" w:color="auto" w:fill="FFFFFF"/>
        </w:rPr>
        <w:t xml:space="preserve">MENDONÇA, Mário Jorge Cardoso de; MOTTA, Ronaldo Seroa </w:t>
      </w:r>
      <w:proofErr w:type="gramStart"/>
      <w:r w:rsidRPr="00514949">
        <w:rPr>
          <w:rFonts w:ascii="Times New Roman" w:hAnsi="Times New Roman"/>
          <w:color w:val="222222"/>
          <w:shd w:val="clear" w:color="auto" w:fill="FFFFFF"/>
        </w:rPr>
        <w:t>da.</w:t>
      </w:r>
      <w:proofErr w:type="gramEnd"/>
      <w:r w:rsidRPr="00514949">
        <w:rPr>
          <w:rFonts w:ascii="Times New Roman" w:hAnsi="Times New Roman"/>
          <w:color w:val="222222"/>
          <w:shd w:val="clear" w:color="auto" w:fill="FFFFFF"/>
        </w:rPr>
        <w:t xml:space="preserve"> Saúde e saneamento no Brasil. 2005.</w:t>
      </w:r>
    </w:p>
    <w:p w:rsidR="00AE2A68" w:rsidRPr="00AE2A68" w:rsidRDefault="00AE2A68" w:rsidP="00514949">
      <w:pPr>
        <w:pStyle w:val="BNDES"/>
        <w:spacing w:after="120"/>
        <w:rPr>
          <w:rFonts w:ascii="Times New Roman" w:hAnsi="Times New Roman"/>
          <w:color w:val="222222"/>
          <w:shd w:val="clear" w:color="auto" w:fill="FFFFFF"/>
        </w:rPr>
      </w:pPr>
      <w:r w:rsidRPr="00AE2A68">
        <w:rPr>
          <w:rFonts w:ascii="Times New Roman" w:hAnsi="Times New Roman"/>
          <w:color w:val="222222"/>
          <w:shd w:val="clear" w:color="auto" w:fill="FFFFFF"/>
        </w:rPr>
        <w:t>ORGANIZAÇÃO DAS NAÇÕES UNIDAS PARA A EDUCAÇÃO, A CIÊNCIA E A CULTURA (UNESCO)</w:t>
      </w:r>
      <w:r>
        <w:rPr>
          <w:rFonts w:ascii="Times New Roman" w:hAnsi="Times New Roman"/>
          <w:color w:val="222222"/>
          <w:shd w:val="clear" w:color="auto" w:fill="FFFFFF"/>
        </w:rPr>
        <w:t xml:space="preserve">. </w:t>
      </w:r>
      <w:r w:rsidRPr="00AE2A68">
        <w:rPr>
          <w:rFonts w:ascii="Times New Roman" w:hAnsi="Times New Roman"/>
          <w:b/>
          <w:color w:val="222222"/>
          <w:shd w:val="clear" w:color="auto" w:fill="FFFFFF"/>
        </w:rPr>
        <w:t>Relatório Mundial das Nações Unidas sobre o Desenvolvimento de Recursos Hídricos 2015</w:t>
      </w:r>
      <w:r w:rsidRPr="00AE2A68">
        <w:rPr>
          <w:rFonts w:ascii="Times New Roman" w:hAnsi="Times New Roman"/>
          <w:color w:val="222222"/>
          <w:shd w:val="clear" w:color="auto" w:fill="FFFFFF"/>
        </w:rPr>
        <w:t xml:space="preserve"> – Água para um Mundo Sustentável</w:t>
      </w:r>
      <w:r>
        <w:rPr>
          <w:rFonts w:ascii="Times New Roman" w:hAnsi="Times New Roman"/>
          <w:color w:val="222222"/>
          <w:shd w:val="clear" w:color="auto" w:fill="FFFFFF"/>
        </w:rPr>
        <w:t>. 2015.</w:t>
      </w:r>
    </w:p>
    <w:p w:rsidR="00B9199A" w:rsidRPr="00514949" w:rsidRDefault="00B9199A" w:rsidP="00514949">
      <w:pPr>
        <w:pStyle w:val="BNDES"/>
        <w:rPr>
          <w:rFonts w:ascii="Times New Roman" w:hAnsi="Times New Roman"/>
          <w:color w:val="222222"/>
          <w:shd w:val="clear" w:color="auto" w:fill="FFFFFF"/>
        </w:rPr>
      </w:pPr>
      <w:r w:rsidRPr="00514949">
        <w:rPr>
          <w:rFonts w:ascii="Times New Roman" w:hAnsi="Times New Roman"/>
          <w:color w:val="222222"/>
          <w:shd w:val="clear" w:color="auto" w:fill="FFFFFF"/>
        </w:rPr>
        <w:t xml:space="preserve">ORTIZ-CORREA, Javier Santiago; RESENDE FILHO, Moises; DINAR, Ariel. </w:t>
      </w:r>
      <w:proofErr w:type="gramStart"/>
      <w:r w:rsidRPr="00514949">
        <w:rPr>
          <w:rFonts w:ascii="Times New Roman" w:hAnsi="Times New Roman"/>
          <w:color w:val="222222"/>
          <w:shd w:val="clear" w:color="auto" w:fill="FFFFFF"/>
          <w:lang w:val="en-US"/>
        </w:rPr>
        <w:t>Impact of access to water and sanitation services on educational attainment.</w:t>
      </w:r>
      <w:proofErr w:type="gramEnd"/>
      <w:r w:rsidRPr="00514949">
        <w:rPr>
          <w:rFonts w:ascii="Times New Roman" w:hAnsi="Times New Roman"/>
          <w:color w:val="222222"/>
          <w:shd w:val="clear" w:color="auto" w:fill="FFFFFF"/>
          <w:lang w:val="en-US"/>
        </w:rPr>
        <w:t> </w:t>
      </w:r>
      <w:proofErr w:type="spellStart"/>
      <w:r w:rsidRPr="00514949">
        <w:rPr>
          <w:rFonts w:ascii="Times New Roman" w:hAnsi="Times New Roman"/>
          <w:b/>
          <w:bCs/>
          <w:color w:val="222222"/>
          <w:shd w:val="clear" w:color="auto" w:fill="FFFFFF"/>
        </w:rPr>
        <w:t>Water</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Resources</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and</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Economics</w:t>
      </w:r>
      <w:proofErr w:type="spellEnd"/>
      <w:r w:rsidRPr="00514949">
        <w:rPr>
          <w:rFonts w:ascii="Times New Roman" w:hAnsi="Times New Roman"/>
          <w:color w:val="222222"/>
          <w:shd w:val="clear" w:color="auto" w:fill="FFFFFF"/>
        </w:rPr>
        <w:t>, v. 14, p. 31-43, 2016.</w:t>
      </w:r>
    </w:p>
    <w:p w:rsidR="00B9199A" w:rsidRPr="00514949" w:rsidRDefault="00B9199A" w:rsidP="00514949">
      <w:pPr>
        <w:pStyle w:val="BNDES"/>
        <w:rPr>
          <w:rFonts w:ascii="Times New Roman" w:hAnsi="Times New Roman"/>
          <w:color w:val="222222"/>
          <w:shd w:val="clear" w:color="auto" w:fill="FFFFFF"/>
          <w:lang w:val="en-US"/>
        </w:rPr>
      </w:pPr>
      <w:r w:rsidRPr="00514949">
        <w:rPr>
          <w:rFonts w:ascii="Times New Roman" w:hAnsi="Times New Roman"/>
          <w:color w:val="222222"/>
          <w:shd w:val="clear" w:color="auto" w:fill="FFFFFF"/>
        </w:rPr>
        <w:t xml:space="preserve">PIMENTEL, L.B.; CAPANEMA, L.X.; Água e Esgoto. In: PUGA, Fernando Pimentel; CASTRO, Lavínia Barros de. </w:t>
      </w:r>
      <w:r w:rsidRPr="00514949">
        <w:rPr>
          <w:rFonts w:ascii="Times New Roman" w:hAnsi="Times New Roman"/>
          <w:b/>
          <w:color w:val="222222"/>
          <w:shd w:val="clear" w:color="auto" w:fill="FFFFFF"/>
        </w:rPr>
        <w:t>Visão 2035: Brasil, país desenvolvido: agendas setoriais para alcance da meta</w:t>
      </w:r>
      <w:r w:rsidRPr="00514949">
        <w:rPr>
          <w:rFonts w:ascii="Times New Roman" w:hAnsi="Times New Roman"/>
          <w:color w:val="222222"/>
          <w:shd w:val="clear" w:color="auto" w:fill="FFFFFF"/>
        </w:rPr>
        <w:t xml:space="preserve">. </w:t>
      </w:r>
      <w:r w:rsidRPr="00514949">
        <w:rPr>
          <w:rFonts w:ascii="Times New Roman" w:hAnsi="Times New Roman"/>
          <w:color w:val="222222"/>
          <w:shd w:val="clear" w:color="auto" w:fill="FFFFFF"/>
          <w:lang w:val="en-US"/>
        </w:rPr>
        <w:t>2018.</w:t>
      </w:r>
    </w:p>
    <w:p w:rsidR="0074628B" w:rsidRPr="00514949" w:rsidRDefault="0074628B" w:rsidP="00514949">
      <w:pPr>
        <w:pStyle w:val="BNDES"/>
        <w:spacing w:after="120"/>
        <w:rPr>
          <w:rFonts w:ascii="Times New Roman" w:hAnsi="Times New Roman"/>
          <w:color w:val="222222"/>
          <w:shd w:val="clear" w:color="auto" w:fill="FFFFFF"/>
          <w:lang w:val="en-US"/>
        </w:rPr>
      </w:pPr>
      <w:r w:rsidRPr="00514949">
        <w:rPr>
          <w:rFonts w:ascii="Times New Roman" w:hAnsi="Times New Roman"/>
          <w:color w:val="222222"/>
          <w:shd w:val="clear" w:color="auto" w:fill="FFFFFF"/>
          <w:lang w:val="en-US"/>
        </w:rPr>
        <w:t>ROCHA, Romero; SOARES, Rodrigo R. Evaluating the impact of community</w:t>
      </w:r>
      <w:r w:rsidRPr="00514949">
        <w:rPr>
          <w:rFonts w:ascii="Cambria Math" w:hAnsi="Cambria Math" w:cs="Cambria Math"/>
          <w:color w:val="222222"/>
          <w:shd w:val="clear" w:color="auto" w:fill="FFFFFF"/>
          <w:lang w:val="en-US"/>
        </w:rPr>
        <w:t>‐</w:t>
      </w:r>
      <w:r w:rsidRPr="00514949">
        <w:rPr>
          <w:rFonts w:ascii="Times New Roman" w:hAnsi="Times New Roman"/>
          <w:color w:val="222222"/>
          <w:shd w:val="clear" w:color="auto" w:fill="FFFFFF"/>
          <w:lang w:val="en-US"/>
        </w:rPr>
        <w:t>based health interventions: evidence from Brazil's Family Health Program. </w:t>
      </w:r>
      <w:proofErr w:type="gramStart"/>
      <w:r w:rsidRPr="00514949">
        <w:rPr>
          <w:rFonts w:ascii="Times New Roman" w:hAnsi="Times New Roman"/>
          <w:b/>
          <w:bCs/>
          <w:color w:val="222222"/>
          <w:shd w:val="clear" w:color="auto" w:fill="FFFFFF"/>
          <w:lang w:val="en-US"/>
        </w:rPr>
        <w:t>Health economics</w:t>
      </w:r>
      <w:r w:rsidRPr="00514949">
        <w:rPr>
          <w:rFonts w:ascii="Times New Roman" w:hAnsi="Times New Roman"/>
          <w:color w:val="222222"/>
          <w:shd w:val="clear" w:color="auto" w:fill="FFFFFF"/>
          <w:lang w:val="en-US"/>
        </w:rPr>
        <w:t>, v. 19, n. S1, p. 126-158, 2010.</w:t>
      </w:r>
      <w:proofErr w:type="gramEnd"/>
    </w:p>
    <w:p w:rsidR="0072726A" w:rsidRPr="00514949" w:rsidRDefault="0072726A" w:rsidP="00514949">
      <w:pPr>
        <w:pStyle w:val="BNDES"/>
        <w:spacing w:after="120"/>
        <w:rPr>
          <w:rFonts w:ascii="Times New Roman" w:hAnsi="Times New Roman"/>
          <w:color w:val="222222"/>
          <w:shd w:val="clear" w:color="auto" w:fill="FFFFFF"/>
        </w:rPr>
      </w:pPr>
      <w:proofErr w:type="gramStart"/>
      <w:r w:rsidRPr="00514949">
        <w:rPr>
          <w:rFonts w:ascii="Times New Roman" w:hAnsi="Times New Roman"/>
          <w:color w:val="222222"/>
          <w:shd w:val="clear" w:color="auto" w:fill="FFFFFF"/>
          <w:lang w:val="en-US"/>
        </w:rPr>
        <w:t>ROCHA, Rudi; SOARES, Rodrigo R. Water scarcity and birth outcomes in the Brazilian semiarid.</w:t>
      </w:r>
      <w:proofErr w:type="gramEnd"/>
      <w:r w:rsidRPr="00514949">
        <w:rPr>
          <w:rFonts w:ascii="Times New Roman" w:hAnsi="Times New Roman"/>
          <w:color w:val="222222"/>
          <w:shd w:val="clear" w:color="auto" w:fill="FFFFFF"/>
          <w:lang w:val="en-US"/>
        </w:rPr>
        <w:t> </w:t>
      </w:r>
      <w:proofErr w:type="spellStart"/>
      <w:r w:rsidRPr="00514949">
        <w:rPr>
          <w:rFonts w:ascii="Times New Roman" w:hAnsi="Times New Roman"/>
          <w:b/>
          <w:bCs/>
          <w:color w:val="222222"/>
          <w:shd w:val="clear" w:color="auto" w:fill="FFFFFF"/>
        </w:rPr>
        <w:t>Journal</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of</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Development</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Economics</w:t>
      </w:r>
      <w:proofErr w:type="spellEnd"/>
      <w:r w:rsidRPr="00514949">
        <w:rPr>
          <w:rFonts w:ascii="Times New Roman" w:hAnsi="Times New Roman"/>
          <w:color w:val="222222"/>
          <w:shd w:val="clear" w:color="auto" w:fill="FFFFFF"/>
        </w:rPr>
        <w:t>, v. 112, p. 72-91, 2015.</w:t>
      </w:r>
    </w:p>
    <w:p w:rsidR="00E27256" w:rsidRPr="00514949" w:rsidRDefault="00E27256" w:rsidP="00514949">
      <w:pPr>
        <w:pStyle w:val="BNDES"/>
        <w:spacing w:after="120"/>
        <w:rPr>
          <w:rFonts w:ascii="Times New Roman" w:hAnsi="Times New Roman"/>
          <w:color w:val="222222"/>
          <w:shd w:val="clear" w:color="auto" w:fill="FFFFFF"/>
        </w:rPr>
      </w:pPr>
      <w:r w:rsidRPr="00514949">
        <w:rPr>
          <w:rFonts w:ascii="Times New Roman" w:hAnsi="Times New Roman"/>
          <w:color w:val="222222"/>
          <w:shd w:val="clear" w:color="auto" w:fill="FFFFFF"/>
        </w:rPr>
        <w:t xml:space="preserve">SAIANI, Carlos; DE AZEVEDO, Paulo Furquim. </w:t>
      </w:r>
      <w:r w:rsidRPr="00514949">
        <w:rPr>
          <w:rFonts w:ascii="Times New Roman" w:hAnsi="Times New Roman"/>
          <w:color w:val="222222"/>
          <w:shd w:val="clear" w:color="auto" w:fill="FFFFFF"/>
          <w:lang w:val="en-US"/>
        </w:rPr>
        <w:t>Is privatization of sanitation services good for health</w:t>
      </w:r>
      <w:proofErr w:type="gramStart"/>
      <w:r w:rsidRPr="00514949">
        <w:rPr>
          <w:rFonts w:ascii="Times New Roman" w:hAnsi="Times New Roman"/>
          <w:color w:val="222222"/>
          <w:shd w:val="clear" w:color="auto" w:fill="FFFFFF"/>
          <w:lang w:val="en-US"/>
        </w:rPr>
        <w:t>?.</w:t>
      </w:r>
      <w:proofErr w:type="gramEnd"/>
      <w:r w:rsidRPr="00514949">
        <w:rPr>
          <w:rFonts w:ascii="Times New Roman" w:hAnsi="Times New Roman"/>
          <w:color w:val="222222"/>
          <w:shd w:val="clear" w:color="auto" w:fill="FFFFFF"/>
          <w:lang w:val="en-US"/>
        </w:rPr>
        <w:t> </w:t>
      </w:r>
      <w:proofErr w:type="spellStart"/>
      <w:r w:rsidRPr="00514949">
        <w:rPr>
          <w:rFonts w:ascii="Times New Roman" w:hAnsi="Times New Roman"/>
          <w:b/>
          <w:bCs/>
          <w:color w:val="222222"/>
          <w:shd w:val="clear" w:color="auto" w:fill="FFFFFF"/>
        </w:rPr>
        <w:t>Utilities</w:t>
      </w:r>
      <w:proofErr w:type="spellEnd"/>
      <w:r w:rsidRPr="00514949">
        <w:rPr>
          <w:rFonts w:ascii="Times New Roman" w:hAnsi="Times New Roman"/>
          <w:b/>
          <w:bCs/>
          <w:color w:val="222222"/>
          <w:shd w:val="clear" w:color="auto" w:fill="FFFFFF"/>
        </w:rPr>
        <w:t xml:space="preserve"> </w:t>
      </w:r>
      <w:proofErr w:type="spellStart"/>
      <w:r w:rsidRPr="00514949">
        <w:rPr>
          <w:rFonts w:ascii="Times New Roman" w:hAnsi="Times New Roman"/>
          <w:b/>
          <w:bCs/>
          <w:color w:val="222222"/>
          <w:shd w:val="clear" w:color="auto" w:fill="FFFFFF"/>
        </w:rPr>
        <w:t>Policy</w:t>
      </w:r>
      <w:proofErr w:type="spellEnd"/>
      <w:r w:rsidRPr="00514949">
        <w:rPr>
          <w:rFonts w:ascii="Times New Roman" w:hAnsi="Times New Roman"/>
          <w:color w:val="222222"/>
          <w:shd w:val="clear" w:color="auto" w:fill="FFFFFF"/>
        </w:rPr>
        <w:t>, v. 52, p. 27-36, 2018.</w:t>
      </w:r>
    </w:p>
    <w:p w:rsidR="0013320A" w:rsidRPr="00514949" w:rsidRDefault="0013320A" w:rsidP="00514949">
      <w:pPr>
        <w:pStyle w:val="BNDES"/>
        <w:spacing w:after="120"/>
        <w:rPr>
          <w:rFonts w:ascii="Times New Roman" w:hAnsi="Times New Roman"/>
          <w:color w:val="222222"/>
          <w:shd w:val="clear" w:color="auto" w:fill="FFFFFF"/>
        </w:rPr>
      </w:pPr>
      <w:r w:rsidRPr="00514949">
        <w:rPr>
          <w:rFonts w:ascii="Times New Roman" w:hAnsi="Times New Roman"/>
          <w:color w:val="222222"/>
          <w:shd w:val="clear" w:color="auto" w:fill="FFFFFF"/>
        </w:rPr>
        <w:t xml:space="preserve">SCRIPTORE, Juliana Souza; AZZONI, Carlos Roberto; MENEZES FILHO, </w:t>
      </w:r>
      <w:proofErr w:type="spellStart"/>
      <w:r w:rsidRPr="00514949">
        <w:rPr>
          <w:rFonts w:ascii="Times New Roman" w:hAnsi="Times New Roman"/>
          <w:color w:val="222222"/>
          <w:shd w:val="clear" w:color="auto" w:fill="FFFFFF"/>
        </w:rPr>
        <w:t>Naércio</w:t>
      </w:r>
      <w:proofErr w:type="spellEnd"/>
      <w:r w:rsidRPr="00514949">
        <w:rPr>
          <w:rFonts w:ascii="Times New Roman" w:hAnsi="Times New Roman"/>
          <w:color w:val="222222"/>
          <w:shd w:val="clear" w:color="auto" w:fill="FFFFFF"/>
        </w:rPr>
        <w:t xml:space="preserve"> Aquino. </w:t>
      </w:r>
      <w:r w:rsidR="00665123" w:rsidRPr="00514949">
        <w:rPr>
          <w:rFonts w:ascii="Times New Roman" w:hAnsi="Times New Roman"/>
          <w:color w:val="222222"/>
          <w:shd w:val="clear" w:color="auto" w:fill="FFFFFF"/>
        </w:rPr>
        <w:t>Os Impactos Do Saneamento Básico Sobre A Educação: Usando A Privatização Como Variável Instrumental,</w:t>
      </w:r>
      <w:r w:rsidR="00557FF4">
        <w:rPr>
          <w:rFonts w:ascii="Times New Roman" w:hAnsi="Times New Roman"/>
          <w:color w:val="222222"/>
          <w:shd w:val="clear" w:color="auto" w:fill="FFFFFF"/>
        </w:rPr>
        <w:t xml:space="preserve"> </w:t>
      </w:r>
      <w:r w:rsidR="00665123" w:rsidRPr="00514949">
        <w:rPr>
          <w:rFonts w:ascii="Times New Roman" w:hAnsi="Times New Roman"/>
          <w:color w:val="222222"/>
          <w:shd w:val="clear" w:color="auto" w:fill="FFFFFF"/>
        </w:rPr>
        <w:t>ANPEC, 2018</w:t>
      </w:r>
      <w:r w:rsidRPr="00514949">
        <w:rPr>
          <w:rFonts w:ascii="Times New Roman" w:hAnsi="Times New Roman"/>
          <w:color w:val="222222"/>
          <w:shd w:val="clear" w:color="auto" w:fill="FFFFFF"/>
        </w:rPr>
        <w:t>.</w:t>
      </w:r>
    </w:p>
    <w:p w:rsidR="0013320A" w:rsidRPr="00514949" w:rsidRDefault="0013320A" w:rsidP="00514949">
      <w:pPr>
        <w:pStyle w:val="BNDES"/>
        <w:spacing w:after="120"/>
        <w:rPr>
          <w:rFonts w:ascii="Times New Roman" w:hAnsi="Times New Roman"/>
          <w:color w:val="222222"/>
          <w:shd w:val="clear" w:color="auto" w:fill="FFFFFF"/>
          <w:lang w:val="en-US"/>
        </w:rPr>
      </w:pPr>
      <w:r w:rsidRPr="00514949">
        <w:rPr>
          <w:rFonts w:ascii="Times New Roman" w:hAnsi="Times New Roman"/>
          <w:color w:val="222222"/>
          <w:shd w:val="clear" w:color="auto" w:fill="FFFFFF"/>
        </w:rPr>
        <w:t xml:space="preserve">SEROA DA MOTTA, Ronaldo; MOREIRA, Ajax. </w:t>
      </w:r>
      <w:r w:rsidRPr="00514949">
        <w:rPr>
          <w:rFonts w:ascii="Times New Roman" w:hAnsi="Times New Roman"/>
          <w:color w:val="222222"/>
          <w:shd w:val="clear" w:color="auto" w:fill="FFFFFF"/>
          <w:lang w:val="en-US"/>
        </w:rPr>
        <w:t>Efficiency and regulation in the sanitation sector in Brazil. </w:t>
      </w:r>
      <w:proofErr w:type="gramStart"/>
      <w:r w:rsidRPr="00514949">
        <w:rPr>
          <w:rFonts w:ascii="Times New Roman" w:hAnsi="Times New Roman"/>
          <w:b/>
          <w:bCs/>
          <w:color w:val="222222"/>
          <w:shd w:val="clear" w:color="auto" w:fill="FFFFFF"/>
          <w:lang w:val="en-US"/>
        </w:rPr>
        <w:t>Utilities Policy</w:t>
      </w:r>
      <w:r w:rsidRPr="00514949">
        <w:rPr>
          <w:rFonts w:ascii="Times New Roman" w:hAnsi="Times New Roman"/>
          <w:color w:val="222222"/>
          <w:shd w:val="clear" w:color="auto" w:fill="FFFFFF"/>
          <w:lang w:val="en-US"/>
        </w:rPr>
        <w:t>, v. 14, n. 3, p. 185-195, 2006.</w:t>
      </w:r>
      <w:proofErr w:type="gramEnd"/>
    </w:p>
    <w:p w:rsidR="00AE4B15" w:rsidRDefault="00474CD2" w:rsidP="00AE4B15">
      <w:pPr>
        <w:pStyle w:val="BNDES"/>
        <w:rPr>
          <w:rFonts w:ascii="Times New Roman" w:hAnsi="Times New Roman"/>
          <w:color w:val="222222"/>
          <w:shd w:val="clear" w:color="auto" w:fill="FFFFFF"/>
          <w:lang w:val="en-US"/>
        </w:rPr>
      </w:pPr>
      <w:proofErr w:type="gramStart"/>
      <w:r w:rsidRPr="00514949">
        <w:rPr>
          <w:rFonts w:ascii="Times New Roman" w:hAnsi="Times New Roman"/>
          <w:color w:val="222222"/>
          <w:shd w:val="clear" w:color="auto" w:fill="FFFFFF"/>
          <w:lang w:val="en-US"/>
        </w:rPr>
        <w:t xml:space="preserve">SPEARS, Dean; LAMBA, </w:t>
      </w:r>
      <w:proofErr w:type="spellStart"/>
      <w:r w:rsidRPr="00514949">
        <w:rPr>
          <w:rFonts w:ascii="Times New Roman" w:hAnsi="Times New Roman"/>
          <w:color w:val="222222"/>
          <w:shd w:val="clear" w:color="auto" w:fill="FFFFFF"/>
          <w:lang w:val="en-US"/>
        </w:rPr>
        <w:t>Sneha</w:t>
      </w:r>
      <w:proofErr w:type="spellEnd"/>
      <w:r w:rsidRPr="00514949">
        <w:rPr>
          <w:rFonts w:ascii="Times New Roman" w:hAnsi="Times New Roman"/>
          <w:color w:val="222222"/>
          <w:shd w:val="clear" w:color="auto" w:fill="FFFFFF"/>
          <w:lang w:val="en-US"/>
        </w:rPr>
        <w:t>.</w:t>
      </w:r>
      <w:proofErr w:type="gramEnd"/>
      <w:r w:rsidRPr="00514949">
        <w:rPr>
          <w:rFonts w:ascii="Times New Roman" w:hAnsi="Times New Roman"/>
          <w:color w:val="222222"/>
          <w:shd w:val="clear" w:color="auto" w:fill="FFFFFF"/>
          <w:lang w:val="en-US"/>
        </w:rPr>
        <w:t> </w:t>
      </w:r>
      <w:r w:rsidRPr="00514949">
        <w:rPr>
          <w:rFonts w:ascii="Times New Roman" w:hAnsi="Times New Roman"/>
          <w:bCs/>
          <w:color w:val="222222"/>
          <w:shd w:val="clear" w:color="auto" w:fill="FFFFFF"/>
          <w:lang w:val="en-US"/>
        </w:rPr>
        <w:t>Effects of early-life exposure to sanitation on childhood cognitive skills: evidence from India's total sanitation campaign</w:t>
      </w:r>
      <w:r w:rsidRPr="00514949">
        <w:rPr>
          <w:rFonts w:ascii="Times New Roman" w:hAnsi="Times New Roman"/>
          <w:color w:val="222222"/>
          <w:shd w:val="clear" w:color="auto" w:fill="FFFFFF"/>
          <w:lang w:val="en-US"/>
        </w:rPr>
        <w:t xml:space="preserve">. </w:t>
      </w:r>
      <w:proofErr w:type="gramStart"/>
      <w:r w:rsidRPr="00514949">
        <w:rPr>
          <w:rFonts w:ascii="Times New Roman" w:hAnsi="Times New Roman"/>
          <w:b/>
          <w:color w:val="222222"/>
          <w:shd w:val="clear" w:color="auto" w:fill="FFFFFF"/>
          <w:lang w:val="en-US"/>
        </w:rPr>
        <w:t>The World Bank</w:t>
      </w:r>
      <w:r w:rsidRPr="00514949">
        <w:rPr>
          <w:rFonts w:ascii="Times New Roman" w:hAnsi="Times New Roman"/>
          <w:color w:val="222222"/>
          <w:shd w:val="clear" w:color="auto" w:fill="FFFFFF"/>
          <w:lang w:val="en-US"/>
        </w:rPr>
        <w:t>, 2013.</w:t>
      </w:r>
      <w:proofErr w:type="gramEnd"/>
    </w:p>
    <w:p w:rsidR="0072726A" w:rsidRPr="00AE4B15" w:rsidRDefault="0072726A" w:rsidP="00AE4B15">
      <w:pPr>
        <w:pStyle w:val="BNDES"/>
        <w:rPr>
          <w:rFonts w:ascii="Times New Roman" w:hAnsi="Times New Roman"/>
          <w:color w:val="222222"/>
          <w:shd w:val="clear" w:color="auto" w:fill="FFFFFF"/>
          <w:lang w:val="en-US"/>
        </w:rPr>
      </w:pPr>
      <w:r w:rsidRPr="00514949">
        <w:rPr>
          <w:rFonts w:ascii="Times New Roman" w:hAnsi="Times New Roman"/>
          <w:color w:val="222222"/>
          <w:shd w:val="clear" w:color="auto" w:fill="FFFFFF"/>
          <w:lang w:val="en-US"/>
        </w:rPr>
        <w:t>WORLD HEALTH ORGANIZATION et al. Neonatal and perinatal mortality: country, regional and global estimates. 2006.</w:t>
      </w:r>
    </w:p>
    <w:p w:rsidR="000A3C54" w:rsidRPr="00316C9F" w:rsidRDefault="000A3C54" w:rsidP="00514949">
      <w:pPr>
        <w:pStyle w:val="BNDES"/>
        <w:spacing w:after="120"/>
        <w:rPr>
          <w:rFonts w:ascii="Times New Roman" w:hAnsi="Times New Roman"/>
          <w:lang w:val="en-US"/>
        </w:rPr>
      </w:pPr>
    </w:p>
    <w:p w:rsidR="008245B9" w:rsidRPr="00316C9F" w:rsidRDefault="008245B9" w:rsidP="00514949">
      <w:pPr>
        <w:pStyle w:val="BNDES"/>
        <w:spacing w:after="120"/>
        <w:rPr>
          <w:rFonts w:ascii="Times New Roman" w:hAnsi="Times New Roman"/>
          <w:lang w:val="en-US"/>
        </w:rPr>
      </w:pPr>
    </w:p>
    <w:p w:rsidR="0051282D" w:rsidRPr="00316C9F" w:rsidRDefault="0051282D" w:rsidP="00514949">
      <w:pPr>
        <w:pStyle w:val="BNDES"/>
        <w:spacing w:after="120"/>
        <w:rPr>
          <w:rFonts w:ascii="Times New Roman" w:hAnsi="Times New Roman"/>
          <w:lang w:val="en-US"/>
        </w:rPr>
      </w:pPr>
    </w:p>
    <w:sectPr w:rsidR="0051282D" w:rsidRPr="00316C9F" w:rsidSect="00514949">
      <w:footerReference w:type="default" r:id="rId16"/>
      <w:pgSz w:w="11907" w:h="16840" w:code="9"/>
      <w:pgMar w:top="1134" w:right="851" w:bottom="1134" w:left="851" w:header="709" w:footer="709" w:gutter="0"/>
      <w:cols w:space="708"/>
      <w:docGrid w:linePitch="360" w:charSpace="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FD1" w:rsidRDefault="00327FD1" w:rsidP="006B7CDD">
      <w:r>
        <w:separator/>
      </w:r>
    </w:p>
  </w:endnote>
  <w:endnote w:type="continuationSeparator" w:id="0">
    <w:p w:rsidR="00327FD1" w:rsidRDefault="00327FD1" w:rsidP="006B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timum">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315157"/>
      <w:docPartObj>
        <w:docPartGallery w:val="Page Numbers (Bottom of Page)"/>
        <w:docPartUnique/>
      </w:docPartObj>
    </w:sdtPr>
    <w:sdtContent>
      <w:p w:rsidR="00327FD1" w:rsidRDefault="00327FD1">
        <w:pPr>
          <w:pStyle w:val="Rodap"/>
          <w:jc w:val="center"/>
        </w:pPr>
        <w:r>
          <w:fldChar w:fldCharType="begin"/>
        </w:r>
        <w:r>
          <w:instrText>PAGE   \* MERGEFORMAT</w:instrText>
        </w:r>
        <w:r>
          <w:fldChar w:fldCharType="separate"/>
        </w:r>
        <w:r w:rsidR="00694FBD">
          <w:rPr>
            <w:noProof/>
          </w:rPr>
          <w:t>1</w:t>
        </w:r>
        <w:r>
          <w:fldChar w:fldCharType="end"/>
        </w:r>
      </w:p>
    </w:sdtContent>
  </w:sdt>
  <w:p w:rsidR="00327FD1" w:rsidRDefault="00327FD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FD1" w:rsidRDefault="00327FD1" w:rsidP="006B7CDD">
      <w:r>
        <w:separator/>
      </w:r>
    </w:p>
  </w:footnote>
  <w:footnote w:type="continuationSeparator" w:id="0">
    <w:p w:rsidR="00327FD1" w:rsidRDefault="00327FD1" w:rsidP="006B7CDD">
      <w:r>
        <w:continuationSeparator/>
      </w:r>
    </w:p>
  </w:footnote>
  <w:footnote w:id="1">
    <w:p w:rsidR="00492F3C" w:rsidRPr="00492F3C" w:rsidRDefault="00492F3C">
      <w:pPr>
        <w:pStyle w:val="Textodenotaderodap"/>
        <w:rPr>
          <w:rFonts w:ascii="Times New Roman" w:hAnsi="Times New Roman"/>
        </w:rPr>
      </w:pPr>
      <w:r w:rsidRPr="00492F3C">
        <w:rPr>
          <w:rStyle w:val="Refdenotaderodap"/>
          <w:rFonts w:ascii="Times New Roman" w:hAnsi="Times New Roman"/>
        </w:rPr>
        <w:footnoteRef/>
      </w:r>
      <w:r w:rsidRPr="00492F3C">
        <w:rPr>
          <w:rFonts w:ascii="Times New Roman" w:hAnsi="Times New Roman"/>
        </w:rPr>
        <w:t xml:space="preserve"> Economista do BNDES. Doutor em Economia pelo IE/UFRJ.</w:t>
      </w:r>
    </w:p>
  </w:footnote>
  <w:footnote w:id="2">
    <w:p w:rsidR="00492F3C" w:rsidRPr="00492F3C" w:rsidRDefault="00492F3C">
      <w:pPr>
        <w:pStyle w:val="Textodenotaderodap"/>
        <w:rPr>
          <w:rFonts w:ascii="Times New Roman" w:hAnsi="Times New Roman"/>
        </w:rPr>
      </w:pPr>
      <w:r w:rsidRPr="00492F3C">
        <w:rPr>
          <w:rStyle w:val="Refdenotaderodap"/>
          <w:rFonts w:ascii="Times New Roman" w:hAnsi="Times New Roman"/>
        </w:rPr>
        <w:footnoteRef/>
      </w:r>
      <w:r w:rsidRPr="00492F3C">
        <w:rPr>
          <w:rFonts w:ascii="Times New Roman" w:hAnsi="Times New Roman"/>
        </w:rPr>
        <w:t xml:space="preserve"> Economista do BNDES. Mestre em Economia pelo CEDPELAR/UFMG.</w:t>
      </w:r>
    </w:p>
  </w:footnote>
  <w:footnote w:id="3">
    <w:p w:rsidR="00492F3C" w:rsidRPr="00492F3C" w:rsidRDefault="00492F3C">
      <w:pPr>
        <w:pStyle w:val="Textodenotaderodap"/>
        <w:rPr>
          <w:rFonts w:ascii="Times New Roman" w:hAnsi="Times New Roman"/>
        </w:rPr>
      </w:pPr>
      <w:r w:rsidRPr="00492F3C">
        <w:rPr>
          <w:rStyle w:val="Refdenotaderodap"/>
          <w:rFonts w:ascii="Times New Roman" w:hAnsi="Times New Roman"/>
        </w:rPr>
        <w:footnoteRef/>
      </w:r>
      <w:r w:rsidRPr="00492F3C">
        <w:rPr>
          <w:rFonts w:ascii="Times New Roman" w:hAnsi="Times New Roman"/>
        </w:rPr>
        <w:t xml:space="preserve"> Economista do BNDES. Mestre em Economia pelo IE/UFRJ.</w:t>
      </w:r>
    </w:p>
  </w:footnote>
  <w:footnote w:id="4">
    <w:p w:rsidR="00327FD1" w:rsidRDefault="00327FD1" w:rsidP="00581F8C">
      <w:pPr>
        <w:pStyle w:val="Textodenotaderodap"/>
        <w:jc w:val="both"/>
      </w:pPr>
      <w:r>
        <w:rPr>
          <w:rStyle w:val="Refdenotaderodap"/>
        </w:rPr>
        <w:footnoteRef/>
      </w:r>
      <w:r>
        <w:t xml:space="preserve"> </w:t>
      </w:r>
      <w:r w:rsidRPr="00EE231F">
        <w:rPr>
          <w:rFonts w:ascii="Times New Roman" w:hAnsi="Times New Roman"/>
        </w:rPr>
        <w:t>A coleta de informações do SNIS ocorre anualmente pelos próprios prestadores de serviços de saneamento. A declaração</w:t>
      </w:r>
      <w:r>
        <w:rPr>
          <w:rFonts w:ascii="Times New Roman" w:hAnsi="Times New Roman"/>
        </w:rPr>
        <w:t xml:space="preserve"> </w:t>
      </w:r>
      <w:r w:rsidRPr="00EE231F">
        <w:rPr>
          <w:rFonts w:ascii="Times New Roman" w:hAnsi="Times New Roman"/>
        </w:rPr>
        <w:t>dos dados não é compulsória, mas é um pré-requisito para acesso a recursos federais destinados a programas no setor.</w:t>
      </w:r>
      <w:r>
        <w:rPr>
          <w:rFonts w:ascii="Times New Roman" w:hAnsi="Times New Roman"/>
        </w:rPr>
        <w:t xml:space="preserve"> </w:t>
      </w:r>
      <w:r w:rsidRPr="00EE231F">
        <w:rPr>
          <w:rFonts w:ascii="Times New Roman" w:hAnsi="Times New Roman"/>
        </w:rPr>
        <w:t>Por isso, a base ainda carece de instrumentos de auditoria e validação de informações,</w:t>
      </w:r>
      <w:r>
        <w:rPr>
          <w:rFonts w:ascii="Times New Roman" w:hAnsi="Times New Roman"/>
        </w:rPr>
        <w:t xml:space="preserve"> j</w:t>
      </w:r>
      <w:r w:rsidRPr="00EE231F">
        <w:rPr>
          <w:rFonts w:ascii="Times New Roman" w:hAnsi="Times New Roman"/>
        </w:rPr>
        <w:t>á que não há incentivos para o</w:t>
      </w:r>
      <w:r>
        <w:rPr>
          <w:rFonts w:ascii="Times New Roman" w:hAnsi="Times New Roman"/>
        </w:rPr>
        <w:t xml:space="preserve"> </w:t>
      </w:r>
      <w:r w:rsidRPr="00EE231F">
        <w:rPr>
          <w:rFonts w:ascii="Times New Roman" w:hAnsi="Times New Roman"/>
        </w:rPr>
        <w:t>correto preenchimento de informações pelos prestadores de serviços.</w:t>
      </w:r>
    </w:p>
  </w:footnote>
  <w:footnote w:id="5">
    <w:p w:rsidR="00327FD1" w:rsidRPr="0074628B" w:rsidRDefault="00327FD1" w:rsidP="0074628B">
      <w:pPr>
        <w:pStyle w:val="Textodenotaderodap"/>
        <w:jc w:val="both"/>
        <w:rPr>
          <w:rFonts w:ascii="Times New Roman" w:hAnsi="Times New Roman"/>
        </w:rPr>
      </w:pPr>
      <w:r>
        <w:rPr>
          <w:rStyle w:val="Refdenotaderodap"/>
        </w:rPr>
        <w:footnoteRef/>
      </w:r>
      <w:r>
        <w:t xml:space="preserve"> </w:t>
      </w:r>
      <w:r w:rsidRPr="0074628B">
        <w:rPr>
          <w:rFonts w:ascii="Times New Roman" w:hAnsi="Times New Roman"/>
        </w:rPr>
        <w:t>Rocha e Soares (2010) documentam os efeitos positivos do Programa Saúde da Família sobre indicadores de saúde no Brasil.</w:t>
      </w:r>
      <w:r>
        <w:rPr>
          <w:rFonts w:ascii="Times New Roman" w:hAnsi="Times New Roman"/>
        </w:rPr>
        <w:t xml:space="preserve"> </w:t>
      </w:r>
    </w:p>
  </w:footnote>
  <w:footnote w:id="6">
    <w:p w:rsidR="00327FD1" w:rsidRPr="000A4E38" w:rsidRDefault="00327FD1">
      <w:pPr>
        <w:pStyle w:val="Textodenotaderodap"/>
        <w:rPr>
          <w:rFonts w:ascii="Times New Roman" w:hAnsi="Times New Roman"/>
        </w:rPr>
      </w:pPr>
      <w:r w:rsidRPr="000A4E38">
        <w:rPr>
          <w:rStyle w:val="Refdenotaderodap"/>
          <w:rFonts w:ascii="Times New Roman" w:hAnsi="Times New Roman"/>
        </w:rPr>
        <w:footnoteRef/>
      </w:r>
      <w:r w:rsidRPr="000A4E38">
        <w:rPr>
          <w:rFonts w:ascii="Times New Roman" w:hAnsi="Times New Roman"/>
        </w:rPr>
        <w:t xml:space="preserve"> Para maiores detalhes sobre CID-10, ver </w:t>
      </w:r>
      <w:hyperlink r:id="rId1" w:history="1">
        <w:r w:rsidRPr="000A4E38">
          <w:rPr>
            <w:rStyle w:val="Hyperlink"/>
            <w:rFonts w:ascii="Times New Roman" w:hAnsi="Times New Roman"/>
          </w:rPr>
          <w:t>https://icd.who.int/browse10/2016/en</w:t>
        </w:r>
      </w:hyperlink>
      <w:r w:rsidRPr="000A4E38">
        <w:rPr>
          <w:rFonts w:ascii="Times New Roman" w:hAnsi="Times New Roman"/>
        </w:rPr>
        <w:t xml:space="preserve"> e </w:t>
      </w:r>
      <w:hyperlink r:id="rId2" w:history="1">
        <w:r w:rsidRPr="000A4E38">
          <w:rPr>
            <w:rStyle w:val="Hyperlink"/>
            <w:rFonts w:ascii="Times New Roman" w:hAnsi="Times New Roman"/>
          </w:rPr>
          <w:t>http://tabnet.datasus.gov.br/cgi/sih/mxcid10.htm</w:t>
        </w:r>
      </w:hyperlink>
      <w:r w:rsidRPr="000A4E38">
        <w:rPr>
          <w:rFonts w:ascii="Times New Roman" w:hAnsi="Times New Roman"/>
        </w:rPr>
        <w:t>.</w:t>
      </w:r>
    </w:p>
  </w:footnote>
  <w:footnote w:id="7">
    <w:p w:rsidR="00327FD1" w:rsidRPr="000A4E38" w:rsidRDefault="00327FD1">
      <w:pPr>
        <w:pStyle w:val="Textodenotaderodap"/>
        <w:rPr>
          <w:rFonts w:ascii="Times New Roman" w:hAnsi="Times New Roman"/>
        </w:rPr>
      </w:pPr>
      <w:r w:rsidRPr="000A4E38">
        <w:rPr>
          <w:rStyle w:val="Refdenotaderodap"/>
          <w:rFonts w:ascii="Times New Roman" w:hAnsi="Times New Roman"/>
        </w:rPr>
        <w:footnoteRef/>
      </w:r>
      <w:r w:rsidRPr="000A4E38">
        <w:rPr>
          <w:rFonts w:ascii="Times New Roman" w:hAnsi="Times New Roman"/>
        </w:rPr>
        <w:t xml:space="preserve"> </w:t>
      </w:r>
      <w:proofErr w:type="spellStart"/>
      <w:r w:rsidRPr="000A4E38">
        <w:rPr>
          <w:rFonts w:ascii="Times New Roman" w:hAnsi="Times New Roman"/>
        </w:rPr>
        <w:t>Ashraf</w:t>
      </w:r>
      <w:proofErr w:type="spellEnd"/>
      <w:r w:rsidRPr="000A4E38">
        <w:rPr>
          <w:rFonts w:ascii="Times New Roman" w:hAnsi="Times New Roman"/>
        </w:rPr>
        <w:t xml:space="preserve"> </w:t>
      </w:r>
      <w:proofErr w:type="gramStart"/>
      <w:r w:rsidRPr="000A4E38">
        <w:rPr>
          <w:rFonts w:ascii="Times New Roman" w:hAnsi="Times New Roman"/>
        </w:rPr>
        <w:t>et</w:t>
      </w:r>
      <w:proofErr w:type="gramEnd"/>
      <w:r w:rsidRPr="000A4E38">
        <w:rPr>
          <w:rFonts w:ascii="Times New Roman" w:hAnsi="Times New Roman"/>
        </w:rPr>
        <w:t xml:space="preserve"> al (2017) estimam impactos do acesso a água encanada sobre doenças respiratórias, apesar de a conexão não ser imediata.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D095C"/>
    <w:multiLevelType w:val="hybridMultilevel"/>
    <w:tmpl w:val="E61EA008"/>
    <w:lvl w:ilvl="0" w:tplc="CAEC7A68">
      <w:start w:val="1"/>
      <w:numFmt w:val="decimal"/>
      <w:lvlText w:val="%1."/>
      <w:lvlJc w:val="left"/>
      <w:pPr>
        <w:ind w:left="36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lickAndTypeStyle w:val="BNDES"/>
  <w:drawingGridHorizontalSpacing w:val="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C22"/>
    <w:rsid w:val="00002218"/>
    <w:rsid w:val="000130C4"/>
    <w:rsid w:val="00021A7C"/>
    <w:rsid w:val="00027E15"/>
    <w:rsid w:val="00084DEC"/>
    <w:rsid w:val="00085A9B"/>
    <w:rsid w:val="000909B1"/>
    <w:rsid w:val="000A2B5C"/>
    <w:rsid w:val="000A3C54"/>
    <w:rsid w:val="000A4E38"/>
    <w:rsid w:val="000A5F9A"/>
    <w:rsid w:val="000C23E3"/>
    <w:rsid w:val="000C7148"/>
    <w:rsid w:val="000D4F97"/>
    <w:rsid w:val="000E258C"/>
    <w:rsid w:val="000E3128"/>
    <w:rsid w:val="000E5ED9"/>
    <w:rsid w:val="00102415"/>
    <w:rsid w:val="00103297"/>
    <w:rsid w:val="0013320A"/>
    <w:rsid w:val="00141424"/>
    <w:rsid w:val="00144DD6"/>
    <w:rsid w:val="00156680"/>
    <w:rsid w:val="0016059A"/>
    <w:rsid w:val="00160A28"/>
    <w:rsid w:val="001617CD"/>
    <w:rsid w:val="0019094A"/>
    <w:rsid w:val="001946AD"/>
    <w:rsid w:val="001C3C91"/>
    <w:rsid w:val="001C7942"/>
    <w:rsid w:val="001D3938"/>
    <w:rsid w:val="001D7883"/>
    <w:rsid w:val="001F7303"/>
    <w:rsid w:val="00207860"/>
    <w:rsid w:val="00232F15"/>
    <w:rsid w:val="00262CC5"/>
    <w:rsid w:val="00262CCB"/>
    <w:rsid w:val="00267E97"/>
    <w:rsid w:val="00272E1B"/>
    <w:rsid w:val="00293270"/>
    <w:rsid w:val="002A5F33"/>
    <w:rsid w:val="002A6A55"/>
    <w:rsid w:val="002B2346"/>
    <w:rsid w:val="002B5E46"/>
    <w:rsid w:val="002D7A6B"/>
    <w:rsid w:val="002E041A"/>
    <w:rsid w:val="002F308B"/>
    <w:rsid w:val="00316C9F"/>
    <w:rsid w:val="003202EE"/>
    <w:rsid w:val="00327FD1"/>
    <w:rsid w:val="00334C10"/>
    <w:rsid w:val="0035280B"/>
    <w:rsid w:val="00371B0A"/>
    <w:rsid w:val="00387511"/>
    <w:rsid w:val="00397C1D"/>
    <w:rsid w:val="003A3B02"/>
    <w:rsid w:val="003A3C23"/>
    <w:rsid w:val="003E0DFE"/>
    <w:rsid w:val="003E73B2"/>
    <w:rsid w:val="003E7C01"/>
    <w:rsid w:val="003F05E1"/>
    <w:rsid w:val="003F18E5"/>
    <w:rsid w:val="00403E82"/>
    <w:rsid w:val="00406E4C"/>
    <w:rsid w:val="00413157"/>
    <w:rsid w:val="004216BE"/>
    <w:rsid w:val="004256C8"/>
    <w:rsid w:val="0043400B"/>
    <w:rsid w:val="0044023F"/>
    <w:rsid w:val="00442BA2"/>
    <w:rsid w:val="00444B01"/>
    <w:rsid w:val="004469CE"/>
    <w:rsid w:val="00451630"/>
    <w:rsid w:val="00453CAF"/>
    <w:rsid w:val="00474CD2"/>
    <w:rsid w:val="004825C2"/>
    <w:rsid w:val="00492F3C"/>
    <w:rsid w:val="004A5410"/>
    <w:rsid w:val="004C03D3"/>
    <w:rsid w:val="004C2508"/>
    <w:rsid w:val="004C3001"/>
    <w:rsid w:val="004D1DEA"/>
    <w:rsid w:val="004D4BB6"/>
    <w:rsid w:val="004E6303"/>
    <w:rsid w:val="004F280F"/>
    <w:rsid w:val="004F670C"/>
    <w:rsid w:val="00506A34"/>
    <w:rsid w:val="00507EA7"/>
    <w:rsid w:val="005118E2"/>
    <w:rsid w:val="0051282D"/>
    <w:rsid w:val="00512DEE"/>
    <w:rsid w:val="00514949"/>
    <w:rsid w:val="00517F2E"/>
    <w:rsid w:val="005479F9"/>
    <w:rsid w:val="00550390"/>
    <w:rsid w:val="00557FF4"/>
    <w:rsid w:val="005678F2"/>
    <w:rsid w:val="00581F8C"/>
    <w:rsid w:val="005A249A"/>
    <w:rsid w:val="005B5F6D"/>
    <w:rsid w:val="005C13CF"/>
    <w:rsid w:val="00602C04"/>
    <w:rsid w:val="00603063"/>
    <w:rsid w:val="006037BB"/>
    <w:rsid w:val="006123E3"/>
    <w:rsid w:val="00626447"/>
    <w:rsid w:val="00637CD1"/>
    <w:rsid w:val="0064723F"/>
    <w:rsid w:val="00665123"/>
    <w:rsid w:val="00676406"/>
    <w:rsid w:val="006949F7"/>
    <w:rsid w:val="00694FBD"/>
    <w:rsid w:val="00697981"/>
    <w:rsid w:val="006A6DF7"/>
    <w:rsid w:val="006B1807"/>
    <w:rsid w:val="006B7CDD"/>
    <w:rsid w:val="006C01C1"/>
    <w:rsid w:val="006C234B"/>
    <w:rsid w:val="006C3AD0"/>
    <w:rsid w:val="006D4360"/>
    <w:rsid w:val="006D59AA"/>
    <w:rsid w:val="006F43CA"/>
    <w:rsid w:val="0070528B"/>
    <w:rsid w:val="00711EA6"/>
    <w:rsid w:val="0072149E"/>
    <w:rsid w:val="00724F28"/>
    <w:rsid w:val="0072726A"/>
    <w:rsid w:val="0074628B"/>
    <w:rsid w:val="00765065"/>
    <w:rsid w:val="00766BF9"/>
    <w:rsid w:val="0077039F"/>
    <w:rsid w:val="00773BD4"/>
    <w:rsid w:val="0078281C"/>
    <w:rsid w:val="00796401"/>
    <w:rsid w:val="007A42EE"/>
    <w:rsid w:val="007A6578"/>
    <w:rsid w:val="007A7A86"/>
    <w:rsid w:val="007B639E"/>
    <w:rsid w:val="007D4ABD"/>
    <w:rsid w:val="007D6AC9"/>
    <w:rsid w:val="007D71E6"/>
    <w:rsid w:val="00800096"/>
    <w:rsid w:val="00803794"/>
    <w:rsid w:val="008178A3"/>
    <w:rsid w:val="008245B9"/>
    <w:rsid w:val="0083004A"/>
    <w:rsid w:val="00844248"/>
    <w:rsid w:val="00845D75"/>
    <w:rsid w:val="0085208F"/>
    <w:rsid w:val="008B2206"/>
    <w:rsid w:val="008C23E0"/>
    <w:rsid w:val="008C6195"/>
    <w:rsid w:val="008C6D03"/>
    <w:rsid w:val="008D2C27"/>
    <w:rsid w:val="008D3EF7"/>
    <w:rsid w:val="008F6792"/>
    <w:rsid w:val="00911B74"/>
    <w:rsid w:val="009223C7"/>
    <w:rsid w:val="0093452B"/>
    <w:rsid w:val="00946C23"/>
    <w:rsid w:val="0097252B"/>
    <w:rsid w:val="00974254"/>
    <w:rsid w:val="00983FEC"/>
    <w:rsid w:val="00996C22"/>
    <w:rsid w:val="009A69AD"/>
    <w:rsid w:val="009C0324"/>
    <w:rsid w:val="009C086B"/>
    <w:rsid w:val="009C40D9"/>
    <w:rsid w:val="009D008C"/>
    <w:rsid w:val="009D270F"/>
    <w:rsid w:val="00A03B0C"/>
    <w:rsid w:val="00A054C2"/>
    <w:rsid w:val="00A241E1"/>
    <w:rsid w:val="00A2439F"/>
    <w:rsid w:val="00A50004"/>
    <w:rsid w:val="00A620BD"/>
    <w:rsid w:val="00A620FE"/>
    <w:rsid w:val="00A65891"/>
    <w:rsid w:val="00A67C41"/>
    <w:rsid w:val="00A85F93"/>
    <w:rsid w:val="00A87012"/>
    <w:rsid w:val="00A90BA3"/>
    <w:rsid w:val="00A91A59"/>
    <w:rsid w:val="00A94F54"/>
    <w:rsid w:val="00AA4587"/>
    <w:rsid w:val="00AA5874"/>
    <w:rsid w:val="00AC225E"/>
    <w:rsid w:val="00AC37C4"/>
    <w:rsid w:val="00AE2A68"/>
    <w:rsid w:val="00AE4B15"/>
    <w:rsid w:val="00AF0BCC"/>
    <w:rsid w:val="00B304BF"/>
    <w:rsid w:val="00B404C0"/>
    <w:rsid w:val="00B45BAF"/>
    <w:rsid w:val="00B53BBF"/>
    <w:rsid w:val="00B57A93"/>
    <w:rsid w:val="00B60E7C"/>
    <w:rsid w:val="00B6448F"/>
    <w:rsid w:val="00B8728D"/>
    <w:rsid w:val="00B9199A"/>
    <w:rsid w:val="00B9493D"/>
    <w:rsid w:val="00BA724E"/>
    <w:rsid w:val="00BC062E"/>
    <w:rsid w:val="00BC450C"/>
    <w:rsid w:val="00BD25B2"/>
    <w:rsid w:val="00BE7721"/>
    <w:rsid w:val="00BF4C57"/>
    <w:rsid w:val="00BF4E20"/>
    <w:rsid w:val="00BF4FFE"/>
    <w:rsid w:val="00C153CD"/>
    <w:rsid w:val="00C1789B"/>
    <w:rsid w:val="00C228BB"/>
    <w:rsid w:val="00C244CB"/>
    <w:rsid w:val="00C31370"/>
    <w:rsid w:val="00C355D6"/>
    <w:rsid w:val="00C64B3A"/>
    <w:rsid w:val="00C8044A"/>
    <w:rsid w:val="00C821CD"/>
    <w:rsid w:val="00C97B42"/>
    <w:rsid w:val="00CA0676"/>
    <w:rsid w:val="00CE2847"/>
    <w:rsid w:val="00CF3E40"/>
    <w:rsid w:val="00D0771F"/>
    <w:rsid w:val="00D27F66"/>
    <w:rsid w:val="00D30669"/>
    <w:rsid w:val="00D33F25"/>
    <w:rsid w:val="00D4180D"/>
    <w:rsid w:val="00D60432"/>
    <w:rsid w:val="00D71082"/>
    <w:rsid w:val="00D83CCE"/>
    <w:rsid w:val="00DA11B8"/>
    <w:rsid w:val="00DA4CA8"/>
    <w:rsid w:val="00DA59F7"/>
    <w:rsid w:val="00DC3E1B"/>
    <w:rsid w:val="00DE63F7"/>
    <w:rsid w:val="00E046E6"/>
    <w:rsid w:val="00E0591A"/>
    <w:rsid w:val="00E10422"/>
    <w:rsid w:val="00E17724"/>
    <w:rsid w:val="00E200A8"/>
    <w:rsid w:val="00E216BF"/>
    <w:rsid w:val="00E24E0A"/>
    <w:rsid w:val="00E27256"/>
    <w:rsid w:val="00E332DF"/>
    <w:rsid w:val="00E46B7B"/>
    <w:rsid w:val="00E50573"/>
    <w:rsid w:val="00E62B9D"/>
    <w:rsid w:val="00E71591"/>
    <w:rsid w:val="00E725A8"/>
    <w:rsid w:val="00E7694D"/>
    <w:rsid w:val="00E85474"/>
    <w:rsid w:val="00E912B7"/>
    <w:rsid w:val="00EA3C25"/>
    <w:rsid w:val="00EB1917"/>
    <w:rsid w:val="00EB60D5"/>
    <w:rsid w:val="00EC59B4"/>
    <w:rsid w:val="00EC66D2"/>
    <w:rsid w:val="00ED182E"/>
    <w:rsid w:val="00ED1DB9"/>
    <w:rsid w:val="00ED2150"/>
    <w:rsid w:val="00EE1109"/>
    <w:rsid w:val="00EE173F"/>
    <w:rsid w:val="00EE231F"/>
    <w:rsid w:val="00F275B4"/>
    <w:rsid w:val="00F308C5"/>
    <w:rsid w:val="00F35CFD"/>
    <w:rsid w:val="00F42246"/>
    <w:rsid w:val="00F42A19"/>
    <w:rsid w:val="00F5415E"/>
    <w:rsid w:val="00F55429"/>
    <w:rsid w:val="00F604C4"/>
    <w:rsid w:val="00F85EB2"/>
    <w:rsid w:val="00F9171D"/>
    <w:rsid w:val="00F9393D"/>
    <w:rsid w:val="00FA78CD"/>
    <w:rsid w:val="00FB307A"/>
    <w:rsid w:val="00FC66B2"/>
    <w:rsid w:val="00FD5F2B"/>
    <w:rsid w:val="00FE39E6"/>
    <w:rsid w:val="00FF74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Optimum" w:hAnsi="Optimum"/>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NDES">
    <w:name w:val="BNDES"/>
    <w:basedOn w:val="Normal"/>
    <w:link w:val="BNDESChar"/>
    <w:rsid w:val="0043400B"/>
    <w:pPr>
      <w:jc w:val="both"/>
    </w:pPr>
  </w:style>
  <w:style w:type="paragraph" w:styleId="Cabealho">
    <w:name w:val="header"/>
    <w:basedOn w:val="Normal"/>
    <w:link w:val="CabealhoChar"/>
    <w:uiPriority w:val="99"/>
    <w:unhideWhenUsed/>
    <w:rsid w:val="006B7CDD"/>
    <w:pPr>
      <w:tabs>
        <w:tab w:val="center" w:pos="4252"/>
        <w:tab w:val="right" w:pos="8504"/>
      </w:tabs>
    </w:pPr>
  </w:style>
  <w:style w:type="character" w:customStyle="1" w:styleId="CabealhoChar">
    <w:name w:val="Cabeçalho Char"/>
    <w:basedOn w:val="Fontepargpadro"/>
    <w:link w:val="Cabealho"/>
    <w:uiPriority w:val="99"/>
    <w:rsid w:val="006B7CDD"/>
    <w:rPr>
      <w:rFonts w:ascii="Optimum" w:hAnsi="Optimum"/>
      <w:sz w:val="24"/>
      <w:szCs w:val="24"/>
    </w:rPr>
  </w:style>
  <w:style w:type="paragraph" w:styleId="Rodap">
    <w:name w:val="footer"/>
    <w:basedOn w:val="Normal"/>
    <w:link w:val="RodapChar"/>
    <w:uiPriority w:val="99"/>
    <w:unhideWhenUsed/>
    <w:rsid w:val="006B7CDD"/>
    <w:pPr>
      <w:tabs>
        <w:tab w:val="center" w:pos="4252"/>
        <w:tab w:val="right" w:pos="8504"/>
      </w:tabs>
    </w:pPr>
  </w:style>
  <w:style w:type="character" w:customStyle="1" w:styleId="RodapChar">
    <w:name w:val="Rodapé Char"/>
    <w:basedOn w:val="Fontepargpadro"/>
    <w:link w:val="Rodap"/>
    <w:uiPriority w:val="99"/>
    <w:rsid w:val="006B7CDD"/>
    <w:rPr>
      <w:rFonts w:ascii="Optimum" w:hAnsi="Optimum"/>
      <w:sz w:val="24"/>
      <w:szCs w:val="24"/>
    </w:rPr>
  </w:style>
  <w:style w:type="character" w:styleId="TextodoEspaoReservado">
    <w:name w:val="Placeholder Text"/>
    <w:basedOn w:val="Fontepargpadro"/>
    <w:uiPriority w:val="99"/>
    <w:semiHidden/>
    <w:rsid w:val="00A620FE"/>
    <w:rPr>
      <w:color w:val="808080"/>
    </w:rPr>
  </w:style>
  <w:style w:type="paragraph" w:styleId="Textodebalo">
    <w:name w:val="Balloon Text"/>
    <w:basedOn w:val="Normal"/>
    <w:link w:val="TextodebaloChar"/>
    <w:uiPriority w:val="99"/>
    <w:semiHidden/>
    <w:unhideWhenUsed/>
    <w:rsid w:val="00A620FE"/>
    <w:rPr>
      <w:rFonts w:ascii="Tahoma" w:hAnsi="Tahoma" w:cs="Tahoma"/>
      <w:sz w:val="16"/>
      <w:szCs w:val="16"/>
    </w:rPr>
  </w:style>
  <w:style w:type="character" w:customStyle="1" w:styleId="TextodebaloChar">
    <w:name w:val="Texto de balão Char"/>
    <w:basedOn w:val="Fontepargpadro"/>
    <w:link w:val="Textodebalo"/>
    <w:uiPriority w:val="99"/>
    <w:semiHidden/>
    <w:rsid w:val="00A620FE"/>
    <w:rPr>
      <w:rFonts w:ascii="Tahoma" w:hAnsi="Tahoma" w:cs="Tahoma"/>
      <w:sz w:val="16"/>
      <w:szCs w:val="16"/>
    </w:rPr>
  </w:style>
  <w:style w:type="character" w:styleId="Hyperlink">
    <w:name w:val="Hyperlink"/>
    <w:basedOn w:val="Fontepargpadro"/>
    <w:uiPriority w:val="99"/>
    <w:semiHidden/>
    <w:unhideWhenUsed/>
    <w:rsid w:val="000A3C54"/>
    <w:rPr>
      <w:color w:val="0000FF"/>
      <w:u w:val="single"/>
    </w:rPr>
  </w:style>
  <w:style w:type="paragraph" w:styleId="Textodenotaderodap">
    <w:name w:val="footnote text"/>
    <w:basedOn w:val="Normal"/>
    <w:link w:val="TextodenotaderodapChar"/>
    <w:uiPriority w:val="99"/>
    <w:semiHidden/>
    <w:unhideWhenUsed/>
    <w:rsid w:val="0074628B"/>
    <w:rPr>
      <w:sz w:val="20"/>
      <w:szCs w:val="20"/>
    </w:rPr>
  </w:style>
  <w:style w:type="character" w:customStyle="1" w:styleId="TextodenotaderodapChar">
    <w:name w:val="Texto de nota de rodapé Char"/>
    <w:basedOn w:val="Fontepargpadro"/>
    <w:link w:val="Textodenotaderodap"/>
    <w:uiPriority w:val="99"/>
    <w:semiHidden/>
    <w:rsid w:val="0074628B"/>
    <w:rPr>
      <w:rFonts w:ascii="Optimum" w:hAnsi="Optimum"/>
    </w:rPr>
  </w:style>
  <w:style w:type="character" w:styleId="Refdenotaderodap">
    <w:name w:val="footnote reference"/>
    <w:basedOn w:val="Fontepargpadro"/>
    <w:uiPriority w:val="99"/>
    <w:semiHidden/>
    <w:unhideWhenUsed/>
    <w:rsid w:val="0074628B"/>
    <w:rPr>
      <w:vertAlign w:val="superscript"/>
    </w:rPr>
  </w:style>
  <w:style w:type="table" w:styleId="Tabelacomgrade">
    <w:name w:val="Table Grid"/>
    <w:basedOn w:val="Tabelanormal"/>
    <w:uiPriority w:val="59"/>
    <w:rsid w:val="00E5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B5F6D"/>
    <w:rPr>
      <w:sz w:val="16"/>
      <w:szCs w:val="16"/>
    </w:rPr>
  </w:style>
  <w:style w:type="paragraph" w:styleId="Textodecomentrio">
    <w:name w:val="annotation text"/>
    <w:basedOn w:val="Normal"/>
    <w:link w:val="TextodecomentrioChar"/>
    <w:uiPriority w:val="99"/>
    <w:semiHidden/>
    <w:unhideWhenUsed/>
    <w:rsid w:val="005B5F6D"/>
    <w:rPr>
      <w:sz w:val="20"/>
      <w:szCs w:val="20"/>
    </w:rPr>
  </w:style>
  <w:style w:type="character" w:customStyle="1" w:styleId="TextodecomentrioChar">
    <w:name w:val="Texto de comentário Char"/>
    <w:basedOn w:val="Fontepargpadro"/>
    <w:link w:val="Textodecomentrio"/>
    <w:uiPriority w:val="99"/>
    <w:semiHidden/>
    <w:rsid w:val="005B5F6D"/>
    <w:rPr>
      <w:rFonts w:ascii="Optimum" w:hAnsi="Optimum"/>
    </w:rPr>
  </w:style>
  <w:style w:type="paragraph" w:styleId="Assuntodocomentrio">
    <w:name w:val="annotation subject"/>
    <w:basedOn w:val="Textodecomentrio"/>
    <w:next w:val="Textodecomentrio"/>
    <w:link w:val="AssuntodocomentrioChar"/>
    <w:uiPriority w:val="99"/>
    <w:semiHidden/>
    <w:unhideWhenUsed/>
    <w:rsid w:val="005B5F6D"/>
    <w:rPr>
      <w:b/>
      <w:bCs/>
    </w:rPr>
  </w:style>
  <w:style w:type="character" w:customStyle="1" w:styleId="AssuntodocomentrioChar">
    <w:name w:val="Assunto do comentário Char"/>
    <w:basedOn w:val="TextodecomentrioChar"/>
    <w:link w:val="Assuntodocomentrio"/>
    <w:uiPriority w:val="99"/>
    <w:semiHidden/>
    <w:rsid w:val="005B5F6D"/>
    <w:rPr>
      <w:rFonts w:ascii="Optimum" w:hAnsi="Optimum"/>
      <w:b/>
      <w:bCs/>
    </w:rPr>
  </w:style>
  <w:style w:type="character" w:customStyle="1" w:styleId="BNDESChar">
    <w:name w:val="BNDES Char"/>
    <w:link w:val="BNDES"/>
    <w:rsid w:val="00B9199A"/>
    <w:rPr>
      <w:rFonts w:ascii="Optimum" w:hAnsi="Optimum"/>
      <w:sz w:val="24"/>
      <w:szCs w:val="24"/>
    </w:rPr>
  </w:style>
  <w:style w:type="paragraph" w:styleId="Reviso">
    <w:name w:val="Revision"/>
    <w:hidden/>
    <w:uiPriority w:val="99"/>
    <w:semiHidden/>
    <w:rsid w:val="00581F8C"/>
    <w:rPr>
      <w:rFonts w:ascii="Optimum" w:hAnsi="Optimum"/>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Optimum" w:hAnsi="Optimum"/>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NDES">
    <w:name w:val="BNDES"/>
    <w:basedOn w:val="Normal"/>
    <w:link w:val="BNDESChar"/>
    <w:rsid w:val="0043400B"/>
    <w:pPr>
      <w:jc w:val="both"/>
    </w:pPr>
  </w:style>
  <w:style w:type="paragraph" w:styleId="Cabealho">
    <w:name w:val="header"/>
    <w:basedOn w:val="Normal"/>
    <w:link w:val="CabealhoChar"/>
    <w:uiPriority w:val="99"/>
    <w:unhideWhenUsed/>
    <w:rsid w:val="006B7CDD"/>
    <w:pPr>
      <w:tabs>
        <w:tab w:val="center" w:pos="4252"/>
        <w:tab w:val="right" w:pos="8504"/>
      </w:tabs>
    </w:pPr>
  </w:style>
  <w:style w:type="character" w:customStyle="1" w:styleId="CabealhoChar">
    <w:name w:val="Cabeçalho Char"/>
    <w:basedOn w:val="Fontepargpadro"/>
    <w:link w:val="Cabealho"/>
    <w:uiPriority w:val="99"/>
    <w:rsid w:val="006B7CDD"/>
    <w:rPr>
      <w:rFonts w:ascii="Optimum" w:hAnsi="Optimum"/>
      <w:sz w:val="24"/>
      <w:szCs w:val="24"/>
    </w:rPr>
  </w:style>
  <w:style w:type="paragraph" w:styleId="Rodap">
    <w:name w:val="footer"/>
    <w:basedOn w:val="Normal"/>
    <w:link w:val="RodapChar"/>
    <w:uiPriority w:val="99"/>
    <w:unhideWhenUsed/>
    <w:rsid w:val="006B7CDD"/>
    <w:pPr>
      <w:tabs>
        <w:tab w:val="center" w:pos="4252"/>
        <w:tab w:val="right" w:pos="8504"/>
      </w:tabs>
    </w:pPr>
  </w:style>
  <w:style w:type="character" w:customStyle="1" w:styleId="RodapChar">
    <w:name w:val="Rodapé Char"/>
    <w:basedOn w:val="Fontepargpadro"/>
    <w:link w:val="Rodap"/>
    <w:uiPriority w:val="99"/>
    <w:rsid w:val="006B7CDD"/>
    <w:rPr>
      <w:rFonts w:ascii="Optimum" w:hAnsi="Optimum"/>
      <w:sz w:val="24"/>
      <w:szCs w:val="24"/>
    </w:rPr>
  </w:style>
  <w:style w:type="character" w:styleId="TextodoEspaoReservado">
    <w:name w:val="Placeholder Text"/>
    <w:basedOn w:val="Fontepargpadro"/>
    <w:uiPriority w:val="99"/>
    <w:semiHidden/>
    <w:rsid w:val="00A620FE"/>
    <w:rPr>
      <w:color w:val="808080"/>
    </w:rPr>
  </w:style>
  <w:style w:type="paragraph" w:styleId="Textodebalo">
    <w:name w:val="Balloon Text"/>
    <w:basedOn w:val="Normal"/>
    <w:link w:val="TextodebaloChar"/>
    <w:uiPriority w:val="99"/>
    <w:semiHidden/>
    <w:unhideWhenUsed/>
    <w:rsid w:val="00A620FE"/>
    <w:rPr>
      <w:rFonts w:ascii="Tahoma" w:hAnsi="Tahoma" w:cs="Tahoma"/>
      <w:sz w:val="16"/>
      <w:szCs w:val="16"/>
    </w:rPr>
  </w:style>
  <w:style w:type="character" w:customStyle="1" w:styleId="TextodebaloChar">
    <w:name w:val="Texto de balão Char"/>
    <w:basedOn w:val="Fontepargpadro"/>
    <w:link w:val="Textodebalo"/>
    <w:uiPriority w:val="99"/>
    <w:semiHidden/>
    <w:rsid w:val="00A620FE"/>
    <w:rPr>
      <w:rFonts w:ascii="Tahoma" w:hAnsi="Tahoma" w:cs="Tahoma"/>
      <w:sz w:val="16"/>
      <w:szCs w:val="16"/>
    </w:rPr>
  </w:style>
  <w:style w:type="character" w:styleId="Hyperlink">
    <w:name w:val="Hyperlink"/>
    <w:basedOn w:val="Fontepargpadro"/>
    <w:uiPriority w:val="99"/>
    <w:semiHidden/>
    <w:unhideWhenUsed/>
    <w:rsid w:val="000A3C54"/>
    <w:rPr>
      <w:color w:val="0000FF"/>
      <w:u w:val="single"/>
    </w:rPr>
  </w:style>
  <w:style w:type="paragraph" w:styleId="Textodenotaderodap">
    <w:name w:val="footnote text"/>
    <w:basedOn w:val="Normal"/>
    <w:link w:val="TextodenotaderodapChar"/>
    <w:uiPriority w:val="99"/>
    <w:semiHidden/>
    <w:unhideWhenUsed/>
    <w:rsid w:val="0074628B"/>
    <w:rPr>
      <w:sz w:val="20"/>
      <w:szCs w:val="20"/>
    </w:rPr>
  </w:style>
  <w:style w:type="character" w:customStyle="1" w:styleId="TextodenotaderodapChar">
    <w:name w:val="Texto de nota de rodapé Char"/>
    <w:basedOn w:val="Fontepargpadro"/>
    <w:link w:val="Textodenotaderodap"/>
    <w:uiPriority w:val="99"/>
    <w:semiHidden/>
    <w:rsid w:val="0074628B"/>
    <w:rPr>
      <w:rFonts w:ascii="Optimum" w:hAnsi="Optimum"/>
    </w:rPr>
  </w:style>
  <w:style w:type="character" w:styleId="Refdenotaderodap">
    <w:name w:val="footnote reference"/>
    <w:basedOn w:val="Fontepargpadro"/>
    <w:uiPriority w:val="99"/>
    <w:semiHidden/>
    <w:unhideWhenUsed/>
    <w:rsid w:val="0074628B"/>
    <w:rPr>
      <w:vertAlign w:val="superscript"/>
    </w:rPr>
  </w:style>
  <w:style w:type="table" w:styleId="Tabelacomgrade">
    <w:name w:val="Table Grid"/>
    <w:basedOn w:val="Tabelanormal"/>
    <w:uiPriority w:val="59"/>
    <w:rsid w:val="00E5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B5F6D"/>
    <w:rPr>
      <w:sz w:val="16"/>
      <w:szCs w:val="16"/>
    </w:rPr>
  </w:style>
  <w:style w:type="paragraph" w:styleId="Textodecomentrio">
    <w:name w:val="annotation text"/>
    <w:basedOn w:val="Normal"/>
    <w:link w:val="TextodecomentrioChar"/>
    <w:uiPriority w:val="99"/>
    <w:semiHidden/>
    <w:unhideWhenUsed/>
    <w:rsid w:val="005B5F6D"/>
    <w:rPr>
      <w:sz w:val="20"/>
      <w:szCs w:val="20"/>
    </w:rPr>
  </w:style>
  <w:style w:type="character" w:customStyle="1" w:styleId="TextodecomentrioChar">
    <w:name w:val="Texto de comentário Char"/>
    <w:basedOn w:val="Fontepargpadro"/>
    <w:link w:val="Textodecomentrio"/>
    <w:uiPriority w:val="99"/>
    <w:semiHidden/>
    <w:rsid w:val="005B5F6D"/>
    <w:rPr>
      <w:rFonts w:ascii="Optimum" w:hAnsi="Optimum"/>
    </w:rPr>
  </w:style>
  <w:style w:type="paragraph" w:styleId="Assuntodocomentrio">
    <w:name w:val="annotation subject"/>
    <w:basedOn w:val="Textodecomentrio"/>
    <w:next w:val="Textodecomentrio"/>
    <w:link w:val="AssuntodocomentrioChar"/>
    <w:uiPriority w:val="99"/>
    <w:semiHidden/>
    <w:unhideWhenUsed/>
    <w:rsid w:val="005B5F6D"/>
    <w:rPr>
      <w:b/>
      <w:bCs/>
    </w:rPr>
  </w:style>
  <w:style w:type="character" w:customStyle="1" w:styleId="AssuntodocomentrioChar">
    <w:name w:val="Assunto do comentário Char"/>
    <w:basedOn w:val="TextodecomentrioChar"/>
    <w:link w:val="Assuntodocomentrio"/>
    <w:uiPriority w:val="99"/>
    <w:semiHidden/>
    <w:rsid w:val="005B5F6D"/>
    <w:rPr>
      <w:rFonts w:ascii="Optimum" w:hAnsi="Optimum"/>
      <w:b/>
      <w:bCs/>
    </w:rPr>
  </w:style>
  <w:style w:type="character" w:customStyle="1" w:styleId="BNDESChar">
    <w:name w:val="BNDES Char"/>
    <w:link w:val="BNDES"/>
    <w:rsid w:val="00B9199A"/>
    <w:rPr>
      <w:rFonts w:ascii="Optimum" w:hAnsi="Optimum"/>
      <w:sz w:val="24"/>
      <w:szCs w:val="24"/>
    </w:rPr>
  </w:style>
  <w:style w:type="paragraph" w:styleId="Reviso">
    <w:name w:val="Revision"/>
    <w:hidden/>
    <w:uiPriority w:val="99"/>
    <w:semiHidden/>
    <w:rsid w:val="00581F8C"/>
    <w:rPr>
      <w:rFonts w:ascii="Optimum" w:hAnsi="Optimum"/>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44665">
      <w:bodyDiv w:val="1"/>
      <w:marLeft w:val="0"/>
      <w:marRight w:val="0"/>
      <w:marTop w:val="0"/>
      <w:marBottom w:val="0"/>
      <w:divBdr>
        <w:top w:val="none" w:sz="0" w:space="0" w:color="auto"/>
        <w:left w:val="none" w:sz="0" w:space="0" w:color="auto"/>
        <w:bottom w:val="none" w:sz="0" w:space="0" w:color="auto"/>
        <w:right w:val="none" w:sz="0" w:space="0" w:color="auto"/>
      </w:divBdr>
    </w:div>
    <w:div w:id="1029180598">
      <w:bodyDiv w:val="1"/>
      <w:marLeft w:val="0"/>
      <w:marRight w:val="0"/>
      <w:marTop w:val="0"/>
      <w:marBottom w:val="0"/>
      <w:divBdr>
        <w:top w:val="none" w:sz="0" w:space="0" w:color="auto"/>
        <w:left w:val="none" w:sz="0" w:space="0" w:color="auto"/>
        <w:bottom w:val="none" w:sz="0" w:space="0" w:color="auto"/>
        <w:right w:val="none" w:sz="0" w:space="0" w:color="auto"/>
      </w:divBdr>
    </w:div>
    <w:div w:id="201182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biblioteca.ibge.gov.br/visualizacao/livros/liv45351.pdf"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tabnet.datasus.gov.br/cgi/sih/mxcid10.htm" TargetMode="External"/><Relationship Id="rId1" Type="http://schemas.openxmlformats.org/officeDocument/2006/relationships/hyperlink" Target="https://icd.who.int/browse10/2016/e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9A6DB-ECEC-4878-8AFE-0F30D40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7766</Words>
  <Characters>44109</Characters>
  <Application>Microsoft Office Word</Application>
  <DocSecurity>0</DocSecurity>
  <Lines>367</Lines>
  <Paragraphs>103</Paragraphs>
  <ScaleCrop>false</ScaleCrop>
  <HeadingPairs>
    <vt:vector size="2" baseType="variant">
      <vt:variant>
        <vt:lpstr>Título</vt:lpstr>
      </vt:variant>
      <vt:variant>
        <vt:i4>1</vt:i4>
      </vt:variant>
    </vt:vector>
  </HeadingPairs>
  <TitlesOfParts>
    <vt:vector size="1" baseType="lpstr">
      <vt:lpstr/>
    </vt:vector>
  </TitlesOfParts>
  <Company>BNDES</Company>
  <LinksUpToDate>false</LinksUpToDate>
  <CharactersWithSpaces>51772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Albuquerque Sant Anna</dc:creator>
  <cp:lastModifiedBy>Ricardo Agostini Martini</cp:lastModifiedBy>
  <cp:revision>2</cp:revision>
  <cp:lastPrinted>2019-07-19T15:11:00Z</cp:lastPrinted>
  <dcterms:created xsi:type="dcterms:W3CDTF">2019-07-19T19:07:00Z</dcterms:created>
  <dcterms:modified xsi:type="dcterms:W3CDTF">2019-07-19T19:07:00Z</dcterms:modified>
</cp:coreProperties>
</file>