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8039F" w14:textId="77777777" w:rsidR="00744198" w:rsidRPr="00412A54" w:rsidRDefault="00744198" w:rsidP="004811CC">
      <w:pPr>
        <w:jc w:val="right"/>
        <w:rPr>
          <w:rFonts w:ascii="Times New Roman" w:hAnsi="Times New Roman" w:cs="Times New Roman"/>
          <w:b/>
          <w:sz w:val="24"/>
          <w:szCs w:val="24"/>
        </w:rPr>
      </w:pPr>
    </w:p>
    <w:p w14:paraId="6D993A50" w14:textId="2F88803E" w:rsidR="001139FD" w:rsidRPr="00412A54" w:rsidRDefault="00412A54" w:rsidP="00EA5748">
      <w:pPr>
        <w:jc w:val="center"/>
        <w:rPr>
          <w:rFonts w:ascii="Times New Roman" w:hAnsi="Times New Roman" w:cs="Times New Roman"/>
          <w:b/>
          <w:sz w:val="24"/>
          <w:szCs w:val="24"/>
        </w:rPr>
      </w:pPr>
      <w:r>
        <w:rPr>
          <w:rFonts w:ascii="Times New Roman" w:hAnsi="Times New Roman" w:cs="Times New Roman"/>
          <w:b/>
          <w:sz w:val="24"/>
          <w:szCs w:val="24"/>
        </w:rPr>
        <w:t>Evolução dos prêmios salaria</w:t>
      </w:r>
      <w:r w:rsidR="00D604EC">
        <w:rPr>
          <w:rFonts w:ascii="Times New Roman" w:hAnsi="Times New Roman" w:cs="Times New Roman"/>
          <w:b/>
          <w:sz w:val="24"/>
          <w:szCs w:val="24"/>
        </w:rPr>
        <w:t>i</w:t>
      </w:r>
      <w:r>
        <w:rPr>
          <w:rFonts w:ascii="Times New Roman" w:hAnsi="Times New Roman" w:cs="Times New Roman"/>
          <w:b/>
          <w:sz w:val="24"/>
          <w:szCs w:val="24"/>
        </w:rPr>
        <w:t xml:space="preserve">s </w:t>
      </w:r>
      <w:r w:rsidR="00D604EC">
        <w:rPr>
          <w:rFonts w:ascii="Times New Roman" w:hAnsi="Times New Roman" w:cs="Times New Roman"/>
          <w:b/>
          <w:sz w:val="24"/>
          <w:szCs w:val="24"/>
        </w:rPr>
        <w:t>relativos a</w:t>
      </w:r>
      <w:r>
        <w:rPr>
          <w:rFonts w:ascii="Times New Roman" w:hAnsi="Times New Roman" w:cs="Times New Roman"/>
          <w:b/>
          <w:sz w:val="24"/>
          <w:szCs w:val="24"/>
        </w:rPr>
        <w:t xml:space="preserve"> habilidades ocupacionais: uma análise do período de 2006 a 2016</w:t>
      </w:r>
    </w:p>
    <w:p w14:paraId="603EECF5" w14:textId="15F5E907" w:rsidR="00607800" w:rsidRDefault="004811CC" w:rsidP="004811CC">
      <w:pPr>
        <w:jc w:val="right"/>
        <w:rPr>
          <w:rFonts w:ascii="Times New Roman" w:hAnsi="Times New Roman" w:cs="Times New Roman"/>
          <w:b/>
          <w:sz w:val="24"/>
          <w:szCs w:val="24"/>
        </w:rPr>
      </w:pPr>
      <w:r>
        <w:rPr>
          <w:rFonts w:ascii="Times New Roman" w:hAnsi="Times New Roman" w:cs="Times New Roman"/>
          <w:b/>
          <w:sz w:val="24"/>
          <w:szCs w:val="24"/>
        </w:rPr>
        <w:t>Ana Tereza Pires dos Santos (IDADOS)</w:t>
      </w:r>
    </w:p>
    <w:p w14:paraId="15F9670B" w14:textId="50BBD5D7" w:rsidR="004811CC" w:rsidRDefault="004811CC" w:rsidP="004811CC">
      <w:pPr>
        <w:jc w:val="right"/>
        <w:rPr>
          <w:rFonts w:ascii="Times New Roman" w:hAnsi="Times New Roman" w:cs="Times New Roman"/>
          <w:b/>
          <w:sz w:val="24"/>
          <w:szCs w:val="24"/>
        </w:rPr>
      </w:pPr>
      <w:r>
        <w:rPr>
          <w:rFonts w:ascii="Times New Roman" w:hAnsi="Times New Roman" w:cs="Times New Roman"/>
          <w:b/>
          <w:sz w:val="24"/>
          <w:szCs w:val="24"/>
        </w:rPr>
        <w:t>Bruno Ottoni Eloy Vaz (IDADOS)</w:t>
      </w:r>
    </w:p>
    <w:p w14:paraId="51078C32" w14:textId="2FDC49A0" w:rsidR="004811CC" w:rsidRPr="00412A54" w:rsidRDefault="004811CC" w:rsidP="004811CC">
      <w:pPr>
        <w:jc w:val="right"/>
        <w:rPr>
          <w:rFonts w:ascii="Times New Roman" w:hAnsi="Times New Roman" w:cs="Times New Roman"/>
          <w:b/>
          <w:sz w:val="24"/>
          <w:szCs w:val="24"/>
        </w:rPr>
      </w:pPr>
      <w:r>
        <w:rPr>
          <w:rFonts w:ascii="Times New Roman" w:hAnsi="Times New Roman" w:cs="Times New Roman"/>
          <w:b/>
          <w:sz w:val="24"/>
          <w:szCs w:val="24"/>
        </w:rPr>
        <w:t>Ana Maria Hermeto Camilo de Oliveira (UFMG)</w:t>
      </w:r>
      <w:bookmarkStart w:id="0" w:name="_GoBack"/>
      <w:bookmarkEnd w:id="0"/>
    </w:p>
    <w:p w14:paraId="1EE272DD" w14:textId="29B711BF" w:rsidR="00607800" w:rsidRPr="00412A54" w:rsidRDefault="00607800" w:rsidP="00607800">
      <w:pPr>
        <w:jc w:val="center"/>
        <w:rPr>
          <w:rFonts w:ascii="Times New Roman" w:hAnsi="Times New Roman" w:cs="Times New Roman"/>
          <w:b/>
          <w:sz w:val="24"/>
          <w:szCs w:val="24"/>
        </w:rPr>
      </w:pPr>
      <w:bookmarkStart w:id="1" w:name="OLE_LINK55"/>
      <w:r w:rsidRPr="00412A54">
        <w:rPr>
          <w:rFonts w:ascii="Times New Roman" w:hAnsi="Times New Roman" w:cs="Times New Roman"/>
          <w:b/>
          <w:sz w:val="24"/>
          <w:szCs w:val="24"/>
        </w:rPr>
        <w:t xml:space="preserve">Resumo </w:t>
      </w:r>
    </w:p>
    <w:p w14:paraId="657F3151" w14:textId="2DA34450" w:rsidR="00C40EC5" w:rsidRPr="00412A54" w:rsidRDefault="0020154F" w:rsidP="00D604EC">
      <w:pPr>
        <w:spacing w:line="240" w:lineRule="auto"/>
        <w:jc w:val="both"/>
        <w:rPr>
          <w:rFonts w:ascii="Times New Roman" w:hAnsi="Times New Roman" w:cs="Times New Roman"/>
          <w:b/>
          <w:sz w:val="24"/>
          <w:szCs w:val="24"/>
        </w:rPr>
      </w:pPr>
      <w:bookmarkStart w:id="2" w:name="OLE_LINK56"/>
      <w:r w:rsidRPr="00412A54">
        <w:rPr>
          <w:rFonts w:ascii="Times New Roman" w:hAnsi="Times New Roman" w:cs="Times New Roman"/>
          <w:sz w:val="24"/>
          <w:szCs w:val="24"/>
        </w:rPr>
        <w:t xml:space="preserve">Este trabalho </w:t>
      </w:r>
      <w:r w:rsidR="00FE37B4" w:rsidRPr="00412A54">
        <w:rPr>
          <w:rFonts w:ascii="Times New Roman" w:hAnsi="Times New Roman" w:cs="Times New Roman"/>
          <w:sz w:val="24"/>
          <w:szCs w:val="24"/>
        </w:rPr>
        <w:t>traz novas evid</w:t>
      </w:r>
      <w:r w:rsidR="00210930">
        <w:rPr>
          <w:rFonts w:ascii="Times New Roman" w:hAnsi="Times New Roman" w:cs="Times New Roman"/>
          <w:sz w:val="24"/>
          <w:szCs w:val="24"/>
        </w:rPr>
        <w:t>ê</w:t>
      </w:r>
      <w:r w:rsidR="00FE37B4" w:rsidRPr="00412A54">
        <w:rPr>
          <w:rFonts w:ascii="Times New Roman" w:hAnsi="Times New Roman" w:cs="Times New Roman"/>
          <w:sz w:val="24"/>
          <w:szCs w:val="24"/>
        </w:rPr>
        <w:t>ncias acerca d</w:t>
      </w:r>
      <w:r w:rsidRPr="00412A54">
        <w:rPr>
          <w:rFonts w:ascii="Times New Roman" w:hAnsi="Times New Roman" w:cs="Times New Roman"/>
          <w:sz w:val="24"/>
          <w:szCs w:val="24"/>
        </w:rPr>
        <w:t>a evolução do prêmio salarial associado a indivíduos em ocupações com diferentes exigências de habilidades no mercado de trabalho brasileiro entre 2006 e 2016.</w:t>
      </w:r>
      <w:r w:rsidR="000E59B6" w:rsidRPr="00412A54">
        <w:rPr>
          <w:rFonts w:ascii="Times New Roman" w:hAnsi="Times New Roman" w:cs="Times New Roman"/>
          <w:sz w:val="24"/>
          <w:szCs w:val="24"/>
        </w:rPr>
        <w:t xml:space="preserve"> </w:t>
      </w:r>
      <w:r w:rsidR="00FE37B4" w:rsidRPr="00412A54">
        <w:rPr>
          <w:rFonts w:ascii="Times New Roman" w:hAnsi="Times New Roman" w:cs="Times New Roman"/>
          <w:sz w:val="24"/>
          <w:szCs w:val="24"/>
        </w:rPr>
        <w:t xml:space="preserve">Para tanto </w:t>
      </w:r>
      <w:r w:rsidRPr="00412A54">
        <w:rPr>
          <w:rFonts w:ascii="Times New Roman" w:hAnsi="Times New Roman" w:cs="Times New Roman"/>
          <w:sz w:val="24"/>
          <w:szCs w:val="24"/>
        </w:rPr>
        <w:t>categorizamos as ocupações quanto à natureza manual/não manual</w:t>
      </w:r>
      <w:r w:rsidR="00030805" w:rsidRPr="00412A54">
        <w:rPr>
          <w:rFonts w:ascii="Times New Roman" w:hAnsi="Times New Roman" w:cs="Times New Roman"/>
          <w:sz w:val="24"/>
          <w:szCs w:val="24"/>
        </w:rPr>
        <w:t xml:space="preserve"> e </w:t>
      </w:r>
      <w:r w:rsidRPr="00412A54">
        <w:rPr>
          <w:rFonts w:ascii="Times New Roman" w:hAnsi="Times New Roman" w:cs="Times New Roman"/>
          <w:sz w:val="24"/>
          <w:szCs w:val="24"/>
        </w:rPr>
        <w:t>rotineira/não rotineira</w:t>
      </w:r>
      <w:r w:rsidR="00030805" w:rsidRPr="00412A54">
        <w:rPr>
          <w:rFonts w:ascii="Times New Roman" w:hAnsi="Times New Roman" w:cs="Times New Roman"/>
          <w:sz w:val="24"/>
          <w:szCs w:val="24"/>
        </w:rPr>
        <w:t xml:space="preserve"> de suas tarefas de modo </w:t>
      </w:r>
      <w:r w:rsidR="00C2477C" w:rsidRPr="00412A54">
        <w:rPr>
          <w:rFonts w:ascii="Times New Roman" w:hAnsi="Times New Roman" w:cs="Times New Roman"/>
          <w:sz w:val="24"/>
          <w:szCs w:val="24"/>
        </w:rPr>
        <w:t xml:space="preserve">seguindo </w:t>
      </w:r>
      <w:r w:rsidR="00030805" w:rsidRPr="00412A54">
        <w:rPr>
          <w:rFonts w:ascii="Times New Roman" w:hAnsi="Times New Roman" w:cs="Times New Roman"/>
          <w:sz w:val="24"/>
          <w:szCs w:val="24"/>
        </w:rPr>
        <w:t>a literatura de Skill Biased Technological Change</w:t>
      </w:r>
      <w:r w:rsidR="000E59B6" w:rsidRPr="00412A54">
        <w:rPr>
          <w:rFonts w:ascii="Times New Roman" w:hAnsi="Times New Roman" w:cs="Times New Roman"/>
          <w:sz w:val="24"/>
          <w:szCs w:val="24"/>
        </w:rPr>
        <w:t>.</w:t>
      </w:r>
      <w:r w:rsidR="00683774" w:rsidRPr="00412A54">
        <w:rPr>
          <w:rFonts w:ascii="Times New Roman" w:hAnsi="Times New Roman" w:cs="Times New Roman"/>
          <w:sz w:val="24"/>
          <w:szCs w:val="24"/>
        </w:rPr>
        <w:t xml:space="preserve"> </w:t>
      </w:r>
      <w:r w:rsidR="00C40EC5" w:rsidRPr="00412A54">
        <w:rPr>
          <w:rFonts w:ascii="Times New Roman" w:hAnsi="Times New Roman" w:cs="Times New Roman"/>
          <w:sz w:val="24"/>
          <w:szCs w:val="24"/>
        </w:rPr>
        <w:t>U</w:t>
      </w:r>
      <w:r w:rsidRPr="00412A54">
        <w:rPr>
          <w:rFonts w:ascii="Times New Roman" w:hAnsi="Times New Roman" w:cs="Times New Roman"/>
          <w:sz w:val="24"/>
          <w:szCs w:val="24"/>
        </w:rPr>
        <w:t>sa</w:t>
      </w:r>
      <w:r w:rsidR="000E59B6" w:rsidRPr="00412A54">
        <w:rPr>
          <w:rFonts w:ascii="Times New Roman" w:hAnsi="Times New Roman" w:cs="Times New Roman"/>
          <w:sz w:val="24"/>
          <w:szCs w:val="24"/>
        </w:rPr>
        <w:t>ndo</w:t>
      </w:r>
      <w:r w:rsidRPr="00412A54">
        <w:rPr>
          <w:rFonts w:ascii="Times New Roman" w:hAnsi="Times New Roman" w:cs="Times New Roman"/>
          <w:sz w:val="24"/>
          <w:szCs w:val="24"/>
        </w:rPr>
        <w:t xml:space="preserve"> regressões salariais Mincerianas</w:t>
      </w:r>
      <w:r w:rsidR="000E59B6" w:rsidRPr="00412A54">
        <w:rPr>
          <w:rFonts w:ascii="Times New Roman" w:hAnsi="Times New Roman" w:cs="Times New Roman"/>
          <w:sz w:val="24"/>
          <w:szCs w:val="24"/>
        </w:rPr>
        <w:t xml:space="preserve"> e exercícios de decomposição e simulação</w:t>
      </w:r>
      <w:r w:rsidR="00C2477C" w:rsidRPr="00412A54">
        <w:rPr>
          <w:rFonts w:ascii="Times New Roman" w:hAnsi="Times New Roman" w:cs="Times New Roman"/>
          <w:sz w:val="24"/>
          <w:szCs w:val="24"/>
        </w:rPr>
        <w:t>,</w:t>
      </w:r>
      <w:r w:rsidR="000E59B6" w:rsidRPr="00412A54">
        <w:rPr>
          <w:rFonts w:ascii="Times New Roman" w:hAnsi="Times New Roman" w:cs="Times New Roman"/>
          <w:sz w:val="24"/>
          <w:szCs w:val="24"/>
        </w:rPr>
        <w:t xml:space="preserve"> </w:t>
      </w:r>
      <w:r w:rsidR="00C40EC5" w:rsidRPr="00412A54">
        <w:rPr>
          <w:rFonts w:ascii="Times New Roman" w:hAnsi="Times New Roman" w:cs="Times New Roman"/>
          <w:sz w:val="24"/>
          <w:szCs w:val="24"/>
        </w:rPr>
        <w:t>os resultados indicam</w:t>
      </w:r>
      <w:r w:rsidR="00757CA1" w:rsidRPr="00412A54">
        <w:rPr>
          <w:rFonts w:ascii="Times New Roman" w:hAnsi="Times New Roman" w:cs="Times New Roman"/>
          <w:sz w:val="24"/>
          <w:szCs w:val="24"/>
        </w:rPr>
        <w:t xml:space="preserve"> o crescimento do prêmio salarial no período</w:t>
      </w:r>
      <w:r w:rsidR="00C40EC5" w:rsidRPr="00412A54">
        <w:rPr>
          <w:rFonts w:ascii="Times New Roman" w:hAnsi="Times New Roman" w:cs="Times New Roman"/>
          <w:sz w:val="24"/>
          <w:szCs w:val="24"/>
        </w:rPr>
        <w:t>.</w:t>
      </w:r>
      <w:r w:rsidR="00757CA1" w:rsidRPr="00412A54">
        <w:rPr>
          <w:rFonts w:ascii="Times New Roman" w:hAnsi="Times New Roman" w:cs="Times New Roman"/>
          <w:sz w:val="24"/>
          <w:szCs w:val="24"/>
        </w:rPr>
        <w:t xml:space="preserve"> Particularmente, ocupações intensivas em tarefas não manuais e não rotineiras, complementares ao uso de computador, experimentaram maiores aumentos em seus prêmios salariais associados a estas características ocupacionais, enquanto aquelas não manuais e rotineiras e as manuais e não rotineiras assistiram a menores ganhos.</w:t>
      </w:r>
      <w:r w:rsidR="00C40EC5" w:rsidRPr="00412A54">
        <w:rPr>
          <w:rFonts w:ascii="Times New Roman" w:hAnsi="Times New Roman" w:cs="Times New Roman"/>
          <w:sz w:val="24"/>
          <w:szCs w:val="24"/>
        </w:rPr>
        <w:t xml:space="preserve"> </w:t>
      </w:r>
      <w:bookmarkEnd w:id="2"/>
      <w:r w:rsidR="00757CA1" w:rsidRPr="00412A54">
        <w:rPr>
          <w:rFonts w:ascii="Times New Roman" w:hAnsi="Times New Roman" w:cs="Times New Roman"/>
          <w:sz w:val="24"/>
          <w:szCs w:val="24"/>
        </w:rPr>
        <w:t xml:space="preserve">Ademais, observamos que a estrutura ocupacional permaneceu relativamente estável ao longo do tempo. A partir disto, argumentamos que a média salarial poderia ter crescido mais substancialmente caso a </w:t>
      </w:r>
      <w:r w:rsidR="00C2477C" w:rsidRPr="00412A54">
        <w:rPr>
          <w:rFonts w:ascii="Times New Roman" w:hAnsi="Times New Roman" w:cs="Times New Roman"/>
          <w:sz w:val="24"/>
          <w:szCs w:val="24"/>
        </w:rPr>
        <w:t>distribuição</w:t>
      </w:r>
      <w:r w:rsidR="00757CA1" w:rsidRPr="00412A54">
        <w:rPr>
          <w:rFonts w:ascii="Times New Roman" w:hAnsi="Times New Roman" w:cs="Times New Roman"/>
          <w:sz w:val="24"/>
          <w:szCs w:val="24"/>
        </w:rPr>
        <w:t xml:space="preserve"> ocupacional tivesse se alterado de modo a ampliar a proporção de trabalhadores em ocupações não manuais e não rotineiras</w:t>
      </w:r>
      <w:r w:rsidR="00C2477C" w:rsidRPr="00412A54">
        <w:rPr>
          <w:rFonts w:ascii="Times New Roman" w:hAnsi="Times New Roman" w:cs="Times New Roman"/>
          <w:sz w:val="24"/>
          <w:szCs w:val="24"/>
        </w:rPr>
        <w:t xml:space="preserve">, acomodando o crescimento do nível educacional dos indivíduos. </w:t>
      </w:r>
    </w:p>
    <w:bookmarkEnd w:id="1"/>
    <w:p w14:paraId="271D37AB" w14:textId="272D9449" w:rsidR="000E59B6" w:rsidRPr="004811CC" w:rsidRDefault="00683774" w:rsidP="00683774">
      <w:pPr>
        <w:jc w:val="center"/>
        <w:rPr>
          <w:rFonts w:ascii="Times New Roman" w:hAnsi="Times New Roman" w:cs="Times New Roman"/>
          <w:b/>
          <w:sz w:val="24"/>
          <w:szCs w:val="24"/>
          <w:lang w:val="en-US"/>
        </w:rPr>
      </w:pPr>
      <w:r w:rsidRPr="004811CC">
        <w:rPr>
          <w:rFonts w:ascii="Times New Roman" w:hAnsi="Times New Roman" w:cs="Times New Roman"/>
          <w:b/>
          <w:sz w:val="24"/>
          <w:szCs w:val="24"/>
          <w:lang w:val="en-US"/>
        </w:rPr>
        <w:t>Abstract</w:t>
      </w:r>
    </w:p>
    <w:p w14:paraId="4171B4C1" w14:textId="0BD820A3" w:rsidR="00683774" w:rsidRPr="00412A54" w:rsidRDefault="00683774" w:rsidP="00D604EC">
      <w:pPr>
        <w:pStyle w:val="Pr-formataoHTML"/>
        <w:jc w:val="both"/>
        <w:rPr>
          <w:rFonts w:ascii="Times New Roman" w:hAnsi="Times New Roman" w:cs="Times New Roman"/>
          <w:sz w:val="24"/>
          <w:szCs w:val="24"/>
          <w:lang w:val="en-US"/>
        </w:rPr>
      </w:pPr>
      <w:r w:rsidRPr="00412A54">
        <w:rPr>
          <w:rFonts w:ascii="Times New Roman" w:hAnsi="Times New Roman" w:cs="Times New Roman"/>
          <w:lang w:val="en-US"/>
        </w:rPr>
        <w:br/>
      </w:r>
      <w:r w:rsidRPr="00412A54">
        <w:rPr>
          <w:rFonts w:ascii="Times New Roman" w:hAnsi="Times New Roman" w:cs="Times New Roman"/>
          <w:sz w:val="24"/>
          <w:szCs w:val="24"/>
          <w:lang w:val="en"/>
        </w:rPr>
        <w:t xml:space="preserve">This paper </w:t>
      </w:r>
      <w:r w:rsidR="003C07FF" w:rsidRPr="00412A54">
        <w:rPr>
          <w:rFonts w:ascii="Times New Roman" w:hAnsi="Times New Roman" w:cs="Times New Roman"/>
          <w:sz w:val="24"/>
          <w:szCs w:val="24"/>
          <w:lang w:val="en"/>
        </w:rPr>
        <w:t xml:space="preserve">provides new evidence on </w:t>
      </w:r>
      <w:r w:rsidRPr="00412A54">
        <w:rPr>
          <w:rFonts w:ascii="Times New Roman" w:hAnsi="Times New Roman" w:cs="Times New Roman"/>
          <w:sz w:val="24"/>
          <w:szCs w:val="24"/>
          <w:lang w:val="en"/>
        </w:rPr>
        <w:t>change</w:t>
      </w:r>
      <w:r w:rsidR="00353E19" w:rsidRPr="00412A54">
        <w:rPr>
          <w:rFonts w:ascii="Times New Roman" w:hAnsi="Times New Roman" w:cs="Times New Roman"/>
          <w:sz w:val="24"/>
          <w:szCs w:val="24"/>
          <w:lang w:val="en"/>
        </w:rPr>
        <w:t>s</w:t>
      </w:r>
      <w:r w:rsidRPr="00412A54">
        <w:rPr>
          <w:rFonts w:ascii="Times New Roman" w:hAnsi="Times New Roman" w:cs="Times New Roman"/>
          <w:sz w:val="24"/>
          <w:szCs w:val="24"/>
          <w:lang w:val="en"/>
        </w:rPr>
        <w:t xml:space="preserve"> in wage premium</w:t>
      </w:r>
      <w:r w:rsidR="00353E19" w:rsidRPr="00412A54">
        <w:rPr>
          <w:rFonts w:ascii="Times New Roman" w:hAnsi="Times New Roman" w:cs="Times New Roman"/>
          <w:sz w:val="24"/>
          <w:szCs w:val="24"/>
          <w:lang w:val="en"/>
        </w:rPr>
        <w:t>s related to jobs occupational characteristics</w:t>
      </w:r>
      <w:r w:rsidRPr="00412A54">
        <w:rPr>
          <w:rFonts w:ascii="Times New Roman" w:hAnsi="Times New Roman" w:cs="Times New Roman"/>
          <w:sz w:val="24"/>
          <w:szCs w:val="24"/>
          <w:lang w:val="en"/>
        </w:rPr>
        <w:t xml:space="preserve"> in the Brazilian labor market between 2006 and 2016. </w:t>
      </w:r>
      <w:r w:rsidR="003C07FF" w:rsidRPr="00412A54">
        <w:rPr>
          <w:rFonts w:ascii="Times New Roman" w:hAnsi="Times New Roman" w:cs="Times New Roman"/>
          <w:sz w:val="24"/>
          <w:szCs w:val="24"/>
          <w:lang w:val="en"/>
        </w:rPr>
        <w:t xml:space="preserve">Rather than use conventional </w:t>
      </w:r>
      <w:r w:rsidRPr="00412A54">
        <w:rPr>
          <w:rFonts w:ascii="Times New Roman" w:hAnsi="Times New Roman" w:cs="Times New Roman"/>
          <w:sz w:val="24"/>
          <w:szCs w:val="24"/>
          <w:lang w:val="en"/>
        </w:rPr>
        <w:t>education</w:t>
      </w:r>
      <w:r w:rsidR="003C07FF" w:rsidRPr="00412A54">
        <w:rPr>
          <w:rFonts w:ascii="Times New Roman" w:hAnsi="Times New Roman" w:cs="Times New Roman"/>
          <w:sz w:val="24"/>
          <w:szCs w:val="24"/>
          <w:lang w:val="en"/>
        </w:rPr>
        <w:t xml:space="preserve"> </w:t>
      </w:r>
      <w:r w:rsidR="001428C3" w:rsidRPr="00412A54">
        <w:rPr>
          <w:rFonts w:ascii="Times New Roman" w:hAnsi="Times New Roman" w:cs="Times New Roman"/>
          <w:sz w:val="24"/>
          <w:szCs w:val="24"/>
          <w:lang w:val="en"/>
        </w:rPr>
        <w:t xml:space="preserve">measures </w:t>
      </w:r>
      <w:r w:rsidR="003C07FF" w:rsidRPr="00412A54">
        <w:rPr>
          <w:rFonts w:ascii="Times New Roman" w:hAnsi="Times New Roman" w:cs="Times New Roman"/>
          <w:sz w:val="24"/>
          <w:szCs w:val="24"/>
          <w:lang w:val="en"/>
        </w:rPr>
        <w:t>to examine work complexity,</w:t>
      </w:r>
      <w:r w:rsidRPr="00412A54">
        <w:rPr>
          <w:rFonts w:ascii="Times New Roman" w:hAnsi="Times New Roman" w:cs="Times New Roman"/>
          <w:sz w:val="24"/>
          <w:szCs w:val="24"/>
          <w:lang w:val="en"/>
        </w:rPr>
        <w:t xml:space="preserve"> </w:t>
      </w:r>
      <w:r w:rsidR="003C07FF" w:rsidRPr="00412A54">
        <w:rPr>
          <w:rFonts w:ascii="Times New Roman" w:hAnsi="Times New Roman" w:cs="Times New Roman"/>
          <w:sz w:val="24"/>
          <w:szCs w:val="24"/>
          <w:lang w:val="en"/>
        </w:rPr>
        <w:t xml:space="preserve">we </w:t>
      </w:r>
      <w:r w:rsidRPr="00412A54">
        <w:rPr>
          <w:rFonts w:ascii="Times New Roman" w:hAnsi="Times New Roman" w:cs="Times New Roman"/>
          <w:sz w:val="24"/>
          <w:szCs w:val="24"/>
          <w:lang w:val="en"/>
        </w:rPr>
        <w:t xml:space="preserve">categorize </w:t>
      </w:r>
      <w:r w:rsidR="003C07FF" w:rsidRPr="00412A54">
        <w:rPr>
          <w:rFonts w:ascii="Times New Roman" w:hAnsi="Times New Roman" w:cs="Times New Roman"/>
          <w:sz w:val="24"/>
          <w:szCs w:val="24"/>
          <w:lang w:val="en"/>
        </w:rPr>
        <w:t>workers</w:t>
      </w:r>
      <w:r w:rsidRPr="00412A54">
        <w:rPr>
          <w:rFonts w:ascii="Times New Roman" w:hAnsi="Times New Roman" w:cs="Times New Roman"/>
          <w:sz w:val="24"/>
          <w:szCs w:val="24"/>
          <w:lang w:val="en"/>
        </w:rPr>
        <w:t xml:space="preserve"> occupation</w:t>
      </w:r>
      <w:r w:rsidR="003C07FF" w:rsidRPr="00412A54">
        <w:rPr>
          <w:rFonts w:ascii="Times New Roman" w:hAnsi="Times New Roman" w:cs="Times New Roman"/>
          <w:sz w:val="24"/>
          <w:szCs w:val="24"/>
          <w:lang w:val="en"/>
        </w:rPr>
        <w:t>al</w:t>
      </w:r>
      <w:r w:rsidRPr="00412A54">
        <w:rPr>
          <w:rFonts w:ascii="Times New Roman" w:hAnsi="Times New Roman" w:cs="Times New Roman"/>
          <w:sz w:val="24"/>
          <w:szCs w:val="24"/>
          <w:lang w:val="en"/>
        </w:rPr>
        <w:t xml:space="preserve"> </w:t>
      </w:r>
      <w:r w:rsidR="003C07FF" w:rsidRPr="00412A54">
        <w:rPr>
          <w:rFonts w:ascii="Times New Roman" w:hAnsi="Times New Roman" w:cs="Times New Roman"/>
          <w:sz w:val="24"/>
          <w:szCs w:val="24"/>
          <w:lang w:val="en"/>
        </w:rPr>
        <w:t xml:space="preserve">according to whether they involve </w:t>
      </w:r>
      <w:r w:rsidRPr="00412A54">
        <w:rPr>
          <w:rFonts w:ascii="Times New Roman" w:hAnsi="Times New Roman" w:cs="Times New Roman"/>
          <w:sz w:val="24"/>
          <w:szCs w:val="24"/>
          <w:lang w:val="en"/>
        </w:rPr>
        <w:t>manual / non-manual and routine / non-routine tasks</w:t>
      </w:r>
      <w:r w:rsidR="003C07FF" w:rsidRPr="00412A54">
        <w:rPr>
          <w:rFonts w:ascii="Times New Roman" w:hAnsi="Times New Roman" w:cs="Times New Roman"/>
          <w:sz w:val="24"/>
          <w:szCs w:val="24"/>
          <w:lang w:val="en"/>
        </w:rPr>
        <w:t xml:space="preserve"> </w:t>
      </w:r>
      <w:r w:rsidRPr="00412A54">
        <w:rPr>
          <w:rFonts w:ascii="Times New Roman" w:hAnsi="Times New Roman" w:cs="Times New Roman"/>
          <w:sz w:val="24"/>
          <w:szCs w:val="24"/>
          <w:lang w:val="en"/>
        </w:rPr>
        <w:t xml:space="preserve">in </w:t>
      </w:r>
      <w:r w:rsidR="001428C3" w:rsidRPr="00412A54">
        <w:rPr>
          <w:rFonts w:ascii="Times New Roman" w:hAnsi="Times New Roman" w:cs="Times New Roman"/>
          <w:sz w:val="24"/>
          <w:szCs w:val="24"/>
          <w:lang w:val="en"/>
        </w:rPr>
        <w:t>line</w:t>
      </w:r>
      <w:r w:rsidR="003C07FF" w:rsidRPr="00412A54">
        <w:rPr>
          <w:rFonts w:ascii="Times New Roman" w:hAnsi="Times New Roman" w:cs="Times New Roman"/>
          <w:sz w:val="24"/>
          <w:szCs w:val="24"/>
          <w:lang w:val="en"/>
        </w:rPr>
        <w:t xml:space="preserve"> with </w:t>
      </w:r>
      <w:r w:rsidR="00FE37B4" w:rsidRPr="00412A54">
        <w:rPr>
          <w:rFonts w:ascii="Times New Roman" w:hAnsi="Times New Roman" w:cs="Times New Roman"/>
          <w:sz w:val="24"/>
          <w:szCs w:val="24"/>
          <w:lang w:val="en"/>
        </w:rPr>
        <w:t xml:space="preserve">a growing </w:t>
      </w:r>
      <w:r w:rsidR="003C07FF" w:rsidRPr="00412A54">
        <w:rPr>
          <w:rFonts w:ascii="Times New Roman" w:hAnsi="Times New Roman" w:cs="Times New Roman"/>
          <w:sz w:val="24"/>
          <w:szCs w:val="24"/>
          <w:lang w:val="en"/>
        </w:rPr>
        <w:t>literature on</w:t>
      </w:r>
      <w:r w:rsidRPr="00412A54">
        <w:rPr>
          <w:rFonts w:ascii="Times New Roman" w:hAnsi="Times New Roman" w:cs="Times New Roman"/>
          <w:sz w:val="24"/>
          <w:szCs w:val="24"/>
          <w:lang w:val="en"/>
        </w:rPr>
        <w:t xml:space="preserve"> </w:t>
      </w:r>
      <w:r w:rsidR="003C07FF" w:rsidRPr="00412A54">
        <w:rPr>
          <w:rFonts w:ascii="Times New Roman" w:hAnsi="Times New Roman" w:cs="Times New Roman"/>
          <w:sz w:val="24"/>
          <w:szCs w:val="24"/>
          <w:lang w:val="en"/>
        </w:rPr>
        <w:t>s</w:t>
      </w:r>
      <w:r w:rsidRPr="00412A54">
        <w:rPr>
          <w:rFonts w:ascii="Times New Roman" w:hAnsi="Times New Roman" w:cs="Times New Roman"/>
          <w:sz w:val="24"/>
          <w:szCs w:val="24"/>
          <w:lang w:val="en"/>
        </w:rPr>
        <w:t xml:space="preserve">kill </w:t>
      </w:r>
      <w:r w:rsidR="003C07FF" w:rsidRPr="00412A54">
        <w:rPr>
          <w:rFonts w:ascii="Times New Roman" w:hAnsi="Times New Roman" w:cs="Times New Roman"/>
          <w:sz w:val="24"/>
          <w:szCs w:val="24"/>
          <w:lang w:val="en"/>
        </w:rPr>
        <w:t>biased t</w:t>
      </w:r>
      <w:r w:rsidRPr="00412A54">
        <w:rPr>
          <w:rFonts w:ascii="Times New Roman" w:hAnsi="Times New Roman" w:cs="Times New Roman"/>
          <w:sz w:val="24"/>
          <w:szCs w:val="24"/>
          <w:lang w:val="en"/>
        </w:rPr>
        <w:t xml:space="preserve">echnological </w:t>
      </w:r>
      <w:r w:rsidR="003C07FF" w:rsidRPr="00412A54">
        <w:rPr>
          <w:rFonts w:ascii="Times New Roman" w:hAnsi="Times New Roman" w:cs="Times New Roman"/>
          <w:sz w:val="24"/>
          <w:szCs w:val="24"/>
          <w:lang w:val="en"/>
        </w:rPr>
        <w:t>c</w:t>
      </w:r>
      <w:r w:rsidRPr="00412A54">
        <w:rPr>
          <w:rFonts w:ascii="Times New Roman" w:hAnsi="Times New Roman" w:cs="Times New Roman"/>
          <w:sz w:val="24"/>
          <w:szCs w:val="24"/>
          <w:lang w:val="en"/>
        </w:rPr>
        <w:t>hange.</w:t>
      </w:r>
      <w:r w:rsidR="003C07FF" w:rsidRPr="00412A54">
        <w:rPr>
          <w:rFonts w:ascii="Times New Roman" w:hAnsi="Times New Roman" w:cs="Times New Roman"/>
          <w:sz w:val="24"/>
          <w:szCs w:val="24"/>
          <w:lang w:val="en"/>
        </w:rPr>
        <w:t xml:space="preserve"> Using Mincerian regression equations and simulation analysis, we find</w:t>
      </w:r>
      <w:r w:rsidR="001428C3" w:rsidRPr="00412A54">
        <w:rPr>
          <w:rFonts w:ascii="Times New Roman" w:hAnsi="Times New Roman" w:cs="Times New Roman"/>
          <w:sz w:val="24"/>
          <w:szCs w:val="24"/>
          <w:lang w:val="en"/>
        </w:rPr>
        <w:t xml:space="preserve"> that the wage premium </w:t>
      </w:r>
      <w:r w:rsidR="00FE37B4" w:rsidRPr="00412A54">
        <w:rPr>
          <w:rFonts w:ascii="Times New Roman" w:hAnsi="Times New Roman" w:cs="Times New Roman"/>
          <w:sz w:val="24"/>
          <w:szCs w:val="24"/>
          <w:lang w:val="en"/>
        </w:rPr>
        <w:t xml:space="preserve">increased over time in Brazil. In particular, </w:t>
      </w:r>
      <w:r w:rsidR="001428C3" w:rsidRPr="00412A54">
        <w:rPr>
          <w:rFonts w:ascii="Times New Roman" w:hAnsi="Times New Roman" w:cs="Times New Roman"/>
          <w:sz w:val="24"/>
          <w:szCs w:val="24"/>
          <w:lang w:val="en"/>
        </w:rPr>
        <w:t xml:space="preserve">jobs involving non-manual, non-routine tasks that are complimented by computer use observed the largest growth. Meanwhile, occupations with non-manual routine and manual non-routine </w:t>
      </w:r>
      <w:r w:rsidR="00FE37B4" w:rsidRPr="00412A54">
        <w:rPr>
          <w:rFonts w:ascii="Times New Roman" w:hAnsi="Times New Roman" w:cs="Times New Roman"/>
          <w:sz w:val="24"/>
          <w:szCs w:val="24"/>
          <w:lang w:val="en"/>
        </w:rPr>
        <w:t xml:space="preserve">tasks </w:t>
      </w:r>
      <w:r w:rsidR="00757CA1" w:rsidRPr="00412A54">
        <w:rPr>
          <w:rFonts w:ascii="Times New Roman" w:hAnsi="Times New Roman" w:cs="Times New Roman"/>
          <w:sz w:val="24"/>
          <w:szCs w:val="24"/>
          <w:lang w:val="en"/>
        </w:rPr>
        <w:t>observed</w:t>
      </w:r>
      <w:r w:rsidR="00FE37B4" w:rsidRPr="00412A54">
        <w:rPr>
          <w:rFonts w:ascii="Times New Roman" w:hAnsi="Times New Roman" w:cs="Times New Roman"/>
          <w:sz w:val="24"/>
          <w:szCs w:val="24"/>
          <w:lang w:val="en"/>
        </w:rPr>
        <w:t xml:space="preserve"> the least amount of growth during the study period.</w:t>
      </w:r>
      <w:r w:rsidRPr="00412A54">
        <w:rPr>
          <w:rFonts w:ascii="Times New Roman" w:hAnsi="Times New Roman" w:cs="Times New Roman"/>
          <w:sz w:val="24"/>
          <w:szCs w:val="24"/>
          <w:lang w:val="en"/>
        </w:rPr>
        <w:t xml:space="preserve"> </w:t>
      </w:r>
      <w:r w:rsidR="00FE37B4" w:rsidRPr="00412A54">
        <w:rPr>
          <w:rFonts w:ascii="Times New Roman" w:hAnsi="Times New Roman" w:cs="Times New Roman"/>
          <w:sz w:val="24"/>
          <w:szCs w:val="24"/>
          <w:lang w:val="en"/>
        </w:rPr>
        <w:t>We also find that Brazil’s occupational structure remained relatively stable over time. We argue that individual</w:t>
      </w:r>
      <w:r w:rsidR="00A33E18" w:rsidRPr="00412A54">
        <w:rPr>
          <w:rFonts w:ascii="Times New Roman" w:hAnsi="Times New Roman" w:cs="Times New Roman"/>
          <w:sz w:val="24"/>
          <w:szCs w:val="24"/>
          <w:lang w:val="en"/>
        </w:rPr>
        <w:t>’</w:t>
      </w:r>
      <w:r w:rsidR="00FE37B4" w:rsidRPr="00412A54">
        <w:rPr>
          <w:rFonts w:ascii="Times New Roman" w:hAnsi="Times New Roman" w:cs="Times New Roman"/>
          <w:sz w:val="24"/>
          <w:szCs w:val="24"/>
          <w:lang w:val="en"/>
        </w:rPr>
        <w:t>s average salary would ha</w:t>
      </w:r>
      <w:r w:rsidR="00A33E18" w:rsidRPr="00412A54">
        <w:rPr>
          <w:rFonts w:ascii="Times New Roman" w:hAnsi="Times New Roman" w:cs="Times New Roman"/>
          <w:sz w:val="24"/>
          <w:szCs w:val="24"/>
          <w:lang w:val="en"/>
        </w:rPr>
        <w:t>d</w:t>
      </w:r>
      <w:r w:rsidR="00FE37B4" w:rsidRPr="00412A54">
        <w:rPr>
          <w:rFonts w:ascii="Times New Roman" w:hAnsi="Times New Roman" w:cs="Times New Roman"/>
          <w:sz w:val="24"/>
          <w:szCs w:val="24"/>
          <w:lang w:val="en"/>
        </w:rPr>
        <w:t xml:space="preserve"> </w:t>
      </w:r>
      <w:r w:rsidR="00A33E18" w:rsidRPr="00412A54">
        <w:rPr>
          <w:rFonts w:ascii="Times New Roman" w:hAnsi="Times New Roman" w:cs="Times New Roman"/>
          <w:sz w:val="24"/>
          <w:szCs w:val="24"/>
          <w:lang w:val="en"/>
        </w:rPr>
        <w:t>further improved had the labor market evolved focusing on more non-manual, non-routine tasks and that there was space to accommodate this change</w:t>
      </w:r>
      <w:r w:rsidR="00757CA1" w:rsidRPr="00412A54">
        <w:rPr>
          <w:rFonts w:ascii="Times New Roman" w:hAnsi="Times New Roman" w:cs="Times New Roman"/>
          <w:sz w:val="24"/>
          <w:szCs w:val="24"/>
          <w:lang w:val="en"/>
        </w:rPr>
        <w:t xml:space="preserve"> in the labor market</w:t>
      </w:r>
      <w:r w:rsidR="00A33E18" w:rsidRPr="00412A54">
        <w:rPr>
          <w:rFonts w:ascii="Times New Roman" w:hAnsi="Times New Roman" w:cs="Times New Roman"/>
          <w:sz w:val="24"/>
          <w:szCs w:val="24"/>
          <w:lang w:val="en"/>
        </w:rPr>
        <w:t xml:space="preserve"> given the progress of educational levels of the workforce during this period. </w:t>
      </w:r>
    </w:p>
    <w:p w14:paraId="1A9E6C1E" w14:textId="537A270F" w:rsidR="00683774" w:rsidRPr="00412A54" w:rsidRDefault="00683774" w:rsidP="00683774">
      <w:pPr>
        <w:jc w:val="center"/>
        <w:rPr>
          <w:rFonts w:ascii="Times New Roman" w:hAnsi="Times New Roman" w:cs="Times New Roman"/>
          <w:b/>
          <w:sz w:val="24"/>
          <w:szCs w:val="24"/>
          <w:lang w:val="en-US"/>
        </w:rPr>
      </w:pPr>
    </w:p>
    <w:p w14:paraId="0C0B307C" w14:textId="7522C456" w:rsidR="00085F29" w:rsidRPr="00412A54" w:rsidRDefault="00085F29" w:rsidP="00607800">
      <w:pPr>
        <w:rPr>
          <w:rFonts w:ascii="Times New Roman" w:hAnsi="Times New Roman" w:cs="Times New Roman"/>
          <w:b/>
          <w:sz w:val="24"/>
          <w:szCs w:val="24"/>
        </w:rPr>
      </w:pPr>
      <w:r w:rsidRPr="00412A54">
        <w:rPr>
          <w:rFonts w:ascii="Times New Roman" w:hAnsi="Times New Roman" w:cs="Times New Roman"/>
          <w:b/>
          <w:sz w:val="24"/>
          <w:szCs w:val="24"/>
        </w:rPr>
        <w:t>Palavras-Chave</w:t>
      </w:r>
      <w:r w:rsidR="00D604EC">
        <w:rPr>
          <w:rFonts w:ascii="Times New Roman" w:hAnsi="Times New Roman" w:cs="Times New Roman"/>
          <w:b/>
          <w:sz w:val="24"/>
          <w:szCs w:val="24"/>
        </w:rPr>
        <w:t>: Diferencias Salarias, Estrutura Ocupacional, Skill Biased Technological Change</w:t>
      </w:r>
    </w:p>
    <w:p w14:paraId="6F3093F1" w14:textId="3C73E8BD" w:rsidR="00607800" w:rsidRPr="00412A54" w:rsidRDefault="00607800" w:rsidP="00607800">
      <w:pPr>
        <w:rPr>
          <w:rFonts w:ascii="Times New Roman" w:hAnsi="Times New Roman" w:cs="Times New Roman"/>
          <w:b/>
          <w:sz w:val="24"/>
          <w:szCs w:val="24"/>
        </w:rPr>
      </w:pPr>
      <w:r w:rsidRPr="00412A54">
        <w:rPr>
          <w:rFonts w:ascii="Times New Roman" w:hAnsi="Times New Roman" w:cs="Times New Roman"/>
          <w:b/>
          <w:sz w:val="24"/>
          <w:szCs w:val="24"/>
        </w:rPr>
        <w:t>JEL:</w:t>
      </w:r>
      <w:r w:rsidR="00D604EC">
        <w:rPr>
          <w:rFonts w:ascii="Times New Roman" w:hAnsi="Times New Roman" w:cs="Times New Roman"/>
          <w:b/>
          <w:sz w:val="24"/>
          <w:szCs w:val="24"/>
        </w:rPr>
        <w:t xml:space="preserve"> J24</w:t>
      </w:r>
    </w:p>
    <w:p w14:paraId="0DF79D47" w14:textId="12551EF2" w:rsidR="002F7E59" w:rsidRPr="00412A54" w:rsidRDefault="002F7E59" w:rsidP="00607800">
      <w:pPr>
        <w:rPr>
          <w:rFonts w:ascii="Times New Roman" w:hAnsi="Times New Roman" w:cs="Times New Roman"/>
          <w:b/>
          <w:sz w:val="24"/>
          <w:szCs w:val="24"/>
        </w:rPr>
      </w:pPr>
      <w:r w:rsidRPr="00412A54">
        <w:rPr>
          <w:rFonts w:ascii="Times New Roman" w:hAnsi="Times New Roman" w:cs="Times New Roman"/>
          <w:b/>
          <w:sz w:val="24"/>
          <w:szCs w:val="24"/>
        </w:rPr>
        <w:t>Área</w:t>
      </w:r>
      <w:r w:rsidR="00C2477C" w:rsidRPr="00412A54">
        <w:rPr>
          <w:rFonts w:ascii="Times New Roman" w:hAnsi="Times New Roman" w:cs="Times New Roman"/>
          <w:b/>
          <w:sz w:val="24"/>
          <w:szCs w:val="24"/>
        </w:rPr>
        <w:t xml:space="preserve"> Anpec</w:t>
      </w:r>
      <w:r w:rsidRPr="00412A54">
        <w:rPr>
          <w:rFonts w:ascii="Times New Roman" w:hAnsi="Times New Roman" w:cs="Times New Roman"/>
          <w:b/>
          <w:sz w:val="24"/>
          <w:szCs w:val="24"/>
        </w:rPr>
        <w:t>:</w:t>
      </w:r>
      <w:r w:rsidR="00D604EC">
        <w:rPr>
          <w:rFonts w:ascii="Times New Roman" w:hAnsi="Times New Roman" w:cs="Times New Roman"/>
          <w:b/>
          <w:sz w:val="24"/>
          <w:szCs w:val="24"/>
        </w:rPr>
        <w:t xml:space="preserve"> 13 - Economia do Trabalho</w:t>
      </w:r>
    </w:p>
    <w:p w14:paraId="3F2AA8A8" w14:textId="2A5EF976" w:rsidR="001139FD" w:rsidRPr="00412A54" w:rsidRDefault="001139FD" w:rsidP="00607800">
      <w:pPr>
        <w:rPr>
          <w:rFonts w:ascii="Times New Roman" w:hAnsi="Times New Roman" w:cs="Times New Roman"/>
          <w:b/>
          <w:sz w:val="24"/>
          <w:szCs w:val="24"/>
        </w:rPr>
      </w:pPr>
    </w:p>
    <w:p w14:paraId="1FEC160B" w14:textId="77777777" w:rsidR="00DF30D0" w:rsidRPr="00412A54" w:rsidRDefault="00DF30D0" w:rsidP="00CD314F">
      <w:pPr>
        <w:pStyle w:val="Ttulo1"/>
        <w:rPr>
          <w:rFonts w:ascii="Times New Roman" w:hAnsi="Times New Roman" w:cs="Times New Roman"/>
          <w:b/>
          <w:color w:val="auto"/>
          <w:sz w:val="24"/>
          <w:szCs w:val="24"/>
        </w:rPr>
      </w:pPr>
      <w:r w:rsidRPr="00412A54">
        <w:rPr>
          <w:rFonts w:ascii="Times New Roman" w:hAnsi="Times New Roman" w:cs="Times New Roman"/>
          <w:b/>
          <w:color w:val="auto"/>
          <w:sz w:val="24"/>
          <w:szCs w:val="24"/>
        </w:rPr>
        <w:br w:type="page"/>
      </w:r>
    </w:p>
    <w:p w14:paraId="3F166615" w14:textId="4C332C18" w:rsidR="00CD314F" w:rsidRPr="00412A54" w:rsidRDefault="00CD314F" w:rsidP="00447044">
      <w:pPr>
        <w:pStyle w:val="Ttulo1"/>
        <w:numPr>
          <w:ilvl w:val="0"/>
          <w:numId w:val="9"/>
        </w:numPr>
        <w:rPr>
          <w:rFonts w:ascii="Times New Roman" w:eastAsiaTheme="minorHAnsi" w:hAnsi="Times New Roman" w:cs="Times New Roman"/>
          <w:b/>
          <w:color w:val="auto"/>
          <w:sz w:val="24"/>
          <w:szCs w:val="24"/>
        </w:rPr>
      </w:pPr>
      <w:r w:rsidRPr="00412A54">
        <w:rPr>
          <w:rFonts w:ascii="Times New Roman" w:eastAsiaTheme="minorHAnsi" w:hAnsi="Times New Roman" w:cs="Times New Roman"/>
          <w:b/>
          <w:color w:val="auto"/>
          <w:sz w:val="24"/>
          <w:szCs w:val="24"/>
        </w:rPr>
        <w:lastRenderedPageBreak/>
        <w:t>Introdução</w:t>
      </w:r>
    </w:p>
    <w:p w14:paraId="1A2497D4" w14:textId="08E16002" w:rsidR="00A56E9A" w:rsidRPr="00412A54" w:rsidRDefault="00A56E9A" w:rsidP="00447044">
      <w:pPr>
        <w:ind w:firstLine="360"/>
        <w:jc w:val="both"/>
        <w:rPr>
          <w:rFonts w:ascii="Times New Roman" w:hAnsi="Times New Roman" w:cs="Times New Roman"/>
          <w:sz w:val="24"/>
          <w:szCs w:val="24"/>
        </w:rPr>
      </w:pPr>
    </w:p>
    <w:p w14:paraId="65153DD1" w14:textId="43354DEC" w:rsidR="00412A54" w:rsidRDefault="00A56E9A" w:rsidP="004818F5">
      <w:pPr>
        <w:jc w:val="both"/>
        <w:rPr>
          <w:rFonts w:ascii="Times New Roman" w:hAnsi="Times New Roman" w:cs="Times New Roman"/>
          <w:sz w:val="24"/>
          <w:szCs w:val="24"/>
        </w:rPr>
      </w:pPr>
      <w:r w:rsidRPr="00412A54">
        <w:rPr>
          <w:rFonts w:ascii="Times New Roman" w:hAnsi="Times New Roman" w:cs="Times New Roman"/>
          <w:sz w:val="24"/>
          <w:szCs w:val="24"/>
        </w:rPr>
        <w:t>A elevação do nível educacional dos trabalhadores verificada nos últimos anos no mercado</w:t>
      </w:r>
      <w:r w:rsidR="00D1461E" w:rsidRPr="00412A54">
        <w:rPr>
          <w:rFonts w:ascii="Times New Roman" w:hAnsi="Times New Roman" w:cs="Times New Roman"/>
          <w:sz w:val="24"/>
          <w:szCs w:val="24"/>
        </w:rPr>
        <w:t xml:space="preserve"> B</w:t>
      </w:r>
      <w:r w:rsidRPr="00412A54">
        <w:rPr>
          <w:rFonts w:ascii="Times New Roman" w:hAnsi="Times New Roman" w:cs="Times New Roman"/>
          <w:sz w:val="24"/>
          <w:szCs w:val="24"/>
        </w:rPr>
        <w:t xml:space="preserve">rasil trouxe diversos impactos </w:t>
      </w:r>
      <w:r w:rsidR="00D1461E" w:rsidRPr="00412A54">
        <w:rPr>
          <w:rFonts w:ascii="Times New Roman" w:hAnsi="Times New Roman" w:cs="Times New Roman"/>
          <w:sz w:val="24"/>
          <w:szCs w:val="24"/>
        </w:rPr>
        <w:t>n</w:t>
      </w:r>
      <w:r w:rsidRPr="00412A54">
        <w:rPr>
          <w:rFonts w:ascii="Times New Roman" w:hAnsi="Times New Roman" w:cs="Times New Roman"/>
          <w:sz w:val="24"/>
          <w:szCs w:val="24"/>
        </w:rPr>
        <w:t>as estatísticas de mercado de trabalho e rendimento. Notadam</w:t>
      </w:r>
      <w:r w:rsidR="00D903C7" w:rsidRPr="00412A54">
        <w:rPr>
          <w:rFonts w:ascii="Times New Roman" w:hAnsi="Times New Roman" w:cs="Times New Roman"/>
          <w:sz w:val="24"/>
          <w:szCs w:val="24"/>
        </w:rPr>
        <w:t>e</w:t>
      </w:r>
      <w:r w:rsidRPr="00412A54">
        <w:rPr>
          <w:rFonts w:ascii="Times New Roman" w:hAnsi="Times New Roman" w:cs="Times New Roman"/>
          <w:sz w:val="24"/>
          <w:szCs w:val="24"/>
        </w:rPr>
        <w:t xml:space="preserve">nte, Barros et al (2007) destacam a redução da desigualdade de renda do trabalho, </w:t>
      </w:r>
      <w:r w:rsidR="00A5462D" w:rsidRPr="00412A54">
        <w:rPr>
          <w:rFonts w:ascii="Times New Roman" w:hAnsi="Times New Roman" w:cs="Times New Roman"/>
          <w:sz w:val="24"/>
          <w:szCs w:val="24"/>
        </w:rPr>
        <w:t>causada pela ampliação da média de anos de estudo concomitante à redução no prêmio salarial associado à educação</w:t>
      </w:r>
      <w:r w:rsidR="00D1461E" w:rsidRPr="00412A54">
        <w:rPr>
          <w:rFonts w:ascii="Times New Roman" w:hAnsi="Times New Roman" w:cs="Times New Roman"/>
          <w:sz w:val="24"/>
          <w:szCs w:val="24"/>
        </w:rPr>
        <w:t>,</w:t>
      </w:r>
      <w:r w:rsidR="00074A54" w:rsidRPr="00412A54">
        <w:rPr>
          <w:rFonts w:ascii="Times New Roman" w:hAnsi="Times New Roman" w:cs="Times New Roman"/>
          <w:sz w:val="24"/>
          <w:szCs w:val="24"/>
        </w:rPr>
        <w:t xml:space="preserve"> enquanto</w:t>
      </w:r>
      <w:r w:rsidR="00A5462D" w:rsidRPr="00412A54">
        <w:rPr>
          <w:rFonts w:ascii="Times New Roman" w:hAnsi="Times New Roman" w:cs="Times New Roman"/>
          <w:sz w:val="24"/>
          <w:szCs w:val="24"/>
        </w:rPr>
        <w:t xml:space="preserve"> Pecora e Menezes-Filho </w:t>
      </w:r>
      <w:r w:rsidR="00D1461E" w:rsidRPr="00412A54">
        <w:rPr>
          <w:rFonts w:ascii="Times New Roman" w:hAnsi="Times New Roman" w:cs="Times New Roman"/>
          <w:sz w:val="24"/>
          <w:szCs w:val="24"/>
        </w:rPr>
        <w:t xml:space="preserve">(2014) </w:t>
      </w:r>
      <w:r w:rsidR="00A5462D" w:rsidRPr="00412A54">
        <w:rPr>
          <w:rFonts w:ascii="Times New Roman" w:hAnsi="Times New Roman" w:cs="Times New Roman"/>
          <w:sz w:val="24"/>
          <w:szCs w:val="24"/>
        </w:rPr>
        <w:t xml:space="preserve">apontam para a </w:t>
      </w:r>
      <w:r w:rsidR="00D1461E" w:rsidRPr="00412A54">
        <w:rPr>
          <w:rFonts w:ascii="Times New Roman" w:hAnsi="Times New Roman" w:cs="Times New Roman"/>
          <w:sz w:val="24"/>
          <w:szCs w:val="24"/>
        </w:rPr>
        <w:t>queda</w:t>
      </w:r>
      <w:r w:rsidR="00A5462D" w:rsidRPr="00412A54">
        <w:rPr>
          <w:rFonts w:ascii="Times New Roman" w:hAnsi="Times New Roman" w:cs="Times New Roman"/>
          <w:sz w:val="24"/>
          <w:szCs w:val="24"/>
        </w:rPr>
        <w:t xml:space="preserve"> n</w:t>
      </w:r>
      <w:r w:rsidR="00D1461E" w:rsidRPr="00412A54">
        <w:rPr>
          <w:rFonts w:ascii="Times New Roman" w:hAnsi="Times New Roman" w:cs="Times New Roman"/>
          <w:sz w:val="24"/>
          <w:szCs w:val="24"/>
        </w:rPr>
        <w:t>a</w:t>
      </w:r>
      <w:r w:rsidR="00A5462D" w:rsidRPr="00412A54">
        <w:rPr>
          <w:rFonts w:ascii="Times New Roman" w:hAnsi="Times New Roman" w:cs="Times New Roman"/>
          <w:sz w:val="24"/>
          <w:szCs w:val="24"/>
        </w:rPr>
        <w:t xml:space="preserve"> diferen</w:t>
      </w:r>
      <w:r w:rsidR="00D1461E" w:rsidRPr="00412A54">
        <w:rPr>
          <w:rFonts w:ascii="Times New Roman" w:hAnsi="Times New Roman" w:cs="Times New Roman"/>
          <w:sz w:val="24"/>
          <w:szCs w:val="24"/>
        </w:rPr>
        <w:t>ça de rendimentos</w:t>
      </w:r>
      <w:r w:rsidR="00A5462D" w:rsidRPr="00412A54">
        <w:rPr>
          <w:rFonts w:ascii="Times New Roman" w:hAnsi="Times New Roman" w:cs="Times New Roman"/>
          <w:sz w:val="24"/>
          <w:szCs w:val="24"/>
        </w:rPr>
        <w:t xml:space="preserve"> entre </w:t>
      </w:r>
      <w:r w:rsidR="00074A54" w:rsidRPr="00412A54">
        <w:rPr>
          <w:rFonts w:ascii="Times New Roman" w:hAnsi="Times New Roman" w:cs="Times New Roman"/>
          <w:sz w:val="24"/>
          <w:szCs w:val="24"/>
        </w:rPr>
        <w:t>indivíduos</w:t>
      </w:r>
      <w:r w:rsidR="00A5462D" w:rsidRPr="00412A54">
        <w:rPr>
          <w:rFonts w:ascii="Times New Roman" w:hAnsi="Times New Roman" w:cs="Times New Roman"/>
          <w:sz w:val="24"/>
          <w:szCs w:val="24"/>
        </w:rPr>
        <w:t xml:space="preserve"> com ensino superior e ensino médio</w:t>
      </w:r>
      <w:r w:rsidR="00074A54" w:rsidRPr="00412A54">
        <w:rPr>
          <w:rFonts w:ascii="Times New Roman" w:hAnsi="Times New Roman" w:cs="Times New Roman"/>
          <w:sz w:val="24"/>
          <w:szCs w:val="24"/>
        </w:rPr>
        <w:t>.</w:t>
      </w:r>
      <w:r w:rsidR="00412A54">
        <w:rPr>
          <w:rFonts w:ascii="Times New Roman" w:hAnsi="Times New Roman" w:cs="Times New Roman"/>
          <w:sz w:val="24"/>
          <w:szCs w:val="24"/>
        </w:rPr>
        <w:t xml:space="preserve"> Conquanto diversos estudos tenham sido realizados para investigar as mudanças no prêmio salarial de trabalhadores com diferentes níveis de qualificação do ponto de vista </w:t>
      </w:r>
      <w:r w:rsidR="00D604EC">
        <w:rPr>
          <w:rFonts w:ascii="Times New Roman" w:hAnsi="Times New Roman" w:cs="Times New Roman"/>
          <w:sz w:val="24"/>
          <w:szCs w:val="24"/>
        </w:rPr>
        <w:t>educacional</w:t>
      </w:r>
      <w:r w:rsidR="00412A54">
        <w:rPr>
          <w:rFonts w:ascii="Times New Roman" w:hAnsi="Times New Roman" w:cs="Times New Roman"/>
          <w:sz w:val="24"/>
          <w:szCs w:val="24"/>
        </w:rPr>
        <w:t>, p</w:t>
      </w:r>
      <w:r w:rsidR="00D1461E" w:rsidRPr="00412A54">
        <w:rPr>
          <w:rFonts w:ascii="Times New Roman" w:hAnsi="Times New Roman" w:cs="Times New Roman"/>
          <w:sz w:val="24"/>
          <w:szCs w:val="24"/>
        </w:rPr>
        <w:t>ouco</w:t>
      </w:r>
      <w:r w:rsidR="00D604EC">
        <w:rPr>
          <w:rFonts w:ascii="Times New Roman" w:hAnsi="Times New Roman" w:cs="Times New Roman"/>
          <w:sz w:val="24"/>
          <w:szCs w:val="24"/>
        </w:rPr>
        <w:t xml:space="preserve">s estudos foram feitos acerca da evolução da </w:t>
      </w:r>
      <w:r w:rsidRPr="00412A54">
        <w:rPr>
          <w:rFonts w:ascii="Times New Roman" w:hAnsi="Times New Roman" w:cs="Times New Roman"/>
          <w:sz w:val="24"/>
          <w:szCs w:val="24"/>
        </w:rPr>
        <w:t>alocação e remuneração de trabalhadores dentre as ocupações com diferentes exigências de habilidades nos últimos anos</w:t>
      </w:r>
      <w:r w:rsidR="00D1461E" w:rsidRPr="00412A54">
        <w:rPr>
          <w:rFonts w:ascii="Times New Roman" w:hAnsi="Times New Roman" w:cs="Times New Roman"/>
          <w:sz w:val="24"/>
          <w:szCs w:val="24"/>
        </w:rPr>
        <w:t xml:space="preserve"> no Brasil</w:t>
      </w:r>
      <w:r w:rsidRPr="00412A54">
        <w:rPr>
          <w:rFonts w:ascii="Times New Roman" w:hAnsi="Times New Roman" w:cs="Times New Roman"/>
          <w:sz w:val="24"/>
          <w:szCs w:val="24"/>
        </w:rPr>
        <w:t>.</w:t>
      </w:r>
    </w:p>
    <w:p w14:paraId="34615127" w14:textId="27F4600B" w:rsidR="00A56E9A" w:rsidRPr="00412A54" w:rsidRDefault="00A56E9A" w:rsidP="004818F5">
      <w:pPr>
        <w:jc w:val="both"/>
        <w:rPr>
          <w:rFonts w:ascii="Times New Roman" w:hAnsi="Times New Roman" w:cs="Times New Roman"/>
          <w:sz w:val="24"/>
          <w:szCs w:val="24"/>
        </w:rPr>
      </w:pPr>
      <w:r w:rsidRPr="00412A54">
        <w:rPr>
          <w:rFonts w:ascii="Times New Roman" w:hAnsi="Times New Roman" w:cs="Times New Roman"/>
          <w:sz w:val="24"/>
          <w:szCs w:val="24"/>
        </w:rPr>
        <w:t xml:space="preserve"> Conforme Autor Levy e Murnane</w:t>
      </w:r>
      <w:r w:rsidR="00D1461E" w:rsidRPr="00412A54">
        <w:rPr>
          <w:rFonts w:ascii="Times New Roman" w:hAnsi="Times New Roman" w:cs="Times New Roman"/>
          <w:sz w:val="24"/>
          <w:szCs w:val="24"/>
        </w:rPr>
        <w:t xml:space="preserve"> </w:t>
      </w:r>
      <w:r w:rsidR="00CE7915" w:rsidRPr="00412A54">
        <w:rPr>
          <w:rFonts w:ascii="Times New Roman" w:hAnsi="Times New Roman" w:cs="Times New Roman"/>
          <w:sz w:val="24"/>
          <w:szCs w:val="24"/>
        </w:rPr>
        <w:t>(</w:t>
      </w:r>
      <w:r w:rsidRPr="00412A54">
        <w:rPr>
          <w:rFonts w:ascii="Times New Roman" w:hAnsi="Times New Roman" w:cs="Times New Roman"/>
          <w:sz w:val="24"/>
          <w:szCs w:val="24"/>
        </w:rPr>
        <w:t>2003</w:t>
      </w:r>
      <w:r w:rsidR="00CE7915" w:rsidRPr="00412A54">
        <w:rPr>
          <w:rFonts w:ascii="Times New Roman" w:hAnsi="Times New Roman" w:cs="Times New Roman"/>
          <w:sz w:val="24"/>
          <w:szCs w:val="24"/>
        </w:rPr>
        <w:t>)</w:t>
      </w:r>
      <w:r w:rsidRPr="00412A54">
        <w:rPr>
          <w:rFonts w:ascii="Times New Roman" w:hAnsi="Times New Roman" w:cs="Times New Roman"/>
          <w:sz w:val="24"/>
          <w:szCs w:val="24"/>
        </w:rPr>
        <w:t xml:space="preserve">, uma das consequências do crescimento do emprego de computadores nas rotinas de trabalho foi a ampliação na demanda por trabalhadores qualificados, capazes de desempenhar tarefas de natureza complexa. Assim, os autores predizem um crescimento do número de ocupados em postos de trabalho com exigência de habilidades complexas, concomitante a uma elevação do prêmio salarial associado aos trabalhadores que as desempenham. </w:t>
      </w:r>
      <w:r w:rsidR="00CE7915" w:rsidRPr="00412A54">
        <w:rPr>
          <w:rFonts w:ascii="Times New Roman" w:hAnsi="Times New Roman" w:cs="Times New Roman"/>
          <w:sz w:val="24"/>
          <w:szCs w:val="24"/>
        </w:rPr>
        <w:t>Outra consequência da ampliação do</w:t>
      </w:r>
      <w:r w:rsidR="00D1461E" w:rsidRPr="00412A54">
        <w:rPr>
          <w:rFonts w:ascii="Times New Roman" w:hAnsi="Times New Roman" w:cs="Times New Roman"/>
          <w:sz w:val="24"/>
          <w:szCs w:val="24"/>
        </w:rPr>
        <w:t xml:space="preserve"> maior</w:t>
      </w:r>
      <w:r w:rsidR="00CE7915" w:rsidRPr="00412A54">
        <w:rPr>
          <w:rFonts w:ascii="Times New Roman" w:hAnsi="Times New Roman" w:cs="Times New Roman"/>
          <w:sz w:val="24"/>
          <w:szCs w:val="24"/>
        </w:rPr>
        <w:t xml:space="preserve"> uso de computadores</w:t>
      </w:r>
      <w:r w:rsidR="00D1461E" w:rsidRPr="00412A54">
        <w:rPr>
          <w:rFonts w:ascii="Times New Roman" w:hAnsi="Times New Roman" w:cs="Times New Roman"/>
          <w:sz w:val="24"/>
          <w:szCs w:val="24"/>
        </w:rPr>
        <w:t xml:space="preserve"> neste contexto</w:t>
      </w:r>
      <w:r w:rsidR="00CE7915" w:rsidRPr="00412A54">
        <w:rPr>
          <w:rFonts w:ascii="Times New Roman" w:hAnsi="Times New Roman" w:cs="Times New Roman"/>
          <w:sz w:val="24"/>
          <w:szCs w:val="24"/>
        </w:rPr>
        <w:t xml:space="preserve"> é a desvalorização dos </w:t>
      </w:r>
      <w:r w:rsidR="00D1461E" w:rsidRPr="00412A54">
        <w:rPr>
          <w:rFonts w:ascii="Times New Roman" w:hAnsi="Times New Roman" w:cs="Times New Roman"/>
          <w:sz w:val="24"/>
          <w:szCs w:val="24"/>
        </w:rPr>
        <w:t>indivíduos</w:t>
      </w:r>
      <w:r w:rsidR="00CE7915" w:rsidRPr="00412A54">
        <w:rPr>
          <w:rFonts w:ascii="Times New Roman" w:hAnsi="Times New Roman" w:cs="Times New Roman"/>
          <w:sz w:val="24"/>
          <w:szCs w:val="24"/>
        </w:rPr>
        <w:t xml:space="preserve"> alocados em ocupações de caráter rotineiro, cujas tarefas são passíveis de serem desempenhadas a um custo mais baixo pela máquina, num movimento de substituição</w:t>
      </w:r>
      <w:r w:rsidR="00D1461E" w:rsidRPr="00412A54">
        <w:rPr>
          <w:rFonts w:ascii="Times New Roman" w:hAnsi="Times New Roman" w:cs="Times New Roman"/>
          <w:sz w:val="24"/>
          <w:szCs w:val="24"/>
        </w:rPr>
        <w:t xml:space="preserve"> da mão de obra</w:t>
      </w:r>
      <w:r w:rsidR="00CE7915" w:rsidRPr="00412A54">
        <w:rPr>
          <w:rFonts w:ascii="Times New Roman" w:hAnsi="Times New Roman" w:cs="Times New Roman"/>
          <w:sz w:val="24"/>
          <w:szCs w:val="24"/>
        </w:rPr>
        <w:t xml:space="preserve">. </w:t>
      </w:r>
    </w:p>
    <w:p w14:paraId="51659ECF" w14:textId="3EAE196D" w:rsidR="00D903C7" w:rsidRPr="00412A54" w:rsidRDefault="00A56E9A" w:rsidP="004818F5">
      <w:pPr>
        <w:jc w:val="both"/>
        <w:rPr>
          <w:rFonts w:ascii="Times New Roman" w:hAnsi="Times New Roman" w:cs="Times New Roman"/>
          <w:sz w:val="24"/>
          <w:szCs w:val="24"/>
        </w:rPr>
      </w:pPr>
      <w:r w:rsidRPr="00412A54">
        <w:rPr>
          <w:rFonts w:ascii="Times New Roman" w:hAnsi="Times New Roman" w:cs="Times New Roman"/>
          <w:sz w:val="24"/>
          <w:szCs w:val="24"/>
        </w:rPr>
        <w:t>No Brasil, o retorno salarial d</w:t>
      </w:r>
      <w:r w:rsidR="00D1461E" w:rsidRPr="00412A54">
        <w:rPr>
          <w:rFonts w:ascii="Times New Roman" w:hAnsi="Times New Roman" w:cs="Times New Roman"/>
          <w:sz w:val="24"/>
          <w:szCs w:val="24"/>
        </w:rPr>
        <w:t>os</w:t>
      </w:r>
      <w:r w:rsidRPr="00412A54">
        <w:rPr>
          <w:rFonts w:ascii="Times New Roman" w:hAnsi="Times New Roman" w:cs="Times New Roman"/>
          <w:sz w:val="24"/>
          <w:szCs w:val="24"/>
        </w:rPr>
        <w:t xml:space="preserve"> trabalhadores com </w:t>
      </w:r>
      <w:r w:rsidR="00D1461E" w:rsidRPr="00412A54">
        <w:rPr>
          <w:rFonts w:ascii="Times New Roman" w:hAnsi="Times New Roman" w:cs="Times New Roman"/>
          <w:sz w:val="24"/>
          <w:szCs w:val="24"/>
        </w:rPr>
        <w:t xml:space="preserve">diploma </w:t>
      </w:r>
      <w:r w:rsidRPr="00412A54">
        <w:rPr>
          <w:rFonts w:ascii="Times New Roman" w:hAnsi="Times New Roman" w:cs="Times New Roman"/>
          <w:sz w:val="24"/>
          <w:szCs w:val="24"/>
        </w:rPr>
        <w:t>ensino superior decresc</w:t>
      </w:r>
      <w:r w:rsidR="00D1461E" w:rsidRPr="00412A54">
        <w:rPr>
          <w:rFonts w:ascii="Times New Roman" w:hAnsi="Times New Roman" w:cs="Times New Roman"/>
          <w:sz w:val="24"/>
          <w:szCs w:val="24"/>
        </w:rPr>
        <w:t>eu</w:t>
      </w:r>
      <w:r w:rsidRPr="00412A54">
        <w:rPr>
          <w:rFonts w:ascii="Times New Roman" w:hAnsi="Times New Roman" w:cs="Times New Roman"/>
          <w:sz w:val="24"/>
          <w:szCs w:val="24"/>
        </w:rPr>
        <w:t xml:space="preserve"> ao longo do tempo, ao passo que a oferta de indivíduos mais educados se elevou</w:t>
      </w:r>
      <w:r w:rsidR="00CE7915" w:rsidRPr="00412A54">
        <w:rPr>
          <w:rFonts w:ascii="Times New Roman" w:hAnsi="Times New Roman" w:cs="Times New Roman"/>
          <w:sz w:val="24"/>
          <w:szCs w:val="24"/>
        </w:rPr>
        <w:t xml:space="preserve"> (</w:t>
      </w:r>
      <w:r w:rsidR="00074A54" w:rsidRPr="00412A54">
        <w:rPr>
          <w:rFonts w:ascii="Times New Roman" w:hAnsi="Times New Roman" w:cs="Times New Roman"/>
          <w:sz w:val="24"/>
          <w:szCs w:val="24"/>
        </w:rPr>
        <w:t>BARROS ET AL.</w:t>
      </w:r>
      <w:r w:rsidR="00CE7915" w:rsidRPr="00412A54">
        <w:rPr>
          <w:rFonts w:ascii="Times New Roman" w:hAnsi="Times New Roman" w:cs="Times New Roman"/>
          <w:sz w:val="24"/>
          <w:szCs w:val="24"/>
        </w:rPr>
        <w:t>,</w:t>
      </w:r>
      <w:r w:rsidR="00074A54" w:rsidRPr="00412A54">
        <w:rPr>
          <w:rFonts w:ascii="Times New Roman" w:hAnsi="Times New Roman" w:cs="Times New Roman"/>
          <w:sz w:val="24"/>
          <w:szCs w:val="24"/>
        </w:rPr>
        <w:t xml:space="preserve"> 2007</w:t>
      </w:r>
      <w:r w:rsidR="00CE7915" w:rsidRPr="00412A54">
        <w:rPr>
          <w:rFonts w:ascii="Times New Roman" w:hAnsi="Times New Roman" w:cs="Times New Roman"/>
          <w:sz w:val="24"/>
          <w:szCs w:val="24"/>
        </w:rPr>
        <w:t>).</w:t>
      </w:r>
      <w:r w:rsidRPr="00412A54">
        <w:rPr>
          <w:rFonts w:ascii="Times New Roman" w:hAnsi="Times New Roman" w:cs="Times New Roman"/>
          <w:sz w:val="24"/>
          <w:szCs w:val="24"/>
        </w:rPr>
        <w:t xml:space="preserve"> </w:t>
      </w:r>
      <w:r w:rsidR="00CE7915" w:rsidRPr="00412A54">
        <w:rPr>
          <w:rFonts w:ascii="Times New Roman" w:hAnsi="Times New Roman" w:cs="Times New Roman"/>
          <w:sz w:val="24"/>
          <w:szCs w:val="24"/>
        </w:rPr>
        <w:t>Neste trabalho, pretendemos analisar como evoluiu</w:t>
      </w:r>
      <w:r w:rsidR="00CC2C67" w:rsidRPr="00412A54">
        <w:rPr>
          <w:rFonts w:ascii="Times New Roman" w:hAnsi="Times New Roman" w:cs="Times New Roman"/>
          <w:sz w:val="24"/>
          <w:szCs w:val="24"/>
        </w:rPr>
        <w:t>, entre 2006 e 2016,</w:t>
      </w:r>
      <w:r w:rsidR="00CE7915" w:rsidRPr="00412A54">
        <w:rPr>
          <w:rFonts w:ascii="Times New Roman" w:hAnsi="Times New Roman" w:cs="Times New Roman"/>
          <w:sz w:val="24"/>
          <w:szCs w:val="24"/>
        </w:rPr>
        <w:t xml:space="preserve"> o prêmio salarial associado </w:t>
      </w:r>
      <w:r w:rsidR="00AE1AF9" w:rsidRPr="00412A54">
        <w:rPr>
          <w:rFonts w:ascii="Times New Roman" w:hAnsi="Times New Roman" w:cs="Times New Roman"/>
          <w:sz w:val="24"/>
          <w:szCs w:val="24"/>
        </w:rPr>
        <w:t>a</w:t>
      </w:r>
      <w:r w:rsidR="00CE7915" w:rsidRPr="00412A54">
        <w:rPr>
          <w:rFonts w:ascii="Times New Roman" w:hAnsi="Times New Roman" w:cs="Times New Roman"/>
          <w:sz w:val="24"/>
          <w:szCs w:val="24"/>
        </w:rPr>
        <w:t xml:space="preserve"> ocupações de diferentes</w:t>
      </w:r>
      <w:r w:rsidR="00D1461E" w:rsidRPr="00412A54">
        <w:rPr>
          <w:rFonts w:ascii="Times New Roman" w:hAnsi="Times New Roman" w:cs="Times New Roman"/>
          <w:sz w:val="24"/>
          <w:szCs w:val="24"/>
        </w:rPr>
        <w:t xml:space="preserve"> níveis de</w:t>
      </w:r>
      <w:r w:rsidR="00CE7915" w:rsidRPr="00412A54">
        <w:rPr>
          <w:rFonts w:ascii="Times New Roman" w:hAnsi="Times New Roman" w:cs="Times New Roman"/>
          <w:sz w:val="24"/>
          <w:szCs w:val="24"/>
        </w:rPr>
        <w:t xml:space="preserve"> exigências de habilidades a fim de avaliar se o mercado de trabalho brasileiro assistiu às tendências preditas pela literatura de </w:t>
      </w:r>
      <w:r w:rsidR="00CE7915" w:rsidRPr="00412A54">
        <w:rPr>
          <w:rFonts w:ascii="Times New Roman" w:hAnsi="Times New Roman" w:cs="Times New Roman"/>
          <w:i/>
          <w:sz w:val="24"/>
          <w:szCs w:val="24"/>
        </w:rPr>
        <w:t>Skill Biased Technological Change</w:t>
      </w:r>
      <w:r w:rsidR="00CE7915" w:rsidRPr="00412A54">
        <w:rPr>
          <w:rFonts w:ascii="Times New Roman" w:hAnsi="Times New Roman" w:cs="Times New Roman"/>
          <w:sz w:val="24"/>
          <w:szCs w:val="24"/>
        </w:rPr>
        <w:t xml:space="preserve"> (SBTC).</w:t>
      </w:r>
      <w:r w:rsidR="00D903C7" w:rsidRPr="00412A54">
        <w:rPr>
          <w:rFonts w:ascii="Times New Roman" w:hAnsi="Times New Roman" w:cs="Times New Roman"/>
          <w:sz w:val="24"/>
          <w:szCs w:val="24"/>
        </w:rPr>
        <w:t xml:space="preserve"> Considerando este objetivo, visamos preencher uma lacuna na literatura de mercado de trabalho brasileiro ao deslocarmos a discussão da evolução do retorno salarial à qualificação da perspectiva educacional para um prisma ocupacional em consonância com os trabalhos de SBTC.</w:t>
      </w:r>
    </w:p>
    <w:p w14:paraId="2525685D" w14:textId="601CF165" w:rsidR="00CE7915" w:rsidRPr="00412A54" w:rsidRDefault="00CE7915" w:rsidP="004818F5">
      <w:pPr>
        <w:jc w:val="both"/>
        <w:rPr>
          <w:rFonts w:ascii="Times New Roman" w:hAnsi="Times New Roman" w:cs="Times New Roman"/>
          <w:sz w:val="24"/>
          <w:szCs w:val="24"/>
        </w:rPr>
      </w:pPr>
      <w:r w:rsidRPr="00412A54">
        <w:rPr>
          <w:rFonts w:ascii="Times New Roman" w:hAnsi="Times New Roman" w:cs="Times New Roman"/>
          <w:sz w:val="24"/>
          <w:szCs w:val="24"/>
        </w:rPr>
        <w:t xml:space="preserve">Para tanto, categorizamos as ocupações quanto à natureza das tarefas exigidas, dando origem a uma tipologia que as separa quanto a prevalência de tarefas de cunho manual/não manual e rotineiro/não rotineiro (cognitivo). Esta categorização seguiu Oliveira et al (2017), cuja classificação segue o </w:t>
      </w:r>
      <w:r w:rsidRPr="00412A54">
        <w:rPr>
          <w:rFonts w:ascii="Times New Roman" w:hAnsi="Times New Roman" w:cs="Times New Roman"/>
          <w:i/>
          <w:sz w:val="24"/>
          <w:szCs w:val="24"/>
        </w:rPr>
        <w:t xml:space="preserve">task based approach </w:t>
      </w:r>
      <w:r w:rsidRPr="00412A54">
        <w:rPr>
          <w:rFonts w:ascii="Times New Roman" w:hAnsi="Times New Roman" w:cs="Times New Roman"/>
          <w:sz w:val="24"/>
          <w:szCs w:val="24"/>
        </w:rPr>
        <w:t>sugerido por Autor, Levy e Murnane (2003).</w:t>
      </w:r>
    </w:p>
    <w:p w14:paraId="0221DE41" w14:textId="3812463C" w:rsidR="00315815" w:rsidRPr="00412A54" w:rsidRDefault="00CE7915" w:rsidP="004818F5">
      <w:pPr>
        <w:jc w:val="both"/>
        <w:rPr>
          <w:rFonts w:ascii="Times New Roman" w:hAnsi="Times New Roman" w:cs="Times New Roman"/>
          <w:sz w:val="24"/>
          <w:szCs w:val="24"/>
        </w:rPr>
      </w:pPr>
      <w:r w:rsidRPr="00412A54">
        <w:rPr>
          <w:rFonts w:ascii="Times New Roman" w:hAnsi="Times New Roman" w:cs="Times New Roman"/>
          <w:sz w:val="24"/>
          <w:szCs w:val="24"/>
        </w:rPr>
        <w:t xml:space="preserve">Para acessar os retornos salariais </w:t>
      </w:r>
      <w:r w:rsidR="00CC2C67" w:rsidRPr="00412A54">
        <w:rPr>
          <w:rFonts w:ascii="Times New Roman" w:hAnsi="Times New Roman" w:cs="Times New Roman"/>
          <w:sz w:val="24"/>
          <w:szCs w:val="24"/>
        </w:rPr>
        <w:t>relativos</w:t>
      </w:r>
      <w:r w:rsidRPr="00412A54">
        <w:rPr>
          <w:rFonts w:ascii="Times New Roman" w:hAnsi="Times New Roman" w:cs="Times New Roman"/>
          <w:sz w:val="24"/>
          <w:szCs w:val="24"/>
        </w:rPr>
        <w:t xml:space="preserve"> a estas categorias ocupacionais</w:t>
      </w:r>
      <w:r w:rsidR="00CC2C67" w:rsidRPr="00412A54">
        <w:rPr>
          <w:rFonts w:ascii="Times New Roman" w:hAnsi="Times New Roman" w:cs="Times New Roman"/>
          <w:sz w:val="24"/>
          <w:szCs w:val="24"/>
        </w:rPr>
        <w:t>, equações mincerianas foram estimadas para cada ano do período considerado</w:t>
      </w:r>
      <w:r w:rsidR="00315815" w:rsidRPr="00412A54">
        <w:rPr>
          <w:rFonts w:ascii="Times New Roman" w:hAnsi="Times New Roman" w:cs="Times New Roman"/>
          <w:sz w:val="24"/>
          <w:szCs w:val="24"/>
        </w:rPr>
        <w:t xml:space="preserve"> utilizando os dados da Relação Anual de Informações Sociais (RAIS)</w:t>
      </w:r>
      <w:r w:rsidR="00AE1AF9" w:rsidRPr="00412A54">
        <w:rPr>
          <w:rFonts w:ascii="Times New Roman" w:hAnsi="Times New Roman" w:cs="Times New Roman"/>
          <w:sz w:val="24"/>
          <w:szCs w:val="24"/>
        </w:rPr>
        <w:t xml:space="preserve">. Os resultados </w:t>
      </w:r>
      <w:r w:rsidR="00D903C7" w:rsidRPr="00412A54">
        <w:rPr>
          <w:rFonts w:ascii="Times New Roman" w:hAnsi="Times New Roman" w:cs="Times New Roman"/>
          <w:sz w:val="24"/>
          <w:szCs w:val="24"/>
        </w:rPr>
        <w:t>indicam</w:t>
      </w:r>
      <w:r w:rsidR="00AE1AF9" w:rsidRPr="00412A54">
        <w:rPr>
          <w:rFonts w:ascii="Times New Roman" w:hAnsi="Times New Roman" w:cs="Times New Roman"/>
          <w:sz w:val="24"/>
          <w:szCs w:val="24"/>
        </w:rPr>
        <w:t xml:space="preserve"> uma tendência similar ao que se teoriza na literatura de SBTC no mercado de trabalho brasileiro quanto ao prêmio salarial às ocupações de diferentes naturezas. Nomeadamente, assistimos a um crescimento do retorno salarial associado </w:t>
      </w:r>
      <w:r w:rsidR="00315815" w:rsidRPr="00412A54">
        <w:rPr>
          <w:rFonts w:ascii="Times New Roman" w:hAnsi="Times New Roman" w:cs="Times New Roman"/>
          <w:sz w:val="24"/>
          <w:szCs w:val="24"/>
        </w:rPr>
        <w:t>a</w:t>
      </w:r>
      <w:r w:rsidR="00AE1AF9" w:rsidRPr="00412A54">
        <w:rPr>
          <w:rFonts w:ascii="Times New Roman" w:hAnsi="Times New Roman" w:cs="Times New Roman"/>
          <w:sz w:val="24"/>
          <w:szCs w:val="24"/>
        </w:rPr>
        <w:t xml:space="preserve"> ocupações de exigências complexas, enquanto predominou uma queda no retorno às ocupações não manuais e rotineiras cujas tarefas tem maior possibilidade de serem desempenhadas por um computador. </w:t>
      </w:r>
    </w:p>
    <w:p w14:paraId="60667688" w14:textId="708D73FE" w:rsidR="00315815" w:rsidRPr="00412A54" w:rsidRDefault="00AE1AF9" w:rsidP="004818F5">
      <w:pPr>
        <w:jc w:val="both"/>
        <w:rPr>
          <w:rFonts w:ascii="Times New Roman" w:hAnsi="Times New Roman" w:cs="Times New Roman"/>
          <w:sz w:val="24"/>
          <w:szCs w:val="24"/>
        </w:rPr>
      </w:pPr>
      <w:r w:rsidRPr="00412A54">
        <w:rPr>
          <w:rFonts w:ascii="Times New Roman" w:hAnsi="Times New Roman" w:cs="Times New Roman"/>
          <w:sz w:val="24"/>
          <w:szCs w:val="24"/>
        </w:rPr>
        <w:t xml:space="preserve">Quanto à evolução da alocação dos trabalhadores dentre essas categorias ocupacionais observamos um caráter relativamente estável ao longo do tempo. Conquanto tenha se verificado crescimento no </w:t>
      </w:r>
      <w:r w:rsidR="004818F5" w:rsidRPr="00412A54">
        <w:rPr>
          <w:rFonts w:ascii="Times New Roman" w:hAnsi="Times New Roman" w:cs="Times New Roman"/>
          <w:sz w:val="24"/>
          <w:szCs w:val="24"/>
        </w:rPr>
        <w:t>número</w:t>
      </w:r>
      <w:r w:rsidRPr="00412A54">
        <w:rPr>
          <w:rFonts w:ascii="Times New Roman" w:hAnsi="Times New Roman" w:cs="Times New Roman"/>
          <w:sz w:val="24"/>
          <w:szCs w:val="24"/>
        </w:rPr>
        <w:t xml:space="preserve"> de trabalhadores alocados em ocupações não manuais e não rotineiras, mais complexas,</w:t>
      </w:r>
      <w:r w:rsidR="00315815" w:rsidRPr="00412A54">
        <w:rPr>
          <w:rFonts w:ascii="Times New Roman" w:hAnsi="Times New Roman" w:cs="Times New Roman"/>
          <w:sz w:val="24"/>
          <w:szCs w:val="24"/>
        </w:rPr>
        <w:t xml:space="preserve"> entre 2006 e 2016, este crescimento foi sutil, muito inferior à ampliação no número de indivíduos com ensino superior no período. Estas estatísticas apontam uma dificuldade do mercado de trabalho em acomodar a mão de obra mais educada (relativamente às gerações anteriores) em ocupações que exigem habilidades cognitivas compatíveis com a formação universitária, como as não manuais não rotineiras. </w:t>
      </w:r>
    </w:p>
    <w:p w14:paraId="38E1E1E5" w14:textId="51DDA25A" w:rsidR="00EA14A8" w:rsidRPr="00412A54" w:rsidRDefault="00315815" w:rsidP="004818F5">
      <w:pPr>
        <w:jc w:val="both"/>
        <w:rPr>
          <w:rFonts w:ascii="Times New Roman" w:hAnsi="Times New Roman" w:cs="Times New Roman"/>
          <w:sz w:val="24"/>
          <w:szCs w:val="24"/>
        </w:rPr>
      </w:pPr>
      <w:r w:rsidRPr="00412A54">
        <w:rPr>
          <w:rFonts w:ascii="Times New Roman" w:hAnsi="Times New Roman" w:cs="Times New Roman"/>
          <w:sz w:val="24"/>
          <w:szCs w:val="24"/>
        </w:rPr>
        <w:lastRenderedPageBreak/>
        <w:t>Motivados por esta percepção de que o crescimento do número de trabalhadores em ocupações não manuais e não rotineiras foi relativamente baixo realizamos dois exercícios</w:t>
      </w:r>
      <w:r w:rsidR="00D1461E" w:rsidRPr="00412A54">
        <w:rPr>
          <w:rFonts w:ascii="Times New Roman" w:hAnsi="Times New Roman" w:cs="Times New Roman"/>
          <w:sz w:val="24"/>
          <w:szCs w:val="24"/>
        </w:rPr>
        <w:t xml:space="preserve"> que aprofundam estas conclusões</w:t>
      </w:r>
      <w:r w:rsidRPr="00412A54">
        <w:rPr>
          <w:rFonts w:ascii="Times New Roman" w:hAnsi="Times New Roman" w:cs="Times New Roman"/>
          <w:sz w:val="24"/>
          <w:szCs w:val="24"/>
        </w:rPr>
        <w:t xml:space="preserve">. </w:t>
      </w:r>
      <w:r w:rsidR="00EA14A8" w:rsidRPr="00412A54">
        <w:rPr>
          <w:rFonts w:ascii="Times New Roman" w:hAnsi="Times New Roman" w:cs="Times New Roman"/>
          <w:sz w:val="24"/>
          <w:szCs w:val="24"/>
        </w:rPr>
        <w:t>Primeiro, decompomos o diferencial de salários entre os anos iniciais e finais a fim de identificar o quanto a elevação dos salários na década se relacionou às mudanças nos prêmios salariais entre as ocupações e o quanto se deveu a alterações na proporção de indivíduos alocados dentre as ocupações. Deste exercício, verificamos que, de fato, as alterações da distribuição ocupacional dos indivíduos exerce</w:t>
      </w:r>
      <w:r w:rsidR="00D1461E" w:rsidRPr="00412A54">
        <w:rPr>
          <w:rFonts w:ascii="Times New Roman" w:hAnsi="Times New Roman" w:cs="Times New Roman"/>
          <w:sz w:val="24"/>
          <w:szCs w:val="24"/>
        </w:rPr>
        <w:t>ram</w:t>
      </w:r>
      <w:r w:rsidR="00EA14A8" w:rsidRPr="00412A54">
        <w:rPr>
          <w:rFonts w:ascii="Times New Roman" w:hAnsi="Times New Roman" w:cs="Times New Roman"/>
          <w:sz w:val="24"/>
          <w:szCs w:val="24"/>
        </w:rPr>
        <w:t xml:space="preserve"> pouco impacto na diferença de salários entre os anos. De posse desta comprovação, simulamos o quanto a evolução salarial entre 2006 e 2016 poderia </w:t>
      </w:r>
      <w:r w:rsidR="00D903C7" w:rsidRPr="00412A54">
        <w:rPr>
          <w:rFonts w:ascii="Times New Roman" w:hAnsi="Times New Roman" w:cs="Times New Roman"/>
          <w:sz w:val="24"/>
          <w:szCs w:val="24"/>
        </w:rPr>
        <w:t>ter sido</w:t>
      </w:r>
      <w:r w:rsidR="00EA14A8" w:rsidRPr="00412A54">
        <w:rPr>
          <w:rFonts w:ascii="Times New Roman" w:hAnsi="Times New Roman" w:cs="Times New Roman"/>
          <w:sz w:val="24"/>
          <w:szCs w:val="24"/>
        </w:rPr>
        <w:t xml:space="preserve"> maior se o Brasil </w:t>
      </w:r>
      <w:r w:rsidR="00D903C7" w:rsidRPr="00412A54">
        <w:rPr>
          <w:rFonts w:ascii="Times New Roman" w:hAnsi="Times New Roman" w:cs="Times New Roman"/>
          <w:sz w:val="24"/>
          <w:szCs w:val="24"/>
        </w:rPr>
        <w:t xml:space="preserve">tivesse se </w:t>
      </w:r>
      <w:r w:rsidR="00EA14A8" w:rsidRPr="00412A54">
        <w:rPr>
          <w:rFonts w:ascii="Times New Roman" w:hAnsi="Times New Roman" w:cs="Times New Roman"/>
          <w:sz w:val="24"/>
          <w:szCs w:val="24"/>
        </w:rPr>
        <w:t xml:space="preserve"> aproxima</w:t>
      </w:r>
      <w:r w:rsidR="00D903C7" w:rsidRPr="00412A54">
        <w:rPr>
          <w:rFonts w:ascii="Times New Roman" w:hAnsi="Times New Roman" w:cs="Times New Roman"/>
          <w:sz w:val="24"/>
          <w:szCs w:val="24"/>
        </w:rPr>
        <w:t>do</w:t>
      </w:r>
      <w:r w:rsidR="00EA14A8" w:rsidRPr="00412A54">
        <w:rPr>
          <w:rFonts w:ascii="Times New Roman" w:hAnsi="Times New Roman" w:cs="Times New Roman"/>
          <w:sz w:val="24"/>
          <w:szCs w:val="24"/>
        </w:rPr>
        <w:t xml:space="preserve"> da distribuição de trabalhadores americana. Usando dados da composição ocupacional americana advindas de </w:t>
      </w:r>
      <w:r w:rsidR="004818F5" w:rsidRPr="00412A54">
        <w:rPr>
          <w:rFonts w:ascii="Times New Roman" w:hAnsi="Times New Roman" w:cs="Times New Roman"/>
          <w:sz w:val="24"/>
          <w:szCs w:val="24"/>
        </w:rPr>
        <w:t>Fo</w:t>
      </w:r>
      <w:r w:rsidR="00412A54" w:rsidRPr="00412A54">
        <w:rPr>
          <w:rFonts w:ascii="Times New Roman" w:hAnsi="Times New Roman" w:cs="Times New Roman"/>
          <w:sz w:val="24"/>
          <w:szCs w:val="24"/>
        </w:rPr>
        <w:t>o</w:t>
      </w:r>
      <w:r w:rsidR="004818F5" w:rsidRPr="00412A54">
        <w:rPr>
          <w:rFonts w:ascii="Times New Roman" w:hAnsi="Times New Roman" w:cs="Times New Roman"/>
          <w:sz w:val="24"/>
          <w:szCs w:val="24"/>
        </w:rPr>
        <w:t>te</w:t>
      </w:r>
      <w:r w:rsidR="00EA14A8" w:rsidRPr="00412A54">
        <w:rPr>
          <w:rFonts w:ascii="Times New Roman" w:hAnsi="Times New Roman" w:cs="Times New Roman"/>
          <w:sz w:val="24"/>
          <w:szCs w:val="24"/>
        </w:rPr>
        <w:t xml:space="preserve"> e Ryan (2015), observamos que poderia ter havido um crescimento </w:t>
      </w:r>
      <w:r w:rsidR="00D1461E" w:rsidRPr="00412A54">
        <w:rPr>
          <w:rFonts w:ascii="Times New Roman" w:hAnsi="Times New Roman" w:cs="Times New Roman"/>
          <w:sz w:val="24"/>
          <w:szCs w:val="24"/>
        </w:rPr>
        <w:t>12</w:t>
      </w:r>
      <w:r w:rsidR="00EA14A8" w:rsidRPr="00412A54">
        <w:rPr>
          <w:rFonts w:ascii="Times New Roman" w:hAnsi="Times New Roman" w:cs="Times New Roman"/>
          <w:sz w:val="24"/>
          <w:szCs w:val="24"/>
        </w:rPr>
        <w:t xml:space="preserve">% maior nos salários brasileiros se nossa estrutura ocupacional fosse mais similar </w:t>
      </w:r>
      <w:r w:rsidR="004818F5" w:rsidRPr="00412A54">
        <w:rPr>
          <w:rFonts w:ascii="Times New Roman" w:hAnsi="Times New Roman" w:cs="Times New Roman"/>
          <w:sz w:val="24"/>
          <w:szCs w:val="24"/>
        </w:rPr>
        <w:t>à</w:t>
      </w:r>
      <w:r w:rsidR="00EA14A8" w:rsidRPr="00412A54">
        <w:rPr>
          <w:rFonts w:ascii="Times New Roman" w:hAnsi="Times New Roman" w:cs="Times New Roman"/>
          <w:sz w:val="24"/>
          <w:szCs w:val="24"/>
        </w:rPr>
        <w:t xml:space="preserve"> de um país desenvolvido, com maior fatia de trabalhadores em postos qualificados. </w:t>
      </w:r>
    </w:p>
    <w:p w14:paraId="77C5C5F1" w14:textId="0B02407F" w:rsidR="00315815" w:rsidRPr="00412A54" w:rsidRDefault="00EA14A8" w:rsidP="004818F5">
      <w:pPr>
        <w:jc w:val="both"/>
        <w:rPr>
          <w:rFonts w:ascii="Times New Roman" w:hAnsi="Times New Roman" w:cs="Times New Roman"/>
          <w:sz w:val="24"/>
          <w:szCs w:val="24"/>
        </w:rPr>
      </w:pPr>
      <w:r w:rsidRPr="00412A54">
        <w:rPr>
          <w:rFonts w:ascii="Times New Roman" w:hAnsi="Times New Roman" w:cs="Times New Roman"/>
          <w:sz w:val="24"/>
          <w:szCs w:val="24"/>
        </w:rPr>
        <w:t xml:space="preserve">O presente trabalho está dividido em seis seções. Além desta introdução realizamos uma revisão da literatura com enfoque nos trabalhos de SBTC na segunda seção, seguido da descrição da fonte de dados e estratégia empírica na terceira seção. À quarta seção de análise de dados e resultados, segue uma </w:t>
      </w:r>
      <w:r w:rsidR="00D903C7" w:rsidRPr="00412A54">
        <w:rPr>
          <w:rFonts w:ascii="Times New Roman" w:hAnsi="Times New Roman" w:cs="Times New Roman"/>
          <w:sz w:val="24"/>
          <w:szCs w:val="24"/>
        </w:rPr>
        <w:t xml:space="preserve">discussão dos resultados em que são desenvolvidos os exercícios supracitados e por fim, na </w:t>
      </w:r>
      <w:r w:rsidR="004818F5" w:rsidRPr="00412A54">
        <w:rPr>
          <w:rFonts w:ascii="Times New Roman" w:hAnsi="Times New Roman" w:cs="Times New Roman"/>
          <w:sz w:val="24"/>
          <w:szCs w:val="24"/>
        </w:rPr>
        <w:t>última</w:t>
      </w:r>
      <w:r w:rsidR="00D903C7" w:rsidRPr="00412A54">
        <w:rPr>
          <w:rFonts w:ascii="Times New Roman" w:hAnsi="Times New Roman" w:cs="Times New Roman"/>
          <w:sz w:val="24"/>
          <w:szCs w:val="24"/>
        </w:rPr>
        <w:t xml:space="preserve"> seção, as considerações finais são expostas.  </w:t>
      </w:r>
    </w:p>
    <w:p w14:paraId="571880F8" w14:textId="1F3C0163" w:rsidR="00AF1AD5" w:rsidRPr="00412A54" w:rsidRDefault="00CE7915" w:rsidP="00447044">
      <w:pPr>
        <w:ind w:firstLine="360"/>
        <w:jc w:val="both"/>
        <w:rPr>
          <w:rFonts w:ascii="Times New Roman" w:hAnsi="Times New Roman" w:cs="Times New Roman"/>
          <w:sz w:val="24"/>
          <w:szCs w:val="24"/>
        </w:rPr>
      </w:pPr>
      <w:r w:rsidRPr="00412A54">
        <w:rPr>
          <w:rFonts w:ascii="Times New Roman" w:hAnsi="Times New Roman" w:cs="Times New Roman"/>
          <w:sz w:val="24"/>
          <w:szCs w:val="24"/>
        </w:rPr>
        <w:t xml:space="preserve"> </w:t>
      </w:r>
      <w:r w:rsidR="00B36223" w:rsidRPr="00412A54">
        <w:rPr>
          <w:rFonts w:ascii="Times New Roman" w:hAnsi="Times New Roman" w:cs="Times New Roman"/>
          <w:b/>
          <w:sz w:val="24"/>
          <w:szCs w:val="24"/>
        </w:rPr>
        <w:t xml:space="preserve">2. </w:t>
      </w:r>
      <w:r w:rsidR="00A6158D" w:rsidRPr="00412A54">
        <w:rPr>
          <w:rFonts w:ascii="Times New Roman" w:hAnsi="Times New Roman" w:cs="Times New Roman"/>
          <w:b/>
          <w:sz w:val="24"/>
          <w:szCs w:val="24"/>
        </w:rPr>
        <w:t>Referencial Teórico</w:t>
      </w:r>
      <w:r w:rsidR="00AF1AD5" w:rsidRPr="00412A54">
        <w:rPr>
          <w:rFonts w:ascii="Times New Roman" w:hAnsi="Times New Roman" w:cs="Times New Roman"/>
          <w:sz w:val="24"/>
          <w:szCs w:val="24"/>
        </w:rPr>
        <w:t xml:space="preserve"> </w:t>
      </w:r>
    </w:p>
    <w:p w14:paraId="502D00DD" w14:textId="2CF73A27" w:rsidR="00C42005" w:rsidRPr="00412A54" w:rsidRDefault="00903E8E" w:rsidP="00D77AC5">
      <w:pPr>
        <w:spacing w:line="240" w:lineRule="auto"/>
        <w:jc w:val="both"/>
        <w:outlineLvl w:val="0"/>
        <w:rPr>
          <w:rFonts w:ascii="Times New Roman" w:hAnsi="Times New Roman" w:cs="Times New Roman"/>
          <w:sz w:val="24"/>
          <w:szCs w:val="24"/>
        </w:rPr>
      </w:pPr>
      <w:r w:rsidRPr="00412A54">
        <w:rPr>
          <w:rFonts w:ascii="Times New Roman" w:hAnsi="Times New Roman" w:cs="Times New Roman"/>
          <w:sz w:val="24"/>
          <w:szCs w:val="24"/>
        </w:rPr>
        <w:t xml:space="preserve">A investigação da relação entre o prêmio salarial </w:t>
      </w:r>
      <w:r w:rsidR="00744198" w:rsidRPr="00412A54">
        <w:rPr>
          <w:rFonts w:ascii="Times New Roman" w:hAnsi="Times New Roman" w:cs="Times New Roman"/>
          <w:sz w:val="24"/>
          <w:szCs w:val="24"/>
        </w:rPr>
        <w:t xml:space="preserve">à trabalhadores qualificados </w:t>
      </w:r>
      <w:r w:rsidRPr="00412A54">
        <w:rPr>
          <w:rFonts w:ascii="Times New Roman" w:hAnsi="Times New Roman" w:cs="Times New Roman"/>
          <w:sz w:val="24"/>
          <w:szCs w:val="24"/>
        </w:rPr>
        <w:t xml:space="preserve">e o retorno </w:t>
      </w:r>
      <w:r w:rsidR="00356038" w:rsidRPr="00412A54">
        <w:rPr>
          <w:rFonts w:ascii="Times New Roman" w:hAnsi="Times New Roman" w:cs="Times New Roman"/>
          <w:sz w:val="24"/>
          <w:szCs w:val="24"/>
        </w:rPr>
        <w:t>à</w:t>
      </w:r>
      <w:r w:rsidRPr="00412A54">
        <w:rPr>
          <w:rFonts w:ascii="Times New Roman" w:hAnsi="Times New Roman" w:cs="Times New Roman"/>
          <w:sz w:val="24"/>
          <w:szCs w:val="24"/>
        </w:rPr>
        <w:t>s  habilidades relacionados à mudança tecnológica foi impulsionada pelo trabalho de autores americanos preocupados com o crescimento da desigualdade salarial a partir do fin</w:t>
      </w:r>
      <w:r w:rsidR="00C42005" w:rsidRPr="00412A54">
        <w:rPr>
          <w:rFonts w:ascii="Times New Roman" w:hAnsi="Times New Roman" w:cs="Times New Roman"/>
          <w:sz w:val="24"/>
          <w:szCs w:val="24"/>
        </w:rPr>
        <w:t>al</w:t>
      </w:r>
      <w:r w:rsidRPr="00412A54">
        <w:rPr>
          <w:rFonts w:ascii="Times New Roman" w:hAnsi="Times New Roman" w:cs="Times New Roman"/>
          <w:sz w:val="24"/>
          <w:szCs w:val="24"/>
        </w:rPr>
        <w:t xml:space="preserve"> dos anos 1970. </w:t>
      </w:r>
      <w:r w:rsidR="00C42005" w:rsidRPr="00412A54">
        <w:rPr>
          <w:rFonts w:ascii="Times New Roman" w:hAnsi="Times New Roman" w:cs="Times New Roman"/>
          <w:sz w:val="24"/>
          <w:szCs w:val="24"/>
        </w:rPr>
        <w:t xml:space="preserve">Diversos </w:t>
      </w:r>
      <w:r w:rsidR="00356038" w:rsidRPr="00412A54">
        <w:rPr>
          <w:rFonts w:ascii="Times New Roman" w:hAnsi="Times New Roman" w:cs="Times New Roman"/>
          <w:sz w:val="24"/>
          <w:szCs w:val="24"/>
        </w:rPr>
        <w:t>trabalhos</w:t>
      </w:r>
      <w:r w:rsidR="00C42005" w:rsidRPr="00412A54">
        <w:rPr>
          <w:rFonts w:ascii="Times New Roman" w:hAnsi="Times New Roman" w:cs="Times New Roman"/>
          <w:sz w:val="24"/>
          <w:szCs w:val="24"/>
        </w:rPr>
        <w:t xml:space="preserve"> apresentam evidências de que o crescimento do diferencial de rendimentos resultou de uma aceleração na demanda por trabalhadores mais habilidosos frente à oferta de indivíduos com tais características (KATZ E MURPHY, 1992; AUTOR ET AL., 1998).  </w:t>
      </w:r>
    </w:p>
    <w:p w14:paraId="4F3BC422" w14:textId="3DFE4E08" w:rsidR="00803651" w:rsidRPr="00412A54" w:rsidRDefault="00C42005" w:rsidP="00D77AC5">
      <w:pPr>
        <w:spacing w:line="240" w:lineRule="auto"/>
        <w:jc w:val="both"/>
        <w:outlineLvl w:val="0"/>
        <w:rPr>
          <w:rFonts w:ascii="Times New Roman" w:hAnsi="Times New Roman" w:cs="Times New Roman"/>
          <w:sz w:val="24"/>
          <w:szCs w:val="24"/>
        </w:rPr>
      </w:pPr>
      <w:r w:rsidRPr="00412A54">
        <w:rPr>
          <w:rFonts w:ascii="Times New Roman" w:hAnsi="Times New Roman" w:cs="Times New Roman"/>
          <w:sz w:val="24"/>
          <w:szCs w:val="24"/>
        </w:rPr>
        <w:t xml:space="preserve">Por sua vez, algumas teses foram elaboradas para explicar o rápido crescimento </w:t>
      </w:r>
      <w:r w:rsidR="008B18CC" w:rsidRPr="00412A54">
        <w:rPr>
          <w:rFonts w:ascii="Times New Roman" w:hAnsi="Times New Roman" w:cs="Times New Roman"/>
          <w:sz w:val="24"/>
          <w:szCs w:val="24"/>
        </w:rPr>
        <w:t>desta</w:t>
      </w:r>
      <w:r w:rsidRPr="00412A54">
        <w:rPr>
          <w:rFonts w:ascii="Times New Roman" w:hAnsi="Times New Roman" w:cs="Times New Roman"/>
          <w:sz w:val="24"/>
          <w:szCs w:val="24"/>
        </w:rPr>
        <w:t xml:space="preserve"> demanda por trabalhadores mais habilidosos. Dentre essas, seguindo Autor et al. (</w:t>
      </w:r>
      <w:r w:rsidR="00803651" w:rsidRPr="00412A54">
        <w:rPr>
          <w:rFonts w:ascii="Times New Roman" w:hAnsi="Times New Roman" w:cs="Times New Roman"/>
          <w:sz w:val="24"/>
          <w:szCs w:val="24"/>
        </w:rPr>
        <w:t xml:space="preserve">p3, </w:t>
      </w:r>
      <w:r w:rsidRPr="00412A54">
        <w:rPr>
          <w:rFonts w:ascii="Times New Roman" w:hAnsi="Times New Roman" w:cs="Times New Roman"/>
          <w:sz w:val="24"/>
          <w:szCs w:val="24"/>
        </w:rPr>
        <w:t xml:space="preserve">1998), destacam-se as hipóteses de que </w:t>
      </w:r>
      <w:r w:rsidR="008B18CC" w:rsidRPr="00412A54">
        <w:rPr>
          <w:rFonts w:ascii="Times New Roman" w:hAnsi="Times New Roman" w:cs="Times New Roman"/>
          <w:sz w:val="24"/>
          <w:szCs w:val="24"/>
        </w:rPr>
        <w:t>ocorreu no período</w:t>
      </w:r>
      <w:r w:rsidRPr="00412A54">
        <w:rPr>
          <w:rFonts w:ascii="Times New Roman" w:hAnsi="Times New Roman" w:cs="Times New Roman"/>
          <w:sz w:val="24"/>
          <w:szCs w:val="24"/>
        </w:rPr>
        <w:t xml:space="preserve"> (1) uma ampliação na demanda por habilidade causada pela mudança tecnológica, comumente denominada </w:t>
      </w:r>
      <w:r w:rsidRPr="00412A54">
        <w:rPr>
          <w:rFonts w:ascii="Times New Roman" w:hAnsi="Times New Roman" w:cs="Times New Roman"/>
          <w:i/>
          <w:sz w:val="24"/>
          <w:szCs w:val="24"/>
        </w:rPr>
        <w:t xml:space="preserve">“Skill Biased Technological Change” </w:t>
      </w:r>
      <w:r w:rsidRPr="00412A54">
        <w:rPr>
          <w:rFonts w:ascii="Times New Roman" w:hAnsi="Times New Roman" w:cs="Times New Roman"/>
          <w:sz w:val="24"/>
          <w:szCs w:val="24"/>
        </w:rPr>
        <w:t>(Bound and Johnson, 1992)</w:t>
      </w:r>
      <w:r w:rsidR="009E41BC" w:rsidRPr="00412A54">
        <w:rPr>
          <w:rFonts w:ascii="Times New Roman" w:hAnsi="Times New Roman" w:cs="Times New Roman"/>
          <w:sz w:val="24"/>
          <w:szCs w:val="24"/>
        </w:rPr>
        <w:t>,</w:t>
      </w:r>
      <w:r w:rsidRPr="00412A54">
        <w:rPr>
          <w:rFonts w:ascii="Times New Roman" w:hAnsi="Times New Roman" w:cs="Times New Roman"/>
          <w:sz w:val="24"/>
          <w:szCs w:val="24"/>
        </w:rPr>
        <w:t xml:space="preserve"> (2) </w:t>
      </w:r>
      <w:r w:rsidR="00803651" w:rsidRPr="00412A54">
        <w:rPr>
          <w:rFonts w:ascii="Times New Roman" w:hAnsi="Times New Roman" w:cs="Times New Roman"/>
          <w:sz w:val="24"/>
          <w:szCs w:val="24"/>
        </w:rPr>
        <w:t>crescimento da demanda por trabalhadores qualificados associado à pressões advindas da ampliação da globalização (Borjas e Ramey, 1995; Wood, 1994)</w:t>
      </w:r>
      <w:r w:rsidR="00DB1B80" w:rsidRPr="00412A54">
        <w:rPr>
          <w:rFonts w:ascii="Times New Roman" w:hAnsi="Times New Roman" w:cs="Times New Roman"/>
          <w:sz w:val="24"/>
          <w:szCs w:val="24"/>
        </w:rPr>
        <w:t xml:space="preserve"> e</w:t>
      </w:r>
      <w:r w:rsidR="00803651" w:rsidRPr="00412A54">
        <w:rPr>
          <w:rFonts w:ascii="Times New Roman" w:hAnsi="Times New Roman" w:cs="Times New Roman"/>
          <w:sz w:val="24"/>
          <w:szCs w:val="24"/>
        </w:rPr>
        <w:t xml:space="preserve"> (3) perda de força da atividade sindical associada à flexibilização de normas que historicamente favoreciam a compressão da estrutura salarial</w:t>
      </w:r>
      <w:r w:rsidR="00D903C7" w:rsidRPr="00412A54">
        <w:rPr>
          <w:rFonts w:ascii="Times New Roman" w:hAnsi="Times New Roman" w:cs="Times New Roman"/>
          <w:sz w:val="24"/>
          <w:szCs w:val="24"/>
        </w:rPr>
        <w:t xml:space="preserve"> como </w:t>
      </w:r>
      <w:r w:rsidR="00803651" w:rsidRPr="00412A54">
        <w:rPr>
          <w:rFonts w:ascii="Times New Roman" w:hAnsi="Times New Roman" w:cs="Times New Roman"/>
          <w:sz w:val="24"/>
          <w:szCs w:val="24"/>
        </w:rPr>
        <w:t xml:space="preserve"> a valorização do salário mínimo (Di Nardo, Fortin e Lemieux, 1996; Freeman, 1996). </w:t>
      </w:r>
    </w:p>
    <w:p w14:paraId="1AAFDAD1" w14:textId="0F81D570" w:rsidR="00C42005" w:rsidRPr="00412A54" w:rsidRDefault="00803651" w:rsidP="00D77AC5">
      <w:pPr>
        <w:spacing w:line="240" w:lineRule="auto"/>
        <w:jc w:val="both"/>
        <w:outlineLvl w:val="0"/>
        <w:rPr>
          <w:rFonts w:ascii="Times New Roman" w:hAnsi="Times New Roman" w:cs="Times New Roman"/>
          <w:sz w:val="24"/>
          <w:szCs w:val="24"/>
        </w:rPr>
      </w:pPr>
      <w:r w:rsidRPr="00412A54">
        <w:rPr>
          <w:rFonts w:ascii="Times New Roman" w:hAnsi="Times New Roman" w:cs="Times New Roman"/>
          <w:sz w:val="24"/>
          <w:szCs w:val="24"/>
        </w:rPr>
        <w:t xml:space="preserve"> De particular importância para este trabalho é a tese de que houve um </w:t>
      </w:r>
      <w:r w:rsidRPr="00412A54">
        <w:rPr>
          <w:rFonts w:ascii="Times New Roman" w:hAnsi="Times New Roman" w:cs="Times New Roman"/>
          <w:i/>
          <w:sz w:val="24"/>
          <w:szCs w:val="24"/>
        </w:rPr>
        <w:t xml:space="preserve">Skill Biased Technological Change </w:t>
      </w:r>
      <w:r w:rsidRPr="00412A54">
        <w:rPr>
          <w:rFonts w:ascii="Times New Roman" w:hAnsi="Times New Roman" w:cs="Times New Roman"/>
          <w:sz w:val="24"/>
          <w:szCs w:val="24"/>
        </w:rPr>
        <w:t>(SBTC)</w:t>
      </w:r>
      <w:r w:rsidRPr="00412A54">
        <w:rPr>
          <w:i/>
        </w:rPr>
        <w:t>,</w:t>
      </w:r>
      <w:r w:rsidRPr="00412A54">
        <w:rPr>
          <w:rFonts w:ascii="Times New Roman" w:hAnsi="Times New Roman" w:cs="Times New Roman"/>
          <w:i/>
          <w:sz w:val="24"/>
          <w:szCs w:val="24"/>
        </w:rPr>
        <w:t xml:space="preserve"> </w:t>
      </w:r>
      <w:r w:rsidRPr="00412A54">
        <w:rPr>
          <w:rFonts w:ascii="Times New Roman" w:hAnsi="Times New Roman" w:cs="Times New Roman"/>
          <w:sz w:val="24"/>
          <w:szCs w:val="24"/>
        </w:rPr>
        <w:t xml:space="preserve">tendo em vista </w:t>
      </w:r>
      <w:r w:rsidR="002B6B08" w:rsidRPr="00412A54">
        <w:rPr>
          <w:rFonts w:ascii="Times New Roman" w:hAnsi="Times New Roman" w:cs="Times New Roman"/>
          <w:sz w:val="24"/>
          <w:szCs w:val="24"/>
        </w:rPr>
        <w:t>ser este</w:t>
      </w:r>
      <w:r w:rsidRPr="00412A54">
        <w:rPr>
          <w:rFonts w:ascii="Times New Roman" w:hAnsi="Times New Roman" w:cs="Times New Roman"/>
          <w:sz w:val="24"/>
          <w:szCs w:val="24"/>
        </w:rPr>
        <w:t xml:space="preserve"> o arcabouço teórico que embasa </w:t>
      </w:r>
      <w:r w:rsidR="002B6B08" w:rsidRPr="00412A54">
        <w:rPr>
          <w:rFonts w:ascii="Times New Roman" w:hAnsi="Times New Roman" w:cs="Times New Roman"/>
          <w:sz w:val="24"/>
          <w:szCs w:val="24"/>
        </w:rPr>
        <w:t xml:space="preserve">a construção </w:t>
      </w:r>
      <w:r w:rsidRPr="00412A54">
        <w:rPr>
          <w:rFonts w:ascii="Times New Roman" w:hAnsi="Times New Roman" w:cs="Times New Roman"/>
          <w:sz w:val="24"/>
          <w:szCs w:val="24"/>
        </w:rPr>
        <w:t xml:space="preserve">da tipologia ocupacional que utilizaremos para investigar os retornos às habilidades ocupacionais. </w:t>
      </w:r>
    </w:p>
    <w:p w14:paraId="4AAD88A9" w14:textId="1CE18099" w:rsidR="00803651" w:rsidRPr="00412A54" w:rsidRDefault="00803651" w:rsidP="00D77AC5">
      <w:pPr>
        <w:spacing w:line="240" w:lineRule="auto"/>
        <w:jc w:val="both"/>
        <w:outlineLvl w:val="0"/>
        <w:rPr>
          <w:rFonts w:ascii="Times New Roman" w:hAnsi="Times New Roman" w:cs="Times New Roman"/>
          <w:sz w:val="24"/>
          <w:szCs w:val="24"/>
        </w:rPr>
      </w:pPr>
      <w:r w:rsidRPr="00412A54">
        <w:rPr>
          <w:rFonts w:ascii="Times New Roman" w:hAnsi="Times New Roman" w:cs="Times New Roman"/>
          <w:sz w:val="24"/>
          <w:szCs w:val="24"/>
        </w:rPr>
        <w:t>Compreende-se como SBTC o crescimento da demanda por qualificação causado pela expansão no uso de novas tecnologias</w:t>
      </w:r>
      <w:r w:rsidR="000C0E9A" w:rsidRPr="00412A54">
        <w:rPr>
          <w:rFonts w:ascii="Times New Roman" w:hAnsi="Times New Roman" w:cs="Times New Roman"/>
          <w:sz w:val="24"/>
          <w:szCs w:val="24"/>
        </w:rPr>
        <w:t xml:space="preserve">, mormente computadores, nas rotinas de trabalho numa relação de complementariedade com o trabalhador mais habilidoso (KRUEGER, 1993; GOLDIN E KATZ, </w:t>
      </w:r>
      <w:r w:rsidR="00412A54" w:rsidRPr="00412A54">
        <w:rPr>
          <w:rFonts w:ascii="Times New Roman" w:hAnsi="Times New Roman" w:cs="Times New Roman"/>
          <w:sz w:val="24"/>
          <w:szCs w:val="24"/>
        </w:rPr>
        <w:t>2009</w:t>
      </w:r>
      <w:r w:rsidR="000C0E9A" w:rsidRPr="00412A54">
        <w:rPr>
          <w:rFonts w:ascii="Times New Roman" w:hAnsi="Times New Roman" w:cs="Times New Roman"/>
          <w:sz w:val="24"/>
          <w:szCs w:val="24"/>
        </w:rPr>
        <w:t>, AUTOR ET AL.1998</w:t>
      </w:r>
      <w:r w:rsidR="000E19DF" w:rsidRPr="00412A54">
        <w:rPr>
          <w:rFonts w:ascii="Times New Roman" w:hAnsi="Times New Roman" w:cs="Times New Roman"/>
          <w:sz w:val="24"/>
          <w:szCs w:val="24"/>
        </w:rPr>
        <w:t>; BOUND AND JOHNSON,1995; BERMAN, BOUND e GRILICHES, 1994, CASELLI, 1999, BRESNAHAN, BRYNJOLFSSON e HITT (2002)</w:t>
      </w:r>
      <w:r w:rsidR="000C0E9A" w:rsidRPr="00412A54">
        <w:rPr>
          <w:rFonts w:ascii="Times New Roman" w:hAnsi="Times New Roman" w:cs="Times New Roman"/>
          <w:sz w:val="24"/>
          <w:szCs w:val="24"/>
        </w:rPr>
        <w:t xml:space="preserve">). Seguindo esta literatura, argumenta-se que o uso de computadores ampliou a produtividade dos trabalhadores mais qualificados (identificados ao diploma de ensino superior), uma vez que as máquinas passaram </w:t>
      </w:r>
      <w:r w:rsidR="008B18CC" w:rsidRPr="00412A54">
        <w:rPr>
          <w:rFonts w:ascii="Times New Roman" w:hAnsi="Times New Roman" w:cs="Times New Roman"/>
          <w:sz w:val="24"/>
          <w:szCs w:val="24"/>
        </w:rPr>
        <w:t>a realizar</w:t>
      </w:r>
      <w:r w:rsidR="000C0E9A" w:rsidRPr="00412A54">
        <w:rPr>
          <w:rFonts w:ascii="Times New Roman" w:hAnsi="Times New Roman" w:cs="Times New Roman"/>
          <w:sz w:val="24"/>
          <w:szCs w:val="24"/>
        </w:rPr>
        <w:t xml:space="preserve"> </w:t>
      </w:r>
      <w:r w:rsidR="008B18CC" w:rsidRPr="00412A54">
        <w:rPr>
          <w:rFonts w:ascii="Times New Roman" w:hAnsi="Times New Roman" w:cs="Times New Roman"/>
          <w:sz w:val="24"/>
          <w:szCs w:val="24"/>
        </w:rPr>
        <w:t>tarefas</w:t>
      </w:r>
      <w:r w:rsidR="000C0E9A" w:rsidRPr="00412A54">
        <w:rPr>
          <w:rFonts w:ascii="Times New Roman" w:hAnsi="Times New Roman" w:cs="Times New Roman"/>
          <w:sz w:val="24"/>
          <w:szCs w:val="24"/>
        </w:rPr>
        <w:t xml:space="preserve"> menos produtiv</w:t>
      </w:r>
      <w:r w:rsidR="008B18CC" w:rsidRPr="00412A54">
        <w:rPr>
          <w:rFonts w:ascii="Times New Roman" w:hAnsi="Times New Roman" w:cs="Times New Roman"/>
          <w:sz w:val="24"/>
          <w:szCs w:val="24"/>
        </w:rPr>
        <w:t>a</w:t>
      </w:r>
      <w:r w:rsidR="000C0E9A" w:rsidRPr="00412A54">
        <w:rPr>
          <w:rFonts w:ascii="Times New Roman" w:hAnsi="Times New Roman" w:cs="Times New Roman"/>
          <w:sz w:val="24"/>
          <w:szCs w:val="24"/>
        </w:rPr>
        <w:t xml:space="preserve">s, liberando os trabalhadores para alocarem seu tempo em processos mais complexos </w:t>
      </w:r>
      <w:r w:rsidR="008B18CC" w:rsidRPr="00412A54">
        <w:rPr>
          <w:rFonts w:ascii="Times New Roman" w:hAnsi="Times New Roman" w:cs="Times New Roman"/>
          <w:sz w:val="24"/>
          <w:szCs w:val="24"/>
        </w:rPr>
        <w:t>refletindo num</w:t>
      </w:r>
      <w:r w:rsidR="000C0E9A" w:rsidRPr="00412A54">
        <w:rPr>
          <w:rFonts w:ascii="Times New Roman" w:hAnsi="Times New Roman" w:cs="Times New Roman"/>
          <w:sz w:val="24"/>
          <w:szCs w:val="24"/>
        </w:rPr>
        <w:t xml:space="preserve"> ganho</w:t>
      </w:r>
      <w:r w:rsidR="008B18CC" w:rsidRPr="00412A54">
        <w:rPr>
          <w:rFonts w:ascii="Times New Roman" w:hAnsi="Times New Roman" w:cs="Times New Roman"/>
          <w:sz w:val="24"/>
          <w:szCs w:val="24"/>
        </w:rPr>
        <w:t xml:space="preserve"> de</w:t>
      </w:r>
      <w:r w:rsidR="000C0E9A" w:rsidRPr="00412A54">
        <w:rPr>
          <w:rFonts w:ascii="Times New Roman" w:hAnsi="Times New Roman" w:cs="Times New Roman"/>
          <w:sz w:val="24"/>
          <w:szCs w:val="24"/>
        </w:rPr>
        <w:t xml:space="preserve"> produtividade. </w:t>
      </w:r>
    </w:p>
    <w:p w14:paraId="6600850B" w14:textId="7DDB839B" w:rsidR="00602DB0" w:rsidRPr="00412A54" w:rsidRDefault="000C0E9A" w:rsidP="00D77AC5">
      <w:pPr>
        <w:spacing w:line="240" w:lineRule="auto"/>
        <w:jc w:val="both"/>
        <w:outlineLvl w:val="0"/>
        <w:rPr>
          <w:rFonts w:ascii="Times New Roman" w:hAnsi="Times New Roman" w:cs="Times New Roman"/>
          <w:sz w:val="24"/>
          <w:szCs w:val="24"/>
        </w:rPr>
      </w:pPr>
      <w:r w:rsidRPr="00412A54">
        <w:rPr>
          <w:rFonts w:ascii="Times New Roman" w:hAnsi="Times New Roman" w:cs="Times New Roman"/>
          <w:sz w:val="24"/>
          <w:szCs w:val="24"/>
        </w:rPr>
        <w:t>Um salto em termos teórico</w:t>
      </w:r>
      <w:r w:rsidR="009E41BC" w:rsidRPr="00412A54">
        <w:rPr>
          <w:rFonts w:ascii="Times New Roman" w:hAnsi="Times New Roman" w:cs="Times New Roman"/>
          <w:sz w:val="24"/>
          <w:szCs w:val="24"/>
        </w:rPr>
        <w:t>s</w:t>
      </w:r>
      <w:r w:rsidRPr="00412A54">
        <w:rPr>
          <w:rFonts w:ascii="Times New Roman" w:hAnsi="Times New Roman" w:cs="Times New Roman"/>
          <w:sz w:val="24"/>
          <w:szCs w:val="24"/>
        </w:rPr>
        <w:t xml:space="preserve"> é encontrado no pioneiro trabalho de Autor, Levy e Murnane (2003). Os autores oferecem uma explicação formal para a</w:t>
      </w:r>
      <w:r w:rsidR="00602DB0" w:rsidRPr="00412A54">
        <w:rPr>
          <w:rFonts w:ascii="Times New Roman" w:hAnsi="Times New Roman" w:cs="Times New Roman"/>
          <w:sz w:val="24"/>
          <w:szCs w:val="24"/>
        </w:rPr>
        <w:t>s mudanças advindas da introdução de computadores nas rotinas de trabalho</w:t>
      </w:r>
      <w:r w:rsidRPr="00412A54">
        <w:rPr>
          <w:rFonts w:ascii="Times New Roman" w:hAnsi="Times New Roman" w:cs="Times New Roman"/>
          <w:sz w:val="24"/>
          <w:szCs w:val="24"/>
        </w:rPr>
        <w:t xml:space="preserve">, uma vez que situam </w:t>
      </w:r>
      <w:r w:rsidRPr="00412A54">
        <w:rPr>
          <w:rFonts w:ascii="Times New Roman" w:hAnsi="Times New Roman" w:cs="Times New Roman"/>
          <w:i/>
          <w:sz w:val="24"/>
          <w:szCs w:val="24"/>
        </w:rPr>
        <w:t>o</w:t>
      </w:r>
      <w:r w:rsidRPr="00412A54">
        <w:rPr>
          <w:rFonts w:ascii="Times New Roman" w:hAnsi="Times New Roman" w:cs="Times New Roman"/>
          <w:sz w:val="24"/>
          <w:szCs w:val="24"/>
        </w:rPr>
        <w:t xml:space="preserve"> </w:t>
      </w:r>
      <w:r w:rsidRPr="00412A54">
        <w:rPr>
          <w:rFonts w:ascii="Times New Roman" w:hAnsi="Times New Roman" w:cs="Times New Roman"/>
          <w:i/>
          <w:sz w:val="24"/>
          <w:szCs w:val="24"/>
        </w:rPr>
        <w:t>l</w:t>
      </w:r>
      <w:r w:rsidR="00447044" w:rsidRPr="00412A54">
        <w:rPr>
          <w:rFonts w:ascii="Times New Roman" w:hAnsi="Times New Roman" w:cs="Times New Roman"/>
          <w:i/>
          <w:sz w:val="24"/>
          <w:szCs w:val="24"/>
        </w:rPr>
        <w:t>o</w:t>
      </w:r>
      <w:r w:rsidRPr="00412A54">
        <w:rPr>
          <w:rFonts w:ascii="Times New Roman" w:hAnsi="Times New Roman" w:cs="Times New Roman"/>
          <w:i/>
          <w:sz w:val="24"/>
          <w:szCs w:val="24"/>
        </w:rPr>
        <w:t>cus</w:t>
      </w:r>
      <w:r w:rsidRPr="00412A54">
        <w:rPr>
          <w:rFonts w:ascii="Times New Roman" w:hAnsi="Times New Roman" w:cs="Times New Roman"/>
          <w:sz w:val="24"/>
          <w:szCs w:val="24"/>
        </w:rPr>
        <w:t xml:space="preserve"> desta </w:t>
      </w:r>
      <w:r w:rsidR="00602DB0" w:rsidRPr="00412A54">
        <w:rPr>
          <w:rFonts w:ascii="Times New Roman" w:hAnsi="Times New Roman" w:cs="Times New Roman"/>
          <w:sz w:val="24"/>
          <w:szCs w:val="24"/>
        </w:rPr>
        <w:t xml:space="preserve">modificação </w:t>
      </w:r>
      <w:r w:rsidRPr="00412A54">
        <w:rPr>
          <w:rFonts w:ascii="Times New Roman" w:hAnsi="Times New Roman" w:cs="Times New Roman"/>
          <w:sz w:val="24"/>
          <w:szCs w:val="24"/>
        </w:rPr>
        <w:t xml:space="preserve">nas tarefas </w:t>
      </w:r>
      <w:r w:rsidR="00602DB0" w:rsidRPr="00412A54">
        <w:rPr>
          <w:rFonts w:ascii="Times New Roman" w:hAnsi="Times New Roman" w:cs="Times New Roman"/>
          <w:sz w:val="24"/>
          <w:szCs w:val="24"/>
        </w:rPr>
        <w:t xml:space="preserve">que compõem </w:t>
      </w:r>
      <w:r w:rsidRPr="00412A54">
        <w:rPr>
          <w:rFonts w:ascii="Times New Roman" w:hAnsi="Times New Roman" w:cs="Times New Roman"/>
          <w:sz w:val="24"/>
          <w:szCs w:val="24"/>
        </w:rPr>
        <w:t>uma ocupaçã</w:t>
      </w:r>
      <w:r w:rsidR="00602DB0" w:rsidRPr="00412A54">
        <w:rPr>
          <w:rFonts w:ascii="Times New Roman" w:hAnsi="Times New Roman" w:cs="Times New Roman"/>
          <w:sz w:val="24"/>
          <w:szCs w:val="24"/>
        </w:rPr>
        <w:t xml:space="preserve">o. </w:t>
      </w:r>
      <w:r w:rsidR="00602DB0" w:rsidRPr="00412A54">
        <w:rPr>
          <w:rFonts w:ascii="Times New Roman" w:hAnsi="Times New Roman" w:cs="Times New Roman"/>
          <w:sz w:val="24"/>
          <w:szCs w:val="24"/>
        </w:rPr>
        <w:lastRenderedPageBreak/>
        <w:t>Especificamente,  eles pontuam que o uso de computadores no trabalho pode ter um caráter complementar ou substitutivo da mão de obra humana, a depender do tipo de tarefa</w:t>
      </w:r>
      <w:r w:rsidRPr="00412A54">
        <w:rPr>
          <w:rFonts w:ascii="Times New Roman" w:hAnsi="Times New Roman" w:cs="Times New Roman"/>
          <w:sz w:val="24"/>
          <w:szCs w:val="24"/>
        </w:rPr>
        <w:t xml:space="preserve"> </w:t>
      </w:r>
      <w:r w:rsidR="00602DB0" w:rsidRPr="00412A54">
        <w:rPr>
          <w:rFonts w:ascii="Times New Roman" w:hAnsi="Times New Roman" w:cs="Times New Roman"/>
          <w:sz w:val="24"/>
          <w:szCs w:val="24"/>
        </w:rPr>
        <w:t>considerada, o que por sua vez está por tr</w:t>
      </w:r>
      <w:r w:rsidR="000C4A24" w:rsidRPr="00412A54">
        <w:rPr>
          <w:rFonts w:ascii="Times New Roman" w:hAnsi="Times New Roman" w:cs="Times New Roman"/>
          <w:sz w:val="24"/>
          <w:szCs w:val="24"/>
        </w:rPr>
        <w:t>ás</w:t>
      </w:r>
      <w:r w:rsidR="00602DB0" w:rsidRPr="00412A54">
        <w:rPr>
          <w:rFonts w:ascii="Times New Roman" w:hAnsi="Times New Roman" w:cs="Times New Roman"/>
          <w:sz w:val="24"/>
          <w:szCs w:val="24"/>
        </w:rPr>
        <w:t xml:space="preserve"> do aumento da desigualdade salarial entre os trabalhadores. </w:t>
      </w:r>
    </w:p>
    <w:p w14:paraId="34EAAE38" w14:textId="1367321C" w:rsidR="000C0E9A" w:rsidRPr="00412A54" w:rsidRDefault="00602DB0" w:rsidP="00D77AC5">
      <w:pPr>
        <w:spacing w:line="240" w:lineRule="auto"/>
        <w:jc w:val="both"/>
        <w:outlineLvl w:val="0"/>
        <w:rPr>
          <w:rFonts w:ascii="Times New Roman" w:hAnsi="Times New Roman" w:cs="Times New Roman"/>
          <w:sz w:val="24"/>
          <w:szCs w:val="24"/>
        </w:rPr>
      </w:pPr>
      <w:r w:rsidRPr="00412A54">
        <w:rPr>
          <w:rFonts w:ascii="Times New Roman" w:hAnsi="Times New Roman" w:cs="Times New Roman"/>
          <w:sz w:val="24"/>
          <w:szCs w:val="24"/>
        </w:rPr>
        <w:t>O que define para Autor</w:t>
      </w:r>
      <w:r w:rsidR="00B420FA" w:rsidRPr="00412A54">
        <w:rPr>
          <w:rFonts w:ascii="Times New Roman" w:hAnsi="Times New Roman" w:cs="Times New Roman"/>
          <w:sz w:val="24"/>
          <w:szCs w:val="24"/>
        </w:rPr>
        <w:t>,</w:t>
      </w:r>
      <w:r w:rsidRPr="00412A54">
        <w:rPr>
          <w:rFonts w:ascii="Times New Roman" w:hAnsi="Times New Roman" w:cs="Times New Roman"/>
          <w:sz w:val="24"/>
          <w:szCs w:val="24"/>
        </w:rPr>
        <w:t xml:space="preserve"> Levy e Murnane</w:t>
      </w:r>
      <w:r w:rsidR="000E19DF" w:rsidRPr="00412A54">
        <w:rPr>
          <w:rFonts w:ascii="Times New Roman" w:hAnsi="Times New Roman" w:cs="Times New Roman"/>
          <w:sz w:val="24"/>
          <w:szCs w:val="24"/>
        </w:rPr>
        <w:t xml:space="preserve"> (2003)</w:t>
      </w:r>
      <w:r w:rsidRPr="00412A54">
        <w:rPr>
          <w:rFonts w:ascii="Times New Roman" w:hAnsi="Times New Roman" w:cs="Times New Roman"/>
          <w:sz w:val="24"/>
          <w:szCs w:val="24"/>
        </w:rPr>
        <w:t xml:space="preserve"> se um computador substituirá ou complementará a mão de obra humana é o caráter rotineiro de uma tarefa. Conforme os autores, computadores conseguem </w:t>
      </w:r>
      <w:r w:rsidR="000A237E" w:rsidRPr="00412A54">
        <w:rPr>
          <w:rFonts w:ascii="Times New Roman" w:hAnsi="Times New Roman" w:cs="Times New Roman"/>
          <w:sz w:val="24"/>
          <w:szCs w:val="24"/>
        </w:rPr>
        <w:t>reproduzir</w:t>
      </w:r>
      <w:r w:rsidRPr="00412A54">
        <w:rPr>
          <w:rFonts w:ascii="Times New Roman" w:hAnsi="Times New Roman" w:cs="Times New Roman"/>
          <w:sz w:val="24"/>
          <w:szCs w:val="24"/>
        </w:rPr>
        <w:t xml:space="preserve"> tarefas passíveis de serem executadas a partir de regras explícitas de programação. Assim, tarefas rotineiras que seguem sempre a mesma lógica, como fazer contas ou realizar um movimento repetitivo, podem ser realizadas por máquinas através de comandos a um custo mais baixo e com menor propensão ao erro do que a mão de obra humana. Por sua vez, tarefas não rotineiras que exigem abstração analítica ou </w:t>
      </w:r>
      <w:r w:rsidR="002B6B08" w:rsidRPr="00412A54">
        <w:rPr>
          <w:rFonts w:ascii="Times New Roman" w:hAnsi="Times New Roman" w:cs="Times New Roman"/>
          <w:sz w:val="24"/>
          <w:szCs w:val="24"/>
        </w:rPr>
        <w:t>habilidades físicas</w:t>
      </w:r>
      <w:r w:rsidRPr="00412A54">
        <w:rPr>
          <w:rFonts w:ascii="Times New Roman" w:hAnsi="Times New Roman" w:cs="Times New Roman"/>
          <w:sz w:val="24"/>
          <w:szCs w:val="24"/>
        </w:rPr>
        <w:t xml:space="preserve"> não podem ser realizados pelas máquinas, </w:t>
      </w:r>
      <w:r w:rsidR="000E19DF" w:rsidRPr="00412A54">
        <w:rPr>
          <w:rFonts w:ascii="Times New Roman" w:hAnsi="Times New Roman" w:cs="Times New Roman"/>
          <w:sz w:val="24"/>
          <w:szCs w:val="24"/>
        </w:rPr>
        <w:t>tendo, portanto,</w:t>
      </w:r>
      <w:r w:rsidRPr="00412A54">
        <w:rPr>
          <w:rFonts w:ascii="Times New Roman" w:hAnsi="Times New Roman" w:cs="Times New Roman"/>
          <w:sz w:val="24"/>
          <w:szCs w:val="24"/>
        </w:rPr>
        <w:t xml:space="preserve"> um</w:t>
      </w:r>
      <w:r w:rsidR="000E19DF" w:rsidRPr="00412A54">
        <w:rPr>
          <w:rFonts w:ascii="Times New Roman" w:hAnsi="Times New Roman" w:cs="Times New Roman"/>
          <w:sz w:val="24"/>
          <w:szCs w:val="24"/>
        </w:rPr>
        <w:t xml:space="preserve">a relação de complementariedade com o trabalho humano. </w:t>
      </w:r>
    </w:p>
    <w:p w14:paraId="512E6022" w14:textId="64AF2FBA" w:rsidR="000E19DF" w:rsidRPr="00412A54" w:rsidRDefault="000E19DF" w:rsidP="00D77AC5">
      <w:pPr>
        <w:spacing w:line="240" w:lineRule="auto"/>
        <w:jc w:val="both"/>
        <w:outlineLvl w:val="0"/>
        <w:rPr>
          <w:rFonts w:ascii="Times New Roman" w:hAnsi="Times New Roman" w:cs="Times New Roman"/>
          <w:sz w:val="24"/>
          <w:szCs w:val="24"/>
        </w:rPr>
      </w:pPr>
      <w:r w:rsidRPr="00412A54">
        <w:rPr>
          <w:rFonts w:ascii="Times New Roman" w:hAnsi="Times New Roman" w:cs="Times New Roman"/>
          <w:sz w:val="24"/>
          <w:szCs w:val="24"/>
        </w:rPr>
        <w:t>Neste contexto, a acentuada queda no preço dos computadores a partir da década de 80 acelerou o fenômeno de SBTC, aumentando a produtividade dos indivíduos mais qualificados situados em ocupações cujas tarefas eram complementares ao computador e reduzindo o retorno salarial aos indivíduos alocados em ocupações intensivas em tarefas rotineiras</w:t>
      </w:r>
      <w:r w:rsidR="002B6B08" w:rsidRPr="00412A54">
        <w:rPr>
          <w:rFonts w:ascii="Times New Roman" w:hAnsi="Times New Roman" w:cs="Times New Roman"/>
          <w:sz w:val="24"/>
          <w:szCs w:val="24"/>
        </w:rPr>
        <w:t xml:space="preserve"> nos últimos anos</w:t>
      </w:r>
      <w:r w:rsidRPr="00412A54">
        <w:rPr>
          <w:rFonts w:ascii="Times New Roman" w:hAnsi="Times New Roman" w:cs="Times New Roman"/>
          <w:sz w:val="24"/>
          <w:szCs w:val="24"/>
        </w:rPr>
        <w:t>. Mais do que isso, A</w:t>
      </w:r>
      <w:r w:rsidR="002B6B08" w:rsidRPr="00412A54">
        <w:rPr>
          <w:rFonts w:ascii="Times New Roman" w:hAnsi="Times New Roman" w:cs="Times New Roman"/>
          <w:sz w:val="24"/>
          <w:szCs w:val="24"/>
        </w:rPr>
        <w:t xml:space="preserve">utor, </w:t>
      </w:r>
      <w:r w:rsidRPr="00412A54">
        <w:rPr>
          <w:rFonts w:ascii="Times New Roman" w:hAnsi="Times New Roman" w:cs="Times New Roman"/>
          <w:sz w:val="24"/>
          <w:szCs w:val="24"/>
        </w:rPr>
        <w:t>L</w:t>
      </w:r>
      <w:r w:rsidR="002B6B08" w:rsidRPr="00412A54">
        <w:rPr>
          <w:rFonts w:ascii="Times New Roman" w:hAnsi="Times New Roman" w:cs="Times New Roman"/>
          <w:sz w:val="24"/>
          <w:szCs w:val="24"/>
        </w:rPr>
        <w:t xml:space="preserve">evy e </w:t>
      </w:r>
      <w:r w:rsidRPr="00412A54">
        <w:rPr>
          <w:rFonts w:ascii="Times New Roman" w:hAnsi="Times New Roman" w:cs="Times New Roman"/>
          <w:sz w:val="24"/>
          <w:szCs w:val="24"/>
        </w:rPr>
        <w:t>M</w:t>
      </w:r>
      <w:r w:rsidR="002B6B08" w:rsidRPr="00412A54">
        <w:rPr>
          <w:rFonts w:ascii="Times New Roman" w:hAnsi="Times New Roman" w:cs="Times New Roman"/>
          <w:sz w:val="24"/>
          <w:szCs w:val="24"/>
        </w:rPr>
        <w:t>urnane</w:t>
      </w:r>
      <w:r w:rsidRPr="00412A54">
        <w:rPr>
          <w:rFonts w:ascii="Times New Roman" w:hAnsi="Times New Roman" w:cs="Times New Roman"/>
          <w:sz w:val="24"/>
          <w:szCs w:val="24"/>
        </w:rPr>
        <w:t xml:space="preserve"> (2003) indicam que uma das consequências deste processo foi a polarização dos salários e empregos, uma vez que as tarefas mais passíveis de substituição pela máquina são justamente aquelas identificadas à </w:t>
      </w:r>
      <w:r w:rsidR="00676388" w:rsidRPr="00412A54">
        <w:rPr>
          <w:rFonts w:ascii="Times New Roman" w:hAnsi="Times New Roman" w:cs="Times New Roman"/>
          <w:sz w:val="24"/>
          <w:szCs w:val="24"/>
        </w:rPr>
        <w:t>ocupações</w:t>
      </w:r>
      <w:r w:rsidRPr="00412A54">
        <w:rPr>
          <w:rFonts w:ascii="Times New Roman" w:hAnsi="Times New Roman" w:cs="Times New Roman"/>
          <w:sz w:val="24"/>
          <w:szCs w:val="24"/>
        </w:rPr>
        <w:t xml:space="preserve"> na mediana da distribuição salarial, uma vez que computadores não seriam capazes de substituir ocupações intensivas em força física e destreza manual, típicas de trabalhos da base salarial, bem como ocupações com alta exigência cognitiva, analítica e interpessoal, mais relacionado ao topo da distribuição salarial. </w:t>
      </w:r>
    </w:p>
    <w:p w14:paraId="0704450A" w14:textId="7BFF0127" w:rsidR="00676388" w:rsidRPr="00412A54" w:rsidRDefault="000E19DF" w:rsidP="00D77AC5">
      <w:pPr>
        <w:spacing w:line="240" w:lineRule="auto"/>
        <w:jc w:val="both"/>
        <w:outlineLvl w:val="0"/>
        <w:rPr>
          <w:rFonts w:ascii="Times New Roman" w:hAnsi="Times New Roman" w:cs="Times New Roman"/>
          <w:sz w:val="24"/>
          <w:szCs w:val="24"/>
        </w:rPr>
      </w:pPr>
      <w:r w:rsidRPr="00412A54">
        <w:rPr>
          <w:rFonts w:ascii="Times New Roman" w:hAnsi="Times New Roman" w:cs="Times New Roman"/>
          <w:sz w:val="24"/>
          <w:szCs w:val="24"/>
        </w:rPr>
        <w:t xml:space="preserve">Esta fundamentação teórica serviu de base para diversas investigações recentes, tendo sido aplicada à </w:t>
      </w:r>
      <w:r w:rsidR="002B6B08" w:rsidRPr="00412A54">
        <w:rPr>
          <w:rFonts w:ascii="Times New Roman" w:hAnsi="Times New Roman" w:cs="Times New Roman"/>
          <w:sz w:val="24"/>
          <w:szCs w:val="24"/>
        </w:rPr>
        <w:t>vários</w:t>
      </w:r>
      <w:r w:rsidRPr="00412A54">
        <w:rPr>
          <w:rFonts w:ascii="Times New Roman" w:hAnsi="Times New Roman" w:cs="Times New Roman"/>
          <w:sz w:val="24"/>
          <w:szCs w:val="24"/>
        </w:rPr>
        <w:t xml:space="preserve"> países</w:t>
      </w:r>
      <w:r w:rsidR="00676388" w:rsidRPr="00412A54">
        <w:rPr>
          <w:rFonts w:ascii="Times New Roman" w:hAnsi="Times New Roman" w:cs="Times New Roman"/>
          <w:sz w:val="24"/>
          <w:szCs w:val="24"/>
        </w:rPr>
        <w:t xml:space="preserve"> com evidências favoráveis a tese de SBTC</w:t>
      </w:r>
      <w:r w:rsidRPr="00412A54">
        <w:rPr>
          <w:rFonts w:ascii="Times New Roman" w:hAnsi="Times New Roman" w:cs="Times New Roman"/>
          <w:sz w:val="24"/>
          <w:szCs w:val="24"/>
        </w:rPr>
        <w:t xml:space="preserve"> (SPITZ-OENER, 2006; GOOS E MANNING 2007</w:t>
      </w:r>
      <w:r w:rsidR="00C01106" w:rsidRPr="00412A54">
        <w:rPr>
          <w:rFonts w:ascii="Times New Roman" w:hAnsi="Times New Roman" w:cs="Times New Roman"/>
          <w:sz w:val="24"/>
          <w:szCs w:val="24"/>
        </w:rPr>
        <w:t>;</w:t>
      </w:r>
      <w:r w:rsidRPr="00412A54">
        <w:rPr>
          <w:rFonts w:ascii="Times New Roman" w:hAnsi="Times New Roman" w:cs="Times New Roman"/>
          <w:sz w:val="24"/>
          <w:szCs w:val="24"/>
        </w:rPr>
        <w:t xml:space="preserve"> AUTOR, KATZ E KEARNEY 2008;</w:t>
      </w:r>
      <w:r w:rsidR="00C01106" w:rsidRPr="00412A54">
        <w:rPr>
          <w:rFonts w:ascii="Times New Roman" w:hAnsi="Times New Roman" w:cs="Times New Roman"/>
          <w:sz w:val="24"/>
          <w:szCs w:val="24"/>
        </w:rPr>
        <w:t xml:space="preserve"> GOOS, MANNING E SALOMONS, 2009;</w:t>
      </w:r>
      <w:r w:rsidRPr="00412A54">
        <w:rPr>
          <w:rFonts w:ascii="Times New Roman" w:hAnsi="Times New Roman" w:cs="Times New Roman"/>
          <w:sz w:val="24"/>
          <w:szCs w:val="24"/>
        </w:rPr>
        <w:t xml:space="preserve">  ACEMOGLU E AUTOR</w:t>
      </w:r>
      <w:r w:rsidR="00C01106" w:rsidRPr="00412A54">
        <w:rPr>
          <w:rFonts w:ascii="Times New Roman" w:hAnsi="Times New Roman" w:cs="Times New Roman"/>
          <w:sz w:val="24"/>
          <w:szCs w:val="24"/>
        </w:rPr>
        <w:t xml:space="preserve">, </w:t>
      </w:r>
      <w:r w:rsidRPr="00412A54">
        <w:rPr>
          <w:rFonts w:ascii="Times New Roman" w:hAnsi="Times New Roman" w:cs="Times New Roman"/>
          <w:sz w:val="24"/>
          <w:szCs w:val="24"/>
        </w:rPr>
        <w:t>2011</w:t>
      </w:r>
      <w:r w:rsidR="00C01106" w:rsidRPr="00412A54">
        <w:rPr>
          <w:rFonts w:ascii="Times New Roman" w:hAnsi="Times New Roman" w:cs="Times New Roman"/>
          <w:sz w:val="24"/>
          <w:szCs w:val="24"/>
        </w:rPr>
        <w:t>;</w:t>
      </w:r>
      <w:r w:rsidRPr="00412A54">
        <w:rPr>
          <w:rFonts w:ascii="Times New Roman" w:hAnsi="Times New Roman" w:cs="Times New Roman"/>
          <w:sz w:val="24"/>
          <w:szCs w:val="24"/>
        </w:rPr>
        <w:t xml:space="preserve"> FIRPO, FORTIN E LEMIEUX</w:t>
      </w:r>
      <w:r w:rsidR="00C01106" w:rsidRPr="00412A54">
        <w:rPr>
          <w:rFonts w:ascii="Times New Roman" w:hAnsi="Times New Roman" w:cs="Times New Roman"/>
          <w:sz w:val="24"/>
          <w:szCs w:val="24"/>
        </w:rPr>
        <w:t xml:space="preserve">, </w:t>
      </w:r>
      <w:r w:rsidRPr="00412A54">
        <w:rPr>
          <w:rFonts w:ascii="Times New Roman" w:hAnsi="Times New Roman" w:cs="Times New Roman"/>
          <w:sz w:val="24"/>
          <w:szCs w:val="24"/>
        </w:rPr>
        <w:t>2011</w:t>
      </w:r>
      <w:r w:rsidR="00C01106" w:rsidRPr="00412A54">
        <w:rPr>
          <w:rFonts w:ascii="Times New Roman" w:hAnsi="Times New Roman" w:cs="Times New Roman"/>
          <w:sz w:val="24"/>
          <w:szCs w:val="24"/>
        </w:rPr>
        <w:t>;</w:t>
      </w:r>
      <w:r w:rsidRPr="00412A54">
        <w:rPr>
          <w:rFonts w:ascii="Times New Roman" w:hAnsi="Times New Roman" w:cs="Times New Roman"/>
          <w:sz w:val="24"/>
          <w:szCs w:val="24"/>
        </w:rPr>
        <w:t xml:space="preserve"> </w:t>
      </w:r>
      <w:r w:rsidR="00D24F8F" w:rsidRPr="00412A54">
        <w:rPr>
          <w:rFonts w:ascii="Times New Roman" w:hAnsi="Times New Roman" w:cs="Times New Roman"/>
          <w:sz w:val="24"/>
          <w:szCs w:val="24"/>
        </w:rPr>
        <w:t xml:space="preserve">MICHAELS, NATRAJ E REENEN, </w:t>
      </w:r>
      <w:r w:rsidRPr="00412A54">
        <w:rPr>
          <w:rFonts w:ascii="Times New Roman" w:hAnsi="Times New Roman" w:cs="Times New Roman"/>
          <w:sz w:val="24"/>
          <w:szCs w:val="24"/>
        </w:rPr>
        <w:t>2014</w:t>
      </w:r>
      <w:r w:rsidR="00C01106" w:rsidRPr="00412A54">
        <w:rPr>
          <w:rFonts w:ascii="Times New Roman" w:hAnsi="Times New Roman" w:cs="Times New Roman"/>
          <w:sz w:val="24"/>
          <w:szCs w:val="24"/>
        </w:rPr>
        <w:t>;</w:t>
      </w:r>
      <w:r w:rsidRPr="00412A54">
        <w:rPr>
          <w:rFonts w:ascii="Times New Roman" w:hAnsi="Times New Roman" w:cs="Times New Roman"/>
          <w:sz w:val="24"/>
          <w:szCs w:val="24"/>
        </w:rPr>
        <w:t xml:space="preserve"> ANTONCZYK, DELEIRE E FITZENBERGER</w:t>
      </w:r>
      <w:r w:rsidR="00C01106" w:rsidRPr="00412A54">
        <w:rPr>
          <w:rFonts w:ascii="Times New Roman" w:hAnsi="Times New Roman" w:cs="Times New Roman"/>
          <w:sz w:val="24"/>
          <w:szCs w:val="24"/>
        </w:rPr>
        <w:t xml:space="preserve">, </w:t>
      </w:r>
      <w:r w:rsidRPr="00412A54">
        <w:rPr>
          <w:rFonts w:ascii="Times New Roman" w:hAnsi="Times New Roman" w:cs="Times New Roman"/>
          <w:sz w:val="24"/>
          <w:szCs w:val="24"/>
        </w:rPr>
        <w:t>2018</w:t>
      </w:r>
      <w:r w:rsidR="00C01106" w:rsidRPr="00412A54">
        <w:rPr>
          <w:rFonts w:ascii="Times New Roman" w:hAnsi="Times New Roman" w:cs="Times New Roman"/>
          <w:sz w:val="24"/>
          <w:szCs w:val="24"/>
        </w:rPr>
        <w:t>)</w:t>
      </w:r>
      <w:r w:rsidR="00676388" w:rsidRPr="00412A54">
        <w:rPr>
          <w:rFonts w:ascii="Times New Roman" w:hAnsi="Times New Roman" w:cs="Times New Roman"/>
          <w:sz w:val="24"/>
          <w:szCs w:val="24"/>
        </w:rPr>
        <w:t xml:space="preserve">. Trabalhos recentes tem explorado as mudanças trazidas pelo avanço da ciência da computação na direção do aumento do escopo de tarefas capazes de serem substituídas pela máquina. É o caso do trabalho de Frey e Osborne (2017) que apontam que 47% dos empregos americanos podem desaparecer por substituição do trabalho humano por computadores. </w:t>
      </w:r>
    </w:p>
    <w:p w14:paraId="416DB176" w14:textId="35B86515" w:rsidR="00DB20A9" w:rsidRPr="00412A54" w:rsidRDefault="00DB20A9" w:rsidP="00DB20A9">
      <w:pPr>
        <w:autoSpaceDE w:val="0"/>
        <w:autoSpaceDN w:val="0"/>
        <w:adjustRightInd w:val="0"/>
        <w:spacing w:after="0" w:line="240" w:lineRule="auto"/>
        <w:jc w:val="both"/>
        <w:rPr>
          <w:rFonts w:ascii="Times New Roman" w:hAnsi="Times New Roman" w:cs="Times New Roman"/>
          <w:sz w:val="24"/>
          <w:szCs w:val="24"/>
        </w:rPr>
      </w:pPr>
      <w:r w:rsidRPr="00412A54">
        <w:rPr>
          <w:rFonts w:ascii="Times New Roman" w:hAnsi="Times New Roman" w:cs="Times New Roman"/>
          <w:sz w:val="24"/>
          <w:szCs w:val="24"/>
        </w:rPr>
        <w:t xml:space="preserve">Uma vez que a tecnologia tem se difundido de modo acelerado e com alcance global, espera-se que países emergentes como o Brasil já experimentem estes efeitos. O relatório Citi (2016) enfatiza uma redução no emprego </w:t>
      </w:r>
      <w:r w:rsidR="002B6B08" w:rsidRPr="00412A54">
        <w:rPr>
          <w:rFonts w:ascii="Times New Roman" w:hAnsi="Times New Roman" w:cs="Times New Roman"/>
          <w:sz w:val="24"/>
          <w:szCs w:val="24"/>
        </w:rPr>
        <w:t>na</w:t>
      </w:r>
      <w:r w:rsidRPr="00412A54">
        <w:rPr>
          <w:rFonts w:ascii="Times New Roman" w:hAnsi="Times New Roman" w:cs="Times New Roman"/>
          <w:sz w:val="24"/>
          <w:szCs w:val="24"/>
        </w:rPr>
        <w:t xml:space="preserve"> manufatura </w:t>
      </w:r>
      <w:r w:rsidR="002B6B08" w:rsidRPr="00412A54">
        <w:rPr>
          <w:rFonts w:ascii="Times New Roman" w:hAnsi="Times New Roman" w:cs="Times New Roman"/>
          <w:sz w:val="24"/>
          <w:szCs w:val="24"/>
        </w:rPr>
        <w:t>no</w:t>
      </w:r>
      <w:r w:rsidRPr="00412A54">
        <w:rPr>
          <w:rFonts w:ascii="Times New Roman" w:hAnsi="Times New Roman" w:cs="Times New Roman"/>
          <w:sz w:val="24"/>
          <w:szCs w:val="24"/>
        </w:rPr>
        <w:t xml:space="preserve"> Brasil e</w:t>
      </w:r>
      <w:r w:rsidR="002B6B08" w:rsidRPr="00412A54">
        <w:rPr>
          <w:rFonts w:ascii="Times New Roman" w:hAnsi="Times New Roman" w:cs="Times New Roman"/>
          <w:sz w:val="24"/>
          <w:szCs w:val="24"/>
        </w:rPr>
        <w:t xml:space="preserve"> em</w:t>
      </w:r>
      <w:r w:rsidRPr="00412A54">
        <w:rPr>
          <w:rFonts w:ascii="Times New Roman" w:hAnsi="Times New Roman" w:cs="Times New Roman"/>
          <w:sz w:val="24"/>
          <w:szCs w:val="24"/>
        </w:rPr>
        <w:t xml:space="preserve"> outros países emergentes. É difícil, contudo, isolar completamente tais efeitos das fortes flutuações econômicas, mudanças na dinâmica setorial e mudanças na política de salário-mínimo verificadas no Brasil em especial após os anos 2000. Saboia (2010) ressaltam que o crescimento do salário-mínimo atingiu 63% em termos reais entre 1995 e 2006, revertendo as quedas verificadas após o Plano Real, em especial para os trabalhadores de carteira assinada cuja posição na distribuição de rendimentos estavam até a mediana da distribuição. Corseuil C.H.L (2011) ao avaliar o período de 2000 a 2008 indica</w:t>
      </w:r>
      <w:r w:rsidR="00744198" w:rsidRPr="00412A54">
        <w:rPr>
          <w:rFonts w:ascii="Times New Roman" w:hAnsi="Times New Roman" w:cs="Times New Roman"/>
          <w:sz w:val="24"/>
          <w:szCs w:val="24"/>
        </w:rPr>
        <w:t xml:space="preserve"> ter havido um</w:t>
      </w:r>
      <w:r w:rsidRPr="00412A54">
        <w:rPr>
          <w:rFonts w:ascii="Times New Roman" w:hAnsi="Times New Roman" w:cs="Times New Roman"/>
          <w:sz w:val="24"/>
          <w:szCs w:val="24"/>
        </w:rPr>
        <w:t xml:space="preserve"> crescimento da renda, </w:t>
      </w:r>
      <w:r w:rsidR="00744198" w:rsidRPr="00412A54">
        <w:rPr>
          <w:rFonts w:ascii="Times New Roman" w:hAnsi="Times New Roman" w:cs="Times New Roman"/>
          <w:sz w:val="24"/>
          <w:szCs w:val="24"/>
        </w:rPr>
        <w:t xml:space="preserve">da </w:t>
      </w:r>
      <w:r w:rsidRPr="00412A54">
        <w:rPr>
          <w:rFonts w:ascii="Times New Roman" w:hAnsi="Times New Roman" w:cs="Times New Roman"/>
          <w:sz w:val="24"/>
          <w:szCs w:val="24"/>
        </w:rPr>
        <w:t>taxa de ocupação bem como</w:t>
      </w:r>
      <w:r w:rsidR="00744198" w:rsidRPr="00412A54">
        <w:rPr>
          <w:rFonts w:ascii="Times New Roman" w:hAnsi="Times New Roman" w:cs="Times New Roman"/>
          <w:sz w:val="24"/>
          <w:szCs w:val="24"/>
        </w:rPr>
        <w:t xml:space="preserve"> uma</w:t>
      </w:r>
      <w:r w:rsidRPr="00412A54">
        <w:rPr>
          <w:rFonts w:ascii="Times New Roman" w:hAnsi="Times New Roman" w:cs="Times New Roman"/>
          <w:sz w:val="24"/>
          <w:szCs w:val="24"/>
        </w:rPr>
        <w:t xml:space="preserve"> redução de desigualdade</w:t>
      </w:r>
      <w:r w:rsidR="005C7705" w:rsidRPr="00412A54">
        <w:rPr>
          <w:rFonts w:ascii="Times New Roman" w:hAnsi="Times New Roman" w:cs="Times New Roman"/>
          <w:sz w:val="24"/>
          <w:szCs w:val="24"/>
        </w:rPr>
        <w:t xml:space="preserve">. </w:t>
      </w:r>
      <w:r w:rsidRPr="00412A54">
        <w:rPr>
          <w:rFonts w:ascii="Times New Roman" w:hAnsi="Times New Roman" w:cs="Times New Roman"/>
          <w:sz w:val="24"/>
          <w:szCs w:val="24"/>
        </w:rPr>
        <w:t>Barros et al. (2010), em estudo sobre a redução da desigualdade, apontam para a importância do aumento no nível educacional da população brasileira na redução das desigualdades entre os diferenciais de rendimento por agrupamento educacional.</w:t>
      </w:r>
    </w:p>
    <w:p w14:paraId="7E7C37D8" w14:textId="77777777" w:rsidR="00DB20A9" w:rsidRPr="00412A54" w:rsidRDefault="00DB20A9" w:rsidP="00DB20A9">
      <w:pPr>
        <w:autoSpaceDE w:val="0"/>
        <w:autoSpaceDN w:val="0"/>
        <w:adjustRightInd w:val="0"/>
        <w:spacing w:after="0" w:line="240" w:lineRule="auto"/>
        <w:jc w:val="both"/>
        <w:rPr>
          <w:rFonts w:ascii="Times New Roman" w:hAnsi="Times New Roman" w:cs="Times New Roman"/>
          <w:sz w:val="24"/>
          <w:szCs w:val="24"/>
        </w:rPr>
      </w:pPr>
    </w:p>
    <w:p w14:paraId="02C4B0B7" w14:textId="6F767AC6" w:rsidR="00DB20A9" w:rsidRPr="00412A54" w:rsidRDefault="00DB20A9" w:rsidP="00DB20A9">
      <w:pPr>
        <w:autoSpaceDE w:val="0"/>
        <w:autoSpaceDN w:val="0"/>
        <w:adjustRightInd w:val="0"/>
        <w:spacing w:after="0" w:line="240" w:lineRule="auto"/>
        <w:jc w:val="both"/>
        <w:rPr>
          <w:rFonts w:ascii="Times New Roman" w:hAnsi="Times New Roman" w:cs="Times New Roman"/>
          <w:sz w:val="24"/>
          <w:szCs w:val="24"/>
        </w:rPr>
      </w:pPr>
      <w:r w:rsidRPr="00412A54">
        <w:rPr>
          <w:rFonts w:ascii="Times New Roman" w:hAnsi="Times New Roman" w:cs="Times New Roman"/>
          <w:sz w:val="24"/>
          <w:szCs w:val="24"/>
        </w:rPr>
        <w:t>Dentre os estudos acerca do mercado de trabalho brasileiro, ainda são poucos aqueles que se</w:t>
      </w:r>
      <w:r w:rsidRPr="00412A54">
        <w:rPr>
          <w:rFonts w:ascii="Times New Roman" w:hAnsi="Times New Roman" w:cs="Times New Roman"/>
          <w:sz w:val="20"/>
          <w:szCs w:val="20"/>
        </w:rPr>
        <w:t xml:space="preserve"> </w:t>
      </w:r>
      <w:r w:rsidRPr="00412A54">
        <w:rPr>
          <w:rFonts w:ascii="Times New Roman" w:hAnsi="Times New Roman" w:cs="Times New Roman"/>
          <w:sz w:val="24"/>
          <w:szCs w:val="24"/>
        </w:rPr>
        <w:t xml:space="preserve">centram na questão ocupacional, e ainda mais escassos os que debatem os impactos da tecnologia. Maia e Sakamoto (2015) ressaltam o baixo padrão da estrutura sócio ocupacional brasileira, caracterizada em especial por baixa qualificação e alta rotatividade nos empregos. Conforme os autores, o perfil dos empregados muda bastante conforme se considera os agrupamentos ocupacionais: enquanto a média de escolaridade é de onze anos para trabalhadores do colarinho branco, a média de anos de estudo para as ocupações agrícolas é de apenas quatro anos. É notório, entretanto, que ocupações de colarinho branco, de padrão mais elevado, agreguem o menor contingente de trabalhadores dentre os agrupamentos ocupacionais considerados. </w:t>
      </w:r>
    </w:p>
    <w:p w14:paraId="40849F54" w14:textId="77777777" w:rsidR="00DB20A9" w:rsidRPr="00412A54" w:rsidRDefault="00DB20A9" w:rsidP="00DB20A9">
      <w:pPr>
        <w:autoSpaceDE w:val="0"/>
        <w:autoSpaceDN w:val="0"/>
        <w:adjustRightInd w:val="0"/>
        <w:spacing w:after="0" w:line="240" w:lineRule="auto"/>
        <w:jc w:val="both"/>
        <w:rPr>
          <w:rFonts w:ascii="Times New Roman" w:hAnsi="Times New Roman" w:cs="Times New Roman"/>
          <w:sz w:val="24"/>
          <w:szCs w:val="24"/>
        </w:rPr>
      </w:pPr>
    </w:p>
    <w:p w14:paraId="1E8B829D" w14:textId="36CE111A" w:rsidR="002B6B08" w:rsidRPr="00412A54" w:rsidRDefault="00DB20A9" w:rsidP="00DB20A9">
      <w:pPr>
        <w:autoSpaceDE w:val="0"/>
        <w:autoSpaceDN w:val="0"/>
        <w:adjustRightInd w:val="0"/>
        <w:spacing w:after="0" w:line="240" w:lineRule="auto"/>
        <w:jc w:val="both"/>
        <w:rPr>
          <w:rFonts w:ascii="Times New Roman" w:hAnsi="Times New Roman" w:cs="Times New Roman"/>
          <w:sz w:val="24"/>
          <w:szCs w:val="24"/>
        </w:rPr>
      </w:pPr>
      <w:r w:rsidRPr="00412A54">
        <w:rPr>
          <w:rFonts w:ascii="Times New Roman" w:hAnsi="Times New Roman" w:cs="Times New Roman"/>
          <w:sz w:val="24"/>
          <w:szCs w:val="24"/>
        </w:rPr>
        <w:t xml:space="preserve">Fontes, Simões e Oliveira (2010), abordam o aumento progressivo no número de ocupações cognitivas não rotineiras ante aos trabalhos rotineiros, especialmente entre 2000 e 2010, indicando maior demanda relativa por qualificação. </w:t>
      </w:r>
      <w:r w:rsidR="00EB1A01" w:rsidRPr="00412A54">
        <w:rPr>
          <w:rFonts w:ascii="Times New Roman" w:hAnsi="Times New Roman" w:cs="Times New Roman"/>
          <w:sz w:val="24"/>
          <w:szCs w:val="24"/>
        </w:rPr>
        <w:t>Os</w:t>
      </w:r>
      <w:r w:rsidRPr="00412A54">
        <w:rPr>
          <w:rFonts w:ascii="Times New Roman" w:hAnsi="Times New Roman" w:cs="Times New Roman"/>
          <w:sz w:val="24"/>
          <w:szCs w:val="24"/>
        </w:rPr>
        <w:t xml:space="preserve"> autores assinalam ainda que estas ocupações vinculadas às funções cognitivas estão sendo preenchidas por indivíduos com maior nível educacional</w:t>
      </w:r>
      <w:r w:rsidR="00EB1A01" w:rsidRPr="00412A54">
        <w:rPr>
          <w:rFonts w:ascii="Times New Roman" w:hAnsi="Times New Roman" w:cs="Times New Roman"/>
          <w:sz w:val="24"/>
          <w:szCs w:val="24"/>
        </w:rPr>
        <w:t>, sendo aqueles com ensino superior</w:t>
      </w:r>
      <w:r w:rsidRPr="00412A54">
        <w:rPr>
          <w:rFonts w:ascii="Times New Roman" w:hAnsi="Times New Roman" w:cs="Times New Roman"/>
          <w:sz w:val="24"/>
          <w:szCs w:val="24"/>
        </w:rPr>
        <w:t xml:space="preserve"> 55% dos ocupantes de postos não manuais não rotineiros. Bressan e Hermeto (2009) estimam regressões quantílicas e modelos hierárquicos e encontram evidências de polarização da força de trabalho brasileira. </w:t>
      </w:r>
      <w:r w:rsidR="00EB1A01" w:rsidRPr="00412A54">
        <w:rPr>
          <w:rFonts w:ascii="Times New Roman" w:hAnsi="Times New Roman" w:cs="Times New Roman"/>
          <w:sz w:val="24"/>
          <w:szCs w:val="24"/>
        </w:rPr>
        <w:t xml:space="preserve">Junior e Funchal (2016) analisam como se desenvolveu a demanda pelas tarefas de diferentes requerimentos de habilidade entre os anos de 1985 e 2002 e apontaram a ampliação na demanda por atividades não rotineiras analíticas e interativas e a redução na demanda por atividades rotineiras manuais, seguindo o previsto da teoria de SBTC. </w:t>
      </w:r>
    </w:p>
    <w:p w14:paraId="5564DDD7" w14:textId="77777777" w:rsidR="002B6B08" w:rsidRPr="00412A54" w:rsidRDefault="002B6B08" w:rsidP="00DB20A9">
      <w:pPr>
        <w:autoSpaceDE w:val="0"/>
        <w:autoSpaceDN w:val="0"/>
        <w:adjustRightInd w:val="0"/>
        <w:spacing w:after="0" w:line="240" w:lineRule="auto"/>
        <w:jc w:val="both"/>
        <w:rPr>
          <w:rFonts w:ascii="Times New Roman" w:hAnsi="Times New Roman" w:cs="Times New Roman"/>
          <w:sz w:val="24"/>
          <w:szCs w:val="24"/>
        </w:rPr>
      </w:pPr>
    </w:p>
    <w:p w14:paraId="5DEE08EB" w14:textId="77777777" w:rsidR="00DB20A9" w:rsidRPr="00412A54" w:rsidRDefault="00DB20A9" w:rsidP="00DB20A9">
      <w:pPr>
        <w:autoSpaceDE w:val="0"/>
        <w:autoSpaceDN w:val="0"/>
        <w:adjustRightInd w:val="0"/>
        <w:spacing w:after="0" w:line="240" w:lineRule="auto"/>
        <w:rPr>
          <w:rFonts w:ascii="Times New Roman" w:hAnsi="Times New Roman" w:cs="Times New Roman"/>
          <w:sz w:val="24"/>
          <w:szCs w:val="24"/>
        </w:rPr>
      </w:pPr>
    </w:p>
    <w:p w14:paraId="62DA8A5D" w14:textId="41ACA3B1" w:rsidR="00A6158D" w:rsidRPr="00412A54" w:rsidRDefault="00B36223" w:rsidP="00C3534E">
      <w:pPr>
        <w:jc w:val="both"/>
        <w:outlineLvl w:val="0"/>
        <w:rPr>
          <w:rFonts w:ascii="Times New Roman" w:hAnsi="Times New Roman" w:cs="Times New Roman"/>
          <w:b/>
          <w:sz w:val="24"/>
          <w:szCs w:val="24"/>
        </w:rPr>
      </w:pPr>
      <w:r w:rsidRPr="00412A54">
        <w:rPr>
          <w:rFonts w:ascii="Times New Roman" w:hAnsi="Times New Roman" w:cs="Times New Roman"/>
          <w:b/>
          <w:sz w:val="24"/>
          <w:szCs w:val="24"/>
        </w:rPr>
        <w:t xml:space="preserve">3. </w:t>
      </w:r>
      <w:r w:rsidR="00A6158D" w:rsidRPr="00412A54">
        <w:rPr>
          <w:rFonts w:ascii="Times New Roman" w:hAnsi="Times New Roman" w:cs="Times New Roman"/>
          <w:b/>
          <w:sz w:val="24"/>
          <w:szCs w:val="24"/>
        </w:rPr>
        <w:t xml:space="preserve">Fonte de Dados e Metodologia </w:t>
      </w:r>
    </w:p>
    <w:p w14:paraId="796B8BEC" w14:textId="5BECFCC2" w:rsidR="00A34252" w:rsidRPr="00412A54" w:rsidRDefault="00B36223" w:rsidP="00AA2B7B">
      <w:pPr>
        <w:jc w:val="both"/>
        <w:outlineLvl w:val="0"/>
        <w:rPr>
          <w:rFonts w:ascii="Times New Roman" w:hAnsi="Times New Roman" w:cs="Times New Roman"/>
          <w:b/>
          <w:sz w:val="24"/>
          <w:szCs w:val="24"/>
        </w:rPr>
      </w:pPr>
      <w:r w:rsidRPr="00412A54">
        <w:rPr>
          <w:rFonts w:ascii="Times New Roman" w:hAnsi="Times New Roman" w:cs="Times New Roman"/>
          <w:b/>
          <w:sz w:val="24"/>
          <w:szCs w:val="24"/>
        </w:rPr>
        <w:t xml:space="preserve">3.1 </w:t>
      </w:r>
      <w:r w:rsidR="00834985" w:rsidRPr="00412A54">
        <w:rPr>
          <w:rFonts w:ascii="Times New Roman" w:hAnsi="Times New Roman" w:cs="Times New Roman"/>
          <w:b/>
          <w:sz w:val="24"/>
          <w:szCs w:val="24"/>
        </w:rPr>
        <w:t xml:space="preserve">Dados </w:t>
      </w:r>
    </w:p>
    <w:p w14:paraId="08763365" w14:textId="4A2A0A83" w:rsidR="00A34252" w:rsidRPr="00412A54" w:rsidRDefault="00CA359A" w:rsidP="00A34252">
      <w:pPr>
        <w:jc w:val="both"/>
        <w:outlineLvl w:val="0"/>
      </w:pPr>
      <w:r w:rsidRPr="00412A54">
        <w:rPr>
          <w:rFonts w:ascii="Times New Roman" w:hAnsi="Times New Roman" w:cs="Times New Roman"/>
          <w:sz w:val="24"/>
          <w:szCs w:val="24"/>
        </w:rPr>
        <w:t xml:space="preserve">Os dados utilizados neste trabalho </w:t>
      </w:r>
      <w:r w:rsidR="008D6F1E" w:rsidRPr="00412A54">
        <w:rPr>
          <w:rFonts w:ascii="Times New Roman" w:hAnsi="Times New Roman" w:cs="Times New Roman"/>
          <w:sz w:val="24"/>
          <w:szCs w:val="24"/>
        </w:rPr>
        <w:t xml:space="preserve">provêm </w:t>
      </w:r>
      <w:r w:rsidRPr="00412A54">
        <w:rPr>
          <w:rFonts w:ascii="Times New Roman" w:hAnsi="Times New Roman" w:cs="Times New Roman"/>
          <w:sz w:val="24"/>
          <w:szCs w:val="24"/>
        </w:rPr>
        <w:t>da pesquisa de Relação Anual de Informações Sociais (</w:t>
      </w:r>
      <w:r w:rsidR="008D6F1E" w:rsidRPr="00412A54">
        <w:rPr>
          <w:rFonts w:ascii="Times New Roman" w:hAnsi="Times New Roman" w:cs="Times New Roman"/>
          <w:sz w:val="24"/>
          <w:szCs w:val="24"/>
        </w:rPr>
        <w:t xml:space="preserve">doravante </w:t>
      </w:r>
      <w:r w:rsidRPr="00412A54">
        <w:rPr>
          <w:rFonts w:ascii="Times New Roman" w:hAnsi="Times New Roman" w:cs="Times New Roman"/>
          <w:sz w:val="24"/>
          <w:szCs w:val="24"/>
        </w:rPr>
        <w:t xml:space="preserve">RAIS) para os anos de 2006 </w:t>
      </w:r>
      <w:r w:rsidR="00A6158D" w:rsidRPr="00412A54">
        <w:rPr>
          <w:rFonts w:ascii="Times New Roman" w:hAnsi="Times New Roman" w:cs="Times New Roman"/>
          <w:sz w:val="24"/>
          <w:szCs w:val="24"/>
        </w:rPr>
        <w:t>a</w:t>
      </w:r>
      <w:r w:rsidRPr="00412A54">
        <w:rPr>
          <w:rFonts w:ascii="Times New Roman" w:hAnsi="Times New Roman" w:cs="Times New Roman"/>
          <w:sz w:val="24"/>
          <w:szCs w:val="24"/>
        </w:rPr>
        <w:t xml:space="preserve"> 2016. A RAIS é considerada a principal fonte de informações sobre o trabalhador formal brasileiro, uma vez que é obrigatório </w:t>
      </w:r>
      <w:r w:rsidR="001531D5" w:rsidRPr="00412A54">
        <w:rPr>
          <w:rFonts w:ascii="Times New Roman" w:hAnsi="Times New Roman" w:cs="Times New Roman"/>
          <w:sz w:val="24"/>
          <w:szCs w:val="24"/>
        </w:rPr>
        <w:t>que</w:t>
      </w:r>
      <w:r w:rsidRPr="00412A54">
        <w:rPr>
          <w:rFonts w:ascii="Times New Roman" w:hAnsi="Times New Roman" w:cs="Times New Roman"/>
          <w:sz w:val="24"/>
          <w:szCs w:val="24"/>
        </w:rPr>
        <w:t xml:space="preserve"> todos os estabelecimentos registrados forneçam </w:t>
      </w:r>
      <w:r w:rsidR="00C06E2B" w:rsidRPr="00412A54">
        <w:rPr>
          <w:rFonts w:ascii="Times New Roman" w:hAnsi="Times New Roman" w:cs="Times New Roman"/>
          <w:sz w:val="24"/>
          <w:szCs w:val="24"/>
        </w:rPr>
        <w:t>os dados</w:t>
      </w:r>
      <w:r w:rsidR="00EB1A01" w:rsidRPr="00412A54">
        <w:rPr>
          <w:rFonts w:ascii="Times New Roman" w:hAnsi="Times New Roman" w:cs="Times New Roman"/>
          <w:sz w:val="24"/>
          <w:szCs w:val="24"/>
        </w:rPr>
        <w:t xml:space="preserve"> solicitados</w:t>
      </w:r>
      <w:r w:rsidRPr="00412A54">
        <w:rPr>
          <w:rFonts w:ascii="Times New Roman" w:hAnsi="Times New Roman" w:cs="Times New Roman"/>
          <w:sz w:val="24"/>
          <w:szCs w:val="24"/>
        </w:rPr>
        <w:t xml:space="preserve"> sobre seus empregados.</w:t>
      </w:r>
      <w:r w:rsidR="001531D5" w:rsidRPr="00412A54">
        <w:rPr>
          <w:rFonts w:ascii="Times New Roman" w:hAnsi="Times New Roman" w:cs="Times New Roman"/>
          <w:sz w:val="24"/>
          <w:szCs w:val="24"/>
        </w:rPr>
        <w:t xml:space="preserve"> Convém lembrar que uma vez que as informações são fornecidas pelos empregadores, certos vieses podem ser encontrados. Ao se cotejar a RAIS com a Pesquisa Nacional por Amostragem de Domicílios (PNAD), Negri et al. (2001) salientam que, para além das diferenças em termos de formato </w:t>
      </w:r>
      <w:r w:rsidR="00447044" w:rsidRPr="00412A54">
        <w:rPr>
          <w:rFonts w:ascii="Times New Roman" w:hAnsi="Times New Roman" w:cs="Times New Roman"/>
          <w:sz w:val="24"/>
          <w:szCs w:val="24"/>
        </w:rPr>
        <w:t>–</w:t>
      </w:r>
      <w:r w:rsidR="001531D5" w:rsidRPr="00412A54">
        <w:rPr>
          <w:rFonts w:ascii="Times New Roman" w:hAnsi="Times New Roman" w:cs="Times New Roman"/>
          <w:sz w:val="24"/>
          <w:szCs w:val="24"/>
        </w:rPr>
        <w:t xml:space="preserve"> a RAIS tem caráter populacional e a PNAD amostral </w:t>
      </w:r>
      <w:r w:rsidR="00447044" w:rsidRPr="00412A54">
        <w:rPr>
          <w:rFonts w:ascii="Times New Roman" w:hAnsi="Times New Roman" w:cs="Times New Roman"/>
          <w:sz w:val="24"/>
          <w:szCs w:val="24"/>
        </w:rPr>
        <w:t>–</w:t>
      </w:r>
      <w:r w:rsidR="001531D5" w:rsidRPr="00412A54">
        <w:rPr>
          <w:rFonts w:ascii="Times New Roman" w:hAnsi="Times New Roman" w:cs="Times New Roman"/>
          <w:sz w:val="24"/>
          <w:szCs w:val="24"/>
        </w:rPr>
        <w:t xml:space="preserve"> o fato de </w:t>
      </w:r>
      <w:r w:rsidR="00A6158D" w:rsidRPr="00412A54">
        <w:rPr>
          <w:rFonts w:ascii="Times New Roman" w:hAnsi="Times New Roman" w:cs="Times New Roman"/>
          <w:sz w:val="24"/>
          <w:szCs w:val="24"/>
        </w:rPr>
        <w:t>na</w:t>
      </w:r>
      <w:r w:rsidR="001531D5" w:rsidRPr="00412A54">
        <w:rPr>
          <w:rFonts w:ascii="Times New Roman" w:hAnsi="Times New Roman" w:cs="Times New Roman"/>
          <w:sz w:val="24"/>
          <w:szCs w:val="24"/>
        </w:rPr>
        <w:t xml:space="preserve"> primeira o informante ser o empregador e na última o indivíduo acarreta </w:t>
      </w:r>
      <w:r w:rsidR="008D6F1E" w:rsidRPr="00412A54">
        <w:rPr>
          <w:rFonts w:ascii="Times New Roman" w:hAnsi="Times New Roman" w:cs="Times New Roman"/>
          <w:sz w:val="24"/>
          <w:szCs w:val="24"/>
        </w:rPr>
        <w:t>diferenças</w:t>
      </w:r>
      <w:r w:rsidR="001531D5" w:rsidRPr="00412A54">
        <w:rPr>
          <w:rFonts w:ascii="Times New Roman" w:hAnsi="Times New Roman" w:cs="Times New Roman"/>
          <w:sz w:val="24"/>
          <w:szCs w:val="24"/>
        </w:rPr>
        <w:t xml:space="preserve"> n</w:t>
      </w:r>
      <w:r w:rsidR="008D6F1E" w:rsidRPr="00412A54">
        <w:rPr>
          <w:rFonts w:ascii="Times New Roman" w:hAnsi="Times New Roman" w:cs="Times New Roman"/>
          <w:sz w:val="24"/>
          <w:szCs w:val="24"/>
        </w:rPr>
        <w:t>o grau de</w:t>
      </w:r>
      <w:r w:rsidR="001531D5" w:rsidRPr="00412A54">
        <w:rPr>
          <w:rFonts w:ascii="Times New Roman" w:hAnsi="Times New Roman" w:cs="Times New Roman"/>
          <w:sz w:val="24"/>
          <w:szCs w:val="24"/>
        </w:rPr>
        <w:t xml:space="preserve"> </w:t>
      </w:r>
      <w:r w:rsidR="005B72CC" w:rsidRPr="00412A54">
        <w:rPr>
          <w:rFonts w:ascii="Times New Roman" w:hAnsi="Times New Roman" w:cs="Times New Roman"/>
          <w:sz w:val="24"/>
          <w:szCs w:val="24"/>
        </w:rPr>
        <w:t>con</w:t>
      </w:r>
      <w:r w:rsidR="001531D5" w:rsidRPr="00412A54">
        <w:rPr>
          <w:rFonts w:ascii="Times New Roman" w:hAnsi="Times New Roman" w:cs="Times New Roman"/>
          <w:sz w:val="24"/>
          <w:szCs w:val="24"/>
        </w:rPr>
        <w:t>ﬁabilidade da declaração. No caso da RAIS, isso é especialmente relevante nos setores menos organizados da economia.</w:t>
      </w:r>
      <w:r w:rsidR="001531D5" w:rsidRPr="00412A54">
        <w:t xml:space="preserve"> </w:t>
      </w:r>
    </w:p>
    <w:p w14:paraId="784F9C10" w14:textId="681F00FF" w:rsidR="00554C3F" w:rsidRPr="00412A54" w:rsidRDefault="00554C3F" w:rsidP="004818F5">
      <w:pPr>
        <w:jc w:val="both"/>
        <w:outlineLvl w:val="0"/>
      </w:pPr>
      <w:r w:rsidRPr="00412A54">
        <w:rPr>
          <w:rFonts w:ascii="Times New Roman" w:hAnsi="Times New Roman" w:cs="Times New Roman"/>
          <w:sz w:val="24"/>
          <w:szCs w:val="24"/>
        </w:rPr>
        <w:t xml:space="preserve">Para além da qualidade da informação, a principal limitação desta base diz respeito a sua abrangência ser restrita ao </w:t>
      </w:r>
      <w:r w:rsidR="008D6F1E" w:rsidRPr="00412A54">
        <w:rPr>
          <w:rFonts w:ascii="Times New Roman" w:hAnsi="Times New Roman" w:cs="Times New Roman"/>
          <w:sz w:val="24"/>
          <w:szCs w:val="24"/>
        </w:rPr>
        <w:t>mercado</w:t>
      </w:r>
      <w:r w:rsidRPr="00412A54">
        <w:rPr>
          <w:rFonts w:ascii="Times New Roman" w:hAnsi="Times New Roman" w:cs="Times New Roman"/>
          <w:sz w:val="24"/>
          <w:szCs w:val="24"/>
        </w:rPr>
        <w:t xml:space="preserve"> formal, excluindo uma parcela significativa dos trabalhadores brasileiros que não possuem vínculos formais de trabalho. Considerando os objetivos aqui propostos de estudar a distribuição e retorno </w:t>
      </w:r>
      <w:r w:rsidR="008D6F1E" w:rsidRPr="00412A54">
        <w:rPr>
          <w:rFonts w:ascii="Times New Roman" w:hAnsi="Times New Roman" w:cs="Times New Roman"/>
          <w:sz w:val="24"/>
          <w:szCs w:val="24"/>
        </w:rPr>
        <w:t xml:space="preserve">à </w:t>
      </w:r>
      <w:r w:rsidRPr="00412A54">
        <w:rPr>
          <w:rFonts w:ascii="Times New Roman" w:hAnsi="Times New Roman" w:cs="Times New Roman"/>
          <w:sz w:val="24"/>
          <w:szCs w:val="24"/>
        </w:rPr>
        <w:t xml:space="preserve"> determinadas características ocupacionais, faz-se nota que a exclusão do mercado informal subestima o número de trabalhadores alocados em ocupações intensivas em habilidades rotineiras, em especial relacionadas ao setor de serviços, largamente informal. Embora tal limitação seja substancial, a escolha da RAIS frente à PNAD </w:t>
      </w:r>
      <w:r w:rsidR="008D6F1E" w:rsidRPr="00412A54">
        <w:rPr>
          <w:rFonts w:ascii="Times New Roman" w:hAnsi="Times New Roman" w:cs="Times New Roman"/>
          <w:sz w:val="24"/>
          <w:szCs w:val="24"/>
        </w:rPr>
        <w:t xml:space="preserve">é justificada </w:t>
      </w:r>
      <w:r w:rsidRPr="00412A54">
        <w:rPr>
          <w:rFonts w:ascii="Times New Roman" w:hAnsi="Times New Roman" w:cs="Times New Roman"/>
          <w:sz w:val="24"/>
          <w:szCs w:val="24"/>
        </w:rPr>
        <w:t>pel</w:t>
      </w:r>
      <w:r w:rsidR="008D6F1E" w:rsidRPr="00412A54">
        <w:rPr>
          <w:rFonts w:ascii="Times New Roman" w:hAnsi="Times New Roman" w:cs="Times New Roman"/>
          <w:sz w:val="24"/>
          <w:szCs w:val="24"/>
        </w:rPr>
        <w:t xml:space="preserve">a constância metodológica </w:t>
      </w:r>
      <w:r w:rsidRPr="00412A54">
        <w:rPr>
          <w:rFonts w:ascii="Times New Roman" w:hAnsi="Times New Roman" w:cs="Times New Roman"/>
          <w:sz w:val="24"/>
          <w:szCs w:val="24"/>
        </w:rPr>
        <w:t xml:space="preserve">da primeira </w:t>
      </w:r>
      <w:r w:rsidR="008D6F1E" w:rsidRPr="00412A54">
        <w:rPr>
          <w:rFonts w:ascii="Times New Roman" w:hAnsi="Times New Roman" w:cs="Times New Roman"/>
          <w:sz w:val="24"/>
          <w:szCs w:val="24"/>
        </w:rPr>
        <w:t xml:space="preserve">dentre </w:t>
      </w:r>
      <w:r w:rsidRPr="00412A54">
        <w:rPr>
          <w:rFonts w:ascii="Times New Roman" w:hAnsi="Times New Roman" w:cs="Times New Roman"/>
          <w:sz w:val="24"/>
          <w:szCs w:val="24"/>
        </w:rPr>
        <w:t xml:space="preserve">os anos considerados, </w:t>
      </w:r>
      <w:r w:rsidR="008D6F1E" w:rsidRPr="00412A54">
        <w:rPr>
          <w:rFonts w:ascii="Times New Roman" w:hAnsi="Times New Roman" w:cs="Times New Roman"/>
          <w:sz w:val="24"/>
          <w:szCs w:val="24"/>
        </w:rPr>
        <w:t xml:space="preserve">ampliando a possibilidade de </w:t>
      </w:r>
      <w:r w:rsidRPr="00412A54">
        <w:rPr>
          <w:rFonts w:ascii="Times New Roman" w:hAnsi="Times New Roman" w:cs="Times New Roman"/>
          <w:sz w:val="24"/>
          <w:szCs w:val="24"/>
        </w:rPr>
        <w:t xml:space="preserve">comparação </w:t>
      </w:r>
      <w:r w:rsidR="008D6F1E" w:rsidRPr="00412A54">
        <w:rPr>
          <w:rFonts w:ascii="Times New Roman" w:hAnsi="Times New Roman" w:cs="Times New Roman"/>
          <w:sz w:val="24"/>
          <w:szCs w:val="24"/>
        </w:rPr>
        <w:t>entre o</w:t>
      </w:r>
      <w:r w:rsidRPr="00412A54">
        <w:rPr>
          <w:rFonts w:ascii="Times New Roman" w:hAnsi="Times New Roman" w:cs="Times New Roman"/>
          <w:sz w:val="24"/>
          <w:szCs w:val="24"/>
        </w:rPr>
        <w:t xml:space="preserve"> ano inicial e final, ao contrário da segunda. </w:t>
      </w:r>
    </w:p>
    <w:p w14:paraId="21231131" w14:textId="48A140AC" w:rsidR="00175C4E" w:rsidRPr="00412A54" w:rsidRDefault="001531D5" w:rsidP="004818F5">
      <w:pPr>
        <w:pStyle w:val="Ttulo2"/>
        <w:jc w:val="both"/>
        <w:rPr>
          <w:rFonts w:ascii="Times New Roman" w:hAnsi="Times New Roman" w:cs="Times New Roman"/>
          <w:color w:val="auto"/>
          <w:sz w:val="24"/>
          <w:szCs w:val="24"/>
        </w:rPr>
      </w:pPr>
      <w:r w:rsidRPr="00412A54">
        <w:rPr>
          <w:rFonts w:ascii="Times New Roman" w:hAnsi="Times New Roman" w:cs="Times New Roman"/>
          <w:color w:val="auto"/>
          <w:sz w:val="24"/>
          <w:szCs w:val="24"/>
        </w:rPr>
        <w:t xml:space="preserve">Com relação </w:t>
      </w:r>
      <w:r w:rsidR="00554C3F" w:rsidRPr="00412A54">
        <w:rPr>
          <w:rFonts w:ascii="Times New Roman" w:hAnsi="Times New Roman" w:cs="Times New Roman"/>
          <w:color w:val="auto"/>
          <w:sz w:val="24"/>
          <w:szCs w:val="24"/>
        </w:rPr>
        <w:t xml:space="preserve">as variáveis selecionadas, utilizamos </w:t>
      </w:r>
      <w:r w:rsidRPr="00412A54">
        <w:rPr>
          <w:rFonts w:ascii="Times New Roman" w:hAnsi="Times New Roman" w:cs="Times New Roman"/>
          <w:color w:val="auto"/>
          <w:sz w:val="24"/>
          <w:szCs w:val="24"/>
        </w:rPr>
        <w:t>a remuneração nominal em dezembro</w:t>
      </w:r>
      <w:r w:rsidR="00554C3F" w:rsidRPr="00412A54">
        <w:rPr>
          <w:rFonts w:ascii="Times New Roman" w:hAnsi="Times New Roman" w:cs="Times New Roman"/>
          <w:color w:val="auto"/>
          <w:sz w:val="24"/>
          <w:szCs w:val="24"/>
        </w:rPr>
        <w:t xml:space="preserve"> como base para medida de rendimento</w:t>
      </w:r>
      <w:r w:rsidRPr="00412A54">
        <w:rPr>
          <w:rFonts w:ascii="Times New Roman" w:hAnsi="Times New Roman" w:cs="Times New Roman"/>
          <w:color w:val="auto"/>
          <w:sz w:val="24"/>
          <w:szCs w:val="24"/>
        </w:rPr>
        <w:t xml:space="preserve">. A opção por mensurar o rendimento </w:t>
      </w:r>
      <w:r w:rsidR="00554C3F" w:rsidRPr="00412A54">
        <w:rPr>
          <w:rFonts w:ascii="Times New Roman" w:hAnsi="Times New Roman" w:cs="Times New Roman"/>
          <w:color w:val="auto"/>
          <w:sz w:val="24"/>
          <w:szCs w:val="24"/>
        </w:rPr>
        <w:t>n</w:t>
      </w:r>
      <w:r w:rsidRPr="00412A54">
        <w:rPr>
          <w:rFonts w:ascii="Times New Roman" w:hAnsi="Times New Roman" w:cs="Times New Roman"/>
          <w:color w:val="auto"/>
          <w:sz w:val="24"/>
          <w:szCs w:val="24"/>
        </w:rPr>
        <w:t>o referido mês se dá pela estratégia de evitar sazonalidades passíveis de serem encontradas na outra variável de rendimento</w:t>
      </w:r>
      <w:r w:rsidR="008D6F1E" w:rsidRPr="00412A54">
        <w:rPr>
          <w:rFonts w:ascii="Times New Roman" w:hAnsi="Times New Roman" w:cs="Times New Roman"/>
          <w:color w:val="auto"/>
          <w:sz w:val="24"/>
          <w:szCs w:val="24"/>
        </w:rPr>
        <w:t xml:space="preserve"> nominal disponível n</w:t>
      </w:r>
      <w:r w:rsidRPr="00412A54">
        <w:rPr>
          <w:rFonts w:ascii="Times New Roman" w:hAnsi="Times New Roman" w:cs="Times New Roman"/>
          <w:color w:val="auto"/>
          <w:sz w:val="24"/>
          <w:szCs w:val="24"/>
        </w:rPr>
        <w:t>a RAIS</w:t>
      </w:r>
      <w:r w:rsidR="008D6F1E" w:rsidRPr="00412A54">
        <w:rPr>
          <w:rFonts w:ascii="Times New Roman" w:hAnsi="Times New Roman" w:cs="Times New Roman"/>
          <w:color w:val="auto"/>
          <w:sz w:val="24"/>
          <w:szCs w:val="24"/>
        </w:rPr>
        <w:t>, a r</w:t>
      </w:r>
      <w:r w:rsidRPr="00412A54">
        <w:rPr>
          <w:rFonts w:ascii="Times New Roman" w:hAnsi="Times New Roman" w:cs="Times New Roman"/>
          <w:color w:val="auto"/>
          <w:sz w:val="24"/>
          <w:szCs w:val="24"/>
        </w:rPr>
        <w:t xml:space="preserve">emuneração nominal média. Para ﬁns de comparação entre 2006 </w:t>
      </w:r>
      <w:r w:rsidR="00A6158D" w:rsidRPr="00412A54">
        <w:rPr>
          <w:rFonts w:ascii="Times New Roman" w:hAnsi="Times New Roman" w:cs="Times New Roman"/>
          <w:color w:val="auto"/>
          <w:sz w:val="24"/>
          <w:szCs w:val="24"/>
        </w:rPr>
        <w:t>a</w:t>
      </w:r>
      <w:r w:rsidRPr="00412A54">
        <w:rPr>
          <w:rFonts w:ascii="Times New Roman" w:hAnsi="Times New Roman" w:cs="Times New Roman"/>
          <w:color w:val="auto"/>
          <w:sz w:val="24"/>
          <w:szCs w:val="24"/>
        </w:rPr>
        <w:t xml:space="preserve"> 2016, </w:t>
      </w:r>
      <w:r w:rsidR="008D6F1E" w:rsidRPr="00412A54">
        <w:rPr>
          <w:rFonts w:ascii="Times New Roman" w:hAnsi="Times New Roman" w:cs="Times New Roman"/>
          <w:color w:val="auto"/>
          <w:sz w:val="24"/>
          <w:szCs w:val="24"/>
        </w:rPr>
        <w:t>a</w:t>
      </w:r>
      <w:r w:rsidRPr="00412A54">
        <w:rPr>
          <w:rFonts w:ascii="Times New Roman" w:hAnsi="Times New Roman" w:cs="Times New Roman"/>
          <w:color w:val="auto"/>
          <w:sz w:val="24"/>
          <w:szCs w:val="24"/>
        </w:rPr>
        <w:t xml:space="preserve"> variável </w:t>
      </w:r>
      <w:r w:rsidR="008D6F1E" w:rsidRPr="00412A54">
        <w:rPr>
          <w:rFonts w:ascii="Times New Roman" w:hAnsi="Times New Roman" w:cs="Times New Roman"/>
          <w:color w:val="auto"/>
          <w:sz w:val="24"/>
          <w:szCs w:val="24"/>
        </w:rPr>
        <w:t xml:space="preserve"> de rendimentos escolhida </w:t>
      </w:r>
      <w:r w:rsidRPr="00412A54">
        <w:rPr>
          <w:rFonts w:ascii="Times New Roman" w:hAnsi="Times New Roman" w:cs="Times New Roman"/>
          <w:color w:val="auto"/>
          <w:sz w:val="24"/>
          <w:szCs w:val="24"/>
        </w:rPr>
        <w:t>foi deﬂacionada tendo como base o Índice de Preços ao Consumidor Amplo (IPCA)</w:t>
      </w:r>
      <w:r w:rsidR="008D6F1E" w:rsidRPr="00412A54">
        <w:rPr>
          <w:rFonts w:ascii="Times New Roman" w:hAnsi="Times New Roman" w:cs="Times New Roman"/>
          <w:color w:val="auto"/>
          <w:sz w:val="24"/>
          <w:szCs w:val="24"/>
        </w:rPr>
        <w:t xml:space="preserve"> de 2016</w:t>
      </w:r>
      <w:r w:rsidRPr="00412A54">
        <w:rPr>
          <w:rFonts w:ascii="Times New Roman" w:hAnsi="Times New Roman" w:cs="Times New Roman"/>
          <w:color w:val="auto"/>
          <w:sz w:val="24"/>
          <w:szCs w:val="24"/>
        </w:rPr>
        <w:t xml:space="preserve">. É válido ressaltar que, além do fenômeno inﬂacionário, o </w:t>
      </w:r>
      <w:r w:rsidR="008D6F1E" w:rsidRPr="00412A54">
        <w:rPr>
          <w:rFonts w:ascii="Times New Roman" w:hAnsi="Times New Roman" w:cs="Times New Roman"/>
          <w:color w:val="auto"/>
          <w:sz w:val="24"/>
          <w:szCs w:val="24"/>
        </w:rPr>
        <w:t>intervalo</w:t>
      </w:r>
      <w:r w:rsidRPr="00412A54">
        <w:rPr>
          <w:rFonts w:ascii="Times New Roman" w:hAnsi="Times New Roman" w:cs="Times New Roman"/>
          <w:color w:val="auto"/>
          <w:sz w:val="24"/>
          <w:szCs w:val="24"/>
        </w:rPr>
        <w:t xml:space="preserve"> de 2006 a 2016 foi marcado por expressivo crescimento do salário mínimo</w:t>
      </w:r>
      <w:r w:rsidR="00FC56F8" w:rsidRPr="00412A54">
        <w:rPr>
          <w:rFonts w:ascii="Times New Roman" w:hAnsi="Times New Roman" w:cs="Times New Roman"/>
          <w:color w:val="auto"/>
          <w:sz w:val="24"/>
          <w:szCs w:val="24"/>
        </w:rPr>
        <w:t>.</w:t>
      </w:r>
    </w:p>
    <w:p w14:paraId="5957568C" w14:textId="03716004" w:rsidR="008D6F1E" w:rsidRPr="00412A54" w:rsidRDefault="00FC56F8" w:rsidP="004818F5">
      <w:pPr>
        <w:pStyle w:val="Ttulo2"/>
        <w:rPr>
          <w:rFonts w:ascii="Times New Roman" w:hAnsi="Times New Roman" w:cs="Times New Roman"/>
          <w:color w:val="auto"/>
          <w:sz w:val="24"/>
          <w:szCs w:val="24"/>
        </w:rPr>
      </w:pPr>
      <w:r w:rsidRPr="00412A54">
        <w:rPr>
          <w:rFonts w:ascii="Times New Roman" w:hAnsi="Times New Roman" w:cs="Times New Roman"/>
          <w:color w:val="auto"/>
          <w:sz w:val="24"/>
          <w:szCs w:val="24"/>
        </w:rPr>
        <w:t>Além do salário, outras variáveis também são utilizadas no presente estudo. As demais variáveis contempladas são</w:t>
      </w:r>
      <w:r w:rsidRPr="00412A54">
        <w:rPr>
          <w:rStyle w:val="Refdecomentrio"/>
          <w:rFonts w:asciiTheme="minorHAnsi" w:eastAsiaTheme="minorHAnsi" w:hAnsiTheme="minorHAnsi" w:cstheme="minorBidi"/>
          <w:color w:val="auto"/>
        </w:rPr>
        <w:t xml:space="preserve"> </w:t>
      </w:r>
      <w:r w:rsidRPr="00412A54">
        <w:rPr>
          <w:rFonts w:ascii="Times New Roman" w:hAnsi="Times New Roman" w:cs="Times New Roman"/>
          <w:color w:val="auto"/>
          <w:sz w:val="24"/>
          <w:szCs w:val="24"/>
        </w:rPr>
        <w:t>(1) grau de instru</w:t>
      </w:r>
      <w:r w:rsidR="006F28D8" w:rsidRPr="00412A54">
        <w:rPr>
          <w:rFonts w:ascii="Times New Roman" w:hAnsi="Times New Roman" w:cs="Times New Roman"/>
          <w:color w:val="auto"/>
          <w:sz w:val="24"/>
          <w:szCs w:val="24"/>
        </w:rPr>
        <w:t>ção, (2) sexo, (3) idade, (4) quantidade de horas contratadas e (5) código da ocupação</w:t>
      </w:r>
      <w:r w:rsidR="004818F5" w:rsidRPr="00412A54">
        <w:rPr>
          <w:rFonts w:ascii="Times New Roman" w:hAnsi="Times New Roman" w:cs="Times New Roman"/>
          <w:color w:val="auto"/>
          <w:sz w:val="24"/>
          <w:szCs w:val="24"/>
        </w:rPr>
        <w:t>.</w:t>
      </w:r>
      <w:r w:rsidR="006F28D8" w:rsidRPr="00412A54">
        <w:rPr>
          <w:rFonts w:ascii="Times New Roman" w:hAnsi="Times New Roman" w:cs="Times New Roman"/>
          <w:color w:val="auto"/>
          <w:sz w:val="24"/>
          <w:szCs w:val="24"/>
        </w:rPr>
        <w:t xml:space="preserve"> </w:t>
      </w:r>
      <w:r w:rsidR="001531D5" w:rsidRPr="00412A54">
        <w:rPr>
          <w:rFonts w:ascii="Times New Roman" w:hAnsi="Times New Roman" w:cs="Times New Roman"/>
          <w:color w:val="auto"/>
          <w:sz w:val="24"/>
          <w:szCs w:val="24"/>
        </w:rPr>
        <w:t xml:space="preserve"> Esta última variável é derivada da Classificação Brasileira de Ocupações de 2002</w:t>
      </w:r>
      <w:r w:rsidR="00834985" w:rsidRPr="00412A54">
        <w:rPr>
          <w:rFonts w:ascii="Times New Roman" w:hAnsi="Times New Roman" w:cs="Times New Roman"/>
          <w:color w:val="auto"/>
          <w:sz w:val="24"/>
          <w:szCs w:val="24"/>
        </w:rPr>
        <w:t xml:space="preserve"> e dá origem à tipologia de natureza da ocupação, cuja construção é detalhada</w:t>
      </w:r>
      <w:r w:rsidR="00C3534E" w:rsidRPr="00412A54">
        <w:rPr>
          <w:rFonts w:ascii="Times New Roman" w:hAnsi="Times New Roman" w:cs="Times New Roman"/>
          <w:color w:val="auto"/>
          <w:sz w:val="24"/>
          <w:szCs w:val="24"/>
        </w:rPr>
        <w:t xml:space="preserve"> na</w:t>
      </w:r>
      <w:r w:rsidR="008D6F1E" w:rsidRPr="00412A54">
        <w:rPr>
          <w:rFonts w:ascii="Times New Roman" w:hAnsi="Times New Roman" w:cs="Times New Roman"/>
          <w:color w:val="auto"/>
          <w:sz w:val="24"/>
          <w:szCs w:val="24"/>
        </w:rPr>
        <w:t xml:space="preserve"> próxima</w:t>
      </w:r>
      <w:r w:rsidR="00C3534E" w:rsidRPr="00412A54">
        <w:rPr>
          <w:rFonts w:ascii="Times New Roman" w:hAnsi="Times New Roman" w:cs="Times New Roman"/>
          <w:color w:val="auto"/>
          <w:sz w:val="24"/>
          <w:szCs w:val="24"/>
        </w:rPr>
        <w:t xml:space="preserve"> sessão</w:t>
      </w:r>
      <w:r w:rsidR="008D6F1E" w:rsidRPr="00412A54">
        <w:rPr>
          <w:rFonts w:ascii="Times New Roman" w:hAnsi="Times New Roman" w:cs="Times New Roman"/>
          <w:color w:val="auto"/>
          <w:sz w:val="24"/>
          <w:szCs w:val="24"/>
        </w:rPr>
        <w:t>.</w:t>
      </w:r>
    </w:p>
    <w:p w14:paraId="06A01939" w14:textId="33911888" w:rsidR="008D6F1E" w:rsidRPr="00412A54" w:rsidRDefault="008D6F1E" w:rsidP="008D6F1E"/>
    <w:p w14:paraId="6066F917" w14:textId="696EBF78" w:rsidR="003D2D7D" w:rsidRPr="00412A54" w:rsidRDefault="003D2D7D" w:rsidP="008D6F1E"/>
    <w:p w14:paraId="58B44FCF" w14:textId="77777777" w:rsidR="003D2D7D" w:rsidRPr="00412A54" w:rsidRDefault="003D2D7D" w:rsidP="008D6F1E"/>
    <w:p w14:paraId="46F44373" w14:textId="139C1BA8" w:rsidR="00C3534E" w:rsidRPr="00412A54" w:rsidRDefault="00B36223" w:rsidP="00C3534E">
      <w:pPr>
        <w:ind w:firstLine="360"/>
        <w:rPr>
          <w:rFonts w:ascii="Times New Roman" w:hAnsi="Times New Roman" w:cs="Times New Roman"/>
          <w:b/>
          <w:sz w:val="24"/>
          <w:szCs w:val="24"/>
        </w:rPr>
      </w:pPr>
      <w:r w:rsidRPr="00412A54">
        <w:rPr>
          <w:rFonts w:ascii="Times New Roman" w:hAnsi="Times New Roman" w:cs="Times New Roman"/>
          <w:b/>
          <w:sz w:val="24"/>
          <w:szCs w:val="24"/>
        </w:rPr>
        <w:t xml:space="preserve">3.2 </w:t>
      </w:r>
      <w:r w:rsidR="00C3534E" w:rsidRPr="00412A54">
        <w:rPr>
          <w:rFonts w:ascii="Times New Roman" w:hAnsi="Times New Roman" w:cs="Times New Roman"/>
          <w:b/>
          <w:sz w:val="24"/>
          <w:szCs w:val="24"/>
        </w:rPr>
        <w:t xml:space="preserve">Construção da Tipologia de Natureza da Ocupação </w:t>
      </w:r>
    </w:p>
    <w:p w14:paraId="23CC5EE8" w14:textId="77777777" w:rsidR="008D6F1E" w:rsidRPr="00412A54" w:rsidRDefault="008D6F1E" w:rsidP="004818F5">
      <w:pPr>
        <w:jc w:val="both"/>
        <w:outlineLvl w:val="0"/>
        <w:rPr>
          <w:rFonts w:ascii="Times New Roman" w:hAnsi="Times New Roman" w:cs="Times New Roman"/>
          <w:sz w:val="24"/>
          <w:szCs w:val="24"/>
        </w:rPr>
      </w:pPr>
      <w:r w:rsidRPr="00412A54">
        <w:rPr>
          <w:rFonts w:ascii="Times New Roman" w:hAnsi="Times New Roman" w:cs="Times New Roman"/>
          <w:sz w:val="24"/>
          <w:szCs w:val="24"/>
        </w:rPr>
        <w:t xml:space="preserve">Utilizou-se a classificação feita por Oliveira et. al (2017) para categorizar as ocupações brasileiras quanto ao tipo de atividade predominante. Para cada família ocupacional, a CBO disponibiliza uma descrição das atividades tipicamente realizadas nos ofícios. Oliveira et. al (2017) classificam estas  atividades de modo compatível com as classificações internacionais como a O*NET, e com os trabalhos de Spitz-Oener (2006), Autor e Dorn (2011) e Brandes e Wattenhofer (2016) que, por sua vez, se baseiam no trabalho pioneiro de Autor, Levy e Murnane (2003). </w:t>
      </w:r>
    </w:p>
    <w:p w14:paraId="7261B2BC" w14:textId="615258A6" w:rsidR="008D6F1E" w:rsidRPr="00412A54" w:rsidRDefault="008D6F1E" w:rsidP="004818F5">
      <w:pPr>
        <w:jc w:val="both"/>
        <w:outlineLvl w:val="0"/>
        <w:rPr>
          <w:rFonts w:ascii="Times New Roman" w:hAnsi="Times New Roman" w:cs="Times New Roman"/>
          <w:sz w:val="24"/>
          <w:szCs w:val="24"/>
        </w:rPr>
      </w:pPr>
      <w:r w:rsidRPr="00412A54">
        <w:rPr>
          <w:rFonts w:ascii="Times New Roman" w:hAnsi="Times New Roman" w:cs="Times New Roman"/>
          <w:sz w:val="24"/>
          <w:szCs w:val="24"/>
        </w:rPr>
        <w:t>Isto é, os referidos autores classificam</w:t>
      </w:r>
      <w:r w:rsidR="006B6A99" w:rsidRPr="00412A54">
        <w:rPr>
          <w:rFonts w:ascii="Times New Roman" w:hAnsi="Times New Roman" w:cs="Times New Roman"/>
          <w:sz w:val="24"/>
          <w:szCs w:val="24"/>
        </w:rPr>
        <w:t xml:space="preserve"> - seguindo Autor, Levy e Murnane (2003)</w:t>
      </w:r>
      <w:r w:rsidRPr="00412A54">
        <w:rPr>
          <w:rFonts w:ascii="Times New Roman" w:hAnsi="Times New Roman" w:cs="Times New Roman"/>
          <w:sz w:val="24"/>
          <w:szCs w:val="24"/>
        </w:rPr>
        <w:t xml:space="preserve"> </w:t>
      </w:r>
      <w:r w:rsidR="006B6A99" w:rsidRPr="00412A54">
        <w:rPr>
          <w:rFonts w:ascii="Times New Roman" w:hAnsi="Times New Roman" w:cs="Times New Roman"/>
          <w:sz w:val="24"/>
          <w:szCs w:val="24"/>
        </w:rPr>
        <w:t xml:space="preserve">- </w:t>
      </w:r>
      <w:r w:rsidRPr="00412A54">
        <w:rPr>
          <w:rFonts w:ascii="Times New Roman" w:hAnsi="Times New Roman" w:cs="Times New Roman"/>
          <w:sz w:val="24"/>
          <w:szCs w:val="24"/>
        </w:rPr>
        <w:t>as atividades quanto aos eixos manual/não manual e rotineiro/não rotineiro. A definição destas categorias pode ser sumarizada da seguinte maneira:</w:t>
      </w:r>
    </w:p>
    <w:p w14:paraId="2912C8F0" w14:textId="41A33519" w:rsidR="008D6F1E" w:rsidRPr="00412A54" w:rsidRDefault="008D6F1E" w:rsidP="00834985">
      <w:pPr>
        <w:ind w:firstLine="360"/>
        <w:jc w:val="both"/>
        <w:outlineLvl w:val="0"/>
        <w:rPr>
          <w:rFonts w:ascii="Times New Roman" w:hAnsi="Times New Roman" w:cs="Times New Roman"/>
          <w:sz w:val="24"/>
          <w:szCs w:val="24"/>
        </w:rPr>
      </w:pPr>
      <w:r w:rsidRPr="00412A54">
        <w:rPr>
          <w:rFonts w:ascii="Times New Roman" w:hAnsi="Times New Roman" w:cs="Times New Roman"/>
          <w:sz w:val="24"/>
          <w:szCs w:val="24"/>
        </w:rPr>
        <w:t>• Atividades rotineiras manuais: exigem “habilidade para movimentação dos dedos e manipulação o de pequenos objetos, rapidamente e acuradamente”;</w:t>
      </w:r>
      <w:r w:rsidR="0044081F" w:rsidRPr="00412A54">
        <w:rPr>
          <w:rFonts w:ascii="Times New Roman" w:hAnsi="Times New Roman" w:cs="Times New Roman"/>
          <w:sz w:val="24"/>
          <w:szCs w:val="24"/>
        </w:rPr>
        <w:t xml:space="preserve"> </w:t>
      </w:r>
    </w:p>
    <w:p w14:paraId="50B375BB" w14:textId="44FA73AD" w:rsidR="008D6F1E" w:rsidRPr="00412A54" w:rsidRDefault="008D6F1E" w:rsidP="00834985">
      <w:pPr>
        <w:ind w:firstLine="360"/>
        <w:jc w:val="both"/>
        <w:outlineLvl w:val="0"/>
        <w:rPr>
          <w:rFonts w:ascii="Times New Roman" w:hAnsi="Times New Roman" w:cs="Times New Roman"/>
          <w:sz w:val="24"/>
          <w:szCs w:val="24"/>
        </w:rPr>
      </w:pPr>
      <w:r w:rsidRPr="00412A54">
        <w:rPr>
          <w:rFonts w:ascii="Times New Roman" w:hAnsi="Times New Roman" w:cs="Times New Roman"/>
          <w:sz w:val="24"/>
          <w:szCs w:val="24"/>
        </w:rPr>
        <w:t xml:space="preserve"> • Atividades rotineiras cognitivas</w:t>
      </w:r>
      <w:r w:rsidR="005B72CC" w:rsidRPr="00412A54">
        <w:rPr>
          <w:rFonts w:ascii="Times New Roman" w:hAnsi="Times New Roman" w:cs="Times New Roman"/>
          <w:sz w:val="24"/>
          <w:szCs w:val="24"/>
        </w:rPr>
        <w:t xml:space="preserve"> (não</w:t>
      </w:r>
      <w:r w:rsidR="006B6A99" w:rsidRPr="00412A54">
        <w:rPr>
          <w:rFonts w:ascii="Times New Roman" w:hAnsi="Times New Roman" w:cs="Times New Roman"/>
          <w:sz w:val="24"/>
          <w:szCs w:val="24"/>
        </w:rPr>
        <w:t>-</w:t>
      </w:r>
      <w:r w:rsidR="005B72CC" w:rsidRPr="00412A54">
        <w:rPr>
          <w:rFonts w:ascii="Times New Roman" w:hAnsi="Times New Roman" w:cs="Times New Roman"/>
          <w:sz w:val="24"/>
          <w:szCs w:val="24"/>
        </w:rPr>
        <w:t>manuais)</w:t>
      </w:r>
      <w:r w:rsidRPr="00412A54">
        <w:rPr>
          <w:rFonts w:ascii="Times New Roman" w:hAnsi="Times New Roman" w:cs="Times New Roman"/>
          <w:sz w:val="24"/>
          <w:szCs w:val="24"/>
        </w:rPr>
        <w:t xml:space="preserve">: exigem “adaptabilidade a situações que requerem realização dentro de certos limites, padrões ou tolerância”; </w:t>
      </w:r>
    </w:p>
    <w:p w14:paraId="0FB858E9" w14:textId="77777777" w:rsidR="008D6F1E" w:rsidRPr="00412A54" w:rsidRDefault="008D6F1E" w:rsidP="00834985">
      <w:pPr>
        <w:ind w:firstLine="360"/>
        <w:jc w:val="both"/>
        <w:outlineLvl w:val="0"/>
        <w:rPr>
          <w:rFonts w:ascii="Times New Roman" w:hAnsi="Times New Roman" w:cs="Times New Roman"/>
          <w:sz w:val="24"/>
          <w:szCs w:val="24"/>
        </w:rPr>
      </w:pPr>
      <w:r w:rsidRPr="00412A54">
        <w:rPr>
          <w:rFonts w:ascii="Times New Roman" w:hAnsi="Times New Roman" w:cs="Times New Roman"/>
          <w:sz w:val="24"/>
          <w:szCs w:val="24"/>
        </w:rPr>
        <w:t>• Atividades não-rotineiras manuais: exigem “habilidade para mover a mão e o pé coordenadamente um com o outro e em concordância com um estímulo visual”; e</w:t>
      </w:r>
    </w:p>
    <w:p w14:paraId="2E378B2F" w14:textId="17E436D3" w:rsidR="008D6F1E" w:rsidRPr="00412A54" w:rsidRDefault="008D6F1E" w:rsidP="00834985">
      <w:pPr>
        <w:ind w:firstLine="360"/>
        <w:jc w:val="both"/>
        <w:outlineLvl w:val="0"/>
        <w:rPr>
          <w:rFonts w:ascii="Times New Roman" w:hAnsi="Times New Roman" w:cs="Times New Roman"/>
          <w:sz w:val="24"/>
          <w:szCs w:val="24"/>
        </w:rPr>
      </w:pPr>
      <w:r w:rsidRPr="00412A54">
        <w:rPr>
          <w:rFonts w:ascii="Times New Roman" w:hAnsi="Times New Roman" w:cs="Times New Roman"/>
          <w:sz w:val="24"/>
          <w:szCs w:val="24"/>
        </w:rPr>
        <w:t xml:space="preserve"> • Atividades não-rotineiras cognitivas</w:t>
      </w:r>
      <w:r w:rsidR="005B72CC" w:rsidRPr="00412A54">
        <w:rPr>
          <w:rFonts w:ascii="Times New Roman" w:hAnsi="Times New Roman" w:cs="Times New Roman"/>
          <w:sz w:val="24"/>
          <w:szCs w:val="24"/>
        </w:rPr>
        <w:t xml:space="preserve"> (não</w:t>
      </w:r>
      <w:r w:rsidR="006B6A99" w:rsidRPr="00412A54">
        <w:rPr>
          <w:rFonts w:ascii="Times New Roman" w:hAnsi="Times New Roman" w:cs="Times New Roman"/>
          <w:sz w:val="24"/>
          <w:szCs w:val="24"/>
        </w:rPr>
        <w:t>-</w:t>
      </w:r>
      <w:r w:rsidR="005B72CC" w:rsidRPr="00412A54">
        <w:rPr>
          <w:rFonts w:ascii="Times New Roman" w:hAnsi="Times New Roman" w:cs="Times New Roman"/>
          <w:sz w:val="24"/>
          <w:szCs w:val="24"/>
        </w:rPr>
        <w:t>manuais)</w:t>
      </w:r>
      <w:r w:rsidRPr="00412A54">
        <w:rPr>
          <w:rFonts w:ascii="Times New Roman" w:hAnsi="Times New Roman" w:cs="Times New Roman"/>
          <w:sz w:val="24"/>
          <w:szCs w:val="24"/>
        </w:rPr>
        <w:t xml:space="preserve">: caracterizadas pela “adaptabilidade em aceitar responsabilidade para direção o, controle e planejamento de uma atividade (...) podendo se relacionar </w:t>
      </w:r>
      <w:r w:rsidR="006B6A99" w:rsidRPr="00412A54">
        <w:rPr>
          <w:rFonts w:ascii="Times New Roman" w:hAnsi="Times New Roman" w:cs="Times New Roman"/>
          <w:sz w:val="24"/>
          <w:szCs w:val="24"/>
        </w:rPr>
        <w:t>a</w:t>
      </w:r>
      <w:r w:rsidRPr="00412A54">
        <w:rPr>
          <w:rFonts w:ascii="Times New Roman" w:hAnsi="Times New Roman" w:cs="Times New Roman"/>
          <w:sz w:val="24"/>
          <w:szCs w:val="24"/>
        </w:rPr>
        <w:t xml:space="preserve"> Educação o</w:t>
      </w:r>
      <w:r w:rsidR="006B6A99" w:rsidRPr="00412A54">
        <w:rPr>
          <w:rFonts w:ascii="Times New Roman" w:hAnsi="Times New Roman" w:cs="Times New Roman"/>
          <w:sz w:val="24"/>
          <w:szCs w:val="24"/>
        </w:rPr>
        <w:t>u</w:t>
      </w:r>
      <w:r w:rsidRPr="00412A54">
        <w:rPr>
          <w:rFonts w:ascii="Times New Roman" w:hAnsi="Times New Roman" w:cs="Times New Roman"/>
          <w:sz w:val="24"/>
          <w:szCs w:val="24"/>
        </w:rPr>
        <w:t xml:space="preserve"> em geral, Desenvolvimento e Matemática”.</w:t>
      </w:r>
    </w:p>
    <w:p w14:paraId="23E347D1" w14:textId="43C9DCDB" w:rsidR="008D6F1E" w:rsidRPr="00412A54" w:rsidRDefault="008D6F1E" w:rsidP="004818F5">
      <w:pPr>
        <w:jc w:val="both"/>
        <w:outlineLvl w:val="0"/>
        <w:rPr>
          <w:rFonts w:ascii="Times New Roman" w:hAnsi="Times New Roman" w:cs="Times New Roman"/>
          <w:sz w:val="24"/>
          <w:szCs w:val="24"/>
        </w:rPr>
      </w:pPr>
      <w:r w:rsidRPr="00412A54">
        <w:rPr>
          <w:rFonts w:ascii="Times New Roman" w:hAnsi="Times New Roman" w:cs="Times New Roman"/>
          <w:sz w:val="24"/>
          <w:szCs w:val="24"/>
        </w:rPr>
        <w:t>A partir da tipologia da natureza das atividades, foi gerada a intensidade ou peso d</w:t>
      </w:r>
      <w:r w:rsidR="00EE278C" w:rsidRPr="00412A54">
        <w:rPr>
          <w:rFonts w:ascii="Times New Roman" w:hAnsi="Times New Roman" w:cs="Times New Roman"/>
          <w:sz w:val="24"/>
          <w:szCs w:val="24"/>
        </w:rPr>
        <w:t xml:space="preserve">as diferentes </w:t>
      </w:r>
      <w:r w:rsidRPr="00412A54">
        <w:rPr>
          <w:rFonts w:ascii="Times New Roman" w:hAnsi="Times New Roman" w:cs="Times New Roman"/>
          <w:sz w:val="24"/>
          <w:szCs w:val="24"/>
        </w:rPr>
        <w:t>categorias de atividades em cada ocupação</w:t>
      </w:r>
      <w:r w:rsidRPr="00412A54">
        <w:rPr>
          <w:rStyle w:val="Refdenotaderodap"/>
          <w:rFonts w:ascii="Times New Roman" w:hAnsi="Times New Roman" w:cs="Times New Roman"/>
          <w:sz w:val="24"/>
          <w:szCs w:val="24"/>
        </w:rPr>
        <w:footnoteReference w:id="1"/>
      </w:r>
      <w:r w:rsidRPr="00412A54">
        <w:rPr>
          <w:rFonts w:ascii="Times New Roman" w:hAnsi="Times New Roman" w:cs="Times New Roman"/>
          <w:sz w:val="24"/>
          <w:szCs w:val="24"/>
        </w:rPr>
        <w:t xml:space="preserve">. </w:t>
      </w:r>
      <w:r w:rsidR="00471C29" w:rsidRPr="00412A54">
        <w:rPr>
          <w:rFonts w:ascii="Times New Roman" w:hAnsi="Times New Roman" w:cs="Times New Roman"/>
          <w:sz w:val="24"/>
          <w:szCs w:val="24"/>
        </w:rPr>
        <w:t xml:space="preserve">Este procedimento permite calcular, para cada ocupação, a proporção de atividades rotineiras manuais, rotineiras não-manuais, não-rotineiras manuais e não-rotineiras não manuais. </w:t>
      </w:r>
      <w:r w:rsidRPr="00412A54">
        <w:rPr>
          <w:rFonts w:ascii="Times New Roman" w:hAnsi="Times New Roman" w:cs="Times New Roman"/>
          <w:sz w:val="24"/>
          <w:szCs w:val="24"/>
        </w:rPr>
        <w:t xml:space="preserve">Em </w:t>
      </w:r>
      <w:r w:rsidR="00471C29" w:rsidRPr="00412A54">
        <w:rPr>
          <w:rFonts w:ascii="Times New Roman" w:hAnsi="Times New Roman" w:cs="Times New Roman"/>
          <w:sz w:val="24"/>
          <w:szCs w:val="24"/>
        </w:rPr>
        <w:t>seguida</w:t>
      </w:r>
      <w:r w:rsidRPr="00412A54">
        <w:rPr>
          <w:rFonts w:ascii="Times New Roman" w:hAnsi="Times New Roman" w:cs="Times New Roman"/>
          <w:sz w:val="24"/>
          <w:szCs w:val="24"/>
        </w:rPr>
        <w:t xml:space="preserve">, </w:t>
      </w:r>
      <w:r w:rsidR="00471C29" w:rsidRPr="00412A54">
        <w:rPr>
          <w:rFonts w:ascii="Times New Roman" w:hAnsi="Times New Roman" w:cs="Times New Roman"/>
          <w:sz w:val="24"/>
          <w:szCs w:val="24"/>
        </w:rPr>
        <w:t xml:space="preserve">a metodologia adotada aqui avança no sentido de </w:t>
      </w:r>
      <w:r w:rsidRPr="00412A54">
        <w:rPr>
          <w:rFonts w:ascii="Times New Roman" w:hAnsi="Times New Roman" w:cs="Times New Roman"/>
          <w:sz w:val="24"/>
          <w:szCs w:val="24"/>
        </w:rPr>
        <w:t>classifica</w:t>
      </w:r>
      <w:r w:rsidR="00471C29" w:rsidRPr="00412A54">
        <w:rPr>
          <w:rFonts w:ascii="Times New Roman" w:hAnsi="Times New Roman" w:cs="Times New Roman"/>
          <w:sz w:val="24"/>
          <w:szCs w:val="24"/>
        </w:rPr>
        <w:t>r</w:t>
      </w:r>
      <w:r w:rsidRPr="00412A54">
        <w:rPr>
          <w:rFonts w:ascii="Times New Roman" w:hAnsi="Times New Roman" w:cs="Times New Roman"/>
          <w:sz w:val="24"/>
          <w:szCs w:val="24"/>
        </w:rPr>
        <w:t xml:space="preserve"> </w:t>
      </w:r>
      <w:r w:rsidR="00881D61" w:rsidRPr="00412A54">
        <w:rPr>
          <w:rFonts w:ascii="Times New Roman" w:hAnsi="Times New Roman" w:cs="Times New Roman"/>
          <w:sz w:val="24"/>
          <w:szCs w:val="24"/>
        </w:rPr>
        <w:t>cada ocupação</w:t>
      </w:r>
      <w:r w:rsidRPr="00412A54">
        <w:rPr>
          <w:rFonts w:ascii="Times New Roman" w:hAnsi="Times New Roman" w:cs="Times New Roman"/>
          <w:sz w:val="24"/>
          <w:szCs w:val="24"/>
        </w:rPr>
        <w:t xml:space="preserve"> segundo</w:t>
      </w:r>
      <w:r w:rsidR="00881D61" w:rsidRPr="00412A54">
        <w:rPr>
          <w:rFonts w:ascii="Times New Roman" w:hAnsi="Times New Roman" w:cs="Times New Roman"/>
          <w:sz w:val="24"/>
          <w:szCs w:val="24"/>
        </w:rPr>
        <w:t xml:space="preserve"> a sua </w:t>
      </w:r>
      <w:r w:rsidRPr="00412A54">
        <w:rPr>
          <w:rFonts w:ascii="Times New Roman" w:hAnsi="Times New Roman" w:cs="Times New Roman"/>
          <w:sz w:val="24"/>
          <w:szCs w:val="24"/>
        </w:rPr>
        <w:t xml:space="preserve">atividade predominante. </w:t>
      </w:r>
      <w:r w:rsidR="00881D61" w:rsidRPr="00412A54">
        <w:rPr>
          <w:rFonts w:ascii="Times New Roman" w:hAnsi="Times New Roman" w:cs="Times New Roman"/>
          <w:sz w:val="24"/>
          <w:szCs w:val="24"/>
        </w:rPr>
        <w:t xml:space="preserve">Isto quer dizer que uma ocupação que tenha 70% de suas atividades sendo identificadas como rotineiras manuais recebe a classificação de rotineira manual. </w:t>
      </w:r>
      <w:r w:rsidRPr="00412A54">
        <w:rPr>
          <w:rFonts w:ascii="Times New Roman" w:hAnsi="Times New Roman" w:cs="Times New Roman"/>
          <w:sz w:val="24"/>
          <w:szCs w:val="24"/>
        </w:rPr>
        <w:t xml:space="preserve">Faz-se nota que atribuiu-se a mesma categoria a ocupações de uma mesma família, uma vez que a descrição das atividades se dá a 3 dígitos. </w:t>
      </w:r>
    </w:p>
    <w:p w14:paraId="6146EA2D" w14:textId="1ABC2B34" w:rsidR="001531D5" w:rsidRPr="00412A54" w:rsidRDefault="00B36223" w:rsidP="00834985">
      <w:pPr>
        <w:ind w:firstLine="360"/>
        <w:jc w:val="both"/>
        <w:outlineLvl w:val="0"/>
        <w:rPr>
          <w:rFonts w:ascii="Times New Roman" w:hAnsi="Times New Roman" w:cs="Times New Roman"/>
          <w:b/>
          <w:sz w:val="24"/>
          <w:szCs w:val="24"/>
        </w:rPr>
      </w:pPr>
      <w:r w:rsidRPr="00412A54">
        <w:rPr>
          <w:rFonts w:ascii="Times New Roman" w:hAnsi="Times New Roman" w:cs="Times New Roman"/>
          <w:b/>
          <w:sz w:val="24"/>
          <w:szCs w:val="24"/>
        </w:rPr>
        <w:t xml:space="preserve">3.3. </w:t>
      </w:r>
      <w:r w:rsidR="00A6158D" w:rsidRPr="00412A54">
        <w:rPr>
          <w:rFonts w:ascii="Times New Roman" w:hAnsi="Times New Roman" w:cs="Times New Roman"/>
          <w:b/>
          <w:sz w:val="24"/>
          <w:szCs w:val="24"/>
        </w:rPr>
        <w:t>Metodologia</w:t>
      </w:r>
    </w:p>
    <w:p w14:paraId="7892A499" w14:textId="6E123691" w:rsidR="00C3534E" w:rsidRPr="00412A54" w:rsidRDefault="00A6158D" w:rsidP="004818F5">
      <w:pPr>
        <w:jc w:val="both"/>
        <w:outlineLvl w:val="0"/>
        <w:rPr>
          <w:rFonts w:ascii="Times New Roman" w:hAnsi="Times New Roman" w:cs="Times New Roman"/>
          <w:sz w:val="24"/>
          <w:szCs w:val="24"/>
        </w:rPr>
      </w:pPr>
      <w:r w:rsidRPr="00412A54">
        <w:rPr>
          <w:rFonts w:ascii="Times New Roman" w:hAnsi="Times New Roman" w:cs="Times New Roman"/>
          <w:sz w:val="24"/>
          <w:szCs w:val="24"/>
        </w:rPr>
        <w:t>Para avaliar o retorno às características ocupacionais</w:t>
      </w:r>
      <w:r w:rsidR="00C53C98" w:rsidRPr="00412A54">
        <w:rPr>
          <w:rFonts w:ascii="Times New Roman" w:hAnsi="Times New Roman" w:cs="Times New Roman"/>
          <w:sz w:val="24"/>
          <w:szCs w:val="24"/>
        </w:rPr>
        <w:t xml:space="preserve"> categorizadas conforme a supracitada tipologia</w:t>
      </w:r>
      <w:r w:rsidRPr="00412A54">
        <w:rPr>
          <w:rFonts w:ascii="Times New Roman" w:hAnsi="Times New Roman" w:cs="Times New Roman"/>
          <w:sz w:val="24"/>
          <w:szCs w:val="24"/>
        </w:rPr>
        <w:t xml:space="preserve">, estimaremos equações salariais para cada ano </w:t>
      </w:r>
      <w:r w:rsidR="008D6F1E" w:rsidRPr="00412A54">
        <w:rPr>
          <w:rFonts w:ascii="Times New Roman" w:hAnsi="Times New Roman" w:cs="Times New Roman"/>
          <w:sz w:val="24"/>
          <w:szCs w:val="24"/>
        </w:rPr>
        <w:t>por meio do</w:t>
      </w:r>
      <w:r w:rsidRPr="00412A54">
        <w:rPr>
          <w:rFonts w:ascii="Times New Roman" w:hAnsi="Times New Roman" w:cs="Times New Roman"/>
          <w:sz w:val="24"/>
          <w:szCs w:val="24"/>
        </w:rPr>
        <w:t xml:space="preserve"> método de mínimos quadrados ordinários. </w:t>
      </w:r>
      <w:r w:rsidR="00C3534E" w:rsidRPr="00412A54">
        <w:rPr>
          <w:rFonts w:ascii="Times New Roman" w:hAnsi="Times New Roman" w:cs="Times New Roman"/>
          <w:sz w:val="24"/>
          <w:szCs w:val="24"/>
        </w:rPr>
        <w:t xml:space="preserve">Estas equações se consolidaram a partir dos trabalhos de Becker </w:t>
      </w:r>
      <w:r w:rsidR="00554C3F" w:rsidRPr="00412A54">
        <w:rPr>
          <w:rFonts w:ascii="Times New Roman" w:hAnsi="Times New Roman" w:cs="Times New Roman"/>
          <w:sz w:val="24"/>
          <w:szCs w:val="24"/>
        </w:rPr>
        <w:t>(</w:t>
      </w:r>
      <w:r w:rsidR="008D6F1E" w:rsidRPr="00412A54">
        <w:rPr>
          <w:rFonts w:ascii="Times New Roman" w:hAnsi="Times New Roman" w:cs="Times New Roman"/>
          <w:sz w:val="24"/>
          <w:szCs w:val="24"/>
        </w:rPr>
        <w:t>1962</w:t>
      </w:r>
      <w:r w:rsidR="00554C3F" w:rsidRPr="00412A54">
        <w:rPr>
          <w:rFonts w:ascii="Times New Roman" w:hAnsi="Times New Roman" w:cs="Times New Roman"/>
          <w:sz w:val="24"/>
          <w:szCs w:val="24"/>
        </w:rPr>
        <w:t xml:space="preserve">) </w:t>
      </w:r>
      <w:r w:rsidR="00C3534E" w:rsidRPr="00412A54">
        <w:rPr>
          <w:rFonts w:ascii="Times New Roman" w:hAnsi="Times New Roman" w:cs="Times New Roman"/>
          <w:sz w:val="24"/>
          <w:szCs w:val="24"/>
        </w:rPr>
        <w:t>e Mincer</w:t>
      </w:r>
      <w:r w:rsidR="00554C3F" w:rsidRPr="00412A54">
        <w:rPr>
          <w:rFonts w:ascii="Times New Roman" w:hAnsi="Times New Roman" w:cs="Times New Roman"/>
          <w:sz w:val="24"/>
          <w:szCs w:val="24"/>
        </w:rPr>
        <w:t xml:space="preserve"> (</w:t>
      </w:r>
      <w:r w:rsidR="008D6F1E" w:rsidRPr="00412A54">
        <w:rPr>
          <w:rFonts w:ascii="Times New Roman" w:hAnsi="Times New Roman" w:cs="Times New Roman"/>
          <w:sz w:val="24"/>
          <w:szCs w:val="24"/>
        </w:rPr>
        <w:t>1974</w:t>
      </w:r>
      <w:r w:rsidR="00554C3F" w:rsidRPr="00412A54">
        <w:rPr>
          <w:rFonts w:ascii="Times New Roman" w:hAnsi="Times New Roman" w:cs="Times New Roman"/>
          <w:sz w:val="24"/>
          <w:szCs w:val="24"/>
        </w:rPr>
        <w:t>)</w:t>
      </w:r>
      <w:r w:rsidR="00C3534E" w:rsidRPr="00412A54">
        <w:rPr>
          <w:rFonts w:ascii="Times New Roman" w:hAnsi="Times New Roman" w:cs="Times New Roman"/>
          <w:sz w:val="24"/>
          <w:szCs w:val="24"/>
        </w:rPr>
        <w:t xml:space="preserve"> como o  ferramental econométrico mais utilizado para mensurar o retorno às características de capital humano</w:t>
      </w:r>
      <w:r w:rsidR="008D6F1E" w:rsidRPr="00412A54">
        <w:rPr>
          <w:rFonts w:ascii="Times New Roman" w:hAnsi="Times New Roman" w:cs="Times New Roman"/>
          <w:sz w:val="24"/>
          <w:szCs w:val="24"/>
        </w:rPr>
        <w:t>, como educação e experiência</w:t>
      </w:r>
      <w:r w:rsidR="00C3534E" w:rsidRPr="00412A54">
        <w:rPr>
          <w:rFonts w:ascii="Times New Roman" w:hAnsi="Times New Roman" w:cs="Times New Roman"/>
          <w:sz w:val="24"/>
          <w:szCs w:val="24"/>
        </w:rPr>
        <w:t xml:space="preserve">. </w:t>
      </w:r>
      <w:r w:rsidR="008D6F1E" w:rsidRPr="00412A54">
        <w:rPr>
          <w:rFonts w:ascii="Times New Roman" w:hAnsi="Times New Roman" w:cs="Times New Roman"/>
          <w:sz w:val="24"/>
          <w:szCs w:val="24"/>
        </w:rPr>
        <w:t>Ou seja</w:t>
      </w:r>
      <w:r w:rsidR="00C3534E" w:rsidRPr="00412A54">
        <w:rPr>
          <w:rFonts w:ascii="Times New Roman" w:hAnsi="Times New Roman" w:cs="Times New Roman"/>
          <w:sz w:val="24"/>
          <w:szCs w:val="24"/>
        </w:rPr>
        <w:t xml:space="preserve">, pretende-se estimar uma equação </w:t>
      </w:r>
      <w:r w:rsidR="0044081F" w:rsidRPr="00412A54">
        <w:rPr>
          <w:rFonts w:ascii="Times New Roman" w:hAnsi="Times New Roman" w:cs="Times New Roman"/>
          <w:sz w:val="24"/>
          <w:szCs w:val="24"/>
        </w:rPr>
        <w:t>m</w:t>
      </w:r>
      <w:r w:rsidR="00447044" w:rsidRPr="00412A54">
        <w:rPr>
          <w:rFonts w:ascii="Times New Roman" w:hAnsi="Times New Roman" w:cs="Times New Roman"/>
          <w:sz w:val="24"/>
          <w:szCs w:val="24"/>
        </w:rPr>
        <w:t>inceriana</w:t>
      </w:r>
      <w:r w:rsidR="00942589" w:rsidRPr="00412A54">
        <w:rPr>
          <w:rFonts w:ascii="Times New Roman" w:hAnsi="Times New Roman" w:cs="Times New Roman"/>
          <w:sz w:val="24"/>
          <w:szCs w:val="24"/>
        </w:rPr>
        <w:t xml:space="preserve"> </w:t>
      </w:r>
      <w:r w:rsidR="00C3534E" w:rsidRPr="00412A54">
        <w:rPr>
          <w:rFonts w:ascii="Times New Roman" w:hAnsi="Times New Roman" w:cs="Times New Roman"/>
          <w:sz w:val="24"/>
          <w:szCs w:val="24"/>
        </w:rPr>
        <w:t>do tipo:</w:t>
      </w:r>
    </w:p>
    <w:p w14:paraId="2CC18322" w14:textId="070B537A" w:rsidR="00C3534E" w:rsidRPr="00412A54" w:rsidRDefault="001F2E4C" w:rsidP="008D6F1E">
      <w:pPr>
        <w:ind w:firstLine="360"/>
        <w:jc w:val="center"/>
        <w:outlineLvl w:val="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=α+</m:t>
            </m:r>
            <w:bookmarkStart w:id="3" w:name="OLE_LINK52"/>
            <m:r>
              <w:rPr>
                <w:rFonts w:ascii="Cambria Math" w:hAnsi="Cambria Math" w:cs="Times New Roman"/>
                <w:sz w:val="24"/>
                <w:szCs w:val="24"/>
              </w:rPr>
              <m:t>β</m:t>
            </m:r>
            <w:bookmarkEnd w:id="3"/>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+δ</m:t>
            </m:r>
            <m:sSub>
              <m:sSubPr>
                <m:ctrlPr>
                  <w:rPr>
                    <w:rFonts w:ascii="Cambria Math" w:hAnsi="Cambria Math" w:cs="Times New Roman"/>
                    <w:i/>
                    <w:sz w:val="24"/>
                    <w:szCs w:val="24"/>
                  </w:rPr>
                </m:ctrlPr>
              </m:sSub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3</m:t>
                    </m:r>
                  </m:sup>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e>
                </m:nary>
              </m:e>
              <m:sub>
                <m:r>
                  <w:rPr>
                    <w:rFonts w:ascii="Cambria Math" w:hAnsi="Cambria Math" w:cs="Times New Roman"/>
                    <w:sz w:val="24"/>
                    <w:szCs w:val="24"/>
                  </w:rPr>
                  <m:t xml:space="preserve">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func>
      </m:oMath>
      <w:r w:rsidR="004818F5" w:rsidRPr="00412A54">
        <w:rPr>
          <w:rFonts w:ascii="Times New Roman" w:eastAsiaTheme="minorEastAsia" w:hAnsi="Times New Roman" w:cs="Times New Roman"/>
          <w:sz w:val="24"/>
          <w:szCs w:val="24"/>
        </w:rPr>
        <w:t xml:space="preserve"> </w:t>
      </w:r>
      <w:r w:rsidR="004818F5" w:rsidRPr="00412A54">
        <w:rPr>
          <w:rFonts w:ascii="Times New Roman" w:eastAsiaTheme="minorEastAsia" w:hAnsi="Times New Roman" w:cs="Times New Roman"/>
          <w:sz w:val="24"/>
          <w:szCs w:val="24"/>
        </w:rPr>
        <w:tab/>
      </w:r>
      <w:r w:rsidR="004818F5" w:rsidRPr="00412A54">
        <w:rPr>
          <w:rFonts w:ascii="Times New Roman" w:eastAsiaTheme="minorEastAsia" w:hAnsi="Times New Roman" w:cs="Times New Roman"/>
          <w:sz w:val="24"/>
          <w:szCs w:val="24"/>
        </w:rPr>
        <w:tab/>
        <w:t>(1)</w:t>
      </w:r>
    </w:p>
    <w:p w14:paraId="16D08B71" w14:textId="189A863C" w:rsidR="00C86146" w:rsidRPr="00412A54" w:rsidRDefault="00942589" w:rsidP="004818F5">
      <w:pPr>
        <w:jc w:val="both"/>
        <w:outlineLvl w:val="0"/>
        <w:rPr>
          <w:rFonts w:ascii="Times New Roman" w:eastAsiaTheme="minorEastAsia" w:hAnsi="Times New Roman" w:cs="Times New Roman"/>
          <w:sz w:val="24"/>
          <w:szCs w:val="24"/>
        </w:rPr>
      </w:pPr>
      <w:r w:rsidRPr="00412A54">
        <w:rPr>
          <w:rFonts w:ascii="Times New Roman" w:hAnsi="Times New Roman" w:cs="Times New Roman"/>
          <w:sz w:val="24"/>
          <w:szCs w:val="24"/>
        </w:rPr>
        <w:t xml:space="preserve">Em que para cada indivíduo denotado pelo subscrito </w:t>
      </w:r>
      <m:oMath>
        <m:r>
          <w:rPr>
            <w:rFonts w:ascii="Cambria Math" w:hAnsi="Cambria Math" w:cs="Times New Roman"/>
            <w:sz w:val="24"/>
            <w:szCs w:val="24"/>
          </w:rPr>
          <m:t>i</m:t>
        </m:r>
      </m:oMath>
      <w:r w:rsidRPr="00412A54">
        <w:rPr>
          <w:rFonts w:ascii="Times New Roman" w:eastAsiaTheme="minorEastAsia" w:hAnsi="Times New Roman" w:cs="Times New Roman"/>
          <w:sz w:val="24"/>
          <w:szCs w:val="24"/>
        </w:rPr>
        <w:t>,</w:t>
      </w:r>
      <w:r w:rsidRPr="00412A54">
        <w:rPr>
          <w:rFonts w:ascii="Times New Roman" w:hAnsi="Times New Roman" w:cs="Times New Roman"/>
          <w:sz w:val="24"/>
          <w:szCs w:val="24"/>
        </w:rPr>
        <w:t xml:space="preserve"> a variável dependente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412A54">
        <w:rPr>
          <w:rFonts w:ascii="Times New Roman" w:eastAsiaTheme="minorEastAsia" w:hAnsi="Times New Roman" w:cs="Times New Roman"/>
          <w:sz w:val="24"/>
          <w:szCs w:val="24"/>
        </w:rPr>
        <w:t xml:space="preserve"> é a medida de salário,</w:t>
      </w:r>
      <w:r w:rsidR="006B432D" w:rsidRPr="00412A5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Pr="00412A54">
        <w:rPr>
          <w:rFonts w:ascii="Times New Roman" w:eastAsiaTheme="minorEastAsia" w:hAnsi="Times New Roman" w:cs="Times New Roman"/>
          <w:sz w:val="24"/>
          <w:szCs w:val="24"/>
        </w:rPr>
        <w:t xml:space="preserve"> é um vetor de variáveis de controle </w:t>
      </w:r>
      <w:r w:rsidR="006B432D" w:rsidRPr="00412A54">
        <w:rPr>
          <w:rFonts w:ascii="Times New Roman" w:eastAsiaTheme="minorEastAsia" w:hAnsi="Times New Roman" w:cs="Times New Roman"/>
          <w:sz w:val="24"/>
          <w:szCs w:val="24"/>
        </w:rPr>
        <w:t xml:space="preserve">compostos por (1) uma variável categoria contendo quatro níveis de </w:t>
      </w:r>
      <w:r w:rsidR="00C53C98" w:rsidRPr="00412A54">
        <w:rPr>
          <w:rFonts w:ascii="Times New Roman" w:eastAsiaTheme="minorEastAsia" w:hAnsi="Times New Roman" w:cs="Times New Roman"/>
          <w:sz w:val="24"/>
          <w:szCs w:val="24"/>
        </w:rPr>
        <w:t>instrução</w:t>
      </w:r>
      <w:r w:rsidR="006B432D" w:rsidRPr="00412A54">
        <w:rPr>
          <w:rFonts w:ascii="Times New Roman" w:eastAsiaTheme="minorEastAsia" w:hAnsi="Times New Roman" w:cs="Times New Roman"/>
          <w:sz w:val="24"/>
          <w:szCs w:val="24"/>
        </w:rPr>
        <w:t xml:space="preserve">, sendo a categoria base composta por </w:t>
      </w:r>
      <w:r w:rsidR="00C53C98" w:rsidRPr="00412A54">
        <w:rPr>
          <w:rFonts w:ascii="Times New Roman" w:eastAsiaTheme="minorEastAsia" w:hAnsi="Times New Roman" w:cs="Times New Roman"/>
          <w:sz w:val="24"/>
          <w:szCs w:val="24"/>
        </w:rPr>
        <w:t>indivíduos</w:t>
      </w:r>
      <w:r w:rsidR="006B432D" w:rsidRPr="00412A54">
        <w:rPr>
          <w:rFonts w:ascii="Times New Roman" w:eastAsiaTheme="minorEastAsia" w:hAnsi="Times New Roman" w:cs="Times New Roman"/>
          <w:sz w:val="24"/>
          <w:szCs w:val="24"/>
        </w:rPr>
        <w:t xml:space="preserve"> com até ensino primário completo</w:t>
      </w:r>
      <w:r w:rsidR="00C53C98" w:rsidRPr="00412A54">
        <w:rPr>
          <w:rFonts w:ascii="Times New Roman" w:eastAsiaTheme="minorEastAsia" w:hAnsi="Times New Roman" w:cs="Times New Roman"/>
          <w:sz w:val="24"/>
          <w:szCs w:val="24"/>
        </w:rPr>
        <w:t>;</w:t>
      </w:r>
      <w:r w:rsidR="006B432D" w:rsidRPr="00412A54">
        <w:rPr>
          <w:rFonts w:ascii="Times New Roman" w:eastAsiaTheme="minorEastAsia" w:hAnsi="Times New Roman" w:cs="Times New Roman"/>
          <w:sz w:val="24"/>
          <w:szCs w:val="24"/>
        </w:rPr>
        <w:t xml:space="preserve"> (2)</w:t>
      </w:r>
      <w:r w:rsidR="00C53C98" w:rsidRPr="00412A54">
        <w:rPr>
          <w:rFonts w:ascii="Times New Roman" w:eastAsiaTheme="minorEastAsia" w:hAnsi="Times New Roman" w:cs="Times New Roman"/>
          <w:sz w:val="24"/>
          <w:szCs w:val="24"/>
        </w:rPr>
        <w:t xml:space="preserve"> uma </w:t>
      </w:r>
      <w:r w:rsidR="00C53C98" w:rsidRPr="00412A54">
        <w:rPr>
          <w:rFonts w:ascii="Times New Roman" w:eastAsiaTheme="minorEastAsia" w:hAnsi="Times New Roman" w:cs="Times New Roman"/>
          <w:i/>
          <w:sz w:val="24"/>
          <w:szCs w:val="24"/>
        </w:rPr>
        <w:t xml:space="preserve">dummy </w:t>
      </w:r>
      <w:r w:rsidR="00C53C98" w:rsidRPr="00412A54">
        <w:rPr>
          <w:rFonts w:ascii="Times New Roman" w:eastAsiaTheme="minorEastAsia" w:hAnsi="Times New Roman" w:cs="Times New Roman"/>
          <w:sz w:val="24"/>
          <w:szCs w:val="24"/>
        </w:rPr>
        <w:t xml:space="preserve">de sexo em que se atribuiu 1 ao fato de um indivíduo ser homem e 0 às mulheres;  (3) uma variável </w:t>
      </w:r>
      <w:r w:rsidR="00C53C98" w:rsidRPr="00412A54">
        <w:rPr>
          <w:rFonts w:ascii="Times New Roman" w:eastAsiaTheme="minorEastAsia" w:hAnsi="Times New Roman" w:cs="Times New Roman"/>
          <w:sz w:val="24"/>
          <w:szCs w:val="24"/>
        </w:rPr>
        <w:lastRenderedPageBreak/>
        <w:t>de idade e; (4) a variável de idade</w:t>
      </w:r>
      <w:r w:rsidR="00C53C98" w:rsidRPr="00412A54">
        <w:rPr>
          <w:rFonts w:ascii="Times New Roman" w:eastAsiaTheme="minorEastAsia" w:hAnsi="Times New Roman" w:cs="Times New Roman"/>
          <w:sz w:val="24"/>
          <w:szCs w:val="24"/>
          <w:vertAlign w:val="superscript"/>
        </w:rPr>
        <w:t>2</w:t>
      </w:r>
      <w:r w:rsidR="00C53C98" w:rsidRPr="00412A54">
        <w:rPr>
          <w:rFonts w:ascii="Times New Roman" w:eastAsiaTheme="minorEastAsia" w:hAnsi="Times New Roman" w:cs="Times New Roman"/>
          <w:sz w:val="24"/>
          <w:szCs w:val="24"/>
        </w:rPr>
        <w:t xml:space="preserve">. Faz-se nota que a base de dados abarca trabalhadores que possuem entre 18 e 64 anos de idade que possuíam vínculo ativo em 31/12 de cada ano. </w:t>
      </w:r>
    </w:p>
    <w:p w14:paraId="2D5134E0" w14:textId="24802FBB" w:rsidR="00C53C98" w:rsidRPr="00412A54" w:rsidRDefault="00C53C98" w:rsidP="004818F5">
      <w:pPr>
        <w:jc w:val="both"/>
        <w:outlineLvl w:val="0"/>
        <w:rPr>
          <w:rFonts w:ascii="Times New Roman" w:eastAsiaTheme="minorEastAsia" w:hAnsi="Times New Roman" w:cs="Times New Roman"/>
          <w:sz w:val="24"/>
          <w:szCs w:val="24"/>
        </w:rPr>
      </w:pPr>
      <w:r w:rsidRPr="00412A54">
        <w:rPr>
          <w:rFonts w:ascii="Times New Roman" w:eastAsiaTheme="minorEastAsia" w:hAnsi="Times New Roman" w:cs="Times New Roman"/>
          <w:sz w:val="24"/>
          <w:szCs w:val="24"/>
        </w:rPr>
        <w:t xml:space="preserve">Por sua vez, a variável denotada por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m:t>
            </m:r>
          </m:sub>
        </m:sSub>
      </m:oMath>
      <w:r w:rsidRPr="00412A54">
        <w:rPr>
          <w:rFonts w:ascii="Times New Roman" w:eastAsiaTheme="minorEastAsia" w:hAnsi="Times New Roman" w:cs="Times New Roman"/>
          <w:sz w:val="24"/>
          <w:szCs w:val="24"/>
        </w:rPr>
        <w:t xml:space="preserve"> compreende as categorias de natureza da ocupação. Omite-se a categoria de ocupações manuais e rotineiras, de modo que o vetor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m:t>
            </m:r>
          </m:sub>
        </m:sSub>
      </m:oMath>
      <w:r w:rsidRPr="00412A54">
        <w:rPr>
          <w:rFonts w:ascii="Times New Roman" w:eastAsiaTheme="minorEastAsia" w:hAnsi="Times New Roman" w:cs="Times New Roman"/>
          <w:sz w:val="24"/>
          <w:szCs w:val="24"/>
        </w:rPr>
        <w:t xml:space="preserve"> pode assumir o valor de 1 se um </w:t>
      </w:r>
      <w:r w:rsidR="004818F5" w:rsidRPr="00412A54">
        <w:rPr>
          <w:rFonts w:ascii="Times New Roman" w:eastAsiaTheme="minorEastAsia" w:hAnsi="Times New Roman" w:cs="Times New Roman"/>
          <w:sz w:val="24"/>
          <w:szCs w:val="24"/>
        </w:rPr>
        <w:t>indivíduo</w:t>
      </w:r>
      <w:r w:rsidRPr="00412A54">
        <w:rPr>
          <w:rFonts w:ascii="Times New Roman" w:eastAsiaTheme="minorEastAsia" w:hAnsi="Times New Roman" w:cs="Times New Roman"/>
          <w:sz w:val="24"/>
          <w:szCs w:val="24"/>
        </w:rPr>
        <w:t xml:space="preserve"> está numa ocupação </w:t>
      </w:r>
      <w:r w:rsidR="004818F5" w:rsidRPr="00412A54">
        <w:rPr>
          <w:rFonts w:ascii="Times New Roman" w:eastAsiaTheme="minorEastAsia" w:hAnsi="Times New Roman" w:cs="Times New Roman"/>
          <w:sz w:val="24"/>
          <w:szCs w:val="24"/>
        </w:rPr>
        <w:t xml:space="preserve">manual e não rotineira; 2 se está em uma ocupação não manual e rotineira; 3 se está em um trabalho não manual não rotineiro. </w:t>
      </w:r>
    </w:p>
    <w:p w14:paraId="1C01CB67" w14:textId="3ECE17BC" w:rsidR="004818F5" w:rsidRPr="00412A54" w:rsidRDefault="004818F5" w:rsidP="004818F5">
      <w:pPr>
        <w:jc w:val="both"/>
        <w:outlineLvl w:val="0"/>
        <w:rPr>
          <w:rFonts w:ascii="Times New Roman" w:eastAsiaTheme="minorEastAsia" w:hAnsi="Times New Roman" w:cs="Times New Roman"/>
          <w:sz w:val="24"/>
          <w:szCs w:val="24"/>
        </w:rPr>
      </w:pPr>
      <w:r w:rsidRPr="00412A54">
        <w:rPr>
          <w:rFonts w:ascii="Times New Roman" w:eastAsiaTheme="minorEastAsia" w:hAnsi="Times New Roman" w:cs="Times New Roman"/>
          <w:sz w:val="24"/>
          <w:szCs w:val="24"/>
        </w:rPr>
        <w:t xml:space="preserve">Portanto, partindo deste método estimamos a equação 1 para cada um dos anos compreendidos entre 2006 e 2016. </w:t>
      </w:r>
    </w:p>
    <w:p w14:paraId="3016DB53" w14:textId="25AEA224" w:rsidR="000E2E71" w:rsidRPr="00412A54" w:rsidRDefault="00B36223" w:rsidP="001C7A7F">
      <w:pPr>
        <w:ind w:firstLine="360"/>
        <w:jc w:val="both"/>
        <w:outlineLvl w:val="0"/>
        <w:rPr>
          <w:rFonts w:ascii="Times New Roman" w:hAnsi="Times New Roman" w:cs="Times New Roman"/>
          <w:b/>
          <w:sz w:val="24"/>
          <w:szCs w:val="24"/>
        </w:rPr>
      </w:pPr>
      <w:r w:rsidRPr="00412A54">
        <w:rPr>
          <w:rFonts w:ascii="Times New Roman" w:hAnsi="Times New Roman" w:cs="Times New Roman"/>
          <w:b/>
          <w:sz w:val="24"/>
          <w:szCs w:val="24"/>
        </w:rPr>
        <w:t xml:space="preserve">4. </w:t>
      </w:r>
      <w:r w:rsidR="00A6158D" w:rsidRPr="00412A54">
        <w:rPr>
          <w:rFonts w:ascii="Times New Roman" w:hAnsi="Times New Roman" w:cs="Times New Roman"/>
          <w:b/>
          <w:sz w:val="24"/>
          <w:szCs w:val="24"/>
        </w:rPr>
        <w:t xml:space="preserve">Análise Descritiva dos dados e </w:t>
      </w:r>
      <w:r w:rsidR="00DF30D0" w:rsidRPr="00412A54">
        <w:rPr>
          <w:rFonts w:ascii="Times New Roman" w:hAnsi="Times New Roman" w:cs="Times New Roman"/>
          <w:b/>
          <w:sz w:val="24"/>
          <w:szCs w:val="24"/>
        </w:rPr>
        <w:t>Resultados</w:t>
      </w:r>
    </w:p>
    <w:p w14:paraId="5C6C3407" w14:textId="77777777" w:rsidR="002B602F" w:rsidRPr="00412A54" w:rsidRDefault="00F50C43" w:rsidP="004818F5">
      <w:pPr>
        <w:jc w:val="both"/>
        <w:outlineLvl w:val="0"/>
        <w:rPr>
          <w:rFonts w:ascii="Times New Roman" w:hAnsi="Times New Roman" w:cs="Times New Roman"/>
          <w:sz w:val="24"/>
          <w:szCs w:val="24"/>
        </w:rPr>
      </w:pPr>
      <w:r w:rsidRPr="00412A54">
        <w:rPr>
          <w:rFonts w:ascii="Times New Roman" w:hAnsi="Times New Roman" w:cs="Times New Roman"/>
          <w:sz w:val="24"/>
          <w:szCs w:val="24"/>
        </w:rPr>
        <w:t xml:space="preserve">Nesta seção exploraremos os dados da RAIS de 2006 a 2016 a fim de compreender a evolução das características de interesse no período. Portanto, a Tabela 1 reporta as médias e desvio padrão das variáveis consideradas.  Dentre </w:t>
      </w:r>
      <w:r w:rsidR="002B602F" w:rsidRPr="00412A54">
        <w:rPr>
          <w:rFonts w:ascii="Times New Roman" w:hAnsi="Times New Roman" w:cs="Times New Roman"/>
          <w:sz w:val="24"/>
          <w:szCs w:val="24"/>
        </w:rPr>
        <w:t xml:space="preserve">as principais mudanças, destaca-se a ampliação do nível de escolaridade média da população, observada através do crescimento da proporção de indivíduos com ensino médio e superior  (um aumento de 30% e 40%, respectivamente). Quanto às categorias ocupacionais, em ambos os períodos, observa-se o predomínio dos trabalhos rotineiros, de caráter repetitivo, no mercado de trabalho brasileiro, com destaque aos trabalhos não manuais rotineiros que eram associados à ocupação de 36% dos trabalhadores em 2016. Ao se comparar a  distribuição de trabalhadores nos dois períodos, nota-se um deslocamento relativo das ocupações manuais para as não manuais, em especial naquelas não manuais não rotineiras com maior exigência de habilidades complexas. </w:t>
      </w:r>
    </w:p>
    <w:p w14:paraId="378EF999" w14:textId="1BF40F10" w:rsidR="00955A42" w:rsidRPr="00412A54" w:rsidRDefault="00955A42" w:rsidP="004818F5">
      <w:pPr>
        <w:jc w:val="both"/>
        <w:outlineLvl w:val="0"/>
        <w:rPr>
          <w:rFonts w:ascii="Times New Roman" w:hAnsi="Times New Roman" w:cs="Times New Roman"/>
          <w:sz w:val="24"/>
          <w:szCs w:val="24"/>
        </w:rPr>
      </w:pPr>
    </w:p>
    <w:p w14:paraId="74CBF322" w14:textId="7C84E39E" w:rsidR="00283A21" w:rsidRPr="00412A54" w:rsidRDefault="00283A21" w:rsidP="004F40F1">
      <w:pPr>
        <w:pStyle w:val="Legenda"/>
        <w:keepNext/>
        <w:jc w:val="center"/>
        <w:rPr>
          <w:rFonts w:ascii="Times New Roman" w:hAnsi="Times New Roman" w:cs="Times New Roman"/>
          <w:b/>
          <w:i w:val="0"/>
          <w:color w:val="auto"/>
          <w:sz w:val="24"/>
          <w:szCs w:val="24"/>
        </w:rPr>
      </w:pPr>
      <w:r w:rsidRPr="00412A54">
        <w:rPr>
          <w:rFonts w:ascii="Times New Roman" w:hAnsi="Times New Roman" w:cs="Times New Roman"/>
          <w:b/>
          <w:i w:val="0"/>
          <w:color w:val="auto"/>
          <w:sz w:val="24"/>
          <w:szCs w:val="24"/>
        </w:rPr>
        <w:t xml:space="preserve">Tabela </w:t>
      </w:r>
      <w:r w:rsidRPr="00412A54">
        <w:rPr>
          <w:rFonts w:ascii="Times New Roman" w:hAnsi="Times New Roman" w:cs="Times New Roman"/>
          <w:b/>
          <w:i w:val="0"/>
          <w:color w:val="auto"/>
          <w:sz w:val="24"/>
          <w:szCs w:val="24"/>
        </w:rPr>
        <w:fldChar w:fldCharType="begin"/>
      </w:r>
      <w:r w:rsidRPr="00412A54">
        <w:rPr>
          <w:rFonts w:ascii="Times New Roman" w:hAnsi="Times New Roman" w:cs="Times New Roman"/>
          <w:b/>
          <w:i w:val="0"/>
          <w:color w:val="auto"/>
          <w:sz w:val="24"/>
          <w:szCs w:val="24"/>
        </w:rPr>
        <w:instrText xml:space="preserve"> SEQ Tabela \* ARABIC </w:instrText>
      </w:r>
      <w:r w:rsidRPr="00412A54">
        <w:rPr>
          <w:rFonts w:ascii="Times New Roman" w:hAnsi="Times New Roman" w:cs="Times New Roman"/>
          <w:b/>
          <w:i w:val="0"/>
          <w:color w:val="auto"/>
          <w:sz w:val="24"/>
          <w:szCs w:val="24"/>
        </w:rPr>
        <w:fldChar w:fldCharType="separate"/>
      </w:r>
      <w:r w:rsidR="00B97716" w:rsidRPr="00412A54">
        <w:rPr>
          <w:rFonts w:ascii="Times New Roman" w:hAnsi="Times New Roman" w:cs="Times New Roman"/>
          <w:b/>
          <w:i w:val="0"/>
          <w:noProof/>
          <w:color w:val="auto"/>
          <w:sz w:val="24"/>
          <w:szCs w:val="24"/>
        </w:rPr>
        <w:t>1</w:t>
      </w:r>
      <w:r w:rsidRPr="00412A54">
        <w:rPr>
          <w:rFonts w:ascii="Times New Roman" w:hAnsi="Times New Roman" w:cs="Times New Roman"/>
          <w:b/>
          <w:i w:val="0"/>
          <w:color w:val="auto"/>
          <w:sz w:val="24"/>
          <w:szCs w:val="24"/>
        </w:rPr>
        <w:fldChar w:fldCharType="end"/>
      </w:r>
      <w:r w:rsidRPr="00412A54">
        <w:rPr>
          <w:rFonts w:ascii="Times New Roman" w:hAnsi="Times New Roman" w:cs="Times New Roman"/>
          <w:b/>
          <w:i w:val="0"/>
          <w:color w:val="auto"/>
          <w:sz w:val="24"/>
          <w:szCs w:val="24"/>
        </w:rPr>
        <w:t xml:space="preserve">- </w:t>
      </w:r>
      <w:r w:rsidR="00955A42" w:rsidRPr="00412A54">
        <w:rPr>
          <w:rFonts w:ascii="Times New Roman" w:hAnsi="Times New Roman" w:cs="Times New Roman"/>
          <w:b/>
          <w:i w:val="0"/>
          <w:color w:val="auto"/>
          <w:sz w:val="24"/>
          <w:szCs w:val="24"/>
        </w:rPr>
        <w:t>Média e desvio padrão das variáveis da amostra, 2006 e 2016</w:t>
      </w:r>
    </w:p>
    <w:tbl>
      <w:tblPr>
        <w:tblW w:w="8368" w:type="dxa"/>
        <w:jc w:val="center"/>
        <w:tblLayout w:type="fixed"/>
        <w:tblCellMar>
          <w:left w:w="70" w:type="dxa"/>
          <w:right w:w="70" w:type="dxa"/>
        </w:tblCellMar>
        <w:tblLook w:val="04A0" w:firstRow="1" w:lastRow="0" w:firstColumn="1" w:lastColumn="0" w:noHBand="0" w:noVBand="1"/>
      </w:tblPr>
      <w:tblGrid>
        <w:gridCol w:w="2583"/>
        <w:gridCol w:w="1446"/>
        <w:gridCol w:w="1446"/>
        <w:gridCol w:w="1446"/>
        <w:gridCol w:w="1447"/>
      </w:tblGrid>
      <w:tr w:rsidR="00412A54" w:rsidRPr="00412A54" w14:paraId="48FBF464" w14:textId="77777777" w:rsidTr="004818F5">
        <w:trPr>
          <w:trHeight w:val="330"/>
          <w:jc w:val="center"/>
        </w:trPr>
        <w:tc>
          <w:tcPr>
            <w:tcW w:w="2583" w:type="dxa"/>
            <w:tcBorders>
              <w:top w:val="single" w:sz="4" w:space="0" w:color="auto"/>
              <w:left w:val="nil"/>
              <w:right w:val="nil"/>
            </w:tcBorders>
            <w:shd w:val="clear" w:color="000000" w:fill="FFFFFF"/>
            <w:vAlign w:val="center"/>
          </w:tcPr>
          <w:p w14:paraId="4F5C4124" w14:textId="77777777" w:rsidR="00F50C43" w:rsidRPr="00412A54" w:rsidRDefault="00F50C43">
            <w:pPr>
              <w:rPr>
                <w:rFonts w:ascii="Times New Roman" w:hAnsi="Times New Roman" w:cs="Times New Roman"/>
                <w:sz w:val="24"/>
                <w:szCs w:val="24"/>
              </w:rPr>
            </w:pPr>
          </w:p>
        </w:tc>
        <w:tc>
          <w:tcPr>
            <w:tcW w:w="2892" w:type="dxa"/>
            <w:gridSpan w:val="2"/>
            <w:tcBorders>
              <w:top w:val="single" w:sz="4" w:space="0" w:color="auto"/>
              <w:left w:val="nil"/>
            </w:tcBorders>
            <w:shd w:val="clear" w:color="000000" w:fill="FFFFFF"/>
            <w:noWrap/>
            <w:vAlign w:val="center"/>
          </w:tcPr>
          <w:p w14:paraId="0F56E4B8" w14:textId="1A24F3AD" w:rsidR="00F50C43" w:rsidRPr="00412A54" w:rsidRDefault="00F50C43">
            <w:pPr>
              <w:jc w:val="center"/>
              <w:rPr>
                <w:rFonts w:ascii="Times New Roman" w:hAnsi="Times New Roman" w:cs="Times New Roman"/>
                <w:sz w:val="24"/>
                <w:szCs w:val="24"/>
              </w:rPr>
            </w:pPr>
            <w:r w:rsidRPr="00412A54">
              <w:rPr>
                <w:rFonts w:ascii="Times New Roman" w:hAnsi="Times New Roman" w:cs="Times New Roman"/>
                <w:sz w:val="24"/>
                <w:szCs w:val="24"/>
              </w:rPr>
              <w:t>2006</w:t>
            </w:r>
          </w:p>
        </w:tc>
        <w:tc>
          <w:tcPr>
            <w:tcW w:w="2893" w:type="dxa"/>
            <w:gridSpan w:val="2"/>
            <w:tcBorders>
              <w:top w:val="single" w:sz="4" w:space="0" w:color="auto"/>
              <w:right w:val="nil"/>
            </w:tcBorders>
            <w:shd w:val="clear" w:color="000000" w:fill="FFFFFF"/>
            <w:noWrap/>
            <w:vAlign w:val="center"/>
          </w:tcPr>
          <w:p w14:paraId="43A26B52" w14:textId="10DA85AA" w:rsidR="00F50C43" w:rsidRPr="00412A54" w:rsidRDefault="00F50C43">
            <w:pPr>
              <w:jc w:val="center"/>
              <w:rPr>
                <w:rFonts w:ascii="Times New Roman" w:hAnsi="Times New Roman" w:cs="Times New Roman"/>
                <w:sz w:val="24"/>
                <w:szCs w:val="24"/>
              </w:rPr>
            </w:pPr>
            <w:r w:rsidRPr="00412A54">
              <w:rPr>
                <w:rFonts w:ascii="Times New Roman" w:hAnsi="Times New Roman" w:cs="Times New Roman"/>
                <w:sz w:val="24"/>
                <w:szCs w:val="24"/>
              </w:rPr>
              <w:t>2016</w:t>
            </w:r>
          </w:p>
        </w:tc>
      </w:tr>
      <w:tr w:rsidR="00412A54" w:rsidRPr="00412A54" w14:paraId="3C52FF32" w14:textId="77777777" w:rsidTr="004818F5">
        <w:trPr>
          <w:trHeight w:val="330"/>
          <w:jc w:val="center"/>
        </w:trPr>
        <w:tc>
          <w:tcPr>
            <w:tcW w:w="2583" w:type="dxa"/>
            <w:tcBorders>
              <w:left w:val="nil"/>
              <w:bottom w:val="double" w:sz="6" w:space="0" w:color="000000"/>
              <w:right w:val="nil"/>
            </w:tcBorders>
            <w:shd w:val="clear" w:color="000000" w:fill="FFFFFF"/>
            <w:vAlign w:val="center"/>
            <w:hideMark/>
          </w:tcPr>
          <w:p w14:paraId="423B1EDE" w14:textId="1CBE8158" w:rsidR="00893688" w:rsidRPr="00412A54" w:rsidRDefault="00C93215">
            <w:pPr>
              <w:rPr>
                <w:rFonts w:ascii="Times New Roman" w:hAnsi="Times New Roman" w:cs="Times New Roman"/>
                <w:sz w:val="24"/>
                <w:szCs w:val="24"/>
              </w:rPr>
            </w:pPr>
            <w:r w:rsidRPr="00412A54">
              <w:rPr>
                <w:rFonts w:ascii="Times New Roman" w:hAnsi="Times New Roman" w:cs="Times New Roman"/>
                <w:sz w:val="24"/>
                <w:szCs w:val="24"/>
              </w:rPr>
              <w:t>Variável</w:t>
            </w:r>
          </w:p>
        </w:tc>
        <w:tc>
          <w:tcPr>
            <w:tcW w:w="1446" w:type="dxa"/>
            <w:tcBorders>
              <w:left w:val="nil"/>
              <w:bottom w:val="double" w:sz="6" w:space="0" w:color="auto"/>
              <w:right w:val="nil"/>
            </w:tcBorders>
            <w:shd w:val="clear" w:color="000000" w:fill="FFFFFF"/>
            <w:noWrap/>
            <w:vAlign w:val="center"/>
            <w:hideMark/>
          </w:tcPr>
          <w:p w14:paraId="711C0E86"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Média</w:t>
            </w:r>
          </w:p>
        </w:tc>
        <w:tc>
          <w:tcPr>
            <w:tcW w:w="1446" w:type="dxa"/>
            <w:tcBorders>
              <w:left w:val="nil"/>
              <w:bottom w:val="double" w:sz="6" w:space="0" w:color="auto"/>
            </w:tcBorders>
            <w:shd w:val="clear" w:color="000000" w:fill="FFFFFF"/>
            <w:noWrap/>
            <w:vAlign w:val="center"/>
            <w:hideMark/>
          </w:tcPr>
          <w:p w14:paraId="5C662FC0"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DP</w:t>
            </w:r>
          </w:p>
        </w:tc>
        <w:tc>
          <w:tcPr>
            <w:tcW w:w="1446" w:type="dxa"/>
            <w:tcBorders>
              <w:bottom w:val="double" w:sz="6" w:space="0" w:color="auto"/>
              <w:right w:val="nil"/>
            </w:tcBorders>
            <w:shd w:val="clear" w:color="000000" w:fill="FFFFFF"/>
            <w:noWrap/>
            <w:vAlign w:val="center"/>
            <w:hideMark/>
          </w:tcPr>
          <w:p w14:paraId="5742C95E"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 xml:space="preserve">Média </w:t>
            </w:r>
          </w:p>
        </w:tc>
        <w:tc>
          <w:tcPr>
            <w:tcW w:w="1447" w:type="dxa"/>
            <w:tcBorders>
              <w:left w:val="nil"/>
              <w:bottom w:val="double" w:sz="6" w:space="0" w:color="auto"/>
              <w:right w:val="nil"/>
            </w:tcBorders>
            <w:shd w:val="clear" w:color="000000" w:fill="FFFFFF"/>
            <w:noWrap/>
            <w:vAlign w:val="center"/>
            <w:hideMark/>
          </w:tcPr>
          <w:p w14:paraId="3833F537"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DP</w:t>
            </w:r>
          </w:p>
        </w:tc>
      </w:tr>
      <w:tr w:rsidR="00412A54" w:rsidRPr="00412A54" w14:paraId="637C5FED" w14:textId="77777777" w:rsidTr="004818F5">
        <w:trPr>
          <w:trHeight w:val="330"/>
          <w:jc w:val="center"/>
        </w:trPr>
        <w:tc>
          <w:tcPr>
            <w:tcW w:w="2583" w:type="dxa"/>
            <w:tcBorders>
              <w:top w:val="nil"/>
              <w:left w:val="nil"/>
              <w:bottom w:val="nil"/>
              <w:right w:val="nil"/>
            </w:tcBorders>
            <w:shd w:val="clear" w:color="000000" w:fill="FFFFFF"/>
            <w:vAlign w:val="center"/>
            <w:hideMark/>
          </w:tcPr>
          <w:p w14:paraId="5714EE30" w14:textId="77777777" w:rsidR="00893688" w:rsidRPr="00412A54" w:rsidRDefault="00893688">
            <w:pPr>
              <w:rPr>
                <w:rFonts w:ascii="Times New Roman" w:hAnsi="Times New Roman" w:cs="Times New Roman"/>
                <w:sz w:val="24"/>
                <w:szCs w:val="24"/>
              </w:rPr>
            </w:pPr>
            <w:r w:rsidRPr="00412A54">
              <w:rPr>
                <w:rFonts w:ascii="Times New Roman" w:hAnsi="Times New Roman" w:cs="Times New Roman"/>
                <w:sz w:val="24"/>
                <w:szCs w:val="24"/>
              </w:rPr>
              <w:t>Idade</w:t>
            </w:r>
          </w:p>
        </w:tc>
        <w:tc>
          <w:tcPr>
            <w:tcW w:w="1446" w:type="dxa"/>
            <w:tcBorders>
              <w:top w:val="nil"/>
              <w:left w:val="nil"/>
              <w:bottom w:val="nil"/>
              <w:right w:val="nil"/>
            </w:tcBorders>
            <w:shd w:val="clear" w:color="000000" w:fill="FFFFFF"/>
            <w:vAlign w:val="center"/>
            <w:hideMark/>
          </w:tcPr>
          <w:p w14:paraId="59029D26"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35,27</w:t>
            </w:r>
          </w:p>
        </w:tc>
        <w:tc>
          <w:tcPr>
            <w:tcW w:w="1446" w:type="dxa"/>
            <w:tcBorders>
              <w:top w:val="nil"/>
              <w:left w:val="nil"/>
              <w:bottom w:val="nil"/>
            </w:tcBorders>
            <w:shd w:val="clear" w:color="000000" w:fill="FFFFFF"/>
            <w:noWrap/>
            <w:vAlign w:val="center"/>
            <w:hideMark/>
          </w:tcPr>
          <w:p w14:paraId="5453A25B"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10,79</w:t>
            </w:r>
          </w:p>
        </w:tc>
        <w:tc>
          <w:tcPr>
            <w:tcW w:w="1446" w:type="dxa"/>
            <w:tcBorders>
              <w:top w:val="nil"/>
              <w:bottom w:val="nil"/>
              <w:right w:val="nil"/>
            </w:tcBorders>
            <w:shd w:val="clear" w:color="000000" w:fill="FFFFFF"/>
            <w:vAlign w:val="center"/>
            <w:hideMark/>
          </w:tcPr>
          <w:p w14:paraId="278857F3"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37,05</w:t>
            </w:r>
          </w:p>
        </w:tc>
        <w:tc>
          <w:tcPr>
            <w:tcW w:w="1447" w:type="dxa"/>
            <w:tcBorders>
              <w:top w:val="nil"/>
              <w:left w:val="nil"/>
              <w:bottom w:val="nil"/>
              <w:right w:val="nil"/>
            </w:tcBorders>
            <w:shd w:val="clear" w:color="000000" w:fill="FFFFFF"/>
            <w:noWrap/>
            <w:vAlign w:val="center"/>
            <w:hideMark/>
          </w:tcPr>
          <w:p w14:paraId="34A2C56B"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11,13</w:t>
            </w:r>
          </w:p>
        </w:tc>
      </w:tr>
      <w:tr w:rsidR="00412A54" w:rsidRPr="00412A54" w14:paraId="39262352" w14:textId="77777777" w:rsidTr="004818F5">
        <w:trPr>
          <w:trHeight w:val="315"/>
          <w:jc w:val="center"/>
        </w:trPr>
        <w:tc>
          <w:tcPr>
            <w:tcW w:w="2583" w:type="dxa"/>
            <w:tcBorders>
              <w:top w:val="nil"/>
              <w:left w:val="nil"/>
              <w:bottom w:val="nil"/>
              <w:right w:val="nil"/>
            </w:tcBorders>
            <w:shd w:val="clear" w:color="000000" w:fill="FFFFFF"/>
            <w:vAlign w:val="center"/>
            <w:hideMark/>
          </w:tcPr>
          <w:p w14:paraId="357900EF" w14:textId="77777777" w:rsidR="00893688" w:rsidRPr="00412A54" w:rsidRDefault="00893688">
            <w:pPr>
              <w:rPr>
                <w:rFonts w:ascii="Times New Roman" w:hAnsi="Times New Roman" w:cs="Times New Roman"/>
                <w:sz w:val="24"/>
                <w:szCs w:val="24"/>
              </w:rPr>
            </w:pPr>
            <w:r w:rsidRPr="00412A54">
              <w:rPr>
                <w:rFonts w:ascii="Times New Roman" w:hAnsi="Times New Roman" w:cs="Times New Roman"/>
                <w:sz w:val="24"/>
                <w:szCs w:val="24"/>
              </w:rPr>
              <w:t>Sexo</w:t>
            </w:r>
          </w:p>
        </w:tc>
        <w:tc>
          <w:tcPr>
            <w:tcW w:w="1446" w:type="dxa"/>
            <w:tcBorders>
              <w:top w:val="nil"/>
              <w:left w:val="nil"/>
              <w:bottom w:val="nil"/>
              <w:right w:val="nil"/>
            </w:tcBorders>
            <w:shd w:val="clear" w:color="000000" w:fill="FFFFFF"/>
            <w:vAlign w:val="center"/>
            <w:hideMark/>
          </w:tcPr>
          <w:p w14:paraId="7E2591A2"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0,58</w:t>
            </w:r>
          </w:p>
        </w:tc>
        <w:tc>
          <w:tcPr>
            <w:tcW w:w="1446" w:type="dxa"/>
            <w:tcBorders>
              <w:top w:val="nil"/>
              <w:left w:val="nil"/>
              <w:bottom w:val="nil"/>
            </w:tcBorders>
            <w:shd w:val="clear" w:color="000000" w:fill="FFFFFF"/>
            <w:noWrap/>
            <w:vAlign w:val="center"/>
            <w:hideMark/>
          </w:tcPr>
          <w:p w14:paraId="0250F8A1"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0,49</w:t>
            </w:r>
          </w:p>
        </w:tc>
        <w:tc>
          <w:tcPr>
            <w:tcW w:w="1446" w:type="dxa"/>
            <w:tcBorders>
              <w:top w:val="nil"/>
              <w:bottom w:val="nil"/>
              <w:right w:val="nil"/>
            </w:tcBorders>
            <w:shd w:val="clear" w:color="000000" w:fill="FFFFFF"/>
            <w:vAlign w:val="center"/>
            <w:hideMark/>
          </w:tcPr>
          <w:p w14:paraId="775EE6DE"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0,55</w:t>
            </w:r>
          </w:p>
        </w:tc>
        <w:tc>
          <w:tcPr>
            <w:tcW w:w="1447" w:type="dxa"/>
            <w:tcBorders>
              <w:top w:val="nil"/>
              <w:left w:val="nil"/>
              <w:bottom w:val="nil"/>
              <w:right w:val="nil"/>
            </w:tcBorders>
            <w:shd w:val="clear" w:color="000000" w:fill="FFFFFF"/>
            <w:noWrap/>
            <w:vAlign w:val="center"/>
            <w:hideMark/>
          </w:tcPr>
          <w:p w14:paraId="0ECBBD34"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0,49</w:t>
            </w:r>
          </w:p>
        </w:tc>
      </w:tr>
      <w:tr w:rsidR="00412A54" w:rsidRPr="00412A54" w14:paraId="260197F5" w14:textId="77777777" w:rsidTr="004818F5">
        <w:trPr>
          <w:trHeight w:val="315"/>
          <w:jc w:val="center"/>
        </w:trPr>
        <w:tc>
          <w:tcPr>
            <w:tcW w:w="2583" w:type="dxa"/>
            <w:tcBorders>
              <w:top w:val="nil"/>
              <w:left w:val="nil"/>
              <w:bottom w:val="nil"/>
              <w:right w:val="nil"/>
            </w:tcBorders>
            <w:shd w:val="clear" w:color="000000" w:fill="FFFFFF"/>
            <w:noWrap/>
            <w:vAlign w:val="center"/>
            <w:hideMark/>
          </w:tcPr>
          <w:p w14:paraId="0725D9CF" w14:textId="77777777" w:rsidR="00893688" w:rsidRPr="00412A54" w:rsidRDefault="00893688">
            <w:pPr>
              <w:rPr>
                <w:rFonts w:ascii="Times New Roman" w:hAnsi="Times New Roman" w:cs="Times New Roman"/>
                <w:sz w:val="24"/>
                <w:szCs w:val="24"/>
              </w:rPr>
            </w:pPr>
            <w:r w:rsidRPr="00412A54">
              <w:rPr>
                <w:rFonts w:ascii="Times New Roman" w:hAnsi="Times New Roman" w:cs="Times New Roman"/>
                <w:sz w:val="24"/>
                <w:szCs w:val="24"/>
              </w:rPr>
              <w:t>Ensino Primário Incompleto</w:t>
            </w:r>
          </w:p>
        </w:tc>
        <w:tc>
          <w:tcPr>
            <w:tcW w:w="1446" w:type="dxa"/>
            <w:tcBorders>
              <w:top w:val="nil"/>
              <w:left w:val="nil"/>
              <w:bottom w:val="nil"/>
              <w:right w:val="nil"/>
            </w:tcBorders>
            <w:shd w:val="clear" w:color="000000" w:fill="FFFFFF"/>
            <w:vAlign w:val="center"/>
            <w:hideMark/>
          </w:tcPr>
          <w:p w14:paraId="52218595"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0,21</w:t>
            </w:r>
          </w:p>
        </w:tc>
        <w:tc>
          <w:tcPr>
            <w:tcW w:w="1446" w:type="dxa"/>
            <w:tcBorders>
              <w:top w:val="nil"/>
              <w:left w:val="nil"/>
              <w:bottom w:val="nil"/>
            </w:tcBorders>
            <w:shd w:val="clear" w:color="000000" w:fill="FFFFFF"/>
            <w:noWrap/>
            <w:vAlign w:val="center"/>
            <w:hideMark/>
          </w:tcPr>
          <w:p w14:paraId="6B0E857C"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0,4</w:t>
            </w:r>
          </w:p>
        </w:tc>
        <w:tc>
          <w:tcPr>
            <w:tcW w:w="1446" w:type="dxa"/>
            <w:tcBorders>
              <w:top w:val="nil"/>
              <w:bottom w:val="nil"/>
              <w:right w:val="nil"/>
            </w:tcBorders>
            <w:shd w:val="clear" w:color="000000" w:fill="FFFFFF"/>
            <w:vAlign w:val="center"/>
            <w:hideMark/>
          </w:tcPr>
          <w:p w14:paraId="2723D684"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0,10</w:t>
            </w:r>
          </w:p>
        </w:tc>
        <w:tc>
          <w:tcPr>
            <w:tcW w:w="1447" w:type="dxa"/>
            <w:tcBorders>
              <w:top w:val="nil"/>
              <w:left w:val="nil"/>
              <w:bottom w:val="nil"/>
              <w:right w:val="nil"/>
            </w:tcBorders>
            <w:shd w:val="clear" w:color="000000" w:fill="FFFFFF"/>
            <w:noWrap/>
            <w:vAlign w:val="center"/>
            <w:hideMark/>
          </w:tcPr>
          <w:p w14:paraId="24E95228"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0,30</w:t>
            </w:r>
          </w:p>
        </w:tc>
      </w:tr>
      <w:tr w:rsidR="00412A54" w:rsidRPr="00412A54" w14:paraId="72B78A44" w14:textId="77777777" w:rsidTr="004818F5">
        <w:trPr>
          <w:trHeight w:val="315"/>
          <w:jc w:val="center"/>
        </w:trPr>
        <w:tc>
          <w:tcPr>
            <w:tcW w:w="2583" w:type="dxa"/>
            <w:tcBorders>
              <w:top w:val="nil"/>
              <w:left w:val="nil"/>
              <w:bottom w:val="nil"/>
              <w:right w:val="nil"/>
            </w:tcBorders>
            <w:shd w:val="clear" w:color="000000" w:fill="FFFFFF"/>
            <w:noWrap/>
            <w:vAlign w:val="center"/>
            <w:hideMark/>
          </w:tcPr>
          <w:p w14:paraId="262F5A29" w14:textId="77777777" w:rsidR="00893688" w:rsidRPr="00412A54" w:rsidRDefault="00893688">
            <w:pPr>
              <w:rPr>
                <w:rFonts w:ascii="Times New Roman" w:hAnsi="Times New Roman" w:cs="Times New Roman"/>
                <w:sz w:val="24"/>
                <w:szCs w:val="24"/>
              </w:rPr>
            </w:pPr>
            <w:r w:rsidRPr="00412A54">
              <w:rPr>
                <w:rFonts w:ascii="Times New Roman" w:hAnsi="Times New Roman" w:cs="Times New Roman"/>
                <w:sz w:val="24"/>
                <w:szCs w:val="24"/>
              </w:rPr>
              <w:t>Ensino Primário Completo</w:t>
            </w:r>
          </w:p>
        </w:tc>
        <w:tc>
          <w:tcPr>
            <w:tcW w:w="1446" w:type="dxa"/>
            <w:tcBorders>
              <w:top w:val="nil"/>
              <w:left w:val="nil"/>
              <w:bottom w:val="nil"/>
              <w:right w:val="nil"/>
            </w:tcBorders>
            <w:shd w:val="clear" w:color="000000" w:fill="FFFFFF"/>
            <w:vAlign w:val="center"/>
            <w:hideMark/>
          </w:tcPr>
          <w:p w14:paraId="01A2ADAA"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0,23</w:t>
            </w:r>
          </w:p>
        </w:tc>
        <w:tc>
          <w:tcPr>
            <w:tcW w:w="1446" w:type="dxa"/>
            <w:tcBorders>
              <w:top w:val="nil"/>
              <w:left w:val="nil"/>
              <w:bottom w:val="nil"/>
            </w:tcBorders>
            <w:shd w:val="clear" w:color="000000" w:fill="FFFFFF"/>
            <w:noWrap/>
            <w:vAlign w:val="center"/>
            <w:hideMark/>
          </w:tcPr>
          <w:p w14:paraId="58ED1345"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0,42</w:t>
            </w:r>
          </w:p>
        </w:tc>
        <w:tc>
          <w:tcPr>
            <w:tcW w:w="1446" w:type="dxa"/>
            <w:tcBorders>
              <w:top w:val="nil"/>
              <w:bottom w:val="nil"/>
              <w:right w:val="nil"/>
            </w:tcBorders>
            <w:shd w:val="clear" w:color="000000" w:fill="FFFFFF"/>
            <w:vAlign w:val="center"/>
            <w:hideMark/>
          </w:tcPr>
          <w:p w14:paraId="1A0926F8"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0,15</w:t>
            </w:r>
          </w:p>
        </w:tc>
        <w:tc>
          <w:tcPr>
            <w:tcW w:w="1447" w:type="dxa"/>
            <w:tcBorders>
              <w:top w:val="nil"/>
              <w:left w:val="nil"/>
              <w:bottom w:val="nil"/>
              <w:right w:val="nil"/>
            </w:tcBorders>
            <w:shd w:val="clear" w:color="000000" w:fill="FFFFFF"/>
            <w:noWrap/>
            <w:vAlign w:val="center"/>
            <w:hideMark/>
          </w:tcPr>
          <w:p w14:paraId="6C28C26C"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0,36</w:t>
            </w:r>
          </w:p>
        </w:tc>
      </w:tr>
      <w:tr w:rsidR="00412A54" w:rsidRPr="00412A54" w14:paraId="2DEC6E35" w14:textId="77777777" w:rsidTr="004818F5">
        <w:trPr>
          <w:trHeight w:val="315"/>
          <w:jc w:val="center"/>
        </w:trPr>
        <w:tc>
          <w:tcPr>
            <w:tcW w:w="2583" w:type="dxa"/>
            <w:tcBorders>
              <w:top w:val="nil"/>
              <w:left w:val="nil"/>
              <w:bottom w:val="nil"/>
              <w:right w:val="nil"/>
            </w:tcBorders>
            <w:shd w:val="clear" w:color="000000" w:fill="FFFFFF"/>
            <w:noWrap/>
            <w:vAlign w:val="center"/>
            <w:hideMark/>
          </w:tcPr>
          <w:p w14:paraId="0640353D" w14:textId="77777777" w:rsidR="00893688" w:rsidRPr="00412A54" w:rsidRDefault="00893688">
            <w:pPr>
              <w:rPr>
                <w:rFonts w:ascii="Times New Roman" w:hAnsi="Times New Roman" w:cs="Times New Roman"/>
                <w:sz w:val="24"/>
                <w:szCs w:val="24"/>
              </w:rPr>
            </w:pPr>
            <w:r w:rsidRPr="00412A54">
              <w:rPr>
                <w:rFonts w:ascii="Times New Roman" w:hAnsi="Times New Roman" w:cs="Times New Roman"/>
                <w:sz w:val="24"/>
                <w:szCs w:val="24"/>
              </w:rPr>
              <w:t>Ensino Médio Completo</w:t>
            </w:r>
          </w:p>
        </w:tc>
        <w:tc>
          <w:tcPr>
            <w:tcW w:w="1446" w:type="dxa"/>
            <w:tcBorders>
              <w:top w:val="nil"/>
              <w:left w:val="nil"/>
              <w:bottom w:val="nil"/>
              <w:right w:val="nil"/>
            </w:tcBorders>
            <w:shd w:val="clear" w:color="000000" w:fill="FFFFFF"/>
            <w:vAlign w:val="center"/>
            <w:hideMark/>
          </w:tcPr>
          <w:p w14:paraId="6847133D"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0,4</w:t>
            </w:r>
          </w:p>
        </w:tc>
        <w:tc>
          <w:tcPr>
            <w:tcW w:w="1446" w:type="dxa"/>
            <w:tcBorders>
              <w:top w:val="nil"/>
              <w:left w:val="nil"/>
              <w:bottom w:val="nil"/>
            </w:tcBorders>
            <w:shd w:val="clear" w:color="000000" w:fill="FFFFFF"/>
            <w:noWrap/>
            <w:vAlign w:val="center"/>
            <w:hideMark/>
          </w:tcPr>
          <w:p w14:paraId="09BA0034"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0,49</w:t>
            </w:r>
          </w:p>
        </w:tc>
        <w:tc>
          <w:tcPr>
            <w:tcW w:w="1446" w:type="dxa"/>
            <w:tcBorders>
              <w:top w:val="nil"/>
              <w:bottom w:val="nil"/>
              <w:right w:val="nil"/>
            </w:tcBorders>
            <w:shd w:val="clear" w:color="000000" w:fill="FFFFFF"/>
            <w:vAlign w:val="center"/>
            <w:hideMark/>
          </w:tcPr>
          <w:p w14:paraId="3FA673BA"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0,52</w:t>
            </w:r>
          </w:p>
        </w:tc>
        <w:tc>
          <w:tcPr>
            <w:tcW w:w="1447" w:type="dxa"/>
            <w:tcBorders>
              <w:top w:val="nil"/>
              <w:left w:val="nil"/>
              <w:bottom w:val="nil"/>
              <w:right w:val="nil"/>
            </w:tcBorders>
            <w:shd w:val="clear" w:color="000000" w:fill="FFFFFF"/>
            <w:noWrap/>
            <w:vAlign w:val="center"/>
            <w:hideMark/>
          </w:tcPr>
          <w:p w14:paraId="6FB2802F"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0,50</w:t>
            </w:r>
          </w:p>
        </w:tc>
      </w:tr>
      <w:tr w:rsidR="00412A54" w:rsidRPr="00412A54" w14:paraId="05EC593C" w14:textId="77777777" w:rsidTr="004818F5">
        <w:trPr>
          <w:trHeight w:val="315"/>
          <w:jc w:val="center"/>
        </w:trPr>
        <w:tc>
          <w:tcPr>
            <w:tcW w:w="2583" w:type="dxa"/>
            <w:tcBorders>
              <w:top w:val="nil"/>
              <w:left w:val="nil"/>
              <w:bottom w:val="nil"/>
              <w:right w:val="nil"/>
            </w:tcBorders>
            <w:shd w:val="clear" w:color="000000" w:fill="FFFFFF"/>
            <w:noWrap/>
            <w:vAlign w:val="center"/>
            <w:hideMark/>
          </w:tcPr>
          <w:p w14:paraId="624CA6B7" w14:textId="77777777" w:rsidR="00893688" w:rsidRPr="00412A54" w:rsidRDefault="00893688">
            <w:pPr>
              <w:rPr>
                <w:rFonts w:ascii="Times New Roman" w:hAnsi="Times New Roman" w:cs="Times New Roman"/>
                <w:sz w:val="24"/>
                <w:szCs w:val="24"/>
              </w:rPr>
            </w:pPr>
            <w:r w:rsidRPr="00412A54">
              <w:rPr>
                <w:rFonts w:ascii="Times New Roman" w:hAnsi="Times New Roman" w:cs="Times New Roman"/>
                <w:sz w:val="24"/>
                <w:szCs w:val="24"/>
              </w:rPr>
              <w:t>Ensino Superior Completo</w:t>
            </w:r>
          </w:p>
        </w:tc>
        <w:tc>
          <w:tcPr>
            <w:tcW w:w="1446" w:type="dxa"/>
            <w:tcBorders>
              <w:top w:val="nil"/>
              <w:left w:val="nil"/>
              <w:bottom w:val="nil"/>
              <w:right w:val="nil"/>
            </w:tcBorders>
            <w:shd w:val="clear" w:color="000000" w:fill="FFFFFF"/>
            <w:vAlign w:val="center"/>
            <w:hideMark/>
          </w:tcPr>
          <w:p w14:paraId="31A4B4EA"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0,15</w:t>
            </w:r>
          </w:p>
        </w:tc>
        <w:tc>
          <w:tcPr>
            <w:tcW w:w="1446" w:type="dxa"/>
            <w:tcBorders>
              <w:top w:val="nil"/>
              <w:left w:val="nil"/>
              <w:bottom w:val="nil"/>
            </w:tcBorders>
            <w:shd w:val="clear" w:color="000000" w:fill="FFFFFF"/>
            <w:noWrap/>
            <w:vAlign w:val="center"/>
            <w:hideMark/>
          </w:tcPr>
          <w:p w14:paraId="16BD4735"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0,35</w:t>
            </w:r>
          </w:p>
        </w:tc>
        <w:tc>
          <w:tcPr>
            <w:tcW w:w="1446" w:type="dxa"/>
            <w:tcBorders>
              <w:top w:val="nil"/>
              <w:bottom w:val="nil"/>
              <w:right w:val="nil"/>
            </w:tcBorders>
            <w:shd w:val="clear" w:color="000000" w:fill="FFFFFF"/>
            <w:vAlign w:val="center"/>
            <w:hideMark/>
          </w:tcPr>
          <w:p w14:paraId="766179B1"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0,21</w:t>
            </w:r>
          </w:p>
        </w:tc>
        <w:tc>
          <w:tcPr>
            <w:tcW w:w="1447" w:type="dxa"/>
            <w:tcBorders>
              <w:top w:val="nil"/>
              <w:left w:val="nil"/>
              <w:bottom w:val="nil"/>
              <w:right w:val="nil"/>
            </w:tcBorders>
            <w:shd w:val="clear" w:color="000000" w:fill="FFFFFF"/>
            <w:noWrap/>
            <w:vAlign w:val="center"/>
            <w:hideMark/>
          </w:tcPr>
          <w:p w14:paraId="14867968"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0,41</w:t>
            </w:r>
          </w:p>
        </w:tc>
      </w:tr>
      <w:tr w:rsidR="00412A54" w:rsidRPr="00412A54" w14:paraId="37F2F472" w14:textId="77777777" w:rsidTr="004818F5">
        <w:trPr>
          <w:trHeight w:val="315"/>
          <w:jc w:val="center"/>
        </w:trPr>
        <w:tc>
          <w:tcPr>
            <w:tcW w:w="2583" w:type="dxa"/>
            <w:tcBorders>
              <w:top w:val="nil"/>
              <w:left w:val="nil"/>
              <w:bottom w:val="nil"/>
              <w:right w:val="nil"/>
            </w:tcBorders>
            <w:shd w:val="clear" w:color="000000" w:fill="FFFFFF"/>
            <w:vAlign w:val="center"/>
            <w:hideMark/>
          </w:tcPr>
          <w:p w14:paraId="57280D17" w14:textId="77777777" w:rsidR="00893688" w:rsidRPr="00412A54" w:rsidRDefault="00893688">
            <w:pPr>
              <w:rPr>
                <w:rFonts w:ascii="Times New Roman" w:hAnsi="Times New Roman" w:cs="Times New Roman"/>
                <w:sz w:val="24"/>
                <w:szCs w:val="24"/>
              </w:rPr>
            </w:pPr>
            <w:r w:rsidRPr="00412A54">
              <w:rPr>
                <w:rFonts w:ascii="Times New Roman" w:hAnsi="Times New Roman" w:cs="Times New Roman"/>
                <w:sz w:val="24"/>
                <w:szCs w:val="24"/>
              </w:rPr>
              <w:t>Manual Rotineira</w:t>
            </w:r>
          </w:p>
        </w:tc>
        <w:tc>
          <w:tcPr>
            <w:tcW w:w="1446" w:type="dxa"/>
            <w:tcBorders>
              <w:top w:val="nil"/>
              <w:left w:val="nil"/>
              <w:bottom w:val="nil"/>
              <w:right w:val="nil"/>
            </w:tcBorders>
            <w:shd w:val="clear" w:color="000000" w:fill="FFFFFF"/>
            <w:vAlign w:val="center"/>
            <w:hideMark/>
          </w:tcPr>
          <w:p w14:paraId="368B1155"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0,28</w:t>
            </w:r>
          </w:p>
        </w:tc>
        <w:tc>
          <w:tcPr>
            <w:tcW w:w="1446" w:type="dxa"/>
            <w:tcBorders>
              <w:top w:val="nil"/>
              <w:left w:val="nil"/>
              <w:bottom w:val="nil"/>
            </w:tcBorders>
            <w:shd w:val="clear" w:color="000000" w:fill="FFFFFF"/>
            <w:noWrap/>
            <w:vAlign w:val="center"/>
            <w:hideMark/>
          </w:tcPr>
          <w:p w14:paraId="1024CBE3"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0,45</w:t>
            </w:r>
          </w:p>
        </w:tc>
        <w:tc>
          <w:tcPr>
            <w:tcW w:w="1446" w:type="dxa"/>
            <w:tcBorders>
              <w:top w:val="nil"/>
              <w:bottom w:val="nil"/>
              <w:right w:val="nil"/>
            </w:tcBorders>
            <w:shd w:val="clear" w:color="000000" w:fill="FFFFFF"/>
            <w:vAlign w:val="center"/>
            <w:hideMark/>
          </w:tcPr>
          <w:p w14:paraId="6EAE8D6B"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0,26</w:t>
            </w:r>
          </w:p>
        </w:tc>
        <w:tc>
          <w:tcPr>
            <w:tcW w:w="1447" w:type="dxa"/>
            <w:tcBorders>
              <w:top w:val="nil"/>
              <w:left w:val="nil"/>
              <w:bottom w:val="nil"/>
              <w:right w:val="nil"/>
            </w:tcBorders>
            <w:shd w:val="clear" w:color="000000" w:fill="FFFFFF"/>
            <w:noWrap/>
            <w:vAlign w:val="center"/>
            <w:hideMark/>
          </w:tcPr>
          <w:p w14:paraId="3974266D"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0,44</w:t>
            </w:r>
          </w:p>
        </w:tc>
      </w:tr>
      <w:tr w:rsidR="00412A54" w:rsidRPr="00412A54" w14:paraId="4D3B05DA" w14:textId="77777777" w:rsidTr="004818F5">
        <w:trPr>
          <w:trHeight w:val="315"/>
          <w:jc w:val="center"/>
        </w:trPr>
        <w:tc>
          <w:tcPr>
            <w:tcW w:w="2583" w:type="dxa"/>
            <w:tcBorders>
              <w:top w:val="nil"/>
              <w:left w:val="nil"/>
              <w:bottom w:val="nil"/>
              <w:right w:val="nil"/>
            </w:tcBorders>
            <w:shd w:val="clear" w:color="000000" w:fill="FFFFFF"/>
            <w:vAlign w:val="center"/>
            <w:hideMark/>
          </w:tcPr>
          <w:p w14:paraId="7E9892E0" w14:textId="77777777" w:rsidR="00893688" w:rsidRPr="00412A54" w:rsidRDefault="00893688">
            <w:pPr>
              <w:rPr>
                <w:rFonts w:ascii="Times New Roman" w:hAnsi="Times New Roman" w:cs="Times New Roman"/>
                <w:sz w:val="24"/>
                <w:szCs w:val="24"/>
              </w:rPr>
            </w:pPr>
            <w:r w:rsidRPr="00412A54">
              <w:rPr>
                <w:rFonts w:ascii="Times New Roman" w:hAnsi="Times New Roman" w:cs="Times New Roman"/>
                <w:sz w:val="24"/>
                <w:szCs w:val="24"/>
              </w:rPr>
              <w:t>Manual Não Rotineira</w:t>
            </w:r>
          </w:p>
        </w:tc>
        <w:tc>
          <w:tcPr>
            <w:tcW w:w="1446" w:type="dxa"/>
            <w:tcBorders>
              <w:top w:val="nil"/>
              <w:left w:val="nil"/>
              <w:bottom w:val="nil"/>
              <w:right w:val="nil"/>
            </w:tcBorders>
            <w:shd w:val="clear" w:color="000000" w:fill="FFFFFF"/>
            <w:vAlign w:val="center"/>
            <w:hideMark/>
          </w:tcPr>
          <w:p w14:paraId="3E4796EF"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0,15</w:t>
            </w:r>
          </w:p>
        </w:tc>
        <w:tc>
          <w:tcPr>
            <w:tcW w:w="1446" w:type="dxa"/>
            <w:tcBorders>
              <w:top w:val="nil"/>
              <w:left w:val="nil"/>
              <w:bottom w:val="nil"/>
            </w:tcBorders>
            <w:shd w:val="clear" w:color="000000" w:fill="FFFFFF"/>
            <w:noWrap/>
            <w:vAlign w:val="center"/>
            <w:hideMark/>
          </w:tcPr>
          <w:p w14:paraId="5B761687"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0,35</w:t>
            </w:r>
          </w:p>
        </w:tc>
        <w:tc>
          <w:tcPr>
            <w:tcW w:w="1446" w:type="dxa"/>
            <w:tcBorders>
              <w:top w:val="nil"/>
              <w:bottom w:val="nil"/>
              <w:right w:val="nil"/>
            </w:tcBorders>
            <w:shd w:val="clear" w:color="000000" w:fill="FFFFFF"/>
            <w:vAlign w:val="center"/>
            <w:hideMark/>
          </w:tcPr>
          <w:p w14:paraId="5C4B32BA"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0,14</w:t>
            </w:r>
          </w:p>
        </w:tc>
        <w:tc>
          <w:tcPr>
            <w:tcW w:w="1447" w:type="dxa"/>
            <w:tcBorders>
              <w:top w:val="nil"/>
              <w:left w:val="nil"/>
              <w:bottom w:val="nil"/>
              <w:right w:val="nil"/>
            </w:tcBorders>
            <w:shd w:val="clear" w:color="000000" w:fill="FFFFFF"/>
            <w:noWrap/>
            <w:vAlign w:val="center"/>
            <w:hideMark/>
          </w:tcPr>
          <w:p w14:paraId="4BE5E2CF"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0,35</w:t>
            </w:r>
          </w:p>
        </w:tc>
      </w:tr>
      <w:tr w:rsidR="00412A54" w:rsidRPr="00412A54" w14:paraId="31FBD4B6" w14:textId="77777777" w:rsidTr="004818F5">
        <w:trPr>
          <w:trHeight w:val="315"/>
          <w:jc w:val="center"/>
        </w:trPr>
        <w:tc>
          <w:tcPr>
            <w:tcW w:w="2583" w:type="dxa"/>
            <w:tcBorders>
              <w:top w:val="nil"/>
              <w:left w:val="nil"/>
              <w:bottom w:val="nil"/>
              <w:right w:val="nil"/>
            </w:tcBorders>
            <w:shd w:val="clear" w:color="000000" w:fill="FFFFFF"/>
            <w:noWrap/>
            <w:vAlign w:val="center"/>
            <w:hideMark/>
          </w:tcPr>
          <w:p w14:paraId="6C5C5030" w14:textId="77777777" w:rsidR="00893688" w:rsidRPr="00412A54" w:rsidRDefault="00893688">
            <w:pPr>
              <w:rPr>
                <w:rFonts w:ascii="Times New Roman" w:hAnsi="Times New Roman" w:cs="Times New Roman"/>
                <w:sz w:val="24"/>
                <w:szCs w:val="24"/>
              </w:rPr>
            </w:pPr>
            <w:r w:rsidRPr="00412A54">
              <w:rPr>
                <w:rFonts w:ascii="Times New Roman" w:hAnsi="Times New Roman" w:cs="Times New Roman"/>
                <w:sz w:val="24"/>
                <w:szCs w:val="24"/>
              </w:rPr>
              <w:t xml:space="preserve">Não Manual Rotineira </w:t>
            </w:r>
          </w:p>
        </w:tc>
        <w:tc>
          <w:tcPr>
            <w:tcW w:w="1446" w:type="dxa"/>
            <w:tcBorders>
              <w:top w:val="nil"/>
              <w:left w:val="nil"/>
              <w:bottom w:val="nil"/>
              <w:right w:val="nil"/>
            </w:tcBorders>
            <w:shd w:val="clear" w:color="000000" w:fill="FFFFFF"/>
            <w:vAlign w:val="center"/>
            <w:hideMark/>
          </w:tcPr>
          <w:p w14:paraId="2C7D3308"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0,34</w:t>
            </w:r>
          </w:p>
        </w:tc>
        <w:tc>
          <w:tcPr>
            <w:tcW w:w="1446" w:type="dxa"/>
            <w:tcBorders>
              <w:top w:val="nil"/>
              <w:left w:val="nil"/>
              <w:bottom w:val="nil"/>
            </w:tcBorders>
            <w:shd w:val="clear" w:color="000000" w:fill="FFFFFF"/>
            <w:noWrap/>
            <w:vAlign w:val="center"/>
            <w:hideMark/>
          </w:tcPr>
          <w:p w14:paraId="5A1B7B78"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0,47</w:t>
            </w:r>
          </w:p>
        </w:tc>
        <w:tc>
          <w:tcPr>
            <w:tcW w:w="1446" w:type="dxa"/>
            <w:tcBorders>
              <w:top w:val="nil"/>
              <w:bottom w:val="nil"/>
              <w:right w:val="nil"/>
            </w:tcBorders>
            <w:shd w:val="clear" w:color="000000" w:fill="FFFFFF"/>
            <w:vAlign w:val="center"/>
            <w:hideMark/>
          </w:tcPr>
          <w:p w14:paraId="6B5C81F5"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0,36</w:t>
            </w:r>
          </w:p>
        </w:tc>
        <w:tc>
          <w:tcPr>
            <w:tcW w:w="1447" w:type="dxa"/>
            <w:tcBorders>
              <w:top w:val="nil"/>
              <w:left w:val="nil"/>
              <w:bottom w:val="nil"/>
              <w:right w:val="nil"/>
            </w:tcBorders>
            <w:shd w:val="clear" w:color="000000" w:fill="FFFFFF"/>
            <w:noWrap/>
            <w:vAlign w:val="center"/>
            <w:hideMark/>
          </w:tcPr>
          <w:p w14:paraId="56F28C43"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0,48</w:t>
            </w:r>
          </w:p>
        </w:tc>
      </w:tr>
      <w:tr w:rsidR="00412A54" w:rsidRPr="00412A54" w14:paraId="55A9D70F" w14:textId="77777777" w:rsidTr="004818F5">
        <w:trPr>
          <w:trHeight w:val="315"/>
          <w:jc w:val="center"/>
        </w:trPr>
        <w:tc>
          <w:tcPr>
            <w:tcW w:w="2583" w:type="dxa"/>
            <w:tcBorders>
              <w:top w:val="nil"/>
              <w:left w:val="nil"/>
              <w:right w:val="nil"/>
            </w:tcBorders>
            <w:shd w:val="clear" w:color="000000" w:fill="FFFFFF"/>
            <w:noWrap/>
            <w:vAlign w:val="center"/>
            <w:hideMark/>
          </w:tcPr>
          <w:p w14:paraId="251C12F3" w14:textId="77777777" w:rsidR="00893688" w:rsidRPr="00412A54" w:rsidRDefault="00893688">
            <w:pPr>
              <w:rPr>
                <w:rFonts w:ascii="Times New Roman" w:hAnsi="Times New Roman" w:cs="Times New Roman"/>
                <w:sz w:val="24"/>
                <w:szCs w:val="24"/>
              </w:rPr>
            </w:pPr>
            <w:r w:rsidRPr="00412A54">
              <w:rPr>
                <w:rFonts w:ascii="Times New Roman" w:hAnsi="Times New Roman" w:cs="Times New Roman"/>
                <w:sz w:val="24"/>
                <w:szCs w:val="24"/>
              </w:rPr>
              <w:t>Não Manual Não Rotineira</w:t>
            </w:r>
          </w:p>
        </w:tc>
        <w:tc>
          <w:tcPr>
            <w:tcW w:w="1446" w:type="dxa"/>
            <w:tcBorders>
              <w:top w:val="nil"/>
              <w:left w:val="nil"/>
              <w:right w:val="nil"/>
            </w:tcBorders>
            <w:shd w:val="clear" w:color="000000" w:fill="FFFFFF"/>
            <w:vAlign w:val="center"/>
            <w:hideMark/>
          </w:tcPr>
          <w:p w14:paraId="410FBD08"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0,21</w:t>
            </w:r>
          </w:p>
        </w:tc>
        <w:tc>
          <w:tcPr>
            <w:tcW w:w="1446" w:type="dxa"/>
            <w:tcBorders>
              <w:top w:val="nil"/>
              <w:left w:val="nil"/>
            </w:tcBorders>
            <w:shd w:val="clear" w:color="000000" w:fill="FFFFFF"/>
            <w:noWrap/>
            <w:vAlign w:val="center"/>
            <w:hideMark/>
          </w:tcPr>
          <w:p w14:paraId="13D3C40F"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0,41</w:t>
            </w:r>
          </w:p>
        </w:tc>
        <w:tc>
          <w:tcPr>
            <w:tcW w:w="1446" w:type="dxa"/>
            <w:tcBorders>
              <w:top w:val="nil"/>
              <w:right w:val="nil"/>
            </w:tcBorders>
            <w:shd w:val="clear" w:color="000000" w:fill="FFFFFF"/>
            <w:vAlign w:val="center"/>
            <w:hideMark/>
          </w:tcPr>
          <w:p w14:paraId="3E15395C"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0,23</w:t>
            </w:r>
          </w:p>
        </w:tc>
        <w:tc>
          <w:tcPr>
            <w:tcW w:w="1447" w:type="dxa"/>
            <w:tcBorders>
              <w:top w:val="nil"/>
              <w:left w:val="nil"/>
              <w:right w:val="nil"/>
            </w:tcBorders>
            <w:shd w:val="clear" w:color="000000" w:fill="FFFFFF"/>
            <w:noWrap/>
            <w:vAlign w:val="center"/>
            <w:hideMark/>
          </w:tcPr>
          <w:p w14:paraId="4F4643F4" w14:textId="77777777" w:rsidR="00893688" w:rsidRPr="00412A54" w:rsidRDefault="00893688">
            <w:pPr>
              <w:jc w:val="center"/>
              <w:rPr>
                <w:rFonts w:ascii="Times New Roman" w:hAnsi="Times New Roman" w:cs="Times New Roman"/>
                <w:sz w:val="24"/>
                <w:szCs w:val="24"/>
              </w:rPr>
            </w:pPr>
            <w:r w:rsidRPr="00412A54">
              <w:rPr>
                <w:rFonts w:ascii="Times New Roman" w:hAnsi="Times New Roman" w:cs="Times New Roman"/>
                <w:sz w:val="24"/>
                <w:szCs w:val="24"/>
              </w:rPr>
              <w:t>0,42</w:t>
            </w:r>
          </w:p>
        </w:tc>
      </w:tr>
      <w:tr w:rsidR="00412A54" w:rsidRPr="00412A54" w14:paraId="414BD07B" w14:textId="77777777" w:rsidTr="004818F5">
        <w:trPr>
          <w:trHeight w:val="315"/>
          <w:jc w:val="center"/>
        </w:trPr>
        <w:tc>
          <w:tcPr>
            <w:tcW w:w="2583" w:type="dxa"/>
            <w:tcBorders>
              <w:bottom w:val="single" w:sz="4" w:space="0" w:color="auto"/>
              <w:right w:val="nil"/>
            </w:tcBorders>
            <w:shd w:val="clear" w:color="000000" w:fill="FFFFFF"/>
            <w:noWrap/>
            <w:vAlign w:val="center"/>
          </w:tcPr>
          <w:p w14:paraId="2BE4819B" w14:textId="43A6FCDE" w:rsidR="00F50C43" w:rsidRPr="00412A54" w:rsidRDefault="00F50C43" w:rsidP="00F50C43">
            <w:pPr>
              <w:rPr>
                <w:rFonts w:ascii="Times New Roman" w:hAnsi="Times New Roman" w:cs="Times New Roman"/>
                <w:sz w:val="24"/>
                <w:szCs w:val="24"/>
              </w:rPr>
            </w:pPr>
            <w:bookmarkStart w:id="4" w:name="_Hlk14600941"/>
            <w:r w:rsidRPr="00412A54">
              <w:rPr>
                <w:rFonts w:ascii="Times New Roman" w:hAnsi="Times New Roman" w:cs="Times New Roman"/>
                <w:sz w:val="24"/>
                <w:szCs w:val="24"/>
              </w:rPr>
              <w:lastRenderedPageBreak/>
              <w:t>Número de Observações</w:t>
            </w:r>
          </w:p>
        </w:tc>
        <w:tc>
          <w:tcPr>
            <w:tcW w:w="1446" w:type="dxa"/>
            <w:tcBorders>
              <w:left w:val="nil"/>
              <w:bottom w:val="single" w:sz="4" w:space="0" w:color="auto"/>
            </w:tcBorders>
            <w:shd w:val="clear" w:color="000000" w:fill="FFFFFF"/>
            <w:vAlign w:val="center"/>
          </w:tcPr>
          <w:p w14:paraId="06267C31" w14:textId="375765F9" w:rsidR="00F50C43" w:rsidRPr="00412A54" w:rsidRDefault="00F50C43" w:rsidP="00F50C43">
            <w:pPr>
              <w:jc w:val="center"/>
              <w:rPr>
                <w:rFonts w:ascii="Times New Roman" w:hAnsi="Times New Roman" w:cs="Times New Roman"/>
                <w:sz w:val="24"/>
                <w:szCs w:val="24"/>
              </w:rPr>
            </w:pPr>
            <w:r w:rsidRPr="00412A54">
              <w:rPr>
                <w:rFonts w:ascii="Times New Roman" w:hAnsi="Times New Roman" w:cs="Times New Roman"/>
                <w:sz w:val="24"/>
                <w:szCs w:val="24"/>
              </w:rPr>
              <w:t>30</w:t>
            </w:r>
            <w:r w:rsidR="00C87067" w:rsidRPr="00412A54">
              <w:rPr>
                <w:rFonts w:ascii="Times New Roman" w:hAnsi="Times New Roman" w:cs="Times New Roman"/>
                <w:sz w:val="24"/>
                <w:szCs w:val="24"/>
              </w:rPr>
              <w:t>.</w:t>
            </w:r>
            <w:r w:rsidRPr="00412A54">
              <w:rPr>
                <w:rFonts w:ascii="Times New Roman" w:hAnsi="Times New Roman" w:cs="Times New Roman"/>
                <w:sz w:val="24"/>
                <w:szCs w:val="24"/>
              </w:rPr>
              <w:t>348</w:t>
            </w:r>
            <w:r w:rsidR="00C87067" w:rsidRPr="00412A54">
              <w:rPr>
                <w:rFonts w:ascii="Times New Roman" w:hAnsi="Times New Roman" w:cs="Times New Roman"/>
                <w:sz w:val="24"/>
                <w:szCs w:val="24"/>
              </w:rPr>
              <w:t>.</w:t>
            </w:r>
            <w:r w:rsidRPr="00412A54">
              <w:rPr>
                <w:rFonts w:ascii="Times New Roman" w:hAnsi="Times New Roman" w:cs="Times New Roman"/>
                <w:sz w:val="24"/>
                <w:szCs w:val="24"/>
              </w:rPr>
              <w:t>022</w:t>
            </w:r>
          </w:p>
        </w:tc>
        <w:tc>
          <w:tcPr>
            <w:tcW w:w="1446" w:type="dxa"/>
            <w:tcBorders>
              <w:left w:val="nil"/>
              <w:bottom w:val="single" w:sz="4" w:space="0" w:color="auto"/>
            </w:tcBorders>
            <w:shd w:val="clear" w:color="000000" w:fill="FFFFFF"/>
            <w:vAlign w:val="center"/>
          </w:tcPr>
          <w:p w14:paraId="361A8689" w14:textId="42528012" w:rsidR="00F50C43" w:rsidRPr="00412A54" w:rsidRDefault="00F50C43" w:rsidP="00F50C43">
            <w:pPr>
              <w:jc w:val="center"/>
              <w:rPr>
                <w:rFonts w:ascii="Times New Roman" w:hAnsi="Times New Roman" w:cs="Times New Roman"/>
                <w:sz w:val="24"/>
                <w:szCs w:val="24"/>
              </w:rPr>
            </w:pPr>
            <w:r w:rsidRPr="00412A54">
              <w:rPr>
                <w:rFonts w:ascii="Times New Roman" w:hAnsi="Times New Roman" w:cs="Times New Roman"/>
                <w:sz w:val="24"/>
                <w:szCs w:val="24"/>
              </w:rPr>
              <w:t>30</w:t>
            </w:r>
            <w:r w:rsidR="00C87067" w:rsidRPr="00412A54">
              <w:rPr>
                <w:rFonts w:ascii="Times New Roman" w:hAnsi="Times New Roman" w:cs="Times New Roman"/>
                <w:sz w:val="24"/>
                <w:szCs w:val="24"/>
              </w:rPr>
              <w:t>.</w:t>
            </w:r>
            <w:r w:rsidRPr="00412A54">
              <w:rPr>
                <w:rFonts w:ascii="Times New Roman" w:hAnsi="Times New Roman" w:cs="Times New Roman"/>
                <w:sz w:val="24"/>
                <w:szCs w:val="24"/>
              </w:rPr>
              <w:t>348</w:t>
            </w:r>
            <w:r w:rsidR="00C87067" w:rsidRPr="00412A54">
              <w:rPr>
                <w:rFonts w:ascii="Times New Roman" w:hAnsi="Times New Roman" w:cs="Times New Roman"/>
                <w:sz w:val="24"/>
                <w:szCs w:val="24"/>
              </w:rPr>
              <w:t>.</w:t>
            </w:r>
            <w:r w:rsidRPr="00412A54">
              <w:rPr>
                <w:rFonts w:ascii="Times New Roman" w:hAnsi="Times New Roman" w:cs="Times New Roman"/>
                <w:sz w:val="24"/>
                <w:szCs w:val="24"/>
              </w:rPr>
              <w:t>022</w:t>
            </w:r>
          </w:p>
        </w:tc>
        <w:tc>
          <w:tcPr>
            <w:tcW w:w="1446" w:type="dxa"/>
            <w:tcBorders>
              <w:bottom w:val="single" w:sz="4" w:space="0" w:color="auto"/>
            </w:tcBorders>
            <w:shd w:val="clear" w:color="000000" w:fill="FFFFFF"/>
            <w:vAlign w:val="center"/>
          </w:tcPr>
          <w:p w14:paraId="1102753F" w14:textId="383D4904" w:rsidR="00F50C43" w:rsidRPr="00412A54" w:rsidRDefault="00F50C43" w:rsidP="00F50C43">
            <w:pPr>
              <w:jc w:val="center"/>
              <w:rPr>
                <w:rFonts w:ascii="Times New Roman" w:hAnsi="Times New Roman" w:cs="Times New Roman"/>
                <w:sz w:val="24"/>
                <w:szCs w:val="24"/>
              </w:rPr>
            </w:pPr>
            <w:bookmarkStart w:id="5" w:name="OLE_LINK50"/>
            <w:bookmarkStart w:id="6" w:name="OLE_LINK51"/>
            <w:r w:rsidRPr="00412A54">
              <w:rPr>
                <w:rFonts w:ascii="Times New Roman" w:hAnsi="Times New Roman" w:cs="Times New Roman"/>
                <w:sz w:val="24"/>
                <w:szCs w:val="24"/>
              </w:rPr>
              <w:t>39</w:t>
            </w:r>
            <w:r w:rsidR="00C87067" w:rsidRPr="00412A54">
              <w:rPr>
                <w:rFonts w:ascii="Times New Roman" w:hAnsi="Times New Roman" w:cs="Times New Roman"/>
                <w:sz w:val="24"/>
                <w:szCs w:val="24"/>
              </w:rPr>
              <w:t>.</w:t>
            </w:r>
            <w:r w:rsidRPr="00412A54">
              <w:rPr>
                <w:rFonts w:ascii="Times New Roman" w:hAnsi="Times New Roman" w:cs="Times New Roman"/>
                <w:sz w:val="24"/>
                <w:szCs w:val="24"/>
              </w:rPr>
              <w:t>316</w:t>
            </w:r>
            <w:r w:rsidR="00C87067" w:rsidRPr="00412A54">
              <w:rPr>
                <w:rFonts w:ascii="Times New Roman" w:hAnsi="Times New Roman" w:cs="Times New Roman"/>
                <w:sz w:val="24"/>
                <w:szCs w:val="24"/>
              </w:rPr>
              <w:t>.</w:t>
            </w:r>
            <w:r w:rsidRPr="00412A54">
              <w:rPr>
                <w:rFonts w:ascii="Times New Roman" w:hAnsi="Times New Roman" w:cs="Times New Roman"/>
                <w:sz w:val="24"/>
                <w:szCs w:val="24"/>
              </w:rPr>
              <w:t>980</w:t>
            </w:r>
            <w:bookmarkEnd w:id="5"/>
            <w:bookmarkEnd w:id="6"/>
          </w:p>
        </w:tc>
        <w:tc>
          <w:tcPr>
            <w:tcW w:w="1447" w:type="dxa"/>
            <w:tcBorders>
              <w:bottom w:val="single" w:sz="4" w:space="0" w:color="auto"/>
            </w:tcBorders>
            <w:shd w:val="clear" w:color="000000" w:fill="FFFFFF"/>
            <w:vAlign w:val="center"/>
          </w:tcPr>
          <w:p w14:paraId="73CAAC95" w14:textId="4C3E24D9" w:rsidR="00F50C43" w:rsidRPr="00412A54" w:rsidRDefault="00F50C43" w:rsidP="00F50C43">
            <w:pPr>
              <w:jc w:val="center"/>
              <w:rPr>
                <w:rFonts w:ascii="Times New Roman" w:hAnsi="Times New Roman" w:cs="Times New Roman"/>
                <w:sz w:val="24"/>
                <w:szCs w:val="24"/>
              </w:rPr>
            </w:pPr>
            <w:r w:rsidRPr="00412A54">
              <w:rPr>
                <w:rFonts w:ascii="Times New Roman" w:hAnsi="Times New Roman" w:cs="Times New Roman"/>
                <w:sz w:val="24"/>
                <w:szCs w:val="24"/>
              </w:rPr>
              <w:t>39</w:t>
            </w:r>
            <w:r w:rsidR="00C87067" w:rsidRPr="00412A54">
              <w:rPr>
                <w:rFonts w:ascii="Times New Roman" w:hAnsi="Times New Roman" w:cs="Times New Roman"/>
                <w:sz w:val="24"/>
                <w:szCs w:val="24"/>
              </w:rPr>
              <w:t>.</w:t>
            </w:r>
            <w:r w:rsidRPr="00412A54">
              <w:rPr>
                <w:rFonts w:ascii="Times New Roman" w:hAnsi="Times New Roman" w:cs="Times New Roman"/>
                <w:sz w:val="24"/>
                <w:szCs w:val="24"/>
              </w:rPr>
              <w:t>316</w:t>
            </w:r>
            <w:r w:rsidR="00C87067" w:rsidRPr="00412A54">
              <w:rPr>
                <w:rFonts w:ascii="Times New Roman" w:hAnsi="Times New Roman" w:cs="Times New Roman"/>
                <w:sz w:val="24"/>
                <w:szCs w:val="24"/>
              </w:rPr>
              <w:t>.</w:t>
            </w:r>
            <w:r w:rsidRPr="00412A54">
              <w:rPr>
                <w:rFonts w:ascii="Times New Roman" w:hAnsi="Times New Roman" w:cs="Times New Roman"/>
                <w:sz w:val="24"/>
                <w:szCs w:val="24"/>
              </w:rPr>
              <w:t>980</w:t>
            </w:r>
          </w:p>
        </w:tc>
      </w:tr>
      <w:bookmarkEnd w:id="4"/>
    </w:tbl>
    <w:p w14:paraId="2855A8E7" w14:textId="77777777" w:rsidR="00893688" w:rsidRPr="00412A54" w:rsidRDefault="00893688" w:rsidP="001C7A7F">
      <w:pPr>
        <w:ind w:firstLine="360"/>
        <w:jc w:val="both"/>
        <w:outlineLvl w:val="0"/>
        <w:rPr>
          <w:rFonts w:ascii="Times New Roman" w:hAnsi="Times New Roman" w:cs="Times New Roman"/>
          <w:sz w:val="24"/>
          <w:szCs w:val="24"/>
        </w:rPr>
      </w:pPr>
    </w:p>
    <w:p w14:paraId="257B0A7D" w14:textId="4840B43B" w:rsidR="00AA2B7B" w:rsidRPr="00412A54" w:rsidRDefault="00572965" w:rsidP="004818F5">
      <w:pPr>
        <w:jc w:val="both"/>
        <w:outlineLvl w:val="0"/>
        <w:rPr>
          <w:rFonts w:ascii="Times New Roman" w:hAnsi="Times New Roman" w:cs="Times New Roman"/>
          <w:sz w:val="24"/>
          <w:szCs w:val="24"/>
        </w:rPr>
      </w:pPr>
      <w:r w:rsidRPr="00412A54">
        <w:rPr>
          <w:rFonts w:ascii="Times New Roman" w:hAnsi="Times New Roman" w:cs="Times New Roman"/>
          <w:sz w:val="24"/>
          <w:szCs w:val="24"/>
        </w:rPr>
        <w:t>O gráfico 1 acompanha a evolução desta distribuição dentre os anos considerados em que fica claro a tendência de ampliação na alocação de trabalhadores em postos de trabalho não manuais, em especial nos 5 anos finais do período considerado.</w:t>
      </w:r>
      <w:r w:rsidR="00AA2B7B" w:rsidRPr="00412A54">
        <w:rPr>
          <w:rFonts w:ascii="Times New Roman" w:hAnsi="Times New Roman" w:cs="Times New Roman"/>
          <w:sz w:val="24"/>
          <w:szCs w:val="24"/>
        </w:rPr>
        <w:t xml:space="preserve"> Notadamente, aquelas não manuais não rotineiras, mais complexas, tiveram um crescimento de</w:t>
      </w:r>
      <w:r w:rsidR="00B75EB1" w:rsidRPr="00412A54">
        <w:rPr>
          <w:rFonts w:ascii="Times New Roman" w:hAnsi="Times New Roman" w:cs="Times New Roman"/>
          <w:sz w:val="24"/>
          <w:szCs w:val="24"/>
        </w:rPr>
        <w:t xml:space="preserve"> 9</w:t>
      </w:r>
      <w:r w:rsidR="00AA2B7B" w:rsidRPr="00412A54">
        <w:rPr>
          <w:rFonts w:ascii="Times New Roman" w:hAnsi="Times New Roman" w:cs="Times New Roman"/>
          <w:sz w:val="24"/>
          <w:szCs w:val="24"/>
        </w:rPr>
        <w:t>% no número de trabalhadores que as desempenhavam, enquanto as</w:t>
      </w:r>
      <w:r w:rsidR="00F945EF" w:rsidRPr="00412A54">
        <w:rPr>
          <w:rFonts w:ascii="Times New Roman" w:hAnsi="Times New Roman" w:cs="Times New Roman"/>
          <w:sz w:val="24"/>
          <w:szCs w:val="24"/>
        </w:rPr>
        <w:t xml:space="preserve"> </w:t>
      </w:r>
      <w:r w:rsidR="00AA2B7B" w:rsidRPr="00412A54">
        <w:rPr>
          <w:rFonts w:ascii="Times New Roman" w:hAnsi="Times New Roman" w:cs="Times New Roman"/>
          <w:sz w:val="24"/>
          <w:szCs w:val="24"/>
        </w:rPr>
        <w:t xml:space="preserve">manuais e rotineiras, menos complexas, assistiram a uma redução no contingente de trabalhadores na mesma magnitude. </w:t>
      </w:r>
      <w:r w:rsidR="004F40F1" w:rsidRPr="00412A54">
        <w:rPr>
          <w:rFonts w:ascii="Times New Roman" w:hAnsi="Times New Roman" w:cs="Times New Roman"/>
          <w:sz w:val="24"/>
          <w:szCs w:val="24"/>
        </w:rPr>
        <w:t xml:space="preserve"> </w:t>
      </w:r>
      <w:r w:rsidR="00AA2B7B" w:rsidRPr="00412A54">
        <w:rPr>
          <w:rFonts w:ascii="Times New Roman" w:hAnsi="Times New Roman" w:cs="Times New Roman"/>
          <w:sz w:val="24"/>
          <w:szCs w:val="24"/>
        </w:rPr>
        <w:t xml:space="preserve">Estes dados apontam </w:t>
      </w:r>
      <w:r w:rsidR="002B602F" w:rsidRPr="00412A54">
        <w:rPr>
          <w:rFonts w:ascii="Times New Roman" w:hAnsi="Times New Roman" w:cs="Times New Roman"/>
          <w:sz w:val="24"/>
          <w:szCs w:val="24"/>
        </w:rPr>
        <w:t xml:space="preserve">para um aumento da proporção de empregos que exigem atividades intensivas em habilidades cognitivas, ou seja, mais complexas. </w:t>
      </w:r>
      <w:r w:rsidR="00AA2B7B" w:rsidRPr="00412A54">
        <w:rPr>
          <w:rFonts w:ascii="Times New Roman" w:hAnsi="Times New Roman" w:cs="Times New Roman"/>
          <w:sz w:val="24"/>
          <w:szCs w:val="24"/>
        </w:rPr>
        <w:t xml:space="preserve"> </w:t>
      </w:r>
    </w:p>
    <w:p w14:paraId="69D2C0FD" w14:textId="1363BE8C" w:rsidR="002B602F" w:rsidRPr="00412A54" w:rsidRDefault="002B602F" w:rsidP="00B63E41">
      <w:pPr>
        <w:jc w:val="both"/>
        <w:outlineLvl w:val="0"/>
        <w:rPr>
          <w:rFonts w:ascii="Times New Roman" w:hAnsi="Times New Roman" w:cs="Times New Roman"/>
          <w:sz w:val="24"/>
          <w:szCs w:val="24"/>
        </w:rPr>
      </w:pPr>
      <w:r w:rsidRPr="00412A54">
        <w:rPr>
          <w:rFonts w:ascii="Times New Roman" w:hAnsi="Times New Roman" w:cs="Times New Roman"/>
          <w:sz w:val="24"/>
          <w:szCs w:val="24"/>
        </w:rPr>
        <w:t>Conquanto se verifique mudanças na distribuição dos trabalhadores em direção a ocupações de caráter mais complexo, o gráfico 1 também nos mostra que estas mudanças foram sutis no período, uma vez que não se observa uma mudança</w:t>
      </w:r>
      <w:r w:rsidR="00F945EF" w:rsidRPr="00412A54">
        <w:rPr>
          <w:rFonts w:ascii="Times New Roman" w:hAnsi="Times New Roman" w:cs="Times New Roman"/>
          <w:sz w:val="24"/>
          <w:szCs w:val="24"/>
        </w:rPr>
        <w:t xml:space="preserve"> da</w:t>
      </w:r>
      <w:r w:rsidRPr="00412A54">
        <w:rPr>
          <w:rFonts w:ascii="Times New Roman" w:hAnsi="Times New Roman" w:cs="Times New Roman"/>
          <w:sz w:val="24"/>
          <w:szCs w:val="24"/>
        </w:rPr>
        <w:t xml:space="preserve"> estrutura</w:t>
      </w:r>
      <w:r w:rsidR="00F945EF" w:rsidRPr="00412A54">
        <w:rPr>
          <w:rFonts w:ascii="Times New Roman" w:hAnsi="Times New Roman" w:cs="Times New Roman"/>
          <w:sz w:val="24"/>
          <w:szCs w:val="24"/>
        </w:rPr>
        <w:t xml:space="preserve"> ocupacional</w:t>
      </w:r>
      <w:r w:rsidRPr="00412A54">
        <w:rPr>
          <w:rFonts w:ascii="Times New Roman" w:hAnsi="Times New Roman" w:cs="Times New Roman"/>
          <w:sz w:val="24"/>
          <w:szCs w:val="24"/>
        </w:rPr>
        <w:t xml:space="preserve"> no período. Esta hipótese de que </w:t>
      </w:r>
      <w:r w:rsidR="00F945EF" w:rsidRPr="00412A54">
        <w:rPr>
          <w:rFonts w:ascii="Times New Roman" w:hAnsi="Times New Roman" w:cs="Times New Roman"/>
          <w:sz w:val="24"/>
          <w:szCs w:val="24"/>
        </w:rPr>
        <w:t>a estrutura ocupacional não se alterou de modo substancial se torna mais intrigante quando comparamos a relativa permanência da distribuição dos trabalhadores dentre os tipos de ocupação com o crescimento do número de indivíduos mais educados ao longo da década. Ou seja, embora o contingente de indivíduos com níveis mais altos de ensino tenha se ampliado de modo importante, a distribuição destes indivíduos dentre as ocupações favoreceu aquelas mais complexas em um nível bastante inferior. Este apontamento  indica que uma parcela de trabalhadores mais educados foram alocados em postos de trabalho nos quais desempenhavam atividades pouco intensivas em exigência cognitiva</w:t>
      </w:r>
      <w:r w:rsidR="00F654D5" w:rsidRPr="00412A54">
        <w:rPr>
          <w:rFonts w:ascii="Times New Roman" w:hAnsi="Times New Roman" w:cs="Times New Roman"/>
          <w:sz w:val="24"/>
          <w:szCs w:val="24"/>
        </w:rPr>
        <w:t>, conectadas ao diploma superior obtido</w:t>
      </w:r>
      <w:r w:rsidR="00F945EF" w:rsidRPr="00412A54">
        <w:rPr>
          <w:rFonts w:ascii="Times New Roman" w:hAnsi="Times New Roman" w:cs="Times New Roman"/>
          <w:sz w:val="24"/>
          <w:szCs w:val="24"/>
        </w:rPr>
        <w:t xml:space="preserve">. </w:t>
      </w:r>
    </w:p>
    <w:p w14:paraId="7491B049" w14:textId="75698C6C" w:rsidR="00F654D5" w:rsidRPr="00412A54" w:rsidRDefault="00F654D5" w:rsidP="00B72554">
      <w:pPr>
        <w:jc w:val="both"/>
        <w:outlineLvl w:val="0"/>
        <w:rPr>
          <w:rFonts w:ascii="Times New Roman" w:hAnsi="Times New Roman" w:cs="Times New Roman"/>
          <w:sz w:val="24"/>
          <w:szCs w:val="24"/>
        </w:rPr>
      </w:pPr>
      <w:r w:rsidRPr="00412A54">
        <w:rPr>
          <w:rFonts w:ascii="Times New Roman" w:hAnsi="Times New Roman" w:cs="Times New Roman"/>
          <w:sz w:val="24"/>
          <w:szCs w:val="24"/>
        </w:rPr>
        <w:t xml:space="preserve">Faz-se nota que a literatura de SBTC prediz uma ampliação na oferta de trabalhadores em atividades complexas ao passo que o empego de computadores nas rotinas de trabalho se expande. Entretanto, em dissonância com o enunciado por esta literatura, o esvaziamento dos postos de trabalho de complexidade média foi apenas parcialmente observado no período, não havendo indícios de polarização. Diz-se parcialmente pois embora observamos a queda na participação de trabalhadores em trabalhos manuais e não rotineiros, de complexidade mediana, não verificamos redução no emprego de indivíduos em ocupações não manuais e rotineiras, de caráter substituto aos computadores. </w:t>
      </w:r>
    </w:p>
    <w:p w14:paraId="72B39DF9" w14:textId="1FED3CB6" w:rsidR="00B72554" w:rsidRPr="00412A54" w:rsidRDefault="00F654D5" w:rsidP="00B72554">
      <w:pPr>
        <w:jc w:val="both"/>
        <w:outlineLvl w:val="0"/>
        <w:rPr>
          <w:rFonts w:ascii="Times New Roman" w:hAnsi="Times New Roman" w:cs="Times New Roman"/>
          <w:sz w:val="24"/>
          <w:szCs w:val="24"/>
        </w:rPr>
      </w:pPr>
      <w:r w:rsidRPr="00412A54">
        <w:rPr>
          <w:rFonts w:ascii="Times New Roman" w:hAnsi="Times New Roman" w:cs="Times New Roman"/>
          <w:sz w:val="24"/>
          <w:szCs w:val="24"/>
        </w:rPr>
        <w:t xml:space="preserve">A explicação para esta dissonância com a teoria pode ser explicada por uma diferença na categorização aqui empregada frente àquela observada na literatura de SBTC. Notadamente, alocamos categorizamos os trabalhadores do ramo de vendas como não manuais e rotineiros, ao passo que autores como Autor, Levy e Murnane os categorizaram em uma tipologia exclusiva denominada </w:t>
      </w:r>
      <w:r w:rsidRPr="00412A54">
        <w:rPr>
          <w:rFonts w:ascii="Times New Roman" w:hAnsi="Times New Roman" w:cs="Times New Roman"/>
          <w:i/>
          <w:sz w:val="24"/>
          <w:szCs w:val="24"/>
        </w:rPr>
        <w:t>Non-Routine Interactive</w:t>
      </w:r>
      <w:r w:rsidRPr="00412A54">
        <w:rPr>
          <w:rFonts w:ascii="Times New Roman" w:hAnsi="Times New Roman" w:cs="Times New Roman"/>
          <w:sz w:val="24"/>
          <w:szCs w:val="24"/>
        </w:rPr>
        <w:t xml:space="preserve">. Assim, uma vez que se verifica forte crescimento do setor de serviços (conectado </w:t>
      </w:r>
      <w:r w:rsidR="00B72554" w:rsidRPr="00412A54">
        <w:rPr>
          <w:rFonts w:ascii="Times New Roman" w:hAnsi="Times New Roman" w:cs="Times New Roman"/>
          <w:sz w:val="24"/>
          <w:szCs w:val="24"/>
        </w:rPr>
        <w:t>as</w:t>
      </w:r>
      <w:r w:rsidRPr="00412A54">
        <w:rPr>
          <w:rFonts w:ascii="Times New Roman" w:hAnsi="Times New Roman" w:cs="Times New Roman"/>
          <w:sz w:val="24"/>
          <w:szCs w:val="24"/>
        </w:rPr>
        <w:t xml:space="preserve"> ocupações de venda), é compreensível que nossa categoria de Não Manual Rotineira tenha crescido no período.</w:t>
      </w:r>
      <w:r w:rsidR="00B72554" w:rsidRPr="00412A54">
        <w:rPr>
          <w:rFonts w:ascii="Times New Roman" w:hAnsi="Times New Roman" w:cs="Times New Roman"/>
          <w:sz w:val="24"/>
          <w:szCs w:val="24"/>
        </w:rPr>
        <w:t xml:space="preserve"> Neste sentido, nossa categorização está mais próxima da realizada por Foote e Ryan (2015) que adapta aquela de Autor, Levy e Murnane nas mesmas quatro categorias. </w:t>
      </w:r>
      <w:r w:rsidRPr="00412A54">
        <w:rPr>
          <w:rFonts w:ascii="Times New Roman" w:hAnsi="Times New Roman" w:cs="Times New Roman"/>
          <w:sz w:val="24"/>
          <w:szCs w:val="24"/>
        </w:rPr>
        <w:t xml:space="preserve"> </w:t>
      </w:r>
    </w:p>
    <w:p w14:paraId="34A0DCEA" w14:textId="77777777" w:rsidR="003D2D7D" w:rsidRPr="00412A54" w:rsidRDefault="003D2D7D" w:rsidP="00572965">
      <w:pPr>
        <w:ind w:firstLine="360"/>
        <w:jc w:val="both"/>
        <w:outlineLvl w:val="0"/>
        <w:rPr>
          <w:rFonts w:ascii="Times New Roman" w:hAnsi="Times New Roman" w:cs="Times New Roman"/>
          <w:b/>
          <w:sz w:val="24"/>
          <w:szCs w:val="24"/>
        </w:rPr>
      </w:pPr>
    </w:p>
    <w:p w14:paraId="4F918572" w14:textId="77777777" w:rsidR="003D2D7D" w:rsidRPr="00412A54" w:rsidRDefault="003D2D7D" w:rsidP="00572965">
      <w:pPr>
        <w:ind w:firstLine="360"/>
        <w:jc w:val="both"/>
        <w:outlineLvl w:val="0"/>
        <w:rPr>
          <w:rFonts w:ascii="Times New Roman" w:hAnsi="Times New Roman" w:cs="Times New Roman"/>
          <w:b/>
          <w:sz w:val="24"/>
          <w:szCs w:val="24"/>
        </w:rPr>
      </w:pPr>
    </w:p>
    <w:p w14:paraId="0A3BEB48" w14:textId="77777777" w:rsidR="003D2D7D" w:rsidRPr="00412A54" w:rsidRDefault="003D2D7D" w:rsidP="00572965">
      <w:pPr>
        <w:ind w:firstLine="360"/>
        <w:jc w:val="both"/>
        <w:outlineLvl w:val="0"/>
        <w:rPr>
          <w:rFonts w:ascii="Times New Roman" w:hAnsi="Times New Roman" w:cs="Times New Roman"/>
          <w:b/>
          <w:sz w:val="24"/>
          <w:szCs w:val="24"/>
        </w:rPr>
      </w:pPr>
    </w:p>
    <w:p w14:paraId="07CEFB29" w14:textId="77777777" w:rsidR="003D2D7D" w:rsidRPr="00412A54" w:rsidRDefault="003D2D7D" w:rsidP="00572965">
      <w:pPr>
        <w:ind w:firstLine="360"/>
        <w:jc w:val="both"/>
        <w:outlineLvl w:val="0"/>
        <w:rPr>
          <w:rFonts w:ascii="Times New Roman" w:hAnsi="Times New Roman" w:cs="Times New Roman"/>
          <w:b/>
          <w:sz w:val="24"/>
          <w:szCs w:val="24"/>
        </w:rPr>
      </w:pPr>
    </w:p>
    <w:p w14:paraId="719C4747" w14:textId="77777777" w:rsidR="003D2D7D" w:rsidRPr="00412A54" w:rsidRDefault="003D2D7D" w:rsidP="00572965">
      <w:pPr>
        <w:ind w:firstLine="360"/>
        <w:jc w:val="both"/>
        <w:outlineLvl w:val="0"/>
        <w:rPr>
          <w:rFonts w:ascii="Times New Roman" w:hAnsi="Times New Roman" w:cs="Times New Roman"/>
          <w:b/>
          <w:sz w:val="24"/>
          <w:szCs w:val="24"/>
        </w:rPr>
      </w:pPr>
    </w:p>
    <w:p w14:paraId="005C725C" w14:textId="77777777" w:rsidR="003D2D7D" w:rsidRPr="00412A54" w:rsidRDefault="003D2D7D" w:rsidP="00572965">
      <w:pPr>
        <w:ind w:firstLine="360"/>
        <w:jc w:val="both"/>
        <w:outlineLvl w:val="0"/>
        <w:rPr>
          <w:rFonts w:ascii="Times New Roman" w:hAnsi="Times New Roman" w:cs="Times New Roman"/>
          <w:b/>
          <w:sz w:val="24"/>
          <w:szCs w:val="24"/>
        </w:rPr>
      </w:pPr>
    </w:p>
    <w:p w14:paraId="76E20F26" w14:textId="77777777" w:rsidR="003D2D7D" w:rsidRPr="00412A54" w:rsidRDefault="003D2D7D" w:rsidP="00572965">
      <w:pPr>
        <w:ind w:firstLine="360"/>
        <w:jc w:val="both"/>
        <w:outlineLvl w:val="0"/>
        <w:rPr>
          <w:rFonts w:ascii="Times New Roman" w:hAnsi="Times New Roman" w:cs="Times New Roman"/>
          <w:b/>
          <w:sz w:val="24"/>
          <w:szCs w:val="24"/>
        </w:rPr>
      </w:pPr>
    </w:p>
    <w:p w14:paraId="26333FB3" w14:textId="77777777" w:rsidR="003D2D7D" w:rsidRPr="00412A54" w:rsidRDefault="003D2D7D" w:rsidP="00572965">
      <w:pPr>
        <w:ind w:firstLine="360"/>
        <w:jc w:val="both"/>
        <w:outlineLvl w:val="0"/>
        <w:rPr>
          <w:rFonts w:ascii="Times New Roman" w:hAnsi="Times New Roman" w:cs="Times New Roman"/>
          <w:b/>
          <w:sz w:val="24"/>
          <w:szCs w:val="24"/>
        </w:rPr>
      </w:pPr>
    </w:p>
    <w:p w14:paraId="2B7E2745" w14:textId="77777777" w:rsidR="003D2D7D" w:rsidRPr="00412A54" w:rsidRDefault="003D2D7D" w:rsidP="00572965">
      <w:pPr>
        <w:ind w:firstLine="360"/>
        <w:jc w:val="both"/>
        <w:outlineLvl w:val="0"/>
        <w:rPr>
          <w:rFonts w:ascii="Times New Roman" w:hAnsi="Times New Roman" w:cs="Times New Roman"/>
          <w:b/>
          <w:sz w:val="24"/>
          <w:szCs w:val="24"/>
        </w:rPr>
      </w:pPr>
    </w:p>
    <w:p w14:paraId="4A5F20F4" w14:textId="171F6BFB" w:rsidR="004D079E" w:rsidRPr="00412A54" w:rsidRDefault="00B72554" w:rsidP="00572965">
      <w:pPr>
        <w:ind w:firstLine="360"/>
        <w:jc w:val="both"/>
        <w:outlineLvl w:val="0"/>
        <w:rPr>
          <w:rFonts w:ascii="Times New Roman" w:hAnsi="Times New Roman" w:cs="Times New Roman"/>
          <w:b/>
          <w:sz w:val="24"/>
          <w:szCs w:val="24"/>
        </w:rPr>
      </w:pPr>
      <w:r w:rsidRPr="00412A54">
        <w:rPr>
          <w:rFonts w:ascii="Times New Roman" w:hAnsi="Times New Roman" w:cs="Times New Roman"/>
          <w:b/>
          <w:sz w:val="24"/>
          <w:szCs w:val="24"/>
        </w:rPr>
        <w:t>G</w:t>
      </w:r>
      <w:r w:rsidR="004D079E" w:rsidRPr="00412A54">
        <w:rPr>
          <w:rFonts w:ascii="Times New Roman" w:hAnsi="Times New Roman" w:cs="Times New Roman"/>
          <w:b/>
          <w:sz w:val="24"/>
          <w:szCs w:val="24"/>
        </w:rPr>
        <w:t xml:space="preserve">ráfico </w:t>
      </w:r>
      <w:r w:rsidR="004D079E" w:rsidRPr="00412A54">
        <w:rPr>
          <w:rFonts w:ascii="Times New Roman" w:hAnsi="Times New Roman" w:cs="Times New Roman"/>
          <w:b/>
          <w:sz w:val="24"/>
          <w:szCs w:val="24"/>
        </w:rPr>
        <w:fldChar w:fldCharType="begin"/>
      </w:r>
      <w:r w:rsidR="004D079E" w:rsidRPr="00412A54">
        <w:rPr>
          <w:rFonts w:ascii="Times New Roman" w:hAnsi="Times New Roman" w:cs="Times New Roman"/>
          <w:b/>
          <w:sz w:val="24"/>
          <w:szCs w:val="24"/>
        </w:rPr>
        <w:instrText xml:space="preserve"> SEQ Gráfico \* ARABIC </w:instrText>
      </w:r>
      <w:r w:rsidR="004D079E" w:rsidRPr="00412A54">
        <w:rPr>
          <w:rFonts w:ascii="Times New Roman" w:hAnsi="Times New Roman" w:cs="Times New Roman"/>
          <w:b/>
          <w:sz w:val="24"/>
          <w:szCs w:val="24"/>
        </w:rPr>
        <w:fldChar w:fldCharType="separate"/>
      </w:r>
      <w:r w:rsidR="00EE6104" w:rsidRPr="00412A54">
        <w:rPr>
          <w:rFonts w:ascii="Times New Roman" w:hAnsi="Times New Roman" w:cs="Times New Roman"/>
          <w:b/>
          <w:noProof/>
          <w:sz w:val="24"/>
          <w:szCs w:val="24"/>
        </w:rPr>
        <w:t>1</w:t>
      </w:r>
      <w:r w:rsidR="004D079E" w:rsidRPr="00412A54">
        <w:rPr>
          <w:rFonts w:ascii="Times New Roman" w:hAnsi="Times New Roman" w:cs="Times New Roman"/>
          <w:b/>
          <w:sz w:val="24"/>
          <w:szCs w:val="24"/>
        </w:rPr>
        <w:fldChar w:fldCharType="end"/>
      </w:r>
      <w:r w:rsidR="00B36223" w:rsidRPr="00412A54">
        <w:rPr>
          <w:rFonts w:ascii="Times New Roman" w:hAnsi="Times New Roman" w:cs="Times New Roman"/>
          <w:b/>
          <w:sz w:val="24"/>
          <w:szCs w:val="24"/>
        </w:rPr>
        <w:t xml:space="preserve"> </w:t>
      </w:r>
      <w:r w:rsidR="00447044" w:rsidRPr="00412A54">
        <w:rPr>
          <w:rFonts w:ascii="Times New Roman" w:hAnsi="Times New Roman" w:cs="Times New Roman"/>
          <w:b/>
          <w:sz w:val="24"/>
          <w:szCs w:val="24"/>
        </w:rPr>
        <w:t>–</w:t>
      </w:r>
      <w:r w:rsidR="00B36223" w:rsidRPr="00412A54">
        <w:rPr>
          <w:rFonts w:ascii="Times New Roman" w:hAnsi="Times New Roman" w:cs="Times New Roman"/>
          <w:b/>
          <w:sz w:val="24"/>
          <w:szCs w:val="24"/>
        </w:rPr>
        <w:t xml:space="preserve"> </w:t>
      </w:r>
      <w:r w:rsidRPr="00412A54">
        <w:rPr>
          <w:rFonts w:ascii="Times New Roman" w:hAnsi="Times New Roman" w:cs="Times New Roman"/>
          <w:sz w:val="24"/>
          <w:szCs w:val="24"/>
        </w:rPr>
        <w:t>Evolução d</w:t>
      </w:r>
      <w:r w:rsidR="00B75EB1" w:rsidRPr="00412A54">
        <w:rPr>
          <w:rFonts w:ascii="Times New Roman" w:hAnsi="Times New Roman" w:cs="Times New Roman"/>
          <w:sz w:val="24"/>
          <w:szCs w:val="24"/>
        </w:rPr>
        <w:t>a distribuição</w:t>
      </w:r>
      <w:r w:rsidR="00B36223" w:rsidRPr="00412A54">
        <w:rPr>
          <w:rFonts w:ascii="Times New Roman" w:hAnsi="Times New Roman" w:cs="Times New Roman"/>
          <w:sz w:val="24"/>
          <w:szCs w:val="24"/>
        </w:rPr>
        <w:t xml:space="preserve"> de trabalhadores </w:t>
      </w:r>
      <w:r w:rsidR="00744198" w:rsidRPr="00412A54">
        <w:rPr>
          <w:rFonts w:ascii="Times New Roman" w:hAnsi="Times New Roman" w:cs="Times New Roman"/>
          <w:sz w:val="24"/>
          <w:szCs w:val="24"/>
        </w:rPr>
        <w:t>dentre</w:t>
      </w:r>
      <w:r w:rsidR="00B36223" w:rsidRPr="00412A54">
        <w:rPr>
          <w:rFonts w:ascii="Times New Roman" w:hAnsi="Times New Roman" w:cs="Times New Roman"/>
          <w:sz w:val="24"/>
          <w:szCs w:val="24"/>
        </w:rPr>
        <w:t xml:space="preserve">  categorias de Natureza da Ocupação</w:t>
      </w:r>
      <w:r w:rsidR="00B75EB1" w:rsidRPr="00412A54">
        <w:rPr>
          <w:rFonts w:ascii="Times New Roman" w:hAnsi="Times New Roman" w:cs="Times New Roman"/>
          <w:sz w:val="24"/>
          <w:szCs w:val="24"/>
        </w:rPr>
        <w:t xml:space="preserve"> em relação a ano de 2006</w:t>
      </w:r>
    </w:p>
    <w:p w14:paraId="2B2971DD" w14:textId="08E05703" w:rsidR="002A23DA" w:rsidRPr="00412A54" w:rsidRDefault="00C93215" w:rsidP="002A23DA">
      <w:pPr>
        <w:pStyle w:val="PargrafodaLista"/>
        <w:jc w:val="center"/>
        <w:outlineLvl w:val="0"/>
        <w:rPr>
          <w:rFonts w:ascii="Times New Roman" w:hAnsi="Times New Roman" w:cs="Times New Roman"/>
          <w:sz w:val="20"/>
          <w:szCs w:val="20"/>
        </w:rPr>
      </w:pPr>
      <w:r w:rsidRPr="00412A54">
        <w:rPr>
          <w:noProof/>
        </w:rPr>
        <w:drawing>
          <wp:inline distT="0" distB="0" distL="0" distR="0" wp14:anchorId="2176CF48" wp14:editId="4BE31FEC">
            <wp:extent cx="4926806" cy="3286125"/>
            <wp:effectExtent l="0" t="0" r="7620" b="0"/>
            <wp:docPr id="1" name="Gráfico 1">
              <a:extLst xmlns:a="http://schemas.openxmlformats.org/drawingml/2006/main">
                <a:ext uri="{FF2B5EF4-FFF2-40B4-BE49-F238E27FC236}">
                  <a16:creationId xmlns:a16="http://schemas.microsoft.com/office/drawing/2014/main" id="{17646FFA-972B-4834-8F1D-8728DA2937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CD9CF5" w14:textId="1ACF079C" w:rsidR="002A23DA" w:rsidRPr="00412A54" w:rsidRDefault="002A23DA" w:rsidP="005B72CC">
      <w:pPr>
        <w:pStyle w:val="PargrafodaLista"/>
        <w:outlineLvl w:val="0"/>
        <w:rPr>
          <w:rFonts w:ascii="Times New Roman" w:hAnsi="Times New Roman" w:cs="Times New Roman"/>
          <w:sz w:val="20"/>
          <w:szCs w:val="20"/>
        </w:rPr>
      </w:pPr>
      <w:r w:rsidRPr="00412A54">
        <w:rPr>
          <w:rFonts w:ascii="Times New Roman" w:hAnsi="Times New Roman" w:cs="Times New Roman"/>
          <w:sz w:val="20"/>
          <w:szCs w:val="20"/>
        </w:rPr>
        <w:t>Fonte:</w:t>
      </w:r>
      <w:r w:rsidR="00F654D5" w:rsidRPr="00412A54">
        <w:rPr>
          <w:rFonts w:ascii="Times New Roman" w:hAnsi="Times New Roman" w:cs="Times New Roman"/>
          <w:sz w:val="20"/>
          <w:szCs w:val="20"/>
        </w:rPr>
        <w:t xml:space="preserve"> Elaboração própria a partir dos dados da RAIS</w:t>
      </w:r>
      <w:r w:rsidRPr="00412A54">
        <w:rPr>
          <w:rFonts w:ascii="Times New Roman" w:hAnsi="Times New Roman" w:cs="Times New Roman"/>
          <w:sz w:val="20"/>
          <w:szCs w:val="20"/>
        </w:rPr>
        <w:t xml:space="preserve"> </w:t>
      </w:r>
    </w:p>
    <w:p w14:paraId="61E1A462" w14:textId="77777777" w:rsidR="00B72554" w:rsidRPr="00412A54" w:rsidRDefault="00B72554" w:rsidP="002A23DA">
      <w:pPr>
        <w:jc w:val="both"/>
        <w:outlineLvl w:val="0"/>
        <w:rPr>
          <w:rFonts w:ascii="Times New Roman" w:hAnsi="Times New Roman" w:cs="Times New Roman"/>
          <w:sz w:val="24"/>
          <w:szCs w:val="24"/>
        </w:rPr>
      </w:pPr>
    </w:p>
    <w:p w14:paraId="1890CF96" w14:textId="379B9C4C" w:rsidR="004F40F1" w:rsidRPr="00412A54" w:rsidRDefault="00B72554" w:rsidP="002A23DA">
      <w:pPr>
        <w:jc w:val="both"/>
        <w:outlineLvl w:val="0"/>
        <w:rPr>
          <w:rFonts w:ascii="Times New Roman" w:hAnsi="Times New Roman" w:cs="Times New Roman"/>
          <w:sz w:val="24"/>
          <w:szCs w:val="24"/>
        </w:rPr>
      </w:pPr>
      <w:r w:rsidRPr="00412A54">
        <w:rPr>
          <w:rFonts w:ascii="Times New Roman" w:hAnsi="Times New Roman" w:cs="Times New Roman"/>
          <w:sz w:val="24"/>
          <w:szCs w:val="24"/>
        </w:rPr>
        <w:t>Por sua vez, a</w:t>
      </w:r>
      <w:r w:rsidR="00447044" w:rsidRPr="00412A54">
        <w:rPr>
          <w:rFonts w:ascii="Times New Roman" w:hAnsi="Times New Roman" w:cs="Times New Roman"/>
          <w:sz w:val="24"/>
          <w:szCs w:val="24"/>
        </w:rPr>
        <w:t xml:space="preserve"> Tabela 2 </w:t>
      </w:r>
      <w:r w:rsidR="00BD49C4" w:rsidRPr="00412A54">
        <w:rPr>
          <w:rFonts w:ascii="Times New Roman" w:hAnsi="Times New Roman" w:cs="Times New Roman"/>
          <w:sz w:val="24"/>
          <w:szCs w:val="24"/>
        </w:rPr>
        <w:t>mostra</w:t>
      </w:r>
      <w:r w:rsidR="00447044" w:rsidRPr="00412A54">
        <w:rPr>
          <w:rFonts w:ascii="Times New Roman" w:hAnsi="Times New Roman" w:cs="Times New Roman"/>
          <w:sz w:val="24"/>
          <w:szCs w:val="24"/>
        </w:rPr>
        <w:t xml:space="preserve"> </w:t>
      </w:r>
      <w:r w:rsidR="00BD49C4" w:rsidRPr="00412A54">
        <w:rPr>
          <w:rFonts w:ascii="Times New Roman" w:hAnsi="Times New Roman" w:cs="Times New Roman"/>
          <w:sz w:val="24"/>
          <w:szCs w:val="24"/>
        </w:rPr>
        <w:t xml:space="preserve">os valores </w:t>
      </w:r>
      <w:r w:rsidR="00447044" w:rsidRPr="00412A54">
        <w:rPr>
          <w:rFonts w:ascii="Times New Roman" w:hAnsi="Times New Roman" w:cs="Times New Roman"/>
          <w:sz w:val="24"/>
          <w:szCs w:val="24"/>
        </w:rPr>
        <w:t xml:space="preserve">de média e desvio padrão da variável de salário para os anos de 2006 e 2016. </w:t>
      </w:r>
      <w:r w:rsidR="002A23DA" w:rsidRPr="00412A54">
        <w:rPr>
          <w:rFonts w:ascii="Times New Roman" w:hAnsi="Times New Roman" w:cs="Times New Roman"/>
          <w:sz w:val="24"/>
          <w:szCs w:val="24"/>
        </w:rPr>
        <w:t xml:space="preserve">A comparação entre as médias salariais no período indicam um crescimento </w:t>
      </w:r>
      <w:r w:rsidRPr="00412A54">
        <w:rPr>
          <w:rFonts w:ascii="Times New Roman" w:hAnsi="Times New Roman" w:cs="Times New Roman"/>
          <w:sz w:val="24"/>
          <w:szCs w:val="24"/>
        </w:rPr>
        <w:t>importante</w:t>
      </w:r>
      <w:r w:rsidR="002A23DA" w:rsidRPr="00412A54">
        <w:rPr>
          <w:rFonts w:ascii="Times New Roman" w:hAnsi="Times New Roman" w:cs="Times New Roman"/>
          <w:sz w:val="24"/>
          <w:szCs w:val="24"/>
        </w:rPr>
        <w:t xml:space="preserve"> na renda do trabalho, com ampliação de 20% na média da variável de salário</w:t>
      </w:r>
      <w:r w:rsidRPr="00412A54">
        <w:rPr>
          <w:rFonts w:ascii="Times New Roman" w:hAnsi="Times New Roman" w:cs="Times New Roman"/>
          <w:sz w:val="24"/>
          <w:szCs w:val="24"/>
        </w:rPr>
        <w:t xml:space="preserve"> em dezembro</w:t>
      </w:r>
      <w:r w:rsidR="002A23DA" w:rsidRPr="00412A54">
        <w:rPr>
          <w:rFonts w:ascii="Times New Roman" w:hAnsi="Times New Roman" w:cs="Times New Roman"/>
          <w:sz w:val="24"/>
          <w:szCs w:val="24"/>
        </w:rPr>
        <w:t xml:space="preserve">. Dentre as categorias ocupacionais, a magnitude do crescimento do salário foi próximo à </w:t>
      </w:r>
      <w:r w:rsidR="00F945EF" w:rsidRPr="00412A54">
        <w:rPr>
          <w:rFonts w:ascii="Times New Roman" w:hAnsi="Times New Roman" w:cs="Times New Roman"/>
          <w:sz w:val="24"/>
          <w:szCs w:val="24"/>
        </w:rPr>
        <w:t>média</w:t>
      </w:r>
      <w:r w:rsidR="002A23DA" w:rsidRPr="00412A54">
        <w:rPr>
          <w:rFonts w:ascii="Times New Roman" w:hAnsi="Times New Roman" w:cs="Times New Roman"/>
          <w:sz w:val="24"/>
          <w:szCs w:val="24"/>
        </w:rPr>
        <w:t xml:space="preserve"> geral em todas as categorias à exceção daquelas não manuais e rotineiras, em que o aumento ocorreu em menor magnitude na década.</w:t>
      </w:r>
      <w:r w:rsidRPr="00412A54">
        <w:rPr>
          <w:rFonts w:ascii="Times New Roman" w:hAnsi="Times New Roman" w:cs="Times New Roman"/>
          <w:sz w:val="24"/>
          <w:szCs w:val="24"/>
        </w:rPr>
        <w:t xml:space="preserve"> </w:t>
      </w:r>
    </w:p>
    <w:p w14:paraId="17EE8709" w14:textId="72DA37AF" w:rsidR="00B72554" w:rsidRPr="00412A54" w:rsidRDefault="00B72554" w:rsidP="002A23DA">
      <w:pPr>
        <w:jc w:val="both"/>
        <w:outlineLvl w:val="0"/>
        <w:rPr>
          <w:rFonts w:ascii="Times New Roman" w:hAnsi="Times New Roman" w:cs="Times New Roman"/>
          <w:sz w:val="24"/>
          <w:szCs w:val="24"/>
        </w:rPr>
      </w:pPr>
      <w:r w:rsidRPr="00412A54">
        <w:rPr>
          <w:rFonts w:ascii="Times New Roman" w:hAnsi="Times New Roman" w:cs="Times New Roman"/>
          <w:sz w:val="24"/>
          <w:szCs w:val="24"/>
        </w:rPr>
        <w:t>Quanto às demais variáveis, observa-se o ligeiro decrescimento do ganho salarial dos trabalhadores com ensino superior completo e a relativa estagnação do prêmio àqueles com ensino médio completo, possivelmente relacionado à forte ampliação da oferta de indivíduos com estes atributos ao longo do período. Esta tendência contrasta com a ampliação do prêmio às ocupações de natureza complexa.</w:t>
      </w:r>
    </w:p>
    <w:p w14:paraId="7DE3A46A" w14:textId="12145488" w:rsidR="00AA2B7B" w:rsidRPr="00412A54" w:rsidRDefault="00AA2B7B" w:rsidP="002A23DA">
      <w:pPr>
        <w:jc w:val="both"/>
        <w:outlineLvl w:val="0"/>
        <w:rPr>
          <w:rFonts w:ascii="Times New Roman" w:hAnsi="Times New Roman" w:cs="Times New Roman"/>
          <w:sz w:val="24"/>
          <w:szCs w:val="24"/>
        </w:rPr>
      </w:pPr>
    </w:p>
    <w:p w14:paraId="332BC8D2" w14:textId="31D98C0F" w:rsidR="00447044" w:rsidRPr="00412A54" w:rsidRDefault="00447044" w:rsidP="00447044">
      <w:pPr>
        <w:pStyle w:val="Legenda"/>
        <w:keepNext/>
        <w:jc w:val="center"/>
        <w:rPr>
          <w:rFonts w:ascii="Times New Roman" w:hAnsi="Times New Roman" w:cs="Times New Roman"/>
          <w:i w:val="0"/>
          <w:color w:val="auto"/>
          <w:sz w:val="24"/>
          <w:szCs w:val="24"/>
        </w:rPr>
      </w:pPr>
      <w:r w:rsidRPr="00412A54">
        <w:rPr>
          <w:rFonts w:ascii="Times New Roman" w:hAnsi="Times New Roman" w:cs="Times New Roman"/>
          <w:b/>
          <w:i w:val="0"/>
          <w:color w:val="auto"/>
          <w:sz w:val="24"/>
          <w:szCs w:val="24"/>
        </w:rPr>
        <w:t xml:space="preserve">Tabela </w:t>
      </w:r>
      <w:r w:rsidRPr="00412A54">
        <w:rPr>
          <w:rFonts w:ascii="Times New Roman" w:hAnsi="Times New Roman" w:cs="Times New Roman"/>
          <w:b/>
          <w:i w:val="0"/>
          <w:color w:val="auto"/>
          <w:sz w:val="24"/>
          <w:szCs w:val="24"/>
        </w:rPr>
        <w:fldChar w:fldCharType="begin"/>
      </w:r>
      <w:r w:rsidRPr="00412A54">
        <w:rPr>
          <w:rFonts w:ascii="Times New Roman" w:hAnsi="Times New Roman" w:cs="Times New Roman"/>
          <w:b/>
          <w:i w:val="0"/>
          <w:color w:val="auto"/>
          <w:sz w:val="24"/>
          <w:szCs w:val="24"/>
        </w:rPr>
        <w:instrText xml:space="preserve"> SEQ Tabela \* ARABIC </w:instrText>
      </w:r>
      <w:r w:rsidRPr="00412A54">
        <w:rPr>
          <w:rFonts w:ascii="Times New Roman" w:hAnsi="Times New Roman" w:cs="Times New Roman"/>
          <w:b/>
          <w:i w:val="0"/>
          <w:color w:val="auto"/>
          <w:sz w:val="24"/>
          <w:szCs w:val="24"/>
        </w:rPr>
        <w:fldChar w:fldCharType="separate"/>
      </w:r>
      <w:r w:rsidR="00B97716" w:rsidRPr="00412A54">
        <w:rPr>
          <w:rFonts w:ascii="Times New Roman" w:hAnsi="Times New Roman" w:cs="Times New Roman"/>
          <w:b/>
          <w:i w:val="0"/>
          <w:noProof/>
          <w:color w:val="auto"/>
          <w:sz w:val="24"/>
          <w:szCs w:val="24"/>
        </w:rPr>
        <w:t>2</w:t>
      </w:r>
      <w:r w:rsidRPr="00412A54">
        <w:rPr>
          <w:rFonts w:ascii="Times New Roman" w:hAnsi="Times New Roman" w:cs="Times New Roman"/>
          <w:b/>
          <w:i w:val="0"/>
          <w:color w:val="auto"/>
          <w:sz w:val="24"/>
          <w:szCs w:val="24"/>
        </w:rPr>
        <w:fldChar w:fldCharType="end"/>
      </w:r>
      <w:r w:rsidRPr="00412A54">
        <w:rPr>
          <w:rFonts w:ascii="Times New Roman" w:hAnsi="Times New Roman" w:cs="Times New Roman"/>
          <w:b/>
          <w:i w:val="0"/>
          <w:color w:val="auto"/>
          <w:sz w:val="24"/>
          <w:szCs w:val="24"/>
        </w:rPr>
        <w:t xml:space="preserve"> - </w:t>
      </w:r>
      <w:r w:rsidRPr="00412A54">
        <w:rPr>
          <w:rFonts w:ascii="Times New Roman" w:hAnsi="Times New Roman" w:cs="Times New Roman"/>
          <w:i w:val="0"/>
          <w:color w:val="auto"/>
          <w:sz w:val="24"/>
          <w:szCs w:val="24"/>
        </w:rPr>
        <w:t>Média e Desvio Padrão do Salário Hora</w:t>
      </w:r>
    </w:p>
    <w:tbl>
      <w:tblPr>
        <w:tblW w:w="8780" w:type="dxa"/>
        <w:tblCellMar>
          <w:left w:w="70" w:type="dxa"/>
          <w:right w:w="70" w:type="dxa"/>
        </w:tblCellMar>
        <w:tblLook w:val="04A0" w:firstRow="1" w:lastRow="0" w:firstColumn="1" w:lastColumn="0" w:noHBand="0" w:noVBand="1"/>
      </w:tblPr>
      <w:tblGrid>
        <w:gridCol w:w="3820"/>
        <w:gridCol w:w="2000"/>
        <w:gridCol w:w="980"/>
        <w:gridCol w:w="2000"/>
        <w:gridCol w:w="920"/>
      </w:tblGrid>
      <w:tr w:rsidR="00412A54" w:rsidRPr="00412A54" w14:paraId="05F5B8CB" w14:textId="77777777" w:rsidTr="007E7DD6">
        <w:trPr>
          <w:trHeight w:val="300"/>
        </w:trPr>
        <w:tc>
          <w:tcPr>
            <w:tcW w:w="3820" w:type="dxa"/>
            <w:vMerge w:val="restart"/>
            <w:tcBorders>
              <w:top w:val="single" w:sz="4" w:space="0" w:color="auto"/>
              <w:left w:val="nil"/>
              <w:bottom w:val="double" w:sz="6" w:space="0" w:color="000000"/>
              <w:right w:val="nil"/>
            </w:tcBorders>
            <w:shd w:val="clear" w:color="000000" w:fill="FFFFFF"/>
            <w:noWrap/>
            <w:vAlign w:val="center"/>
            <w:hideMark/>
          </w:tcPr>
          <w:p w14:paraId="16DDFE89"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Variável</w:t>
            </w:r>
          </w:p>
        </w:tc>
        <w:tc>
          <w:tcPr>
            <w:tcW w:w="2480" w:type="dxa"/>
            <w:gridSpan w:val="2"/>
            <w:tcBorders>
              <w:top w:val="single" w:sz="4" w:space="0" w:color="auto"/>
              <w:left w:val="nil"/>
              <w:bottom w:val="nil"/>
              <w:right w:val="nil"/>
            </w:tcBorders>
            <w:shd w:val="clear" w:color="000000" w:fill="FFFFFF"/>
            <w:noWrap/>
            <w:vAlign w:val="bottom"/>
            <w:hideMark/>
          </w:tcPr>
          <w:p w14:paraId="5D7A9DB7"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2006</w:t>
            </w:r>
          </w:p>
        </w:tc>
        <w:tc>
          <w:tcPr>
            <w:tcW w:w="2480" w:type="dxa"/>
            <w:gridSpan w:val="2"/>
            <w:tcBorders>
              <w:top w:val="single" w:sz="4" w:space="0" w:color="auto"/>
              <w:left w:val="single" w:sz="4" w:space="0" w:color="auto"/>
              <w:bottom w:val="nil"/>
              <w:right w:val="nil"/>
            </w:tcBorders>
            <w:shd w:val="clear" w:color="000000" w:fill="FFFFFF"/>
            <w:noWrap/>
            <w:vAlign w:val="bottom"/>
            <w:hideMark/>
          </w:tcPr>
          <w:p w14:paraId="44016E6A"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2016</w:t>
            </w:r>
          </w:p>
        </w:tc>
      </w:tr>
      <w:tr w:rsidR="00412A54" w:rsidRPr="00412A54" w14:paraId="4EEF5038" w14:textId="77777777" w:rsidTr="007E7DD6">
        <w:trPr>
          <w:trHeight w:val="330"/>
        </w:trPr>
        <w:tc>
          <w:tcPr>
            <w:tcW w:w="3820" w:type="dxa"/>
            <w:vMerge/>
            <w:tcBorders>
              <w:top w:val="single" w:sz="4" w:space="0" w:color="auto"/>
              <w:left w:val="nil"/>
              <w:bottom w:val="double" w:sz="6" w:space="0" w:color="000000"/>
              <w:right w:val="nil"/>
            </w:tcBorders>
            <w:vAlign w:val="center"/>
            <w:hideMark/>
          </w:tcPr>
          <w:p w14:paraId="3EBF06E2" w14:textId="77777777" w:rsidR="007E7DD6" w:rsidRPr="00412A54" w:rsidRDefault="007E7DD6" w:rsidP="007E7DD6">
            <w:pPr>
              <w:spacing w:after="0" w:line="240" w:lineRule="auto"/>
              <w:rPr>
                <w:rFonts w:ascii="Times New Roman" w:eastAsia="Times New Roman" w:hAnsi="Times New Roman" w:cs="Times New Roman"/>
                <w:sz w:val="24"/>
                <w:szCs w:val="24"/>
                <w:lang w:eastAsia="pt-BR"/>
              </w:rPr>
            </w:pPr>
          </w:p>
        </w:tc>
        <w:tc>
          <w:tcPr>
            <w:tcW w:w="2000" w:type="dxa"/>
            <w:tcBorders>
              <w:top w:val="nil"/>
              <w:left w:val="nil"/>
              <w:bottom w:val="double" w:sz="6" w:space="0" w:color="auto"/>
              <w:right w:val="nil"/>
            </w:tcBorders>
            <w:shd w:val="clear" w:color="000000" w:fill="FFFFFF"/>
            <w:noWrap/>
            <w:vAlign w:val="center"/>
            <w:hideMark/>
          </w:tcPr>
          <w:p w14:paraId="4177DC5A"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Média</w:t>
            </w:r>
          </w:p>
        </w:tc>
        <w:tc>
          <w:tcPr>
            <w:tcW w:w="480" w:type="dxa"/>
            <w:tcBorders>
              <w:top w:val="nil"/>
              <w:left w:val="nil"/>
              <w:bottom w:val="double" w:sz="6" w:space="0" w:color="auto"/>
              <w:right w:val="nil"/>
            </w:tcBorders>
            <w:shd w:val="clear" w:color="000000" w:fill="FFFFFF"/>
            <w:noWrap/>
            <w:vAlign w:val="center"/>
            <w:hideMark/>
          </w:tcPr>
          <w:p w14:paraId="2E4D30C7"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DP</w:t>
            </w:r>
          </w:p>
        </w:tc>
        <w:tc>
          <w:tcPr>
            <w:tcW w:w="2000" w:type="dxa"/>
            <w:tcBorders>
              <w:top w:val="nil"/>
              <w:left w:val="single" w:sz="4" w:space="0" w:color="auto"/>
              <w:bottom w:val="double" w:sz="6" w:space="0" w:color="auto"/>
              <w:right w:val="nil"/>
            </w:tcBorders>
            <w:shd w:val="clear" w:color="000000" w:fill="FFFFFF"/>
            <w:noWrap/>
            <w:vAlign w:val="center"/>
            <w:hideMark/>
          </w:tcPr>
          <w:p w14:paraId="62551217"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 xml:space="preserve">Média </w:t>
            </w:r>
          </w:p>
        </w:tc>
        <w:tc>
          <w:tcPr>
            <w:tcW w:w="480" w:type="dxa"/>
            <w:tcBorders>
              <w:top w:val="nil"/>
              <w:left w:val="nil"/>
              <w:bottom w:val="double" w:sz="6" w:space="0" w:color="auto"/>
              <w:right w:val="nil"/>
            </w:tcBorders>
            <w:shd w:val="clear" w:color="000000" w:fill="FFFFFF"/>
            <w:noWrap/>
            <w:vAlign w:val="center"/>
            <w:hideMark/>
          </w:tcPr>
          <w:p w14:paraId="74A3E75A"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DP</w:t>
            </w:r>
          </w:p>
        </w:tc>
      </w:tr>
      <w:tr w:rsidR="00412A54" w:rsidRPr="00412A54" w14:paraId="712C89B1" w14:textId="77777777" w:rsidTr="007E7DD6">
        <w:trPr>
          <w:trHeight w:val="330"/>
        </w:trPr>
        <w:tc>
          <w:tcPr>
            <w:tcW w:w="3820" w:type="dxa"/>
            <w:tcBorders>
              <w:top w:val="nil"/>
              <w:left w:val="nil"/>
              <w:bottom w:val="nil"/>
              <w:right w:val="nil"/>
            </w:tcBorders>
            <w:shd w:val="clear" w:color="000000" w:fill="FFFFFF"/>
            <w:vAlign w:val="center"/>
            <w:hideMark/>
          </w:tcPr>
          <w:p w14:paraId="4DE55D2B" w14:textId="77777777" w:rsidR="007E7DD6" w:rsidRPr="00412A54" w:rsidRDefault="007E7DD6" w:rsidP="007E7DD6">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Geral</w:t>
            </w:r>
          </w:p>
        </w:tc>
        <w:tc>
          <w:tcPr>
            <w:tcW w:w="2000" w:type="dxa"/>
            <w:tcBorders>
              <w:top w:val="nil"/>
              <w:left w:val="nil"/>
              <w:bottom w:val="nil"/>
              <w:right w:val="nil"/>
            </w:tcBorders>
            <w:shd w:val="clear" w:color="000000" w:fill="FFFFFF"/>
            <w:noWrap/>
            <w:vAlign w:val="center"/>
            <w:hideMark/>
          </w:tcPr>
          <w:p w14:paraId="733418E1"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2.347,11</w:t>
            </w:r>
          </w:p>
        </w:tc>
        <w:tc>
          <w:tcPr>
            <w:tcW w:w="480" w:type="dxa"/>
            <w:tcBorders>
              <w:top w:val="nil"/>
              <w:left w:val="nil"/>
              <w:bottom w:val="nil"/>
              <w:right w:val="nil"/>
            </w:tcBorders>
            <w:shd w:val="clear" w:color="000000" w:fill="FFFFFF"/>
            <w:noWrap/>
            <w:vAlign w:val="center"/>
            <w:hideMark/>
          </w:tcPr>
          <w:p w14:paraId="30AB5CE9"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3.724,89</w:t>
            </w:r>
          </w:p>
        </w:tc>
        <w:tc>
          <w:tcPr>
            <w:tcW w:w="2000" w:type="dxa"/>
            <w:tcBorders>
              <w:top w:val="nil"/>
              <w:left w:val="single" w:sz="4" w:space="0" w:color="auto"/>
              <w:bottom w:val="nil"/>
              <w:right w:val="nil"/>
            </w:tcBorders>
            <w:shd w:val="clear" w:color="000000" w:fill="FFFFFF"/>
            <w:vAlign w:val="center"/>
            <w:hideMark/>
          </w:tcPr>
          <w:p w14:paraId="39182326"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2819,94</w:t>
            </w:r>
          </w:p>
        </w:tc>
        <w:tc>
          <w:tcPr>
            <w:tcW w:w="480" w:type="dxa"/>
            <w:tcBorders>
              <w:top w:val="nil"/>
              <w:left w:val="nil"/>
              <w:bottom w:val="nil"/>
              <w:right w:val="nil"/>
            </w:tcBorders>
            <w:shd w:val="clear" w:color="000000" w:fill="FFFFFF"/>
            <w:noWrap/>
            <w:vAlign w:val="center"/>
            <w:hideMark/>
          </w:tcPr>
          <w:p w14:paraId="6E092DBC"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3809,51</w:t>
            </w:r>
          </w:p>
        </w:tc>
      </w:tr>
      <w:tr w:rsidR="00412A54" w:rsidRPr="00412A54" w14:paraId="7CB534AB" w14:textId="77777777" w:rsidTr="007E7DD6">
        <w:trPr>
          <w:trHeight w:val="315"/>
        </w:trPr>
        <w:tc>
          <w:tcPr>
            <w:tcW w:w="3820" w:type="dxa"/>
            <w:tcBorders>
              <w:top w:val="nil"/>
              <w:left w:val="nil"/>
              <w:bottom w:val="nil"/>
              <w:right w:val="nil"/>
            </w:tcBorders>
            <w:shd w:val="clear" w:color="000000" w:fill="FFFFFF"/>
            <w:vAlign w:val="center"/>
            <w:hideMark/>
          </w:tcPr>
          <w:p w14:paraId="54AB4A01" w14:textId="77777777" w:rsidR="007E7DD6" w:rsidRPr="00412A54" w:rsidRDefault="007E7DD6" w:rsidP="007E7DD6">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Homens</w:t>
            </w:r>
          </w:p>
        </w:tc>
        <w:tc>
          <w:tcPr>
            <w:tcW w:w="2000" w:type="dxa"/>
            <w:tcBorders>
              <w:top w:val="nil"/>
              <w:left w:val="nil"/>
              <w:bottom w:val="nil"/>
              <w:right w:val="nil"/>
            </w:tcBorders>
            <w:shd w:val="clear" w:color="000000" w:fill="FFFFFF"/>
            <w:vAlign w:val="center"/>
            <w:hideMark/>
          </w:tcPr>
          <w:p w14:paraId="4A42E832"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2.507,71</w:t>
            </w:r>
          </w:p>
        </w:tc>
        <w:tc>
          <w:tcPr>
            <w:tcW w:w="480" w:type="dxa"/>
            <w:tcBorders>
              <w:top w:val="nil"/>
              <w:left w:val="nil"/>
              <w:bottom w:val="nil"/>
              <w:right w:val="nil"/>
            </w:tcBorders>
            <w:shd w:val="clear" w:color="000000" w:fill="FFFFFF"/>
            <w:noWrap/>
            <w:vAlign w:val="center"/>
            <w:hideMark/>
          </w:tcPr>
          <w:p w14:paraId="03D2AC38"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4.044,90</w:t>
            </w:r>
          </w:p>
        </w:tc>
        <w:tc>
          <w:tcPr>
            <w:tcW w:w="2000" w:type="dxa"/>
            <w:tcBorders>
              <w:top w:val="nil"/>
              <w:left w:val="single" w:sz="4" w:space="0" w:color="auto"/>
              <w:bottom w:val="nil"/>
              <w:right w:val="nil"/>
            </w:tcBorders>
            <w:shd w:val="clear" w:color="000000" w:fill="FFFFFF"/>
            <w:vAlign w:val="center"/>
            <w:hideMark/>
          </w:tcPr>
          <w:p w14:paraId="4425A2F4"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3015,76</w:t>
            </w:r>
          </w:p>
        </w:tc>
        <w:tc>
          <w:tcPr>
            <w:tcW w:w="480" w:type="dxa"/>
            <w:tcBorders>
              <w:top w:val="nil"/>
              <w:left w:val="nil"/>
              <w:bottom w:val="nil"/>
              <w:right w:val="nil"/>
            </w:tcBorders>
            <w:shd w:val="clear" w:color="000000" w:fill="FFFFFF"/>
            <w:noWrap/>
            <w:vAlign w:val="center"/>
            <w:hideMark/>
          </w:tcPr>
          <w:p w14:paraId="72E956D6"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4205,51</w:t>
            </w:r>
          </w:p>
        </w:tc>
      </w:tr>
      <w:tr w:rsidR="00412A54" w:rsidRPr="00412A54" w14:paraId="58BC58EE" w14:textId="77777777" w:rsidTr="007E7DD6">
        <w:trPr>
          <w:trHeight w:val="315"/>
        </w:trPr>
        <w:tc>
          <w:tcPr>
            <w:tcW w:w="3820" w:type="dxa"/>
            <w:tcBorders>
              <w:top w:val="nil"/>
              <w:left w:val="nil"/>
              <w:bottom w:val="nil"/>
              <w:right w:val="nil"/>
            </w:tcBorders>
            <w:shd w:val="clear" w:color="000000" w:fill="FFFFFF"/>
            <w:vAlign w:val="center"/>
            <w:hideMark/>
          </w:tcPr>
          <w:p w14:paraId="4EB277BC" w14:textId="77777777" w:rsidR="007E7DD6" w:rsidRPr="00412A54" w:rsidRDefault="007E7DD6" w:rsidP="007E7DD6">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Mulheres</w:t>
            </w:r>
          </w:p>
        </w:tc>
        <w:tc>
          <w:tcPr>
            <w:tcW w:w="2000" w:type="dxa"/>
            <w:tcBorders>
              <w:top w:val="nil"/>
              <w:left w:val="nil"/>
              <w:bottom w:val="nil"/>
              <w:right w:val="nil"/>
            </w:tcBorders>
            <w:shd w:val="clear" w:color="000000" w:fill="FFFFFF"/>
            <w:vAlign w:val="center"/>
            <w:hideMark/>
          </w:tcPr>
          <w:p w14:paraId="2FA84BA1"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2.119,27</w:t>
            </w:r>
          </w:p>
        </w:tc>
        <w:tc>
          <w:tcPr>
            <w:tcW w:w="480" w:type="dxa"/>
            <w:tcBorders>
              <w:top w:val="nil"/>
              <w:left w:val="nil"/>
              <w:bottom w:val="nil"/>
              <w:right w:val="nil"/>
            </w:tcBorders>
            <w:shd w:val="clear" w:color="000000" w:fill="FFFFFF"/>
            <w:noWrap/>
            <w:vAlign w:val="center"/>
            <w:hideMark/>
          </w:tcPr>
          <w:p w14:paraId="666A1B47"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3.202,93</w:t>
            </w:r>
          </w:p>
        </w:tc>
        <w:tc>
          <w:tcPr>
            <w:tcW w:w="2000" w:type="dxa"/>
            <w:tcBorders>
              <w:top w:val="nil"/>
              <w:left w:val="single" w:sz="4" w:space="0" w:color="auto"/>
              <w:bottom w:val="nil"/>
              <w:right w:val="nil"/>
            </w:tcBorders>
            <w:shd w:val="clear" w:color="000000" w:fill="FFFFFF"/>
            <w:vAlign w:val="center"/>
            <w:hideMark/>
          </w:tcPr>
          <w:p w14:paraId="0FA5710D"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2576,91</w:t>
            </w:r>
          </w:p>
        </w:tc>
        <w:tc>
          <w:tcPr>
            <w:tcW w:w="480" w:type="dxa"/>
            <w:tcBorders>
              <w:top w:val="nil"/>
              <w:left w:val="nil"/>
              <w:bottom w:val="nil"/>
              <w:right w:val="nil"/>
            </w:tcBorders>
            <w:shd w:val="clear" w:color="000000" w:fill="FFFFFF"/>
            <w:noWrap/>
            <w:vAlign w:val="center"/>
            <w:hideMark/>
          </w:tcPr>
          <w:p w14:paraId="58EEB5AB"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3238,20</w:t>
            </w:r>
          </w:p>
        </w:tc>
      </w:tr>
      <w:tr w:rsidR="00412A54" w:rsidRPr="00412A54" w14:paraId="4056E80D" w14:textId="77777777" w:rsidTr="007E7DD6">
        <w:trPr>
          <w:trHeight w:val="315"/>
        </w:trPr>
        <w:tc>
          <w:tcPr>
            <w:tcW w:w="3820" w:type="dxa"/>
            <w:tcBorders>
              <w:top w:val="nil"/>
              <w:left w:val="nil"/>
              <w:bottom w:val="nil"/>
              <w:right w:val="nil"/>
            </w:tcBorders>
            <w:shd w:val="clear" w:color="000000" w:fill="FFFFFF"/>
            <w:noWrap/>
            <w:vAlign w:val="center"/>
            <w:hideMark/>
          </w:tcPr>
          <w:p w14:paraId="4CAC8D4F" w14:textId="77777777" w:rsidR="007E7DD6" w:rsidRPr="00412A54" w:rsidRDefault="007E7DD6" w:rsidP="007E7DD6">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Ensino Primário Incompleto</w:t>
            </w:r>
          </w:p>
        </w:tc>
        <w:tc>
          <w:tcPr>
            <w:tcW w:w="2000" w:type="dxa"/>
            <w:tcBorders>
              <w:top w:val="nil"/>
              <w:left w:val="nil"/>
              <w:bottom w:val="nil"/>
              <w:right w:val="nil"/>
            </w:tcBorders>
            <w:shd w:val="clear" w:color="000000" w:fill="FFFFFF"/>
            <w:noWrap/>
            <w:vAlign w:val="center"/>
            <w:hideMark/>
          </w:tcPr>
          <w:p w14:paraId="12B5EA4A"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1.350,85</w:t>
            </w:r>
          </w:p>
        </w:tc>
        <w:tc>
          <w:tcPr>
            <w:tcW w:w="480" w:type="dxa"/>
            <w:tcBorders>
              <w:top w:val="nil"/>
              <w:left w:val="nil"/>
              <w:bottom w:val="nil"/>
              <w:right w:val="nil"/>
            </w:tcBorders>
            <w:shd w:val="clear" w:color="000000" w:fill="FFFFFF"/>
            <w:noWrap/>
            <w:vAlign w:val="center"/>
            <w:hideMark/>
          </w:tcPr>
          <w:p w14:paraId="67E9E382"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1.202,50</w:t>
            </w:r>
          </w:p>
        </w:tc>
        <w:tc>
          <w:tcPr>
            <w:tcW w:w="2000" w:type="dxa"/>
            <w:tcBorders>
              <w:top w:val="nil"/>
              <w:left w:val="single" w:sz="4" w:space="0" w:color="auto"/>
              <w:bottom w:val="nil"/>
              <w:right w:val="nil"/>
            </w:tcBorders>
            <w:shd w:val="clear" w:color="000000" w:fill="FFFFFF"/>
            <w:vAlign w:val="center"/>
            <w:hideMark/>
          </w:tcPr>
          <w:p w14:paraId="12C9EF23"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1723,40</w:t>
            </w:r>
          </w:p>
        </w:tc>
        <w:tc>
          <w:tcPr>
            <w:tcW w:w="480" w:type="dxa"/>
            <w:tcBorders>
              <w:top w:val="nil"/>
              <w:left w:val="nil"/>
              <w:bottom w:val="nil"/>
              <w:right w:val="nil"/>
            </w:tcBorders>
            <w:shd w:val="clear" w:color="000000" w:fill="FFFFFF"/>
            <w:noWrap/>
            <w:vAlign w:val="center"/>
            <w:hideMark/>
          </w:tcPr>
          <w:p w14:paraId="67E7BD52"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1175,04</w:t>
            </w:r>
          </w:p>
        </w:tc>
      </w:tr>
      <w:tr w:rsidR="00412A54" w:rsidRPr="00412A54" w14:paraId="0DDF8C81" w14:textId="77777777" w:rsidTr="007E7DD6">
        <w:trPr>
          <w:trHeight w:val="315"/>
        </w:trPr>
        <w:tc>
          <w:tcPr>
            <w:tcW w:w="3820" w:type="dxa"/>
            <w:tcBorders>
              <w:top w:val="nil"/>
              <w:left w:val="nil"/>
              <w:bottom w:val="nil"/>
              <w:right w:val="nil"/>
            </w:tcBorders>
            <w:shd w:val="clear" w:color="000000" w:fill="FFFFFF"/>
            <w:noWrap/>
            <w:vAlign w:val="center"/>
            <w:hideMark/>
          </w:tcPr>
          <w:p w14:paraId="61111ED3" w14:textId="77777777" w:rsidR="007E7DD6" w:rsidRPr="00412A54" w:rsidRDefault="007E7DD6" w:rsidP="007E7DD6">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Ensino Primário Completo</w:t>
            </w:r>
          </w:p>
        </w:tc>
        <w:tc>
          <w:tcPr>
            <w:tcW w:w="2000" w:type="dxa"/>
            <w:tcBorders>
              <w:top w:val="nil"/>
              <w:left w:val="nil"/>
              <w:bottom w:val="nil"/>
              <w:right w:val="nil"/>
            </w:tcBorders>
            <w:shd w:val="clear" w:color="000000" w:fill="FFFFFF"/>
            <w:noWrap/>
            <w:vAlign w:val="center"/>
            <w:hideMark/>
          </w:tcPr>
          <w:p w14:paraId="68D87844"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1.485,14</w:t>
            </w:r>
          </w:p>
        </w:tc>
        <w:tc>
          <w:tcPr>
            <w:tcW w:w="480" w:type="dxa"/>
            <w:tcBorders>
              <w:top w:val="nil"/>
              <w:left w:val="nil"/>
              <w:bottom w:val="nil"/>
              <w:right w:val="nil"/>
            </w:tcBorders>
            <w:shd w:val="clear" w:color="000000" w:fill="FFFFFF"/>
            <w:noWrap/>
            <w:vAlign w:val="center"/>
            <w:hideMark/>
          </w:tcPr>
          <w:p w14:paraId="538AACF5"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1.489,03</w:t>
            </w:r>
          </w:p>
        </w:tc>
        <w:tc>
          <w:tcPr>
            <w:tcW w:w="2000" w:type="dxa"/>
            <w:tcBorders>
              <w:top w:val="nil"/>
              <w:left w:val="single" w:sz="4" w:space="0" w:color="auto"/>
              <w:bottom w:val="nil"/>
              <w:right w:val="nil"/>
            </w:tcBorders>
            <w:shd w:val="clear" w:color="000000" w:fill="FFFFFF"/>
            <w:vAlign w:val="center"/>
            <w:hideMark/>
          </w:tcPr>
          <w:p w14:paraId="0A1A0E32"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1767,34</w:t>
            </w:r>
          </w:p>
        </w:tc>
        <w:tc>
          <w:tcPr>
            <w:tcW w:w="480" w:type="dxa"/>
            <w:tcBorders>
              <w:top w:val="nil"/>
              <w:left w:val="nil"/>
              <w:bottom w:val="nil"/>
              <w:right w:val="nil"/>
            </w:tcBorders>
            <w:shd w:val="clear" w:color="000000" w:fill="FFFFFF"/>
            <w:noWrap/>
            <w:vAlign w:val="center"/>
            <w:hideMark/>
          </w:tcPr>
          <w:p w14:paraId="249F49D1"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1345,96</w:t>
            </w:r>
          </w:p>
        </w:tc>
      </w:tr>
      <w:tr w:rsidR="00412A54" w:rsidRPr="00412A54" w14:paraId="18E357A2" w14:textId="77777777" w:rsidTr="007E7DD6">
        <w:trPr>
          <w:trHeight w:val="315"/>
        </w:trPr>
        <w:tc>
          <w:tcPr>
            <w:tcW w:w="3820" w:type="dxa"/>
            <w:tcBorders>
              <w:top w:val="nil"/>
              <w:left w:val="nil"/>
              <w:bottom w:val="nil"/>
              <w:right w:val="nil"/>
            </w:tcBorders>
            <w:shd w:val="clear" w:color="000000" w:fill="FFFFFF"/>
            <w:noWrap/>
            <w:vAlign w:val="center"/>
            <w:hideMark/>
          </w:tcPr>
          <w:p w14:paraId="541DDF78" w14:textId="77777777" w:rsidR="007E7DD6" w:rsidRPr="00412A54" w:rsidRDefault="007E7DD6" w:rsidP="007E7DD6">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lastRenderedPageBreak/>
              <w:t>Ensino Médio Completo</w:t>
            </w:r>
          </w:p>
        </w:tc>
        <w:tc>
          <w:tcPr>
            <w:tcW w:w="2000" w:type="dxa"/>
            <w:tcBorders>
              <w:top w:val="nil"/>
              <w:left w:val="nil"/>
              <w:bottom w:val="nil"/>
              <w:right w:val="nil"/>
            </w:tcBorders>
            <w:shd w:val="clear" w:color="000000" w:fill="FFFFFF"/>
            <w:noWrap/>
            <w:vAlign w:val="center"/>
            <w:hideMark/>
          </w:tcPr>
          <w:p w14:paraId="1912D7B0"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2.041,75</w:t>
            </w:r>
          </w:p>
        </w:tc>
        <w:tc>
          <w:tcPr>
            <w:tcW w:w="480" w:type="dxa"/>
            <w:tcBorders>
              <w:top w:val="nil"/>
              <w:left w:val="nil"/>
              <w:bottom w:val="nil"/>
              <w:right w:val="nil"/>
            </w:tcBorders>
            <w:shd w:val="clear" w:color="000000" w:fill="FFFFFF"/>
            <w:noWrap/>
            <w:vAlign w:val="center"/>
            <w:hideMark/>
          </w:tcPr>
          <w:p w14:paraId="02E92D4B"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2.531,10</w:t>
            </w:r>
          </w:p>
        </w:tc>
        <w:tc>
          <w:tcPr>
            <w:tcW w:w="2000" w:type="dxa"/>
            <w:tcBorders>
              <w:top w:val="nil"/>
              <w:left w:val="single" w:sz="4" w:space="0" w:color="auto"/>
              <w:bottom w:val="nil"/>
              <w:right w:val="nil"/>
            </w:tcBorders>
            <w:shd w:val="clear" w:color="000000" w:fill="FFFFFF"/>
            <w:vAlign w:val="center"/>
            <w:hideMark/>
          </w:tcPr>
          <w:p w14:paraId="467B4C1F"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2077,19</w:t>
            </w:r>
          </w:p>
        </w:tc>
        <w:tc>
          <w:tcPr>
            <w:tcW w:w="480" w:type="dxa"/>
            <w:tcBorders>
              <w:top w:val="nil"/>
              <w:left w:val="nil"/>
              <w:bottom w:val="nil"/>
              <w:right w:val="nil"/>
            </w:tcBorders>
            <w:shd w:val="clear" w:color="000000" w:fill="FFFFFF"/>
            <w:noWrap/>
            <w:vAlign w:val="center"/>
            <w:hideMark/>
          </w:tcPr>
          <w:p w14:paraId="03240BBF"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1928,97</w:t>
            </w:r>
          </w:p>
        </w:tc>
      </w:tr>
      <w:tr w:rsidR="00412A54" w:rsidRPr="00412A54" w14:paraId="687AA900" w14:textId="77777777" w:rsidTr="007E7DD6">
        <w:trPr>
          <w:trHeight w:val="315"/>
        </w:trPr>
        <w:tc>
          <w:tcPr>
            <w:tcW w:w="3820" w:type="dxa"/>
            <w:tcBorders>
              <w:top w:val="nil"/>
              <w:left w:val="nil"/>
              <w:bottom w:val="nil"/>
              <w:right w:val="nil"/>
            </w:tcBorders>
            <w:shd w:val="clear" w:color="000000" w:fill="FFFFFF"/>
            <w:noWrap/>
            <w:vAlign w:val="center"/>
            <w:hideMark/>
          </w:tcPr>
          <w:p w14:paraId="64A5B300" w14:textId="77777777" w:rsidR="007E7DD6" w:rsidRPr="00412A54" w:rsidRDefault="007E7DD6" w:rsidP="007E7DD6">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Ensino Superior Completo</w:t>
            </w:r>
          </w:p>
        </w:tc>
        <w:tc>
          <w:tcPr>
            <w:tcW w:w="2000" w:type="dxa"/>
            <w:tcBorders>
              <w:top w:val="nil"/>
              <w:left w:val="nil"/>
              <w:bottom w:val="nil"/>
              <w:right w:val="nil"/>
            </w:tcBorders>
            <w:shd w:val="clear" w:color="000000" w:fill="FFFFFF"/>
            <w:noWrap/>
            <w:vAlign w:val="center"/>
            <w:hideMark/>
          </w:tcPr>
          <w:p w14:paraId="43D0ECFA"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5.893,45</w:t>
            </w:r>
          </w:p>
        </w:tc>
        <w:tc>
          <w:tcPr>
            <w:tcW w:w="480" w:type="dxa"/>
            <w:tcBorders>
              <w:top w:val="nil"/>
              <w:left w:val="nil"/>
              <w:bottom w:val="nil"/>
              <w:right w:val="nil"/>
            </w:tcBorders>
            <w:shd w:val="clear" w:color="000000" w:fill="FFFFFF"/>
            <w:noWrap/>
            <w:vAlign w:val="center"/>
            <w:hideMark/>
          </w:tcPr>
          <w:p w14:paraId="412014D4"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7.340,23</w:t>
            </w:r>
          </w:p>
        </w:tc>
        <w:tc>
          <w:tcPr>
            <w:tcW w:w="2000" w:type="dxa"/>
            <w:tcBorders>
              <w:top w:val="nil"/>
              <w:left w:val="single" w:sz="4" w:space="0" w:color="auto"/>
              <w:bottom w:val="nil"/>
              <w:right w:val="nil"/>
            </w:tcBorders>
            <w:shd w:val="clear" w:color="000000" w:fill="FFFFFF"/>
            <w:vAlign w:val="center"/>
            <w:hideMark/>
          </w:tcPr>
          <w:p w14:paraId="06CBD2F9"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5884,04</w:t>
            </w:r>
          </w:p>
        </w:tc>
        <w:tc>
          <w:tcPr>
            <w:tcW w:w="480" w:type="dxa"/>
            <w:tcBorders>
              <w:top w:val="nil"/>
              <w:left w:val="nil"/>
              <w:bottom w:val="nil"/>
              <w:right w:val="nil"/>
            </w:tcBorders>
            <w:shd w:val="clear" w:color="000000" w:fill="FFFFFF"/>
            <w:noWrap/>
            <w:vAlign w:val="center"/>
            <w:hideMark/>
          </w:tcPr>
          <w:p w14:paraId="546958A6"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6617,87</w:t>
            </w:r>
          </w:p>
        </w:tc>
      </w:tr>
      <w:tr w:rsidR="00412A54" w:rsidRPr="00412A54" w14:paraId="71E1EB03" w14:textId="77777777" w:rsidTr="007E7DD6">
        <w:trPr>
          <w:trHeight w:val="315"/>
        </w:trPr>
        <w:tc>
          <w:tcPr>
            <w:tcW w:w="3820" w:type="dxa"/>
            <w:tcBorders>
              <w:top w:val="nil"/>
              <w:left w:val="nil"/>
              <w:bottom w:val="nil"/>
              <w:right w:val="nil"/>
            </w:tcBorders>
            <w:shd w:val="clear" w:color="000000" w:fill="FFFFFF"/>
            <w:vAlign w:val="center"/>
            <w:hideMark/>
          </w:tcPr>
          <w:p w14:paraId="44B256E4" w14:textId="77777777" w:rsidR="007E7DD6" w:rsidRPr="00412A54" w:rsidRDefault="007E7DD6" w:rsidP="007E7DD6">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Manual Rotineira</w:t>
            </w:r>
          </w:p>
        </w:tc>
        <w:tc>
          <w:tcPr>
            <w:tcW w:w="2000" w:type="dxa"/>
            <w:tcBorders>
              <w:top w:val="nil"/>
              <w:left w:val="nil"/>
              <w:bottom w:val="nil"/>
              <w:right w:val="nil"/>
            </w:tcBorders>
            <w:shd w:val="clear" w:color="000000" w:fill="FFFFFF"/>
            <w:noWrap/>
            <w:vAlign w:val="center"/>
            <w:hideMark/>
          </w:tcPr>
          <w:p w14:paraId="08BC4644"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1.321,56</w:t>
            </w:r>
          </w:p>
        </w:tc>
        <w:tc>
          <w:tcPr>
            <w:tcW w:w="480" w:type="dxa"/>
            <w:tcBorders>
              <w:top w:val="nil"/>
              <w:left w:val="nil"/>
              <w:bottom w:val="nil"/>
              <w:right w:val="nil"/>
            </w:tcBorders>
            <w:shd w:val="clear" w:color="000000" w:fill="FFFFFF"/>
            <w:noWrap/>
            <w:vAlign w:val="center"/>
            <w:hideMark/>
          </w:tcPr>
          <w:p w14:paraId="39E06596"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1.088,60</w:t>
            </w:r>
          </w:p>
        </w:tc>
        <w:tc>
          <w:tcPr>
            <w:tcW w:w="2000" w:type="dxa"/>
            <w:tcBorders>
              <w:top w:val="nil"/>
              <w:left w:val="single" w:sz="4" w:space="0" w:color="auto"/>
              <w:bottom w:val="nil"/>
              <w:right w:val="nil"/>
            </w:tcBorders>
            <w:shd w:val="clear" w:color="000000" w:fill="FFFFFF"/>
            <w:vAlign w:val="center"/>
            <w:hideMark/>
          </w:tcPr>
          <w:p w14:paraId="70A5FEE2"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1673,00</w:t>
            </w:r>
          </w:p>
        </w:tc>
        <w:tc>
          <w:tcPr>
            <w:tcW w:w="480" w:type="dxa"/>
            <w:tcBorders>
              <w:top w:val="nil"/>
              <w:left w:val="nil"/>
              <w:bottom w:val="nil"/>
              <w:right w:val="nil"/>
            </w:tcBorders>
            <w:shd w:val="clear" w:color="000000" w:fill="FFFFFF"/>
            <w:noWrap/>
            <w:vAlign w:val="center"/>
            <w:hideMark/>
          </w:tcPr>
          <w:p w14:paraId="2B302AAD"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1154,70</w:t>
            </w:r>
          </w:p>
        </w:tc>
      </w:tr>
      <w:tr w:rsidR="00412A54" w:rsidRPr="00412A54" w14:paraId="0B479934" w14:textId="77777777" w:rsidTr="007E7DD6">
        <w:trPr>
          <w:trHeight w:val="315"/>
        </w:trPr>
        <w:tc>
          <w:tcPr>
            <w:tcW w:w="3820" w:type="dxa"/>
            <w:tcBorders>
              <w:top w:val="nil"/>
              <w:left w:val="nil"/>
              <w:bottom w:val="nil"/>
              <w:right w:val="nil"/>
            </w:tcBorders>
            <w:shd w:val="clear" w:color="000000" w:fill="FFFFFF"/>
            <w:vAlign w:val="center"/>
            <w:hideMark/>
          </w:tcPr>
          <w:p w14:paraId="0301CCD4" w14:textId="77777777" w:rsidR="007E7DD6" w:rsidRPr="00412A54" w:rsidRDefault="007E7DD6" w:rsidP="007E7DD6">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Manual Não Rotineira</w:t>
            </w:r>
          </w:p>
        </w:tc>
        <w:tc>
          <w:tcPr>
            <w:tcW w:w="2000" w:type="dxa"/>
            <w:tcBorders>
              <w:top w:val="nil"/>
              <w:left w:val="nil"/>
              <w:bottom w:val="nil"/>
              <w:right w:val="nil"/>
            </w:tcBorders>
            <w:shd w:val="clear" w:color="000000" w:fill="FFFFFF"/>
            <w:noWrap/>
            <w:vAlign w:val="center"/>
            <w:hideMark/>
          </w:tcPr>
          <w:p w14:paraId="771B8281"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1.690,62</w:t>
            </w:r>
          </w:p>
        </w:tc>
        <w:tc>
          <w:tcPr>
            <w:tcW w:w="480" w:type="dxa"/>
            <w:tcBorders>
              <w:top w:val="nil"/>
              <w:left w:val="nil"/>
              <w:bottom w:val="nil"/>
              <w:right w:val="nil"/>
            </w:tcBorders>
            <w:shd w:val="clear" w:color="000000" w:fill="FFFFFF"/>
            <w:noWrap/>
            <w:vAlign w:val="center"/>
            <w:hideMark/>
          </w:tcPr>
          <w:p w14:paraId="756A967C"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1.716,42</w:t>
            </w:r>
          </w:p>
        </w:tc>
        <w:tc>
          <w:tcPr>
            <w:tcW w:w="2000" w:type="dxa"/>
            <w:tcBorders>
              <w:top w:val="nil"/>
              <w:left w:val="single" w:sz="4" w:space="0" w:color="auto"/>
              <w:bottom w:val="nil"/>
              <w:right w:val="nil"/>
            </w:tcBorders>
            <w:shd w:val="clear" w:color="000000" w:fill="FFFFFF"/>
            <w:vAlign w:val="center"/>
            <w:hideMark/>
          </w:tcPr>
          <w:p w14:paraId="151BFB20"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2056,62</w:t>
            </w:r>
          </w:p>
        </w:tc>
        <w:tc>
          <w:tcPr>
            <w:tcW w:w="480" w:type="dxa"/>
            <w:tcBorders>
              <w:top w:val="nil"/>
              <w:left w:val="nil"/>
              <w:bottom w:val="nil"/>
              <w:right w:val="nil"/>
            </w:tcBorders>
            <w:shd w:val="clear" w:color="000000" w:fill="FFFFFF"/>
            <w:noWrap/>
            <w:vAlign w:val="center"/>
            <w:hideMark/>
          </w:tcPr>
          <w:p w14:paraId="6D7DB9A3"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1705,74</w:t>
            </w:r>
          </w:p>
        </w:tc>
      </w:tr>
      <w:tr w:rsidR="00412A54" w:rsidRPr="00412A54" w14:paraId="7C6781B1" w14:textId="77777777" w:rsidTr="007E7DD6">
        <w:trPr>
          <w:trHeight w:val="315"/>
        </w:trPr>
        <w:tc>
          <w:tcPr>
            <w:tcW w:w="3820" w:type="dxa"/>
            <w:tcBorders>
              <w:top w:val="nil"/>
              <w:left w:val="nil"/>
              <w:bottom w:val="nil"/>
              <w:right w:val="nil"/>
            </w:tcBorders>
            <w:shd w:val="clear" w:color="000000" w:fill="FFFFFF"/>
            <w:noWrap/>
            <w:vAlign w:val="center"/>
            <w:hideMark/>
          </w:tcPr>
          <w:p w14:paraId="54CD2473" w14:textId="77777777" w:rsidR="007E7DD6" w:rsidRPr="00412A54" w:rsidRDefault="007E7DD6" w:rsidP="007E7DD6">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 xml:space="preserve">Não Manual Rotineira </w:t>
            </w:r>
          </w:p>
        </w:tc>
        <w:tc>
          <w:tcPr>
            <w:tcW w:w="2000" w:type="dxa"/>
            <w:tcBorders>
              <w:top w:val="nil"/>
              <w:left w:val="nil"/>
              <w:bottom w:val="nil"/>
              <w:right w:val="nil"/>
            </w:tcBorders>
            <w:shd w:val="clear" w:color="000000" w:fill="FFFFFF"/>
            <w:noWrap/>
            <w:vAlign w:val="center"/>
            <w:hideMark/>
          </w:tcPr>
          <w:p w14:paraId="5CFC3155"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2.184,59</w:t>
            </w:r>
          </w:p>
        </w:tc>
        <w:tc>
          <w:tcPr>
            <w:tcW w:w="480" w:type="dxa"/>
            <w:tcBorders>
              <w:top w:val="nil"/>
              <w:left w:val="nil"/>
              <w:bottom w:val="nil"/>
              <w:right w:val="nil"/>
            </w:tcBorders>
            <w:shd w:val="clear" w:color="000000" w:fill="FFFFFF"/>
            <w:noWrap/>
            <w:vAlign w:val="center"/>
            <w:hideMark/>
          </w:tcPr>
          <w:p w14:paraId="51FD76C0"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3.122,49</w:t>
            </w:r>
          </w:p>
        </w:tc>
        <w:tc>
          <w:tcPr>
            <w:tcW w:w="2000" w:type="dxa"/>
            <w:tcBorders>
              <w:top w:val="nil"/>
              <w:left w:val="single" w:sz="4" w:space="0" w:color="auto"/>
              <w:bottom w:val="nil"/>
              <w:right w:val="nil"/>
            </w:tcBorders>
            <w:shd w:val="clear" w:color="000000" w:fill="FFFFFF"/>
            <w:vAlign w:val="center"/>
            <w:hideMark/>
          </w:tcPr>
          <w:p w14:paraId="03C17AAC"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2422,33</w:t>
            </w:r>
          </w:p>
        </w:tc>
        <w:tc>
          <w:tcPr>
            <w:tcW w:w="480" w:type="dxa"/>
            <w:tcBorders>
              <w:top w:val="nil"/>
              <w:left w:val="nil"/>
              <w:bottom w:val="nil"/>
              <w:right w:val="nil"/>
            </w:tcBorders>
            <w:shd w:val="clear" w:color="000000" w:fill="FFFFFF"/>
            <w:noWrap/>
            <w:vAlign w:val="center"/>
            <w:hideMark/>
          </w:tcPr>
          <w:p w14:paraId="308BC093"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2790,15</w:t>
            </w:r>
          </w:p>
        </w:tc>
      </w:tr>
      <w:tr w:rsidR="00412A54" w:rsidRPr="00412A54" w14:paraId="4FAAFDA5" w14:textId="77777777" w:rsidTr="007E7DD6">
        <w:trPr>
          <w:trHeight w:val="315"/>
        </w:trPr>
        <w:tc>
          <w:tcPr>
            <w:tcW w:w="3820" w:type="dxa"/>
            <w:tcBorders>
              <w:top w:val="nil"/>
              <w:left w:val="nil"/>
              <w:bottom w:val="nil"/>
              <w:right w:val="nil"/>
            </w:tcBorders>
            <w:shd w:val="clear" w:color="000000" w:fill="FFFFFF"/>
            <w:noWrap/>
            <w:vAlign w:val="center"/>
            <w:hideMark/>
          </w:tcPr>
          <w:p w14:paraId="29E76FA5" w14:textId="77777777" w:rsidR="007E7DD6" w:rsidRPr="00412A54" w:rsidRDefault="007E7DD6" w:rsidP="007E7DD6">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Não Manual Não Rotineira</w:t>
            </w:r>
          </w:p>
        </w:tc>
        <w:tc>
          <w:tcPr>
            <w:tcW w:w="2000" w:type="dxa"/>
            <w:tcBorders>
              <w:top w:val="nil"/>
              <w:left w:val="nil"/>
              <w:bottom w:val="nil"/>
              <w:right w:val="nil"/>
            </w:tcBorders>
            <w:shd w:val="clear" w:color="000000" w:fill="FFFFFF"/>
            <w:noWrap/>
            <w:vAlign w:val="center"/>
            <w:hideMark/>
          </w:tcPr>
          <w:p w14:paraId="2EB2C8A9"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4.446,08</w:t>
            </w:r>
          </w:p>
        </w:tc>
        <w:tc>
          <w:tcPr>
            <w:tcW w:w="480" w:type="dxa"/>
            <w:tcBorders>
              <w:top w:val="nil"/>
              <w:left w:val="nil"/>
              <w:bottom w:val="nil"/>
              <w:right w:val="nil"/>
            </w:tcBorders>
            <w:shd w:val="clear" w:color="000000" w:fill="FFFFFF"/>
            <w:noWrap/>
            <w:vAlign w:val="center"/>
            <w:hideMark/>
          </w:tcPr>
          <w:p w14:paraId="1BC8CC52"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6.255,64</w:t>
            </w:r>
          </w:p>
        </w:tc>
        <w:tc>
          <w:tcPr>
            <w:tcW w:w="2000" w:type="dxa"/>
            <w:tcBorders>
              <w:top w:val="nil"/>
              <w:left w:val="single" w:sz="4" w:space="0" w:color="auto"/>
              <w:bottom w:val="nil"/>
              <w:right w:val="nil"/>
            </w:tcBorders>
            <w:shd w:val="clear" w:color="000000" w:fill="FFFFFF"/>
            <w:vAlign w:val="center"/>
            <w:hideMark/>
          </w:tcPr>
          <w:p w14:paraId="01531FDD"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5169,79</w:t>
            </w:r>
          </w:p>
        </w:tc>
        <w:tc>
          <w:tcPr>
            <w:tcW w:w="480" w:type="dxa"/>
            <w:tcBorders>
              <w:top w:val="nil"/>
              <w:left w:val="nil"/>
              <w:bottom w:val="nil"/>
              <w:right w:val="nil"/>
            </w:tcBorders>
            <w:shd w:val="clear" w:color="000000" w:fill="FFFFFF"/>
            <w:noWrap/>
            <w:vAlign w:val="center"/>
            <w:hideMark/>
          </w:tcPr>
          <w:p w14:paraId="6CFA0BFE"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6247,43</w:t>
            </w:r>
          </w:p>
        </w:tc>
      </w:tr>
      <w:tr w:rsidR="00412A54" w:rsidRPr="00412A54" w14:paraId="70281CA5" w14:textId="77777777" w:rsidTr="007E7DD6">
        <w:trPr>
          <w:trHeight w:val="315"/>
        </w:trPr>
        <w:tc>
          <w:tcPr>
            <w:tcW w:w="3820" w:type="dxa"/>
            <w:tcBorders>
              <w:top w:val="single" w:sz="4" w:space="0" w:color="auto"/>
              <w:left w:val="nil"/>
              <w:bottom w:val="single" w:sz="4" w:space="0" w:color="auto"/>
              <w:right w:val="nil"/>
            </w:tcBorders>
            <w:shd w:val="clear" w:color="000000" w:fill="FFFFFF"/>
            <w:noWrap/>
            <w:vAlign w:val="center"/>
            <w:hideMark/>
          </w:tcPr>
          <w:p w14:paraId="6DD17762" w14:textId="77777777" w:rsidR="007E7DD6" w:rsidRPr="00412A54" w:rsidRDefault="007E7DD6" w:rsidP="007E7DD6">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Número de Observações</w:t>
            </w:r>
          </w:p>
        </w:tc>
        <w:tc>
          <w:tcPr>
            <w:tcW w:w="2480" w:type="dxa"/>
            <w:gridSpan w:val="2"/>
            <w:tcBorders>
              <w:top w:val="single" w:sz="4" w:space="0" w:color="auto"/>
              <w:left w:val="nil"/>
              <w:bottom w:val="single" w:sz="4" w:space="0" w:color="auto"/>
              <w:right w:val="single" w:sz="4" w:space="0" w:color="000000"/>
            </w:tcBorders>
            <w:shd w:val="clear" w:color="000000" w:fill="FFFFFF"/>
            <w:vAlign w:val="center"/>
            <w:hideMark/>
          </w:tcPr>
          <w:p w14:paraId="17DDDFA4"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30348022</w:t>
            </w:r>
          </w:p>
        </w:tc>
        <w:tc>
          <w:tcPr>
            <w:tcW w:w="2480" w:type="dxa"/>
            <w:gridSpan w:val="2"/>
            <w:tcBorders>
              <w:top w:val="single" w:sz="4" w:space="0" w:color="auto"/>
              <w:left w:val="nil"/>
              <w:bottom w:val="single" w:sz="4" w:space="0" w:color="auto"/>
              <w:right w:val="nil"/>
            </w:tcBorders>
            <w:shd w:val="clear" w:color="000000" w:fill="FFFFFF"/>
            <w:noWrap/>
            <w:vAlign w:val="center"/>
            <w:hideMark/>
          </w:tcPr>
          <w:p w14:paraId="35D965EE" w14:textId="77777777" w:rsidR="007E7DD6" w:rsidRPr="00412A54" w:rsidRDefault="007E7DD6" w:rsidP="007E7DD6">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39316980</w:t>
            </w:r>
          </w:p>
        </w:tc>
      </w:tr>
    </w:tbl>
    <w:p w14:paraId="2EF59149" w14:textId="77777777" w:rsidR="007E7DD6" w:rsidRPr="00412A54" w:rsidRDefault="007E7DD6" w:rsidP="00B36223">
      <w:pPr>
        <w:ind w:firstLine="360"/>
        <w:jc w:val="both"/>
        <w:outlineLvl w:val="0"/>
        <w:rPr>
          <w:rFonts w:ascii="Times New Roman" w:hAnsi="Times New Roman" w:cs="Times New Roman"/>
          <w:sz w:val="20"/>
          <w:szCs w:val="20"/>
        </w:rPr>
      </w:pPr>
    </w:p>
    <w:p w14:paraId="5A944255" w14:textId="40379255" w:rsidR="001C7A7F" w:rsidRPr="00412A54" w:rsidRDefault="002A23DA" w:rsidP="00B36223">
      <w:pPr>
        <w:ind w:firstLine="360"/>
        <w:jc w:val="both"/>
        <w:outlineLvl w:val="0"/>
        <w:rPr>
          <w:rFonts w:ascii="Times New Roman" w:hAnsi="Times New Roman" w:cs="Times New Roman"/>
          <w:sz w:val="20"/>
          <w:szCs w:val="20"/>
        </w:rPr>
      </w:pPr>
      <w:r w:rsidRPr="00412A54">
        <w:rPr>
          <w:rFonts w:ascii="Times New Roman" w:hAnsi="Times New Roman" w:cs="Times New Roman"/>
          <w:sz w:val="20"/>
          <w:szCs w:val="20"/>
        </w:rPr>
        <w:t>Fonte:</w:t>
      </w:r>
    </w:p>
    <w:p w14:paraId="21B52961" w14:textId="4A2C3104" w:rsidR="007E7DD6" w:rsidRPr="00412A54" w:rsidRDefault="005B72CC" w:rsidP="005B72CC">
      <w:pPr>
        <w:jc w:val="both"/>
        <w:outlineLvl w:val="0"/>
        <w:rPr>
          <w:rFonts w:ascii="Times New Roman" w:hAnsi="Times New Roman" w:cs="Times New Roman"/>
          <w:sz w:val="24"/>
          <w:szCs w:val="24"/>
        </w:rPr>
      </w:pPr>
      <w:r w:rsidRPr="00412A54">
        <w:rPr>
          <w:rFonts w:ascii="Times New Roman" w:hAnsi="Times New Roman" w:cs="Times New Roman"/>
          <w:sz w:val="24"/>
          <w:szCs w:val="24"/>
        </w:rPr>
        <w:t xml:space="preserve">Para acessar o retorno às características ocupacionais, equações salariais foram estimadas para capturar o prêmio salarial associado às categorias após controlarmos pelos atributos de capital humano como escolaridade e experiência e características individuais como </w:t>
      </w:r>
      <w:r w:rsidRPr="00412A54">
        <w:rPr>
          <w:rFonts w:ascii="Times New Roman" w:hAnsi="Times New Roman" w:cs="Times New Roman"/>
          <w:i/>
          <w:sz w:val="24"/>
          <w:szCs w:val="24"/>
        </w:rPr>
        <w:t>dummy</w:t>
      </w:r>
      <w:r w:rsidRPr="00412A54">
        <w:rPr>
          <w:rFonts w:ascii="Times New Roman" w:hAnsi="Times New Roman" w:cs="Times New Roman"/>
          <w:sz w:val="24"/>
          <w:szCs w:val="24"/>
        </w:rPr>
        <w:t xml:space="preserve"> de sexo. </w:t>
      </w:r>
      <w:r w:rsidR="00B72554" w:rsidRPr="00412A54">
        <w:rPr>
          <w:rFonts w:ascii="Times New Roman" w:hAnsi="Times New Roman" w:cs="Times New Roman"/>
          <w:sz w:val="24"/>
          <w:szCs w:val="24"/>
        </w:rPr>
        <w:t xml:space="preserve">Na tabela 3, a seguir, reportamos os coeficientes associadas às categorias ocupacionais. </w:t>
      </w:r>
    </w:p>
    <w:p w14:paraId="6D419D20" w14:textId="3E4430B2" w:rsidR="00676C8E" w:rsidRPr="00412A54" w:rsidRDefault="00676C8E" w:rsidP="005B72CC">
      <w:pPr>
        <w:jc w:val="both"/>
        <w:outlineLvl w:val="0"/>
        <w:rPr>
          <w:rFonts w:ascii="Times New Roman" w:hAnsi="Times New Roman" w:cs="Times New Roman"/>
          <w:sz w:val="24"/>
          <w:szCs w:val="24"/>
        </w:rPr>
      </w:pPr>
    </w:p>
    <w:p w14:paraId="590CF634" w14:textId="77777777" w:rsidR="00676C8E" w:rsidRPr="00412A54" w:rsidRDefault="00676C8E">
      <w:pPr>
        <w:rPr>
          <w:rFonts w:ascii="Times New Roman" w:hAnsi="Times New Roman" w:cs="Times New Roman"/>
          <w:sz w:val="24"/>
          <w:szCs w:val="24"/>
        </w:rPr>
      </w:pPr>
      <w:r w:rsidRPr="00412A54">
        <w:rPr>
          <w:rFonts w:ascii="Times New Roman" w:hAnsi="Times New Roman" w:cs="Times New Roman"/>
          <w:sz w:val="24"/>
          <w:szCs w:val="24"/>
        </w:rPr>
        <w:br w:type="page"/>
      </w:r>
    </w:p>
    <w:p w14:paraId="5054979B" w14:textId="77777777" w:rsidR="00676C8E" w:rsidRPr="00412A54" w:rsidRDefault="00676C8E" w:rsidP="005B72CC">
      <w:pPr>
        <w:jc w:val="both"/>
        <w:outlineLvl w:val="0"/>
        <w:rPr>
          <w:rFonts w:ascii="Times New Roman" w:hAnsi="Times New Roman" w:cs="Times New Roman"/>
          <w:sz w:val="24"/>
          <w:szCs w:val="24"/>
        </w:rPr>
        <w:sectPr w:rsidR="00676C8E" w:rsidRPr="00412A54" w:rsidSect="004818F5">
          <w:pgSz w:w="11906" w:h="16838"/>
          <w:pgMar w:top="1134" w:right="851" w:bottom="1134" w:left="851" w:header="709" w:footer="709" w:gutter="0"/>
          <w:cols w:space="708"/>
          <w:docGrid w:linePitch="360"/>
        </w:sectPr>
      </w:pPr>
    </w:p>
    <w:p w14:paraId="774C1EBD" w14:textId="67388895" w:rsidR="0087046A" w:rsidRPr="00412A54" w:rsidRDefault="0087046A" w:rsidP="005B72CC">
      <w:pPr>
        <w:jc w:val="both"/>
        <w:outlineLvl w:val="0"/>
        <w:rPr>
          <w:rFonts w:ascii="Times New Roman" w:hAnsi="Times New Roman" w:cs="Times New Roman"/>
          <w:b/>
          <w:sz w:val="24"/>
          <w:szCs w:val="24"/>
        </w:rPr>
      </w:pPr>
    </w:p>
    <w:p w14:paraId="1148D911" w14:textId="731CABC2" w:rsidR="00B97716" w:rsidRPr="00412A54" w:rsidRDefault="00B97716" w:rsidP="00B97716">
      <w:pPr>
        <w:pStyle w:val="Legenda"/>
        <w:keepNext/>
        <w:rPr>
          <w:rFonts w:ascii="Times New Roman" w:hAnsi="Times New Roman" w:cs="Times New Roman"/>
          <w:i w:val="0"/>
          <w:color w:val="auto"/>
          <w:sz w:val="24"/>
          <w:szCs w:val="24"/>
        </w:rPr>
      </w:pPr>
      <w:r w:rsidRPr="00412A54">
        <w:rPr>
          <w:rFonts w:ascii="Times New Roman" w:hAnsi="Times New Roman" w:cs="Times New Roman"/>
          <w:b/>
          <w:i w:val="0"/>
          <w:color w:val="auto"/>
          <w:sz w:val="24"/>
          <w:szCs w:val="24"/>
        </w:rPr>
        <w:t xml:space="preserve">Tabela </w:t>
      </w:r>
      <w:r w:rsidRPr="00412A54">
        <w:rPr>
          <w:rFonts w:ascii="Times New Roman" w:hAnsi="Times New Roman" w:cs="Times New Roman"/>
          <w:b/>
          <w:i w:val="0"/>
          <w:color w:val="auto"/>
          <w:sz w:val="24"/>
          <w:szCs w:val="24"/>
        </w:rPr>
        <w:fldChar w:fldCharType="begin"/>
      </w:r>
      <w:r w:rsidRPr="00412A54">
        <w:rPr>
          <w:rFonts w:ascii="Times New Roman" w:hAnsi="Times New Roman" w:cs="Times New Roman"/>
          <w:b/>
          <w:i w:val="0"/>
          <w:color w:val="auto"/>
          <w:sz w:val="24"/>
          <w:szCs w:val="24"/>
        </w:rPr>
        <w:instrText xml:space="preserve"> SEQ Tabela \* ARABIC </w:instrText>
      </w:r>
      <w:r w:rsidRPr="00412A54">
        <w:rPr>
          <w:rFonts w:ascii="Times New Roman" w:hAnsi="Times New Roman" w:cs="Times New Roman"/>
          <w:b/>
          <w:i w:val="0"/>
          <w:color w:val="auto"/>
          <w:sz w:val="24"/>
          <w:szCs w:val="24"/>
        </w:rPr>
        <w:fldChar w:fldCharType="separate"/>
      </w:r>
      <w:r w:rsidRPr="00412A54">
        <w:rPr>
          <w:rFonts w:ascii="Times New Roman" w:hAnsi="Times New Roman" w:cs="Times New Roman"/>
          <w:b/>
          <w:i w:val="0"/>
          <w:noProof/>
          <w:color w:val="auto"/>
          <w:sz w:val="24"/>
          <w:szCs w:val="24"/>
        </w:rPr>
        <w:t>3</w:t>
      </w:r>
      <w:r w:rsidRPr="00412A54">
        <w:rPr>
          <w:rFonts w:ascii="Times New Roman" w:hAnsi="Times New Roman" w:cs="Times New Roman"/>
          <w:b/>
          <w:i w:val="0"/>
          <w:color w:val="auto"/>
          <w:sz w:val="24"/>
          <w:szCs w:val="24"/>
        </w:rPr>
        <w:fldChar w:fldCharType="end"/>
      </w:r>
      <w:r w:rsidRPr="00412A54">
        <w:rPr>
          <w:rFonts w:ascii="Times New Roman" w:hAnsi="Times New Roman" w:cs="Times New Roman"/>
          <w:b/>
          <w:i w:val="0"/>
          <w:color w:val="auto"/>
          <w:sz w:val="24"/>
          <w:szCs w:val="24"/>
        </w:rPr>
        <w:t xml:space="preserve"> – </w:t>
      </w:r>
      <w:r w:rsidRPr="00412A54">
        <w:rPr>
          <w:rFonts w:ascii="Times New Roman" w:hAnsi="Times New Roman" w:cs="Times New Roman"/>
          <w:i w:val="0"/>
          <w:color w:val="auto"/>
          <w:sz w:val="24"/>
          <w:szCs w:val="24"/>
        </w:rPr>
        <w:t xml:space="preserve">Resultados da regressão: Logaritmo do Salário  </w:t>
      </w:r>
    </w:p>
    <w:tbl>
      <w:tblPr>
        <w:tblW w:w="15999" w:type="dxa"/>
        <w:tblInd w:w="-1134" w:type="dxa"/>
        <w:tblCellMar>
          <w:left w:w="70" w:type="dxa"/>
          <w:right w:w="70" w:type="dxa"/>
        </w:tblCellMar>
        <w:tblLook w:val="04A0" w:firstRow="1" w:lastRow="0" w:firstColumn="1" w:lastColumn="0" w:noHBand="0" w:noVBand="1"/>
      </w:tblPr>
      <w:tblGrid>
        <w:gridCol w:w="2799"/>
        <w:gridCol w:w="1200"/>
        <w:gridCol w:w="1200"/>
        <w:gridCol w:w="1200"/>
        <w:gridCol w:w="1200"/>
        <w:gridCol w:w="1200"/>
        <w:gridCol w:w="1200"/>
        <w:gridCol w:w="1200"/>
        <w:gridCol w:w="1200"/>
        <w:gridCol w:w="1200"/>
        <w:gridCol w:w="1200"/>
        <w:gridCol w:w="1200"/>
      </w:tblGrid>
      <w:tr w:rsidR="00412A54" w:rsidRPr="00412A54" w14:paraId="72B92CF4" w14:textId="77777777" w:rsidTr="00B97716">
        <w:trPr>
          <w:trHeight w:val="544"/>
        </w:trPr>
        <w:tc>
          <w:tcPr>
            <w:tcW w:w="2799" w:type="dxa"/>
            <w:tcBorders>
              <w:top w:val="single" w:sz="4" w:space="0" w:color="auto"/>
              <w:left w:val="nil"/>
              <w:bottom w:val="double" w:sz="6" w:space="0" w:color="auto"/>
              <w:right w:val="nil"/>
            </w:tcBorders>
            <w:shd w:val="clear" w:color="auto" w:fill="auto"/>
            <w:noWrap/>
            <w:vAlign w:val="bottom"/>
            <w:hideMark/>
          </w:tcPr>
          <w:p w14:paraId="0E877C2C" w14:textId="77777777" w:rsidR="00676C8E" w:rsidRPr="00412A54" w:rsidRDefault="00676C8E" w:rsidP="00676C8E">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 </w:t>
            </w:r>
          </w:p>
        </w:tc>
        <w:tc>
          <w:tcPr>
            <w:tcW w:w="1200" w:type="dxa"/>
            <w:tcBorders>
              <w:top w:val="single" w:sz="4" w:space="0" w:color="auto"/>
              <w:left w:val="nil"/>
              <w:bottom w:val="double" w:sz="6" w:space="0" w:color="auto"/>
              <w:right w:val="nil"/>
            </w:tcBorders>
            <w:shd w:val="clear" w:color="auto" w:fill="auto"/>
            <w:noWrap/>
            <w:vAlign w:val="bottom"/>
            <w:hideMark/>
          </w:tcPr>
          <w:p w14:paraId="7EB36DEF"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2006</w:t>
            </w:r>
          </w:p>
        </w:tc>
        <w:tc>
          <w:tcPr>
            <w:tcW w:w="1200" w:type="dxa"/>
            <w:tcBorders>
              <w:top w:val="single" w:sz="4" w:space="0" w:color="auto"/>
              <w:left w:val="nil"/>
              <w:bottom w:val="double" w:sz="6" w:space="0" w:color="auto"/>
              <w:right w:val="nil"/>
            </w:tcBorders>
            <w:shd w:val="clear" w:color="auto" w:fill="auto"/>
            <w:noWrap/>
            <w:vAlign w:val="bottom"/>
            <w:hideMark/>
          </w:tcPr>
          <w:p w14:paraId="448D74BE"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2007</w:t>
            </w:r>
          </w:p>
        </w:tc>
        <w:tc>
          <w:tcPr>
            <w:tcW w:w="1200" w:type="dxa"/>
            <w:tcBorders>
              <w:top w:val="single" w:sz="4" w:space="0" w:color="auto"/>
              <w:left w:val="nil"/>
              <w:bottom w:val="double" w:sz="6" w:space="0" w:color="auto"/>
              <w:right w:val="nil"/>
            </w:tcBorders>
            <w:shd w:val="clear" w:color="auto" w:fill="auto"/>
            <w:noWrap/>
            <w:vAlign w:val="bottom"/>
            <w:hideMark/>
          </w:tcPr>
          <w:p w14:paraId="01C46DE0"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2008</w:t>
            </w:r>
          </w:p>
        </w:tc>
        <w:tc>
          <w:tcPr>
            <w:tcW w:w="1200" w:type="dxa"/>
            <w:tcBorders>
              <w:top w:val="single" w:sz="4" w:space="0" w:color="auto"/>
              <w:left w:val="nil"/>
              <w:bottom w:val="double" w:sz="6" w:space="0" w:color="auto"/>
              <w:right w:val="nil"/>
            </w:tcBorders>
            <w:shd w:val="clear" w:color="auto" w:fill="auto"/>
            <w:noWrap/>
            <w:vAlign w:val="bottom"/>
            <w:hideMark/>
          </w:tcPr>
          <w:p w14:paraId="67B7DD79"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2009</w:t>
            </w:r>
          </w:p>
        </w:tc>
        <w:tc>
          <w:tcPr>
            <w:tcW w:w="1200" w:type="dxa"/>
            <w:tcBorders>
              <w:top w:val="single" w:sz="4" w:space="0" w:color="auto"/>
              <w:left w:val="nil"/>
              <w:bottom w:val="double" w:sz="6" w:space="0" w:color="auto"/>
              <w:right w:val="nil"/>
            </w:tcBorders>
            <w:shd w:val="clear" w:color="auto" w:fill="auto"/>
            <w:noWrap/>
            <w:vAlign w:val="bottom"/>
            <w:hideMark/>
          </w:tcPr>
          <w:p w14:paraId="13B86685"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2010</w:t>
            </w:r>
          </w:p>
        </w:tc>
        <w:tc>
          <w:tcPr>
            <w:tcW w:w="1200" w:type="dxa"/>
            <w:tcBorders>
              <w:top w:val="single" w:sz="4" w:space="0" w:color="auto"/>
              <w:left w:val="nil"/>
              <w:bottom w:val="double" w:sz="6" w:space="0" w:color="auto"/>
              <w:right w:val="nil"/>
            </w:tcBorders>
            <w:shd w:val="clear" w:color="auto" w:fill="auto"/>
            <w:noWrap/>
            <w:vAlign w:val="bottom"/>
            <w:hideMark/>
          </w:tcPr>
          <w:p w14:paraId="2441B497"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2011</w:t>
            </w:r>
          </w:p>
        </w:tc>
        <w:tc>
          <w:tcPr>
            <w:tcW w:w="1200" w:type="dxa"/>
            <w:tcBorders>
              <w:top w:val="single" w:sz="4" w:space="0" w:color="auto"/>
              <w:left w:val="nil"/>
              <w:bottom w:val="double" w:sz="6" w:space="0" w:color="auto"/>
              <w:right w:val="nil"/>
            </w:tcBorders>
            <w:shd w:val="clear" w:color="auto" w:fill="auto"/>
            <w:noWrap/>
            <w:vAlign w:val="bottom"/>
            <w:hideMark/>
          </w:tcPr>
          <w:p w14:paraId="07B9C825"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2012</w:t>
            </w:r>
          </w:p>
        </w:tc>
        <w:tc>
          <w:tcPr>
            <w:tcW w:w="1200" w:type="dxa"/>
            <w:tcBorders>
              <w:top w:val="single" w:sz="4" w:space="0" w:color="auto"/>
              <w:left w:val="nil"/>
              <w:bottom w:val="double" w:sz="6" w:space="0" w:color="auto"/>
              <w:right w:val="nil"/>
            </w:tcBorders>
            <w:shd w:val="clear" w:color="auto" w:fill="auto"/>
            <w:noWrap/>
            <w:vAlign w:val="bottom"/>
            <w:hideMark/>
          </w:tcPr>
          <w:p w14:paraId="7D3FEB42"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2013</w:t>
            </w:r>
          </w:p>
        </w:tc>
        <w:tc>
          <w:tcPr>
            <w:tcW w:w="1200" w:type="dxa"/>
            <w:tcBorders>
              <w:top w:val="single" w:sz="4" w:space="0" w:color="auto"/>
              <w:left w:val="nil"/>
              <w:bottom w:val="double" w:sz="6" w:space="0" w:color="auto"/>
              <w:right w:val="nil"/>
            </w:tcBorders>
            <w:shd w:val="clear" w:color="auto" w:fill="auto"/>
            <w:noWrap/>
            <w:vAlign w:val="bottom"/>
            <w:hideMark/>
          </w:tcPr>
          <w:p w14:paraId="18314F8B"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2014</w:t>
            </w:r>
          </w:p>
        </w:tc>
        <w:tc>
          <w:tcPr>
            <w:tcW w:w="1200" w:type="dxa"/>
            <w:tcBorders>
              <w:top w:val="single" w:sz="4" w:space="0" w:color="auto"/>
              <w:left w:val="nil"/>
              <w:bottom w:val="double" w:sz="6" w:space="0" w:color="auto"/>
              <w:right w:val="nil"/>
            </w:tcBorders>
            <w:shd w:val="clear" w:color="auto" w:fill="auto"/>
            <w:noWrap/>
            <w:vAlign w:val="bottom"/>
            <w:hideMark/>
          </w:tcPr>
          <w:p w14:paraId="36C5580B"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2015</w:t>
            </w:r>
          </w:p>
        </w:tc>
        <w:tc>
          <w:tcPr>
            <w:tcW w:w="1200" w:type="dxa"/>
            <w:tcBorders>
              <w:top w:val="single" w:sz="4" w:space="0" w:color="auto"/>
              <w:left w:val="nil"/>
              <w:bottom w:val="double" w:sz="6" w:space="0" w:color="auto"/>
              <w:right w:val="nil"/>
            </w:tcBorders>
            <w:shd w:val="clear" w:color="auto" w:fill="auto"/>
            <w:noWrap/>
            <w:vAlign w:val="bottom"/>
            <w:hideMark/>
          </w:tcPr>
          <w:p w14:paraId="4BCF81F3"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2016</w:t>
            </w:r>
          </w:p>
        </w:tc>
      </w:tr>
      <w:tr w:rsidR="00412A54" w:rsidRPr="00412A54" w14:paraId="1C047C2A" w14:textId="77777777" w:rsidTr="00B97716">
        <w:trPr>
          <w:trHeight w:val="544"/>
        </w:trPr>
        <w:tc>
          <w:tcPr>
            <w:tcW w:w="2799" w:type="dxa"/>
            <w:tcBorders>
              <w:top w:val="nil"/>
              <w:left w:val="nil"/>
              <w:bottom w:val="nil"/>
              <w:right w:val="nil"/>
            </w:tcBorders>
            <w:shd w:val="clear" w:color="auto" w:fill="auto"/>
            <w:noWrap/>
            <w:vAlign w:val="bottom"/>
            <w:hideMark/>
          </w:tcPr>
          <w:p w14:paraId="44FE7923" w14:textId="77777777" w:rsidR="00676C8E" w:rsidRPr="00412A54" w:rsidRDefault="00676C8E" w:rsidP="00676C8E">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Constante</w:t>
            </w:r>
          </w:p>
        </w:tc>
        <w:tc>
          <w:tcPr>
            <w:tcW w:w="1200" w:type="dxa"/>
            <w:tcBorders>
              <w:top w:val="nil"/>
              <w:left w:val="nil"/>
              <w:bottom w:val="nil"/>
              <w:right w:val="nil"/>
            </w:tcBorders>
            <w:shd w:val="clear" w:color="auto" w:fill="auto"/>
            <w:noWrap/>
            <w:vAlign w:val="bottom"/>
            <w:hideMark/>
          </w:tcPr>
          <w:p w14:paraId="717A0E27" w14:textId="1469E3C5"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1,6721</w:t>
            </w:r>
            <w:bookmarkStart w:id="7" w:name="OLE_LINK8"/>
            <w:bookmarkStart w:id="8" w:name="OLE_LINK9"/>
            <w:bookmarkStart w:id="9" w:name="OLE_LINK10"/>
            <w:bookmarkStart w:id="10" w:name="OLE_LINK11"/>
            <w:bookmarkStart w:id="11" w:name="OLE_LINK12"/>
            <w:bookmarkStart w:id="12" w:name="OLE_LINK13"/>
            <w:bookmarkStart w:id="13" w:name="OLE_LINK14"/>
            <w:bookmarkStart w:id="14" w:name="OLE_LINK15"/>
            <w:bookmarkStart w:id="15" w:name="OLE_LINK16"/>
            <w:bookmarkStart w:id="16" w:name="OLE_LINK17"/>
            <w:bookmarkStart w:id="17" w:name="OLE_LINK18"/>
            <w:bookmarkStart w:id="18" w:name="OLE_LINK19"/>
            <w:bookmarkStart w:id="19" w:name="OLE_LINK20"/>
            <w:bookmarkStart w:id="20" w:name="OLE_LINK21"/>
            <w:bookmarkStart w:id="21" w:name="OLE_LINK22"/>
            <w:bookmarkStart w:id="22" w:name="OLE_LINK23"/>
            <w:bookmarkStart w:id="23" w:name="OLE_LINK24"/>
            <w:bookmarkStart w:id="24" w:name="OLE_LINK25"/>
            <w:bookmarkStart w:id="25" w:name="OLE_LINK26"/>
            <w:bookmarkStart w:id="26" w:name="OLE_LINK27"/>
            <w:bookmarkStart w:id="27" w:name="OLE_LINK28"/>
            <w:bookmarkStart w:id="28" w:name="OLE_LINK29"/>
            <w:bookmarkStart w:id="29" w:name="OLE_LINK30"/>
            <w:bookmarkStart w:id="30" w:name="OLE_LINK31"/>
            <w:bookmarkStart w:id="31" w:name="OLE_LINK32"/>
            <w:bookmarkStart w:id="32" w:name="OLE_LINK33"/>
            <w:bookmarkStart w:id="33" w:name="OLE_LINK34"/>
            <w:bookmarkStart w:id="34" w:name="OLE_LINK35"/>
            <w:bookmarkStart w:id="35" w:name="OLE_LINK36"/>
            <w:bookmarkStart w:id="36" w:name="OLE_LINK37"/>
            <w:bookmarkStart w:id="37" w:name="OLE_LINK38"/>
            <w:bookmarkStart w:id="38" w:name="OLE_LINK39"/>
            <w:bookmarkStart w:id="39" w:name="OLE_LINK40"/>
            <w:r w:rsidR="00B97716" w:rsidRPr="00412A54">
              <w:rPr>
                <w:rFonts w:ascii="Times New Roman" w:eastAsia="Times New Roman" w:hAnsi="Times New Roman" w:cs="Times New Roman"/>
                <w:sz w:val="24"/>
                <w:szCs w:val="24"/>
                <w:lang w:eastAsia="pt-BR"/>
              </w:rPr>
              <w:t>***</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tc>
        <w:tc>
          <w:tcPr>
            <w:tcW w:w="1200" w:type="dxa"/>
            <w:tcBorders>
              <w:top w:val="nil"/>
              <w:left w:val="nil"/>
              <w:bottom w:val="nil"/>
              <w:right w:val="nil"/>
            </w:tcBorders>
            <w:shd w:val="clear" w:color="auto" w:fill="auto"/>
            <w:noWrap/>
            <w:vAlign w:val="bottom"/>
            <w:hideMark/>
          </w:tcPr>
          <w:p w14:paraId="727DD138" w14:textId="7F533FE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1,7676</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5FD056A4" w14:textId="7852C383"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1,8996</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5698B0D0" w14:textId="22FA19FF"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1,9974</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3AC3F03B" w14:textId="4BEB4541"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2,0973</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09E3EB04" w14:textId="48AD43D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2,1585</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07BBBB4B" w14:textId="0AE7D658"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2,2754</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480CE09F" w14:textId="08F5D354"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2,3029</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31120C54" w14:textId="7AC0752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2,3032</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1C6FC0D1" w14:textId="043C56FD"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2,2964</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0644E4A7" w14:textId="1DB1606D"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2,3075</w:t>
            </w:r>
            <w:r w:rsidR="00B97716" w:rsidRPr="00412A54">
              <w:rPr>
                <w:rFonts w:ascii="Times New Roman" w:eastAsia="Times New Roman" w:hAnsi="Times New Roman" w:cs="Times New Roman"/>
                <w:sz w:val="24"/>
                <w:szCs w:val="24"/>
                <w:lang w:eastAsia="pt-BR"/>
              </w:rPr>
              <w:t>***</w:t>
            </w:r>
          </w:p>
        </w:tc>
      </w:tr>
      <w:tr w:rsidR="00412A54" w:rsidRPr="00412A54" w14:paraId="4D929035" w14:textId="77777777" w:rsidTr="00B97716">
        <w:trPr>
          <w:trHeight w:val="517"/>
        </w:trPr>
        <w:tc>
          <w:tcPr>
            <w:tcW w:w="2799" w:type="dxa"/>
            <w:tcBorders>
              <w:top w:val="nil"/>
              <w:left w:val="nil"/>
              <w:bottom w:val="nil"/>
              <w:right w:val="nil"/>
            </w:tcBorders>
            <w:shd w:val="clear" w:color="auto" w:fill="auto"/>
            <w:noWrap/>
            <w:vAlign w:val="bottom"/>
            <w:hideMark/>
          </w:tcPr>
          <w:p w14:paraId="731C1226"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p>
        </w:tc>
        <w:tc>
          <w:tcPr>
            <w:tcW w:w="1200" w:type="dxa"/>
            <w:tcBorders>
              <w:top w:val="nil"/>
              <w:left w:val="nil"/>
              <w:bottom w:val="nil"/>
              <w:right w:val="nil"/>
            </w:tcBorders>
            <w:shd w:val="clear" w:color="auto" w:fill="auto"/>
            <w:noWrap/>
            <w:vAlign w:val="bottom"/>
            <w:hideMark/>
          </w:tcPr>
          <w:p w14:paraId="16F1332B"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(164,3366)</w:t>
            </w:r>
          </w:p>
        </w:tc>
        <w:tc>
          <w:tcPr>
            <w:tcW w:w="1200" w:type="dxa"/>
            <w:tcBorders>
              <w:top w:val="nil"/>
              <w:left w:val="nil"/>
              <w:bottom w:val="nil"/>
              <w:right w:val="nil"/>
            </w:tcBorders>
            <w:shd w:val="clear" w:color="auto" w:fill="auto"/>
            <w:noWrap/>
            <w:vAlign w:val="bottom"/>
            <w:hideMark/>
          </w:tcPr>
          <w:p w14:paraId="3E44B9BC"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(161,1873)</w:t>
            </w:r>
          </w:p>
        </w:tc>
        <w:tc>
          <w:tcPr>
            <w:tcW w:w="1200" w:type="dxa"/>
            <w:tcBorders>
              <w:top w:val="nil"/>
              <w:left w:val="nil"/>
              <w:bottom w:val="nil"/>
              <w:right w:val="nil"/>
            </w:tcBorders>
            <w:shd w:val="clear" w:color="auto" w:fill="auto"/>
            <w:noWrap/>
            <w:vAlign w:val="bottom"/>
            <w:hideMark/>
          </w:tcPr>
          <w:p w14:paraId="6D963537"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(151,16)</w:t>
            </w:r>
          </w:p>
        </w:tc>
        <w:tc>
          <w:tcPr>
            <w:tcW w:w="1200" w:type="dxa"/>
            <w:tcBorders>
              <w:top w:val="nil"/>
              <w:left w:val="nil"/>
              <w:bottom w:val="nil"/>
              <w:right w:val="nil"/>
            </w:tcBorders>
            <w:shd w:val="clear" w:color="auto" w:fill="auto"/>
            <w:noWrap/>
            <w:vAlign w:val="bottom"/>
            <w:hideMark/>
          </w:tcPr>
          <w:p w14:paraId="3684699B"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(158,321)</w:t>
            </w:r>
          </w:p>
        </w:tc>
        <w:tc>
          <w:tcPr>
            <w:tcW w:w="1200" w:type="dxa"/>
            <w:tcBorders>
              <w:top w:val="nil"/>
              <w:left w:val="nil"/>
              <w:bottom w:val="nil"/>
              <w:right w:val="nil"/>
            </w:tcBorders>
            <w:shd w:val="clear" w:color="auto" w:fill="auto"/>
            <w:noWrap/>
            <w:vAlign w:val="bottom"/>
            <w:hideMark/>
          </w:tcPr>
          <w:p w14:paraId="10D42512"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(150,2628)</w:t>
            </w:r>
          </w:p>
        </w:tc>
        <w:tc>
          <w:tcPr>
            <w:tcW w:w="1200" w:type="dxa"/>
            <w:tcBorders>
              <w:top w:val="nil"/>
              <w:left w:val="nil"/>
              <w:bottom w:val="nil"/>
              <w:right w:val="nil"/>
            </w:tcBorders>
            <w:shd w:val="clear" w:color="auto" w:fill="auto"/>
            <w:noWrap/>
            <w:vAlign w:val="bottom"/>
            <w:hideMark/>
          </w:tcPr>
          <w:p w14:paraId="359EDB23"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(155,4739)</w:t>
            </w:r>
          </w:p>
        </w:tc>
        <w:tc>
          <w:tcPr>
            <w:tcW w:w="1200" w:type="dxa"/>
            <w:tcBorders>
              <w:top w:val="nil"/>
              <w:left w:val="nil"/>
              <w:bottom w:val="nil"/>
              <w:right w:val="nil"/>
            </w:tcBorders>
            <w:shd w:val="clear" w:color="auto" w:fill="auto"/>
            <w:noWrap/>
            <w:vAlign w:val="bottom"/>
            <w:hideMark/>
          </w:tcPr>
          <w:p w14:paraId="2A499F04"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(150,6383)</w:t>
            </w:r>
          </w:p>
        </w:tc>
        <w:tc>
          <w:tcPr>
            <w:tcW w:w="1200" w:type="dxa"/>
            <w:tcBorders>
              <w:top w:val="nil"/>
              <w:left w:val="nil"/>
              <w:bottom w:val="nil"/>
              <w:right w:val="nil"/>
            </w:tcBorders>
            <w:shd w:val="clear" w:color="auto" w:fill="auto"/>
            <w:noWrap/>
            <w:vAlign w:val="bottom"/>
            <w:hideMark/>
          </w:tcPr>
          <w:p w14:paraId="65661300"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(149,7352)</w:t>
            </w:r>
          </w:p>
        </w:tc>
        <w:tc>
          <w:tcPr>
            <w:tcW w:w="1200" w:type="dxa"/>
            <w:tcBorders>
              <w:top w:val="nil"/>
              <w:left w:val="nil"/>
              <w:bottom w:val="nil"/>
              <w:right w:val="nil"/>
            </w:tcBorders>
            <w:shd w:val="clear" w:color="auto" w:fill="auto"/>
            <w:noWrap/>
            <w:vAlign w:val="bottom"/>
            <w:hideMark/>
          </w:tcPr>
          <w:p w14:paraId="17F3C9D5"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(156,8979)</w:t>
            </w:r>
          </w:p>
        </w:tc>
        <w:tc>
          <w:tcPr>
            <w:tcW w:w="1200" w:type="dxa"/>
            <w:tcBorders>
              <w:top w:val="nil"/>
              <w:left w:val="nil"/>
              <w:bottom w:val="nil"/>
              <w:right w:val="nil"/>
            </w:tcBorders>
            <w:shd w:val="clear" w:color="auto" w:fill="auto"/>
            <w:noWrap/>
            <w:vAlign w:val="bottom"/>
            <w:hideMark/>
          </w:tcPr>
          <w:p w14:paraId="7E92BA41"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(158,2224)</w:t>
            </w:r>
          </w:p>
        </w:tc>
        <w:tc>
          <w:tcPr>
            <w:tcW w:w="1200" w:type="dxa"/>
            <w:tcBorders>
              <w:top w:val="nil"/>
              <w:left w:val="nil"/>
              <w:bottom w:val="nil"/>
              <w:right w:val="nil"/>
            </w:tcBorders>
            <w:shd w:val="clear" w:color="auto" w:fill="auto"/>
            <w:noWrap/>
            <w:vAlign w:val="bottom"/>
            <w:hideMark/>
          </w:tcPr>
          <w:p w14:paraId="5E00538F"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(152,0087)</w:t>
            </w:r>
          </w:p>
        </w:tc>
      </w:tr>
      <w:tr w:rsidR="00412A54" w:rsidRPr="00412A54" w14:paraId="79654561" w14:textId="77777777" w:rsidTr="00B97716">
        <w:trPr>
          <w:trHeight w:val="517"/>
        </w:trPr>
        <w:tc>
          <w:tcPr>
            <w:tcW w:w="2799" w:type="dxa"/>
            <w:tcBorders>
              <w:top w:val="nil"/>
              <w:left w:val="nil"/>
              <w:bottom w:val="nil"/>
              <w:right w:val="nil"/>
            </w:tcBorders>
            <w:shd w:val="clear" w:color="auto" w:fill="auto"/>
            <w:noWrap/>
            <w:vAlign w:val="bottom"/>
            <w:hideMark/>
          </w:tcPr>
          <w:p w14:paraId="0AB31361" w14:textId="77777777" w:rsidR="00676C8E" w:rsidRPr="00412A54" w:rsidRDefault="00676C8E" w:rsidP="00676C8E">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Manual e Não Rotineira</w:t>
            </w:r>
          </w:p>
        </w:tc>
        <w:tc>
          <w:tcPr>
            <w:tcW w:w="1200" w:type="dxa"/>
            <w:tcBorders>
              <w:top w:val="nil"/>
              <w:left w:val="nil"/>
              <w:bottom w:val="nil"/>
              <w:right w:val="nil"/>
            </w:tcBorders>
            <w:shd w:val="clear" w:color="auto" w:fill="auto"/>
            <w:noWrap/>
            <w:vAlign w:val="bottom"/>
            <w:hideMark/>
          </w:tcPr>
          <w:p w14:paraId="12FB26B7" w14:textId="7364A3C2"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0,1573</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4808EFFB" w14:textId="0CE5CC3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0,1481</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19EB3E30" w14:textId="7800BA26"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0,1355</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70BD6E48" w14:textId="0753AF02"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0,1351</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2E3CBEDD" w14:textId="44F68EAC"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0,1221</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6B72DDC1" w14:textId="13C5C016"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0,1234</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30B21B2B" w14:textId="5D5D3BA6"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0,1157</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3BC90362" w14:textId="16F63D5F"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0,1136</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29939A60" w14:textId="0A1FC953"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0,1194</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1E960B33" w14:textId="47C3ABE8"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0,1222</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7D387173" w14:textId="70061B8E"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0,119</w:t>
            </w:r>
            <w:r w:rsidR="00B97716" w:rsidRPr="00412A54">
              <w:rPr>
                <w:rFonts w:ascii="Times New Roman" w:eastAsia="Times New Roman" w:hAnsi="Times New Roman" w:cs="Times New Roman"/>
                <w:sz w:val="24"/>
                <w:szCs w:val="24"/>
                <w:lang w:eastAsia="pt-BR"/>
              </w:rPr>
              <w:t>***</w:t>
            </w:r>
          </w:p>
        </w:tc>
      </w:tr>
      <w:tr w:rsidR="00412A54" w:rsidRPr="00412A54" w14:paraId="3E406263" w14:textId="77777777" w:rsidTr="00B97716">
        <w:trPr>
          <w:trHeight w:val="517"/>
        </w:trPr>
        <w:tc>
          <w:tcPr>
            <w:tcW w:w="2799" w:type="dxa"/>
            <w:tcBorders>
              <w:top w:val="nil"/>
              <w:left w:val="nil"/>
              <w:bottom w:val="nil"/>
              <w:right w:val="nil"/>
            </w:tcBorders>
            <w:shd w:val="clear" w:color="auto" w:fill="auto"/>
            <w:noWrap/>
            <w:vAlign w:val="bottom"/>
            <w:hideMark/>
          </w:tcPr>
          <w:p w14:paraId="3D239D23"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p>
        </w:tc>
        <w:tc>
          <w:tcPr>
            <w:tcW w:w="1200" w:type="dxa"/>
            <w:tcBorders>
              <w:top w:val="nil"/>
              <w:left w:val="nil"/>
              <w:bottom w:val="nil"/>
              <w:right w:val="nil"/>
            </w:tcBorders>
            <w:shd w:val="clear" w:color="auto" w:fill="auto"/>
            <w:noWrap/>
            <w:vAlign w:val="bottom"/>
            <w:hideMark/>
          </w:tcPr>
          <w:p w14:paraId="1A502E25"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(254,7403)</w:t>
            </w:r>
          </w:p>
        </w:tc>
        <w:tc>
          <w:tcPr>
            <w:tcW w:w="1200" w:type="dxa"/>
            <w:tcBorders>
              <w:top w:val="nil"/>
              <w:left w:val="nil"/>
              <w:bottom w:val="nil"/>
              <w:right w:val="nil"/>
            </w:tcBorders>
            <w:shd w:val="clear" w:color="auto" w:fill="auto"/>
            <w:noWrap/>
            <w:vAlign w:val="bottom"/>
            <w:hideMark/>
          </w:tcPr>
          <w:p w14:paraId="11070089"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(271,8308)</w:t>
            </w:r>
          </w:p>
        </w:tc>
        <w:tc>
          <w:tcPr>
            <w:tcW w:w="1200" w:type="dxa"/>
            <w:tcBorders>
              <w:top w:val="nil"/>
              <w:left w:val="nil"/>
              <w:bottom w:val="nil"/>
              <w:right w:val="nil"/>
            </w:tcBorders>
            <w:shd w:val="clear" w:color="auto" w:fill="auto"/>
            <w:noWrap/>
            <w:vAlign w:val="bottom"/>
            <w:hideMark/>
          </w:tcPr>
          <w:p w14:paraId="54AC38FF"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(264,6144)</w:t>
            </w:r>
          </w:p>
        </w:tc>
        <w:tc>
          <w:tcPr>
            <w:tcW w:w="1200" w:type="dxa"/>
            <w:tcBorders>
              <w:top w:val="nil"/>
              <w:left w:val="nil"/>
              <w:bottom w:val="nil"/>
              <w:right w:val="nil"/>
            </w:tcBorders>
            <w:shd w:val="clear" w:color="auto" w:fill="auto"/>
            <w:noWrap/>
            <w:vAlign w:val="bottom"/>
            <w:hideMark/>
          </w:tcPr>
          <w:p w14:paraId="6E137570"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(274,6887)</w:t>
            </w:r>
          </w:p>
        </w:tc>
        <w:tc>
          <w:tcPr>
            <w:tcW w:w="1200" w:type="dxa"/>
            <w:tcBorders>
              <w:top w:val="nil"/>
              <w:left w:val="nil"/>
              <w:bottom w:val="nil"/>
              <w:right w:val="nil"/>
            </w:tcBorders>
            <w:shd w:val="clear" w:color="auto" w:fill="auto"/>
            <w:noWrap/>
            <w:vAlign w:val="bottom"/>
            <w:hideMark/>
          </w:tcPr>
          <w:p w14:paraId="7B8D2B9E"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(287,003)</w:t>
            </w:r>
          </w:p>
        </w:tc>
        <w:tc>
          <w:tcPr>
            <w:tcW w:w="1200" w:type="dxa"/>
            <w:tcBorders>
              <w:top w:val="nil"/>
              <w:left w:val="nil"/>
              <w:bottom w:val="nil"/>
              <w:right w:val="nil"/>
            </w:tcBorders>
            <w:shd w:val="clear" w:color="auto" w:fill="auto"/>
            <w:noWrap/>
            <w:vAlign w:val="bottom"/>
            <w:hideMark/>
          </w:tcPr>
          <w:p w14:paraId="71CF35D2"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(294,0762)</w:t>
            </w:r>
          </w:p>
        </w:tc>
        <w:tc>
          <w:tcPr>
            <w:tcW w:w="1200" w:type="dxa"/>
            <w:tcBorders>
              <w:top w:val="nil"/>
              <w:left w:val="nil"/>
              <w:bottom w:val="nil"/>
              <w:right w:val="nil"/>
            </w:tcBorders>
            <w:shd w:val="clear" w:color="auto" w:fill="auto"/>
            <w:noWrap/>
            <w:vAlign w:val="bottom"/>
            <w:hideMark/>
          </w:tcPr>
          <w:p w14:paraId="3550A902"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(299,3212)</w:t>
            </w:r>
          </w:p>
        </w:tc>
        <w:tc>
          <w:tcPr>
            <w:tcW w:w="1200" w:type="dxa"/>
            <w:tcBorders>
              <w:top w:val="nil"/>
              <w:left w:val="nil"/>
              <w:bottom w:val="nil"/>
              <w:right w:val="nil"/>
            </w:tcBorders>
            <w:shd w:val="clear" w:color="auto" w:fill="auto"/>
            <w:noWrap/>
            <w:vAlign w:val="bottom"/>
            <w:hideMark/>
          </w:tcPr>
          <w:p w14:paraId="727084F8"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(302,8508)</w:t>
            </w:r>
          </w:p>
        </w:tc>
        <w:tc>
          <w:tcPr>
            <w:tcW w:w="1200" w:type="dxa"/>
            <w:tcBorders>
              <w:top w:val="nil"/>
              <w:left w:val="nil"/>
              <w:bottom w:val="nil"/>
              <w:right w:val="nil"/>
            </w:tcBorders>
            <w:shd w:val="clear" w:color="auto" w:fill="auto"/>
            <w:noWrap/>
            <w:vAlign w:val="bottom"/>
            <w:hideMark/>
          </w:tcPr>
          <w:p w14:paraId="61AA16BA"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(311,1736)</w:t>
            </w:r>
          </w:p>
        </w:tc>
        <w:tc>
          <w:tcPr>
            <w:tcW w:w="1200" w:type="dxa"/>
            <w:tcBorders>
              <w:top w:val="nil"/>
              <w:left w:val="nil"/>
              <w:bottom w:val="nil"/>
              <w:right w:val="nil"/>
            </w:tcBorders>
            <w:shd w:val="clear" w:color="auto" w:fill="auto"/>
            <w:noWrap/>
            <w:vAlign w:val="bottom"/>
            <w:hideMark/>
          </w:tcPr>
          <w:p w14:paraId="5536C87E"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(294,4812)</w:t>
            </w:r>
          </w:p>
        </w:tc>
        <w:tc>
          <w:tcPr>
            <w:tcW w:w="1200" w:type="dxa"/>
            <w:tcBorders>
              <w:top w:val="nil"/>
              <w:left w:val="nil"/>
              <w:bottom w:val="nil"/>
              <w:right w:val="nil"/>
            </w:tcBorders>
            <w:shd w:val="clear" w:color="auto" w:fill="auto"/>
            <w:noWrap/>
            <w:vAlign w:val="bottom"/>
            <w:hideMark/>
          </w:tcPr>
          <w:p w14:paraId="31B66B55"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(292,8819)</w:t>
            </w:r>
          </w:p>
        </w:tc>
      </w:tr>
      <w:tr w:rsidR="00412A54" w:rsidRPr="00412A54" w14:paraId="0BACE859" w14:textId="77777777" w:rsidTr="00B97716">
        <w:trPr>
          <w:trHeight w:val="517"/>
        </w:trPr>
        <w:tc>
          <w:tcPr>
            <w:tcW w:w="2799" w:type="dxa"/>
            <w:tcBorders>
              <w:top w:val="nil"/>
              <w:left w:val="nil"/>
              <w:bottom w:val="nil"/>
              <w:right w:val="nil"/>
            </w:tcBorders>
            <w:shd w:val="clear" w:color="auto" w:fill="auto"/>
            <w:noWrap/>
            <w:vAlign w:val="bottom"/>
            <w:hideMark/>
          </w:tcPr>
          <w:p w14:paraId="470B46E2" w14:textId="77777777" w:rsidR="00676C8E" w:rsidRPr="00412A54" w:rsidRDefault="00676C8E" w:rsidP="00676C8E">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Não Manual e Rotineira</w:t>
            </w:r>
          </w:p>
        </w:tc>
        <w:tc>
          <w:tcPr>
            <w:tcW w:w="1200" w:type="dxa"/>
            <w:tcBorders>
              <w:top w:val="nil"/>
              <w:left w:val="nil"/>
              <w:bottom w:val="nil"/>
              <w:right w:val="nil"/>
            </w:tcBorders>
            <w:shd w:val="clear" w:color="auto" w:fill="auto"/>
            <w:noWrap/>
            <w:vAlign w:val="bottom"/>
            <w:hideMark/>
          </w:tcPr>
          <w:p w14:paraId="16AB1A8E" w14:textId="5BF808CB"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0,2396</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3D2673E1" w14:textId="408E8FDD"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0,2459</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073864B8" w14:textId="661CC22B"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0,2308</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197CA27D" w14:textId="1E674534"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0,2291</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5D725F5D" w14:textId="6F90573C"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0,2295</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07C15758" w14:textId="7777B4CF"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0,228</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1F40754E" w14:textId="40B82636"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0,2237</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06E0FCDE" w14:textId="281440A2"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0,2217</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005187BA" w14:textId="784318C8"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0,2238</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52D08B17" w14:textId="4D221FD2"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0,2114</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2574C4C1" w14:textId="76282DA3"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0,2098</w:t>
            </w:r>
            <w:r w:rsidR="00B97716" w:rsidRPr="00412A54">
              <w:rPr>
                <w:rFonts w:ascii="Times New Roman" w:eastAsia="Times New Roman" w:hAnsi="Times New Roman" w:cs="Times New Roman"/>
                <w:sz w:val="24"/>
                <w:szCs w:val="24"/>
                <w:lang w:eastAsia="pt-BR"/>
              </w:rPr>
              <w:t>***</w:t>
            </w:r>
          </w:p>
        </w:tc>
      </w:tr>
      <w:tr w:rsidR="00412A54" w:rsidRPr="00412A54" w14:paraId="5E641DA2" w14:textId="77777777" w:rsidTr="00B97716">
        <w:trPr>
          <w:trHeight w:val="517"/>
        </w:trPr>
        <w:tc>
          <w:tcPr>
            <w:tcW w:w="2799" w:type="dxa"/>
            <w:tcBorders>
              <w:top w:val="nil"/>
              <w:left w:val="nil"/>
              <w:bottom w:val="nil"/>
              <w:right w:val="nil"/>
            </w:tcBorders>
            <w:shd w:val="clear" w:color="auto" w:fill="auto"/>
            <w:noWrap/>
            <w:vAlign w:val="bottom"/>
            <w:hideMark/>
          </w:tcPr>
          <w:p w14:paraId="035A55B5"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p>
        </w:tc>
        <w:tc>
          <w:tcPr>
            <w:tcW w:w="1200" w:type="dxa"/>
            <w:tcBorders>
              <w:top w:val="nil"/>
              <w:left w:val="nil"/>
              <w:bottom w:val="nil"/>
              <w:right w:val="nil"/>
            </w:tcBorders>
            <w:shd w:val="clear" w:color="auto" w:fill="auto"/>
            <w:noWrap/>
            <w:vAlign w:val="bottom"/>
            <w:hideMark/>
          </w:tcPr>
          <w:p w14:paraId="3B96BD26"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(341,2989)</w:t>
            </w:r>
          </w:p>
        </w:tc>
        <w:tc>
          <w:tcPr>
            <w:tcW w:w="1200" w:type="dxa"/>
            <w:tcBorders>
              <w:top w:val="nil"/>
              <w:left w:val="nil"/>
              <w:bottom w:val="nil"/>
              <w:right w:val="nil"/>
            </w:tcBorders>
            <w:shd w:val="clear" w:color="auto" w:fill="auto"/>
            <w:noWrap/>
            <w:vAlign w:val="bottom"/>
            <w:hideMark/>
          </w:tcPr>
          <w:p w14:paraId="20E31DB8"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(372,012)</w:t>
            </w:r>
          </w:p>
        </w:tc>
        <w:tc>
          <w:tcPr>
            <w:tcW w:w="1200" w:type="dxa"/>
            <w:tcBorders>
              <w:top w:val="nil"/>
              <w:left w:val="nil"/>
              <w:bottom w:val="nil"/>
              <w:right w:val="nil"/>
            </w:tcBorders>
            <w:shd w:val="clear" w:color="auto" w:fill="auto"/>
            <w:noWrap/>
            <w:vAlign w:val="bottom"/>
            <w:hideMark/>
          </w:tcPr>
          <w:p w14:paraId="43F7D730"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(367,0911)</w:t>
            </w:r>
          </w:p>
        </w:tc>
        <w:tc>
          <w:tcPr>
            <w:tcW w:w="1200" w:type="dxa"/>
            <w:tcBorders>
              <w:top w:val="nil"/>
              <w:left w:val="nil"/>
              <w:bottom w:val="nil"/>
              <w:right w:val="nil"/>
            </w:tcBorders>
            <w:shd w:val="clear" w:color="auto" w:fill="auto"/>
            <w:noWrap/>
            <w:vAlign w:val="bottom"/>
            <w:hideMark/>
          </w:tcPr>
          <w:p w14:paraId="160720E2"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(404,7175)</w:t>
            </w:r>
          </w:p>
        </w:tc>
        <w:tc>
          <w:tcPr>
            <w:tcW w:w="1200" w:type="dxa"/>
            <w:tcBorders>
              <w:top w:val="nil"/>
              <w:left w:val="nil"/>
              <w:bottom w:val="nil"/>
              <w:right w:val="nil"/>
            </w:tcBorders>
            <w:shd w:val="clear" w:color="auto" w:fill="auto"/>
            <w:noWrap/>
            <w:vAlign w:val="bottom"/>
            <w:hideMark/>
          </w:tcPr>
          <w:p w14:paraId="2A854CC7"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(419,8141)</w:t>
            </w:r>
          </w:p>
        </w:tc>
        <w:tc>
          <w:tcPr>
            <w:tcW w:w="1200" w:type="dxa"/>
            <w:tcBorders>
              <w:top w:val="nil"/>
              <w:left w:val="nil"/>
              <w:bottom w:val="nil"/>
              <w:right w:val="nil"/>
            </w:tcBorders>
            <w:shd w:val="clear" w:color="auto" w:fill="auto"/>
            <w:noWrap/>
            <w:vAlign w:val="bottom"/>
            <w:hideMark/>
          </w:tcPr>
          <w:p w14:paraId="56DF3D7E"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(437,6722)</w:t>
            </w:r>
          </w:p>
        </w:tc>
        <w:tc>
          <w:tcPr>
            <w:tcW w:w="1200" w:type="dxa"/>
            <w:tcBorders>
              <w:top w:val="nil"/>
              <w:left w:val="nil"/>
              <w:bottom w:val="nil"/>
              <w:right w:val="nil"/>
            </w:tcBorders>
            <w:shd w:val="clear" w:color="auto" w:fill="auto"/>
            <w:noWrap/>
            <w:vAlign w:val="bottom"/>
            <w:hideMark/>
          </w:tcPr>
          <w:p w14:paraId="4D46E463"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(447,3878)</w:t>
            </w:r>
          </w:p>
        </w:tc>
        <w:tc>
          <w:tcPr>
            <w:tcW w:w="1200" w:type="dxa"/>
            <w:tcBorders>
              <w:top w:val="nil"/>
              <w:left w:val="nil"/>
              <w:bottom w:val="nil"/>
              <w:right w:val="nil"/>
            </w:tcBorders>
            <w:shd w:val="clear" w:color="auto" w:fill="auto"/>
            <w:noWrap/>
            <w:vAlign w:val="bottom"/>
            <w:hideMark/>
          </w:tcPr>
          <w:p w14:paraId="33B48D19"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(441,0809)</w:t>
            </w:r>
          </w:p>
        </w:tc>
        <w:tc>
          <w:tcPr>
            <w:tcW w:w="1200" w:type="dxa"/>
            <w:tcBorders>
              <w:top w:val="nil"/>
              <w:left w:val="nil"/>
              <w:bottom w:val="nil"/>
              <w:right w:val="nil"/>
            </w:tcBorders>
            <w:shd w:val="clear" w:color="auto" w:fill="auto"/>
            <w:noWrap/>
            <w:vAlign w:val="bottom"/>
            <w:hideMark/>
          </w:tcPr>
          <w:p w14:paraId="3095B779"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(465,3903)</w:t>
            </w:r>
          </w:p>
        </w:tc>
        <w:tc>
          <w:tcPr>
            <w:tcW w:w="1200" w:type="dxa"/>
            <w:tcBorders>
              <w:top w:val="nil"/>
              <w:left w:val="nil"/>
              <w:bottom w:val="nil"/>
              <w:right w:val="nil"/>
            </w:tcBorders>
            <w:shd w:val="clear" w:color="auto" w:fill="auto"/>
            <w:noWrap/>
            <w:vAlign w:val="bottom"/>
            <w:hideMark/>
          </w:tcPr>
          <w:p w14:paraId="7AAC6A0E"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(451,0631)</w:t>
            </w:r>
          </w:p>
        </w:tc>
        <w:tc>
          <w:tcPr>
            <w:tcW w:w="1200" w:type="dxa"/>
            <w:tcBorders>
              <w:top w:val="nil"/>
              <w:left w:val="nil"/>
              <w:bottom w:val="nil"/>
              <w:right w:val="nil"/>
            </w:tcBorders>
            <w:shd w:val="clear" w:color="auto" w:fill="auto"/>
            <w:noWrap/>
            <w:vAlign w:val="bottom"/>
            <w:hideMark/>
          </w:tcPr>
          <w:p w14:paraId="436D97C4"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(465,4856)</w:t>
            </w:r>
          </w:p>
        </w:tc>
      </w:tr>
      <w:tr w:rsidR="00412A54" w:rsidRPr="00412A54" w14:paraId="04F140B3" w14:textId="77777777" w:rsidTr="00B97716">
        <w:trPr>
          <w:trHeight w:val="517"/>
        </w:trPr>
        <w:tc>
          <w:tcPr>
            <w:tcW w:w="2799" w:type="dxa"/>
            <w:tcBorders>
              <w:top w:val="nil"/>
              <w:left w:val="nil"/>
              <w:bottom w:val="nil"/>
              <w:right w:val="nil"/>
            </w:tcBorders>
            <w:shd w:val="clear" w:color="auto" w:fill="auto"/>
            <w:noWrap/>
            <w:vAlign w:val="bottom"/>
            <w:hideMark/>
          </w:tcPr>
          <w:p w14:paraId="41D1AB1D" w14:textId="77777777" w:rsidR="00676C8E" w:rsidRPr="00412A54" w:rsidRDefault="00676C8E" w:rsidP="00676C8E">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Não Manual Não Rotineira</w:t>
            </w:r>
          </w:p>
        </w:tc>
        <w:tc>
          <w:tcPr>
            <w:tcW w:w="1200" w:type="dxa"/>
            <w:tcBorders>
              <w:top w:val="nil"/>
              <w:left w:val="nil"/>
              <w:bottom w:val="nil"/>
              <w:right w:val="nil"/>
            </w:tcBorders>
            <w:shd w:val="clear" w:color="auto" w:fill="auto"/>
            <w:noWrap/>
            <w:vAlign w:val="bottom"/>
            <w:hideMark/>
          </w:tcPr>
          <w:p w14:paraId="239E5A84" w14:textId="59036AC0"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0,498</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0D0351C6" w14:textId="71CCF0CD"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0,5257</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5364C7E9" w14:textId="5453F7D0"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0,5005</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5C560B36" w14:textId="0C7691E1"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0,5271</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6BF90117" w14:textId="4EFE8838"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0,5284</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4AABAD77" w14:textId="65AA3A3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0,5329</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372A8D77" w14:textId="73A9F07D"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0,533</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7681E2E5" w14:textId="5C235EE1"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0,5231</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6FEA7522" w14:textId="56A499B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0,5376</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109C82A1" w14:textId="7E67541A"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0,5248</w:t>
            </w:r>
            <w:r w:rsidR="00B97716" w:rsidRPr="00412A54">
              <w:rPr>
                <w:rFonts w:ascii="Times New Roman" w:eastAsia="Times New Roman" w:hAnsi="Times New Roman" w:cs="Times New Roman"/>
                <w:sz w:val="24"/>
                <w:szCs w:val="24"/>
                <w:lang w:eastAsia="pt-BR"/>
              </w:rPr>
              <w:t>***</w:t>
            </w:r>
          </w:p>
        </w:tc>
        <w:tc>
          <w:tcPr>
            <w:tcW w:w="1200" w:type="dxa"/>
            <w:tcBorders>
              <w:top w:val="nil"/>
              <w:left w:val="nil"/>
              <w:bottom w:val="nil"/>
              <w:right w:val="nil"/>
            </w:tcBorders>
            <w:shd w:val="clear" w:color="auto" w:fill="auto"/>
            <w:noWrap/>
            <w:vAlign w:val="bottom"/>
            <w:hideMark/>
          </w:tcPr>
          <w:p w14:paraId="5F4C15E8" w14:textId="46C7E975"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0,5456</w:t>
            </w:r>
            <w:r w:rsidR="00B97716" w:rsidRPr="00412A54">
              <w:rPr>
                <w:rFonts w:ascii="Times New Roman" w:eastAsia="Times New Roman" w:hAnsi="Times New Roman" w:cs="Times New Roman"/>
                <w:sz w:val="24"/>
                <w:szCs w:val="24"/>
                <w:lang w:eastAsia="pt-BR"/>
              </w:rPr>
              <w:t>***</w:t>
            </w:r>
          </w:p>
        </w:tc>
      </w:tr>
      <w:tr w:rsidR="00412A54" w:rsidRPr="00412A54" w14:paraId="1C9C5FAE" w14:textId="77777777" w:rsidTr="00B97716">
        <w:trPr>
          <w:trHeight w:val="517"/>
        </w:trPr>
        <w:tc>
          <w:tcPr>
            <w:tcW w:w="2799" w:type="dxa"/>
            <w:tcBorders>
              <w:top w:val="nil"/>
              <w:left w:val="nil"/>
              <w:bottom w:val="nil"/>
              <w:right w:val="nil"/>
            </w:tcBorders>
            <w:shd w:val="clear" w:color="auto" w:fill="auto"/>
            <w:noWrap/>
            <w:vAlign w:val="bottom"/>
            <w:hideMark/>
          </w:tcPr>
          <w:p w14:paraId="364BB738"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p>
        </w:tc>
        <w:tc>
          <w:tcPr>
            <w:tcW w:w="1200" w:type="dxa"/>
            <w:tcBorders>
              <w:top w:val="nil"/>
              <w:left w:val="nil"/>
              <w:bottom w:val="nil"/>
              <w:right w:val="nil"/>
            </w:tcBorders>
            <w:shd w:val="clear" w:color="auto" w:fill="auto"/>
            <w:noWrap/>
            <w:vAlign w:val="bottom"/>
            <w:hideMark/>
          </w:tcPr>
          <w:p w14:paraId="11C0AEEC"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(413,9558)</w:t>
            </w:r>
          </w:p>
        </w:tc>
        <w:tc>
          <w:tcPr>
            <w:tcW w:w="1200" w:type="dxa"/>
            <w:tcBorders>
              <w:top w:val="nil"/>
              <w:left w:val="nil"/>
              <w:bottom w:val="nil"/>
              <w:right w:val="nil"/>
            </w:tcBorders>
            <w:shd w:val="clear" w:color="auto" w:fill="auto"/>
            <w:noWrap/>
            <w:vAlign w:val="bottom"/>
            <w:hideMark/>
          </w:tcPr>
          <w:p w14:paraId="28034377"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(454,9232)</w:t>
            </w:r>
          </w:p>
        </w:tc>
        <w:tc>
          <w:tcPr>
            <w:tcW w:w="1200" w:type="dxa"/>
            <w:tcBorders>
              <w:top w:val="nil"/>
              <w:left w:val="nil"/>
              <w:bottom w:val="nil"/>
              <w:right w:val="nil"/>
            </w:tcBorders>
            <w:shd w:val="clear" w:color="auto" w:fill="auto"/>
            <w:noWrap/>
            <w:vAlign w:val="bottom"/>
            <w:hideMark/>
          </w:tcPr>
          <w:p w14:paraId="203FFAC2"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(508,3258)</w:t>
            </w:r>
          </w:p>
        </w:tc>
        <w:tc>
          <w:tcPr>
            <w:tcW w:w="1200" w:type="dxa"/>
            <w:tcBorders>
              <w:top w:val="nil"/>
              <w:left w:val="nil"/>
              <w:bottom w:val="nil"/>
              <w:right w:val="nil"/>
            </w:tcBorders>
            <w:shd w:val="clear" w:color="auto" w:fill="auto"/>
            <w:noWrap/>
            <w:vAlign w:val="bottom"/>
            <w:hideMark/>
          </w:tcPr>
          <w:p w14:paraId="5183A5BD"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(555,5709)</w:t>
            </w:r>
          </w:p>
        </w:tc>
        <w:tc>
          <w:tcPr>
            <w:tcW w:w="1200" w:type="dxa"/>
            <w:tcBorders>
              <w:top w:val="nil"/>
              <w:left w:val="nil"/>
              <w:bottom w:val="nil"/>
              <w:right w:val="nil"/>
            </w:tcBorders>
            <w:shd w:val="clear" w:color="auto" w:fill="auto"/>
            <w:noWrap/>
            <w:vAlign w:val="bottom"/>
            <w:hideMark/>
          </w:tcPr>
          <w:p w14:paraId="427A2584"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(608,199)</w:t>
            </w:r>
          </w:p>
        </w:tc>
        <w:tc>
          <w:tcPr>
            <w:tcW w:w="1200" w:type="dxa"/>
            <w:tcBorders>
              <w:top w:val="nil"/>
              <w:left w:val="nil"/>
              <w:bottom w:val="nil"/>
              <w:right w:val="nil"/>
            </w:tcBorders>
            <w:shd w:val="clear" w:color="auto" w:fill="auto"/>
            <w:noWrap/>
            <w:vAlign w:val="bottom"/>
            <w:hideMark/>
          </w:tcPr>
          <w:p w14:paraId="62FE1B55"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(649,2101)</w:t>
            </w:r>
          </w:p>
        </w:tc>
        <w:tc>
          <w:tcPr>
            <w:tcW w:w="1200" w:type="dxa"/>
            <w:tcBorders>
              <w:top w:val="nil"/>
              <w:left w:val="nil"/>
              <w:bottom w:val="nil"/>
              <w:right w:val="nil"/>
            </w:tcBorders>
            <w:shd w:val="clear" w:color="auto" w:fill="auto"/>
            <w:noWrap/>
            <w:vAlign w:val="bottom"/>
            <w:hideMark/>
          </w:tcPr>
          <w:p w14:paraId="496B78AD"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(711,1211)</w:t>
            </w:r>
          </w:p>
        </w:tc>
        <w:tc>
          <w:tcPr>
            <w:tcW w:w="1200" w:type="dxa"/>
            <w:tcBorders>
              <w:top w:val="nil"/>
              <w:left w:val="nil"/>
              <w:bottom w:val="nil"/>
              <w:right w:val="nil"/>
            </w:tcBorders>
            <w:shd w:val="clear" w:color="auto" w:fill="auto"/>
            <w:noWrap/>
            <w:vAlign w:val="bottom"/>
            <w:hideMark/>
          </w:tcPr>
          <w:p w14:paraId="3B0154CC"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(732,8582)</w:t>
            </w:r>
          </w:p>
        </w:tc>
        <w:tc>
          <w:tcPr>
            <w:tcW w:w="1200" w:type="dxa"/>
            <w:tcBorders>
              <w:top w:val="nil"/>
              <w:left w:val="nil"/>
              <w:bottom w:val="nil"/>
              <w:right w:val="nil"/>
            </w:tcBorders>
            <w:shd w:val="clear" w:color="auto" w:fill="auto"/>
            <w:noWrap/>
            <w:vAlign w:val="bottom"/>
            <w:hideMark/>
          </w:tcPr>
          <w:p w14:paraId="3D1EE8AE"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(742,3766)</w:t>
            </w:r>
          </w:p>
        </w:tc>
        <w:tc>
          <w:tcPr>
            <w:tcW w:w="1200" w:type="dxa"/>
            <w:tcBorders>
              <w:top w:val="nil"/>
              <w:left w:val="nil"/>
              <w:bottom w:val="nil"/>
              <w:right w:val="nil"/>
            </w:tcBorders>
            <w:shd w:val="clear" w:color="auto" w:fill="auto"/>
            <w:noWrap/>
            <w:vAlign w:val="bottom"/>
            <w:hideMark/>
          </w:tcPr>
          <w:p w14:paraId="65D13B7E"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(727,2934)</w:t>
            </w:r>
          </w:p>
        </w:tc>
        <w:tc>
          <w:tcPr>
            <w:tcW w:w="1200" w:type="dxa"/>
            <w:tcBorders>
              <w:top w:val="nil"/>
              <w:left w:val="nil"/>
              <w:bottom w:val="nil"/>
              <w:right w:val="nil"/>
            </w:tcBorders>
            <w:shd w:val="clear" w:color="auto" w:fill="auto"/>
            <w:noWrap/>
            <w:vAlign w:val="bottom"/>
            <w:hideMark/>
          </w:tcPr>
          <w:p w14:paraId="26E43A46"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(716,4943)</w:t>
            </w:r>
          </w:p>
        </w:tc>
      </w:tr>
      <w:tr w:rsidR="00412A54" w:rsidRPr="00412A54" w14:paraId="6EBB9298" w14:textId="77777777" w:rsidTr="00B97716">
        <w:trPr>
          <w:trHeight w:val="517"/>
        </w:trPr>
        <w:tc>
          <w:tcPr>
            <w:tcW w:w="2799" w:type="dxa"/>
            <w:tcBorders>
              <w:top w:val="nil"/>
              <w:left w:val="nil"/>
              <w:bottom w:val="nil"/>
              <w:right w:val="nil"/>
            </w:tcBorders>
            <w:shd w:val="clear" w:color="auto" w:fill="auto"/>
            <w:noWrap/>
            <w:vAlign w:val="bottom"/>
            <w:hideMark/>
          </w:tcPr>
          <w:p w14:paraId="360F5E4B" w14:textId="77777777" w:rsidR="00676C8E" w:rsidRPr="00412A54" w:rsidRDefault="00676C8E" w:rsidP="00676C8E">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Controle</w:t>
            </w:r>
          </w:p>
        </w:tc>
        <w:tc>
          <w:tcPr>
            <w:tcW w:w="1200" w:type="dxa"/>
            <w:tcBorders>
              <w:top w:val="nil"/>
              <w:left w:val="nil"/>
              <w:bottom w:val="nil"/>
              <w:right w:val="nil"/>
            </w:tcBorders>
            <w:shd w:val="clear" w:color="auto" w:fill="auto"/>
            <w:noWrap/>
            <w:vAlign w:val="bottom"/>
            <w:hideMark/>
          </w:tcPr>
          <w:p w14:paraId="06A1330C"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Sim</w:t>
            </w:r>
          </w:p>
        </w:tc>
        <w:tc>
          <w:tcPr>
            <w:tcW w:w="1200" w:type="dxa"/>
            <w:tcBorders>
              <w:top w:val="nil"/>
              <w:left w:val="nil"/>
              <w:bottom w:val="nil"/>
              <w:right w:val="nil"/>
            </w:tcBorders>
            <w:shd w:val="clear" w:color="auto" w:fill="auto"/>
            <w:noWrap/>
            <w:vAlign w:val="bottom"/>
            <w:hideMark/>
          </w:tcPr>
          <w:p w14:paraId="713017FE"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Sim</w:t>
            </w:r>
          </w:p>
        </w:tc>
        <w:tc>
          <w:tcPr>
            <w:tcW w:w="1200" w:type="dxa"/>
            <w:tcBorders>
              <w:top w:val="nil"/>
              <w:left w:val="nil"/>
              <w:bottom w:val="nil"/>
              <w:right w:val="nil"/>
            </w:tcBorders>
            <w:shd w:val="clear" w:color="auto" w:fill="auto"/>
            <w:noWrap/>
            <w:vAlign w:val="bottom"/>
            <w:hideMark/>
          </w:tcPr>
          <w:p w14:paraId="5D1553CC"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Sim</w:t>
            </w:r>
          </w:p>
        </w:tc>
        <w:tc>
          <w:tcPr>
            <w:tcW w:w="1200" w:type="dxa"/>
            <w:tcBorders>
              <w:top w:val="nil"/>
              <w:left w:val="nil"/>
              <w:bottom w:val="nil"/>
              <w:right w:val="nil"/>
            </w:tcBorders>
            <w:shd w:val="clear" w:color="auto" w:fill="auto"/>
            <w:noWrap/>
            <w:vAlign w:val="bottom"/>
            <w:hideMark/>
          </w:tcPr>
          <w:p w14:paraId="163CA1F0"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Sim</w:t>
            </w:r>
          </w:p>
        </w:tc>
        <w:tc>
          <w:tcPr>
            <w:tcW w:w="1200" w:type="dxa"/>
            <w:tcBorders>
              <w:top w:val="nil"/>
              <w:left w:val="nil"/>
              <w:bottom w:val="nil"/>
              <w:right w:val="nil"/>
            </w:tcBorders>
            <w:shd w:val="clear" w:color="auto" w:fill="auto"/>
            <w:noWrap/>
            <w:vAlign w:val="bottom"/>
            <w:hideMark/>
          </w:tcPr>
          <w:p w14:paraId="2F1D2C16"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Sim</w:t>
            </w:r>
          </w:p>
        </w:tc>
        <w:tc>
          <w:tcPr>
            <w:tcW w:w="1200" w:type="dxa"/>
            <w:tcBorders>
              <w:top w:val="nil"/>
              <w:left w:val="nil"/>
              <w:bottom w:val="nil"/>
              <w:right w:val="nil"/>
            </w:tcBorders>
            <w:shd w:val="clear" w:color="auto" w:fill="auto"/>
            <w:noWrap/>
            <w:vAlign w:val="bottom"/>
            <w:hideMark/>
          </w:tcPr>
          <w:p w14:paraId="0D310ECE"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Sim</w:t>
            </w:r>
          </w:p>
        </w:tc>
        <w:tc>
          <w:tcPr>
            <w:tcW w:w="1200" w:type="dxa"/>
            <w:tcBorders>
              <w:top w:val="nil"/>
              <w:left w:val="nil"/>
              <w:bottom w:val="nil"/>
              <w:right w:val="nil"/>
            </w:tcBorders>
            <w:shd w:val="clear" w:color="auto" w:fill="auto"/>
            <w:noWrap/>
            <w:vAlign w:val="bottom"/>
            <w:hideMark/>
          </w:tcPr>
          <w:p w14:paraId="2E119AE7"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Sim</w:t>
            </w:r>
          </w:p>
        </w:tc>
        <w:tc>
          <w:tcPr>
            <w:tcW w:w="1200" w:type="dxa"/>
            <w:tcBorders>
              <w:top w:val="nil"/>
              <w:left w:val="nil"/>
              <w:bottom w:val="nil"/>
              <w:right w:val="nil"/>
            </w:tcBorders>
            <w:shd w:val="clear" w:color="auto" w:fill="auto"/>
            <w:noWrap/>
            <w:vAlign w:val="bottom"/>
            <w:hideMark/>
          </w:tcPr>
          <w:p w14:paraId="74704DE1"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Sim</w:t>
            </w:r>
          </w:p>
        </w:tc>
        <w:tc>
          <w:tcPr>
            <w:tcW w:w="1200" w:type="dxa"/>
            <w:tcBorders>
              <w:top w:val="nil"/>
              <w:left w:val="nil"/>
              <w:bottom w:val="nil"/>
              <w:right w:val="nil"/>
            </w:tcBorders>
            <w:shd w:val="clear" w:color="auto" w:fill="auto"/>
            <w:noWrap/>
            <w:vAlign w:val="bottom"/>
            <w:hideMark/>
          </w:tcPr>
          <w:p w14:paraId="1368B943"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Sim</w:t>
            </w:r>
          </w:p>
        </w:tc>
        <w:tc>
          <w:tcPr>
            <w:tcW w:w="1200" w:type="dxa"/>
            <w:tcBorders>
              <w:top w:val="nil"/>
              <w:left w:val="nil"/>
              <w:bottom w:val="nil"/>
              <w:right w:val="nil"/>
            </w:tcBorders>
            <w:shd w:val="clear" w:color="auto" w:fill="auto"/>
            <w:noWrap/>
            <w:vAlign w:val="bottom"/>
            <w:hideMark/>
          </w:tcPr>
          <w:p w14:paraId="3397F105"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Sim</w:t>
            </w:r>
          </w:p>
        </w:tc>
        <w:tc>
          <w:tcPr>
            <w:tcW w:w="1200" w:type="dxa"/>
            <w:tcBorders>
              <w:top w:val="nil"/>
              <w:left w:val="nil"/>
              <w:bottom w:val="nil"/>
              <w:right w:val="nil"/>
            </w:tcBorders>
            <w:shd w:val="clear" w:color="auto" w:fill="auto"/>
            <w:noWrap/>
            <w:vAlign w:val="bottom"/>
            <w:hideMark/>
          </w:tcPr>
          <w:p w14:paraId="670610B3"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Sim</w:t>
            </w:r>
          </w:p>
        </w:tc>
      </w:tr>
      <w:tr w:rsidR="00412A54" w:rsidRPr="00412A54" w14:paraId="0B887FC6" w14:textId="77777777" w:rsidTr="00B97716">
        <w:trPr>
          <w:trHeight w:val="517"/>
        </w:trPr>
        <w:tc>
          <w:tcPr>
            <w:tcW w:w="2799" w:type="dxa"/>
            <w:tcBorders>
              <w:top w:val="nil"/>
              <w:left w:val="nil"/>
              <w:bottom w:val="nil"/>
              <w:right w:val="nil"/>
            </w:tcBorders>
            <w:shd w:val="clear" w:color="auto" w:fill="auto"/>
            <w:noWrap/>
            <w:vAlign w:val="bottom"/>
            <w:hideMark/>
          </w:tcPr>
          <w:p w14:paraId="2CF3BCD1" w14:textId="77777777" w:rsidR="00676C8E" w:rsidRPr="00412A54" w:rsidRDefault="00676C8E" w:rsidP="00676C8E">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N</w:t>
            </w:r>
          </w:p>
        </w:tc>
        <w:tc>
          <w:tcPr>
            <w:tcW w:w="1200" w:type="dxa"/>
            <w:tcBorders>
              <w:top w:val="nil"/>
              <w:left w:val="nil"/>
              <w:bottom w:val="nil"/>
              <w:right w:val="nil"/>
            </w:tcBorders>
            <w:shd w:val="clear" w:color="auto" w:fill="auto"/>
            <w:noWrap/>
            <w:vAlign w:val="bottom"/>
            <w:hideMark/>
          </w:tcPr>
          <w:p w14:paraId="1D9F7179"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3034432</w:t>
            </w:r>
          </w:p>
        </w:tc>
        <w:tc>
          <w:tcPr>
            <w:tcW w:w="1200" w:type="dxa"/>
            <w:tcBorders>
              <w:top w:val="nil"/>
              <w:left w:val="nil"/>
              <w:bottom w:val="nil"/>
              <w:right w:val="nil"/>
            </w:tcBorders>
            <w:shd w:val="clear" w:color="auto" w:fill="auto"/>
            <w:noWrap/>
            <w:vAlign w:val="bottom"/>
            <w:hideMark/>
          </w:tcPr>
          <w:p w14:paraId="08D0F6BE"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3244319</w:t>
            </w:r>
          </w:p>
        </w:tc>
        <w:tc>
          <w:tcPr>
            <w:tcW w:w="1200" w:type="dxa"/>
            <w:tcBorders>
              <w:top w:val="nil"/>
              <w:left w:val="nil"/>
              <w:bottom w:val="nil"/>
              <w:right w:val="nil"/>
            </w:tcBorders>
            <w:shd w:val="clear" w:color="auto" w:fill="auto"/>
            <w:noWrap/>
            <w:vAlign w:val="bottom"/>
            <w:hideMark/>
          </w:tcPr>
          <w:p w14:paraId="53968AF3"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3404650</w:t>
            </w:r>
          </w:p>
        </w:tc>
        <w:tc>
          <w:tcPr>
            <w:tcW w:w="1200" w:type="dxa"/>
            <w:tcBorders>
              <w:top w:val="nil"/>
              <w:left w:val="nil"/>
              <w:bottom w:val="nil"/>
              <w:right w:val="nil"/>
            </w:tcBorders>
            <w:shd w:val="clear" w:color="auto" w:fill="auto"/>
            <w:noWrap/>
            <w:vAlign w:val="bottom"/>
            <w:hideMark/>
          </w:tcPr>
          <w:p w14:paraId="515D6165"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3550161</w:t>
            </w:r>
          </w:p>
        </w:tc>
        <w:tc>
          <w:tcPr>
            <w:tcW w:w="1200" w:type="dxa"/>
            <w:tcBorders>
              <w:top w:val="nil"/>
              <w:left w:val="nil"/>
              <w:bottom w:val="nil"/>
              <w:right w:val="nil"/>
            </w:tcBorders>
            <w:shd w:val="clear" w:color="auto" w:fill="auto"/>
            <w:noWrap/>
            <w:vAlign w:val="bottom"/>
            <w:hideMark/>
          </w:tcPr>
          <w:p w14:paraId="066E46B9"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3807367</w:t>
            </w:r>
          </w:p>
        </w:tc>
        <w:tc>
          <w:tcPr>
            <w:tcW w:w="1200" w:type="dxa"/>
            <w:tcBorders>
              <w:top w:val="nil"/>
              <w:left w:val="nil"/>
              <w:bottom w:val="nil"/>
              <w:right w:val="nil"/>
            </w:tcBorders>
            <w:shd w:val="clear" w:color="auto" w:fill="auto"/>
            <w:noWrap/>
            <w:vAlign w:val="bottom"/>
            <w:hideMark/>
          </w:tcPr>
          <w:p w14:paraId="4F9BD151"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3993716</w:t>
            </w:r>
          </w:p>
        </w:tc>
        <w:tc>
          <w:tcPr>
            <w:tcW w:w="1200" w:type="dxa"/>
            <w:tcBorders>
              <w:top w:val="nil"/>
              <w:left w:val="nil"/>
              <w:bottom w:val="nil"/>
              <w:right w:val="nil"/>
            </w:tcBorders>
            <w:shd w:val="clear" w:color="auto" w:fill="auto"/>
            <w:noWrap/>
            <w:vAlign w:val="bottom"/>
            <w:hideMark/>
          </w:tcPr>
          <w:p w14:paraId="27B9ED6A"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4079797</w:t>
            </w:r>
          </w:p>
        </w:tc>
        <w:tc>
          <w:tcPr>
            <w:tcW w:w="1200" w:type="dxa"/>
            <w:tcBorders>
              <w:top w:val="nil"/>
              <w:left w:val="nil"/>
              <w:bottom w:val="nil"/>
              <w:right w:val="nil"/>
            </w:tcBorders>
            <w:shd w:val="clear" w:color="auto" w:fill="auto"/>
            <w:noWrap/>
            <w:vAlign w:val="bottom"/>
            <w:hideMark/>
          </w:tcPr>
          <w:p w14:paraId="22D5BEF2"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4202046</w:t>
            </w:r>
          </w:p>
        </w:tc>
        <w:tc>
          <w:tcPr>
            <w:tcW w:w="1200" w:type="dxa"/>
            <w:tcBorders>
              <w:top w:val="nil"/>
              <w:left w:val="nil"/>
              <w:bottom w:val="nil"/>
              <w:right w:val="nil"/>
            </w:tcBorders>
            <w:shd w:val="clear" w:color="auto" w:fill="auto"/>
            <w:noWrap/>
            <w:vAlign w:val="bottom"/>
            <w:hideMark/>
          </w:tcPr>
          <w:p w14:paraId="7D0B0FAB"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4248693</w:t>
            </w:r>
          </w:p>
        </w:tc>
        <w:tc>
          <w:tcPr>
            <w:tcW w:w="1200" w:type="dxa"/>
            <w:tcBorders>
              <w:top w:val="nil"/>
              <w:left w:val="nil"/>
              <w:bottom w:val="nil"/>
              <w:right w:val="nil"/>
            </w:tcBorders>
            <w:shd w:val="clear" w:color="auto" w:fill="auto"/>
            <w:noWrap/>
            <w:vAlign w:val="bottom"/>
            <w:hideMark/>
          </w:tcPr>
          <w:p w14:paraId="2C651772"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4107664</w:t>
            </w:r>
          </w:p>
        </w:tc>
        <w:tc>
          <w:tcPr>
            <w:tcW w:w="1200" w:type="dxa"/>
            <w:tcBorders>
              <w:top w:val="nil"/>
              <w:left w:val="nil"/>
              <w:bottom w:val="nil"/>
              <w:right w:val="nil"/>
            </w:tcBorders>
            <w:shd w:val="clear" w:color="auto" w:fill="auto"/>
            <w:noWrap/>
            <w:vAlign w:val="bottom"/>
            <w:hideMark/>
          </w:tcPr>
          <w:p w14:paraId="3D4141DD"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3931791</w:t>
            </w:r>
          </w:p>
        </w:tc>
      </w:tr>
      <w:tr w:rsidR="00412A54" w:rsidRPr="00412A54" w14:paraId="6D04ECCF" w14:textId="77777777" w:rsidTr="00B97716">
        <w:trPr>
          <w:trHeight w:val="517"/>
        </w:trPr>
        <w:tc>
          <w:tcPr>
            <w:tcW w:w="2799" w:type="dxa"/>
            <w:tcBorders>
              <w:top w:val="nil"/>
              <w:left w:val="nil"/>
              <w:bottom w:val="single" w:sz="4" w:space="0" w:color="auto"/>
              <w:right w:val="nil"/>
            </w:tcBorders>
            <w:shd w:val="clear" w:color="auto" w:fill="auto"/>
            <w:noWrap/>
            <w:vAlign w:val="bottom"/>
            <w:hideMark/>
          </w:tcPr>
          <w:p w14:paraId="0E9A8328" w14:textId="445670CA" w:rsidR="00676C8E" w:rsidRPr="00412A54" w:rsidRDefault="00676C8E" w:rsidP="00676C8E">
            <w:pPr>
              <w:spacing w:after="0" w:line="240" w:lineRule="auto"/>
              <w:rPr>
                <w:rFonts w:ascii="Times New Roman" w:eastAsia="Times New Roman" w:hAnsi="Times New Roman" w:cs="Times New Roman"/>
                <w:sz w:val="24"/>
                <w:szCs w:val="24"/>
                <w:vertAlign w:val="superscript"/>
                <w:lang w:eastAsia="pt-BR"/>
              </w:rPr>
            </w:pPr>
            <w:r w:rsidRPr="00412A54">
              <w:rPr>
                <w:rFonts w:ascii="Times New Roman" w:eastAsia="Times New Roman" w:hAnsi="Times New Roman" w:cs="Times New Roman"/>
                <w:sz w:val="24"/>
                <w:szCs w:val="24"/>
                <w:lang w:eastAsia="pt-BR"/>
              </w:rPr>
              <w:t>R</w:t>
            </w:r>
            <w:r w:rsidR="00B97716" w:rsidRPr="00412A54">
              <w:rPr>
                <w:rFonts w:ascii="Times New Roman" w:eastAsia="Times New Roman" w:hAnsi="Times New Roman" w:cs="Times New Roman"/>
                <w:sz w:val="24"/>
                <w:szCs w:val="24"/>
                <w:vertAlign w:val="superscript"/>
                <w:lang w:eastAsia="pt-BR"/>
              </w:rPr>
              <w:t>2</w:t>
            </w:r>
          </w:p>
        </w:tc>
        <w:tc>
          <w:tcPr>
            <w:tcW w:w="1200" w:type="dxa"/>
            <w:tcBorders>
              <w:top w:val="nil"/>
              <w:left w:val="nil"/>
              <w:bottom w:val="single" w:sz="4" w:space="0" w:color="auto"/>
              <w:right w:val="nil"/>
            </w:tcBorders>
            <w:shd w:val="clear" w:color="auto" w:fill="auto"/>
            <w:noWrap/>
            <w:vAlign w:val="bottom"/>
            <w:hideMark/>
          </w:tcPr>
          <w:p w14:paraId="58A66029"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0,4153</w:t>
            </w:r>
          </w:p>
        </w:tc>
        <w:tc>
          <w:tcPr>
            <w:tcW w:w="1200" w:type="dxa"/>
            <w:tcBorders>
              <w:top w:val="nil"/>
              <w:left w:val="nil"/>
              <w:bottom w:val="single" w:sz="4" w:space="0" w:color="auto"/>
              <w:right w:val="nil"/>
            </w:tcBorders>
            <w:shd w:val="clear" w:color="auto" w:fill="auto"/>
            <w:noWrap/>
            <w:vAlign w:val="bottom"/>
            <w:hideMark/>
          </w:tcPr>
          <w:p w14:paraId="01C3DB71"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0,4075</w:t>
            </w:r>
          </w:p>
        </w:tc>
        <w:tc>
          <w:tcPr>
            <w:tcW w:w="1200" w:type="dxa"/>
            <w:tcBorders>
              <w:top w:val="nil"/>
              <w:left w:val="nil"/>
              <w:bottom w:val="single" w:sz="4" w:space="0" w:color="auto"/>
              <w:right w:val="nil"/>
            </w:tcBorders>
            <w:shd w:val="clear" w:color="auto" w:fill="auto"/>
            <w:noWrap/>
            <w:vAlign w:val="bottom"/>
            <w:hideMark/>
          </w:tcPr>
          <w:p w14:paraId="51C629A9"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0,4171</w:t>
            </w:r>
          </w:p>
        </w:tc>
        <w:tc>
          <w:tcPr>
            <w:tcW w:w="1200" w:type="dxa"/>
            <w:tcBorders>
              <w:top w:val="nil"/>
              <w:left w:val="nil"/>
              <w:bottom w:val="single" w:sz="4" w:space="0" w:color="auto"/>
              <w:right w:val="nil"/>
            </w:tcBorders>
            <w:shd w:val="clear" w:color="auto" w:fill="auto"/>
            <w:noWrap/>
            <w:vAlign w:val="bottom"/>
            <w:hideMark/>
          </w:tcPr>
          <w:p w14:paraId="3A39074C"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0,4223</w:t>
            </w:r>
          </w:p>
        </w:tc>
        <w:tc>
          <w:tcPr>
            <w:tcW w:w="1200" w:type="dxa"/>
            <w:tcBorders>
              <w:top w:val="nil"/>
              <w:left w:val="nil"/>
              <w:bottom w:val="single" w:sz="4" w:space="0" w:color="auto"/>
              <w:right w:val="nil"/>
            </w:tcBorders>
            <w:shd w:val="clear" w:color="auto" w:fill="auto"/>
            <w:noWrap/>
            <w:vAlign w:val="bottom"/>
            <w:hideMark/>
          </w:tcPr>
          <w:p w14:paraId="38D9C35B"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0,4189</w:t>
            </w:r>
          </w:p>
        </w:tc>
        <w:tc>
          <w:tcPr>
            <w:tcW w:w="1200" w:type="dxa"/>
            <w:tcBorders>
              <w:top w:val="nil"/>
              <w:left w:val="nil"/>
              <w:bottom w:val="single" w:sz="4" w:space="0" w:color="auto"/>
              <w:right w:val="nil"/>
            </w:tcBorders>
            <w:shd w:val="clear" w:color="auto" w:fill="auto"/>
            <w:noWrap/>
            <w:vAlign w:val="bottom"/>
            <w:hideMark/>
          </w:tcPr>
          <w:p w14:paraId="15283E3F"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0,4246</w:t>
            </w:r>
          </w:p>
        </w:tc>
        <w:tc>
          <w:tcPr>
            <w:tcW w:w="1200" w:type="dxa"/>
            <w:tcBorders>
              <w:top w:val="nil"/>
              <w:left w:val="nil"/>
              <w:bottom w:val="single" w:sz="4" w:space="0" w:color="auto"/>
              <w:right w:val="nil"/>
            </w:tcBorders>
            <w:shd w:val="clear" w:color="auto" w:fill="auto"/>
            <w:noWrap/>
            <w:vAlign w:val="bottom"/>
            <w:hideMark/>
          </w:tcPr>
          <w:p w14:paraId="43E8B59A"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0,4318</w:t>
            </w:r>
          </w:p>
        </w:tc>
        <w:tc>
          <w:tcPr>
            <w:tcW w:w="1200" w:type="dxa"/>
            <w:tcBorders>
              <w:top w:val="nil"/>
              <w:left w:val="nil"/>
              <w:bottom w:val="single" w:sz="4" w:space="0" w:color="auto"/>
              <w:right w:val="nil"/>
            </w:tcBorders>
            <w:shd w:val="clear" w:color="auto" w:fill="auto"/>
            <w:noWrap/>
            <w:vAlign w:val="bottom"/>
            <w:hideMark/>
          </w:tcPr>
          <w:p w14:paraId="518BB00F"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0,421</w:t>
            </w:r>
          </w:p>
        </w:tc>
        <w:tc>
          <w:tcPr>
            <w:tcW w:w="1200" w:type="dxa"/>
            <w:tcBorders>
              <w:top w:val="nil"/>
              <w:left w:val="nil"/>
              <w:bottom w:val="single" w:sz="4" w:space="0" w:color="auto"/>
              <w:right w:val="nil"/>
            </w:tcBorders>
            <w:shd w:val="clear" w:color="auto" w:fill="auto"/>
            <w:noWrap/>
            <w:vAlign w:val="bottom"/>
            <w:hideMark/>
          </w:tcPr>
          <w:p w14:paraId="76EE047D"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0,4232</w:t>
            </w:r>
          </w:p>
        </w:tc>
        <w:tc>
          <w:tcPr>
            <w:tcW w:w="1200" w:type="dxa"/>
            <w:tcBorders>
              <w:top w:val="nil"/>
              <w:left w:val="nil"/>
              <w:bottom w:val="single" w:sz="4" w:space="0" w:color="auto"/>
              <w:right w:val="nil"/>
            </w:tcBorders>
            <w:shd w:val="clear" w:color="auto" w:fill="auto"/>
            <w:noWrap/>
            <w:vAlign w:val="bottom"/>
            <w:hideMark/>
          </w:tcPr>
          <w:p w14:paraId="242F35D5"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0,4281</w:t>
            </w:r>
          </w:p>
        </w:tc>
        <w:tc>
          <w:tcPr>
            <w:tcW w:w="1200" w:type="dxa"/>
            <w:tcBorders>
              <w:top w:val="nil"/>
              <w:left w:val="nil"/>
              <w:bottom w:val="single" w:sz="4" w:space="0" w:color="auto"/>
              <w:right w:val="nil"/>
            </w:tcBorders>
            <w:shd w:val="clear" w:color="auto" w:fill="auto"/>
            <w:noWrap/>
            <w:vAlign w:val="bottom"/>
            <w:hideMark/>
          </w:tcPr>
          <w:p w14:paraId="4231011F" w14:textId="77777777" w:rsidR="00676C8E" w:rsidRPr="00412A54" w:rsidRDefault="00676C8E" w:rsidP="00676C8E">
            <w:pPr>
              <w:spacing w:after="0" w:line="240" w:lineRule="auto"/>
              <w:jc w:val="center"/>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0,4284</w:t>
            </w:r>
          </w:p>
        </w:tc>
      </w:tr>
    </w:tbl>
    <w:p w14:paraId="760DB267" w14:textId="156CA578" w:rsidR="00676C8E" w:rsidRPr="00412A54" w:rsidRDefault="009D5F8E" w:rsidP="005B72CC">
      <w:pPr>
        <w:jc w:val="both"/>
        <w:outlineLvl w:val="0"/>
        <w:rPr>
          <w:rFonts w:ascii="Times New Roman" w:hAnsi="Times New Roman" w:cs="Times New Roman"/>
          <w:sz w:val="20"/>
          <w:szCs w:val="20"/>
        </w:rPr>
      </w:pPr>
      <w:r w:rsidRPr="00412A54">
        <w:rPr>
          <w:rFonts w:ascii="Times New Roman" w:hAnsi="Times New Roman" w:cs="Times New Roman"/>
          <w:sz w:val="20"/>
          <w:szCs w:val="20"/>
        </w:rPr>
        <w:t xml:space="preserve">Estatística t entre parêntesis;   </w:t>
      </w:r>
      <w:r w:rsidR="00B97716" w:rsidRPr="00412A54">
        <w:rPr>
          <w:rFonts w:ascii="Times New Roman" w:hAnsi="Times New Roman" w:cs="Times New Roman"/>
          <w:sz w:val="20"/>
          <w:szCs w:val="20"/>
        </w:rPr>
        <w:t>* p&lt;0.05, ** p&lt;0.01, *** p&lt;0.001</w:t>
      </w:r>
      <w:r w:rsidRPr="00412A54">
        <w:rPr>
          <w:rFonts w:ascii="Times New Roman" w:hAnsi="Times New Roman" w:cs="Times New Roman"/>
          <w:sz w:val="20"/>
          <w:szCs w:val="20"/>
        </w:rPr>
        <w:t xml:space="preserve">;  </w:t>
      </w:r>
      <w:r w:rsidR="00B97716" w:rsidRPr="00412A54">
        <w:rPr>
          <w:rFonts w:ascii="Times New Roman" w:hAnsi="Times New Roman" w:cs="Times New Roman"/>
          <w:sz w:val="20"/>
          <w:szCs w:val="20"/>
        </w:rPr>
        <w:t>Fonte: Elaboração própria</w:t>
      </w:r>
    </w:p>
    <w:p w14:paraId="506C052C" w14:textId="77777777" w:rsidR="00676C8E" w:rsidRPr="00412A54" w:rsidRDefault="00676C8E">
      <w:pPr>
        <w:rPr>
          <w:rFonts w:ascii="Times New Roman" w:hAnsi="Times New Roman" w:cs="Times New Roman"/>
          <w:sz w:val="24"/>
          <w:szCs w:val="24"/>
        </w:rPr>
      </w:pPr>
      <w:r w:rsidRPr="00412A54">
        <w:rPr>
          <w:rFonts w:ascii="Times New Roman" w:hAnsi="Times New Roman" w:cs="Times New Roman"/>
          <w:sz w:val="24"/>
          <w:szCs w:val="24"/>
        </w:rPr>
        <w:br w:type="page"/>
      </w:r>
    </w:p>
    <w:p w14:paraId="029244E4" w14:textId="77777777" w:rsidR="00676C8E" w:rsidRPr="00412A54" w:rsidRDefault="00676C8E" w:rsidP="005B72CC">
      <w:pPr>
        <w:jc w:val="both"/>
        <w:outlineLvl w:val="0"/>
        <w:rPr>
          <w:rFonts w:ascii="Times New Roman" w:hAnsi="Times New Roman" w:cs="Times New Roman"/>
          <w:sz w:val="24"/>
          <w:szCs w:val="24"/>
        </w:rPr>
        <w:sectPr w:rsidR="00676C8E" w:rsidRPr="00412A54" w:rsidSect="00676C8E">
          <w:pgSz w:w="16838" w:h="11906" w:orient="landscape"/>
          <w:pgMar w:top="1701" w:right="1418" w:bottom="1701" w:left="1418" w:header="709" w:footer="709" w:gutter="0"/>
          <w:cols w:space="708"/>
          <w:docGrid w:linePitch="360"/>
        </w:sectPr>
      </w:pPr>
    </w:p>
    <w:p w14:paraId="3F89CB28" w14:textId="628A34BC" w:rsidR="00F9295A" w:rsidRPr="00412A54" w:rsidRDefault="00B72554" w:rsidP="005B72CC">
      <w:pPr>
        <w:jc w:val="both"/>
        <w:outlineLvl w:val="0"/>
        <w:rPr>
          <w:rFonts w:ascii="Times New Roman" w:hAnsi="Times New Roman" w:cs="Times New Roman"/>
          <w:sz w:val="24"/>
          <w:szCs w:val="24"/>
        </w:rPr>
      </w:pPr>
      <w:r w:rsidRPr="00412A54">
        <w:rPr>
          <w:rFonts w:ascii="Times New Roman" w:hAnsi="Times New Roman" w:cs="Times New Roman"/>
          <w:sz w:val="24"/>
          <w:szCs w:val="24"/>
        </w:rPr>
        <w:lastRenderedPageBreak/>
        <w:t xml:space="preserve">A fim de </w:t>
      </w:r>
      <w:r w:rsidR="004818F5" w:rsidRPr="00412A54">
        <w:rPr>
          <w:rFonts w:ascii="Times New Roman" w:hAnsi="Times New Roman" w:cs="Times New Roman"/>
          <w:sz w:val="24"/>
          <w:szCs w:val="24"/>
        </w:rPr>
        <w:t>facilitar</w:t>
      </w:r>
      <w:r w:rsidR="006D5E5F" w:rsidRPr="00412A54">
        <w:rPr>
          <w:rFonts w:ascii="Times New Roman" w:hAnsi="Times New Roman" w:cs="Times New Roman"/>
          <w:sz w:val="24"/>
          <w:szCs w:val="24"/>
        </w:rPr>
        <w:t xml:space="preserve"> a exploração </w:t>
      </w:r>
      <w:r w:rsidRPr="00412A54">
        <w:rPr>
          <w:rFonts w:ascii="Times New Roman" w:hAnsi="Times New Roman" w:cs="Times New Roman"/>
          <w:sz w:val="24"/>
          <w:szCs w:val="24"/>
        </w:rPr>
        <w:t xml:space="preserve"> </w:t>
      </w:r>
      <w:r w:rsidR="006D5E5F" w:rsidRPr="00412A54">
        <w:rPr>
          <w:rFonts w:ascii="Times New Roman" w:hAnsi="Times New Roman" w:cs="Times New Roman"/>
          <w:sz w:val="24"/>
          <w:szCs w:val="24"/>
        </w:rPr>
        <w:t xml:space="preserve">destes resultados, reportamos os coeficientes da Tabela 2 nos gráficos 2, 3 e 4. </w:t>
      </w:r>
    </w:p>
    <w:p w14:paraId="2CF3A48D" w14:textId="72E9BDE6" w:rsidR="00CC789A" w:rsidRPr="00412A54" w:rsidRDefault="00CC789A" w:rsidP="00CC789A">
      <w:pPr>
        <w:pStyle w:val="Legenda"/>
        <w:keepNext/>
        <w:jc w:val="center"/>
        <w:rPr>
          <w:rFonts w:ascii="Times New Roman" w:hAnsi="Times New Roman" w:cs="Times New Roman"/>
          <w:b/>
          <w:i w:val="0"/>
          <w:color w:val="auto"/>
          <w:sz w:val="24"/>
          <w:szCs w:val="24"/>
        </w:rPr>
      </w:pPr>
      <w:r w:rsidRPr="00412A54">
        <w:rPr>
          <w:rFonts w:ascii="Times New Roman" w:hAnsi="Times New Roman" w:cs="Times New Roman"/>
          <w:b/>
          <w:i w:val="0"/>
          <w:color w:val="auto"/>
          <w:sz w:val="24"/>
          <w:szCs w:val="24"/>
        </w:rPr>
        <w:t xml:space="preserve">Gráfico </w:t>
      </w:r>
      <w:r w:rsidRPr="00412A54">
        <w:rPr>
          <w:rFonts w:ascii="Times New Roman" w:hAnsi="Times New Roman" w:cs="Times New Roman"/>
          <w:b/>
          <w:i w:val="0"/>
          <w:color w:val="auto"/>
          <w:sz w:val="24"/>
          <w:szCs w:val="24"/>
        </w:rPr>
        <w:fldChar w:fldCharType="begin"/>
      </w:r>
      <w:r w:rsidRPr="00412A54">
        <w:rPr>
          <w:rFonts w:ascii="Times New Roman" w:hAnsi="Times New Roman" w:cs="Times New Roman"/>
          <w:b/>
          <w:i w:val="0"/>
          <w:color w:val="auto"/>
          <w:sz w:val="24"/>
          <w:szCs w:val="24"/>
        </w:rPr>
        <w:instrText xml:space="preserve"> SEQ Gráfico \* ARABIC </w:instrText>
      </w:r>
      <w:r w:rsidRPr="00412A54">
        <w:rPr>
          <w:rFonts w:ascii="Times New Roman" w:hAnsi="Times New Roman" w:cs="Times New Roman"/>
          <w:b/>
          <w:i w:val="0"/>
          <w:color w:val="auto"/>
          <w:sz w:val="24"/>
          <w:szCs w:val="24"/>
        </w:rPr>
        <w:fldChar w:fldCharType="separate"/>
      </w:r>
      <w:r w:rsidR="00EE6104" w:rsidRPr="00412A54">
        <w:rPr>
          <w:rFonts w:ascii="Times New Roman" w:hAnsi="Times New Roman" w:cs="Times New Roman"/>
          <w:b/>
          <w:i w:val="0"/>
          <w:noProof/>
          <w:color w:val="auto"/>
          <w:sz w:val="24"/>
          <w:szCs w:val="24"/>
        </w:rPr>
        <w:t>2</w:t>
      </w:r>
      <w:r w:rsidRPr="00412A54">
        <w:rPr>
          <w:rFonts w:ascii="Times New Roman" w:hAnsi="Times New Roman" w:cs="Times New Roman"/>
          <w:b/>
          <w:i w:val="0"/>
          <w:color w:val="auto"/>
          <w:sz w:val="24"/>
          <w:szCs w:val="24"/>
        </w:rPr>
        <w:fldChar w:fldCharType="end"/>
      </w:r>
      <w:r w:rsidR="0013727F" w:rsidRPr="00412A54">
        <w:rPr>
          <w:rFonts w:ascii="Times New Roman" w:hAnsi="Times New Roman" w:cs="Times New Roman"/>
          <w:b/>
          <w:i w:val="0"/>
          <w:color w:val="auto"/>
          <w:sz w:val="24"/>
          <w:szCs w:val="24"/>
        </w:rPr>
        <w:t xml:space="preserve"> – </w:t>
      </w:r>
      <w:r w:rsidR="0013727F" w:rsidRPr="00412A54">
        <w:rPr>
          <w:rFonts w:ascii="Times New Roman" w:hAnsi="Times New Roman" w:cs="Times New Roman"/>
          <w:i w:val="0"/>
          <w:color w:val="auto"/>
          <w:sz w:val="24"/>
          <w:szCs w:val="24"/>
        </w:rPr>
        <w:t>Coeficientes de retorno</w:t>
      </w:r>
      <w:r w:rsidR="006D5E5F" w:rsidRPr="00412A54">
        <w:rPr>
          <w:rFonts w:ascii="Times New Roman" w:hAnsi="Times New Roman" w:cs="Times New Roman"/>
          <w:i w:val="0"/>
          <w:color w:val="auto"/>
          <w:sz w:val="24"/>
          <w:szCs w:val="24"/>
        </w:rPr>
        <w:t xml:space="preserve"> ao logaritmo do</w:t>
      </w:r>
      <w:r w:rsidR="0013727F" w:rsidRPr="00412A54">
        <w:rPr>
          <w:rFonts w:ascii="Times New Roman" w:hAnsi="Times New Roman" w:cs="Times New Roman"/>
          <w:i w:val="0"/>
          <w:color w:val="auto"/>
          <w:sz w:val="24"/>
          <w:szCs w:val="24"/>
        </w:rPr>
        <w:t xml:space="preserve"> sal</w:t>
      </w:r>
      <w:r w:rsidR="006D5E5F" w:rsidRPr="00412A54">
        <w:rPr>
          <w:rFonts w:ascii="Times New Roman" w:hAnsi="Times New Roman" w:cs="Times New Roman"/>
          <w:i w:val="0"/>
          <w:color w:val="auto"/>
          <w:sz w:val="24"/>
          <w:szCs w:val="24"/>
        </w:rPr>
        <w:t>á</w:t>
      </w:r>
      <w:r w:rsidR="0013727F" w:rsidRPr="00412A54">
        <w:rPr>
          <w:rFonts w:ascii="Times New Roman" w:hAnsi="Times New Roman" w:cs="Times New Roman"/>
          <w:i w:val="0"/>
          <w:color w:val="auto"/>
          <w:sz w:val="24"/>
          <w:szCs w:val="24"/>
        </w:rPr>
        <w:t>ri</w:t>
      </w:r>
      <w:r w:rsidR="006D5E5F" w:rsidRPr="00412A54">
        <w:rPr>
          <w:rFonts w:ascii="Times New Roman" w:hAnsi="Times New Roman" w:cs="Times New Roman"/>
          <w:i w:val="0"/>
          <w:color w:val="auto"/>
          <w:sz w:val="24"/>
          <w:szCs w:val="24"/>
        </w:rPr>
        <w:t xml:space="preserve">o hora </w:t>
      </w:r>
      <w:r w:rsidR="0013727F" w:rsidRPr="00412A54">
        <w:rPr>
          <w:rFonts w:ascii="Times New Roman" w:hAnsi="Times New Roman" w:cs="Times New Roman"/>
          <w:i w:val="0"/>
          <w:color w:val="auto"/>
          <w:sz w:val="24"/>
          <w:szCs w:val="24"/>
        </w:rPr>
        <w:t xml:space="preserve">associados </w:t>
      </w:r>
      <w:r w:rsidR="004818F5" w:rsidRPr="00412A54">
        <w:rPr>
          <w:rFonts w:ascii="Times New Roman" w:hAnsi="Times New Roman" w:cs="Times New Roman"/>
          <w:i w:val="0"/>
          <w:color w:val="auto"/>
          <w:sz w:val="24"/>
          <w:szCs w:val="24"/>
        </w:rPr>
        <w:t>às</w:t>
      </w:r>
      <w:r w:rsidR="0013727F" w:rsidRPr="00412A54">
        <w:rPr>
          <w:rFonts w:ascii="Times New Roman" w:hAnsi="Times New Roman" w:cs="Times New Roman"/>
          <w:i w:val="0"/>
          <w:color w:val="auto"/>
          <w:sz w:val="24"/>
          <w:szCs w:val="24"/>
        </w:rPr>
        <w:t xml:space="preserve"> ocupações Não Manuais Não Rotineiras</w:t>
      </w:r>
    </w:p>
    <w:p w14:paraId="65D50A67" w14:textId="3A4D0FC3" w:rsidR="00672197" w:rsidRPr="00412A54" w:rsidRDefault="009D5F8E" w:rsidP="00CC789A">
      <w:pPr>
        <w:jc w:val="center"/>
        <w:outlineLvl w:val="0"/>
        <w:rPr>
          <w:rFonts w:ascii="Times New Roman" w:hAnsi="Times New Roman" w:cs="Times New Roman"/>
          <w:sz w:val="24"/>
          <w:szCs w:val="24"/>
        </w:rPr>
      </w:pPr>
      <w:r w:rsidRPr="00412A54">
        <w:rPr>
          <w:noProof/>
        </w:rPr>
        <w:drawing>
          <wp:inline distT="0" distB="0" distL="0" distR="0" wp14:anchorId="3962836F" wp14:editId="37106F68">
            <wp:extent cx="4572000" cy="2743200"/>
            <wp:effectExtent l="0" t="0" r="0" b="0"/>
            <wp:docPr id="10" name="Gráfico 10">
              <a:extLst xmlns:a="http://schemas.openxmlformats.org/drawingml/2006/main">
                <a:ext uri="{FF2B5EF4-FFF2-40B4-BE49-F238E27FC236}">
                  <a16:creationId xmlns:a16="http://schemas.microsoft.com/office/drawing/2014/main" id="{A0B8C629-8316-4928-9047-6C2B08D60A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2C4368A" w14:textId="6AA395F4" w:rsidR="00CC789A" w:rsidRPr="00412A54" w:rsidRDefault="00672197" w:rsidP="005B72CC">
      <w:pPr>
        <w:jc w:val="both"/>
        <w:outlineLvl w:val="0"/>
        <w:rPr>
          <w:rFonts w:ascii="Times New Roman" w:hAnsi="Times New Roman" w:cs="Times New Roman"/>
          <w:sz w:val="24"/>
          <w:szCs w:val="24"/>
        </w:rPr>
      </w:pPr>
      <w:r w:rsidRPr="00412A54">
        <w:rPr>
          <w:rFonts w:ascii="Times New Roman" w:hAnsi="Times New Roman" w:cs="Times New Roman"/>
          <w:sz w:val="24"/>
          <w:szCs w:val="24"/>
        </w:rPr>
        <w:t xml:space="preserve">Primeiro, o gráfico </w:t>
      </w:r>
      <w:r w:rsidR="00CC789A" w:rsidRPr="00412A54">
        <w:rPr>
          <w:rFonts w:ascii="Times New Roman" w:hAnsi="Times New Roman" w:cs="Times New Roman"/>
          <w:sz w:val="24"/>
          <w:szCs w:val="24"/>
        </w:rPr>
        <w:t>2</w:t>
      </w:r>
      <w:r w:rsidRPr="00412A54">
        <w:rPr>
          <w:rFonts w:ascii="Times New Roman" w:hAnsi="Times New Roman" w:cs="Times New Roman"/>
          <w:sz w:val="24"/>
          <w:szCs w:val="24"/>
        </w:rPr>
        <w:t xml:space="preserve"> </w:t>
      </w:r>
      <w:r w:rsidR="00CC789A" w:rsidRPr="00412A54">
        <w:rPr>
          <w:rFonts w:ascii="Times New Roman" w:hAnsi="Times New Roman" w:cs="Times New Roman"/>
          <w:sz w:val="24"/>
          <w:szCs w:val="24"/>
        </w:rPr>
        <w:t>traz</w:t>
      </w:r>
      <w:r w:rsidRPr="00412A54">
        <w:rPr>
          <w:rFonts w:ascii="Times New Roman" w:hAnsi="Times New Roman" w:cs="Times New Roman"/>
          <w:sz w:val="24"/>
          <w:szCs w:val="24"/>
        </w:rPr>
        <w:t xml:space="preserve"> os coeficientes de retorno ao logaritmo do salário hora relacionado ao fato de um indivíduo pertencer </w:t>
      </w:r>
      <w:r w:rsidR="00CC789A" w:rsidRPr="00412A54">
        <w:rPr>
          <w:rFonts w:ascii="Times New Roman" w:hAnsi="Times New Roman" w:cs="Times New Roman"/>
          <w:sz w:val="24"/>
          <w:szCs w:val="24"/>
        </w:rPr>
        <w:t>a</w:t>
      </w:r>
      <w:r w:rsidRPr="00412A54">
        <w:rPr>
          <w:rFonts w:ascii="Times New Roman" w:hAnsi="Times New Roman" w:cs="Times New Roman"/>
          <w:sz w:val="24"/>
          <w:szCs w:val="24"/>
        </w:rPr>
        <w:t xml:space="preserve"> ocupações</w:t>
      </w:r>
      <w:r w:rsidR="00CC789A" w:rsidRPr="00412A54">
        <w:rPr>
          <w:rFonts w:ascii="Times New Roman" w:hAnsi="Times New Roman" w:cs="Times New Roman"/>
          <w:sz w:val="24"/>
          <w:szCs w:val="24"/>
        </w:rPr>
        <w:t xml:space="preserve"> de natureza não manuais e não rotineiras, </w:t>
      </w:r>
      <w:r w:rsidRPr="00412A54">
        <w:rPr>
          <w:rFonts w:ascii="Times New Roman" w:hAnsi="Times New Roman" w:cs="Times New Roman"/>
          <w:sz w:val="24"/>
          <w:szCs w:val="24"/>
        </w:rPr>
        <w:t xml:space="preserve"> intensivas em tarefas que exigem habilidades analíticas, cognitivas e interpessoais. Observa-se, portanto, </w:t>
      </w:r>
      <w:r w:rsidR="00CC789A" w:rsidRPr="00412A54">
        <w:rPr>
          <w:rFonts w:ascii="Times New Roman" w:hAnsi="Times New Roman" w:cs="Times New Roman"/>
          <w:sz w:val="24"/>
          <w:szCs w:val="24"/>
        </w:rPr>
        <w:t>que a despeito do crescimento d</w:t>
      </w:r>
      <w:r w:rsidR="006D5E5F" w:rsidRPr="00412A54">
        <w:rPr>
          <w:rFonts w:ascii="Times New Roman" w:hAnsi="Times New Roman" w:cs="Times New Roman"/>
          <w:sz w:val="24"/>
          <w:szCs w:val="24"/>
        </w:rPr>
        <w:t xml:space="preserve">o número </w:t>
      </w:r>
      <w:r w:rsidR="00CC789A" w:rsidRPr="00412A54">
        <w:rPr>
          <w:rFonts w:ascii="Times New Roman" w:hAnsi="Times New Roman" w:cs="Times New Roman"/>
          <w:sz w:val="24"/>
          <w:szCs w:val="24"/>
        </w:rPr>
        <w:t xml:space="preserve">de trabalhadores nessas ocupações o prêmio salarial cresceu de modo sustentado </w:t>
      </w:r>
      <w:r w:rsidR="006D5E5F" w:rsidRPr="00412A54">
        <w:rPr>
          <w:rFonts w:ascii="Times New Roman" w:hAnsi="Times New Roman" w:cs="Times New Roman"/>
          <w:sz w:val="24"/>
          <w:szCs w:val="24"/>
        </w:rPr>
        <w:t>no</w:t>
      </w:r>
      <w:r w:rsidR="00CC789A" w:rsidRPr="00412A54">
        <w:rPr>
          <w:rFonts w:ascii="Times New Roman" w:hAnsi="Times New Roman" w:cs="Times New Roman"/>
          <w:sz w:val="24"/>
          <w:szCs w:val="24"/>
        </w:rPr>
        <w:t xml:space="preserve"> período. Assim, enquanto em 2006 um indivíduo que estava em um posto não manual não rotineiro estava associado a um ganho de </w:t>
      </w:r>
      <w:r w:rsidR="006D5E5F" w:rsidRPr="00412A54">
        <w:rPr>
          <w:rFonts w:ascii="Times New Roman" w:hAnsi="Times New Roman" w:cs="Times New Roman"/>
          <w:sz w:val="24"/>
          <w:szCs w:val="24"/>
        </w:rPr>
        <w:t>49</w:t>
      </w:r>
      <w:r w:rsidR="00CC789A" w:rsidRPr="00412A54">
        <w:rPr>
          <w:rFonts w:ascii="Times New Roman" w:hAnsi="Times New Roman" w:cs="Times New Roman"/>
          <w:sz w:val="24"/>
          <w:szCs w:val="24"/>
        </w:rPr>
        <w:t xml:space="preserve">% a mais em seu salário-hora do que </w:t>
      </w:r>
      <w:r w:rsidR="006D5E5F" w:rsidRPr="00412A54">
        <w:rPr>
          <w:rFonts w:ascii="Times New Roman" w:hAnsi="Times New Roman" w:cs="Times New Roman"/>
          <w:sz w:val="24"/>
          <w:szCs w:val="24"/>
        </w:rPr>
        <w:t>aquele em uma ocupação manual e rotineira</w:t>
      </w:r>
      <w:r w:rsidR="00CC789A" w:rsidRPr="00412A54">
        <w:rPr>
          <w:rFonts w:ascii="Times New Roman" w:hAnsi="Times New Roman" w:cs="Times New Roman"/>
          <w:sz w:val="24"/>
          <w:szCs w:val="24"/>
        </w:rPr>
        <w:t xml:space="preserve">, em 2016 este prêmio passou a ser de </w:t>
      </w:r>
      <w:r w:rsidR="006D5E5F" w:rsidRPr="00412A54">
        <w:rPr>
          <w:rFonts w:ascii="Times New Roman" w:hAnsi="Times New Roman" w:cs="Times New Roman"/>
          <w:sz w:val="24"/>
          <w:szCs w:val="24"/>
        </w:rPr>
        <w:t>55</w:t>
      </w:r>
      <w:r w:rsidR="00CC789A" w:rsidRPr="00412A54">
        <w:rPr>
          <w:rFonts w:ascii="Times New Roman" w:hAnsi="Times New Roman" w:cs="Times New Roman"/>
          <w:sz w:val="24"/>
          <w:szCs w:val="24"/>
        </w:rPr>
        <w:t>% a mais.</w:t>
      </w:r>
    </w:p>
    <w:p w14:paraId="39EB8016" w14:textId="67822D60" w:rsidR="00672197" w:rsidRPr="00412A54" w:rsidRDefault="00CC789A" w:rsidP="005B72CC">
      <w:pPr>
        <w:jc w:val="both"/>
        <w:outlineLvl w:val="0"/>
        <w:rPr>
          <w:rFonts w:ascii="Times New Roman" w:hAnsi="Times New Roman" w:cs="Times New Roman"/>
          <w:sz w:val="24"/>
          <w:szCs w:val="24"/>
        </w:rPr>
      </w:pPr>
      <w:r w:rsidRPr="00412A54">
        <w:rPr>
          <w:rFonts w:ascii="Times New Roman" w:hAnsi="Times New Roman" w:cs="Times New Roman"/>
          <w:sz w:val="24"/>
          <w:szCs w:val="24"/>
        </w:rPr>
        <w:t xml:space="preserve">Este resultado apontado pelo Gráfico 2  indica uma crescente demanda por trabalhadores qualificados, em consonância com o predito pela teoria de </w:t>
      </w:r>
      <w:r w:rsidRPr="00412A54">
        <w:rPr>
          <w:rFonts w:ascii="Times New Roman" w:hAnsi="Times New Roman" w:cs="Times New Roman"/>
          <w:i/>
          <w:sz w:val="24"/>
          <w:szCs w:val="24"/>
        </w:rPr>
        <w:t>Skill Biased Technological Change</w:t>
      </w:r>
      <w:r w:rsidRPr="00412A54">
        <w:rPr>
          <w:rFonts w:ascii="Times New Roman" w:hAnsi="Times New Roman" w:cs="Times New Roman"/>
          <w:sz w:val="24"/>
          <w:szCs w:val="24"/>
        </w:rPr>
        <w:t xml:space="preserve"> que prevê ganhos salariais substantivos à trabalhadores qualificados em postos de caráter complementar ao uso de computadores.  De fato, </w:t>
      </w:r>
      <w:r w:rsidR="0013727F" w:rsidRPr="00412A54">
        <w:rPr>
          <w:rFonts w:ascii="Times New Roman" w:hAnsi="Times New Roman" w:cs="Times New Roman"/>
          <w:sz w:val="24"/>
          <w:szCs w:val="24"/>
        </w:rPr>
        <w:t>os trabalhadores alocados nestas ocupações assistiram a ganhos reais na remuneração de seus atributos de habilidade em face dos demais ao longo do período. Ainda que o ritmo deste crescimento tenha se reduzido ao final dos anos considerados, momento em que predominou uma desaceleração da atividade econômica, a tendência de crescimento do prêmio salarial destes indivíduos se manteve, indicando que a demanda por trabalhadores qualificados capazes de desempenhar tarefas de naturezas mais complexas  cresceu ao longo da década, mesmo com as oscilações na conjuntura econômica do país.</w:t>
      </w:r>
    </w:p>
    <w:p w14:paraId="62E9534F" w14:textId="58BECFFB" w:rsidR="00047124" w:rsidRPr="00412A54" w:rsidRDefault="009E45DA" w:rsidP="00F9295A">
      <w:pPr>
        <w:jc w:val="both"/>
        <w:outlineLvl w:val="0"/>
        <w:rPr>
          <w:rFonts w:ascii="Times New Roman" w:hAnsi="Times New Roman" w:cs="Times New Roman"/>
          <w:sz w:val="24"/>
          <w:szCs w:val="24"/>
        </w:rPr>
      </w:pPr>
      <w:r w:rsidRPr="00412A54">
        <w:rPr>
          <w:rFonts w:ascii="Times New Roman" w:hAnsi="Times New Roman" w:cs="Times New Roman"/>
          <w:sz w:val="24"/>
          <w:szCs w:val="24"/>
        </w:rPr>
        <w:t xml:space="preserve">Considerando agora o gráfico </w:t>
      </w:r>
      <w:r w:rsidR="00CC789A" w:rsidRPr="00412A54">
        <w:rPr>
          <w:rFonts w:ascii="Times New Roman" w:hAnsi="Times New Roman" w:cs="Times New Roman"/>
          <w:sz w:val="24"/>
          <w:szCs w:val="24"/>
        </w:rPr>
        <w:t>3</w:t>
      </w:r>
      <w:r w:rsidRPr="00412A54">
        <w:rPr>
          <w:rFonts w:ascii="Times New Roman" w:hAnsi="Times New Roman" w:cs="Times New Roman"/>
          <w:sz w:val="24"/>
          <w:szCs w:val="24"/>
        </w:rPr>
        <w:t xml:space="preserve">, observamos </w:t>
      </w:r>
      <w:r w:rsidR="00B74844" w:rsidRPr="00412A54">
        <w:rPr>
          <w:rFonts w:ascii="Times New Roman" w:hAnsi="Times New Roman" w:cs="Times New Roman"/>
          <w:sz w:val="24"/>
          <w:szCs w:val="24"/>
        </w:rPr>
        <w:t xml:space="preserve">a </w:t>
      </w:r>
      <w:r w:rsidRPr="00412A54">
        <w:rPr>
          <w:rFonts w:ascii="Times New Roman" w:hAnsi="Times New Roman" w:cs="Times New Roman"/>
          <w:sz w:val="24"/>
          <w:szCs w:val="24"/>
        </w:rPr>
        <w:t>queda no prêmio salarial associado às ocupações não manuais e rotineiras</w:t>
      </w:r>
      <w:r w:rsidR="00B74844" w:rsidRPr="00412A54">
        <w:rPr>
          <w:rFonts w:ascii="Times New Roman" w:hAnsi="Times New Roman" w:cs="Times New Roman"/>
          <w:sz w:val="24"/>
          <w:szCs w:val="24"/>
        </w:rPr>
        <w:t xml:space="preserve"> em face da categoria base</w:t>
      </w:r>
      <w:r w:rsidRPr="00412A54">
        <w:rPr>
          <w:rFonts w:ascii="Times New Roman" w:hAnsi="Times New Roman" w:cs="Times New Roman"/>
          <w:sz w:val="24"/>
          <w:szCs w:val="24"/>
        </w:rPr>
        <w:t>. Estas ocupações incluem boa parte das ocupações técnicas de caráter repetitivo, bem como atividades conectadas ao setor de serviços</w:t>
      </w:r>
      <w:r w:rsidR="00921C75" w:rsidRPr="00412A54">
        <w:rPr>
          <w:rFonts w:ascii="Times New Roman" w:hAnsi="Times New Roman" w:cs="Times New Roman"/>
          <w:sz w:val="24"/>
          <w:szCs w:val="24"/>
        </w:rPr>
        <w:t>,</w:t>
      </w:r>
      <w:r w:rsidRPr="00412A54">
        <w:rPr>
          <w:rFonts w:ascii="Times New Roman" w:hAnsi="Times New Roman" w:cs="Times New Roman"/>
          <w:sz w:val="24"/>
          <w:szCs w:val="24"/>
        </w:rPr>
        <w:t xml:space="preserve"> como as de venda. Assim, conforme o gráfico 1, esta categoria predomina no mercado de trabalho brasileiro em todo período, </w:t>
      </w:r>
      <w:r w:rsidR="001141CB" w:rsidRPr="00412A54">
        <w:rPr>
          <w:rFonts w:ascii="Times New Roman" w:hAnsi="Times New Roman" w:cs="Times New Roman"/>
          <w:sz w:val="24"/>
          <w:szCs w:val="24"/>
        </w:rPr>
        <w:t>abarcando 3</w:t>
      </w:r>
      <w:r w:rsidR="00B74844" w:rsidRPr="00412A54">
        <w:rPr>
          <w:rFonts w:ascii="Times New Roman" w:hAnsi="Times New Roman" w:cs="Times New Roman"/>
          <w:sz w:val="24"/>
          <w:szCs w:val="24"/>
        </w:rPr>
        <w:t>6</w:t>
      </w:r>
      <w:r w:rsidR="001141CB" w:rsidRPr="00412A54">
        <w:rPr>
          <w:rFonts w:ascii="Times New Roman" w:hAnsi="Times New Roman" w:cs="Times New Roman"/>
          <w:sz w:val="24"/>
          <w:szCs w:val="24"/>
        </w:rPr>
        <w:t xml:space="preserve">% dos trabalhadores em 2016. A queda no prêmio salarial associada a estes trabalhadores </w:t>
      </w:r>
      <w:r w:rsidR="001141CB" w:rsidRPr="00412A54">
        <w:rPr>
          <w:rFonts w:ascii="Times New Roman" w:hAnsi="Times New Roman" w:cs="Times New Roman"/>
          <w:sz w:val="24"/>
          <w:szCs w:val="24"/>
        </w:rPr>
        <w:lastRenderedPageBreak/>
        <w:t xml:space="preserve">alocado em ocupações de natureza não manual rotineira está predita pela literatura de SBTC como uma das </w:t>
      </w:r>
      <w:r w:rsidR="00921C75" w:rsidRPr="00412A54">
        <w:rPr>
          <w:rFonts w:ascii="Times New Roman" w:hAnsi="Times New Roman" w:cs="Times New Roman"/>
          <w:sz w:val="24"/>
          <w:szCs w:val="24"/>
        </w:rPr>
        <w:t xml:space="preserve">principais </w:t>
      </w:r>
      <w:r w:rsidR="001141CB" w:rsidRPr="00412A54">
        <w:rPr>
          <w:rFonts w:ascii="Times New Roman" w:hAnsi="Times New Roman" w:cs="Times New Roman"/>
          <w:sz w:val="24"/>
          <w:szCs w:val="24"/>
        </w:rPr>
        <w:t xml:space="preserve">consequências da adoção de computadores nas rotinas de trabalho, uma vez que estas ocupações estão associadas </w:t>
      </w:r>
      <w:r w:rsidR="00023E3C" w:rsidRPr="00412A54">
        <w:rPr>
          <w:rFonts w:ascii="Times New Roman" w:hAnsi="Times New Roman" w:cs="Times New Roman"/>
          <w:sz w:val="24"/>
          <w:szCs w:val="24"/>
        </w:rPr>
        <w:t>a</w:t>
      </w:r>
      <w:r w:rsidR="001141CB" w:rsidRPr="00412A54">
        <w:rPr>
          <w:rFonts w:ascii="Times New Roman" w:hAnsi="Times New Roman" w:cs="Times New Roman"/>
          <w:sz w:val="24"/>
          <w:szCs w:val="24"/>
        </w:rPr>
        <w:t xml:space="preserve"> </w:t>
      </w:r>
      <w:r w:rsidR="00B74844" w:rsidRPr="00412A54">
        <w:rPr>
          <w:rFonts w:ascii="Times New Roman" w:hAnsi="Times New Roman" w:cs="Times New Roman"/>
          <w:sz w:val="24"/>
          <w:szCs w:val="24"/>
        </w:rPr>
        <w:t>tarefas passíveis de serem realizadas por um computador com maior nível de produtividade</w:t>
      </w:r>
      <w:r w:rsidR="00023E3C" w:rsidRPr="00412A54">
        <w:rPr>
          <w:rFonts w:ascii="Times New Roman" w:hAnsi="Times New Roman" w:cs="Times New Roman"/>
          <w:sz w:val="24"/>
          <w:szCs w:val="24"/>
        </w:rPr>
        <w:t>. No caso brasileiro, a ampliação no número de trabalhadores nestas ocupações não indica ter havido um processo de substituição do emprego</w:t>
      </w:r>
      <w:r w:rsidR="00047124" w:rsidRPr="00412A54">
        <w:rPr>
          <w:rFonts w:ascii="Times New Roman" w:hAnsi="Times New Roman" w:cs="Times New Roman"/>
          <w:sz w:val="24"/>
          <w:szCs w:val="24"/>
        </w:rPr>
        <w:t xml:space="preserve">. </w:t>
      </w:r>
      <w:r w:rsidR="00921C75" w:rsidRPr="00412A54">
        <w:rPr>
          <w:rFonts w:ascii="Times New Roman" w:hAnsi="Times New Roman" w:cs="Times New Roman"/>
          <w:sz w:val="24"/>
          <w:szCs w:val="24"/>
        </w:rPr>
        <w:t xml:space="preserve">A despeito desta contradição, verificamos a queda no prêmio salarial associado a trabalhadores nestas ocupações no período, em consonância com o predito </w:t>
      </w:r>
      <w:r w:rsidR="0013727F" w:rsidRPr="00412A54">
        <w:rPr>
          <w:rFonts w:ascii="Times New Roman" w:hAnsi="Times New Roman" w:cs="Times New Roman"/>
          <w:sz w:val="24"/>
          <w:szCs w:val="24"/>
        </w:rPr>
        <w:t>por esta</w:t>
      </w:r>
      <w:r w:rsidR="00921C75" w:rsidRPr="00412A54">
        <w:rPr>
          <w:rFonts w:ascii="Times New Roman" w:hAnsi="Times New Roman" w:cs="Times New Roman"/>
          <w:sz w:val="24"/>
          <w:szCs w:val="24"/>
        </w:rPr>
        <w:t xml:space="preserve"> teoria</w:t>
      </w:r>
      <w:r w:rsidR="00B74844" w:rsidRPr="00412A54">
        <w:rPr>
          <w:rFonts w:ascii="Times New Roman" w:hAnsi="Times New Roman" w:cs="Times New Roman"/>
          <w:sz w:val="24"/>
          <w:szCs w:val="24"/>
        </w:rPr>
        <w:t>, indicando uma menor valorização destas habilidades na década.</w:t>
      </w:r>
      <w:r w:rsidR="00921C75" w:rsidRPr="00412A54">
        <w:rPr>
          <w:rFonts w:ascii="Times New Roman" w:hAnsi="Times New Roman" w:cs="Times New Roman"/>
          <w:sz w:val="24"/>
          <w:szCs w:val="24"/>
        </w:rPr>
        <w:t xml:space="preserve"> </w:t>
      </w:r>
    </w:p>
    <w:p w14:paraId="13875D37" w14:textId="2B5B6A83" w:rsidR="0013727F" w:rsidRPr="00412A54" w:rsidRDefault="0013727F" w:rsidP="00B74844">
      <w:pPr>
        <w:pStyle w:val="Legenda"/>
        <w:keepNext/>
        <w:rPr>
          <w:rFonts w:ascii="Times New Roman" w:hAnsi="Times New Roman" w:cs="Times New Roman"/>
          <w:b/>
          <w:i w:val="0"/>
          <w:color w:val="auto"/>
          <w:sz w:val="24"/>
          <w:szCs w:val="24"/>
        </w:rPr>
      </w:pPr>
      <w:r w:rsidRPr="00412A54">
        <w:rPr>
          <w:rFonts w:ascii="Times New Roman" w:hAnsi="Times New Roman" w:cs="Times New Roman"/>
          <w:b/>
          <w:i w:val="0"/>
          <w:color w:val="auto"/>
          <w:sz w:val="24"/>
          <w:szCs w:val="24"/>
        </w:rPr>
        <w:t xml:space="preserve">Gráfico 3 – </w:t>
      </w:r>
      <w:r w:rsidRPr="00412A54">
        <w:rPr>
          <w:rFonts w:ascii="Times New Roman" w:hAnsi="Times New Roman" w:cs="Times New Roman"/>
          <w:i w:val="0"/>
          <w:color w:val="auto"/>
          <w:sz w:val="24"/>
          <w:szCs w:val="24"/>
        </w:rPr>
        <w:t>Coeficientes de retorno salarial associados a ocupações Não Manuais Rotineiras</w:t>
      </w:r>
    </w:p>
    <w:p w14:paraId="0437EB77" w14:textId="4661464C" w:rsidR="001141CB" w:rsidRPr="00412A54" w:rsidRDefault="009D5F8E" w:rsidP="00B74844">
      <w:pPr>
        <w:jc w:val="center"/>
        <w:outlineLvl w:val="0"/>
        <w:rPr>
          <w:rFonts w:ascii="Times New Roman" w:hAnsi="Times New Roman" w:cs="Times New Roman"/>
          <w:sz w:val="24"/>
          <w:szCs w:val="24"/>
        </w:rPr>
      </w:pPr>
      <w:r w:rsidRPr="00412A54">
        <w:rPr>
          <w:noProof/>
        </w:rPr>
        <w:drawing>
          <wp:inline distT="0" distB="0" distL="0" distR="0" wp14:anchorId="1CD2A89B" wp14:editId="20639353">
            <wp:extent cx="4572000" cy="2743200"/>
            <wp:effectExtent l="0" t="0" r="0" b="0"/>
            <wp:docPr id="6" name="Gráfico 6">
              <a:extLst xmlns:a="http://schemas.openxmlformats.org/drawingml/2006/main">
                <a:ext uri="{FF2B5EF4-FFF2-40B4-BE49-F238E27FC236}">
                  <a16:creationId xmlns:a16="http://schemas.microsoft.com/office/drawing/2014/main" id="{6F9800BC-1790-4B44-AEF5-9C83A3FB91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E4C50B4" w14:textId="0D058C16" w:rsidR="00672197" w:rsidRPr="00412A54" w:rsidRDefault="00672197" w:rsidP="0013727F">
      <w:pPr>
        <w:jc w:val="both"/>
        <w:outlineLvl w:val="0"/>
        <w:rPr>
          <w:rFonts w:ascii="Times New Roman" w:hAnsi="Times New Roman" w:cs="Times New Roman"/>
          <w:sz w:val="24"/>
          <w:szCs w:val="24"/>
        </w:rPr>
      </w:pPr>
      <w:r w:rsidRPr="00412A54">
        <w:rPr>
          <w:rFonts w:ascii="Times New Roman" w:hAnsi="Times New Roman" w:cs="Times New Roman"/>
          <w:sz w:val="24"/>
          <w:szCs w:val="24"/>
        </w:rPr>
        <w:t xml:space="preserve">Quanto à categoria de ocupações </w:t>
      </w:r>
      <w:r w:rsidR="00B74844" w:rsidRPr="00412A54">
        <w:rPr>
          <w:rFonts w:ascii="Times New Roman" w:hAnsi="Times New Roman" w:cs="Times New Roman"/>
          <w:sz w:val="24"/>
          <w:szCs w:val="24"/>
        </w:rPr>
        <w:t>m</w:t>
      </w:r>
      <w:r w:rsidRPr="00412A54">
        <w:rPr>
          <w:rFonts w:ascii="Times New Roman" w:hAnsi="Times New Roman" w:cs="Times New Roman"/>
          <w:sz w:val="24"/>
          <w:szCs w:val="24"/>
        </w:rPr>
        <w:t xml:space="preserve">anuais não rotineiras, observa-se uma queda no prêmio salarial aos trabalhadores alocados nas ocupações desta natureza entre 2006 e 2016 no Gráfico </w:t>
      </w:r>
      <w:r w:rsidR="0013727F" w:rsidRPr="00412A54">
        <w:rPr>
          <w:rFonts w:ascii="Times New Roman" w:hAnsi="Times New Roman" w:cs="Times New Roman"/>
          <w:sz w:val="24"/>
          <w:szCs w:val="24"/>
        </w:rPr>
        <w:t>4</w:t>
      </w:r>
      <w:r w:rsidR="00B74844" w:rsidRPr="00412A54">
        <w:rPr>
          <w:rFonts w:ascii="Times New Roman" w:hAnsi="Times New Roman" w:cs="Times New Roman"/>
          <w:sz w:val="24"/>
          <w:szCs w:val="24"/>
        </w:rPr>
        <w:t>, comparado à categoria base</w:t>
      </w:r>
      <w:r w:rsidRPr="00412A54">
        <w:rPr>
          <w:rFonts w:ascii="Times New Roman" w:hAnsi="Times New Roman" w:cs="Times New Roman"/>
          <w:sz w:val="24"/>
          <w:szCs w:val="24"/>
        </w:rPr>
        <w:t xml:space="preserve">. Estas ocupações caracterizam-se pela exigência de habilidades de coordenação dos movimentos do corpo e acuidade visual para operar veículos e máquinas, incluindo por exemplo motoristas e operadores de maquinário agrícola. A tendência de queda no prêmio salarial se verifica de modo acentuado nos primeiros 5 anos do período considerado, tendo comportamento mais estável nos anos subsequentes. Faz-se nota que até o ano de 2010 observamos um crescimento relativo no contingente de trabalhadores alocados nestas ocupações, sendo este crescimento revertido nos anos subsequentes, conforme pode ser visto no gráfico 1. Assim, considerando os movimentos de oferta e demanda  por trabalhadores como um dos determinantes do retorno salarial, o comportamento observado no período segue o esperado pelo comportamento da oferta de trabalhadores no período. Conforme Spitz-Oener (2006) a relação entre incrementos no uso de tecnologia computacional e tarefas manuais e não rotineiras não é completamente clara. </w:t>
      </w:r>
    </w:p>
    <w:p w14:paraId="4ED9AD7C" w14:textId="6206B66C" w:rsidR="00CC789A" w:rsidRPr="00412A54" w:rsidRDefault="00CC789A" w:rsidP="009D5F8E">
      <w:pPr>
        <w:pStyle w:val="Legenda"/>
        <w:keepNext/>
        <w:rPr>
          <w:rFonts w:ascii="Times New Roman" w:hAnsi="Times New Roman" w:cs="Times New Roman"/>
          <w:i w:val="0"/>
          <w:color w:val="auto"/>
          <w:sz w:val="24"/>
          <w:szCs w:val="24"/>
        </w:rPr>
      </w:pPr>
      <w:r w:rsidRPr="00412A54">
        <w:rPr>
          <w:rFonts w:ascii="Times New Roman" w:hAnsi="Times New Roman" w:cs="Times New Roman"/>
          <w:b/>
          <w:i w:val="0"/>
          <w:color w:val="auto"/>
          <w:sz w:val="24"/>
          <w:szCs w:val="24"/>
        </w:rPr>
        <w:lastRenderedPageBreak/>
        <w:t xml:space="preserve">Gráfico </w:t>
      </w:r>
      <w:r w:rsidR="0009174F" w:rsidRPr="00412A54">
        <w:rPr>
          <w:rFonts w:ascii="Times New Roman" w:hAnsi="Times New Roman" w:cs="Times New Roman"/>
          <w:b/>
          <w:i w:val="0"/>
          <w:color w:val="auto"/>
          <w:sz w:val="24"/>
          <w:szCs w:val="24"/>
        </w:rPr>
        <w:t>4</w:t>
      </w:r>
      <w:r w:rsidR="0013727F" w:rsidRPr="00412A54">
        <w:rPr>
          <w:rFonts w:ascii="Times New Roman" w:hAnsi="Times New Roman" w:cs="Times New Roman"/>
          <w:b/>
          <w:i w:val="0"/>
          <w:color w:val="auto"/>
          <w:sz w:val="24"/>
          <w:szCs w:val="24"/>
        </w:rPr>
        <w:t xml:space="preserve"> – </w:t>
      </w:r>
      <w:r w:rsidR="0013727F" w:rsidRPr="00412A54">
        <w:rPr>
          <w:rFonts w:ascii="Times New Roman" w:hAnsi="Times New Roman" w:cs="Times New Roman"/>
          <w:i w:val="0"/>
          <w:color w:val="auto"/>
          <w:sz w:val="24"/>
          <w:szCs w:val="24"/>
        </w:rPr>
        <w:t>Coeficientes de retorno salarial associados a ocupações Manuais Não Rotineiras</w:t>
      </w:r>
    </w:p>
    <w:p w14:paraId="70C0CD93" w14:textId="369127C0" w:rsidR="00672197" w:rsidRPr="00412A54" w:rsidRDefault="00C349D3" w:rsidP="00C349D3">
      <w:pPr>
        <w:outlineLvl w:val="0"/>
        <w:rPr>
          <w:rFonts w:ascii="Times New Roman" w:hAnsi="Times New Roman" w:cs="Times New Roman"/>
          <w:sz w:val="24"/>
          <w:szCs w:val="24"/>
        </w:rPr>
      </w:pPr>
      <w:r w:rsidRPr="00412A54">
        <w:rPr>
          <w:noProof/>
        </w:rPr>
        <w:drawing>
          <wp:anchor distT="0" distB="0" distL="114300" distR="114300" simplePos="0" relativeHeight="251658240" behindDoc="0" locked="0" layoutInCell="1" allowOverlap="1" wp14:anchorId="7D77742E" wp14:editId="4E1CD832">
            <wp:simplePos x="0" y="0"/>
            <wp:positionH relativeFrom="margin">
              <wp:align>center</wp:align>
            </wp:positionH>
            <wp:positionV relativeFrom="paragraph">
              <wp:posOffset>9525</wp:posOffset>
            </wp:positionV>
            <wp:extent cx="4572000" cy="2743200"/>
            <wp:effectExtent l="0" t="0" r="0" b="0"/>
            <wp:wrapSquare wrapText="bothSides"/>
            <wp:docPr id="4" name="Gráfico 4">
              <a:extLst xmlns:a="http://schemas.openxmlformats.org/drawingml/2006/main">
                <a:ext uri="{FF2B5EF4-FFF2-40B4-BE49-F238E27FC236}">
                  <a16:creationId xmlns:a16="http://schemas.microsoft.com/office/drawing/2014/main" id="{1A92282B-7E08-453A-9BAD-BC570C81AC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412A54">
        <w:rPr>
          <w:rFonts w:ascii="Times New Roman" w:hAnsi="Times New Roman" w:cs="Times New Roman"/>
          <w:sz w:val="24"/>
          <w:szCs w:val="24"/>
        </w:rPr>
        <w:br w:type="textWrapping" w:clear="all"/>
      </w:r>
    </w:p>
    <w:p w14:paraId="01CD7F77" w14:textId="570E594B" w:rsidR="0006250A" w:rsidRPr="00412A54" w:rsidRDefault="00485683" w:rsidP="00C349D3">
      <w:pPr>
        <w:spacing w:line="240" w:lineRule="auto"/>
        <w:jc w:val="both"/>
        <w:outlineLvl w:val="0"/>
        <w:rPr>
          <w:rFonts w:ascii="Times New Roman" w:hAnsi="Times New Roman" w:cs="Times New Roman"/>
          <w:sz w:val="24"/>
          <w:szCs w:val="24"/>
        </w:rPr>
      </w:pPr>
      <w:r w:rsidRPr="00412A54">
        <w:rPr>
          <w:rFonts w:ascii="Times New Roman" w:hAnsi="Times New Roman" w:cs="Times New Roman"/>
          <w:sz w:val="24"/>
          <w:szCs w:val="24"/>
        </w:rPr>
        <w:t>A</w:t>
      </w:r>
      <w:r w:rsidR="00C349D3" w:rsidRPr="00412A54">
        <w:rPr>
          <w:rFonts w:ascii="Times New Roman" w:hAnsi="Times New Roman" w:cs="Times New Roman"/>
          <w:sz w:val="24"/>
          <w:szCs w:val="24"/>
        </w:rPr>
        <w:t xml:space="preserve">pós a estimação dos coeficientes reportados acima, recuperamos os salários preditos a fim de comparar a evolução dos salários estimados em cada categoria.  </w:t>
      </w:r>
      <w:r w:rsidRPr="00412A54">
        <w:rPr>
          <w:rFonts w:ascii="Times New Roman" w:hAnsi="Times New Roman" w:cs="Times New Roman"/>
          <w:sz w:val="24"/>
          <w:szCs w:val="24"/>
        </w:rPr>
        <w:t>Para aprofundar nossos resultados, apresentamos</w:t>
      </w:r>
      <w:r w:rsidR="0006250A" w:rsidRPr="00412A54">
        <w:rPr>
          <w:rFonts w:ascii="Times New Roman" w:hAnsi="Times New Roman" w:cs="Times New Roman"/>
          <w:sz w:val="24"/>
          <w:szCs w:val="24"/>
        </w:rPr>
        <w:t xml:space="preserve"> a magnitude da diferença causada</w:t>
      </w:r>
      <w:r w:rsidR="00D604EC">
        <w:rPr>
          <w:rFonts w:ascii="Times New Roman" w:hAnsi="Times New Roman" w:cs="Times New Roman"/>
          <w:sz w:val="24"/>
          <w:szCs w:val="24"/>
        </w:rPr>
        <w:t xml:space="preserve"> exclusivamente</w:t>
      </w:r>
      <w:r w:rsidR="0006250A" w:rsidRPr="00412A54">
        <w:rPr>
          <w:rFonts w:ascii="Times New Roman" w:hAnsi="Times New Roman" w:cs="Times New Roman"/>
          <w:sz w:val="24"/>
          <w:szCs w:val="24"/>
        </w:rPr>
        <w:t xml:space="preserve"> pelo fato de um indivíduo pertencer a um</w:t>
      </w:r>
      <w:r w:rsidR="00D604EC">
        <w:rPr>
          <w:rFonts w:ascii="Times New Roman" w:hAnsi="Times New Roman" w:cs="Times New Roman"/>
          <w:sz w:val="24"/>
          <w:szCs w:val="24"/>
        </w:rPr>
        <w:t xml:space="preserve"> determinado</w:t>
      </w:r>
      <w:r w:rsidR="0006250A" w:rsidRPr="00412A54">
        <w:rPr>
          <w:rFonts w:ascii="Times New Roman" w:hAnsi="Times New Roman" w:cs="Times New Roman"/>
          <w:sz w:val="24"/>
          <w:szCs w:val="24"/>
        </w:rPr>
        <w:t xml:space="preserve"> tipo de ocupação. Assim, usamos as m</w:t>
      </w:r>
      <w:r w:rsidR="00D604EC">
        <w:rPr>
          <w:rFonts w:ascii="Times New Roman" w:hAnsi="Times New Roman" w:cs="Times New Roman"/>
          <w:sz w:val="24"/>
          <w:szCs w:val="24"/>
        </w:rPr>
        <w:t>é</w:t>
      </w:r>
      <w:r w:rsidR="0006250A" w:rsidRPr="00412A54">
        <w:rPr>
          <w:rFonts w:ascii="Times New Roman" w:hAnsi="Times New Roman" w:cs="Times New Roman"/>
          <w:sz w:val="24"/>
          <w:szCs w:val="24"/>
        </w:rPr>
        <w:t xml:space="preserve">dias dos atributos individuais em nossa </w:t>
      </w:r>
      <w:r w:rsidR="00210930">
        <w:rPr>
          <w:rFonts w:ascii="Times New Roman" w:hAnsi="Times New Roman" w:cs="Times New Roman"/>
          <w:sz w:val="24"/>
          <w:szCs w:val="24"/>
        </w:rPr>
        <w:t>a</w:t>
      </w:r>
      <w:r w:rsidR="0006250A" w:rsidRPr="00412A54">
        <w:rPr>
          <w:rFonts w:ascii="Times New Roman" w:hAnsi="Times New Roman" w:cs="Times New Roman"/>
          <w:sz w:val="24"/>
          <w:szCs w:val="24"/>
        </w:rPr>
        <w:t xml:space="preserve">mostra e recuperamos o salário predito através de nossa equação minceriana para inferir qual seria o salário para um indivíduo com características </w:t>
      </w:r>
      <w:r w:rsidR="00D604EC">
        <w:rPr>
          <w:rFonts w:ascii="Times New Roman" w:hAnsi="Times New Roman" w:cs="Times New Roman"/>
          <w:sz w:val="24"/>
          <w:szCs w:val="24"/>
        </w:rPr>
        <w:t>médias</w:t>
      </w:r>
      <w:r w:rsidR="0006250A" w:rsidRPr="00412A54">
        <w:rPr>
          <w:rFonts w:ascii="Times New Roman" w:hAnsi="Times New Roman" w:cs="Times New Roman"/>
          <w:sz w:val="24"/>
          <w:szCs w:val="24"/>
        </w:rPr>
        <w:t xml:space="preserve"> </w:t>
      </w:r>
      <w:r w:rsidR="0006250A" w:rsidRPr="00412A54">
        <w:rPr>
          <w:rFonts w:ascii="Times New Roman" w:hAnsi="Times New Roman" w:cs="Times New Roman"/>
          <w:i/>
          <w:sz w:val="24"/>
          <w:szCs w:val="24"/>
        </w:rPr>
        <w:t>ceteris paribus</w:t>
      </w:r>
      <w:r w:rsidR="0006250A" w:rsidRPr="00412A54">
        <w:rPr>
          <w:rFonts w:ascii="Times New Roman" w:hAnsi="Times New Roman" w:cs="Times New Roman"/>
          <w:sz w:val="24"/>
          <w:szCs w:val="24"/>
        </w:rPr>
        <w:t xml:space="preserve"> em cada categoria ocupacional.</w:t>
      </w:r>
      <w:r w:rsidR="0006250A" w:rsidRPr="00412A54">
        <w:rPr>
          <w:rFonts w:ascii="Times New Roman" w:hAnsi="Times New Roman" w:cs="Times New Roman"/>
          <w:i/>
          <w:sz w:val="24"/>
          <w:szCs w:val="24"/>
        </w:rPr>
        <w:t xml:space="preserve"> </w:t>
      </w:r>
      <w:r w:rsidR="0006250A" w:rsidRPr="00412A54">
        <w:rPr>
          <w:rFonts w:ascii="Times New Roman" w:hAnsi="Times New Roman" w:cs="Times New Roman"/>
          <w:sz w:val="24"/>
          <w:szCs w:val="24"/>
        </w:rPr>
        <w:t>Esta informação é apresentada no gráfico 5 a seguir.</w:t>
      </w:r>
    </w:p>
    <w:p w14:paraId="43B62151" w14:textId="0A758D67" w:rsidR="00C71746" w:rsidRPr="00412A54" w:rsidRDefault="00C71746" w:rsidP="00C349D3">
      <w:pPr>
        <w:spacing w:line="240" w:lineRule="auto"/>
        <w:jc w:val="both"/>
        <w:outlineLvl w:val="0"/>
        <w:rPr>
          <w:rFonts w:ascii="Times New Roman" w:hAnsi="Times New Roman" w:cs="Times New Roman"/>
          <w:sz w:val="24"/>
          <w:szCs w:val="24"/>
        </w:rPr>
      </w:pPr>
      <w:r w:rsidRPr="00412A54">
        <w:rPr>
          <w:rFonts w:ascii="Times New Roman" w:hAnsi="Times New Roman" w:cs="Times New Roman"/>
          <w:sz w:val="24"/>
          <w:szCs w:val="24"/>
        </w:rPr>
        <w:t>Conforme pode ser visto, os maiores incrementos salariais foram auferidos por aqueles alocados em ocupações não manuais e não rotineira. Ao cotejarmos a evolução dos salários dentre as categorias considerando um indivíduo com as características fixas na média, nota-se que o crescimento salarial foi da ordem de 12% para aquelas</w:t>
      </w:r>
      <w:r w:rsidR="003D2D7D" w:rsidRPr="00412A54">
        <w:rPr>
          <w:rFonts w:ascii="Times New Roman" w:hAnsi="Times New Roman" w:cs="Times New Roman"/>
          <w:sz w:val="24"/>
          <w:szCs w:val="24"/>
        </w:rPr>
        <w:t xml:space="preserve"> </w:t>
      </w:r>
      <w:r w:rsidRPr="00412A54">
        <w:rPr>
          <w:rFonts w:ascii="Times New Roman" w:hAnsi="Times New Roman" w:cs="Times New Roman"/>
          <w:sz w:val="24"/>
          <w:szCs w:val="24"/>
        </w:rPr>
        <w:t xml:space="preserve">manuais e rotineiras, 10% para as manuais e não rotineiras, 15% para as manuais e não rotineiras e 23% para os postos não manuais não rotineiros. Portanto, reforçando o observado até aqui, houve forte valorização dos trabalhadores em alocados em ocupações complexas indicando a crescente demanda por indivíduos qualificados. </w:t>
      </w:r>
    </w:p>
    <w:p w14:paraId="691053D0" w14:textId="326C358B" w:rsidR="003D2D7D" w:rsidRPr="00412A54" w:rsidRDefault="003D2D7D" w:rsidP="00C349D3">
      <w:pPr>
        <w:spacing w:line="240" w:lineRule="auto"/>
        <w:jc w:val="both"/>
        <w:outlineLvl w:val="0"/>
        <w:rPr>
          <w:rFonts w:ascii="Times New Roman" w:hAnsi="Times New Roman" w:cs="Times New Roman"/>
          <w:sz w:val="24"/>
          <w:szCs w:val="24"/>
        </w:rPr>
      </w:pPr>
    </w:p>
    <w:p w14:paraId="7C4EED4F" w14:textId="7AF2EB67" w:rsidR="003D2D7D" w:rsidRPr="00412A54" w:rsidRDefault="003D2D7D" w:rsidP="00C349D3">
      <w:pPr>
        <w:spacing w:line="240" w:lineRule="auto"/>
        <w:jc w:val="both"/>
        <w:outlineLvl w:val="0"/>
        <w:rPr>
          <w:rFonts w:ascii="Times New Roman" w:hAnsi="Times New Roman" w:cs="Times New Roman"/>
          <w:sz w:val="24"/>
          <w:szCs w:val="24"/>
        </w:rPr>
      </w:pPr>
    </w:p>
    <w:p w14:paraId="543DCA6C" w14:textId="618B82C0" w:rsidR="003D2D7D" w:rsidRPr="00412A54" w:rsidRDefault="003D2D7D" w:rsidP="00C349D3">
      <w:pPr>
        <w:spacing w:line="240" w:lineRule="auto"/>
        <w:jc w:val="both"/>
        <w:outlineLvl w:val="0"/>
        <w:rPr>
          <w:rFonts w:ascii="Times New Roman" w:hAnsi="Times New Roman" w:cs="Times New Roman"/>
          <w:sz w:val="24"/>
          <w:szCs w:val="24"/>
        </w:rPr>
      </w:pPr>
    </w:p>
    <w:p w14:paraId="4023E0B5" w14:textId="3B705B3E" w:rsidR="003D2D7D" w:rsidRPr="00412A54" w:rsidRDefault="003D2D7D" w:rsidP="00C349D3">
      <w:pPr>
        <w:spacing w:line="240" w:lineRule="auto"/>
        <w:jc w:val="both"/>
        <w:outlineLvl w:val="0"/>
        <w:rPr>
          <w:rFonts w:ascii="Times New Roman" w:hAnsi="Times New Roman" w:cs="Times New Roman"/>
          <w:sz w:val="24"/>
          <w:szCs w:val="24"/>
        </w:rPr>
      </w:pPr>
    </w:p>
    <w:p w14:paraId="60692B0B" w14:textId="3DA536D0" w:rsidR="003D2D7D" w:rsidRPr="00412A54" w:rsidRDefault="003D2D7D" w:rsidP="00C349D3">
      <w:pPr>
        <w:spacing w:line="240" w:lineRule="auto"/>
        <w:jc w:val="both"/>
        <w:outlineLvl w:val="0"/>
        <w:rPr>
          <w:rFonts w:ascii="Times New Roman" w:hAnsi="Times New Roman" w:cs="Times New Roman"/>
          <w:sz w:val="24"/>
          <w:szCs w:val="24"/>
        </w:rPr>
      </w:pPr>
    </w:p>
    <w:p w14:paraId="0634A009" w14:textId="2BEC1DE9" w:rsidR="003D2D7D" w:rsidRPr="00412A54" w:rsidRDefault="003D2D7D" w:rsidP="00C349D3">
      <w:pPr>
        <w:spacing w:line="240" w:lineRule="auto"/>
        <w:jc w:val="both"/>
        <w:outlineLvl w:val="0"/>
        <w:rPr>
          <w:rFonts w:ascii="Times New Roman" w:hAnsi="Times New Roman" w:cs="Times New Roman"/>
          <w:sz w:val="24"/>
          <w:szCs w:val="24"/>
        </w:rPr>
      </w:pPr>
    </w:p>
    <w:p w14:paraId="1C4446AB" w14:textId="77777777" w:rsidR="003D2D7D" w:rsidRPr="00412A54" w:rsidRDefault="003D2D7D" w:rsidP="00C349D3">
      <w:pPr>
        <w:spacing w:line="240" w:lineRule="auto"/>
        <w:jc w:val="both"/>
        <w:outlineLvl w:val="0"/>
        <w:rPr>
          <w:rFonts w:ascii="Times New Roman" w:hAnsi="Times New Roman" w:cs="Times New Roman"/>
          <w:sz w:val="24"/>
          <w:szCs w:val="24"/>
        </w:rPr>
      </w:pPr>
    </w:p>
    <w:p w14:paraId="62D8C3E1" w14:textId="45D8D340" w:rsidR="00485683" w:rsidRPr="00412A54" w:rsidRDefault="00485683" w:rsidP="00C349D3">
      <w:pPr>
        <w:spacing w:line="240" w:lineRule="auto"/>
        <w:jc w:val="both"/>
        <w:outlineLvl w:val="0"/>
        <w:rPr>
          <w:rFonts w:ascii="Times New Roman" w:hAnsi="Times New Roman" w:cs="Times New Roman"/>
          <w:sz w:val="24"/>
          <w:szCs w:val="24"/>
        </w:rPr>
      </w:pPr>
    </w:p>
    <w:p w14:paraId="732AD7E9" w14:textId="12BE023A" w:rsidR="0006250A" w:rsidRPr="00412A54" w:rsidRDefault="0006250A" w:rsidP="0006250A">
      <w:pPr>
        <w:spacing w:line="240" w:lineRule="auto"/>
        <w:jc w:val="center"/>
        <w:outlineLvl w:val="0"/>
        <w:rPr>
          <w:rFonts w:ascii="Times New Roman" w:hAnsi="Times New Roman" w:cs="Times New Roman"/>
          <w:sz w:val="24"/>
          <w:szCs w:val="24"/>
        </w:rPr>
      </w:pPr>
      <w:r w:rsidRPr="00412A54">
        <w:rPr>
          <w:rFonts w:ascii="Times New Roman" w:hAnsi="Times New Roman" w:cs="Times New Roman"/>
          <w:b/>
          <w:sz w:val="24"/>
          <w:szCs w:val="24"/>
        </w:rPr>
        <w:lastRenderedPageBreak/>
        <w:t>Gráfico 5 –</w:t>
      </w:r>
      <w:r w:rsidRPr="00412A54">
        <w:rPr>
          <w:rFonts w:ascii="Times New Roman" w:hAnsi="Times New Roman" w:cs="Times New Roman"/>
          <w:sz w:val="24"/>
          <w:szCs w:val="24"/>
        </w:rPr>
        <w:t xml:space="preserve"> Evolução do Salário Predito, 2006 e 2016</w:t>
      </w:r>
    </w:p>
    <w:p w14:paraId="3507ADA0" w14:textId="2A570770" w:rsidR="00C349D3" w:rsidRPr="00412A54" w:rsidRDefault="00164441" w:rsidP="00164441">
      <w:pPr>
        <w:tabs>
          <w:tab w:val="left" w:pos="4950"/>
        </w:tabs>
        <w:spacing w:line="240" w:lineRule="auto"/>
        <w:jc w:val="center"/>
        <w:outlineLvl w:val="0"/>
        <w:rPr>
          <w:rFonts w:ascii="Times New Roman" w:hAnsi="Times New Roman" w:cs="Times New Roman"/>
          <w:sz w:val="24"/>
          <w:szCs w:val="24"/>
        </w:rPr>
      </w:pPr>
      <w:r w:rsidRPr="00412A54">
        <w:rPr>
          <w:noProof/>
        </w:rPr>
        <w:drawing>
          <wp:inline distT="0" distB="0" distL="0" distR="0" wp14:anchorId="740F401E" wp14:editId="081BB763">
            <wp:extent cx="4572000" cy="2743200"/>
            <wp:effectExtent l="0" t="0" r="0" b="0"/>
            <wp:docPr id="11" name="Gráfico 11">
              <a:extLst xmlns:a="http://schemas.openxmlformats.org/drawingml/2006/main">
                <a:ext uri="{FF2B5EF4-FFF2-40B4-BE49-F238E27FC236}">
                  <a16:creationId xmlns:a16="http://schemas.microsoft.com/office/drawing/2014/main" id="{D1A0B2DA-2759-4E5C-B641-FC7E5D24AF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29CB2BD" w14:textId="664E6DF2" w:rsidR="00C349D3" w:rsidRPr="00412A54" w:rsidRDefault="00210930" w:rsidP="00C349D3">
      <w:pPr>
        <w:spacing w:line="240" w:lineRule="auto"/>
        <w:jc w:val="both"/>
        <w:outlineLvl w:val="0"/>
        <w:rPr>
          <w:rFonts w:ascii="Times New Roman" w:hAnsi="Times New Roman" w:cs="Times New Roman"/>
          <w:sz w:val="24"/>
          <w:szCs w:val="24"/>
        </w:rPr>
      </w:pPr>
      <w:r>
        <w:rPr>
          <w:rFonts w:ascii="Times New Roman" w:hAnsi="Times New Roman" w:cs="Times New Roman"/>
          <w:sz w:val="24"/>
          <w:szCs w:val="24"/>
        </w:rPr>
        <w:t>Conforme argumentamos, o</w:t>
      </w:r>
      <w:r w:rsidR="00C349D3" w:rsidRPr="00412A54">
        <w:rPr>
          <w:rFonts w:ascii="Times New Roman" w:hAnsi="Times New Roman" w:cs="Times New Roman"/>
          <w:sz w:val="24"/>
          <w:szCs w:val="24"/>
        </w:rPr>
        <w:t>s dados apontados até agora indicam que a alteração na estrutura ocupacional brasileira não foram substanciais de modo a acompanhar a elevação da escolaridade da população, em especial a forte expansão no contingente de trabalhadores com ensino superior. A fim de auferir a contribuição associada a mudanças na estrutura ocupacional, realizamos uma decomposição da evolução dos salários</w:t>
      </w:r>
      <w:r w:rsidR="0006250A" w:rsidRPr="00412A54">
        <w:rPr>
          <w:rFonts w:ascii="Times New Roman" w:hAnsi="Times New Roman" w:cs="Times New Roman"/>
          <w:sz w:val="24"/>
          <w:szCs w:val="24"/>
        </w:rPr>
        <w:t xml:space="preserve"> preditos</w:t>
      </w:r>
      <w:r w:rsidR="003D2D7D" w:rsidRPr="00412A54">
        <w:rPr>
          <w:rFonts w:ascii="Times New Roman" w:hAnsi="Times New Roman" w:cs="Times New Roman"/>
          <w:sz w:val="24"/>
          <w:szCs w:val="24"/>
        </w:rPr>
        <w:t xml:space="preserve"> mostrados acima</w:t>
      </w:r>
      <w:r w:rsidR="00C349D3" w:rsidRPr="00412A54">
        <w:rPr>
          <w:rFonts w:ascii="Times New Roman" w:hAnsi="Times New Roman" w:cs="Times New Roman"/>
          <w:sz w:val="24"/>
          <w:szCs w:val="24"/>
        </w:rPr>
        <w:t xml:space="preserve"> entre os anos de 2006 e 2016. Pretende-se, com este exercício, separar o crescimento dos salários entre um termo relacionado exclusivamente a variação nos salários associados as diferentes categorias ocupacionais e um segundo termo associado à mudança na proporção de indivíduos dentre as categorias ocupacionais. </w:t>
      </w:r>
    </w:p>
    <w:p w14:paraId="5081A772" w14:textId="77777777" w:rsidR="00C349D3" w:rsidRPr="00412A54" w:rsidRDefault="00C349D3" w:rsidP="00C349D3">
      <w:pPr>
        <w:spacing w:line="240" w:lineRule="auto"/>
        <w:jc w:val="both"/>
        <w:outlineLvl w:val="0"/>
        <w:rPr>
          <w:rFonts w:ascii="Times New Roman" w:hAnsi="Times New Roman" w:cs="Times New Roman"/>
          <w:sz w:val="24"/>
          <w:szCs w:val="24"/>
        </w:rPr>
      </w:pPr>
      <w:r w:rsidRPr="00412A54">
        <w:rPr>
          <w:rFonts w:ascii="Times New Roman" w:hAnsi="Times New Roman" w:cs="Times New Roman"/>
          <w:sz w:val="24"/>
          <w:szCs w:val="24"/>
        </w:rPr>
        <w:t xml:space="preserve">Para tanto, a decomposição será feita da seguinte maneira: </w:t>
      </w:r>
    </w:p>
    <w:p w14:paraId="19018F65" w14:textId="77777777" w:rsidR="00C349D3" w:rsidRPr="00412A54" w:rsidRDefault="00C349D3" w:rsidP="00C349D3">
      <w:pPr>
        <w:spacing w:line="240" w:lineRule="auto"/>
        <w:jc w:val="both"/>
        <w:outlineLvl w:val="0"/>
        <w:rPr>
          <w:rFonts w:ascii="Times New Roman" w:hAnsi="Times New Roman" w:cs="Times New Roman"/>
          <w:sz w:val="24"/>
          <w:szCs w:val="24"/>
        </w:rPr>
      </w:pPr>
      <m:oMathPara>
        <m:oMath>
          <m:r>
            <w:rPr>
              <w:rFonts w:ascii="Cambria Math" w:hAnsi="Cambria Math" w:cs="Times New Roman"/>
              <w:sz w:val="24"/>
              <w:szCs w:val="24"/>
            </w:rPr>
            <m:t>∆ W=</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 xml:space="preserve"> </m:t>
                  </m:r>
                </m:sub>
                <m:sup>
                  <m:r>
                    <w:rPr>
                      <w:rFonts w:ascii="Cambria Math" w:hAnsi="Cambria Math" w:cs="Times New Roman"/>
                      <w:sz w:val="24"/>
                      <w:szCs w:val="24"/>
                    </w:rPr>
                    <m:t xml:space="preserve">2016 </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 xml:space="preserve"> </m:t>
                  </m:r>
                </m:sub>
                <m:sup>
                  <m:r>
                    <w:rPr>
                      <w:rFonts w:ascii="Cambria Math" w:hAnsi="Cambria Math" w:cs="Times New Roman"/>
                      <w:sz w:val="24"/>
                      <w:szCs w:val="24"/>
                    </w:rPr>
                    <m:t>2006</m:t>
                  </m:r>
                </m:sup>
              </m:sSubSup>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 xml:space="preserve"> </m:t>
              </m:r>
            </m:sub>
            <m:sup>
              <m:r>
                <w:rPr>
                  <w:rFonts w:ascii="Cambria Math" w:hAnsi="Cambria Math" w:cs="Times New Roman"/>
                  <w:sz w:val="24"/>
                  <w:szCs w:val="24"/>
                </w:rPr>
                <m:t xml:space="preserve">2006 </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 xml:space="preserve"> </m:t>
                  </m:r>
                </m:sub>
                <m:sup>
                  <m:r>
                    <w:rPr>
                      <w:rFonts w:ascii="Cambria Math" w:hAnsi="Cambria Math" w:cs="Times New Roman"/>
                      <w:sz w:val="24"/>
                      <w:szCs w:val="24"/>
                    </w:rPr>
                    <m:t>2016</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 xml:space="preserve"> </m:t>
                  </m:r>
                </m:sub>
                <m:sup>
                  <m:r>
                    <w:rPr>
                      <w:rFonts w:ascii="Cambria Math" w:hAnsi="Cambria Math" w:cs="Times New Roman"/>
                      <w:sz w:val="24"/>
                      <w:szCs w:val="24"/>
                    </w:rPr>
                    <m:t>2006</m:t>
                  </m:r>
                </m:sup>
              </m:sSubSup>
            </m:e>
          </m:d>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2016</m:t>
              </m:r>
            </m:sub>
          </m:sSub>
        </m:oMath>
      </m:oMathPara>
    </w:p>
    <w:p w14:paraId="6BE6CB0A" w14:textId="1888A306" w:rsidR="00C349D3" w:rsidRPr="00412A54" w:rsidRDefault="00C349D3" w:rsidP="00C349D3">
      <w:pPr>
        <w:spacing w:line="240" w:lineRule="auto"/>
        <w:jc w:val="both"/>
        <w:outlineLvl w:val="0"/>
        <w:rPr>
          <w:rFonts w:ascii="Times New Roman" w:hAnsi="Times New Roman" w:cs="Times New Roman"/>
          <w:sz w:val="24"/>
          <w:szCs w:val="24"/>
        </w:rPr>
      </w:pPr>
      <w:r w:rsidRPr="00412A54">
        <w:rPr>
          <w:rFonts w:ascii="Times New Roman" w:hAnsi="Times New Roman" w:cs="Times New Roman"/>
          <w:sz w:val="24"/>
          <w:szCs w:val="24"/>
        </w:rPr>
        <w:t>Sendo W um vetor em linha contendo quatro elementos, sendo o primeiro o salário</w:t>
      </w:r>
      <w:r w:rsidR="0006250A" w:rsidRPr="00412A54">
        <w:rPr>
          <w:rFonts w:ascii="Times New Roman" w:hAnsi="Times New Roman" w:cs="Times New Roman"/>
          <w:sz w:val="24"/>
          <w:szCs w:val="24"/>
        </w:rPr>
        <w:t xml:space="preserve"> predito</w:t>
      </w:r>
      <w:r w:rsidRPr="00412A54">
        <w:rPr>
          <w:rFonts w:ascii="Times New Roman" w:hAnsi="Times New Roman" w:cs="Times New Roman"/>
          <w:sz w:val="24"/>
          <w:szCs w:val="24"/>
        </w:rPr>
        <w:t xml:space="preserve"> para os indivíduos na primeira categoria ocupacional (manual e rotineira), o segundo o salário predito para os trabalhadores na segunda categoria ocupacional (não manual e rotineira) e assim sucessivamente até os trabalhadores não manuais não rotineiros; e </w:t>
      </w:r>
      <m:oMath>
        <m:r>
          <w:rPr>
            <w:rFonts w:ascii="Cambria Math" w:hAnsi="Cambria Math" w:cs="Times New Roman"/>
            <w:sz w:val="24"/>
            <w:szCs w:val="24"/>
          </w:rPr>
          <m:t>π</m:t>
        </m:r>
      </m:oMath>
      <w:r w:rsidRPr="00412A54">
        <w:rPr>
          <w:rFonts w:ascii="Times New Roman" w:hAnsi="Times New Roman" w:cs="Times New Roman"/>
          <w:sz w:val="24"/>
          <w:szCs w:val="24"/>
        </w:rPr>
        <w:t xml:space="preserve"> um vetor coluna representando as proporções de trabalhadores em cada uma das quatro categorias ocupacionais. </w:t>
      </w:r>
    </w:p>
    <w:p w14:paraId="10082510" w14:textId="77777777" w:rsidR="00C349D3" w:rsidRPr="00412A54" w:rsidRDefault="00C349D3" w:rsidP="00C349D3">
      <w:pPr>
        <w:spacing w:line="240" w:lineRule="auto"/>
        <w:jc w:val="both"/>
        <w:outlineLvl w:val="0"/>
        <w:rPr>
          <w:rFonts w:ascii="Times New Roman" w:hAnsi="Times New Roman" w:cs="Times New Roman"/>
          <w:sz w:val="24"/>
          <w:szCs w:val="24"/>
        </w:rPr>
      </w:pPr>
      <w:r w:rsidRPr="00412A54">
        <w:rPr>
          <w:rFonts w:ascii="Times New Roman" w:hAnsi="Times New Roman" w:cs="Times New Roman"/>
          <w:sz w:val="24"/>
          <w:szCs w:val="24"/>
        </w:rPr>
        <w:t>O primeiro termo nos traz o quanto da variação observada entre 2006 e 2016 está relacionada a mudanças no salário e o segundo termo indica o quanto desta variação pode ser atribuída à mudança nas proporções de trabalhadores alocados entre as categorias ocupacionais.</w:t>
      </w:r>
    </w:p>
    <w:p w14:paraId="238295FB" w14:textId="2A4B9353" w:rsidR="00C349D3" w:rsidRPr="00412A54" w:rsidRDefault="00C349D3" w:rsidP="00C349D3">
      <w:pPr>
        <w:spacing w:line="240" w:lineRule="auto"/>
        <w:jc w:val="both"/>
        <w:outlineLvl w:val="0"/>
        <w:rPr>
          <w:rFonts w:ascii="Times New Roman" w:hAnsi="Times New Roman" w:cs="Times New Roman"/>
          <w:sz w:val="24"/>
          <w:szCs w:val="24"/>
        </w:rPr>
      </w:pPr>
      <w:r w:rsidRPr="00412A54">
        <w:rPr>
          <w:rFonts w:ascii="Times New Roman" w:hAnsi="Times New Roman" w:cs="Times New Roman"/>
          <w:sz w:val="24"/>
          <w:szCs w:val="24"/>
        </w:rPr>
        <w:t xml:space="preserve">Os resultados deste exercício apontam que ao decompormos o crescimento do salário isolando os efeitos da composição ocupacional, a porção relacionada à variação do salário explicou </w:t>
      </w:r>
      <w:r w:rsidR="00EC3839" w:rsidRPr="00412A54">
        <w:rPr>
          <w:rFonts w:ascii="Times New Roman" w:hAnsi="Times New Roman" w:cs="Times New Roman"/>
          <w:sz w:val="24"/>
          <w:szCs w:val="24"/>
        </w:rPr>
        <w:t>78</w:t>
      </w:r>
      <w:r w:rsidRPr="00412A54">
        <w:rPr>
          <w:rFonts w:ascii="Times New Roman" w:hAnsi="Times New Roman" w:cs="Times New Roman"/>
          <w:sz w:val="24"/>
          <w:szCs w:val="24"/>
        </w:rPr>
        <w:t xml:space="preserve">% do total da variação encontrada no período. Por sua vez, o termo relativo à mudança de proporções de trabalhadores nas ocupações correspondeu a </w:t>
      </w:r>
      <w:r w:rsidR="00EC3839" w:rsidRPr="00412A54">
        <w:rPr>
          <w:rFonts w:ascii="Times New Roman" w:hAnsi="Times New Roman" w:cs="Times New Roman"/>
          <w:sz w:val="24"/>
          <w:szCs w:val="24"/>
        </w:rPr>
        <w:t>apenas 21</w:t>
      </w:r>
      <w:r w:rsidRPr="00412A54">
        <w:rPr>
          <w:rFonts w:ascii="Times New Roman" w:hAnsi="Times New Roman" w:cs="Times New Roman"/>
          <w:sz w:val="24"/>
          <w:szCs w:val="24"/>
        </w:rPr>
        <w:t xml:space="preserve">% do total da variação salarial. </w:t>
      </w:r>
      <w:r w:rsidR="00EC3839" w:rsidRPr="00412A54">
        <w:rPr>
          <w:rFonts w:ascii="Times New Roman" w:hAnsi="Times New Roman" w:cs="Times New Roman"/>
          <w:sz w:val="24"/>
          <w:szCs w:val="24"/>
        </w:rPr>
        <w:t>Em números absolutos, vemos que a diferença entre a média dos salários preditos entre os anos era de R$537,47, sendo R$116,70 atribuído a variação da alocação dos indivíduos entre as categorias ocupacionais e R$ 420,77 relacionados a ampliação dos salários.</w:t>
      </w:r>
    </w:p>
    <w:p w14:paraId="63C07661" w14:textId="7B6C8F0C" w:rsidR="00C349D3" w:rsidRPr="00412A54" w:rsidRDefault="00C349D3" w:rsidP="00C349D3">
      <w:pPr>
        <w:spacing w:line="240" w:lineRule="auto"/>
        <w:jc w:val="both"/>
        <w:outlineLvl w:val="0"/>
        <w:rPr>
          <w:rFonts w:ascii="Times New Roman" w:hAnsi="Times New Roman" w:cs="Times New Roman"/>
          <w:sz w:val="24"/>
          <w:szCs w:val="24"/>
        </w:rPr>
      </w:pPr>
      <w:r w:rsidRPr="00412A54">
        <w:rPr>
          <w:rFonts w:ascii="Times New Roman" w:hAnsi="Times New Roman" w:cs="Times New Roman"/>
          <w:sz w:val="24"/>
          <w:szCs w:val="24"/>
        </w:rPr>
        <w:lastRenderedPageBreak/>
        <w:t xml:space="preserve">Assim, este exercício reforça que a baixa alteração na composição ocupacional brasileira implicou em menor aumento nas médias salariais no período. Isto </w:t>
      </w:r>
      <w:r w:rsidR="00DC2FBF" w:rsidRPr="00412A54">
        <w:rPr>
          <w:rFonts w:ascii="Times New Roman" w:hAnsi="Times New Roman" w:cs="Times New Roman"/>
          <w:sz w:val="24"/>
          <w:szCs w:val="24"/>
        </w:rPr>
        <w:t xml:space="preserve">sugere </w:t>
      </w:r>
      <w:r w:rsidRPr="00412A54">
        <w:rPr>
          <w:rFonts w:ascii="Times New Roman" w:hAnsi="Times New Roman" w:cs="Times New Roman"/>
          <w:sz w:val="24"/>
          <w:szCs w:val="24"/>
        </w:rPr>
        <w:t xml:space="preserve">que caso o país tivesse logrado êxito em ampliar substancialmente seus empregos qualificados, a média de rendimentos </w:t>
      </w:r>
      <w:r w:rsidR="00DC2FBF" w:rsidRPr="00412A54">
        <w:rPr>
          <w:rFonts w:ascii="Times New Roman" w:hAnsi="Times New Roman" w:cs="Times New Roman"/>
          <w:sz w:val="24"/>
          <w:szCs w:val="24"/>
        </w:rPr>
        <w:t>n</w:t>
      </w:r>
      <w:r w:rsidRPr="00412A54">
        <w:rPr>
          <w:rFonts w:ascii="Times New Roman" w:hAnsi="Times New Roman" w:cs="Times New Roman"/>
          <w:sz w:val="24"/>
          <w:szCs w:val="24"/>
        </w:rPr>
        <w:t xml:space="preserve">o ano de 2016 poderia exceder a de 2006 num montante bem maior que o verificado, situação em que a renda média nacional se elevaria mais fortemente. </w:t>
      </w:r>
    </w:p>
    <w:p w14:paraId="698A49EB" w14:textId="4A0040F9" w:rsidR="00C349D3" w:rsidRPr="00412A54" w:rsidRDefault="00C349D3" w:rsidP="00C349D3">
      <w:pPr>
        <w:spacing w:line="240" w:lineRule="auto"/>
        <w:jc w:val="both"/>
        <w:outlineLvl w:val="0"/>
        <w:rPr>
          <w:rFonts w:ascii="Times New Roman" w:hAnsi="Times New Roman" w:cs="Times New Roman"/>
          <w:sz w:val="24"/>
          <w:szCs w:val="24"/>
        </w:rPr>
      </w:pPr>
      <w:r w:rsidRPr="00412A54">
        <w:rPr>
          <w:rFonts w:ascii="Times New Roman" w:hAnsi="Times New Roman" w:cs="Times New Roman"/>
          <w:sz w:val="24"/>
          <w:szCs w:val="24"/>
        </w:rPr>
        <w:t xml:space="preserve">A fim de ilustrar este argumento, propomos um segundo exercício de </w:t>
      </w:r>
      <w:r w:rsidR="00D1461E" w:rsidRPr="00412A54">
        <w:rPr>
          <w:rFonts w:ascii="Times New Roman" w:hAnsi="Times New Roman" w:cs="Times New Roman"/>
          <w:sz w:val="24"/>
          <w:szCs w:val="24"/>
        </w:rPr>
        <w:t>simulação</w:t>
      </w:r>
      <w:r w:rsidRPr="00412A54">
        <w:rPr>
          <w:rFonts w:ascii="Times New Roman" w:hAnsi="Times New Roman" w:cs="Times New Roman"/>
          <w:sz w:val="24"/>
          <w:szCs w:val="24"/>
        </w:rPr>
        <w:t xml:space="preserve"> compararmos a distribuição de trabalhadores brasileiros entre estas categorias ocupacionais com a verificada nos EUA. Ou seja, verificaremos o quanto nosso salário médio auferido em 2016 poderia ter sido maior caso tivéssemos atingido a distribuição ocupacional típica dos EUA no período. </w:t>
      </w:r>
    </w:p>
    <w:p w14:paraId="79429EAD" w14:textId="622F43A5" w:rsidR="00C349D3" w:rsidRPr="00412A54" w:rsidRDefault="00C349D3" w:rsidP="00C349D3">
      <w:pPr>
        <w:spacing w:line="240" w:lineRule="auto"/>
        <w:jc w:val="both"/>
        <w:outlineLvl w:val="0"/>
        <w:rPr>
          <w:rFonts w:ascii="Times New Roman" w:hAnsi="Times New Roman" w:cs="Times New Roman"/>
          <w:sz w:val="24"/>
          <w:szCs w:val="24"/>
        </w:rPr>
      </w:pPr>
      <w:r w:rsidRPr="00412A54">
        <w:rPr>
          <w:rFonts w:ascii="Times New Roman" w:hAnsi="Times New Roman" w:cs="Times New Roman"/>
          <w:sz w:val="24"/>
          <w:szCs w:val="24"/>
        </w:rPr>
        <w:t>Para tanto, usamos dados mais atualizados do mercado de trabalho americano presentes em Foote</w:t>
      </w:r>
      <w:r w:rsidR="00C2477C" w:rsidRPr="00412A54">
        <w:rPr>
          <w:rFonts w:ascii="Times New Roman" w:hAnsi="Times New Roman" w:cs="Times New Roman"/>
          <w:sz w:val="24"/>
          <w:szCs w:val="24"/>
        </w:rPr>
        <w:t xml:space="preserve"> e</w:t>
      </w:r>
      <w:r w:rsidRPr="00412A54">
        <w:rPr>
          <w:rFonts w:ascii="Times New Roman" w:hAnsi="Times New Roman" w:cs="Times New Roman"/>
          <w:sz w:val="24"/>
          <w:szCs w:val="24"/>
        </w:rPr>
        <w:t xml:space="preserve"> Ryan (2015) para a distribuição dos empregos americanos entre as quatro categorias ocupacionais para o ano de 2010. </w:t>
      </w:r>
      <w:bookmarkStart w:id="40" w:name="OLE_LINK3"/>
      <w:bookmarkStart w:id="41" w:name="OLE_LINK4"/>
      <w:r w:rsidRPr="00412A54">
        <w:rPr>
          <w:rFonts w:ascii="Times New Roman" w:hAnsi="Times New Roman" w:cs="Times New Roman"/>
          <w:sz w:val="24"/>
          <w:szCs w:val="24"/>
        </w:rPr>
        <w:t xml:space="preserve">Foote e Ryan (2015) </w:t>
      </w:r>
      <w:bookmarkEnd w:id="40"/>
      <w:bookmarkEnd w:id="41"/>
      <w:r w:rsidRPr="00412A54">
        <w:rPr>
          <w:rFonts w:ascii="Times New Roman" w:hAnsi="Times New Roman" w:cs="Times New Roman"/>
          <w:sz w:val="24"/>
          <w:szCs w:val="24"/>
        </w:rPr>
        <w:t xml:space="preserve">classificam suas ocupações seguindo a metodologia inaugurada em Autor, Levy e Murnane (2003) utilizando dados da </w:t>
      </w:r>
      <w:r w:rsidRPr="00412A54">
        <w:rPr>
          <w:rFonts w:ascii="Times New Roman" w:hAnsi="Times New Roman" w:cs="Times New Roman"/>
          <w:i/>
          <w:sz w:val="24"/>
          <w:szCs w:val="24"/>
        </w:rPr>
        <w:t xml:space="preserve">The Integrated Public Use Microdata Series (IPUMS) </w:t>
      </w:r>
      <w:r w:rsidRPr="00412A54">
        <w:rPr>
          <w:rFonts w:ascii="Times New Roman" w:hAnsi="Times New Roman" w:cs="Times New Roman"/>
          <w:sz w:val="24"/>
          <w:szCs w:val="24"/>
        </w:rPr>
        <w:t>para os anos de 1950 a 2010. Uma limitação obvia do exercício decorre do fato de que a informação mais recente para os EUA encontrada com compatibilidade com nossa classificação foi para o ano de 2010. Seguindo, portanto, a classificação de Foote e Ryan (2015), a distribuição aproximada dos trabalhadores americanos em 2010 segue o descrito na tabela abaixo:</w:t>
      </w:r>
    </w:p>
    <w:p w14:paraId="0BCE38AE" w14:textId="77777777" w:rsidR="00C349D3" w:rsidRPr="00412A54" w:rsidRDefault="00C349D3" w:rsidP="00C349D3">
      <w:pPr>
        <w:spacing w:line="240" w:lineRule="auto"/>
        <w:jc w:val="both"/>
        <w:outlineLvl w:val="0"/>
        <w:rPr>
          <w:rFonts w:ascii="Times New Roman" w:hAnsi="Times New Roman" w:cs="Times New Roman"/>
          <w:sz w:val="24"/>
          <w:szCs w:val="24"/>
        </w:rPr>
      </w:pPr>
    </w:p>
    <w:p w14:paraId="4D749120" w14:textId="77777777" w:rsidR="00C349D3" w:rsidRPr="00412A54" w:rsidRDefault="00C349D3" w:rsidP="00C349D3">
      <w:pPr>
        <w:pStyle w:val="Legenda"/>
        <w:keepNext/>
        <w:jc w:val="center"/>
        <w:rPr>
          <w:rFonts w:ascii="Times New Roman" w:hAnsi="Times New Roman" w:cs="Times New Roman"/>
          <w:b/>
          <w:i w:val="0"/>
          <w:color w:val="auto"/>
          <w:sz w:val="24"/>
          <w:szCs w:val="24"/>
        </w:rPr>
      </w:pPr>
      <w:r w:rsidRPr="00412A54">
        <w:rPr>
          <w:rFonts w:ascii="Times New Roman" w:hAnsi="Times New Roman" w:cs="Times New Roman"/>
          <w:b/>
          <w:i w:val="0"/>
          <w:color w:val="auto"/>
          <w:sz w:val="24"/>
          <w:szCs w:val="24"/>
        </w:rPr>
        <w:t xml:space="preserve">Tabela </w:t>
      </w:r>
      <w:r w:rsidRPr="00412A54">
        <w:rPr>
          <w:rFonts w:ascii="Times New Roman" w:hAnsi="Times New Roman" w:cs="Times New Roman"/>
          <w:b/>
          <w:i w:val="0"/>
          <w:color w:val="auto"/>
          <w:sz w:val="24"/>
          <w:szCs w:val="24"/>
        </w:rPr>
        <w:fldChar w:fldCharType="begin"/>
      </w:r>
      <w:r w:rsidRPr="00412A54">
        <w:rPr>
          <w:rFonts w:ascii="Times New Roman" w:hAnsi="Times New Roman" w:cs="Times New Roman"/>
          <w:b/>
          <w:i w:val="0"/>
          <w:color w:val="auto"/>
          <w:sz w:val="24"/>
          <w:szCs w:val="24"/>
        </w:rPr>
        <w:instrText xml:space="preserve"> SEQ Tabela \* ARABIC </w:instrText>
      </w:r>
      <w:r w:rsidRPr="00412A54">
        <w:rPr>
          <w:rFonts w:ascii="Times New Roman" w:hAnsi="Times New Roman" w:cs="Times New Roman"/>
          <w:b/>
          <w:i w:val="0"/>
          <w:color w:val="auto"/>
          <w:sz w:val="24"/>
          <w:szCs w:val="24"/>
        </w:rPr>
        <w:fldChar w:fldCharType="separate"/>
      </w:r>
      <w:r w:rsidRPr="00412A54">
        <w:rPr>
          <w:rFonts w:ascii="Times New Roman" w:hAnsi="Times New Roman" w:cs="Times New Roman"/>
          <w:b/>
          <w:i w:val="0"/>
          <w:noProof/>
          <w:color w:val="auto"/>
          <w:sz w:val="24"/>
          <w:szCs w:val="24"/>
        </w:rPr>
        <w:t>3</w:t>
      </w:r>
      <w:r w:rsidRPr="00412A54">
        <w:rPr>
          <w:rFonts w:ascii="Times New Roman" w:hAnsi="Times New Roman" w:cs="Times New Roman"/>
          <w:b/>
          <w:i w:val="0"/>
          <w:color w:val="auto"/>
          <w:sz w:val="24"/>
          <w:szCs w:val="24"/>
        </w:rPr>
        <w:fldChar w:fldCharType="end"/>
      </w:r>
      <w:r w:rsidRPr="00412A54">
        <w:rPr>
          <w:rFonts w:ascii="Times New Roman" w:hAnsi="Times New Roman" w:cs="Times New Roman"/>
          <w:b/>
          <w:i w:val="0"/>
          <w:color w:val="auto"/>
          <w:sz w:val="24"/>
          <w:szCs w:val="24"/>
        </w:rPr>
        <w:t xml:space="preserve"> – Distribuição da população americana nas categorias ocupacionais</w:t>
      </w:r>
    </w:p>
    <w:tbl>
      <w:tblPr>
        <w:tblW w:w="5580" w:type="dxa"/>
        <w:jc w:val="center"/>
        <w:tblCellMar>
          <w:left w:w="70" w:type="dxa"/>
          <w:right w:w="70" w:type="dxa"/>
        </w:tblCellMar>
        <w:tblLook w:val="04A0" w:firstRow="1" w:lastRow="0" w:firstColumn="1" w:lastColumn="0" w:noHBand="0" w:noVBand="1"/>
      </w:tblPr>
      <w:tblGrid>
        <w:gridCol w:w="3080"/>
        <w:gridCol w:w="2500"/>
      </w:tblGrid>
      <w:tr w:rsidR="00412A54" w:rsidRPr="00412A54" w14:paraId="53084EE5" w14:textId="77777777" w:rsidTr="00C349D3">
        <w:trPr>
          <w:trHeight w:val="300"/>
          <w:jc w:val="center"/>
        </w:trPr>
        <w:tc>
          <w:tcPr>
            <w:tcW w:w="3080" w:type="dxa"/>
            <w:tcBorders>
              <w:top w:val="single" w:sz="4" w:space="0" w:color="auto"/>
              <w:left w:val="nil"/>
              <w:bottom w:val="single" w:sz="4" w:space="0" w:color="auto"/>
              <w:right w:val="nil"/>
            </w:tcBorders>
            <w:shd w:val="clear" w:color="auto" w:fill="auto"/>
            <w:noWrap/>
            <w:vAlign w:val="bottom"/>
            <w:hideMark/>
          </w:tcPr>
          <w:p w14:paraId="0BF04A86" w14:textId="77777777" w:rsidR="00C349D3" w:rsidRPr="00412A54" w:rsidRDefault="00C349D3" w:rsidP="00C349D3">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Categoria</w:t>
            </w:r>
          </w:p>
        </w:tc>
        <w:tc>
          <w:tcPr>
            <w:tcW w:w="2500" w:type="dxa"/>
            <w:tcBorders>
              <w:top w:val="single" w:sz="4" w:space="0" w:color="auto"/>
              <w:left w:val="nil"/>
              <w:bottom w:val="single" w:sz="4" w:space="0" w:color="auto"/>
              <w:right w:val="nil"/>
            </w:tcBorders>
            <w:shd w:val="clear" w:color="auto" w:fill="auto"/>
            <w:noWrap/>
            <w:vAlign w:val="bottom"/>
            <w:hideMark/>
          </w:tcPr>
          <w:p w14:paraId="1C67BE9D" w14:textId="77777777" w:rsidR="00C349D3" w:rsidRPr="00412A54" w:rsidRDefault="00C349D3" w:rsidP="00C349D3">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 xml:space="preserve">Percentual da População </w:t>
            </w:r>
          </w:p>
        </w:tc>
      </w:tr>
      <w:tr w:rsidR="00412A54" w:rsidRPr="00412A54" w14:paraId="30F1FD18" w14:textId="77777777" w:rsidTr="00C349D3">
        <w:trPr>
          <w:trHeight w:val="300"/>
          <w:jc w:val="center"/>
        </w:trPr>
        <w:tc>
          <w:tcPr>
            <w:tcW w:w="3080" w:type="dxa"/>
            <w:tcBorders>
              <w:top w:val="nil"/>
              <w:left w:val="nil"/>
              <w:bottom w:val="nil"/>
              <w:right w:val="nil"/>
            </w:tcBorders>
            <w:shd w:val="clear" w:color="auto" w:fill="auto"/>
            <w:noWrap/>
            <w:vAlign w:val="bottom"/>
            <w:hideMark/>
          </w:tcPr>
          <w:p w14:paraId="00C79A6F" w14:textId="77777777" w:rsidR="00C349D3" w:rsidRPr="00412A54" w:rsidRDefault="00C349D3" w:rsidP="00C349D3">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Manual Rotineira</w:t>
            </w:r>
          </w:p>
        </w:tc>
        <w:tc>
          <w:tcPr>
            <w:tcW w:w="2500" w:type="dxa"/>
            <w:tcBorders>
              <w:top w:val="nil"/>
              <w:left w:val="nil"/>
              <w:bottom w:val="nil"/>
              <w:right w:val="nil"/>
            </w:tcBorders>
            <w:shd w:val="clear" w:color="auto" w:fill="auto"/>
            <w:noWrap/>
            <w:vAlign w:val="bottom"/>
            <w:hideMark/>
          </w:tcPr>
          <w:p w14:paraId="047C55BE" w14:textId="77777777" w:rsidR="00C349D3" w:rsidRPr="00412A54" w:rsidRDefault="00C349D3" w:rsidP="00C349D3">
            <w:pPr>
              <w:spacing w:after="0" w:line="240" w:lineRule="auto"/>
              <w:jc w:val="right"/>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16%</w:t>
            </w:r>
          </w:p>
        </w:tc>
      </w:tr>
      <w:tr w:rsidR="00412A54" w:rsidRPr="00412A54" w14:paraId="4BFE7048" w14:textId="77777777" w:rsidTr="00C349D3">
        <w:trPr>
          <w:trHeight w:val="300"/>
          <w:jc w:val="center"/>
        </w:trPr>
        <w:tc>
          <w:tcPr>
            <w:tcW w:w="3080" w:type="dxa"/>
            <w:tcBorders>
              <w:top w:val="nil"/>
              <w:left w:val="nil"/>
              <w:bottom w:val="nil"/>
              <w:right w:val="nil"/>
            </w:tcBorders>
            <w:shd w:val="clear" w:color="auto" w:fill="auto"/>
            <w:noWrap/>
            <w:vAlign w:val="bottom"/>
            <w:hideMark/>
          </w:tcPr>
          <w:p w14:paraId="4E8740FE" w14:textId="77777777" w:rsidR="00C349D3" w:rsidRPr="00412A54" w:rsidRDefault="00C349D3" w:rsidP="00C349D3">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 xml:space="preserve">Manual Não Rotineira </w:t>
            </w:r>
          </w:p>
        </w:tc>
        <w:tc>
          <w:tcPr>
            <w:tcW w:w="2500" w:type="dxa"/>
            <w:tcBorders>
              <w:top w:val="nil"/>
              <w:left w:val="nil"/>
              <w:bottom w:val="nil"/>
              <w:right w:val="nil"/>
            </w:tcBorders>
            <w:shd w:val="clear" w:color="auto" w:fill="auto"/>
            <w:noWrap/>
            <w:vAlign w:val="bottom"/>
            <w:hideMark/>
          </w:tcPr>
          <w:p w14:paraId="35D51E76" w14:textId="77777777" w:rsidR="00C349D3" w:rsidRPr="00412A54" w:rsidRDefault="00C349D3" w:rsidP="00C349D3">
            <w:pPr>
              <w:spacing w:after="0" w:line="240" w:lineRule="auto"/>
              <w:jc w:val="right"/>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22%</w:t>
            </w:r>
          </w:p>
        </w:tc>
      </w:tr>
      <w:tr w:rsidR="00412A54" w:rsidRPr="00412A54" w14:paraId="1914618C" w14:textId="77777777" w:rsidTr="00C349D3">
        <w:trPr>
          <w:trHeight w:val="300"/>
          <w:jc w:val="center"/>
        </w:trPr>
        <w:tc>
          <w:tcPr>
            <w:tcW w:w="3080" w:type="dxa"/>
            <w:tcBorders>
              <w:top w:val="nil"/>
              <w:left w:val="nil"/>
              <w:bottom w:val="nil"/>
              <w:right w:val="nil"/>
            </w:tcBorders>
            <w:shd w:val="clear" w:color="auto" w:fill="auto"/>
            <w:noWrap/>
            <w:vAlign w:val="bottom"/>
            <w:hideMark/>
          </w:tcPr>
          <w:p w14:paraId="7B2644B5" w14:textId="77777777" w:rsidR="00C349D3" w:rsidRPr="00412A54" w:rsidRDefault="00C349D3" w:rsidP="00C349D3">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Não Manual Rotineira</w:t>
            </w:r>
          </w:p>
        </w:tc>
        <w:tc>
          <w:tcPr>
            <w:tcW w:w="2500" w:type="dxa"/>
            <w:tcBorders>
              <w:top w:val="nil"/>
              <w:left w:val="nil"/>
              <w:bottom w:val="nil"/>
              <w:right w:val="nil"/>
            </w:tcBorders>
            <w:shd w:val="clear" w:color="auto" w:fill="auto"/>
            <w:noWrap/>
            <w:vAlign w:val="bottom"/>
            <w:hideMark/>
          </w:tcPr>
          <w:p w14:paraId="0626C9B2" w14:textId="77777777" w:rsidR="00C349D3" w:rsidRPr="00412A54" w:rsidRDefault="00C349D3" w:rsidP="00C349D3">
            <w:pPr>
              <w:spacing w:after="0" w:line="240" w:lineRule="auto"/>
              <w:jc w:val="right"/>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22%</w:t>
            </w:r>
          </w:p>
        </w:tc>
      </w:tr>
      <w:tr w:rsidR="00412A54" w:rsidRPr="00412A54" w14:paraId="30F44B92" w14:textId="77777777" w:rsidTr="00C349D3">
        <w:trPr>
          <w:trHeight w:val="300"/>
          <w:jc w:val="center"/>
        </w:trPr>
        <w:tc>
          <w:tcPr>
            <w:tcW w:w="3080" w:type="dxa"/>
            <w:tcBorders>
              <w:top w:val="nil"/>
              <w:left w:val="nil"/>
              <w:bottom w:val="single" w:sz="4" w:space="0" w:color="auto"/>
              <w:right w:val="nil"/>
            </w:tcBorders>
            <w:shd w:val="clear" w:color="auto" w:fill="auto"/>
            <w:noWrap/>
            <w:vAlign w:val="bottom"/>
            <w:hideMark/>
          </w:tcPr>
          <w:p w14:paraId="3DEEEDF5" w14:textId="77777777" w:rsidR="00C349D3" w:rsidRPr="00412A54" w:rsidRDefault="00C349D3" w:rsidP="00C349D3">
            <w:pPr>
              <w:spacing w:after="0" w:line="240" w:lineRule="auto"/>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Não Manual Não Rotineira</w:t>
            </w:r>
          </w:p>
        </w:tc>
        <w:tc>
          <w:tcPr>
            <w:tcW w:w="2500" w:type="dxa"/>
            <w:tcBorders>
              <w:top w:val="nil"/>
              <w:left w:val="nil"/>
              <w:bottom w:val="single" w:sz="4" w:space="0" w:color="auto"/>
              <w:right w:val="nil"/>
            </w:tcBorders>
            <w:shd w:val="clear" w:color="auto" w:fill="auto"/>
            <w:noWrap/>
            <w:vAlign w:val="bottom"/>
            <w:hideMark/>
          </w:tcPr>
          <w:p w14:paraId="122BAF64" w14:textId="77777777" w:rsidR="00C349D3" w:rsidRPr="00412A54" w:rsidRDefault="00C349D3" w:rsidP="00C349D3">
            <w:pPr>
              <w:spacing w:after="0" w:line="240" w:lineRule="auto"/>
              <w:jc w:val="right"/>
              <w:rPr>
                <w:rFonts w:ascii="Times New Roman" w:eastAsia="Times New Roman" w:hAnsi="Times New Roman" w:cs="Times New Roman"/>
                <w:sz w:val="24"/>
                <w:szCs w:val="24"/>
                <w:lang w:eastAsia="pt-BR"/>
              </w:rPr>
            </w:pPr>
            <w:r w:rsidRPr="00412A54">
              <w:rPr>
                <w:rFonts w:ascii="Times New Roman" w:eastAsia="Times New Roman" w:hAnsi="Times New Roman" w:cs="Times New Roman"/>
                <w:sz w:val="24"/>
                <w:szCs w:val="24"/>
                <w:lang w:eastAsia="pt-BR"/>
              </w:rPr>
              <w:t>40%</w:t>
            </w:r>
          </w:p>
        </w:tc>
      </w:tr>
    </w:tbl>
    <w:p w14:paraId="2703FB61" w14:textId="274CFB08" w:rsidR="00C349D3" w:rsidRDefault="00C349D3" w:rsidP="00C349D3">
      <w:pPr>
        <w:spacing w:line="240" w:lineRule="auto"/>
        <w:jc w:val="both"/>
        <w:outlineLvl w:val="0"/>
        <w:rPr>
          <w:rFonts w:ascii="Times New Roman" w:hAnsi="Times New Roman" w:cs="Times New Roman"/>
          <w:sz w:val="20"/>
          <w:szCs w:val="20"/>
        </w:rPr>
      </w:pPr>
      <w:r w:rsidRPr="00412A54">
        <w:rPr>
          <w:rFonts w:ascii="Times New Roman" w:hAnsi="Times New Roman" w:cs="Times New Roman"/>
          <w:sz w:val="24"/>
          <w:szCs w:val="24"/>
        </w:rPr>
        <w:tab/>
      </w:r>
      <w:r w:rsidRPr="00412A54">
        <w:rPr>
          <w:rFonts w:ascii="Times New Roman" w:hAnsi="Times New Roman" w:cs="Times New Roman"/>
          <w:sz w:val="24"/>
          <w:szCs w:val="24"/>
        </w:rPr>
        <w:tab/>
        <w:t xml:space="preserve">   </w:t>
      </w:r>
      <w:r w:rsidRPr="00412A54">
        <w:rPr>
          <w:rFonts w:ascii="Times New Roman" w:hAnsi="Times New Roman" w:cs="Times New Roman"/>
          <w:sz w:val="20"/>
          <w:szCs w:val="20"/>
        </w:rPr>
        <w:t>Fonte: Elaboração Própria seguindo Foote e Ryan (2015)</w:t>
      </w:r>
    </w:p>
    <w:p w14:paraId="4F471E5F" w14:textId="77777777" w:rsidR="00210930" w:rsidRPr="00412A54" w:rsidRDefault="00210930" w:rsidP="00C349D3">
      <w:pPr>
        <w:spacing w:line="240" w:lineRule="auto"/>
        <w:jc w:val="both"/>
        <w:outlineLvl w:val="0"/>
        <w:rPr>
          <w:rFonts w:ascii="Times New Roman" w:hAnsi="Times New Roman" w:cs="Times New Roman"/>
          <w:sz w:val="20"/>
          <w:szCs w:val="20"/>
        </w:rPr>
      </w:pPr>
    </w:p>
    <w:p w14:paraId="5ECF7BD2" w14:textId="223609F2" w:rsidR="00C349D3" w:rsidRDefault="00C349D3" w:rsidP="00C349D3">
      <w:pPr>
        <w:spacing w:line="240" w:lineRule="auto"/>
        <w:jc w:val="both"/>
        <w:outlineLvl w:val="0"/>
        <w:rPr>
          <w:rFonts w:ascii="Times New Roman" w:hAnsi="Times New Roman" w:cs="Times New Roman"/>
          <w:sz w:val="24"/>
          <w:szCs w:val="24"/>
        </w:rPr>
      </w:pPr>
      <w:r w:rsidRPr="00412A54">
        <w:rPr>
          <w:rFonts w:ascii="Times New Roman" w:hAnsi="Times New Roman" w:cs="Times New Roman"/>
          <w:sz w:val="24"/>
          <w:szCs w:val="24"/>
        </w:rPr>
        <w:t>Assim, a nossa segunda decomposição tomará a seguinte forma:</w:t>
      </w:r>
    </w:p>
    <w:p w14:paraId="58CE2159" w14:textId="3B5EFA72" w:rsidR="00C349D3" w:rsidRPr="00210930" w:rsidRDefault="00C349D3" w:rsidP="00C349D3">
      <w:pPr>
        <w:spacing w:line="240" w:lineRule="auto"/>
        <w:jc w:val="both"/>
        <w:outlineLvl w:val="0"/>
        <w:rPr>
          <w:rFonts w:ascii="Times New Roman" w:eastAsiaTheme="minorEastAsia" w:hAnsi="Times New Roman" w:cs="Times New Roman"/>
          <w:sz w:val="24"/>
          <w:szCs w:val="24"/>
        </w:rPr>
      </w:pPr>
      <m:oMathPara>
        <m:oMath>
          <m:r>
            <w:rPr>
              <w:rFonts w:ascii="Cambria Math" w:hAnsi="Cambria Math" w:cs="Times New Roman"/>
              <w:sz w:val="24"/>
              <w:szCs w:val="24"/>
            </w:rPr>
            <m:t>∆W=</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2016</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2006</m:t>
                  </m:r>
                </m:sup>
              </m:sSup>
            </m:e>
          </m:d>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BRA</m:t>
              </m:r>
            </m:sub>
            <m:sup>
              <m:r>
                <w:rPr>
                  <w:rFonts w:ascii="Cambria Math" w:hAnsi="Cambria Math" w:cs="Times New Roman"/>
                  <w:sz w:val="24"/>
                  <w:szCs w:val="24"/>
                </w:rPr>
                <m:t>2006</m:t>
              </m:r>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EUA</m:t>
                  </m:r>
                </m:sub>
                <m:sup>
                  <m:r>
                    <w:rPr>
                      <w:rFonts w:ascii="Cambria Math" w:eastAsiaTheme="minorEastAsia" w:hAnsi="Cambria Math" w:cs="Times New Roman"/>
                      <w:sz w:val="24"/>
                      <w:szCs w:val="24"/>
                    </w:rPr>
                    <m:t>2016</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BRA</m:t>
                  </m:r>
                </m:sub>
                <m:sup>
                  <m:r>
                    <w:rPr>
                      <w:rFonts w:ascii="Cambria Math" w:eastAsiaTheme="minorEastAsia" w:hAnsi="Cambria Math" w:cs="Times New Roman"/>
                      <w:sz w:val="24"/>
                      <w:szCs w:val="24"/>
                    </w:rPr>
                    <m:t>2006</m:t>
                  </m:r>
                </m:sup>
              </m:sSubSup>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2016</m:t>
              </m:r>
            </m:sup>
          </m:sSup>
        </m:oMath>
      </m:oMathPara>
    </w:p>
    <w:p w14:paraId="3210E24F" w14:textId="51043392" w:rsidR="00672197" w:rsidRPr="00412A54" w:rsidRDefault="00DC2FBF" w:rsidP="00672197">
      <w:pPr>
        <w:jc w:val="both"/>
        <w:outlineLvl w:val="0"/>
        <w:rPr>
          <w:rFonts w:ascii="Times New Roman" w:hAnsi="Times New Roman" w:cs="Times New Roman"/>
          <w:sz w:val="24"/>
          <w:szCs w:val="24"/>
        </w:rPr>
      </w:pPr>
      <w:r w:rsidRPr="00412A54">
        <w:rPr>
          <w:rFonts w:ascii="Times New Roman" w:hAnsi="Times New Roman" w:cs="Times New Roman"/>
          <w:sz w:val="24"/>
          <w:szCs w:val="24"/>
        </w:rPr>
        <w:t xml:space="preserve">Portanto, ao atribuirmos a distribuição ocupacional americana para o mercado de trabalho brasileiro observamos que nossas médias salariais poderiam atingir o valor de R$ </w:t>
      </w:r>
      <w:r w:rsidR="00EC3839" w:rsidRPr="00412A54">
        <w:rPr>
          <w:rFonts w:ascii="Times New Roman" w:hAnsi="Times New Roman" w:cs="Times New Roman"/>
          <w:sz w:val="24"/>
          <w:szCs w:val="24"/>
        </w:rPr>
        <w:t>3177,38</w:t>
      </w:r>
      <w:r w:rsidRPr="00412A54">
        <w:rPr>
          <w:rFonts w:ascii="Times New Roman" w:hAnsi="Times New Roman" w:cs="Times New Roman"/>
          <w:sz w:val="24"/>
          <w:szCs w:val="24"/>
        </w:rPr>
        <w:t xml:space="preserve">. Este resultado indica que um aumento de </w:t>
      </w:r>
      <w:r w:rsidR="00EC3839" w:rsidRPr="00412A54">
        <w:rPr>
          <w:rFonts w:ascii="Times New Roman" w:hAnsi="Times New Roman" w:cs="Times New Roman"/>
          <w:sz w:val="24"/>
          <w:szCs w:val="24"/>
        </w:rPr>
        <w:t>12</w:t>
      </w:r>
      <w:r w:rsidRPr="00412A54">
        <w:rPr>
          <w:rFonts w:ascii="Times New Roman" w:hAnsi="Times New Roman" w:cs="Times New Roman"/>
          <w:sz w:val="24"/>
          <w:szCs w:val="24"/>
        </w:rPr>
        <w:t xml:space="preserve">% em nossa </w:t>
      </w:r>
      <w:r w:rsidR="00EC3839" w:rsidRPr="00412A54">
        <w:rPr>
          <w:rFonts w:ascii="Times New Roman" w:hAnsi="Times New Roman" w:cs="Times New Roman"/>
          <w:sz w:val="24"/>
          <w:szCs w:val="24"/>
        </w:rPr>
        <w:t>média</w:t>
      </w:r>
      <w:r w:rsidRPr="00412A54">
        <w:rPr>
          <w:rFonts w:ascii="Times New Roman" w:hAnsi="Times New Roman" w:cs="Times New Roman"/>
          <w:sz w:val="24"/>
          <w:szCs w:val="24"/>
        </w:rPr>
        <w:t xml:space="preserve"> salarial poderia ser obtido através de uma realocação dos trabalhadores em direção à postos de trabalho intensivos em habilidades complexas. Ou seja, </w:t>
      </w:r>
      <w:r w:rsidR="002507B5" w:rsidRPr="00412A54">
        <w:rPr>
          <w:rFonts w:ascii="Times New Roman" w:hAnsi="Times New Roman" w:cs="Times New Roman"/>
          <w:sz w:val="24"/>
          <w:szCs w:val="24"/>
        </w:rPr>
        <w:t xml:space="preserve">o fato de identificarmos certa rigidez na mudança de nossa estrutura ocupacional implica em uma compressão dos salários em um nível mais baixo. </w:t>
      </w:r>
      <w:r w:rsidRPr="00412A54">
        <w:rPr>
          <w:rFonts w:ascii="Times New Roman" w:hAnsi="Times New Roman" w:cs="Times New Roman"/>
          <w:sz w:val="24"/>
          <w:szCs w:val="24"/>
        </w:rPr>
        <w:t xml:space="preserve">  </w:t>
      </w:r>
    </w:p>
    <w:p w14:paraId="00114857" w14:textId="2EFC0E08" w:rsidR="00672197" w:rsidRPr="00412A54" w:rsidRDefault="00DC2FBF" w:rsidP="00F9295A">
      <w:pPr>
        <w:jc w:val="both"/>
        <w:outlineLvl w:val="0"/>
        <w:rPr>
          <w:rFonts w:ascii="Times New Roman" w:hAnsi="Times New Roman" w:cs="Times New Roman"/>
          <w:sz w:val="24"/>
          <w:szCs w:val="24"/>
        </w:rPr>
      </w:pPr>
      <w:r w:rsidRPr="00412A54">
        <w:rPr>
          <w:rFonts w:ascii="Times New Roman" w:hAnsi="Times New Roman" w:cs="Times New Roman"/>
          <w:sz w:val="24"/>
          <w:szCs w:val="24"/>
        </w:rPr>
        <w:t>É válido pontuar que este exercício de simulação é baseado em hipóteses fortes</w:t>
      </w:r>
      <w:r w:rsidR="002507B5" w:rsidRPr="00412A54">
        <w:rPr>
          <w:rFonts w:ascii="Times New Roman" w:hAnsi="Times New Roman" w:cs="Times New Roman"/>
          <w:sz w:val="24"/>
          <w:szCs w:val="24"/>
        </w:rPr>
        <w:t xml:space="preserve">. Uma limitação desta análise se refere ao fato de que assumimos que ao alterar a composição ocupacional não há modificações nos prêmios salariais típicos de cada ocupação. Também desconsideramos diferenças fundamentais entre os mercados de trabalho brasileiro e americano que implicam em estruturas ocupacionais fundamentalmente </w:t>
      </w:r>
      <w:r w:rsidR="002507B5" w:rsidRPr="00412A54">
        <w:rPr>
          <w:rFonts w:ascii="Times New Roman" w:hAnsi="Times New Roman" w:cs="Times New Roman"/>
          <w:sz w:val="24"/>
          <w:szCs w:val="24"/>
        </w:rPr>
        <w:lastRenderedPageBreak/>
        <w:t>distintas</w:t>
      </w:r>
      <w:r w:rsidR="00EC3839" w:rsidRPr="00412A54">
        <w:rPr>
          <w:rFonts w:ascii="Times New Roman" w:hAnsi="Times New Roman" w:cs="Times New Roman"/>
          <w:sz w:val="24"/>
          <w:szCs w:val="24"/>
        </w:rPr>
        <w:t>.</w:t>
      </w:r>
      <w:r w:rsidR="003D2D7D" w:rsidRPr="00412A54">
        <w:rPr>
          <w:rFonts w:ascii="Times New Roman" w:hAnsi="Times New Roman" w:cs="Times New Roman"/>
          <w:sz w:val="24"/>
          <w:szCs w:val="24"/>
        </w:rPr>
        <w:t xml:space="preserve"> </w:t>
      </w:r>
      <w:r w:rsidR="002507B5" w:rsidRPr="00412A54">
        <w:rPr>
          <w:rFonts w:ascii="Times New Roman" w:hAnsi="Times New Roman" w:cs="Times New Roman"/>
          <w:sz w:val="24"/>
          <w:szCs w:val="24"/>
        </w:rPr>
        <w:t>A despeito destas limitações, o exercício atinge o objetivo de demonstrar como poderíamos atingir uma elevação da média salarial através de u</w:t>
      </w:r>
      <w:r w:rsidR="00EC3839" w:rsidRPr="00412A54">
        <w:rPr>
          <w:rFonts w:ascii="Times New Roman" w:hAnsi="Times New Roman" w:cs="Times New Roman"/>
          <w:sz w:val="24"/>
          <w:szCs w:val="24"/>
        </w:rPr>
        <w:t>m</w:t>
      </w:r>
      <w:r w:rsidR="002507B5" w:rsidRPr="00412A54">
        <w:rPr>
          <w:rFonts w:ascii="Times New Roman" w:hAnsi="Times New Roman" w:cs="Times New Roman"/>
          <w:sz w:val="24"/>
          <w:szCs w:val="24"/>
        </w:rPr>
        <w:t>a mudança na estrutura ocupacional.</w:t>
      </w:r>
    </w:p>
    <w:p w14:paraId="61A8F9C5" w14:textId="0585016C" w:rsidR="00A34252" w:rsidRPr="00412A54" w:rsidRDefault="00DF30D0" w:rsidP="00B36223">
      <w:pPr>
        <w:ind w:firstLine="360"/>
        <w:jc w:val="both"/>
        <w:outlineLvl w:val="0"/>
        <w:rPr>
          <w:rFonts w:ascii="Times New Roman" w:hAnsi="Times New Roman" w:cs="Times New Roman"/>
          <w:b/>
          <w:sz w:val="24"/>
          <w:szCs w:val="24"/>
        </w:rPr>
      </w:pPr>
      <w:r w:rsidRPr="00412A54">
        <w:rPr>
          <w:rFonts w:ascii="Times New Roman" w:hAnsi="Times New Roman" w:cs="Times New Roman"/>
          <w:b/>
          <w:sz w:val="24"/>
          <w:szCs w:val="24"/>
        </w:rPr>
        <w:t xml:space="preserve">Considerações Finais </w:t>
      </w:r>
    </w:p>
    <w:p w14:paraId="57819B65" w14:textId="5BBE1C19" w:rsidR="00B36223" w:rsidRPr="00412A54" w:rsidRDefault="003D2D7D" w:rsidP="003D2D7D">
      <w:pPr>
        <w:jc w:val="both"/>
        <w:rPr>
          <w:rFonts w:ascii="Times New Roman" w:hAnsi="Times New Roman" w:cs="Times New Roman"/>
          <w:sz w:val="24"/>
          <w:szCs w:val="24"/>
        </w:rPr>
      </w:pPr>
      <w:r w:rsidRPr="00412A54">
        <w:rPr>
          <w:rFonts w:ascii="Times New Roman" w:hAnsi="Times New Roman" w:cs="Times New Roman"/>
          <w:sz w:val="24"/>
          <w:szCs w:val="24"/>
        </w:rPr>
        <w:t xml:space="preserve">O presente trabalho aponta a crescente evolução do prêmio salarial em favor de indivíduos alocados em ocupações de natureza não manual e não rotineira, cujas tarefas exigem habilidades cognitivas, analíticas e interpessoais. Este resultado corrobora o predito pela literatura de </w:t>
      </w:r>
      <w:r w:rsidRPr="00210930">
        <w:rPr>
          <w:rFonts w:ascii="Times New Roman" w:hAnsi="Times New Roman" w:cs="Times New Roman"/>
          <w:i/>
          <w:iCs/>
          <w:sz w:val="24"/>
          <w:szCs w:val="24"/>
        </w:rPr>
        <w:t>Skill Biased Technological Change,</w:t>
      </w:r>
      <w:r w:rsidRPr="00412A54">
        <w:rPr>
          <w:rFonts w:ascii="Times New Roman" w:hAnsi="Times New Roman" w:cs="Times New Roman"/>
          <w:sz w:val="24"/>
          <w:szCs w:val="24"/>
        </w:rPr>
        <w:t xml:space="preserve"> reforçando que num contexto de maior adoção de computadores nas rotinas de trabalho</w:t>
      </w:r>
      <w:r w:rsidR="000C2A06" w:rsidRPr="00412A54">
        <w:rPr>
          <w:rFonts w:ascii="Times New Roman" w:hAnsi="Times New Roman" w:cs="Times New Roman"/>
          <w:sz w:val="24"/>
          <w:szCs w:val="24"/>
        </w:rPr>
        <w:t>,</w:t>
      </w:r>
      <w:r w:rsidRPr="00412A54">
        <w:rPr>
          <w:rFonts w:ascii="Times New Roman" w:hAnsi="Times New Roman" w:cs="Times New Roman"/>
          <w:sz w:val="24"/>
          <w:szCs w:val="24"/>
        </w:rPr>
        <w:t xml:space="preserve"> </w:t>
      </w:r>
      <w:r w:rsidR="000C2A06" w:rsidRPr="00412A54">
        <w:rPr>
          <w:rFonts w:ascii="Times New Roman" w:hAnsi="Times New Roman" w:cs="Times New Roman"/>
          <w:sz w:val="24"/>
          <w:szCs w:val="24"/>
        </w:rPr>
        <w:t>a</w:t>
      </w:r>
      <w:r w:rsidRPr="00412A54">
        <w:rPr>
          <w:rFonts w:ascii="Times New Roman" w:hAnsi="Times New Roman" w:cs="Times New Roman"/>
          <w:sz w:val="24"/>
          <w:szCs w:val="24"/>
        </w:rPr>
        <w:t>queles que desempenham tarefas complementares à tecnologia auferem ganhos</w:t>
      </w:r>
      <w:r w:rsidR="00210930">
        <w:rPr>
          <w:rFonts w:ascii="Times New Roman" w:hAnsi="Times New Roman" w:cs="Times New Roman"/>
          <w:sz w:val="24"/>
          <w:szCs w:val="24"/>
        </w:rPr>
        <w:t xml:space="preserve"> cada vez mais</w:t>
      </w:r>
      <w:r w:rsidRPr="00412A54">
        <w:rPr>
          <w:rFonts w:ascii="Times New Roman" w:hAnsi="Times New Roman" w:cs="Times New Roman"/>
          <w:sz w:val="24"/>
          <w:szCs w:val="24"/>
        </w:rPr>
        <w:t xml:space="preserve"> substanciais</w:t>
      </w:r>
      <w:r w:rsidR="000C2A06" w:rsidRPr="00412A54">
        <w:rPr>
          <w:rFonts w:ascii="Times New Roman" w:hAnsi="Times New Roman" w:cs="Times New Roman"/>
          <w:sz w:val="24"/>
          <w:szCs w:val="24"/>
        </w:rPr>
        <w:t xml:space="preserve"> de rendimento</w:t>
      </w:r>
      <w:r w:rsidRPr="00412A54">
        <w:rPr>
          <w:rFonts w:ascii="Times New Roman" w:hAnsi="Times New Roman" w:cs="Times New Roman"/>
          <w:sz w:val="24"/>
          <w:szCs w:val="24"/>
        </w:rPr>
        <w:t xml:space="preserve"> </w:t>
      </w:r>
      <w:r w:rsidR="000C2A06" w:rsidRPr="00412A54">
        <w:rPr>
          <w:rFonts w:ascii="Times New Roman" w:hAnsi="Times New Roman" w:cs="Times New Roman"/>
          <w:sz w:val="24"/>
          <w:szCs w:val="24"/>
        </w:rPr>
        <w:t>decorrente</w:t>
      </w:r>
      <w:r w:rsidRPr="00412A54">
        <w:rPr>
          <w:rFonts w:ascii="Times New Roman" w:hAnsi="Times New Roman" w:cs="Times New Roman"/>
          <w:sz w:val="24"/>
          <w:szCs w:val="24"/>
        </w:rPr>
        <w:t xml:space="preserve"> </w:t>
      </w:r>
      <w:r w:rsidR="000C2A06" w:rsidRPr="00412A54">
        <w:rPr>
          <w:rFonts w:ascii="Times New Roman" w:hAnsi="Times New Roman" w:cs="Times New Roman"/>
          <w:sz w:val="24"/>
          <w:szCs w:val="24"/>
        </w:rPr>
        <w:t>de um aumento de produtividade.</w:t>
      </w:r>
      <w:r w:rsidRPr="00412A54">
        <w:rPr>
          <w:rFonts w:ascii="Times New Roman" w:hAnsi="Times New Roman" w:cs="Times New Roman"/>
          <w:sz w:val="24"/>
          <w:szCs w:val="24"/>
        </w:rPr>
        <w:t xml:space="preserve"> </w:t>
      </w:r>
      <w:r w:rsidR="000C2A06" w:rsidRPr="00412A54">
        <w:rPr>
          <w:rFonts w:ascii="Times New Roman" w:hAnsi="Times New Roman" w:cs="Times New Roman"/>
          <w:sz w:val="24"/>
          <w:szCs w:val="24"/>
        </w:rPr>
        <w:t xml:space="preserve">Conquanto se tenha ciência da importância deste fenômeno para a elevação das médias salariais brasileiras argumentamos que a distribuição ocupacional não se alterou substancialmente no período, contrastando com a ampliação generalizada no nível educacional dos indivíduos. Este dado aponta certa rigidez na estrutura ocupacional, indicando que a ampliação no grau de escolaridade dos brasileiros não se traduziu em uma redistribuição da força de trabalho em ofícios com requerimento de habilidades mais complexas. Para aprofundar neste ponto realizamos dois exercícios de decomposição e simulação que apontaram que as médias salariais observadas em 2016 poderiam ser bem maiores caso o país tivesse alterado a distribuição de trabalhadores dentre as categorias ocupacionais em favor daquelas mais complexas. </w:t>
      </w:r>
    </w:p>
    <w:p w14:paraId="519A5283" w14:textId="3F1758EC" w:rsidR="00DF30D0" w:rsidRPr="00412A54" w:rsidRDefault="00DF30D0" w:rsidP="00C3534E">
      <w:pPr>
        <w:ind w:firstLine="360"/>
        <w:jc w:val="both"/>
        <w:outlineLvl w:val="0"/>
        <w:rPr>
          <w:rFonts w:ascii="Times New Roman" w:hAnsi="Times New Roman" w:cs="Times New Roman"/>
          <w:b/>
          <w:sz w:val="24"/>
          <w:szCs w:val="24"/>
        </w:rPr>
      </w:pPr>
      <w:r w:rsidRPr="00412A54">
        <w:rPr>
          <w:rFonts w:ascii="Times New Roman" w:hAnsi="Times New Roman" w:cs="Times New Roman"/>
          <w:b/>
          <w:sz w:val="24"/>
          <w:szCs w:val="24"/>
        </w:rPr>
        <w:t>Referências Bibliográficas</w:t>
      </w:r>
      <w:r w:rsidR="00607800" w:rsidRPr="00412A54">
        <w:rPr>
          <w:rFonts w:ascii="Times New Roman" w:hAnsi="Times New Roman" w:cs="Times New Roman"/>
          <w:b/>
          <w:sz w:val="24"/>
          <w:szCs w:val="24"/>
        </w:rPr>
        <w:t xml:space="preserve"> </w:t>
      </w:r>
    </w:p>
    <w:p w14:paraId="309289F5" w14:textId="77777777" w:rsidR="000E2E71" w:rsidRPr="00412A54" w:rsidRDefault="000E2E71" w:rsidP="008D6F1E">
      <w:pPr>
        <w:spacing w:line="240" w:lineRule="auto"/>
        <w:jc w:val="both"/>
        <w:rPr>
          <w:rFonts w:ascii="Times New Roman" w:hAnsi="Times New Roman" w:cs="Times New Roman"/>
          <w:sz w:val="24"/>
          <w:szCs w:val="24"/>
          <w:shd w:val="clear" w:color="auto" w:fill="FFFFFF"/>
          <w:lang w:val="en-US"/>
        </w:rPr>
      </w:pPr>
      <w:r w:rsidRPr="00412A54">
        <w:rPr>
          <w:rFonts w:ascii="Times New Roman" w:hAnsi="Times New Roman" w:cs="Times New Roman"/>
          <w:sz w:val="24"/>
          <w:szCs w:val="24"/>
          <w:shd w:val="clear" w:color="auto" w:fill="FFFFFF"/>
        </w:rPr>
        <w:t xml:space="preserve">ACEMOGLU, Daron; AUTOR, David. </w:t>
      </w:r>
      <w:r w:rsidRPr="00412A54">
        <w:rPr>
          <w:rFonts w:ascii="Times New Roman" w:hAnsi="Times New Roman" w:cs="Times New Roman"/>
          <w:sz w:val="24"/>
          <w:szCs w:val="24"/>
          <w:shd w:val="clear" w:color="auto" w:fill="FFFFFF"/>
          <w:lang w:val="en-US"/>
        </w:rPr>
        <w:t>Skills, tasks and technologies: Implications for employment and earnings. In: </w:t>
      </w:r>
      <w:r w:rsidRPr="00412A54">
        <w:rPr>
          <w:rFonts w:ascii="Times New Roman" w:hAnsi="Times New Roman" w:cs="Times New Roman"/>
          <w:b/>
          <w:bCs/>
          <w:sz w:val="24"/>
          <w:szCs w:val="24"/>
          <w:shd w:val="clear" w:color="auto" w:fill="FFFFFF"/>
          <w:lang w:val="en-US"/>
        </w:rPr>
        <w:t>Handbook of labor economics</w:t>
      </w:r>
      <w:r w:rsidRPr="00412A54">
        <w:rPr>
          <w:rFonts w:ascii="Times New Roman" w:hAnsi="Times New Roman" w:cs="Times New Roman"/>
          <w:sz w:val="24"/>
          <w:szCs w:val="24"/>
          <w:shd w:val="clear" w:color="auto" w:fill="FFFFFF"/>
          <w:lang w:val="en-US"/>
        </w:rPr>
        <w:t>. Elsevier, 2011. p. 1043-1171.</w:t>
      </w:r>
    </w:p>
    <w:p w14:paraId="00C34A9C" w14:textId="77777777" w:rsidR="000E2E71" w:rsidRPr="00412A54" w:rsidRDefault="000E2E71" w:rsidP="008D6F1E">
      <w:pPr>
        <w:spacing w:line="240" w:lineRule="auto"/>
        <w:jc w:val="both"/>
        <w:rPr>
          <w:rFonts w:ascii="Times New Roman" w:hAnsi="Times New Roman" w:cs="Times New Roman"/>
          <w:sz w:val="24"/>
          <w:szCs w:val="24"/>
          <w:lang w:val="en-US"/>
        </w:rPr>
      </w:pPr>
      <w:r w:rsidRPr="00412A54">
        <w:rPr>
          <w:rFonts w:ascii="Times New Roman" w:hAnsi="Times New Roman" w:cs="Times New Roman"/>
          <w:sz w:val="24"/>
          <w:szCs w:val="24"/>
          <w:shd w:val="clear" w:color="auto" w:fill="FFFFFF"/>
          <w:lang w:val="en-US"/>
        </w:rPr>
        <w:t>ANTONCZYK, Dirk; DELEIRE, Thomas; FITZENBERGER, Bernd. Polarization and rising wage inequality: Comparing the US and Germany. </w:t>
      </w:r>
      <w:r w:rsidRPr="00412A54">
        <w:rPr>
          <w:rFonts w:ascii="Times New Roman" w:hAnsi="Times New Roman" w:cs="Times New Roman"/>
          <w:b/>
          <w:bCs/>
          <w:sz w:val="24"/>
          <w:szCs w:val="24"/>
          <w:shd w:val="clear" w:color="auto" w:fill="FFFFFF"/>
          <w:lang w:val="en-US"/>
        </w:rPr>
        <w:t>Econometrics</w:t>
      </w:r>
      <w:r w:rsidRPr="00412A54">
        <w:rPr>
          <w:rFonts w:ascii="Times New Roman" w:hAnsi="Times New Roman" w:cs="Times New Roman"/>
          <w:sz w:val="24"/>
          <w:szCs w:val="24"/>
          <w:shd w:val="clear" w:color="auto" w:fill="FFFFFF"/>
          <w:lang w:val="en-US"/>
        </w:rPr>
        <w:t>, v. 6, n. 2, p. 20, 2018.</w:t>
      </w:r>
    </w:p>
    <w:p w14:paraId="5F11E48A" w14:textId="77777777" w:rsidR="000E2E71" w:rsidRPr="00412A54" w:rsidRDefault="000E2E71" w:rsidP="008D6F1E">
      <w:pPr>
        <w:spacing w:line="240" w:lineRule="auto"/>
        <w:jc w:val="both"/>
        <w:rPr>
          <w:rFonts w:ascii="Times New Roman" w:hAnsi="Times New Roman" w:cs="Times New Roman"/>
          <w:sz w:val="24"/>
          <w:szCs w:val="24"/>
          <w:shd w:val="clear" w:color="auto" w:fill="FFFFFF"/>
          <w:lang w:val="en-US"/>
        </w:rPr>
      </w:pPr>
      <w:r w:rsidRPr="00412A54">
        <w:rPr>
          <w:rFonts w:ascii="Times New Roman" w:hAnsi="Times New Roman" w:cs="Times New Roman"/>
          <w:sz w:val="24"/>
          <w:szCs w:val="24"/>
          <w:shd w:val="clear" w:color="auto" w:fill="FFFFFF"/>
          <w:lang w:val="en-US"/>
        </w:rPr>
        <w:t>AUTOR, David H.; KATZ, Lawrence F.; KRUEGER, Alan B. Computing inequality: have computers changed the labor market?. </w:t>
      </w:r>
      <w:r w:rsidRPr="00412A54">
        <w:rPr>
          <w:rFonts w:ascii="Times New Roman" w:hAnsi="Times New Roman" w:cs="Times New Roman"/>
          <w:b/>
          <w:bCs/>
          <w:sz w:val="24"/>
          <w:szCs w:val="24"/>
          <w:shd w:val="clear" w:color="auto" w:fill="FFFFFF"/>
          <w:lang w:val="en-US"/>
        </w:rPr>
        <w:t>The Quarterly journal of economics</w:t>
      </w:r>
      <w:r w:rsidRPr="00412A54">
        <w:rPr>
          <w:rFonts w:ascii="Times New Roman" w:hAnsi="Times New Roman" w:cs="Times New Roman"/>
          <w:sz w:val="24"/>
          <w:szCs w:val="24"/>
          <w:shd w:val="clear" w:color="auto" w:fill="FFFFFF"/>
          <w:lang w:val="en-US"/>
        </w:rPr>
        <w:t>, v. 113, n. 4, p. 1169-1213, 1998.</w:t>
      </w:r>
    </w:p>
    <w:p w14:paraId="4C795FDE" w14:textId="77777777" w:rsidR="000E2E71" w:rsidRPr="00412A54" w:rsidRDefault="000E2E71" w:rsidP="008D6F1E">
      <w:pPr>
        <w:spacing w:line="240" w:lineRule="auto"/>
        <w:jc w:val="both"/>
        <w:rPr>
          <w:rFonts w:ascii="Times New Roman" w:hAnsi="Times New Roman" w:cs="Times New Roman"/>
          <w:sz w:val="24"/>
          <w:szCs w:val="24"/>
          <w:shd w:val="clear" w:color="auto" w:fill="FFFFFF"/>
        </w:rPr>
      </w:pPr>
      <w:r w:rsidRPr="00412A54">
        <w:rPr>
          <w:rFonts w:ascii="Times New Roman" w:hAnsi="Times New Roman" w:cs="Times New Roman"/>
          <w:sz w:val="24"/>
          <w:szCs w:val="24"/>
          <w:shd w:val="clear" w:color="auto" w:fill="FFFFFF"/>
          <w:lang w:val="en-US"/>
        </w:rPr>
        <w:t>AUTOR, David H.; LEVY, Frank; MURNANE, Richard J. The skill content of recent technological change: An empirical exploration. </w:t>
      </w:r>
      <w:r w:rsidRPr="00412A54">
        <w:rPr>
          <w:rFonts w:ascii="Times New Roman" w:hAnsi="Times New Roman" w:cs="Times New Roman"/>
          <w:b/>
          <w:bCs/>
          <w:sz w:val="24"/>
          <w:szCs w:val="24"/>
          <w:shd w:val="clear" w:color="auto" w:fill="FFFFFF"/>
        </w:rPr>
        <w:t>The Quarterly Journal of Economics</w:t>
      </w:r>
      <w:r w:rsidRPr="00412A54">
        <w:rPr>
          <w:rFonts w:ascii="Times New Roman" w:hAnsi="Times New Roman" w:cs="Times New Roman"/>
          <w:sz w:val="24"/>
          <w:szCs w:val="24"/>
          <w:shd w:val="clear" w:color="auto" w:fill="FFFFFF"/>
        </w:rPr>
        <w:t>, v. 118, n. 4, p. 1279-1333, 2003.</w:t>
      </w:r>
    </w:p>
    <w:p w14:paraId="675FB5DE" w14:textId="77777777" w:rsidR="000E2E71" w:rsidRPr="00412A54" w:rsidRDefault="000E2E71" w:rsidP="008D6F1E">
      <w:pPr>
        <w:spacing w:line="240" w:lineRule="auto"/>
        <w:jc w:val="both"/>
        <w:rPr>
          <w:rFonts w:ascii="Times New Roman" w:hAnsi="Times New Roman" w:cs="Times New Roman"/>
          <w:sz w:val="24"/>
          <w:szCs w:val="24"/>
          <w:shd w:val="clear" w:color="auto" w:fill="FFFFFF"/>
          <w:lang w:val="en-US"/>
        </w:rPr>
      </w:pPr>
      <w:r w:rsidRPr="00412A54">
        <w:rPr>
          <w:rFonts w:ascii="Times New Roman" w:hAnsi="Times New Roman" w:cs="Times New Roman"/>
          <w:sz w:val="24"/>
          <w:szCs w:val="24"/>
          <w:shd w:val="clear" w:color="auto" w:fill="FFFFFF"/>
        </w:rPr>
        <w:t xml:space="preserve">BARROS, Ricardo Paes de; FRANCO, Samuel; MENDONÇA, Rosane. A recente queda da desigualdade de renda e o acelerado progresso educacional brasileiro da última década. </w:t>
      </w:r>
      <w:r w:rsidRPr="00412A54">
        <w:rPr>
          <w:rFonts w:ascii="Times New Roman" w:hAnsi="Times New Roman" w:cs="Times New Roman"/>
          <w:sz w:val="24"/>
          <w:szCs w:val="24"/>
          <w:shd w:val="clear" w:color="auto" w:fill="FFFFFF"/>
          <w:lang w:val="en-US"/>
        </w:rPr>
        <w:t>2007.</w:t>
      </w:r>
    </w:p>
    <w:p w14:paraId="5DD0E6E7" w14:textId="77777777" w:rsidR="000E2E71" w:rsidRPr="00412A54" w:rsidRDefault="000E2E71" w:rsidP="008D6F1E">
      <w:pPr>
        <w:spacing w:line="240" w:lineRule="auto"/>
        <w:jc w:val="both"/>
        <w:rPr>
          <w:rFonts w:ascii="Times New Roman" w:hAnsi="Times New Roman" w:cs="Times New Roman"/>
          <w:sz w:val="24"/>
          <w:szCs w:val="24"/>
          <w:lang w:val="en-US"/>
        </w:rPr>
      </w:pPr>
      <w:r w:rsidRPr="00412A54">
        <w:rPr>
          <w:rFonts w:ascii="Times New Roman" w:hAnsi="Times New Roman" w:cs="Times New Roman"/>
          <w:sz w:val="24"/>
          <w:szCs w:val="24"/>
          <w:lang w:val="en-US"/>
        </w:rPr>
        <w:t xml:space="preserve">BECKER, Gary S. Investment in human capital: A theoretical analysis. </w:t>
      </w:r>
      <w:r w:rsidRPr="00412A54">
        <w:rPr>
          <w:rFonts w:ascii="Times New Roman" w:hAnsi="Times New Roman" w:cs="Times New Roman"/>
          <w:b/>
          <w:sz w:val="24"/>
          <w:szCs w:val="24"/>
          <w:lang w:val="en-US"/>
        </w:rPr>
        <w:t>Journal of political economy</w:t>
      </w:r>
      <w:r w:rsidRPr="00412A54">
        <w:rPr>
          <w:rFonts w:ascii="Times New Roman" w:hAnsi="Times New Roman" w:cs="Times New Roman"/>
          <w:sz w:val="24"/>
          <w:szCs w:val="24"/>
          <w:lang w:val="en-US"/>
        </w:rPr>
        <w:t>, v. 70, n. 5, Part 2, p. 9-49, 1962.</w:t>
      </w:r>
    </w:p>
    <w:p w14:paraId="32372348" w14:textId="77777777" w:rsidR="000E2E71" w:rsidRPr="00412A54" w:rsidRDefault="000E2E71" w:rsidP="008D6F1E">
      <w:pPr>
        <w:spacing w:line="240" w:lineRule="auto"/>
        <w:jc w:val="both"/>
        <w:rPr>
          <w:rFonts w:ascii="Times New Roman" w:hAnsi="Times New Roman" w:cs="Times New Roman"/>
          <w:sz w:val="24"/>
          <w:szCs w:val="24"/>
          <w:shd w:val="clear" w:color="auto" w:fill="FFFFFF"/>
          <w:lang w:val="en-US"/>
        </w:rPr>
      </w:pPr>
      <w:r w:rsidRPr="00412A54">
        <w:rPr>
          <w:rFonts w:ascii="Times New Roman" w:hAnsi="Times New Roman" w:cs="Times New Roman"/>
          <w:sz w:val="24"/>
          <w:szCs w:val="24"/>
          <w:shd w:val="clear" w:color="auto" w:fill="FFFFFF"/>
          <w:lang w:val="en-US"/>
        </w:rPr>
        <w:t>BERMAN, Eli; BOUND, John; GRILICHES, Zvi. Changes in the demand for skilled labor within US manufacturing: evidence from the annual survey of manufactures. </w:t>
      </w:r>
      <w:r w:rsidRPr="00412A54">
        <w:rPr>
          <w:rFonts w:ascii="Times New Roman" w:hAnsi="Times New Roman" w:cs="Times New Roman"/>
          <w:b/>
          <w:bCs/>
          <w:sz w:val="24"/>
          <w:szCs w:val="24"/>
          <w:shd w:val="clear" w:color="auto" w:fill="FFFFFF"/>
          <w:lang w:val="en-US"/>
        </w:rPr>
        <w:t>The Quarterly Journal of Economics</w:t>
      </w:r>
      <w:r w:rsidRPr="00412A54">
        <w:rPr>
          <w:rFonts w:ascii="Times New Roman" w:hAnsi="Times New Roman" w:cs="Times New Roman"/>
          <w:sz w:val="24"/>
          <w:szCs w:val="24"/>
          <w:shd w:val="clear" w:color="auto" w:fill="FFFFFF"/>
          <w:lang w:val="en-US"/>
        </w:rPr>
        <w:t>, v. 109, n. 2, p. 367-397, 1994.</w:t>
      </w:r>
    </w:p>
    <w:p w14:paraId="08514233" w14:textId="77777777" w:rsidR="000E2E71" w:rsidRPr="00412A54" w:rsidRDefault="000E2E71" w:rsidP="008D6F1E">
      <w:pPr>
        <w:spacing w:line="240" w:lineRule="auto"/>
        <w:jc w:val="both"/>
        <w:rPr>
          <w:rFonts w:ascii="Times New Roman" w:hAnsi="Times New Roman" w:cs="Times New Roman"/>
          <w:sz w:val="24"/>
          <w:szCs w:val="24"/>
          <w:shd w:val="clear" w:color="auto" w:fill="FFFFFF"/>
          <w:lang w:val="en-US"/>
        </w:rPr>
      </w:pPr>
      <w:r w:rsidRPr="00412A54">
        <w:rPr>
          <w:rFonts w:ascii="Times New Roman" w:hAnsi="Times New Roman" w:cs="Times New Roman"/>
          <w:sz w:val="24"/>
          <w:szCs w:val="24"/>
          <w:shd w:val="clear" w:color="auto" w:fill="FFFFFF"/>
          <w:lang w:val="en-US"/>
        </w:rPr>
        <w:lastRenderedPageBreak/>
        <w:t>BORJAS, George J.; RAMEY, Valerie A. Foreign competition, market power, and wage inequality. </w:t>
      </w:r>
      <w:r w:rsidRPr="00412A54">
        <w:rPr>
          <w:rFonts w:ascii="Times New Roman" w:hAnsi="Times New Roman" w:cs="Times New Roman"/>
          <w:b/>
          <w:bCs/>
          <w:sz w:val="24"/>
          <w:szCs w:val="24"/>
          <w:shd w:val="clear" w:color="auto" w:fill="FFFFFF"/>
          <w:lang w:val="en-US"/>
        </w:rPr>
        <w:t>The quarterly journal of economics</w:t>
      </w:r>
      <w:r w:rsidRPr="00412A54">
        <w:rPr>
          <w:rFonts w:ascii="Times New Roman" w:hAnsi="Times New Roman" w:cs="Times New Roman"/>
          <w:sz w:val="24"/>
          <w:szCs w:val="24"/>
          <w:shd w:val="clear" w:color="auto" w:fill="FFFFFF"/>
          <w:lang w:val="en-US"/>
        </w:rPr>
        <w:t>, v. 110, n. 4, p. 1075-1110, 1995.</w:t>
      </w:r>
    </w:p>
    <w:p w14:paraId="3065451E" w14:textId="77777777" w:rsidR="000E2E71" w:rsidRPr="00412A54" w:rsidRDefault="000E2E71" w:rsidP="008D6F1E">
      <w:pPr>
        <w:spacing w:line="240" w:lineRule="auto"/>
        <w:jc w:val="both"/>
        <w:rPr>
          <w:rFonts w:ascii="Times New Roman" w:hAnsi="Times New Roman" w:cs="Times New Roman"/>
          <w:sz w:val="24"/>
          <w:szCs w:val="24"/>
          <w:lang w:val="en-US"/>
        </w:rPr>
      </w:pPr>
      <w:r w:rsidRPr="00412A54">
        <w:rPr>
          <w:rFonts w:ascii="Times New Roman" w:hAnsi="Times New Roman" w:cs="Times New Roman"/>
          <w:sz w:val="24"/>
          <w:szCs w:val="24"/>
          <w:shd w:val="clear" w:color="auto" w:fill="FFFFFF"/>
          <w:lang w:val="en-US"/>
        </w:rPr>
        <w:t>BRANDES, Philipp et al. Which Tasks of a Job are Susceptible to Computerization? </w:t>
      </w:r>
      <w:r w:rsidRPr="00412A54">
        <w:rPr>
          <w:rFonts w:ascii="Times New Roman" w:hAnsi="Times New Roman" w:cs="Times New Roman"/>
          <w:b/>
          <w:bCs/>
          <w:sz w:val="24"/>
          <w:szCs w:val="24"/>
          <w:shd w:val="clear" w:color="auto" w:fill="FFFFFF"/>
          <w:lang w:val="en-US"/>
        </w:rPr>
        <w:t>Bulletin of EATCS</w:t>
      </w:r>
      <w:r w:rsidRPr="00412A54">
        <w:rPr>
          <w:rFonts w:ascii="Times New Roman" w:hAnsi="Times New Roman" w:cs="Times New Roman"/>
          <w:sz w:val="24"/>
          <w:szCs w:val="24"/>
          <w:shd w:val="clear" w:color="auto" w:fill="FFFFFF"/>
          <w:lang w:val="en-US"/>
        </w:rPr>
        <w:t>, v. 3, n. 120, 2016.</w:t>
      </w:r>
    </w:p>
    <w:p w14:paraId="38195848" w14:textId="77777777" w:rsidR="000E2E71" w:rsidRPr="00412A54" w:rsidRDefault="000E2E71" w:rsidP="008D6F1E">
      <w:pPr>
        <w:spacing w:line="240" w:lineRule="auto"/>
        <w:jc w:val="both"/>
        <w:rPr>
          <w:rFonts w:ascii="Times New Roman" w:hAnsi="Times New Roman" w:cs="Times New Roman"/>
          <w:sz w:val="24"/>
          <w:szCs w:val="24"/>
          <w:shd w:val="clear" w:color="auto" w:fill="FFFFFF"/>
          <w:lang w:val="en-US"/>
        </w:rPr>
      </w:pPr>
      <w:r w:rsidRPr="00412A54">
        <w:rPr>
          <w:rFonts w:ascii="Times New Roman" w:hAnsi="Times New Roman" w:cs="Times New Roman"/>
          <w:sz w:val="24"/>
          <w:szCs w:val="24"/>
          <w:shd w:val="clear" w:color="auto" w:fill="FFFFFF"/>
          <w:lang w:val="en-US"/>
        </w:rPr>
        <w:t>BRESNAHAN, Timothy F.; BRYNJOLFSSON, Erik; HITT, Lorin M. Information technology, workplace organization, and the demand for skilled labor: Firm-level evidence. </w:t>
      </w:r>
      <w:r w:rsidRPr="00412A54">
        <w:rPr>
          <w:rFonts w:ascii="Times New Roman" w:hAnsi="Times New Roman" w:cs="Times New Roman"/>
          <w:b/>
          <w:bCs/>
          <w:sz w:val="24"/>
          <w:szCs w:val="24"/>
          <w:shd w:val="clear" w:color="auto" w:fill="FFFFFF"/>
          <w:lang w:val="en-US"/>
        </w:rPr>
        <w:t>The quarterly journal of economics</w:t>
      </w:r>
      <w:r w:rsidRPr="00412A54">
        <w:rPr>
          <w:rFonts w:ascii="Times New Roman" w:hAnsi="Times New Roman" w:cs="Times New Roman"/>
          <w:sz w:val="24"/>
          <w:szCs w:val="24"/>
          <w:shd w:val="clear" w:color="auto" w:fill="FFFFFF"/>
          <w:lang w:val="en-US"/>
        </w:rPr>
        <w:t>, v. 117, n. 1, p. 339-376, 2002.</w:t>
      </w:r>
    </w:p>
    <w:p w14:paraId="3F5C8777" w14:textId="77777777" w:rsidR="000E2E71" w:rsidRPr="00412A54" w:rsidRDefault="000E2E71" w:rsidP="008D6F1E">
      <w:pPr>
        <w:spacing w:line="240" w:lineRule="auto"/>
        <w:jc w:val="both"/>
        <w:rPr>
          <w:rFonts w:ascii="Times New Roman" w:hAnsi="Times New Roman" w:cs="Times New Roman"/>
          <w:sz w:val="24"/>
          <w:szCs w:val="24"/>
          <w:shd w:val="clear" w:color="auto" w:fill="FFFFFF"/>
          <w:lang w:val="en-US"/>
        </w:rPr>
      </w:pPr>
      <w:r w:rsidRPr="00412A54">
        <w:rPr>
          <w:rFonts w:ascii="Times New Roman" w:hAnsi="Times New Roman" w:cs="Times New Roman"/>
          <w:sz w:val="24"/>
          <w:szCs w:val="24"/>
          <w:shd w:val="clear" w:color="auto" w:fill="FFFFFF"/>
          <w:lang w:val="en-US"/>
        </w:rPr>
        <w:t>CASELLI, Francesco. Technological revolutions. </w:t>
      </w:r>
      <w:r w:rsidRPr="00412A54">
        <w:rPr>
          <w:rFonts w:ascii="Times New Roman" w:hAnsi="Times New Roman" w:cs="Times New Roman"/>
          <w:b/>
          <w:bCs/>
          <w:sz w:val="24"/>
          <w:szCs w:val="24"/>
          <w:shd w:val="clear" w:color="auto" w:fill="FFFFFF"/>
          <w:lang w:val="en-US"/>
        </w:rPr>
        <w:t>American economic review</w:t>
      </w:r>
      <w:r w:rsidRPr="00412A54">
        <w:rPr>
          <w:rFonts w:ascii="Times New Roman" w:hAnsi="Times New Roman" w:cs="Times New Roman"/>
          <w:sz w:val="24"/>
          <w:szCs w:val="24"/>
          <w:shd w:val="clear" w:color="auto" w:fill="FFFFFF"/>
          <w:lang w:val="en-US"/>
        </w:rPr>
        <w:t>, v. 89, n. 1, p. 78-102, 1999.</w:t>
      </w:r>
    </w:p>
    <w:p w14:paraId="5BC5BABE" w14:textId="77777777" w:rsidR="000E2E71" w:rsidRPr="00412A54" w:rsidRDefault="000E2E71" w:rsidP="008D6F1E">
      <w:pPr>
        <w:spacing w:line="240" w:lineRule="auto"/>
        <w:jc w:val="both"/>
        <w:rPr>
          <w:rFonts w:ascii="Times New Roman" w:hAnsi="Times New Roman" w:cs="Times New Roman"/>
          <w:sz w:val="24"/>
          <w:szCs w:val="24"/>
        </w:rPr>
      </w:pPr>
      <w:r w:rsidRPr="00412A54">
        <w:rPr>
          <w:rFonts w:ascii="Times New Roman" w:hAnsi="Times New Roman" w:cs="Times New Roman"/>
          <w:sz w:val="24"/>
          <w:szCs w:val="24"/>
        </w:rPr>
        <w:t>DE NEGRI, Joao Alberto et al. Mercado Formal de Trabalho: Comparação entre os microdados da RAIS e da PNAD. 2001.</w:t>
      </w:r>
    </w:p>
    <w:p w14:paraId="4B99F50C" w14:textId="3EAA3D59" w:rsidR="000E2E71" w:rsidRPr="00412A54" w:rsidRDefault="000E2E71" w:rsidP="008D6F1E">
      <w:pPr>
        <w:spacing w:line="240" w:lineRule="auto"/>
        <w:jc w:val="both"/>
        <w:rPr>
          <w:rFonts w:ascii="Times New Roman" w:hAnsi="Times New Roman" w:cs="Times New Roman"/>
          <w:sz w:val="24"/>
          <w:szCs w:val="24"/>
          <w:shd w:val="clear" w:color="auto" w:fill="FFFFFF"/>
          <w:lang w:val="en-US"/>
        </w:rPr>
      </w:pPr>
      <w:r w:rsidRPr="00412A54">
        <w:rPr>
          <w:rFonts w:ascii="Times New Roman" w:hAnsi="Times New Roman" w:cs="Times New Roman"/>
          <w:sz w:val="24"/>
          <w:szCs w:val="24"/>
          <w:shd w:val="clear" w:color="auto" w:fill="FFFFFF"/>
          <w:lang w:val="en-US"/>
        </w:rPr>
        <w:t>DINARDO, John; FORTIN, Nicole M.; LEMIEUX, Thomas. </w:t>
      </w:r>
      <w:r w:rsidRPr="00412A54">
        <w:rPr>
          <w:rFonts w:ascii="Times New Roman" w:hAnsi="Times New Roman" w:cs="Times New Roman"/>
          <w:b/>
          <w:bCs/>
          <w:sz w:val="24"/>
          <w:szCs w:val="24"/>
          <w:shd w:val="clear" w:color="auto" w:fill="FFFFFF"/>
          <w:lang w:val="en-US"/>
        </w:rPr>
        <w:t>Labor market institutions and the distribution of wages, 1973-1992: A semiparametric approach</w:t>
      </w:r>
      <w:r w:rsidRPr="00412A54">
        <w:rPr>
          <w:rFonts w:ascii="Times New Roman" w:hAnsi="Times New Roman" w:cs="Times New Roman"/>
          <w:sz w:val="24"/>
          <w:szCs w:val="24"/>
          <w:shd w:val="clear" w:color="auto" w:fill="FFFFFF"/>
          <w:lang w:val="en-US"/>
        </w:rPr>
        <w:t>. National bureau of economic research, 1995.</w:t>
      </w:r>
    </w:p>
    <w:p w14:paraId="24005354" w14:textId="457DF4DE" w:rsidR="00412A54" w:rsidRPr="00412A54" w:rsidRDefault="00412A54" w:rsidP="008D6F1E">
      <w:pPr>
        <w:spacing w:line="240" w:lineRule="auto"/>
        <w:jc w:val="both"/>
        <w:rPr>
          <w:rFonts w:ascii="Times New Roman" w:hAnsi="Times New Roman" w:cs="Times New Roman"/>
          <w:sz w:val="24"/>
          <w:szCs w:val="24"/>
          <w:shd w:val="clear" w:color="auto" w:fill="FFFFFF"/>
          <w:lang w:val="en-US"/>
        </w:rPr>
      </w:pPr>
      <w:r w:rsidRPr="00412A54">
        <w:rPr>
          <w:rFonts w:ascii="Times New Roman" w:hAnsi="Times New Roman" w:cs="Times New Roman"/>
          <w:sz w:val="24"/>
          <w:szCs w:val="24"/>
          <w:shd w:val="clear" w:color="auto" w:fill="FFFFFF"/>
          <w:lang w:val="en-US"/>
        </w:rPr>
        <w:t>FOOTE, Christopher L.; RYAN, Richard W. Labor-market polarization over the business cycle. </w:t>
      </w:r>
      <w:r w:rsidRPr="004811CC">
        <w:rPr>
          <w:rFonts w:ascii="Times New Roman" w:hAnsi="Times New Roman" w:cs="Times New Roman"/>
          <w:b/>
          <w:bCs/>
          <w:sz w:val="24"/>
          <w:szCs w:val="24"/>
          <w:shd w:val="clear" w:color="auto" w:fill="FFFFFF"/>
          <w:lang w:val="en-US"/>
        </w:rPr>
        <w:t>NBER Macroeconomics Annual</w:t>
      </w:r>
      <w:r w:rsidRPr="004811CC">
        <w:rPr>
          <w:rFonts w:ascii="Times New Roman" w:hAnsi="Times New Roman" w:cs="Times New Roman"/>
          <w:sz w:val="24"/>
          <w:szCs w:val="24"/>
          <w:shd w:val="clear" w:color="auto" w:fill="FFFFFF"/>
          <w:lang w:val="en-US"/>
        </w:rPr>
        <w:t>, v. 29, n. 1, p. 371-413, 2015.</w:t>
      </w:r>
    </w:p>
    <w:p w14:paraId="6C5AA805" w14:textId="77777777" w:rsidR="000E2E71" w:rsidRPr="00412A54" w:rsidRDefault="000E2E71" w:rsidP="008D6F1E">
      <w:pPr>
        <w:spacing w:line="240" w:lineRule="auto"/>
        <w:jc w:val="both"/>
        <w:rPr>
          <w:rFonts w:ascii="Times New Roman" w:hAnsi="Times New Roman" w:cs="Times New Roman"/>
          <w:sz w:val="24"/>
          <w:szCs w:val="24"/>
          <w:lang w:val="en-US"/>
        </w:rPr>
      </w:pPr>
      <w:r w:rsidRPr="00412A54">
        <w:rPr>
          <w:rFonts w:ascii="Times New Roman" w:hAnsi="Times New Roman" w:cs="Times New Roman"/>
          <w:sz w:val="24"/>
          <w:szCs w:val="24"/>
          <w:lang w:val="en-US"/>
        </w:rPr>
        <w:t xml:space="preserve">FORTIN, Nicole; LEMIEUX, Thomas; FIRPO, Sergio. Decomposition methods in economics. </w:t>
      </w:r>
      <w:r w:rsidRPr="00412A54">
        <w:rPr>
          <w:rFonts w:ascii="Times New Roman" w:hAnsi="Times New Roman" w:cs="Times New Roman"/>
          <w:b/>
          <w:sz w:val="24"/>
          <w:szCs w:val="24"/>
          <w:lang w:val="en-US"/>
        </w:rPr>
        <w:t>In: Handbook of labor economics.</w:t>
      </w:r>
      <w:r w:rsidRPr="00412A54">
        <w:rPr>
          <w:rFonts w:ascii="Times New Roman" w:hAnsi="Times New Roman" w:cs="Times New Roman"/>
          <w:sz w:val="24"/>
          <w:szCs w:val="24"/>
          <w:lang w:val="en-US"/>
        </w:rPr>
        <w:t xml:space="preserve"> Elsevier, 2011. p. 1-102.</w:t>
      </w:r>
    </w:p>
    <w:p w14:paraId="6CECBFC6" w14:textId="173FE2A3" w:rsidR="000E2E71" w:rsidRPr="00412A54" w:rsidRDefault="000E2E71" w:rsidP="008D6F1E">
      <w:pPr>
        <w:spacing w:line="240" w:lineRule="auto"/>
        <w:jc w:val="both"/>
        <w:rPr>
          <w:rFonts w:ascii="Times New Roman" w:hAnsi="Times New Roman" w:cs="Times New Roman"/>
          <w:sz w:val="24"/>
          <w:szCs w:val="24"/>
          <w:shd w:val="clear" w:color="auto" w:fill="FFFFFF"/>
          <w:lang w:val="en-US"/>
        </w:rPr>
      </w:pPr>
      <w:r w:rsidRPr="00412A54">
        <w:rPr>
          <w:rFonts w:ascii="Times New Roman" w:hAnsi="Times New Roman" w:cs="Times New Roman"/>
          <w:sz w:val="24"/>
          <w:szCs w:val="24"/>
          <w:shd w:val="clear" w:color="auto" w:fill="FFFFFF"/>
          <w:lang w:val="en-US"/>
        </w:rPr>
        <w:t>FREEMAN, Richard B. The minimum wage as a redistributive tool. </w:t>
      </w:r>
      <w:r w:rsidRPr="00412A54">
        <w:rPr>
          <w:rFonts w:ascii="Times New Roman" w:hAnsi="Times New Roman" w:cs="Times New Roman"/>
          <w:b/>
          <w:bCs/>
          <w:sz w:val="24"/>
          <w:szCs w:val="24"/>
          <w:shd w:val="clear" w:color="auto" w:fill="FFFFFF"/>
          <w:lang w:val="en-US"/>
        </w:rPr>
        <w:t>The Economic Journal</w:t>
      </w:r>
      <w:r w:rsidRPr="00412A54">
        <w:rPr>
          <w:rFonts w:ascii="Times New Roman" w:hAnsi="Times New Roman" w:cs="Times New Roman"/>
          <w:sz w:val="24"/>
          <w:szCs w:val="24"/>
          <w:shd w:val="clear" w:color="auto" w:fill="FFFFFF"/>
          <w:lang w:val="en-US"/>
        </w:rPr>
        <w:t>, v. 106, n. 436, p. 639-649, 1996.</w:t>
      </w:r>
    </w:p>
    <w:p w14:paraId="08E65179" w14:textId="63535F96" w:rsidR="00412A54" w:rsidRPr="00412A54" w:rsidRDefault="00412A54" w:rsidP="008D6F1E">
      <w:pPr>
        <w:spacing w:line="240" w:lineRule="auto"/>
        <w:jc w:val="both"/>
        <w:rPr>
          <w:rFonts w:ascii="Times New Roman" w:hAnsi="Times New Roman" w:cs="Times New Roman"/>
          <w:sz w:val="24"/>
          <w:szCs w:val="24"/>
          <w:shd w:val="clear" w:color="auto" w:fill="FFFFFF"/>
          <w:lang w:val="en-US"/>
        </w:rPr>
      </w:pPr>
      <w:r w:rsidRPr="00412A54">
        <w:rPr>
          <w:rFonts w:ascii="Times New Roman" w:hAnsi="Times New Roman" w:cs="Times New Roman"/>
          <w:sz w:val="24"/>
          <w:szCs w:val="24"/>
          <w:shd w:val="clear" w:color="auto" w:fill="FFFFFF"/>
          <w:lang w:val="en-US"/>
        </w:rPr>
        <w:t>FREY, Carl Benedikt; OSBORNE, Michael A. The future of employment: How susceptible are jobs to computerisation?. </w:t>
      </w:r>
      <w:r w:rsidRPr="004811CC">
        <w:rPr>
          <w:rFonts w:ascii="Times New Roman" w:hAnsi="Times New Roman" w:cs="Times New Roman"/>
          <w:b/>
          <w:bCs/>
          <w:sz w:val="24"/>
          <w:szCs w:val="24"/>
          <w:shd w:val="clear" w:color="auto" w:fill="FFFFFF"/>
          <w:lang w:val="en-US"/>
        </w:rPr>
        <w:t>Technological forecasting and social change</w:t>
      </w:r>
      <w:r w:rsidRPr="004811CC">
        <w:rPr>
          <w:rFonts w:ascii="Times New Roman" w:hAnsi="Times New Roman" w:cs="Times New Roman"/>
          <w:sz w:val="24"/>
          <w:szCs w:val="24"/>
          <w:shd w:val="clear" w:color="auto" w:fill="FFFFFF"/>
          <w:lang w:val="en-US"/>
        </w:rPr>
        <w:t>, v. 114, p. 254-280, 2017.</w:t>
      </w:r>
    </w:p>
    <w:p w14:paraId="518607CA" w14:textId="79FE4CC2" w:rsidR="000E2E71" w:rsidRPr="00412A54" w:rsidRDefault="000E2E71" w:rsidP="008D6F1E">
      <w:pPr>
        <w:spacing w:line="240" w:lineRule="auto"/>
        <w:jc w:val="both"/>
        <w:rPr>
          <w:rFonts w:ascii="Times New Roman" w:hAnsi="Times New Roman" w:cs="Times New Roman"/>
          <w:sz w:val="24"/>
          <w:szCs w:val="24"/>
          <w:lang w:val="en-US"/>
        </w:rPr>
      </w:pPr>
      <w:r w:rsidRPr="00412A54">
        <w:rPr>
          <w:rFonts w:ascii="Times New Roman" w:hAnsi="Times New Roman" w:cs="Times New Roman"/>
          <w:sz w:val="24"/>
          <w:szCs w:val="24"/>
          <w:lang w:val="en-US"/>
        </w:rPr>
        <w:t xml:space="preserve">GOLDIN, Claudia Dale; KATZ, Lawrence F. The race between education and technology. </w:t>
      </w:r>
      <w:r w:rsidR="00634B83" w:rsidRPr="00412A54">
        <w:rPr>
          <w:rFonts w:ascii="Times New Roman" w:hAnsi="Times New Roman" w:cs="Times New Roman"/>
          <w:sz w:val="24"/>
          <w:szCs w:val="24"/>
          <w:lang w:val="en-US"/>
        </w:rPr>
        <w:t>H</w:t>
      </w:r>
      <w:r w:rsidRPr="00412A54">
        <w:rPr>
          <w:rFonts w:ascii="Times New Roman" w:hAnsi="Times New Roman" w:cs="Times New Roman"/>
          <w:sz w:val="24"/>
          <w:szCs w:val="24"/>
          <w:lang w:val="en-US"/>
        </w:rPr>
        <w:t>arvard university press, 2009.</w:t>
      </w:r>
    </w:p>
    <w:p w14:paraId="1DE5A9C6" w14:textId="77777777" w:rsidR="000E2E71" w:rsidRPr="00412A54" w:rsidRDefault="000E2E71" w:rsidP="008D6F1E">
      <w:pPr>
        <w:spacing w:line="240" w:lineRule="auto"/>
        <w:jc w:val="both"/>
        <w:rPr>
          <w:rFonts w:ascii="Times New Roman" w:hAnsi="Times New Roman" w:cs="Times New Roman"/>
          <w:sz w:val="24"/>
          <w:szCs w:val="24"/>
          <w:shd w:val="clear" w:color="auto" w:fill="FFFFFF"/>
          <w:lang w:val="en-US"/>
        </w:rPr>
      </w:pPr>
      <w:r w:rsidRPr="00412A54">
        <w:rPr>
          <w:rFonts w:ascii="Times New Roman" w:hAnsi="Times New Roman" w:cs="Times New Roman"/>
          <w:sz w:val="24"/>
          <w:szCs w:val="24"/>
          <w:shd w:val="clear" w:color="auto" w:fill="FFFFFF"/>
          <w:lang w:val="en-US"/>
        </w:rPr>
        <w:t>GOOS, Maarten; MANNING, Alan; SALOMONS, Anna. Explaining job polarization: Routine-biased technological change and offshoring. </w:t>
      </w:r>
      <w:r w:rsidRPr="00412A54">
        <w:rPr>
          <w:rFonts w:ascii="Times New Roman" w:hAnsi="Times New Roman" w:cs="Times New Roman"/>
          <w:b/>
          <w:bCs/>
          <w:sz w:val="24"/>
          <w:szCs w:val="24"/>
          <w:shd w:val="clear" w:color="auto" w:fill="FFFFFF"/>
          <w:lang w:val="en-US"/>
        </w:rPr>
        <w:t>American Economic Review</w:t>
      </w:r>
      <w:r w:rsidRPr="00412A54">
        <w:rPr>
          <w:rFonts w:ascii="Times New Roman" w:hAnsi="Times New Roman" w:cs="Times New Roman"/>
          <w:sz w:val="24"/>
          <w:szCs w:val="24"/>
          <w:shd w:val="clear" w:color="auto" w:fill="FFFFFF"/>
          <w:lang w:val="en-US"/>
        </w:rPr>
        <w:t>, v. 104, n. 8, p. 2509-26, 2014.</w:t>
      </w:r>
    </w:p>
    <w:p w14:paraId="0EAEDF28" w14:textId="120F1EF7" w:rsidR="000E2E71" w:rsidRPr="00412A54" w:rsidRDefault="000E2E71" w:rsidP="008D6F1E">
      <w:pPr>
        <w:spacing w:line="240" w:lineRule="auto"/>
        <w:jc w:val="both"/>
        <w:rPr>
          <w:rFonts w:ascii="Times New Roman" w:hAnsi="Times New Roman" w:cs="Times New Roman"/>
          <w:sz w:val="24"/>
          <w:szCs w:val="24"/>
          <w:shd w:val="clear" w:color="auto" w:fill="FFFFFF"/>
          <w:lang w:val="en-US"/>
        </w:rPr>
      </w:pPr>
      <w:r w:rsidRPr="00412A54">
        <w:rPr>
          <w:rFonts w:ascii="Times New Roman" w:hAnsi="Times New Roman" w:cs="Times New Roman"/>
          <w:sz w:val="24"/>
          <w:szCs w:val="24"/>
          <w:shd w:val="clear" w:color="auto" w:fill="FFFFFF"/>
          <w:lang w:val="en-US"/>
        </w:rPr>
        <w:t>GOOS, Maarten; MANNING, Alan; SALOMONS, Anna. Job polarization in Europe. </w:t>
      </w:r>
      <w:r w:rsidRPr="00412A54">
        <w:rPr>
          <w:rFonts w:ascii="Times New Roman" w:hAnsi="Times New Roman" w:cs="Times New Roman"/>
          <w:b/>
          <w:bCs/>
          <w:sz w:val="24"/>
          <w:szCs w:val="24"/>
          <w:shd w:val="clear" w:color="auto" w:fill="FFFFFF"/>
          <w:lang w:val="en-US"/>
        </w:rPr>
        <w:t>American economic review</w:t>
      </w:r>
      <w:r w:rsidRPr="00412A54">
        <w:rPr>
          <w:rFonts w:ascii="Times New Roman" w:hAnsi="Times New Roman" w:cs="Times New Roman"/>
          <w:sz w:val="24"/>
          <w:szCs w:val="24"/>
          <w:shd w:val="clear" w:color="auto" w:fill="FFFFFF"/>
          <w:lang w:val="en-US"/>
        </w:rPr>
        <w:t>, v. 99, n. 2, p. 58-63, 2009.</w:t>
      </w:r>
    </w:p>
    <w:p w14:paraId="692391BD" w14:textId="32811485" w:rsidR="00412A54" w:rsidRPr="00412A54" w:rsidRDefault="00412A54" w:rsidP="008D6F1E">
      <w:pPr>
        <w:spacing w:line="240" w:lineRule="auto"/>
        <w:jc w:val="both"/>
        <w:rPr>
          <w:rFonts w:ascii="Times New Roman" w:hAnsi="Times New Roman" w:cs="Times New Roman"/>
          <w:sz w:val="24"/>
          <w:szCs w:val="24"/>
          <w:shd w:val="clear" w:color="auto" w:fill="FFFFFF"/>
          <w:lang w:val="en-US"/>
        </w:rPr>
      </w:pPr>
      <w:r w:rsidRPr="00412A54">
        <w:rPr>
          <w:rFonts w:ascii="Times New Roman" w:hAnsi="Times New Roman" w:cs="Times New Roman"/>
          <w:sz w:val="24"/>
          <w:szCs w:val="24"/>
          <w:shd w:val="clear" w:color="auto" w:fill="FFFFFF"/>
          <w:lang w:val="en-US"/>
        </w:rPr>
        <w:t>GOOS, Maarten; MANNING, Alan. Lousy and lovely jobs: The rising polarization of work in Britain. </w:t>
      </w:r>
      <w:r w:rsidRPr="004811CC">
        <w:rPr>
          <w:rFonts w:ascii="Times New Roman" w:hAnsi="Times New Roman" w:cs="Times New Roman"/>
          <w:b/>
          <w:bCs/>
          <w:sz w:val="24"/>
          <w:szCs w:val="24"/>
          <w:shd w:val="clear" w:color="auto" w:fill="FFFFFF"/>
          <w:lang w:val="en-US"/>
        </w:rPr>
        <w:t>The review of economics and statistics</w:t>
      </w:r>
      <w:r w:rsidRPr="004811CC">
        <w:rPr>
          <w:rFonts w:ascii="Times New Roman" w:hAnsi="Times New Roman" w:cs="Times New Roman"/>
          <w:sz w:val="24"/>
          <w:szCs w:val="24"/>
          <w:shd w:val="clear" w:color="auto" w:fill="FFFFFF"/>
          <w:lang w:val="en-US"/>
        </w:rPr>
        <w:t>, v. 89, n. 1, p. 118-133, 2007.</w:t>
      </w:r>
    </w:p>
    <w:p w14:paraId="65B3CD48" w14:textId="77777777" w:rsidR="000E2E71" w:rsidRPr="00412A54" w:rsidRDefault="000E2E71" w:rsidP="008D6F1E">
      <w:pPr>
        <w:spacing w:line="240" w:lineRule="auto"/>
        <w:jc w:val="both"/>
        <w:rPr>
          <w:rFonts w:ascii="Times New Roman" w:hAnsi="Times New Roman" w:cs="Times New Roman"/>
          <w:sz w:val="24"/>
          <w:szCs w:val="24"/>
          <w:shd w:val="clear" w:color="auto" w:fill="FFFFFF"/>
          <w:lang w:val="en-US"/>
        </w:rPr>
      </w:pPr>
      <w:r w:rsidRPr="00412A54">
        <w:rPr>
          <w:rFonts w:ascii="Times New Roman" w:hAnsi="Times New Roman" w:cs="Times New Roman"/>
          <w:sz w:val="24"/>
          <w:szCs w:val="24"/>
          <w:shd w:val="clear" w:color="auto" w:fill="FFFFFF"/>
          <w:lang w:val="en-US"/>
        </w:rPr>
        <w:t>KATZ, Lawrence F.; MURPHY, Kevin M. Changes in relative wages, 1963–1987: supply and demand factors. </w:t>
      </w:r>
      <w:r w:rsidRPr="00412A54">
        <w:rPr>
          <w:rFonts w:ascii="Times New Roman" w:hAnsi="Times New Roman" w:cs="Times New Roman"/>
          <w:b/>
          <w:bCs/>
          <w:sz w:val="24"/>
          <w:szCs w:val="24"/>
          <w:shd w:val="clear" w:color="auto" w:fill="FFFFFF"/>
          <w:lang w:val="en-US"/>
        </w:rPr>
        <w:t>The quarterly journal of economics</w:t>
      </w:r>
      <w:r w:rsidRPr="00412A54">
        <w:rPr>
          <w:rFonts w:ascii="Times New Roman" w:hAnsi="Times New Roman" w:cs="Times New Roman"/>
          <w:sz w:val="24"/>
          <w:szCs w:val="24"/>
          <w:shd w:val="clear" w:color="auto" w:fill="FFFFFF"/>
          <w:lang w:val="en-US"/>
        </w:rPr>
        <w:t>, v. 107, n. 1, p. 35-78, 1992.</w:t>
      </w:r>
    </w:p>
    <w:p w14:paraId="3DD7357F" w14:textId="77777777" w:rsidR="000E2E71" w:rsidRPr="00412A54" w:rsidRDefault="000E2E71" w:rsidP="008D6F1E">
      <w:pPr>
        <w:spacing w:line="240" w:lineRule="auto"/>
        <w:jc w:val="both"/>
        <w:rPr>
          <w:rFonts w:ascii="Times New Roman" w:hAnsi="Times New Roman" w:cs="Times New Roman"/>
          <w:sz w:val="24"/>
          <w:szCs w:val="24"/>
          <w:shd w:val="clear" w:color="auto" w:fill="FFFFFF"/>
          <w:lang w:val="en-US"/>
        </w:rPr>
      </w:pPr>
      <w:r w:rsidRPr="00412A54">
        <w:rPr>
          <w:rFonts w:ascii="Times New Roman" w:hAnsi="Times New Roman" w:cs="Times New Roman"/>
          <w:sz w:val="24"/>
          <w:szCs w:val="24"/>
          <w:shd w:val="clear" w:color="auto" w:fill="FFFFFF"/>
          <w:lang w:val="en-US"/>
        </w:rPr>
        <w:t>KRUEGER, Alan B. How computers have changed the wage structure: evidence from microdata, 1984–1989. </w:t>
      </w:r>
      <w:r w:rsidRPr="00412A54">
        <w:rPr>
          <w:rFonts w:ascii="Times New Roman" w:hAnsi="Times New Roman" w:cs="Times New Roman"/>
          <w:b/>
          <w:bCs/>
          <w:sz w:val="24"/>
          <w:szCs w:val="24"/>
          <w:shd w:val="clear" w:color="auto" w:fill="FFFFFF"/>
          <w:lang w:val="en-US"/>
        </w:rPr>
        <w:t>The Quarterly Journal of Economics</w:t>
      </w:r>
      <w:r w:rsidRPr="00412A54">
        <w:rPr>
          <w:rFonts w:ascii="Times New Roman" w:hAnsi="Times New Roman" w:cs="Times New Roman"/>
          <w:sz w:val="24"/>
          <w:szCs w:val="24"/>
          <w:shd w:val="clear" w:color="auto" w:fill="FFFFFF"/>
          <w:lang w:val="en-US"/>
        </w:rPr>
        <w:t>, v. 108, n. 1, p. 33-60, 1993.</w:t>
      </w:r>
    </w:p>
    <w:p w14:paraId="042C2A06" w14:textId="77777777" w:rsidR="000E2E71" w:rsidRPr="00412A54" w:rsidRDefault="000E2E71" w:rsidP="008D6F1E">
      <w:pPr>
        <w:spacing w:line="240" w:lineRule="auto"/>
        <w:jc w:val="both"/>
        <w:rPr>
          <w:rFonts w:ascii="Times New Roman" w:hAnsi="Times New Roman" w:cs="Times New Roman"/>
          <w:sz w:val="24"/>
          <w:szCs w:val="24"/>
          <w:shd w:val="clear" w:color="auto" w:fill="FFFFFF"/>
          <w:lang w:val="en-US"/>
        </w:rPr>
      </w:pPr>
      <w:r w:rsidRPr="00412A54">
        <w:rPr>
          <w:rFonts w:ascii="Times New Roman" w:hAnsi="Times New Roman" w:cs="Times New Roman"/>
          <w:sz w:val="24"/>
          <w:szCs w:val="24"/>
          <w:shd w:val="clear" w:color="auto" w:fill="FFFFFF"/>
          <w:lang w:val="en-US"/>
        </w:rPr>
        <w:t>MICHAELS, Guy; NATRAJ, Ashwini; VAN REENEN, John. Has ICT polarized skill demand? Evidence from eleven countries over twenty-five years. </w:t>
      </w:r>
      <w:r w:rsidRPr="00412A54">
        <w:rPr>
          <w:rFonts w:ascii="Times New Roman" w:hAnsi="Times New Roman" w:cs="Times New Roman"/>
          <w:b/>
          <w:bCs/>
          <w:sz w:val="24"/>
          <w:szCs w:val="24"/>
          <w:shd w:val="clear" w:color="auto" w:fill="FFFFFF"/>
          <w:lang w:val="en-US"/>
        </w:rPr>
        <w:t>Review of Economics and Statistics</w:t>
      </w:r>
      <w:r w:rsidRPr="00412A54">
        <w:rPr>
          <w:rFonts w:ascii="Times New Roman" w:hAnsi="Times New Roman" w:cs="Times New Roman"/>
          <w:sz w:val="24"/>
          <w:szCs w:val="24"/>
          <w:shd w:val="clear" w:color="auto" w:fill="FFFFFF"/>
          <w:lang w:val="en-US"/>
        </w:rPr>
        <w:t>, v. 96, n. 1, p. 60-77, 2014.</w:t>
      </w:r>
    </w:p>
    <w:p w14:paraId="2D54D656" w14:textId="77777777" w:rsidR="000E2E71" w:rsidRPr="004811CC" w:rsidRDefault="000E2E71" w:rsidP="008D6F1E">
      <w:pPr>
        <w:spacing w:line="240" w:lineRule="auto"/>
        <w:jc w:val="both"/>
        <w:rPr>
          <w:rFonts w:ascii="Times New Roman" w:hAnsi="Times New Roman" w:cs="Times New Roman"/>
          <w:sz w:val="24"/>
          <w:szCs w:val="24"/>
        </w:rPr>
      </w:pPr>
      <w:r w:rsidRPr="00412A54">
        <w:rPr>
          <w:rFonts w:ascii="Times New Roman" w:hAnsi="Times New Roman" w:cs="Times New Roman"/>
          <w:sz w:val="24"/>
          <w:szCs w:val="24"/>
          <w:lang w:val="en-US"/>
        </w:rPr>
        <w:lastRenderedPageBreak/>
        <w:t xml:space="preserve">MINCER, Jacob. Schooling, Experience, and Earnings. </w:t>
      </w:r>
      <w:r w:rsidRPr="00412A54">
        <w:rPr>
          <w:rFonts w:ascii="Times New Roman" w:hAnsi="Times New Roman" w:cs="Times New Roman"/>
          <w:b/>
          <w:sz w:val="24"/>
          <w:szCs w:val="24"/>
          <w:lang w:val="en-US"/>
        </w:rPr>
        <w:t>Human Behavior &amp; Social Institutions</w:t>
      </w:r>
      <w:r w:rsidRPr="00412A54">
        <w:rPr>
          <w:rFonts w:ascii="Times New Roman" w:hAnsi="Times New Roman" w:cs="Times New Roman"/>
          <w:sz w:val="24"/>
          <w:szCs w:val="24"/>
          <w:lang w:val="en-US"/>
        </w:rPr>
        <w:t xml:space="preserve"> No. 2. </w:t>
      </w:r>
      <w:r w:rsidRPr="004811CC">
        <w:rPr>
          <w:rFonts w:ascii="Times New Roman" w:hAnsi="Times New Roman" w:cs="Times New Roman"/>
          <w:sz w:val="24"/>
          <w:szCs w:val="24"/>
        </w:rPr>
        <w:t>1974.</w:t>
      </w:r>
    </w:p>
    <w:p w14:paraId="1FF66147" w14:textId="6F0993A8" w:rsidR="00412A54" w:rsidRPr="004811CC" w:rsidRDefault="00412A54" w:rsidP="008D6F1E">
      <w:pPr>
        <w:spacing w:line="240" w:lineRule="auto"/>
        <w:jc w:val="both"/>
        <w:rPr>
          <w:rFonts w:ascii="Times New Roman" w:hAnsi="Times New Roman" w:cs="Times New Roman"/>
          <w:sz w:val="24"/>
          <w:szCs w:val="24"/>
          <w:lang w:val="en-US"/>
        </w:rPr>
      </w:pPr>
      <w:r w:rsidRPr="00412A54">
        <w:rPr>
          <w:rFonts w:ascii="Times New Roman" w:hAnsi="Times New Roman" w:cs="Times New Roman"/>
          <w:sz w:val="24"/>
          <w:szCs w:val="24"/>
        </w:rPr>
        <w:t xml:space="preserve">OLIVEIRA, A.M.H.C, CURY, E.L, COTTA, P, S, SANTOS, A.T.P. Evolução e desaparecimento de ocupações. </w:t>
      </w:r>
      <w:r w:rsidRPr="004811CC">
        <w:rPr>
          <w:rFonts w:ascii="Times New Roman" w:hAnsi="Times New Roman" w:cs="Times New Roman"/>
          <w:sz w:val="24"/>
          <w:szCs w:val="24"/>
          <w:lang w:val="en-US"/>
        </w:rPr>
        <w:t>Relatório Interno, 2017.</w:t>
      </w:r>
    </w:p>
    <w:p w14:paraId="2AAF76E3" w14:textId="5D7281F3" w:rsidR="000E2E71" w:rsidRPr="00412A54" w:rsidRDefault="000E2E71" w:rsidP="008D6F1E">
      <w:pPr>
        <w:spacing w:line="240" w:lineRule="auto"/>
        <w:jc w:val="both"/>
        <w:rPr>
          <w:rFonts w:ascii="Times New Roman" w:hAnsi="Times New Roman" w:cs="Times New Roman"/>
          <w:sz w:val="24"/>
          <w:szCs w:val="24"/>
          <w:lang w:val="en-US"/>
        </w:rPr>
      </w:pPr>
      <w:r w:rsidRPr="004811CC">
        <w:rPr>
          <w:rFonts w:ascii="Times New Roman" w:hAnsi="Times New Roman" w:cs="Times New Roman"/>
          <w:sz w:val="24"/>
          <w:szCs w:val="24"/>
          <w:lang w:val="en-US"/>
        </w:rPr>
        <w:t xml:space="preserve">SPITZ-OENER, Alexandra. </w:t>
      </w:r>
      <w:r w:rsidRPr="00412A54">
        <w:rPr>
          <w:rFonts w:ascii="Times New Roman" w:hAnsi="Times New Roman" w:cs="Times New Roman"/>
          <w:sz w:val="24"/>
          <w:szCs w:val="24"/>
          <w:lang w:val="en-US"/>
        </w:rPr>
        <w:t xml:space="preserve">Technical change, job tasks, and rising educational demands: Looking outside the wage structure. </w:t>
      </w:r>
      <w:r w:rsidRPr="00412A54">
        <w:rPr>
          <w:rFonts w:ascii="Times New Roman" w:hAnsi="Times New Roman" w:cs="Times New Roman"/>
          <w:b/>
          <w:sz w:val="24"/>
          <w:szCs w:val="24"/>
          <w:lang w:val="en-US"/>
        </w:rPr>
        <w:t>Journal of labor economics</w:t>
      </w:r>
      <w:r w:rsidRPr="00412A54">
        <w:rPr>
          <w:rFonts w:ascii="Times New Roman" w:hAnsi="Times New Roman" w:cs="Times New Roman"/>
          <w:sz w:val="24"/>
          <w:szCs w:val="24"/>
          <w:lang w:val="en-US"/>
        </w:rPr>
        <w:t>, v. 24, n. 2, p. 235-270, 2006.</w:t>
      </w:r>
    </w:p>
    <w:tbl>
      <w:tblPr>
        <w:tblW w:w="6558" w:type="dxa"/>
        <w:shd w:val="clear" w:color="auto" w:fill="FFFFFF"/>
        <w:tblCellMar>
          <w:left w:w="0" w:type="dxa"/>
          <w:right w:w="0" w:type="dxa"/>
        </w:tblCellMar>
        <w:tblLook w:val="04A0" w:firstRow="1" w:lastRow="0" w:firstColumn="1" w:lastColumn="0" w:noHBand="0" w:noVBand="1"/>
      </w:tblPr>
      <w:tblGrid>
        <w:gridCol w:w="6558"/>
      </w:tblGrid>
      <w:tr w:rsidR="00412A54" w:rsidRPr="00412A54" w14:paraId="2482F9D6" w14:textId="77777777" w:rsidTr="00412A54">
        <w:tc>
          <w:tcPr>
            <w:tcW w:w="0" w:type="auto"/>
            <w:shd w:val="clear" w:color="auto" w:fill="FFFFFF"/>
            <w:vAlign w:val="center"/>
            <w:hideMark/>
          </w:tcPr>
          <w:p w14:paraId="37DC9669" w14:textId="77777777" w:rsidR="00412A54" w:rsidRPr="00412A54" w:rsidRDefault="00412A54" w:rsidP="00412A54">
            <w:pPr>
              <w:spacing w:after="0" w:line="240" w:lineRule="auto"/>
              <w:rPr>
                <w:rFonts w:ascii="Times New Roman" w:eastAsia="Times New Roman" w:hAnsi="Times New Roman" w:cs="Times New Roman"/>
                <w:sz w:val="24"/>
                <w:szCs w:val="24"/>
                <w:lang w:eastAsia="pt-BR"/>
              </w:rPr>
            </w:pPr>
          </w:p>
        </w:tc>
      </w:tr>
    </w:tbl>
    <w:p w14:paraId="0CF0331A" w14:textId="6415B45D" w:rsidR="00412A54" w:rsidRPr="00412A54" w:rsidRDefault="00412A54" w:rsidP="008D6F1E">
      <w:pPr>
        <w:spacing w:line="240" w:lineRule="auto"/>
        <w:jc w:val="both"/>
        <w:rPr>
          <w:rFonts w:ascii="Times New Roman" w:hAnsi="Times New Roman" w:cs="Times New Roman"/>
          <w:sz w:val="24"/>
          <w:szCs w:val="24"/>
          <w:lang w:val="en-US"/>
        </w:rPr>
      </w:pPr>
      <w:r w:rsidRPr="00412A54">
        <w:rPr>
          <w:rFonts w:ascii="Times New Roman" w:hAnsi="Times New Roman" w:cs="Times New Roman"/>
          <w:sz w:val="24"/>
          <w:szCs w:val="24"/>
        </w:rPr>
        <w:t xml:space="preserve">SABOIA, João. Elasticidades dos rendimentos do trabalho em relação ao salário mínimo: a experiência de um período recente de crescimento do salário mínimo. </w:t>
      </w:r>
      <w:r w:rsidRPr="00412A54">
        <w:rPr>
          <w:rFonts w:ascii="Times New Roman" w:hAnsi="Times New Roman" w:cs="Times New Roman"/>
          <w:sz w:val="24"/>
          <w:szCs w:val="24"/>
          <w:lang w:val="en-US"/>
        </w:rPr>
        <w:t>Economia e Sociedade, v. 19, n. 2, p. 359-380, 2010.</w:t>
      </w:r>
    </w:p>
    <w:p w14:paraId="2870AD8B" w14:textId="77777777" w:rsidR="000E2E71" w:rsidRPr="00412A54" w:rsidRDefault="000E2E71" w:rsidP="008D6F1E">
      <w:pPr>
        <w:spacing w:line="240" w:lineRule="auto"/>
        <w:jc w:val="both"/>
        <w:rPr>
          <w:rFonts w:ascii="Times New Roman" w:hAnsi="Times New Roman" w:cs="Times New Roman"/>
          <w:sz w:val="24"/>
          <w:szCs w:val="24"/>
          <w:shd w:val="clear" w:color="auto" w:fill="FFFFFF"/>
        </w:rPr>
      </w:pPr>
      <w:r w:rsidRPr="00412A54">
        <w:rPr>
          <w:rFonts w:ascii="Times New Roman" w:hAnsi="Times New Roman" w:cs="Times New Roman"/>
          <w:sz w:val="24"/>
          <w:szCs w:val="24"/>
          <w:shd w:val="clear" w:color="auto" w:fill="FFFFFF"/>
          <w:lang w:val="en-US"/>
        </w:rPr>
        <w:t>WOOD, Adrian. </w:t>
      </w:r>
      <w:r w:rsidRPr="00412A54">
        <w:rPr>
          <w:rFonts w:ascii="Times New Roman" w:hAnsi="Times New Roman" w:cs="Times New Roman"/>
          <w:b/>
          <w:bCs/>
          <w:sz w:val="24"/>
          <w:szCs w:val="24"/>
          <w:shd w:val="clear" w:color="auto" w:fill="FFFFFF"/>
          <w:lang w:val="en-US"/>
        </w:rPr>
        <w:t>North-South trade, employment, and inequality: Changing fortunes in a skill-driven world</w:t>
      </w:r>
      <w:r w:rsidRPr="00412A54">
        <w:rPr>
          <w:rFonts w:ascii="Times New Roman" w:hAnsi="Times New Roman" w:cs="Times New Roman"/>
          <w:sz w:val="24"/>
          <w:szCs w:val="24"/>
          <w:shd w:val="clear" w:color="auto" w:fill="FFFFFF"/>
          <w:lang w:val="en-US"/>
        </w:rPr>
        <w:t xml:space="preserve">. </w:t>
      </w:r>
      <w:r w:rsidRPr="00412A54">
        <w:rPr>
          <w:rFonts w:ascii="Times New Roman" w:hAnsi="Times New Roman" w:cs="Times New Roman"/>
          <w:sz w:val="24"/>
          <w:szCs w:val="24"/>
          <w:shd w:val="clear" w:color="auto" w:fill="FFFFFF"/>
        </w:rPr>
        <w:t>Oxford University Press on Demand, 1995.</w:t>
      </w:r>
    </w:p>
    <w:sectPr w:rsidR="000E2E71" w:rsidRPr="00412A54" w:rsidSect="00676C8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92C44" w14:textId="77777777" w:rsidR="001F2E4C" w:rsidRDefault="001F2E4C" w:rsidP="008D6F1E">
      <w:pPr>
        <w:spacing w:after="0" w:line="240" w:lineRule="auto"/>
      </w:pPr>
      <w:r>
        <w:separator/>
      </w:r>
    </w:p>
  </w:endnote>
  <w:endnote w:type="continuationSeparator" w:id="0">
    <w:p w14:paraId="56D38753" w14:textId="77777777" w:rsidR="001F2E4C" w:rsidRDefault="001F2E4C" w:rsidP="008D6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45220" w14:textId="77777777" w:rsidR="001F2E4C" w:rsidRDefault="001F2E4C" w:rsidP="008D6F1E">
      <w:pPr>
        <w:spacing w:after="0" w:line="240" w:lineRule="auto"/>
      </w:pPr>
      <w:r>
        <w:separator/>
      </w:r>
    </w:p>
  </w:footnote>
  <w:footnote w:type="continuationSeparator" w:id="0">
    <w:p w14:paraId="0591DCE1" w14:textId="77777777" w:rsidR="001F2E4C" w:rsidRDefault="001F2E4C" w:rsidP="008D6F1E">
      <w:pPr>
        <w:spacing w:after="0" w:line="240" w:lineRule="auto"/>
      </w:pPr>
      <w:r>
        <w:continuationSeparator/>
      </w:r>
    </w:p>
  </w:footnote>
  <w:footnote w:id="1">
    <w:p w14:paraId="2B9BD22F" w14:textId="0760BE92" w:rsidR="00412A54" w:rsidRDefault="00412A54" w:rsidP="00EE6104">
      <w:pPr>
        <w:pStyle w:val="Textodenotaderodap"/>
        <w:jc w:val="both"/>
      </w:pPr>
      <w:r>
        <w:rPr>
          <w:rStyle w:val="Refdenotaderodap"/>
        </w:rPr>
        <w:footnoteRef/>
      </w:r>
      <w:r>
        <w:t xml:space="preserve"> </w:t>
      </w:r>
      <w:r>
        <w:rPr>
          <w:rFonts w:ascii="Times New Roman" w:hAnsi="Times New Roman" w:cs="Times New Roman"/>
          <w:sz w:val="24"/>
          <w:szCs w:val="24"/>
        </w:rPr>
        <w:t xml:space="preserve">Calculando a razão entre o </w:t>
      </w:r>
      <w:r w:rsidRPr="008D6F1E">
        <w:rPr>
          <w:rFonts w:ascii="Times New Roman" w:hAnsi="Times New Roman" w:cs="Times New Roman"/>
          <w:sz w:val="24"/>
          <w:szCs w:val="24"/>
        </w:rPr>
        <w:t xml:space="preserve">número de atividades </w:t>
      </w:r>
      <w:r>
        <w:rPr>
          <w:rFonts w:ascii="Times New Roman" w:hAnsi="Times New Roman" w:cs="Times New Roman"/>
          <w:sz w:val="24"/>
          <w:szCs w:val="24"/>
        </w:rPr>
        <w:t>de cada</w:t>
      </w:r>
      <w:r w:rsidRPr="008D6F1E">
        <w:rPr>
          <w:rFonts w:ascii="Times New Roman" w:hAnsi="Times New Roman" w:cs="Times New Roman"/>
          <w:sz w:val="24"/>
          <w:szCs w:val="24"/>
        </w:rPr>
        <w:t xml:space="preserve"> tipo </w:t>
      </w:r>
      <w:r>
        <w:rPr>
          <w:rFonts w:ascii="Times New Roman" w:hAnsi="Times New Roman" w:cs="Times New Roman"/>
          <w:sz w:val="24"/>
          <w:szCs w:val="24"/>
        </w:rPr>
        <w:t>e o total de atividades.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32A"/>
    <w:multiLevelType w:val="multilevel"/>
    <w:tmpl w:val="9AB6CDAA"/>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184287A"/>
    <w:multiLevelType w:val="multilevel"/>
    <w:tmpl w:val="9D0A2B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8F70196"/>
    <w:multiLevelType w:val="hybridMultilevel"/>
    <w:tmpl w:val="D78A5F58"/>
    <w:lvl w:ilvl="0" w:tplc="DCC88738">
      <w:numFmt w:val="bullet"/>
      <w:lvlText w:val=""/>
      <w:lvlJc w:val="left"/>
      <w:pPr>
        <w:ind w:left="780" w:hanging="360"/>
      </w:pPr>
      <w:rPr>
        <w:rFonts w:ascii="Symbol" w:eastAsiaTheme="minorHAnsi" w:hAnsi="Symbol" w:cstheme="minorBidi"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3" w15:restartNumberingAfterBreak="0">
    <w:nsid w:val="34E874D2"/>
    <w:multiLevelType w:val="hybridMultilevel"/>
    <w:tmpl w:val="301AB734"/>
    <w:lvl w:ilvl="0" w:tplc="354E589E">
      <w:start w:val="3"/>
      <w:numFmt w:val="bullet"/>
      <w:lvlText w:val=""/>
      <w:lvlJc w:val="left"/>
      <w:pPr>
        <w:ind w:left="1080" w:hanging="360"/>
      </w:pPr>
      <w:rPr>
        <w:rFonts w:ascii="Symbol" w:eastAsiaTheme="minorHAnsi"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5327374B"/>
    <w:multiLevelType w:val="hybridMultilevel"/>
    <w:tmpl w:val="0D9464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32A32BE"/>
    <w:multiLevelType w:val="hybridMultilevel"/>
    <w:tmpl w:val="055CD742"/>
    <w:lvl w:ilvl="0" w:tplc="DCC8873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E0A5D3C"/>
    <w:multiLevelType w:val="hybridMultilevel"/>
    <w:tmpl w:val="F32C86A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A157A2B"/>
    <w:multiLevelType w:val="hybridMultilevel"/>
    <w:tmpl w:val="EA1494C8"/>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C971E3B"/>
    <w:multiLevelType w:val="hybridMultilevel"/>
    <w:tmpl w:val="D2FA3690"/>
    <w:lvl w:ilvl="0" w:tplc="53DC73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7"/>
  </w:num>
  <w:num w:numId="5">
    <w:abstractNumId w:val="0"/>
  </w:num>
  <w:num w:numId="6">
    <w:abstractNumId w:val="5"/>
  </w:num>
  <w:num w:numId="7">
    <w:abstractNumId w:val="2"/>
  </w:num>
  <w:num w:numId="8">
    <w:abstractNumId w:val="8"/>
  </w:num>
  <w:num w:numId="9">
    <w:abstractNumId w:val="6"/>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0D0"/>
    <w:rsid w:val="00023E3C"/>
    <w:rsid w:val="00030805"/>
    <w:rsid w:val="0003158D"/>
    <w:rsid w:val="00047124"/>
    <w:rsid w:val="00056206"/>
    <w:rsid w:val="00060E75"/>
    <w:rsid w:val="0006250A"/>
    <w:rsid w:val="00065F6E"/>
    <w:rsid w:val="00074A54"/>
    <w:rsid w:val="00085F29"/>
    <w:rsid w:val="0009174F"/>
    <w:rsid w:val="000A237E"/>
    <w:rsid w:val="000B243E"/>
    <w:rsid w:val="000C0E9A"/>
    <w:rsid w:val="000C2A06"/>
    <w:rsid w:val="000C4A24"/>
    <w:rsid w:val="000E19DF"/>
    <w:rsid w:val="000E2E71"/>
    <w:rsid w:val="000E59B6"/>
    <w:rsid w:val="000F6465"/>
    <w:rsid w:val="001075D3"/>
    <w:rsid w:val="001139FD"/>
    <w:rsid w:val="001141CB"/>
    <w:rsid w:val="0013727F"/>
    <w:rsid w:val="001428C3"/>
    <w:rsid w:val="00146F1A"/>
    <w:rsid w:val="001531D5"/>
    <w:rsid w:val="00164441"/>
    <w:rsid w:val="00175C4E"/>
    <w:rsid w:val="00181D5F"/>
    <w:rsid w:val="00181F84"/>
    <w:rsid w:val="00185568"/>
    <w:rsid w:val="00187DAD"/>
    <w:rsid w:val="001968C0"/>
    <w:rsid w:val="001B4C74"/>
    <w:rsid w:val="001C7A7F"/>
    <w:rsid w:val="001E0854"/>
    <w:rsid w:val="001E6B54"/>
    <w:rsid w:val="001F2E4C"/>
    <w:rsid w:val="0020154F"/>
    <w:rsid w:val="00210930"/>
    <w:rsid w:val="00211469"/>
    <w:rsid w:val="002152DA"/>
    <w:rsid w:val="002258FA"/>
    <w:rsid w:val="0023322B"/>
    <w:rsid w:val="00234C9E"/>
    <w:rsid w:val="002507B5"/>
    <w:rsid w:val="00283A21"/>
    <w:rsid w:val="00290AB0"/>
    <w:rsid w:val="00297942"/>
    <w:rsid w:val="002A23DA"/>
    <w:rsid w:val="002B602F"/>
    <w:rsid w:val="002B6B08"/>
    <w:rsid w:val="002F7E59"/>
    <w:rsid w:val="003050D5"/>
    <w:rsid w:val="00315815"/>
    <w:rsid w:val="0035352A"/>
    <w:rsid w:val="00353E19"/>
    <w:rsid w:val="00356038"/>
    <w:rsid w:val="00356FB3"/>
    <w:rsid w:val="00387142"/>
    <w:rsid w:val="00396CE7"/>
    <w:rsid w:val="003C07FF"/>
    <w:rsid w:val="003C2279"/>
    <w:rsid w:val="003D2D7D"/>
    <w:rsid w:val="00412A54"/>
    <w:rsid w:val="00417328"/>
    <w:rsid w:val="0042186A"/>
    <w:rsid w:val="004270BF"/>
    <w:rsid w:val="0044081F"/>
    <w:rsid w:val="00447044"/>
    <w:rsid w:val="0045638F"/>
    <w:rsid w:val="00471C29"/>
    <w:rsid w:val="004811CC"/>
    <w:rsid w:val="004818F5"/>
    <w:rsid w:val="00485683"/>
    <w:rsid w:val="004A198D"/>
    <w:rsid w:val="004A38C7"/>
    <w:rsid w:val="004B5821"/>
    <w:rsid w:val="004C0A5B"/>
    <w:rsid w:val="004D079E"/>
    <w:rsid w:val="004E3541"/>
    <w:rsid w:val="004E3F78"/>
    <w:rsid w:val="004F40F1"/>
    <w:rsid w:val="004F65B8"/>
    <w:rsid w:val="00505AB4"/>
    <w:rsid w:val="00524AB2"/>
    <w:rsid w:val="00534738"/>
    <w:rsid w:val="005379DD"/>
    <w:rsid w:val="00554C3F"/>
    <w:rsid w:val="00572965"/>
    <w:rsid w:val="0057771C"/>
    <w:rsid w:val="005B72CC"/>
    <w:rsid w:val="005C7705"/>
    <w:rsid w:val="005D7AB0"/>
    <w:rsid w:val="005E065B"/>
    <w:rsid w:val="005F5685"/>
    <w:rsid w:val="00602DB0"/>
    <w:rsid w:val="00607800"/>
    <w:rsid w:val="00613125"/>
    <w:rsid w:val="0061752D"/>
    <w:rsid w:val="00634B83"/>
    <w:rsid w:val="00651E08"/>
    <w:rsid w:val="00653CD7"/>
    <w:rsid w:val="00667357"/>
    <w:rsid w:val="0067022B"/>
    <w:rsid w:val="00672197"/>
    <w:rsid w:val="0067566F"/>
    <w:rsid w:val="00676388"/>
    <w:rsid w:val="00676C8E"/>
    <w:rsid w:val="00683774"/>
    <w:rsid w:val="006B432D"/>
    <w:rsid w:val="006B4CFA"/>
    <w:rsid w:val="006B6A99"/>
    <w:rsid w:val="006D0D2D"/>
    <w:rsid w:val="006D5E5F"/>
    <w:rsid w:val="006F0553"/>
    <w:rsid w:val="006F28D8"/>
    <w:rsid w:val="00700C64"/>
    <w:rsid w:val="00717B93"/>
    <w:rsid w:val="00723B44"/>
    <w:rsid w:val="00730EDC"/>
    <w:rsid w:val="007425C1"/>
    <w:rsid w:val="00744198"/>
    <w:rsid w:val="00757CA1"/>
    <w:rsid w:val="007B1040"/>
    <w:rsid w:val="007E32E5"/>
    <w:rsid w:val="007E7DD6"/>
    <w:rsid w:val="00803651"/>
    <w:rsid w:val="00834985"/>
    <w:rsid w:val="00836431"/>
    <w:rsid w:val="0087046A"/>
    <w:rsid w:val="00874B31"/>
    <w:rsid w:val="008761A0"/>
    <w:rsid w:val="0087793F"/>
    <w:rsid w:val="00877B1A"/>
    <w:rsid w:val="00881D61"/>
    <w:rsid w:val="00893688"/>
    <w:rsid w:val="008B18CC"/>
    <w:rsid w:val="008B3D86"/>
    <w:rsid w:val="008D6F1E"/>
    <w:rsid w:val="008F7950"/>
    <w:rsid w:val="00901A3F"/>
    <w:rsid w:val="00903E8E"/>
    <w:rsid w:val="00906D98"/>
    <w:rsid w:val="00920218"/>
    <w:rsid w:val="00921C75"/>
    <w:rsid w:val="009233D3"/>
    <w:rsid w:val="009330A0"/>
    <w:rsid w:val="00935108"/>
    <w:rsid w:val="00936004"/>
    <w:rsid w:val="00942589"/>
    <w:rsid w:val="00955A42"/>
    <w:rsid w:val="00973675"/>
    <w:rsid w:val="00992F49"/>
    <w:rsid w:val="009A61A6"/>
    <w:rsid w:val="009D5668"/>
    <w:rsid w:val="009D5F8E"/>
    <w:rsid w:val="009E41BC"/>
    <w:rsid w:val="009E45DA"/>
    <w:rsid w:val="00A00917"/>
    <w:rsid w:val="00A320E6"/>
    <w:rsid w:val="00A33E18"/>
    <w:rsid w:val="00A34252"/>
    <w:rsid w:val="00A5462D"/>
    <w:rsid w:val="00A56E9A"/>
    <w:rsid w:val="00A6158D"/>
    <w:rsid w:val="00A704CF"/>
    <w:rsid w:val="00A73FCC"/>
    <w:rsid w:val="00A917F9"/>
    <w:rsid w:val="00A93A24"/>
    <w:rsid w:val="00A940D1"/>
    <w:rsid w:val="00A94C9B"/>
    <w:rsid w:val="00AA2B7B"/>
    <w:rsid w:val="00AE1AF9"/>
    <w:rsid w:val="00AE2CB0"/>
    <w:rsid w:val="00AF1AD5"/>
    <w:rsid w:val="00B126F3"/>
    <w:rsid w:val="00B135C1"/>
    <w:rsid w:val="00B24F52"/>
    <w:rsid w:val="00B36223"/>
    <w:rsid w:val="00B420FA"/>
    <w:rsid w:val="00B621C7"/>
    <w:rsid w:val="00B63E41"/>
    <w:rsid w:val="00B72554"/>
    <w:rsid w:val="00B7426A"/>
    <w:rsid w:val="00B74844"/>
    <w:rsid w:val="00B75EB1"/>
    <w:rsid w:val="00B80ED0"/>
    <w:rsid w:val="00B97716"/>
    <w:rsid w:val="00BA405A"/>
    <w:rsid w:val="00BB61D5"/>
    <w:rsid w:val="00BD3D35"/>
    <w:rsid w:val="00BD49C4"/>
    <w:rsid w:val="00BE435C"/>
    <w:rsid w:val="00C01106"/>
    <w:rsid w:val="00C04CF0"/>
    <w:rsid w:val="00C06E2B"/>
    <w:rsid w:val="00C128A6"/>
    <w:rsid w:val="00C2477C"/>
    <w:rsid w:val="00C349D3"/>
    <w:rsid w:val="00C3534E"/>
    <w:rsid w:val="00C40EC5"/>
    <w:rsid w:val="00C42005"/>
    <w:rsid w:val="00C45B56"/>
    <w:rsid w:val="00C51550"/>
    <w:rsid w:val="00C53C98"/>
    <w:rsid w:val="00C63E98"/>
    <w:rsid w:val="00C71746"/>
    <w:rsid w:val="00C86146"/>
    <w:rsid w:val="00C87067"/>
    <w:rsid w:val="00C93215"/>
    <w:rsid w:val="00C93AE3"/>
    <w:rsid w:val="00CA359A"/>
    <w:rsid w:val="00CA42A1"/>
    <w:rsid w:val="00CB454A"/>
    <w:rsid w:val="00CB732C"/>
    <w:rsid w:val="00CC263B"/>
    <w:rsid w:val="00CC2C67"/>
    <w:rsid w:val="00CC789A"/>
    <w:rsid w:val="00CD314F"/>
    <w:rsid w:val="00CE7915"/>
    <w:rsid w:val="00D01B9E"/>
    <w:rsid w:val="00D1461E"/>
    <w:rsid w:val="00D16337"/>
    <w:rsid w:val="00D24F8F"/>
    <w:rsid w:val="00D423CC"/>
    <w:rsid w:val="00D604EC"/>
    <w:rsid w:val="00D75381"/>
    <w:rsid w:val="00D77AC5"/>
    <w:rsid w:val="00D903C7"/>
    <w:rsid w:val="00DA11C8"/>
    <w:rsid w:val="00DB1B80"/>
    <w:rsid w:val="00DB20A9"/>
    <w:rsid w:val="00DC2FBF"/>
    <w:rsid w:val="00DE4415"/>
    <w:rsid w:val="00DF30D0"/>
    <w:rsid w:val="00E01D49"/>
    <w:rsid w:val="00E0495D"/>
    <w:rsid w:val="00EA14A8"/>
    <w:rsid w:val="00EA5748"/>
    <w:rsid w:val="00EB1A01"/>
    <w:rsid w:val="00EC3839"/>
    <w:rsid w:val="00EE22BC"/>
    <w:rsid w:val="00EE278C"/>
    <w:rsid w:val="00EE52B4"/>
    <w:rsid w:val="00EE6104"/>
    <w:rsid w:val="00EE633E"/>
    <w:rsid w:val="00F368E0"/>
    <w:rsid w:val="00F50C43"/>
    <w:rsid w:val="00F654D5"/>
    <w:rsid w:val="00F72800"/>
    <w:rsid w:val="00F923DF"/>
    <w:rsid w:val="00F92678"/>
    <w:rsid w:val="00F9295A"/>
    <w:rsid w:val="00F945EF"/>
    <w:rsid w:val="00FA21F9"/>
    <w:rsid w:val="00FA3940"/>
    <w:rsid w:val="00FC41CA"/>
    <w:rsid w:val="00FC56F8"/>
    <w:rsid w:val="00FD0A8D"/>
    <w:rsid w:val="00FD53BE"/>
    <w:rsid w:val="00FE37B4"/>
    <w:rsid w:val="00FF1832"/>
    <w:rsid w:val="00FF33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F656"/>
  <w15:chartTrackingRefBased/>
  <w15:docId w15:val="{223444EF-A34D-443F-8A51-90D1E05B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1A6"/>
  </w:style>
  <w:style w:type="paragraph" w:styleId="Ttulo1">
    <w:name w:val="heading 1"/>
    <w:basedOn w:val="Normal"/>
    <w:next w:val="Normal"/>
    <w:link w:val="Ttulo1Char"/>
    <w:uiPriority w:val="9"/>
    <w:qFormat/>
    <w:rsid w:val="00CD31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CD3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F30D0"/>
    <w:pPr>
      <w:ind w:left="720"/>
      <w:contextualSpacing/>
    </w:pPr>
  </w:style>
  <w:style w:type="character" w:customStyle="1" w:styleId="Ttulo2Char">
    <w:name w:val="Título 2 Char"/>
    <w:basedOn w:val="Fontepargpadro"/>
    <w:link w:val="Ttulo2"/>
    <w:uiPriority w:val="9"/>
    <w:rsid w:val="00CD314F"/>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CD314F"/>
    <w:rPr>
      <w:rFonts w:asciiTheme="majorHAnsi" w:eastAsiaTheme="majorEastAsia" w:hAnsiTheme="majorHAnsi" w:cstheme="majorBidi"/>
      <w:color w:val="2F5496" w:themeColor="accent1" w:themeShade="BF"/>
      <w:sz w:val="32"/>
      <w:szCs w:val="32"/>
    </w:rPr>
  </w:style>
  <w:style w:type="character" w:styleId="TextodoEspaoReservado">
    <w:name w:val="Placeholder Text"/>
    <w:basedOn w:val="Fontepargpadro"/>
    <w:uiPriority w:val="99"/>
    <w:semiHidden/>
    <w:rsid w:val="00C3534E"/>
    <w:rPr>
      <w:color w:val="808080"/>
    </w:rPr>
  </w:style>
  <w:style w:type="character" w:styleId="Refdecomentrio">
    <w:name w:val="annotation reference"/>
    <w:basedOn w:val="Fontepargpadro"/>
    <w:uiPriority w:val="99"/>
    <w:semiHidden/>
    <w:unhideWhenUsed/>
    <w:rsid w:val="008D6F1E"/>
    <w:rPr>
      <w:sz w:val="16"/>
      <w:szCs w:val="16"/>
    </w:rPr>
  </w:style>
  <w:style w:type="paragraph" w:styleId="Textodecomentrio">
    <w:name w:val="annotation text"/>
    <w:basedOn w:val="Normal"/>
    <w:link w:val="TextodecomentrioChar"/>
    <w:uiPriority w:val="99"/>
    <w:semiHidden/>
    <w:unhideWhenUsed/>
    <w:rsid w:val="008D6F1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D6F1E"/>
    <w:rPr>
      <w:sz w:val="20"/>
      <w:szCs w:val="20"/>
    </w:rPr>
  </w:style>
  <w:style w:type="paragraph" w:styleId="Assuntodocomentrio">
    <w:name w:val="annotation subject"/>
    <w:basedOn w:val="Textodecomentrio"/>
    <w:next w:val="Textodecomentrio"/>
    <w:link w:val="AssuntodocomentrioChar"/>
    <w:uiPriority w:val="99"/>
    <w:semiHidden/>
    <w:unhideWhenUsed/>
    <w:rsid w:val="008D6F1E"/>
    <w:rPr>
      <w:b/>
      <w:bCs/>
    </w:rPr>
  </w:style>
  <w:style w:type="character" w:customStyle="1" w:styleId="AssuntodocomentrioChar">
    <w:name w:val="Assunto do comentário Char"/>
    <w:basedOn w:val="TextodecomentrioChar"/>
    <w:link w:val="Assuntodocomentrio"/>
    <w:uiPriority w:val="99"/>
    <w:semiHidden/>
    <w:rsid w:val="008D6F1E"/>
    <w:rPr>
      <w:b/>
      <w:bCs/>
      <w:sz w:val="20"/>
      <w:szCs w:val="20"/>
    </w:rPr>
  </w:style>
  <w:style w:type="paragraph" w:styleId="Textodebalo">
    <w:name w:val="Balloon Text"/>
    <w:basedOn w:val="Normal"/>
    <w:link w:val="TextodebaloChar"/>
    <w:uiPriority w:val="99"/>
    <w:semiHidden/>
    <w:unhideWhenUsed/>
    <w:rsid w:val="008D6F1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D6F1E"/>
    <w:rPr>
      <w:rFonts w:ascii="Segoe UI" w:hAnsi="Segoe UI" w:cs="Segoe UI"/>
      <w:sz w:val="18"/>
      <w:szCs w:val="18"/>
    </w:rPr>
  </w:style>
  <w:style w:type="paragraph" w:styleId="Textodenotaderodap">
    <w:name w:val="footnote text"/>
    <w:basedOn w:val="Normal"/>
    <w:link w:val="TextodenotaderodapChar"/>
    <w:uiPriority w:val="99"/>
    <w:semiHidden/>
    <w:unhideWhenUsed/>
    <w:rsid w:val="008D6F1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D6F1E"/>
    <w:rPr>
      <w:sz w:val="20"/>
      <w:szCs w:val="20"/>
    </w:rPr>
  </w:style>
  <w:style w:type="character" w:styleId="Refdenotaderodap">
    <w:name w:val="footnote reference"/>
    <w:basedOn w:val="Fontepargpadro"/>
    <w:uiPriority w:val="99"/>
    <w:semiHidden/>
    <w:unhideWhenUsed/>
    <w:rsid w:val="008D6F1E"/>
    <w:rPr>
      <w:vertAlign w:val="superscript"/>
    </w:rPr>
  </w:style>
  <w:style w:type="table" w:styleId="Tabelacomgrade">
    <w:name w:val="Table Grid"/>
    <w:basedOn w:val="Tabelanormal"/>
    <w:uiPriority w:val="39"/>
    <w:rsid w:val="00234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4D079E"/>
    <w:pPr>
      <w:spacing w:after="200" w:line="240" w:lineRule="auto"/>
    </w:pPr>
    <w:rPr>
      <w:i/>
      <w:iCs/>
      <w:color w:val="44546A" w:themeColor="text2"/>
      <w:sz w:val="18"/>
      <w:szCs w:val="18"/>
    </w:rPr>
  </w:style>
  <w:style w:type="paragraph" w:styleId="NormalWeb">
    <w:name w:val="Normal (Web)"/>
    <w:basedOn w:val="Normal"/>
    <w:uiPriority w:val="99"/>
    <w:semiHidden/>
    <w:unhideWhenUsed/>
    <w:rsid w:val="00B3622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683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83774"/>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60988">
      <w:bodyDiv w:val="1"/>
      <w:marLeft w:val="0"/>
      <w:marRight w:val="0"/>
      <w:marTop w:val="0"/>
      <w:marBottom w:val="0"/>
      <w:divBdr>
        <w:top w:val="none" w:sz="0" w:space="0" w:color="auto"/>
        <w:left w:val="none" w:sz="0" w:space="0" w:color="auto"/>
        <w:bottom w:val="none" w:sz="0" w:space="0" w:color="auto"/>
        <w:right w:val="none" w:sz="0" w:space="0" w:color="auto"/>
      </w:divBdr>
    </w:div>
    <w:div w:id="191264480">
      <w:bodyDiv w:val="1"/>
      <w:marLeft w:val="0"/>
      <w:marRight w:val="0"/>
      <w:marTop w:val="0"/>
      <w:marBottom w:val="0"/>
      <w:divBdr>
        <w:top w:val="none" w:sz="0" w:space="0" w:color="auto"/>
        <w:left w:val="none" w:sz="0" w:space="0" w:color="auto"/>
        <w:bottom w:val="none" w:sz="0" w:space="0" w:color="auto"/>
        <w:right w:val="none" w:sz="0" w:space="0" w:color="auto"/>
      </w:divBdr>
    </w:div>
    <w:div w:id="329062031">
      <w:bodyDiv w:val="1"/>
      <w:marLeft w:val="0"/>
      <w:marRight w:val="0"/>
      <w:marTop w:val="0"/>
      <w:marBottom w:val="0"/>
      <w:divBdr>
        <w:top w:val="none" w:sz="0" w:space="0" w:color="auto"/>
        <w:left w:val="none" w:sz="0" w:space="0" w:color="auto"/>
        <w:bottom w:val="none" w:sz="0" w:space="0" w:color="auto"/>
        <w:right w:val="none" w:sz="0" w:space="0" w:color="auto"/>
      </w:divBdr>
      <w:divsChild>
        <w:div w:id="760837482">
          <w:marLeft w:val="0"/>
          <w:marRight w:val="0"/>
          <w:marTop w:val="0"/>
          <w:marBottom w:val="0"/>
          <w:divBdr>
            <w:top w:val="none" w:sz="0" w:space="0" w:color="auto"/>
            <w:left w:val="none" w:sz="0" w:space="0" w:color="auto"/>
            <w:bottom w:val="none" w:sz="0" w:space="0" w:color="auto"/>
            <w:right w:val="none" w:sz="0" w:space="0" w:color="auto"/>
          </w:divBdr>
          <w:divsChild>
            <w:div w:id="1216039482">
              <w:marLeft w:val="0"/>
              <w:marRight w:val="0"/>
              <w:marTop w:val="0"/>
              <w:marBottom w:val="0"/>
              <w:divBdr>
                <w:top w:val="none" w:sz="0" w:space="0" w:color="auto"/>
                <w:left w:val="none" w:sz="0" w:space="0" w:color="auto"/>
                <w:bottom w:val="none" w:sz="0" w:space="0" w:color="auto"/>
                <w:right w:val="none" w:sz="0" w:space="0" w:color="auto"/>
              </w:divBdr>
              <w:divsChild>
                <w:div w:id="2056192589">
                  <w:marLeft w:val="-240"/>
                  <w:marRight w:val="-240"/>
                  <w:marTop w:val="0"/>
                  <w:marBottom w:val="0"/>
                  <w:divBdr>
                    <w:top w:val="none" w:sz="0" w:space="0" w:color="auto"/>
                    <w:left w:val="none" w:sz="0" w:space="0" w:color="auto"/>
                    <w:bottom w:val="none" w:sz="0" w:space="0" w:color="auto"/>
                    <w:right w:val="none" w:sz="0" w:space="0" w:color="auto"/>
                  </w:divBdr>
                  <w:divsChild>
                    <w:div w:id="16587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635828">
      <w:bodyDiv w:val="1"/>
      <w:marLeft w:val="0"/>
      <w:marRight w:val="0"/>
      <w:marTop w:val="0"/>
      <w:marBottom w:val="0"/>
      <w:divBdr>
        <w:top w:val="none" w:sz="0" w:space="0" w:color="auto"/>
        <w:left w:val="none" w:sz="0" w:space="0" w:color="auto"/>
        <w:bottom w:val="none" w:sz="0" w:space="0" w:color="auto"/>
        <w:right w:val="none" w:sz="0" w:space="0" w:color="auto"/>
      </w:divBdr>
      <w:divsChild>
        <w:div w:id="2126270097">
          <w:marLeft w:val="0"/>
          <w:marRight w:val="0"/>
          <w:marTop w:val="0"/>
          <w:marBottom w:val="0"/>
          <w:divBdr>
            <w:top w:val="none" w:sz="0" w:space="0" w:color="auto"/>
            <w:left w:val="none" w:sz="0" w:space="0" w:color="auto"/>
            <w:bottom w:val="none" w:sz="0" w:space="0" w:color="auto"/>
            <w:right w:val="none" w:sz="0" w:space="0" w:color="auto"/>
          </w:divBdr>
        </w:div>
      </w:divsChild>
    </w:div>
    <w:div w:id="537788453">
      <w:bodyDiv w:val="1"/>
      <w:marLeft w:val="0"/>
      <w:marRight w:val="0"/>
      <w:marTop w:val="0"/>
      <w:marBottom w:val="0"/>
      <w:divBdr>
        <w:top w:val="none" w:sz="0" w:space="0" w:color="auto"/>
        <w:left w:val="none" w:sz="0" w:space="0" w:color="auto"/>
        <w:bottom w:val="none" w:sz="0" w:space="0" w:color="auto"/>
        <w:right w:val="none" w:sz="0" w:space="0" w:color="auto"/>
      </w:divBdr>
    </w:div>
    <w:div w:id="616912429">
      <w:bodyDiv w:val="1"/>
      <w:marLeft w:val="0"/>
      <w:marRight w:val="0"/>
      <w:marTop w:val="0"/>
      <w:marBottom w:val="0"/>
      <w:divBdr>
        <w:top w:val="none" w:sz="0" w:space="0" w:color="auto"/>
        <w:left w:val="none" w:sz="0" w:space="0" w:color="auto"/>
        <w:bottom w:val="none" w:sz="0" w:space="0" w:color="auto"/>
        <w:right w:val="none" w:sz="0" w:space="0" w:color="auto"/>
      </w:divBdr>
    </w:div>
    <w:div w:id="657920992">
      <w:bodyDiv w:val="1"/>
      <w:marLeft w:val="0"/>
      <w:marRight w:val="0"/>
      <w:marTop w:val="0"/>
      <w:marBottom w:val="0"/>
      <w:divBdr>
        <w:top w:val="none" w:sz="0" w:space="0" w:color="auto"/>
        <w:left w:val="none" w:sz="0" w:space="0" w:color="auto"/>
        <w:bottom w:val="none" w:sz="0" w:space="0" w:color="auto"/>
        <w:right w:val="none" w:sz="0" w:space="0" w:color="auto"/>
      </w:divBdr>
    </w:div>
    <w:div w:id="916283654">
      <w:bodyDiv w:val="1"/>
      <w:marLeft w:val="0"/>
      <w:marRight w:val="0"/>
      <w:marTop w:val="0"/>
      <w:marBottom w:val="0"/>
      <w:divBdr>
        <w:top w:val="none" w:sz="0" w:space="0" w:color="auto"/>
        <w:left w:val="none" w:sz="0" w:space="0" w:color="auto"/>
        <w:bottom w:val="none" w:sz="0" w:space="0" w:color="auto"/>
        <w:right w:val="none" w:sz="0" w:space="0" w:color="auto"/>
      </w:divBdr>
    </w:div>
    <w:div w:id="921715212">
      <w:bodyDiv w:val="1"/>
      <w:marLeft w:val="0"/>
      <w:marRight w:val="0"/>
      <w:marTop w:val="0"/>
      <w:marBottom w:val="0"/>
      <w:divBdr>
        <w:top w:val="none" w:sz="0" w:space="0" w:color="auto"/>
        <w:left w:val="none" w:sz="0" w:space="0" w:color="auto"/>
        <w:bottom w:val="none" w:sz="0" w:space="0" w:color="auto"/>
        <w:right w:val="none" w:sz="0" w:space="0" w:color="auto"/>
      </w:divBdr>
    </w:div>
    <w:div w:id="951938005">
      <w:bodyDiv w:val="1"/>
      <w:marLeft w:val="0"/>
      <w:marRight w:val="0"/>
      <w:marTop w:val="0"/>
      <w:marBottom w:val="0"/>
      <w:divBdr>
        <w:top w:val="none" w:sz="0" w:space="0" w:color="auto"/>
        <w:left w:val="none" w:sz="0" w:space="0" w:color="auto"/>
        <w:bottom w:val="none" w:sz="0" w:space="0" w:color="auto"/>
        <w:right w:val="none" w:sz="0" w:space="0" w:color="auto"/>
      </w:divBdr>
    </w:div>
    <w:div w:id="1091317744">
      <w:bodyDiv w:val="1"/>
      <w:marLeft w:val="0"/>
      <w:marRight w:val="0"/>
      <w:marTop w:val="0"/>
      <w:marBottom w:val="0"/>
      <w:divBdr>
        <w:top w:val="none" w:sz="0" w:space="0" w:color="auto"/>
        <w:left w:val="none" w:sz="0" w:space="0" w:color="auto"/>
        <w:bottom w:val="none" w:sz="0" w:space="0" w:color="auto"/>
        <w:right w:val="none" w:sz="0" w:space="0" w:color="auto"/>
      </w:divBdr>
      <w:divsChild>
        <w:div w:id="873034926">
          <w:marLeft w:val="0"/>
          <w:marRight w:val="0"/>
          <w:marTop w:val="0"/>
          <w:marBottom w:val="0"/>
          <w:divBdr>
            <w:top w:val="none" w:sz="0" w:space="0" w:color="auto"/>
            <w:left w:val="none" w:sz="0" w:space="0" w:color="auto"/>
            <w:bottom w:val="none" w:sz="0" w:space="0" w:color="auto"/>
            <w:right w:val="none" w:sz="0" w:space="0" w:color="auto"/>
          </w:divBdr>
        </w:div>
      </w:divsChild>
    </w:div>
    <w:div w:id="1316568912">
      <w:bodyDiv w:val="1"/>
      <w:marLeft w:val="0"/>
      <w:marRight w:val="0"/>
      <w:marTop w:val="0"/>
      <w:marBottom w:val="0"/>
      <w:divBdr>
        <w:top w:val="none" w:sz="0" w:space="0" w:color="auto"/>
        <w:left w:val="none" w:sz="0" w:space="0" w:color="auto"/>
        <w:bottom w:val="none" w:sz="0" w:space="0" w:color="auto"/>
        <w:right w:val="none" w:sz="0" w:space="0" w:color="auto"/>
      </w:divBdr>
      <w:divsChild>
        <w:div w:id="806893948">
          <w:marLeft w:val="0"/>
          <w:marRight w:val="0"/>
          <w:marTop w:val="0"/>
          <w:marBottom w:val="0"/>
          <w:divBdr>
            <w:top w:val="none" w:sz="0" w:space="0" w:color="auto"/>
            <w:left w:val="none" w:sz="0" w:space="0" w:color="auto"/>
            <w:bottom w:val="none" w:sz="0" w:space="0" w:color="auto"/>
            <w:right w:val="none" w:sz="0" w:space="0" w:color="auto"/>
          </w:divBdr>
        </w:div>
      </w:divsChild>
    </w:div>
    <w:div w:id="1479105413">
      <w:bodyDiv w:val="1"/>
      <w:marLeft w:val="0"/>
      <w:marRight w:val="0"/>
      <w:marTop w:val="0"/>
      <w:marBottom w:val="0"/>
      <w:divBdr>
        <w:top w:val="none" w:sz="0" w:space="0" w:color="auto"/>
        <w:left w:val="none" w:sz="0" w:space="0" w:color="auto"/>
        <w:bottom w:val="none" w:sz="0" w:space="0" w:color="auto"/>
        <w:right w:val="none" w:sz="0" w:space="0" w:color="auto"/>
      </w:divBdr>
    </w:div>
    <w:div w:id="1522233445">
      <w:bodyDiv w:val="1"/>
      <w:marLeft w:val="0"/>
      <w:marRight w:val="0"/>
      <w:marTop w:val="0"/>
      <w:marBottom w:val="0"/>
      <w:divBdr>
        <w:top w:val="none" w:sz="0" w:space="0" w:color="auto"/>
        <w:left w:val="none" w:sz="0" w:space="0" w:color="auto"/>
        <w:bottom w:val="none" w:sz="0" w:space="0" w:color="auto"/>
        <w:right w:val="none" w:sz="0" w:space="0" w:color="auto"/>
      </w:divBdr>
    </w:div>
    <w:div w:id="1698120827">
      <w:bodyDiv w:val="1"/>
      <w:marLeft w:val="0"/>
      <w:marRight w:val="0"/>
      <w:marTop w:val="0"/>
      <w:marBottom w:val="0"/>
      <w:divBdr>
        <w:top w:val="none" w:sz="0" w:space="0" w:color="auto"/>
        <w:left w:val="none" w:sz="0" w:space="0" w:color="auto"/>
        <w:bottom w:val="none" w:sz="0" w:space="0" w:color="auto"/>
        <w:right w:val="none" w:sz="0" w:space="0" w:color="auto"/>
      </w:divBdr>
      <w:divsChild>
        <w:div w:id="1063676131">
          <w:marLeft w:val="0"/>
          <w:marRight w:val="0"/>
          <w:marTop w:val="0"/>
          <w:marBottom w:val="0"/>
          <w:divBdr>
            <w:top w:val="none" w:sz="0" w:space="0" w:color="auto"/>
            <w:left w:val="none" w:sz="0" w:space="0" w:color="auto"/>
            <w:bottom w:val="none" w:sz="0" w:space="0" w:color="auto"/>
            <w:right w:val="none" w:sz="0" w:space="0" w:color="auto"/>
          </w:divBdr>
        </w:div>
      </w:divsChild>
    </w:div>
    <w:div w:id="1916354428">
      <w:bodyDiv w:val="1"/>
      <w:marLeft w:val="0"/>
      <w:marRight w:val="0"/>
      <w:marTop w:val="0"/>
      <w:marBottom w:val="0"/>
      <w:divBdr>
        <w:top w:val="none" w:sz="0" w:space="0" w:color="auto"/>
        <w:left w:val="none" w:sz="0" w:space="0" w:color="auto"/>
        <w:bottom w:val="none" w:sz="0" w:space="0" w:color="auto"/>
        <w:right w:val="none" w:sz="0" w:space="0" w:color="auto"/>
      </w:divBdr>
    </w:div>
    <w:div w:id="2077780992">
      <w:bodyDiv w:val="1"/>
      <w:marLeft w:val="0"/>
      <w:marRight w:val="0"/>
      <w:marTop w:val="0"/>
      <w:marBottom w:val="0"/>
      <w:divBdr>
        <w:top w:val="none" w:sz="0" w:space="0" w:color="auto"/>
        <w:left w:val="none" w:sz="0" w:space="0" w:color="auto"/>
        <w:bottom w:val="none" w:sz="0" w:space="0" w:color="auto"/>
        <w:right w:val="none" w:sz="0" w:space="0" w:color="auto"/>
      </w:divBdr>
      <w:divsChild>
        <w:div w:id="2080442176">
          <w:marLeft w:val="0"/>
          <w:marRight w:val="0"/>
          <w:marTop w:val="0"/>
          <w:marBottom w:val="0"/>
          <w:divBdr>
            <w:top w:val="none" w:sz="0" w:space="0" w:color="auto"/>
            <w:left w:val="none" w:sz="0" w:space="0" w:color="auto"/>
            <w:bottom w:val="none" w:sz="0" w:space="0" w:color="auto"/>
            <w:right w:val="none" w:sz="0" w:space="0" w:color="auto"/>
          </w:divBdr>
        </w:div>
      </w:divsChild>
    </w:div>
    <w:div w:id="209808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192.168.0.31\IDados\Ana%20Tereza\Anpec_2019\Tabelas%20Descritivas%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Pasta2"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'Gráfico Nocup'!$B$14</c:f>
              <c:strCache>
                <c:ptCount val="1"/>
                <c:pt idx="0">
                  <c:v>Manual e Rotineira</c:v>
                </c:pt>
              </c:strCache>
            </c:strRef>
          </c:tx>
          <c:spPr>
            <a:ln w="12700" cap="rnd">
              <a:solidFill>
                <a:schemeClr val="tx1"/>
              </a:solidFill>
              <a:round/>
            </a:ln>
            <a:effectLst/>
          </c:spPr>
          <c:marker>
            <c:symbol val="triangle"/>
            <c:size val="5"/>
            <c:spPr>
              <a:solidFill>
                <a:schemeClr val="tx1"/>
              </a:solidFill>
              <a:ln w="9525">
                <a:solidFill>
                  <a:schemeClr val="tx1"/>
                </a:solidFill>
              </a:ln>
              <a:effectLst/>
            </c:spPr>
          </c:marker>
          <c:cat>
            <c:numRef>
              <c:f>'Gráfico Nocup'!$F$15:$F$25</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'Gráfico Nocup'!$B$15:$B$25</c:f>
              <c:numCache>
                <c:formatCode>0.0%</c:formatCode>
                <c:ptCount val="11"/>
                <c:pt idx="0">
                  <c:v>0.28180614335245968</c:v>
                </c:pt>
                <c:pt idx="1">
                  <c:v>0.28008722975191108</c:v>
                </c:pt>
                <c:pt idx="2">
                  <c:v>0.27484562857213668</c:v>
                </c:pt>
                <c:pt idx="3">
                  <c:v>0.27220135641672</c:v>
                </c:pt>
                <c:pt idx="4">
                  <c:v>0.26878958004340903</c:v>
                </c:pt>
                <c:pt idx="5">
                  <c:v>0.27031729061074466</c:v>
                </c:pt>
                <c:pt idx="6">
                  <c:v>0.26884155155690315</c:v>
                </c:pt>
                <c:pt idx="7">
                  <c:v>0.26528734632640311</c:v>
                </c:pt>
                <c:pt idx="8">
                  <c:v>0.26439413905292064</c:v>
                </c:pt>
                <c:pt idx="9">
                  <c:v>0.2613613192308879</c:v>
                </c:pt>
                <c:pt idx="10">
                  <c:v>0.25837603057047775</c:v>
                </c:pt>
              </c:numCache>
            </c:numRef>
          </c:val>
          <c:smooth val="0"/>
          <c:extLst>
            <c:ext xmlns:c16="http://schemas.microsoft.com/office/drawing/2014/chart" uri="{C3380CC4-5D6E-409C-BE32-E72D297353CC}">
              <c16:uniqueId val="{00000000-4F2D-4357-950B-4A0FCBA98D92}"/>
            </c:ext>
          </c:extLst>
        </c:ser>
        <c:ser>
          <c:idx val="1"/>
          <c:order val="1"/>
          <c:tx>
            <c:strRef>
              <c:f>'Gráfico Nocup'!$C$14</c:f>
              <c:strCache>
                <c:ptCount val="1"/>
                <c:pt idx="0">
                  <c:v>Manual e Não Rotineira</c:v>
                </c:pt>
              </c:strCache>
            </c:strRef>
          </c:tx>
          <c:spPr>
            <a:ln w="12700" cap="rnd">
              <a:solidFill>
                <a:schemeClr val="tx1"/>
              </a:solidFill>
              <a:round/>
            </a:ln>
            <a:effectLst/>
          </c:spPr>
          <c:marker>
            <c:symbol val="diamond"/>
            <c:size val="5"/>
            <c:spPr>
              <a:solidFill>
                <a:schemeClr val="tx1"/>
              </a:solidFill>
              <a:ln w="9525">
                <a:solidFill>
                  <a:schemeClr val="tx1"/>
                </a:solidFill>
              </a:ln>
              <a:effectLst/>
            </c:spPr>
          </c:marker>
          <c:cat>
            <c:numRef>
              <c:f>'Gráfico Nocup'!$F$15:$F$25</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'Gráfico Nocup'!$C$15:$C$25</c:f>
              <c:numCache>
                <c:formatCode>0.0%</c:formatCode>
                <c:ptCount val="11"/>
                <c:pt idx="0">
                  <c:v>0.1517200751844944</c:v>
                </c:pt>
                <c:pt idx="1">
                  <c:v>0.15276229004169237</c:v>
                </c:pt>
                <c:pt idx="2">
                  <c:v>0.15491216268255148</c:v>
                </c:pt>
                <c:pt idx="3">
                  <c:v>0.15591330760407832</c:v>
                </c:pt>
                <c:pt idx="4">
                  <c:v>0.15953721801142051</c:v>
                </c:pt>
                <c:pt idx="5">
                  <c:v>0.15751284190898734</c:v>
                </c:pt>
                <c:pt idx="6">
                  <c:v>0.15703491593556443</c:v>
                </c:pt>
                <c:pt idx="7">
                  <c:v>0.15495865552912449</c:v>
                </c:pt>
                <c:pt idx="8">
                  <c:v>0.15171855523844552</c:v>
                </c:pt>
                <c:pt idx="9">
                  <c:v>0.14552206212796992</c:v>
                </c:pt>
                <c:pt idx="10">
                  <c:v>0.14195528405657448</c:v>
                </c:pt>
              </c:numCache>
            </c:numRef>
          </c:val>
          <c:smooth val="0"/>
          <c:extLst>
            <c:ext xmlns:c16="http://schemas.microsoft.com/office/drawing/2014/chart" uri="{C3380CC4-5D6E-409C-BE32-E72D297353CC}">
              <c16:uniqueId val="{00000001-4F2D-4357-950B-4A0FCBA98D92}"/>
            </c:ext>
          </c:extLst>
        </c:ser>
        <c:ser>
          <c:idx val="2"/>
          <c:order val="2"/>
          <c:tx>
            <c:strRef>
              <c:f>'Gráfico Nocup'!$D$14</c:f>
              <c:strCache>
                <c:ptCount val="1"/>
                <c:pt idx="0">
                  <c:v>Não Manual e Rotineira</c:v>
                </c:pt>
              </c:strCache>
            </c:strRef>
          </c:tx>
          <c:spPr>
            <a:ln w="12700" cap="rnd">
              <a:solidFill>
                <a:schemeClr val="tx1"/>
              </a:solidFill>
              <a:prstDash val="lgDash"/>
              <a:round/>
            </a:ln>
            <a:effectLst/>
          </c:spPr>
          <c:marker>
            <c:symbol val="circle"/>
            <c:size val="5"/>
            <c:spPr>
              <a:solidFill>
                <a:schemeClr val="tx1"/>
              </a:solidFill>
              <a:ln w="9525">
                <a:solidFill>
                  <a:schemeClr val="tx1"/>
                </a:solidFill>
                <a:prstDash val="lgDash"/>
              </a:ln>
              <a:effectLst/>
            </c:spPr>
          </c:marker>
          <c:cat>
            <c:numRef>
              <c:f>'Gráfico Nocup'!$F$15:$F$25</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'Gráfico Nocup'!$D$15:$D$25</c:f>
              <c:numCache>
                <c:formatCode>0.0%</c:formatCode>
                <c:ptCount val="11"/>
                <c:pt idx="0">
                  <c:v>0.33864029125102235</c:v>
                </c:pt>
                <c:pt idx="1">
                  <c:v>0.34072533580658099</c:v>
                </c:pt>
                <c:pt idx="2">
                  <c:v>0.34570172776194019</c:v>
                </c:pt>
                <c:pt idx="3">
                  <c:v>0.34421209182472579</c:v>
                </c:pt>
                <c:pt idx="4">
                  <c:v>0.34578689381509947</c:v>
                </c:pt>
                <c:pt idx="5">
                  <c:v>0.34631308437885461</c:v>
                </c:pt>
                <c:pt idx="6">
                  <c:v>0.34738546492391831</c:v>
                </c:pt>
                <c:pt idx="7">
                  <c:v>0.34811077527281825</c:v>
                </c:pt>
                <c:pt idx="8">
                  <c:v>0.34851302292217201</c:v>
                </c:pt>
                <c:pt idx="9">
                  <c:v>0.35262976944859503</c:v>
                </c:pt>
                <c:pt idx="10">
                  <c:v>0.35402930122944165</c:v>
                </c:pt>
              </c:numCache>
            </c:numRef>
          </c:val>
          <c:smooth val="0"/>
          <c:extLst>
            <c:ext xmlns:c16="http://schemas.microsoft.com/office/drawing/2014/chart" uri="{C3380CC4-5D6E-409C-BE32-E72D297353CC}">
              <c16:uniqueId val="{00000002-4F2D-4357-950B-4A0FCBA98D92}"/>
            </c:ext>
          </c:extLst>
        </c:ser>
        <c:ser>
          <c:idx val="3"/>
          <c:order val="3"/>
          <c:tx>
            <c:strRef>
              <c:f>'Gráfico Nocup'!$E$14</c:f>
              <c:strCache>
                <c:ptCount val="1"/>
                <c:pt idx="0">
                  <c:v>Não Manual e  Não Rotineira</c:v>
                </c:pt>
              </c:strCache>
            </c:strRef>
          </c:tx>
          <c:spPr>
            <a:ln w="12700" cap="rnd">
              <a:solidFill>
                <a:schemeClr val="tx1"/>
              </a:solidFill>
              <a:prstDash val="lgDash"/>
              <a:round/>
            </a:ln>
            <a:effectLst/>
          </c:spPr>
          <c:marker>
            <c:symbol val="x"/>
            <c:size val="5"/>
            <c:spPr>
              <a:noFill/>
              <a:ln w="9525">
                <a:solidFill>
                  <a:schemeClr val="tx1"/>
                </a:solidFill>
                <a:prstDash val="lgDash"/>
              </a:ln>
              <a:effectLst/>
            </c:spPr>
          </c:marker>
          <c:cat>
            <c:numRef>
              <c:f>'Gráfico Nocup'!$F$15:$F$25</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'Gráfico Nocup'!$E$15:$E$25</c:f>
              <c:numCache>
                <c:formatCode>0.0%</c:formatCode>
                <c:ptCount val="11"/>
                <c:pt idx="0">
                  <c:v>0.20909971676997122</c:v>
                </c:pt>
                <c:pt idx="1">
                  <c:v>0.21126384101615991</c:v>
                </c:pt>
                <c:pt idx="2">
                  <c:v>0.20898214380378799</c:v>
                </c:pt>
                <c:pt idx="3">
                  <c:v>0.21205905381741053</c:v>
                </c:pt>
                <c:pt idx="4">
                  <c:v>0.21059797991191118</c:v>
                </c:pt>
                <c:pt idx="5">
                  <c:v>0.21076145938424615</c:v>
                </c:pt>
                <c:pt idx="6">
                  <c:v>0.21193389037920843</c:v>
                </c:pt>
                <c:pt idx="7">
                  <c:v>0.21376355267058814</c:v>
                </c:pt>
                <c:pt idx="8">
                  <c:v>0.21899515474411291</c:v>
                </c:pt>
                <c:pt idx="9">
                  <c:v>0.22477848367241449</c:v>
                </c:pt>
                <c:pt idx="10">
                  <c:v>0.22795974109094924</c:v>
                </c:pt>
              </c:numCache>
            </c:numRef>
          </c:val>
          <c:smooth val="0"/>
          <c:extLst>
            <c:ext xmlns:c16="http://schemas.microsoft.com/office/drawing/2014/chart" uri="{C3380CC4-5D6E-409C-BE32-E72D297353CC}">
              <c16:uniqueId val="{00000003-4F2D-4357-950B-4A0FCBA98D92}"/>
            </c:ext>
          </c:extLst>
        </c:ser>
        <c:dLbls>
          <c:showLegendKey val="0"/>
          <c:showVal val="0"/>
          <c:showCatName val="0"/>
          <c:showSerName val="0"/>
          <c:showPercent val="0"/>
          <c:showBubbleSize val="0"/>
        </c:dLbls>
        <c:marker val="1"/>
        <c:smooth val="0"/>
        <c:axId val="612401048"/>
        <c:axId val="612404656"/>
      </c:lineChart>
      <c:catAx>
        <c:axId val="612401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612404656"/>
        <c:crosses val="autoZero"/>
        <c:auto val="1"/>
        <c:lblAlgn val="ctr"/>
        <c:lblOffset val="100"/>
        <c:noMultiLvlLbl val="0"/>
      </c:catAx>
      <c:valAx>
        <c:axId val="612404656"/>
        <c:scaling>
          <c:orientation val="minMax"/>
          <c:min val="0.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t-BR"/>
                  <a:t>%</a:t>
                </a:r>
                <a:r>
                  <a:rPr lang="pt-BR" baseline="0"/>
                  <a:t> dos empregados</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612401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u="none">
          <a:latin typeface="Times New Roman" panose="02020603050405020304" pitchFamily="18" charset="0"/>
          <a:cs typeface="Times New Roman" panose="02020603050405020304" pitchFamily="18" charset="0"/>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Planilha1!$A$12</c:f>
              <c:strCache>
                <c:ptCount val="1"/>
                <c:pt idx="0">
                  <c:v>Não Manual Não Rotineira</c:v>
                </c:pt>
              </c:strCache>
            </c:strRef>
          </c:tx>
          <c:spPr>
            <a:ln w="12700" cap="rnd">
              <a:solidFill>
                <a:schemeClr val="tx1"/>
              </a:solidFill>
              <a:round/>
            </a:ln>
            <a:effectLst/>
          </c:spPr>
          <c:marker>
            <c:symbol val="none"/>
          </c:marker>
          <c:cat>
            <c:numRef>
              <c:f>Planilha1!$B$5:$L$5</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Planilha1!$B$12:$L$12</c:f>
              <c:numCache>
                <c:formatCode>General</c:formatCode>
                <c:ptCount val="11"/>
                <c:pt idx="0">
                  <c:v>0.498</c:v>
                </c:pt>
                <c:pt idx="1">
                  <c:v>0.52569999999999995</c:v>
                </c:pt>
                <c:pt idx="2">
                  <c:v>0.50049999999999994</c:v>
                </c:pt>
                <c:pt idx="3">
                  <c:v>0.52710000000000001</c:v>
                </c:pt>
                <c:pt idx="4">
                  <c:v>0.52839999999999998</c:v>
                </c:pt>
                <c:pt idx="5">
                  <c:v>0.53290000000000004</c:v>
                </c:pt>
                <c:pt idx="6">
                  <c:v>0.53300000000000003</c:v>
                </c:pt>
                <c:pt idx="7">
                  <c:v>0.52310000000000001</c:v>
                </c:pt>
                <c:pt idx="8">
                  <c:v>0.53759999999999997</c:v>
                </c:pt>
                <c:pt idx="9">
                  <c:v>0.52480000000000004</c:v>
                </c:pt>
                <c:pt idx="10">
                  <c:v>0.54559999999999997</c:v>
                </c:pt>
              </c:numCache>
            </c:numRef>
          </c:val>
          <c:smooth val="0"/>
          <c:extLst>
            <c:ext xmlns:c16="http://schemas.microsoft.com/office/drawing/2014/chart" uri="{C3380CC4-5D6E-409C-BE32-E72D297353CC}">
              <c16:uniqueId val="{00000000-165C-4E25-B5CB-19B5004FF0D5}"/>
            </c:ext>
          </c:extLst>
        </c:ser>
        <c:dLbls>
          <c:showLegendKey val="0"/>
          <c:showVal val="0"/>
          <c:showCatName val="0"/>
          <c:showSerName val="0"/>
          <c:showPercent val="0"/>
          <c:showBubbleSize val="0"/>
        </c:dLbls>
        <c:smooth val="0"/>
        <c:axId val="850154880"/>
        <c:axId val="850157832"/>
      </c:lineChart>
      <c:catAx>
        <c:axId val="85015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850157832"/>
        <c:crosses val="autoZero"/>
        <c:auto val="1"/>
        <c:lblAlgn val="ctr"/>
        <c:lblOffset val="100"/>
        <c:noMultiLvlLbl val="0"/>
      </c:catAx>
      <c:valAx>
        <c:axId val="850157832"/>
        <c:scaling>
          <c:orientation val="minMax"/>
          <c:min val="0.43000000000000005"/>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t-BR"/>
                  <a:t>Coeficiente</a:t>
                </a:r>
                <a:r>
                  <a:rPr lang="pt-BR" baseline="0"/>
                  <a:t> (</a:t>
                </a:r>
                <a:r>
                  <a:rPr lang="el-GR" baseline="0">
                    <a:latin typeface="Times New Roman" panose="02020603050405020304" pitchFamily="18" charset="0"/>
                    <a:cs typeface="Times New Roman" panose="02020603050405020304" pitchFamily="18" charset="0"/>
                  </a:rPr>
                  <a:t>β</a:t>
                </a:r>
                <a:r>
                  <a:rPr lang="pt-BR" baseline="0">
                    <a:latin typeface="Times New Roman" panose="02020603050405020304" pitchFamily="18" charset="0"/>
                    <a:cs typeface="Times New Roman" panose="02020603050405020304" pitchFamily="18" charset="0"/>
                  </a:rPr>
                  <a:t>)</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850154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Planilha1!$A$10</c:f>
              <c:strCache>
                <c:ptCount val="1"/>
                <c:pt idx="0">
                  <c:v>Não Manual e Rotineira</c:v>
                </c:pt>
              </c:strCache>
            </c:strRef>
          </c:tx>
          <c:spPr>
            <a:ln w="12700" cap="rnd">
              <a:solidFill>
                <a:schemeClr val="tx1"/>
              </a:solidFill>
              <a:round/>
            </a:ln>
            <a:effectLst/>
          </c:spPr>
          <c:marker>
            <c:symbol val="none"/>
          </c:marker>
          <c:cat>
            <c:numRef>
              <c:f>Planilha1!$B$5:$L$5</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Planilha1!$B$10:$L$10</c:f>
              <c:numCache>
                <c:formatCode>General</c:formatCode>
                <c:ptCount val="11"/>
                <c:pt idx="0">
                  <c:v>0.23960000000000001</c:v>
                </c:pt>
                <c:pt idx="1">
                  <c:v>0.24590000000000001</c:v>
                </c:pt>
                <c:pt idx="2">
                  <c:v>0.23080000000000001</c:v>
                </c:pt>
                <c:pt idx="3">
                  <c:v>0.2291</c:v>
                </c:pt>
                <c:pt idx="4">
                  <c:v>0.22950000000000001</c:v>
                </c:pt>
                <c:pt idx="5">
                  <c:v>0.22800000000000001</c:v>
                </c:pt>
                <c:pt idx="6">
                  <c:v>0.22370000000000001</c:v>
                </c:pt>
                <c:pt idx="7">
                  <c:v>0.22170000000000001</c:v>
                </c:pt>
                <c:pt idx="8">
                  <c:v>0.2238</c:v>
                </c:pt>
                <c:pt idx="9">
                  <c:v>0.2114</c:v>
                </c:pt>
                <c:pt idx="10">
                  <c:v>0.20979999999999999</c:v>
                </c:pt>
              </c:numCache>
            </c:numRef>
          </c:val>
          <c:smooth val="0"/>
          <c:extLst>
            <c:ext xmlns:c16="http://schemas.microsoft.com/office/drawing/2014/chart" uri="{C3380CC4-5D6E-409C-BE32-E72D297353CC}">
              <c16:uniqueId val="{00000000-2FA5-4147-9C48-8341FBC8BF6D}"/>
            </c:ext>
          </c:extLst>
        </c:ser>
        <c:dLbls>
          <c:showLegendKey val="0"/>
          <c:showVal val="0"/>
          <c:showCatName val="0"/>
          <c:showSerName val="0"/>
          <c:showPercent val="0"/>
          <c:showBubbleSize val="0"/>
        </c:dLbls>
        <c:smooth val="0"/>
        <c:axId val="850154880"/>
        <c:axId val="850157832"/>
      </c:lineChart>
      <c:catAx>
        <c:axId val="85015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850157832"/>
        <c:crosses val="autoZero"/>
        <c:auto val="1"/>
        <c:lblAlgn val="ctr"/>
        <c:lblOffset val="100"/>
        <c:noMultiLvlLbl val="0"/>
      </c:catAx>
      <c:valAx>
        <c:axId val="8501578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t-BR" sz="1000" b="0" i="0" baseline="0">
                    <a:effectLst/>
                  </a:rPr>
                  <a:t>Coeficiente (</a:t>
                </a:r>
                <a:r>
                  <a:rPr lang="el-GR" sz="1000" b="0" i="0" baseline="0">
                    <a:effectLst/>
                  </a:rPr>
                  <a:t>β</a:t>
                </a:r>
                <a:r>
                  <a:rPr lang="pt-BR" sz="1000" b="0" i="0" baseline="0">
                    <a:effectLst/>
                  </a:rPr>
                  <a:t>)</a:t>
                </a:r>
                <a:endParaRPr lang="pt-BR" sz="1000">
                  <a:effectLst/>
                </a:endParaRPr>
              </a:p>
            </c:rich>
          </c:tx>
          <c:layout>
            <c:manualLayout>
              <c:xMode val="edge"/>
              <c:yMode val="edge"/>
              <c:x val="1.9444444444444445E-2"/>
              <c:y val="0.2975656167979002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850154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Planilha1!$A$8</c:f>
              <c:strCache>
                <c:ptCount val="1"/>
                <c:pt idx="0">
                  <c:v>Manual e Não Rotineira</c:v>
                </c:pt>
              </c:strCache>
            </c:strRef>
          </c:tx>
          <c:spPr>
            <a:ln w="12700" cap="rnd">
              <a:solidFill>
                <a:schemeClr val="tx1"/>
              </a:solidFill>
              <a:round/>
            </a:ln>
            <a:effectLst/>
          </c:spPr>
          <c:marker>
            <c:symbol val="none"/>
          </c:marker>
          <c:cat>
            <c:numRef>
              <c:f>Planilha1!$B$5:$L$5</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Planilha1!$B$8:$L$8</c:f>
              <c:numCache>
                <c:formatCode>General</c:formatCode>
                <c:ptCount val="11"/>
                <c:pt idx="0">
                  <c:v>0.1573</c:v>
                </c:pt>
                <c:pt idx="1">
                  <c:v>0.14810000000000001</c:v>
                </c:pt>
                <c:pt idx="2">
                  <c:v>0.13550000000000001</c:v>
                </c:pt>
                <c:pt idx="3">
                  <c:v>0.1351</c:v>
                </c:pt>
                <c:pt idx="4">
                  <c:v>0.1221</c:v>
                </c:pt>
                <c:pt idx="5">
                  <c:v>0.1234</c:v>
                </c:pt>
                <c:pt idx="6">
                  <c:v>0.1157</c:v>
                </c:pt>
                <c:pt idx="7">
                  <c:v>0.11360000000000001</c:v>
                </c:pt>
                <c:pt idx="8">
                  <c:v>0.11940000000000001</c:v>
                </c:pt>
                <c:pt idx="9">
                  <c:v>0.1222</c:v>
                </c:pt>
                <c:pt idx="10">
                  <c:v>0.11899999999999999</c:v>
                </c:pt>
              </c:numCache>
            </c:numRef>
          </c:val>
          <c:smooth val="0"/>
          <c:extLst>
            <c:ext xmlns:c16="http://schemas.microsoft.com/office/drawing/2014/chart" uri="{C3380CC4-5D6E-409C-BE32-E72D297353CC}">
              <c16:uniqueId val="{00000000-DC55-4196-A278-43093FD556B0}"/>
            </c:ext>
          </c:extLst>
        </c:ser>
        <c:dLbls>
          <c:showLegendKey val="0"/>
          <c:showVal val="0"/>
          <c:showCatName val="0"/>
          <c:showSerName val="0"/>
          <c:showPercent val="0"/>
          <c:showBubbleSize val="0"/>
        </c:dLbls>
        <c:smooth val="0"/>
        <c:axId val="850154880"/>
        <c:axId val="850157832"/>
      </c:lineChart>
      <c:catAx>
        <c:axId val="85015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850157832"/>
        <c:crosses val="autoZero"/>
        <c:auto val="1"/>
        <c:lblAlgn val="ctr"/>
        <c:lblOffset val="100"/>
        <c:noMultiLvlLbl val="0"/>
      </c:catAx>
      <c:valAx>
        <c:axId val="850157832"/>
        <c:scaling>
          <c:orientation val="minMax"/>
          <c:min val="0.1"/>
        </c:scaling>
        <c:delete val="0"/>
        <c:axPos val="l"/>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5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pt-BR" sz="1050" b="0" i="0" baseline="0">
                    <a:effectLst/>
                  </a:rPr>
                  <a:t>Coeficientes (</a:t>
                </a:r>
                <a:r>
                  <a:rPr lang="el-GR" sz="1050" b="0" i="0" baseline="0">
                    <a:effectLst/>
                  </a:rPr>
                  <a:t>β</a:t>
                </a:r>
                <a:r>
                  <a:rPr lang="pt-BR" sz="1050" b="0" i="0" baseline="0">
                    <a:effectLst/>
                  </a:rPr>
                  <a:t>)</a:t>
                </a:r>
                <a:endParaRPr lang="pt-BR" sz="105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5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850154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'salarios predito'!$A$2</c:f>
              <c:strCache>
                <c:ptCount val="1"/>
                <c:pt idx="0">
                  <c:v>Manual e Rotineira</c:v>
                </c:pt>
              </c:strCache>
            </c:strRef>
          </c:tx>
          <c:spPr>
            <a:ln w="12700" cap="rnd">
              <a:solidFill>
                <a:schemeClr val="tx1"/>
              </a:solidFill>
              <a:round/>
            </a:ln>
            <a:effectLst/>
          </c:spPr>
          <c:marker>
            <c:symbol val="circle"/>
            <c:size val="5"/>
            <c:spPr>
              <a:solidFill>
                <a:schemeClr val="tx1"/>
              </a:solidFill>
              <a:ln w="9525">
                <a:noFill/>
              </a:ln>
              <a:effectLst/>
            </c:spPr>
          </c:marker>
          <c:cat>
            <c:numRef>
              <c:f>'salarios predito'!$B$1:$L$1</c:f>
              <c:numCache>
                <c:formatCode>@</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'salarios predito'!$B$2:$L$2</c:f>
              <c:numCache>
                <c:formatCode>General</c:formatCode>
                <c:ptCount val="11"/>
                <c:pt idx="0">
                  <c:v>1729.1969999999999</c:v>
                </c:pt>
                <c:pt idx="1">
                  <c:v>1730.0909999999999</c:v>
                </c:pt>
                <c:pt idx="2">
                  <c:v>1788.9770000000001</c:v>
                </c:pt>
                <c:pt idx="3">
                  <c:v>1810.4159999999999</c:v>
                </c:pt>
                <c:pt idx="4">
                  <c:v>1845.9069999999999</c:v>
                </c:pt>
                <c:pt idx="5">
                  <c:v>1875.307</c:v>
                </c:pt>
                <c:pt idx="6">
                  <c:v>1939.171</c:v>
                </c:pt>
                <c:pt idx="7">
                  <c:v>1990.903</c:v>
                </c:pt>
                <c:pt idx="8">
                  <c:v>1994.0170000000001</c:v>
                </c:pt>
                <c:pt idx="9">
                  <c:v>1960.778</c:v>
                </c:pt>
                <c:pt idx="10">
                  <c:v>1949.2470000000001</c:v>
                </c:pt>
              </c:numCache>
            </c:numRef>
          </c:val>
          <c:smooth val="0"/>
          <c:extLst>
            <c:ext xmlns:c16="http://schemas.microsoft.com/office/drawing/2014/chart" uri="{C3380CC4-5D6E-409C-BE32-E72D297353CC}">
              <c16:uniqueId val="{00000000-AD5A-4B01-9020-D01D57B72784}"/>
            </c:ext>
          </c:extLst>
        </c:ser>
        <c:ser>
          <c:idx val="1"/>
          <c:order val="1"/>
          <c:tx>
            <c:strRef>
              <c:f>'salarios predito'!$A$3</c:f>
              <c:strCache>
                <c:ptCount val="1"/>
                <c:pt idx="0">
                  <c:v>Manual e Não Rotineira</c:v>
                </c:pt>
              </c:strCache>
            </c:strRef>
          </c:tx>
          <c:spPr>
            <a:ln w="12700" cap="rnd">
              <a:solidFill>
                <a:schemeClr val="tx1"/>
              </a:solidFill>
              <a:round/>
            </a:ln>
            <a:effectLst/>
          </c:spPr>
          <c:marker>
            <c:symbol val="diamond"/>
            <c:size val="5"/>
            <c:spPr>
              <a:solidFill>
                <a:schemeClr val="tx1"/>
              </a:solidFill>
              <a:ln w="9525">
                <a:solidFill>
                  <a:schemeClr val="tx1"/>
                </a:solidFill>
              </a:ln>
              <a:effectLst/>
            </c:spPr>
          </c:marker>
          <c:cat>
            <c:numRef>
              <c:f>'salarios predito'!$B$1:$L$1</c:f>
              <c:numCache>
                <c:formatCode>@</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'salarios predito'!$B$3:$L$3</c:f>
              <c:numCache>
                <c:formatCode>General</c:formatCode>
                <c:ptCount val="11"/>
                <c:pt idx="0">
                  <c:v>1924.165</c:v>
                </c:pt>
                <c:pt idx="1">
                  <c:v>1925.8</c:v>
                </c:pt>
                <c:pt idx="2">
                  <c:v>1961.375</c:v>
                </c:pt>
                <c:pt idx="3">
                  <c:v>1996.952</c:v>
                </c:pt>
                <c:pt idx="4">
                  <c:v>2025.616</c:v>
                </c:pt>
                <c:pt idx="5">
                  <c:v>2060.8229999999999</c:v>
                </c:pt>
                <c:pt idx="6">
                  <c:v>2120.2669999999998</c:v>
                </c:pt>
                <c:pt idx="7">
                  <c:v>2175.826</c:v>
                </c:pt>
                <c:pt idx="8">
                  <c:v>2189.3110000000001</c:v>
                </c:pt>
                <c:pt idx="9">
                  <c:v>2143.7719999999999</c:v>
                </c:pt>
                <c:pt idx="10">
                  <c:v>2119.1950000000002</c:v>
                </c:pt>
              </c:numCache>
            </c:numRef>
          </c:val>
          <c:smooth val="0"/>
          <c:extLst>
            <c:ext xmlns:c16="http://schemas.microsoft.com/office/drawing/2014/chart" uri="{C3380CC4-5D6E-409C-BE32-E72D297353CC}">
              <c16:uniqueId val="{00000001-AD5A-4B01-9020-D01D57B72784}"/>
            </c:ext>
          </c:extLst>
        </c:ser>
        <c:ser>
          <c:idx val="2"/>
          <c:order val="2"/>
          <c:tx>
            <c:strRef>
              <c:f>'salarios predito'!$A$4</c:f>
              <c:strCache>
                <c:ptCount val="1"/>
                <c:pt idx="0">
                  <c:v>Não Manual e Rotineira</c:v>
                </c:pt>
              </c:strCache>
            </c:strRef>
          </c:tx>
          <c:spPr>
            <a:ln w="12700" cap="rnd">
              <a:solidFill>
                <a:schemeClr val="tx1"/>
              </a:solidFill>
              <a:prstDash val="lgDash"/>
              <a:round/>
            </a:ln>
            <a:effectLst/>
          </c:spPr>
          <c:marker>
            <c:symbol val="square"/>
            <c:size val="5"/>
            <c:spPr>
              <a:solidFill>
                <a:schemeClr val="tx1"/>
              </a:solidFill>
              <a:ln w="9525">
                <a:solidFill>
                  <a:schemeClr val="tx1"/>
                </a:solidFill>
              </a:ln>
              <a:effectLst/>
            </c:spPr>
          </c:marker>
          <c:cat>
            <c:numRef>
              <c:f>'salarios predito'!$B$1:$L$1</c:f>
              <c:numCache>
                <c:formatCode>@</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'salarios predito'!$B$4:$L$4</c:f>
              <c:numCache>
                <c:formatCode>General</c:formatCode>
                <c:ptCount val="11"/>
                <c:pt idx="0">
                  <c:v>2248.6709999999998</c:v>
                </c:pt>
                <c:pt idx="1">
                  <c:v>2285.1750000000002</c:v>
                </c:pt>
                <c:pt idx="2">
                  <c:v>2347.739</c:v>
                </c:pt>
                <c:pt idx="3">
                  <c:v>2397.8270000000002</c:v>
                </c:pt>
                <c:pt idx="4">
                  <c:v>2477.741</c:v>
                </c:pt>
                <c:pt idx="5">
                  <c:v>2535.0529999999999</c:v>
                </c:pt>
                <c:pt idx="6">
                  <c:v>2624.2440000000001</c:v>
                </c:pt>
                <c:pt idx="7">
                  <c:v>2695.6109999999999</c:v>
                </c:pt>
                <c:pt idx="8">
                  <c:v>2711.68</c:v>
                </c:pt>
                <c:pt idx="9">
                  <c:v>2613.7150000000001</c:v>
                </c:pt>
                <c:pt idx="10">
                  <c:v>2607.0819999999999</c:v>
                </c:pt>
              </c:numCache>
            </c:numRef>
          </c:val>
          <c:smooth val="0"/>
          <c:extLst>
            <c:ext xmlns:c16="http://schemas.microsoft.com/office/drawing/2014/chart" uri="{C3380CC4-5D6E-409C-BE32-E72D297353CC}">
              <c16:uniqueId val="{00000002-AD5A-4B01-9020-D01D57B72784}"/>
            </c:ext>
          </c:extLst>
        </c:ser>
        <c:ser>
          <c:idx val="3"/>
          <c:order val="3"/>
          <c:tx>
            <c:strRef>
              <c:f>'salarios predito'!$A$5</c:f>
              <c:strCache>
                <c:ptCount val="1"/>
                <c:pt idx="0">
                  <c:v>Não Manual e Não Rotineira</c:v>
                </c:pt>
              </c:strCache>
            </c:strRef>
          </c:tx>
          <c:spPr>
            <a:ln w="12700" cap="rnd">
              <a:solidFill>
                <a:schemeClr val="tx1"/>
              </a:solidFill>
              <a:prstDash val="dash"/>
              <a:round/>
            </a:ln>
            <a:effectLst/>
          </c:spPr>
          <c:marker>
            <c:symbol val="diamond"/>
            <c:size val="5"/>
            <c:spPr>
              <a:solidFill>
                <a:schemeClr val="tx1"/>
              </a:solidFill>
              <a:ln w="9525">
                <a:solidFill>
                  <a:schemeClr val="tx1"/>
                </a:solidFill>
              </a:ln>
              <a:effectLst/>
            </c:spPr>
          </c:marker>
          <c:cat>
            <c:numRef>
              <c:f>'salarios predito'!$B$1:$L$1</c:f>
              <c:numCache>
                <c:formatCode>@</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'salarios predito'!$B$5:$L$5</c:f>
              <c:numCache>
                <c:formatCode>General</c:formatCode>
                <c:ptCount val="11"/>
                <c:pt idx="0">
                  <c:v>3687.154</c:v>
                </c:pt>
                <c:pt idx="1">
                  <c:v>3767.3029999999999</c:v>
                </c:pt>
                <c:pt idx="2">
                  <c:v>3949.6680000000001</c:v>
                </c:pt>
                <c:pt idx="3">
                  <c:v>4049.402</c:v>
                </c:pt>
                <c:pt idx="4">
                  <c:v>4248.2049999999999</c:v>
                </c:pt>
                <c:pt idx="5">
                  <c:v>4387.2139999999999</c:v>
                </c:pt>
                <c:pt idx="6">
                  <c:v>4545.7520000000004</c:v>
                </c:pt>
                <c:pt idx="7">
                  <c:v>4652.6949999999997</c:v>
                </c:pt>
                <c:pt idx="8">
                  <c:v>4693.93</c:v>
                </c:pt>
                <c:pt idx="9">
                  <c:v>4575.1859999999997</c:v>
                </c:pt>
                <c:pt idx="10">
                  <c:v>4564.3010000000004</c:v>
                </c:pt>
              </c:numCache>
            </c:numRef>
          </c:val>
          <c:smooth val="0"/>
          <c:extLst>
            <c:ext xmlns:c16="http://schemas.microsoft.com/office/drawing/2014/chart" uri="{C3380CC4-5D6E-409C-BE32-E72D297353CC}">
              <c16:uniqueId val="{00000003-AD5A-4B01-9020-D01D57B72784}"/>
            </c:ext>
          </c:extLst>
        </c:ser>
        <c:dLbls>
          <c:showLegendKey val="0"/>
          <c:showVal val="0"/>
          <c:showCatName val="0"/>
          <c:showSerName val="0"/>
          <c:showPercent val="0"/>
          <c:showBubbleSize val="0"/>
        </c:dLbls>
        <c:marker val="1"/>
        <c:smooth val="0"/>
        <c:axId val="847157360"/>
        <c:axId val="847159000"/>
      </c:lineChart>
      <c:catAx>
        <c:axId val="847157360"/>
        <c:scaling>
          <c:orientation val="minMax"/>
        </c:scaling>
        <c:delete val="0"/>
        <c:axPos val="b"/>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847159000"/>
        <c:crosses val="autoZero"/>
        <c:auto val="1"/>
        <c:lblAlgn val="ctr"/>
        <c:lblOffset val="100"/>
        <c:noMultiLvlLbl val="0"/>
      </c:catAx>
      <c:valAx>
        <c:axId val="847159000"/>
        <c:scaling>
          <c:orientation val="minMax"/>
          <c:min val="15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84715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B42BF-1458-464C-A43D-83AAFB476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7711</Words>
  <Characters>41642</Characters>
  <Application>Microsoft Office Word</Application>
  <DocSecurity>0</DocSecurity>
  <Lines>347</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Tereza Pires</dc:creator>
  <cp:keywords/>
  <dc:description/>
  <cp:lastModifiedBy>Ana Tereza Pires</cp:lastModifiedBy>
  <cp:revision>2</cp:revision>
  <cp:lastPrinted>2019-07-19T17:47:00Z</cp:lastPrinted>
  <dcterms:created xsi:type="dcterms:W3CDTF">2019-07-22T02:49:00Z</dcterms:created>
  <dcterms:modified xsi:type="dcterms:W3CDTF">2019-07-22T02:49:00Z</dcterms:modified>
</cp:coreProperties>
</file>