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left"/>
      </w:pPr>
      <w:r>
        <w:drawing>
          <wp:inline distT="0" distB="0" distL="0" distR="0">
            <wp:extent cx="1047750" cy="638175"/>
            <wp:effectExtent t="0" r="0" b="0" l="0"/>
            <wp:docPr id="1" name="logotipo" descr="Logótipo de Ricardina Correia, Psicologia Pediátrica" title="Log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5"/>
          <w:szCs w:val="15"/>
        </w:rPr>
        <w:t xml:space="preserve">GUIA PARA PAIS · 3 AOS 12 ANOS</w:t>
      </w:r>
    </w:p>
    <w:p>
      <w:pPr>
        <w:keepLines/>
        <w:spacing w:after="160" w:before="0" w:line="24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46"/>
          <w:szCs w:val="46"/>
        </w:rPr>
        <w:t xml:space="preserve">O gato morreu. E ele quer saber quando volta.</w:t>
      </w:r>
    </w:p>
    <w:p>
      <w:pPr>
        <w:keepLines/>
        <w:spacing w:after="280" w:before="0" w:line="290" w:lineRule="auto"/>
        <w:jc w:val="left"/>
      </w:pPr>
      <w:r>
        <w:rPr>
          <w:rFonts w:ascii="Calibri" w:cs="Calibri" w:eastAsia="Calibri" w:hAnsi="Calibri"/>
          <w:color w:val="6E86A6"/>
          <w:sz w:val="21"/>
          <w:szCs w:val="21"/>
        </w:rPr>
        <w:t xml:space="preserve">O luto de uma criança pela morte de um animal de estimação: o que dizer, como despedir-se e quando procurar ajuda.</w:t>
      </w:r>
    </w:p>
    <w:p>
      <w:pPr>
        <w:keepNext/>
        <w:keepLines/>
        <w:spacing w:after="100" w:before="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EM POUCAS PALAVRAS</w:t>
      </w:r>
    </w:p>
    <w:tbl>
      <w:tblPr>
        <w:tblW w:type="dxa" w:w="6991"/>
        <w:tblBorders>
          <w:top w:val="none" w:color="FFFFFF" w:sz="0"/>
          <w:left w:val="single" w:color="7B5B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7B5BD6" w:sz="24"/>
              <w:bottom w:val="none" w:color="FFFFFF" w:sz="0"/>
              <w:right w:val="none" w:color="FFFFFF" w:sz="0"/>
            </w:tcBorders>
            <w:shd w:fill="EFEBFC" w:color="auto" w:val="clear"/>
            <w:tcMar>
              <w:top w:type="dxa" w:w="200"/>
              <w:left w:type="dxa" w:w="220"/>
              <w:bottom w:type="dxa" w:w="150"/>
              <w:right w:type="dxa" w:w="220"/>
            </w:tcMar>
          </w:tcPr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dor é real e não precisa de ser relativizada.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Para a criança, era alguém da família.</w:t>
            </w:r>
          </w:p>
          <w:p>
            <w:pPr>
              <w:keepLines/>
              <w:spacing w:after="13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A verdade, dita com simplicidade, protege mais do que um eufemismo.</w:t>
            </w:r>
          </w:p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22"/>
                <w:szCs w:val="22"/>
              </w:rPr>
              <w:t xml:space="preserve">O que se faz agora fica como modelo</w:t>
            </w: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 para as perdas que vierem depois.</w:t>
            </w:r>
          </w:p>
        </w:tc>
      </w:tr>
    </w:tbl>
    <w:p>
      <w:pPr>
        <w:keepNext/>
        <w:keepLines/>
        <w:spacing w:after="100" w:before="32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PALAVRAS QUE AJUDAM</w:t>
      </w:r>
    </w:p>
    <w:tbl>
      <w:tblPr>
        <w:tblW w:type="dxa" w:w="6991"/>
        <w:tblBorders>
          <w:top w:val="none" w:color="FFFFFF" w:sz="0"/>
          <w:left w:val="single" w:color="6E86A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6E86A6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«Morreu.» · «Não volta.» · «Não foi culpa tua.» · «Também estou triste.»</w:t>
            </w:r>
          </w:p>
        </w:tc>
      </w:tr>
    </w:tbl>
    <w:p>
      <w:pPr>
        <w:keepNext/>
        <w:keepLines/>
        <w:spacing w:after="100" w:before="22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PALAVRAS QUE CONFUNDEM</w:t>
      </w:r>
    </w:p>
    <w:tbl>
      <w:tblPr>
        <w:tblW w:type="dxa" w:w="6991"/>
        <w:tblBorders>
          <w:top w:val="none" w:color="FFFFFF" w:sz="0"/>
          <w:left w:val="single" w:color="D6336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D6336C" w:sz="24"/>
              <w:bottom w:val="none" w:color="FFFFFF" w:sz="0"/>
              <w:right w:val="none" w:color="FFFFFF" w:sz="0"/>
            </w:tcBorders>
            <w:shd w:fill="FCEEF2" w:color="auto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keepLines/>
              <w:spacing w:after="60" w:before="0" w:line="290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22"/>
                <w:szCs w:val="22"/>
              </w:rPr>
              <w:t xml:space="preserve">«Foi dormir.» · «Fugiu.» · «Foi para uma quinta.» · «Era só um gato.»</w:t>
            </w:r>
          </w:p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color w:val="33465C"/>
                <w:sz w:val="19"/>
                <w:szCs w:val="19"/>
              </w:rPr>
              <w:t xml:space="preserve">«Virou uma estrelinha» — se for dito em vez de «morreu».</w:t>
            </w:r>
          </w:p>
        </w:tc>
      </w:tr>
    </w:tbl>
    <w:p>
      <w:pPr>
        <w:pageBreakBefore/>
        <w:spacing w:after="0"/>
      </w:pPr>
    </w:p>
    <w:p>
      <w:pPr>
        <w:keepNext/>
        <w:keepLines/>
        <w:spacing w:after="100" w:before="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O QUE AJUDA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Se estiver doente, preparar antes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e dar oportunidade de despedida.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Dar a notícia cedo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, com calma, usando a palavra «morreu».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Um pequeno ritual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— enterrá-lo, um desenho, uma carta — e uma caixa de memórias.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Falar dele pelo nome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, e das coisas boas. Lembrar não faz mal.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Mostrar a própria tristeza.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 Ensina que se atravessa.</w:t>
      </w:r>
    </w:p>
    <w:p>
      <w:pPr>
        <w:pStyle w:val="ListParagraph"/>
        <w:keepLines/>
        <w:numPr>
          <w:ilvl w:val="0"/>
          <w:numId w:val="2"/>
        </w:numPr>
        <w:spacing w:after="40" w:line="280" w:lineRule="auto"/>
      </w:pPr>
      <w:r>
        <w:rPr>
          <w:rFonts w:ascii="Calibri" w:cs="Calibri" w:eastAsia="Calibri" w:hAnsi="Calibri"/>
          <w:b/>
          <w:bCs/>
          <w:color w:val="33465C"/>
          <w:sz w:val="21"/>
          <w:szCs w:val="21"/>
        </w:rPr>
        <w:t xml:space="preserve">Outro animal, sem pressa</w:t>
      </w:r>
      <w:r>
        <w:rPr>
          <w:rFonts w:ascii="Calibri" w:cs="Calibri" w:eastAsia="Calibri" w:hAnsi="Calibri"/>
          <w:color w:val="33465C"/>
          <w:sz w:val="21"/>
          <w:szCs w:val="21"/>
        </w:rPr>
        <w:t xml:space="preserve">, quando a família estiver pronta.</w:t>
      </w:r>
    </w:p>
    <w:p>
      <w:pPr>
        <w:keepNext/>
        <w:keepLines/>
        <w:spacing w:after="120" w:before="320" w:line="276" w:lineRule="auto"/>
        <w:jc w:val="left"/>
      </w:pPr>
      <w:r>
        <w:rPr>
          <w:rFonts w:ascii="Calibri" w:cs="Calibri" w:eastAsia="Calibri" w:hAnsi="Calibri"/>
          <w:b/>
          <w:bCs/>
          <w:color w:val="7B5BD6"/>
          <w:spacing w:val="32"/>
          <w:sz w:val="16"/>
          <w:szCs w:val="16"/>
        </w:rPr>
        <w:t xml:space="preserve">QUANDO PROCURAR AJUDA</w:t>
      </w:r>
    </w:p>
    <w:p>
      <w:pPr>
        <w:keepNext/>
        <w:keepLines/>
        <w:spacing w:after="70" w:before="0" w:line="290" w:lineRule="auto"/>
        <w:jc w:val="left"/>
      </w:pPr>
      <w:r>
        <w:rPr>
          <w:rFonts w:ascii="Calibri" w:cs="Calibri" w:eastAsia="Calibri" w:hAnsi="Calibri"/>
          <w:b/>
          <w:bCs/>
          <w:color w:val="33465C"/>
          <w:sz w:val="22"/>
          <w:szCs w:val="22"/>
        </w:rPr>
        <w:t xml:space="preserve">Não precisa de esperar que piore.</w:t>
      </w:r>
      <w:r>
        <w:rPr>
          <w:rFonts w:ascii="Calibri" w:cs="Calibri" w:eastAsia="Calibri" w:hAnsi="Calibri"/>
          <w:color w:val="33465C"/>
          <w:sz w:val="22"/>
          <w:szCs w:val="22"/>
        </w:rPr>
        <w:t xml:space="preserve"> O que justifica ajuda é a persistência, a intensidade e o alastramento: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tristeza na maior parte dos dias, ao fim de várias semanas;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medo intenso de que alguém morra, ou de adormecer;</w:t>
      </w:r>
    </w:p>
    <w:p>
      <w:pPr>
        <w:pStyle w:val="ListParagraph"/>
        <w:keepLines/>
        <w:numPr>
          <w:ilvl w:val="0"/>
          <w:numId w:val="2"/>
        </w:numPr>
        <w:spacing w:after="10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culpa que não passa;</w:t>
      </w:r>
    </w:p>
    <w:p>
      <w:pPr>
        <w:pStyle w:val="ListParagraph"/>
        <w:keepLines/>
        <w:numPr>
          <w:ilvl w:val="0"/>
          <w:numId w:val="2"/>
        </w:numPr>
        <w:spacing w:after="120" w:line="280" w:lineRule="auto"/>
      </w:pPr>
      <w:r>
        <w:rPr>
          <w:rFonts w:ascii="Calibri" w:cs="Calibri" w:eastAsia="Calibri" w:hAnsi="Calibri"/>
          <w:color w:val="33465C"/>
          <w:sz w:val="21"/>
          <w:szCs w:val="21"/>
        </w:rPr>
        <w:t xml:space="preserve">deixar de brincar, ou quebra na escola.</w:t>
      </w:r>
    </w:p>
    <w:tbl>
      <w:tblPr>
        <w:tblW w:type="dxa" w:w="6991"/>
        <w:tblBorders>
          <w:top w:val="none" w:color="FFFFFF" w:sz="0"/>
          <w:left w:val="single" w:color="7B5BD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91"/>
      </w:tblGrid>
      <w:tr>
        <w:trPr>
          <w:cantSplit/>
        </w:trPr>
        <w:tc>
          <w:tcPr>
            <w:tcW w:type="dxa" w:w="6991"/>
            <w:tcBorders>
              <w:top w:val="none" w:color="FFFFFF" w:sz="0"/>
              <w:left w:val="single" w:color="7B5BD6" w:sz="24"/>
              <w:bottom w:val="none" w:color="FFFFFF" w:sz="0"/>
              <w:right w:val="none" w:color="FFFFFF" w:sz="0"/>
            </w:tcBorders>
            <w:shd w:fill="EFEBFC" w:color="auto" w:val="clear"/>
            <w:tcMar>
              <w:top w:type="dxa" w:w="100"/>
              <w:left w:type="dxa" w:w="220"/>
              <w:bottom w:type="dxa" w:w="70"/>
              <w:right w:type="dxa" w:w="220"/>
            </w:tcMar>
          </w:tcPr>
          <w:p>
            <w:pPr>
              <w:keepLines/>
              <w:spacing w:after="20" w:before="0" w:line="29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Procurar ajuda mais cedo</w:t>
            </w: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 se a perda se juntar a outras, ou se a criança assistiu a uma morte traumática.</w:t>
            </w:r>
          </w:p>
        </w:tc>
      </w:tr>
    </w:tbl>
    <w:p>
      <w:pPr>
        <w:pBdr>
          <w:top w:val="single" w:color="E2E7EF" w:sz="6" w:space="1"/>
        </w:pBdr>
        <w:spacing w:after="120" w:before="260"/>
      </w:pPr>
    </w:p>
    <w:tbl>
      <w:tblPr>
        <w:tblW w:type="dxa" w:w="69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50"/>
        <w:gridCol w:w="5441"/>
      </w:tblGrid>
      <w:tr>
        <w:trPr>
          <w:cantSplit/>
        </w:trPr>
        <w:tc>
          <w:tcPr>
            <w:tcW w:type="dxa" w:w="1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r>
              <w:drawing>
                <wp:inline distT="0" distB="0" distL="0" distR="0">
                  <wp:extent cx="876300" cy="876300"/>
                  <wp:effectExtent t="0" r="0" b="0" l="0"/>
                  <wp:docPr id="1" name="qr" descr="Código QR para o guia completo em ricardinacorreia.pt" title="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Lines/>
              <w:spacing w:after="60" w:before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65C"/>
                <w:sz w:val="18"/>
                <w:szCs w:val="18"/>
              </w:rPr>
              <w:t xml:space="preserve">Guia completo</w:t>
            </w:r>
            <w:r>
              <w:rPr>
                <w:rFonts w:ascii="Calibri" w:cs="Calibri" w:eastAsia="Calibri" w:hAnsi="Calibri"/>
                <w:color w:val="33465C"/>
                <w:sz w:val="18"/>
                <w:szCs w:val="18"/>
              </w:rPr>
              <w:t xml:space="preserve">, com o que dizer em cada idade, a despedida e sinais de alerta: ricardinacorreia.pt/materiais.html</w:t>
            </w:r>
          </w:p>
          <w:p>
            <w:pPr>
              <w:keepLines/>
              <w:spacing w:after="30" w:before="0" w:line="250" w:lineRule="auto"/>
              <w:jc w:val="left"/>
            </w:pPr>
            <w:r>
              <w:rPr>
                <w:rFonts w:ascii="Calibri" w:cs="Calibri" w:eastAsia="Calibri" w:hAnsi="Calibri"/>
                <w:color w:val="6E86A6"/>
                <w:sz w:val="15"/>
                <w:szCs w:val="15"/>
              </w:rPr>
              <w:t xml:space="preserve">As consultas de psicologia pediátrica decorrem no CNS — Campus Neurológico, em Torres Vedras, e são marcadas pelos canais da instituição.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Calibri" w:cs="Calibri" w:eastAsia="Calibri" w:hAnsi="Calibri"/>
                <w:color w:val="6E86A6"/>
                <w:sz w:val="15"/>
                <w:szCs w:val="15"/>
              </w:rPr>
              <w:t xml:space="preserve">Ricardina Correia · Psicóloga · Cédula OPP n.º 8233</w:t>
            </w:r>
          </w:p>
        </w:tc>
      </w:tr>
    </w:tbl>
    <w:sectPr>
      <w:pgSz w:w="8391" w:h="11906" w:orient="portrait"/>
      <w:pgMar w:top="62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  <w:rPr>
        <w:color w:val="7B5BD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a1c63eeb735ab100a9b14827bbf57c28b6bb79.png"/><Relationship Id="rId8" Type="http://schemas.openxmlformats.org/officeDocument/2006/relationships/image" Target="media/e29383d0f7f1a00d92a125847789b3694a6576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Flyer — O gato morreu. E ele quer saber quando volta.</dc:title>
  <dc:creator>Ricardina Correia</dc:creator>
  <cp:lastModifiedBy>Un-named</cp:lastModifiedBy>
  <cp:revision>1</cp:revision>
  <dcterms:created xsi:type="dcterms:W3CDTF">2026-09-21T21:05:30.448Z</dcterms:created>
  <dcterms:modified xsi:type="dcterms:W3CDTF">2026-09-21T21:05:30.449Z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