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left"/>
      </w:pPr>
      <w:r>
        <w:drawing>
          <wp:inline distT="0" distB="0" distL="0" distR="0">
            <wp:extent cx="1047750" cy="638175"/>
            <wp:effectExtent t="0" r="0" b="0" l="0"/>
            <wp:docPr id="1" name="logotipo" descr="Logótipo de Ricardina Correia, Psicologia Pediátrica" title="Logó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0" w:line="276" w:lineRule="auto"/>
        <w:jc w:val="left"/>
      </w:pPr>
      <w:r>
        <w:rPr>
          <w:rFonts w:ascii="Calibri" w:cs="Calibri" w:eastAsia="Calibri" w:hAnsi="Calibri"/>
          <w:b/>
          <w:bCs/>
          <w:color w:val="12A594"/>
          <w:spacing w:val="32"/>
          <w:sz w:val="15"/>
          <w:szCs w:val="15"/>
        </w:rPr>
        <w:t xml:space="preserve">GUIA PARA PAIS · 2 AOS 12 ANOS</w:t>
      </w:r>
    </w:p>
    <w:p>
      <w:pPr>
        <w:keepLines/>
        <w:spacing w:after="160" w:before="0" w:line="240" w:lineRule="auto"/>
        <w:jc w:val="left"/>
      </w:pPr>
      <w:r>
        <w:rPr>
          <w:rFonts w:ascii="Calibri" w:cs="Calibri" w:eastAsia="Calibri" w:hAnsi="Calibri"/>
          <w:b/>
          <w:bCs/>
          <w:color w:val="33465C"/>
          <w:sz w:val="46"/>
          <w:szCs w:val="46"/>
        </w:rPr>
        <w:t xml:space="preserve">Alguém de quem gosta foi operado. Deve ir visitá-lo?</w:t>
      </w:r>
    </w:p>
    <w:p>
      <w:pPr>
        <w:keepLines/>
        <w:spacing w:after="280" w:before="0" w:line="290" w:lineRule="auto"/>
        <w:jc w:val="left"/>
      </w:pPr>
      <w:r>
        <w:rPr>
          <w:rFonts w:ascii="Calibri" w:cs="Calibri" w:eastAsia="Calibri" w:hAnsi="Calibri"/>
          <w:color w:val="6E86A6"/>
          <w:sz w:val="21"/>
          <w:szCs w:val="21"/>
        </w:rPr>
        <w:t xml:space="preserve">Preparar a criança para visitar um familiar no hospital: o que dizer, quando ir e como correr bem.</w:t>
      </w:r>
    </w:p>
    <w:p>
      <w:pPr>
        <w:keepNext/>
        <w:keepLines/>
        <w:spacing w:after="100" w:before="0" w:line="276" w:lineRule="auto"/>
        <w:jc w:val="left"/>
      </w:pPr>
      <w:r>
        <w:rPr>
          <w:rFonts w:ascii="Calibri" w:cs="Calibri" w:eastAsia="Calibri" w:hAnsi="Calibri"/>
          <w:b/>
          <w:bCs/>
          <w:color w:val="12A594"/>
          <w:spacing w:val="32"/>
          <w:sz w:val="16"/>
          <w:szCs w:val="16"/>
        </w:rPr>
        <w:t xml:space="preserve">EM POUCAS PALAVRAS</w:t>
      </w:r>
    </w:p>
    <w:tbl>
      <w:tblPr>
        <w:tblW w:type="dxa" w:w="6991"/>
        <w:tblBorders>
          <w:top w:val="none" w:color="FFFFFF" w:sz="0"/>
          <w:left w:val="single" w:color="12A594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91"/>
      </w:tblGrid>
      <w:tr>
        <w:trPr>
          <w:cantSplit/>
        </w:trPr>
        <w:tc>
          <w:tcPr>
            <w:tcW w:type="dxa" w:w="6991"/>
            <w:tcBorders>
              <w:top w:val="none" w:color="FFFFFF" w:sz="0"/>
              <w:left w:val="single" w:color="12A594" w:sz="24"/>
              <w:bottom w:val="none" w:color="FFFFFF" w:sz="0"/>
              <w:right w:val="none" w:color="FFFFFF" w:sz="0"/>
            </w:tcBorders>
            <w:shd w:fill="E6F5F2" w:color="auto" w:val="clear"/>
            <w:tcMar>
              <w:top w:type="dxa" w:w="200"/>
              <w:left w:type="dxa" w:w="220"/>
              <w:bottom w:type="dxa" w:w="150"/>
              <w:right w:type="dxa" w:w="220"/>
            </w:tcMar>
          </w:tcPr>
          <w:p>
            <w:pPr>
              <w:keepLines/>
              <w:spacing w:after="130" w:before="0" w:line="29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2"/>
                <w:szCs w:val="22"/>
              </w:rPr>
              <w:t xml:space="preserve">Imaginar assusta mais do que ver.</w:t>
            </w:r>
            <w:r>
              <w:rPr>
                <w:rFonts w:ascii="Calibri" w:cs="Calibri" w:eastAsia="Calibri" w:hAnsi="Calibri"/>
                <w:color w:val="33465C"/>
                <w:sz w:val="22"/>
                <w:szCs w:val="22"/>
              </w:rPr>
              <w:t xml:space="preserve"> O que mais inquieta uma criança pequena é alguém desaparecer sem explicação e sentir os adultos nervosos.</w:t>
            </w:r>
          </w:p>
          <w:p>
            <w:pPr>
              <w:keepLines/>
              <w:spacing w:after="130" w:before="0" w:line="29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2"/>
                <w:szCs w:val="22"/>
              </w:rPr>
              <w:t xml:space="preserve">Uma visita preparada tende a ajudar; uma visita de surpresa, não.</w:t>
            </w:r>
          </w:p>
          <w:p>
            <w:pPr>
              <w:keepLines/>
              <w:spacing w:after="20" w:before="0" w:line="29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2"/>
                <w:szCs w:val="22"/>
              </w:rPr>
              <w:t xml:space="preserve">A verdade, à medida da idade, protege mais do que o silêncio.</w:t>
            </w:r>
            <w:r>
              <w:rPr>
                <w:rFonts w:ascii="Calibri" w:cs="Calibri" w:eastAsia="Calibri" w:hAnsi="Calibri"/>
                <w:color w:val="33465C"/>
                <w:sz w:val="22"/>
                <w:szCs w:val="22"/>
              </w:rPr>
              <w:t xml:space="preserve"> Frases curtas, verdadeiras e sempre iguais.</w:t>
            </w:r>
          </w:p>
        </w:tc>
      </w:tr>
    </w:tbl>
    <w:p>
      <w:pPr>
        <w:keepNext/>
        <w:keepLines/>
        <w:spacing w:after="120" w:before="360" w:line="276" w:lineRule="auto"/>
        <w:jc w:val="left"/>
      </w:pPr>
      <w:r>
        <w:rPr>
          <w:rFonts w:ascii="Calibri" w:cs="Calibri" w:eastAsia="Calibri" w:hAnsi="Calibri"/>
          <w:b/>
          <w:bCs/>
          <w:color w:val="12A594"/>
          <w:spacing w:val="32"/>
          <w:sz w:val="16"/>
          <w:szCs w:val="16"/>
        </w:rPr>
        <w:t xml:space="preserve">QUATRO IDEIAS PARA REPETIR</w:t>
      </w:r>
    </w:p>
    <w:tbl>
      <w:tblPr>
        <w:tblW w:type="dxa" w:w="6991"/>
        <w:tblBorders>
          <w:top w:val="none" w:color="FFFFFF" w:sz="0"/>
          <w:left w:val="single" w:color="6E86A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91"/>
      </w:tblGrid>
      <w:tr>
        <w:trPr>
          <w:cantSplit/>
        </w:trPr>
        <w:tc>
          <w:tcPr>
            <w:tcW w:type="dxa" w:w="6991"/>
            <w:tcBorders>
              <w:top w:val="none" w:color="FFFFFF" w:sz="0"/>
              <w:left w:val="single" w:color="6E86A6" w:sz="24"/>
              <w:bottom w:val="none" w:color="FFFFFF" w:sz="0"/>
              <w:right w:val="none" w:color="FFFFFF" w:sz="0"/>
            </w:tcBorders>
            <w:shd w:fill="F3F5F9" w:color="auto" w:val="clear"/>
            <w:tcMar>
              <w:top w:type="dxa" w:w="200"/>
              <w:left w:type="dxa" w:w="220"/>
              <w:bottom w:type="dxa" w:w="150"/>
              <w:right w:type="dxa" w:w="220"/>
            </w:tcMar>
          </w:tcPr>
          <w:p>
            <w:pPr>
              <w:keepLines/>
              <w:spacing w:after="130" w:before="0" w:line="29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2"/>
                <w:szCs w:val="22"/>
              </w:rPr>
              <w:t xml:space="preserve">Não foi culpa tua.</w:t>
            </w:r>
          </w:p>
          <w:p>
            <w:pPr>
              <w:keepLines/>
              <w:spacing w:after="130" w:before="0" w:line="29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2"/>
                <w:szCs w:val="22"/>
              </w:rPr>
              <w:t xml:space="preserve">Isto não se pega</w:t>
            </w:r>
            <w:r>
              <w:rPr>
                <w:rFonts w:ascii="Calibri" w:cs="Calibri" w:eastAsia="Calibri" w:hAnsi="Calibri"/>
                <w:color w:val="33465C"/>
                <w:sz w:val="22"/>
                <w:szCs w:val="22"/>
              </w:rPr>
              <w:t xml:space="preserve"> — quando for verdade.</w:t>
            </w:r>
          </w:p>
          <w:p>
            <w:pPr>
              <w:keepLines/>
              <w:spacing w:after="130" w:before="0" w:line="29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2"/>
                <w:szCs w:val="22"/>
              </w:rPr>
              <w:t xml:space="preserve">Há sempre alguém a cuidar de ti.</w:t>
            </w:r>
          </w:p>
          <w:p>
            <w:pPr>
              <w:keepLines/>
              <w:spacing w:after="20" w:before="0" w:line="29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2"/>
                <w:szCs w:val="22"/>
              </w:rPr>
              <w:t xml:space="preserve">Continua a gostar muito de ti.</w:t>
            </w:r>
          </w:p>
        </w:tc>
      </w:tr>
    </w:tbl>
    <w:p>
      <w:pPr>
        <w:pageBreakBefore/>
        <w:spacing w:after="0"/>
      </w:pPr>
    </w:p>
    <w:p>
      <w:pPr>
        <w:keepNext/>
        <w:keepLines/>
        <w:spacing w:after="100" w:before="0" w:line="276" w:lineRule="auto"/>
        <w:jc w:val="left"/>
      </w:pPr>
      <w:r>
        <w:rPr>
          <w:rFonts w:ascii="Calibri" w:cs="Calibri" w:eastAsia="Calibri" w:hAnsi="Calibri"/>
          <w:b/>
          <w:bCs/>
          <w:color w:val="12A594"/>
          <w:spacing w:val="32"/>
          <w:sz w:val="16"/>
          <w:szCs w:val="16"/>
        </w:rPr>
        <w:t xml:space="preserve">O QUE AJUDA</w:t>
      </w:r>
    </w:p>
    <w:p>
      <w:pPr>
        <w:pStyle w:val="ListParagraph"/>
        <w:keepLines/>
        <w:numPr>
          <w:ilvl w:val="0"/>
          <w:numId w:val="2"/>
        </w:numPr>
        <w:spacing w:after="100" w:line="280" w:lineRule="auto"/>
      </w:pPr>
      <w:r>
        <w:rPr>
          <w:rFonts w:ascii="Calibri" w:cs="Calibri" w:eastAsia="Calibri" w:hAnsi="Calibri"/>
          <w:b/>
          <w:bCs/>
          <w:color w:val="33465C"/>
          <w:sz w:val="21"/>
          <w:szCs w:val="21"/>
        </w:rPr>
        <w:t xml:space="preserve">Não inventar nem prometer.</w:t>
      </w:r>
      <w:r>
        <w:rPr>
          <w:rFonts w:ascii="Calibri" w:cs="Calibri" w:eastAsia="Calibri" w:hAnsi="Calibri"/>
          <w:color w:val="33465C"/>
          <w:sz w:val="21"/>
          <w:szCs w:val="21"/>
        </w:rPr>
        <w:t xml:space="preserve"> Nada de «foi trabalhar»; nada de «volta amanhã».</w:t>
      </w:r>
    </w:p>
    <w:p>
      <w:pPr>
        <w:pStyle w:val="ListParagraph"/>
        <w:keepLines/>
        <w:numPr>
          <w:ilvl w:val="0"/>
          <w:numId w:val="2"/>
        </w:numPr>
        <w:spacing w:after="100" w:line="280" w:lineRule="auto"/>
      </w:pPr>
      <w:r>
        <w:rPr>
          <w:rFonts w:ascii="Calibri" w:cs="Calibri" w:eastAsia="Calibri" w:hAnsi="Calibri"/>
          <w:b/>
          <w:bCs/>
          <w:color w:val="33465C"/>
          <w:sz w:val="21"/>
          <w:szCs w:val="21"/>
        </w:rPr>
        <w:t xml:space="preserve">Confirmar com a equipa</w:t>
      </w:r>
      <w:r>
        <w:rPr>
          <w:rFonts w:ascii="Calibri" w:cs="Calibri" w:eastAsia="Calibri" w:hAnsi="Calibri"/>
          <w:color w:val="33465C"/>
          <w:sz w:val="21"/>
          <w:szCs w:val="21"/>
        </w:rPr>
        <w:t xml:space="preserve"> as regras e o melhor momento. A criança não vai se estiver doente.</w:t>
      </w:r>
    </w:p>
    <w:p>
      <w:pPr>
        <w:pStyle w:val="ListParagraph"/>
        <w:keepLines/>
        <w:numPr>
          <w:ilvl w:val="0"/>
          <w:numId w:val="2"/>
        </w:numPr>
        <w:spacing w:after="100" w:line="280" w:lineRule="auto"/>
      </w:pPr>
      <w:r>
        <w:rPr>
          <w:rFonts w:ascii="Calibri" w:cs="Calibri" w:eastAsia="Calibri" w:hAnsi="Calibri"/>
          <w:b/>
          <w:bCs/>
          <w:color w:val="33465C"/>
          <w:sz w:val="21"/>
          <w:szCs w:val="21"/>
        </w:rPr>
        <w:t xml:space="preserve">Contar antes o que vai ver</w:t>
      </w:r>
      <w:r>
        <w:rPr>
          <w:rFonts w:ascii="Calibri" w:cs="Calibri" w:eastAsia="Calibri" w:hAnsi="Calibri"/>
          <w:color w:val="33465C"/>
          <w:sz w:val="21"/>
          <w:szCs w:val="21"/>
        </w:rPr>
        <w:t xml:space="preserve">: pensos, tubos, máquinas que apitam, inchaço, cansaço.</w:t>
      </w:r>
    </w:p>
    <w:p>
      <w:pPr>
        <w:pStyle w:val="ListParagraph"/>
        <w:keepLines/>
        <w:numPr>
          <w:ilvl w:val="0"/>
          <w:numId w:val="2"/>
        </w:numPr>
        <w:spacing w:after="100" w:line="280" w:lineRule="auto"/>
      </w:pPr>
      <w:r>
        <w:rPr>
          <w:rFonts w:ascii="Calibri" w:cs="Calibri" w:eastAsia="Calibri" w:hAnsi="Calibri"/>
          <w:b/>
          <w:bCs/>
          <w:color w:val="33465C"/>
          <w:sz w:val="21"/>
          <w:szCs w:val="21"/>
        </w:rPr>
        <w:t xml:space="preserve">Visita curta, com dois adultos</w:t>
      </w:r>
      <w:r>
        <w:rPr>
          <w:rFonts w:ascii="Calibri" w:cs="Calibri" w:eastAsia="Calibri" w:hAnsi="Calibri"/>
          <w:color w:val="33465C"/>
          <w:sz w:val="21"/>
          <w:szCs w:val="21"/>
        </w:rPr>
        <w:t xml:space="preserve">: um fica, o outro sai com a criança quando for preciso.</w:t>
      </w:r>
    </w:p>
    <w:p>
      <w:pPr>
        <w:pStyle w:val="ListParagraph"/>
        <w:keepLines/>
        <w:numPr>
          <w:ilvl w:val="0"/>
          <w:numId w:val="2"/>
        </w:numPr>
        <w:spacing w:after="100" w:line="280" w:lineRule="auto"/>
      </w:pPr>
      <w:r>
        <w:rPr>
          <w:rFonts w:ascii="Calibri" w:cs="Calibri" w:eastAsia="Calibri" w:hAnsi="Calibri"/>
          <w:b/>
          <w:bCs/>
          <w:color w:val="33465C"/>
          <w:sz w:val="21"/>
          <w:szCs w:val="21"/>
        </w:rPr>
        <w:t xml:space="preserve">Deixar que se aproxime ao seu ritmo.</w:t>
      </w:r>
      <w:r>
        <w:rPr>
          <w:rFonts w:ascii="Calibri" w:cs="Calibri" w:eastAsia="Calibri" w:hAnsi="Calibri"/>
          <w:color w:val="33465C"/>
          <w:sz w:val="21"/>
          <w:szCs w:val="21"/>
        </w:rPr>
        <w:t xml:space="preserve"> Estranhar não é rejeição.</w:t>
      </w:r>
    </w:p>
    <w:p>
      <w:pPr>
        <w:pStyle w:val="ListParagraph"/>
        <w:keepLines/>
        <w:numPr>
          <w:ilvl w:val="0"/>
          <w:numId w:val="2"/>
        </w:numPr>
        <w:spacing w:after="40" w:line="280" w:lineRule="auto"/>
      </w:pPr>
      <w:r>
        <w:rPr>
          <w:rFonts w:ascii="Calibri" w:cs="Calibri" w:eastAsia="Calibri" w:hAnsi="Calibri"/>
          <w:b/>
          <w:bCs/>
          <w:color w:val="33465C"/>
          <w:sz w:val="21"/>
          <w:szCs w:val="21"/>
        </w:rPr>
        <w:t xml:space="preserve">Se tiver medo, passos pequenos</w:t>
      </w:r>
      <w:r>
        <w:rPr>
          <w:rFonts w:ascii="Calibri" w:cs="Calibri" w:eastAsia="Calibri" w:hAnsi="Calibri"/>
          <w:color w:val="33465C"/>
          <w:sz w:val="21"/>
          <w:szCs w:val="21"/>
        </w:rPr>
        <w:t xml:space="preserve">: fotografia, videochamada, só depois a visita.</w:t>
      </w:r>
    </w:p>
    <w:p>
      <w:pPr>
        <w:keepNext/>
        <w:keepLines/>
        <w:spacing w:after="120" w:before="320" w:line="276" w:lineRule="auto"/>
        <w:jc w:val="left"/>
      </w:pPr>
      <w:r>
        <w:rPr>
          <w:rFonts w:ascii="Calibri" w:cs="Calibri" w:eastAsia="Calibri" w:hAnsi="Calibri"/>
          <w:b/>
          <w:bCs/>
          <w:color w:val="12A594"/>
          <w:spacing w:val="32"/>
          <w:sz w:val="16"/>
          <w:szCs w:val="16"/>
        </w:rPr>
        <w:t xml:space="preserve">QUANDO PROCURAR AJUDA</w:t>
      </w:r>
    </w:p>
    <w:p>
      <w:pPr>
        <w:keepNext/>
        <w:keepLines/>
        <w:spacing w:after="70" w:before="0" w:line="290" w:lineRule="auto"/>
        <w:jc w:val="left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Não precisa de esperar que piore.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O que justifica ajuda é a persistência, a intensidade e o alastramento:</w:t>
      </w:r>
    </w:p>
    <w:p>
      <w:pPr>
        <w:pStyle w:val="ListParagraph"/>
        <w:keepLines/>
        <w:numPr>
          <w:ilvl w:val="0"/>
          <w:numId w:val="2"/>
        </w:numPr>
        <w:spacing w:after="100" w:line="280" w:lineRule="auto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pesadelos ou medo de adormecer que se mantêm;</w:t>
      </w:r>
    </w:p>
    <w:p>
      <w:pPr>
        <w:pStyle w:val="ListParagraph"/>
        <w:keepLines/>
        <w:numPr>
          <w:ilvl w:val="0"/>
          <w:numId w:val="2"/>
        </w:numPr>
        <w:spacing w:after="100" w:line="280" w:lineRule="auto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pânico ao separar-se, ou recusa em ir à escola;</w:t>
      </w:r>
    </w:p>
    <w:p>
      <w:pPr>
        <w:pStyle w:val="ListParagraph"/>
        <w:keepLines/>
        <w:numPr>
          <w:ilvl w:val="0"/>
          <w:numId w:val="2"/>
        </w:numPr>
        <w:spacing w:after="100" w:line="280" w:lineRule="auto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medo persistente de que alguém morra, ou culpa que não passa;</w:t>
      </w:r>
    </w:p>
    <w:p>
      <w:pPr>
        <w:pStyle w:val="ListParagraph"/>
        <w:keepLines/>
        <w:numPr>
          <w:ilvl w:val="0"/>
          <w:numId w:val="2"/>
        </w:numPr>
        <w:spacing w:after="120" w:line="280" w:lineRule="auto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tristeza que se mantém, ou deixar de brincar.</w:t>
      </w:r>
    </w:p>
    <w:tbl>
      <w:tblPr>
        <w:tblW w:type="dxa" w:w="6991"/>
        <w:tblBorders>
          <w:top w:val="none" w:color="FFFFFF" w:sz="0"/>
          <w:left w:val="single" w:color="12A594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91"/>
      </w:tblGrid>
      <w:tr>
        <w:trPr>
          <w:cantSplit/>
        </w:trPr>
        <w:tc>
          <w:tcPr>
            <w:tcW w:type="dxa" w:w="6991"/>
            <w:tcBorders>
              <w:top w:val="none" w:color="FFFFFF" w:sz="0"/>
              <w:left w:val="single" w:color="12A594" w:sz="24"/>
              <w:bottom w:val="none" w:color="FFFFFF" w:sz="0"/>
              <w:right w:val="none" w:color="FFFFFF" w:sz="0"/>
            </w:tcBorders>
            <w:shd w:fill="E6F5F2" w:color="auto" w:val="clear"/>
            <w:tcMar>
              <w:top w:type="dxa" w:w="100"/>
              <w:left w:type="dxa" w:w="220"/>
              <w:bottom w:type="dxa" w:w="70"/>
              <w:right w:type="dxa" w:w="220"/>
            </w:tcMar>
          </w:tcPr>
          <w:p>
            <w:pPr>
              <w:keepLines/>
              <w:spacing w:after="20" w:before="0" w:line="29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Se a situação for grave</w:t>
            </w: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, a preparação é outra e merece apoio especializado desde o início.</w:t>
            </w:r>
          </w:p>
        </w:tc>
      </w:tr>
    </w:tbl>
    <w:p>
      <w:pPr>
        <w:pBdr>
          <w:top w:val="single" w:color="E2E7EF" w:sz="6" w:space="1"/>
        </w:pBdr>
        <w:spacing w:after="120" w:before="260"/>
      </w:pPr>
    </w:p>
    <w:tbl>
      <w:tblPr>
        <w:tblW w:type="dxa" w:w="69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50"/>
        <w:gridCol w:w="5441"/>
      </w:tblGrid>
      <w:tr>
        <w:trPr>
          <w:cantSplit/>
        </w:trPr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40"/>
            </w:tcMar>
          </w:tcPr>
          <w:p>
            <w:r>
              <w:drawing>
                <wp:inline distT="0" distB="0" distL="0" distR="0">
                  <wp:extent cx="876300" cy="876300"/>
                  <wp:effectExtent t="0" r="0" b="0" l="0"/>
                  <wp:docPr id="1" name="qr" descr="Código QR para o guia completo em ricardinacorreia.pt" title="Código 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Lines/>
              <w:spacing w:after="60" w:before="0" w:line="26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Guia completo</w:t>
            </w: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, com o que dizer em cada idade, como preparar a visita e sinais de alerta: ricardinacorreia.pt/materiais.html</w:t>
            </w:r>
          </w:p>
          <w:p>
            <w:pPr>
              <w:keepLines/>
              <w:spacing w:after="30" w:before="0" w:line="250" w:lineRule="auto"/>
              <w:jc w:val="left"/>
            </w:pPr>
            <w:r>
              <w:rPr>
                <w:rFonts w:ascii="Calibri" w:cs="Calibri" w:eastAsia="Calibri" w:hAnsi="Calibri"/>
                <w:color w:val="6E86A6"/>
                <w:sz w:val="15"/>
                <w:szCs w:val="15"/>
              </w:rPr>
              <w:t xml:space="preserve">As consultas de psicologia pediátrica decorrem no CNS — Campus Neurológico, em Torres Vedras, e são marcadas pelos canais da instituição.</w:t>
            </w:r>
          </w:p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color w:val="6E86A6"/>
                <w:sz w:val="15"/>
                <w:szCs w:val="15"/>
              </w:rPr>
              <w:t xml:space="preserve">Ricardina Correia · Psicóloga · Cédula OPP n.º 8233</w:t>
            </w:r>
          </w:p>
        </w:tc>
      </w:tr>
    </w:tbl>
    <w:sectPr>
      <w:pgSz w:w="8391" w:h="11906" w:orient="portrait"/>
      <w:pgMar w:top="62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  <w:rPr>
        <w:color w:val="12A594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65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a1c63eeb735ab100a9b14827bbf57c28b6bb79.png"/><Relationship Id="rId8" Type="http://schemas.openxmlformats.org/officeDocument/2006/relationships/image" Target="media/0075514d31022815280589c3738370431203ec2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Flyer — Alguém de quem gosta foi operado. Deve ir visitá-lo?</dc:title>
  <dc:creator>Ricardina Correia</dc:creator>
  <cp:lastModifiedBy>Un-named</cp:lastModifiedBy>
  <cp:revision>1</cp:revision>
  <dcterms:created xsi:type="dcterms:W3CDTF">2026-09-21T20:05:09.549Z</dcterms:created>
  <dcterms:modified xsi:type="dcterms:W3CDTF">2026-09-21T20:05:09.558Z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